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890D1">
      <w:pPr>
        <w:spacing w:line="480" w:lineRule="auto"/>
        <w:jc w:val="left"/>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pPr>
      <w:bookmarkStart w:id="0" w:name="_Toc31730"/>
      <w:bookmarkStart w:id="1" w:name="_Toc287620665"/>
      <w:bookmarkStart w:id="2" w:name="_Toc9785"/>
      <w:r>
        <w:rPr>
          <w:rFonts w:hint="eastAsia" w:asciiTheme="minorEastAsia" w:hAnsiTheme="minorEastAsia" w:eastAsiaTheme="minorEastAsia"/>
          <w:b/>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 xml:space="preserve">弹广路安全隐患治理提升工程预算编制项目 </w:t>
      </w:r>
    </w:p>
    <w:p w14:paraId="00189DB6">
      <w:pPr>
        <w:spacing w:line="480" w:lineRule="auto"/>
        <w:jc w:val="left"/>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CQCBJQ2509-374</w:t>
      </w:r>
    </w:p>
    <w:p w14:paraId="5BE6B79C">
      <w:pPr>
        <w:pStyle w:val="10"/>
        <w:snapToGrid w:val="0"/>
        <w:spacing w:line="360" w:lineRule="auto"/>
        <w:ind w:left="0" w:right="0" w:firstLine="0" w:firstLineChars="0"/>
        <w:rPr>
          <w:rFonts w:hint="eastAsia" w:ascii="宋体" w:hAnsi="宋体" w:eastAsia="宋体"/>
          <w:b/>
          <w:color w:val="000000" w:themeColor="text1"/>
          <w:sz w:val="56"/>
          <w:szCs w:val="56"/>
          <w:highlight w:val="none"/>
          <w14:textFill>
            <w14:solidFill>
              <w14:schemeClr w14:val="tx1"/>
            </w14:solidFill>
          </w14:textFill>
        </w:rPr>
      </w:pPr>
    </w:p>
    <w:p w14:paraId="3D1ECCAA">
      <w:pPr>
        <w:pStyle w:val="10"/>
        <w:snapToGrid w:val="0"/>
        <w:spacing w:line="360" w:lineRule="auto"/>
        <w:ind w:left="0" w:right="0" w:firstLine="0" w:firstLineChars="0"/>
        <w:rPr>
          <w:rFonts w:hint="eastAsia" w:ascii="宋体" w:hAnsi="宋体" w:eastAsia="宋体"/>
          <w:b/>
          <w:color w:val="000000" w:themeColor="text1"/>
          <w:sz w:val="56"/>
          <w:szCs w:val="56"/>
          <w:highlight w:val="none"/>
          <w14:textFill>
            <w14:solidFill>
              <w14:schemeClr w14:val="tx1"/>
            </w14:solidFill>
          </w14:textFill>
        </w:rPr>
      </w:pPr>
    </w:p>
    <w:p w14:paraId="619E6C4C">
      <w:pPr>
        <w:pStyle w:val="10"/>
        <w:snapToGrid w:val="0"/>
        <w:spacing w:line="360" w:lineRule="auto"/>
        <w:ind w:left="0" w:right="0" w:firstLine="0" w:firstLineChars="0"/>
        <w:jc w:val="center"/>
        <w:rPr>
          <w:rFonts w:hint="eastAsia" w:ascii="宋体" w:hAnsi="宋体" w:eastAsia="宋体"/>
          <w:b/>
          <w:color w:val="000000" w:themeColor="text1"/>
          <w:sz w:val="84"/>
          <w:szCs w:val="84"/>
          <w:highlight w:val="none"/>
          <w14:textFill>
            <w14:solidFill>
              <w14:schemeClr w14:val="tx1"/>
            </w14:solidFill>
          </w14:textFill>
        </w:rPr>
      </w:pPr>
    </w:p>
    <w:p w14:paraId="15AD97F2">
      <w:pPr>
        <w:autoSpaceDE w:val="0"/>
        <w:autoSpaceDN w:val="0"/>
        <w:adjustRightInd w:val="0"/>
        <w:snapToGrid w:val="0"/>
        <w:spacing w:line="360" w:lineRule="auto"/>
        <w:jc w:val="center"/>
        <w:rPr>
          <w:rFonts w:hint="eastAsia" w:ascii="宋体" w:hAnsi="宋体"/>
          <w:b/>
          <w:color w:val="000000" w:themeColor="text1"/>
          <w:kern w:val="0"/>
          <w:sz w:val="72"/>
          <w:szCs w:val="72"/>
          <w:highlight w:val="none"/>
          <w14:textFill>
            <w14:solidFill>
              <w14:schemeClr w14:val="tx1"/>
            </w14:solidFill>
          </w14:textFill>
        </w:rPr>
      </w:pPr>
      <w:r>
        <w:rPr>
          <w:rFonts w:hint="eastAsia" w:ascii="宋体" w:hAnsi="宋体"/>
          <w:b/>
          <w:color w:val="000000" w:themeColor="text1"/>
          <w:kern w:val="0"/>
          <w:sz w:val="72"/>
          <w:szCs w:val="72"/>
          <w:highlight w:val="none"/>
          <w14:textFill>
            <w14:solidFill>
              <w14:schemeClr w14:val="tx1"/>
            </w14:solidFill>
          </w14:textFill>
        </w:rPr>
        <w:t>竞争性比选文件</w:t>
      </w:r>
    </w:p>
    <w:p w14:paraId="3FAAEDD0">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1B7228AB">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30AA3FD3">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78ECFD79">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3D10FAAF">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058EF560">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6236E751">
      <w:pPr>
        <w:spacing w:line="520" w:lineRule="exact"/>
        <w:ind w:firstLine="602" w:firstLineChars="200"/>
        <w:rPr>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   选   人：</w:t>
      </w:r>
      <w:r>
        <w:rPr>
          <w:rFonts w:hint="eastAsia" w:ascii="宋体" w:hAnsi="宋体" w:cs="宋体"/>
          <w:b/>
          <w:color w:val="000000" w:themeColor="text1"/>
          <w:sz w:val="30"/>
          <w:szCs w:val="30"/>
          <w:highlight w:val="none"/>
          <w:u w:val="single"/>
          <w14:textFill>
            <w14:solidFill>
              <w14:schemeClr w14:val="tx1"/>
            </w14:solidFill>
          </w14:textFill>
        </w:rPr>
        <w:t>重庆市南岸区城市建设发展（集团）有限公司</w:t>
      </w:r>
    </w:p>
    <w:p w14:paraId="6F550736">
      <w:pPr>
        <w:pStyle w:val="46"/>
        <w:rPr>
          <w:color w:val="000000" w:themeColor="text1"/>
          <w:highlight w:val="none"/>
          <w14:textFill>
            <w14:solidFill>
              <w14:schemeClr w14:val="tx1"/>
            </w14:solidFill>
          </w14:textFill>
        </w:rPr>
      </w:pPr>
    </w:p>
    <w:p w14:paraId="2C028BF8">
      <w:pPr>
        <w:spacing w:line="520" w:lineRule="exact"/>
        <w:ind w:firstLine="602" w:firstLineChars="200"/>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比选代理机构：</w:t>
      </w:r>
      <w:r>
        <w:rPr>
          <w:rFonts w:hint="eastAsia" w:ascii="宋体" w:hAnsi="宋体" w:cs="宋体"/>
          <w:b/>
          <w:color w:val="000000" w:themeColor="text1"/>
          <w:sz w:val="30"/>
          <w:szCs w:val="30"/>
          <w:highlight w:val="none"/>
          <w:u w:val="single"/>
          <w14:textFill>
            <w14:solidFill>
              <w14:schemeClr w14:val="tx1"/>
            </w14:solidFill>
          </w14:textFill>
        </w:rPr>
        <w:t xml:space="preserve">重庆市中基致信招标代理有限公司 </w:t>
      </w:r>
    </w:p>
    <w:p w14:paraId="78C06B8D">
      <w:pPr>
        <w:pStyle w:val="53"/>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  </w:t>
      </w:r>
    </w:p>
    <w:p w14:paraId="3D8CCF09">
      <w:pPr>
        <w:pStyle w:val="53"/>
        <w:jc w:val="center"/>
        <w:rPr>
          <w:rFonts w:hint="eastAsia" w:ascii="宋体" w:hAnsi="宋体" w:cs="宋体"/>
          <w:b/>
          <w:color w:val="000000" w:themeColor="text1"/>
          <w:sz w:val="30"/>
          <w:szCs w:val="30"/>
          <w:highlight w:val="none"/>
          <w14:textFill>
            <w14:solidFill>
              <w14:schemeClr w14:val="tx1"/>
            </w14:solidFill>
          </w14:textFill>
        </w:rPr>
      </w:pPr>
    </w:p>
    <w:p w14:paraId="3B25BFCA">
      <w:pPr>
        <w:spacing w:line="480" w:lineRule="auto"/>
        <w:jc w:val="center"/>
        <w:rPr>
          <w:rFonts w:hint="eastAsia" w:ascii="宋体" w:hAnsi="宋体"/>
          <w:b/>
          <w:color w:val="000000" w:themeColor="text1"/>
          <w:spacing w:val="8"/>
          <w:kern w:val="0"/>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二○二</w:t>
      </w:r>
      <w:r>
        <w:rPr>
          <w:rFonts w:hint="eastAsia" w:cs="宋体" w:asciiTheme="minorEastAsia" w:hAnsiTheme="minorEastAsia" w:eastAsiaTheme="minorEastAsia"/>
          <w:b/>
          <w:color w:val="000000" w:themeColor="text1"/>
          <w:kern w:val="0"/>
          <w:sz w:val="30"/>
          <w:highlight w:val="none"/>
          <w:lang w:val="en-US" w:eastAsia="zh-CN"/>
          <w14:textFill>
            <w14:solidFill>
              <w14:schemeClr w14:val="tx1"/>
            </w14:solidFill>
          </w14:textFill>
        </w:rPr>
        <w:t>五</w:t>
      </w: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年</w:t>
      </w:r>
      <w:r>
        <w:rPr>
          <w:rFonts w:hint="eastAsia" w:cs="宋体" w:asciiTheme="minorEastAsia" w:hAnsiTheme="minorEastAsia" w:eastAsiaTheme="minorEastAsia"/>
          <w:b/>
          <w:color w:val="000000" w:themeColor="text1"/>
          <w:kern w:val="0"/>
          <w:sz w:val="30"/>
          <w:highlight w:val="none"/>
          <w:lang w:val="en-US" w:eastAsia="zh-CN"/>
          <w14:textFill>
            <w14:solidFill>
              <w14:schemeClr w14:val="tx1"/>
            </w14:solidFill>
          </w14:textFill>
        </w:rPr>
        <w:t>九</w:t>
      </w: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月</w:t>
      </w:r>
    </w:p>
    <w:p w14:paraId="19F029ED">
      <w:pPr>
        <w:pStyle w:val="4"/>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目  录</w:t>
      </w:r>
    </w:p>
    <w:p w14:paraId="2D8531B4">
      <w:pPr>
        <w:rPr>
          <w:rFonts w:hint="eastAsia" w:ascii="宋体" w:hAnsi="宋体"/>
          <w:color w:val="000000" w:themeColor="text1"/>
          <w:highlight w:val="none"/>
          <w14:textFill>
            <w14:solidFill>
              <w14:schemeClr w14:val="tx1"/>
            </w14:solidFill>
          </w14:textFill>
        </w:rPr>
      </w:pPr>
    </w:p>
    <w:p w14:paraId="69D0A09A">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第一章 比选公告</w:t>
      </w:r>
    </w:p>
    <w:p w14:paraId="03AE2876">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第二章 竞选人须知</w:t>
      </w:r>
    </w:p>
    <w:p w14:paraId="4B52FBA7">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第三章 评选办法</w:t>
      </w:r>
    </w:p>
    <w:p w14:paraId="498D05C4">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第四章 合同条款及格式</w:t>
      </w:r>
    </w:p>
    <w:p w14:paraId="422310B6">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第五章 发包人要求</w:t>
      </w:r>
    </w:p>
    <w:p w14:paraId="5644EE28">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第六章 竞选文件格式</w:t>
      </w:r>
    </w:p>
    <w:bookmarkEnd w:id="0"/>
    <w:bookmarkEnd w:id="1"/>
    <w:bookmarkEnd w:id="2"/>
    <w:sdt>
      <w:sdtPr>
        <w:rPr>
          <w:rFonts w:ascii="宋体" w:hAnsi="宋体"/>
          <w:color w:val="000000" w:themeColor="text1"/>
          <w:highlight w:val="none"/>
          <w14:textFill>
            <w14:solidFill>
              <w14:schemeClr w14:val="tx1"/>
            </w14:solidFill>
          </w14:textFill>
        </w:rPr>
        <w:id w:val="147455173"/>
        <w:docPartObj>
          <w:docPartGallery w:val="Table of Contents"/>
          <w:docPartUnique/>
        </w:docPartObj>
      </w:sdtPr>
      <w:sdtEndPr>
        <w:rPr>
          <w:rFonts w:ascii="宋体" w:hAnsi="宋体" w:cs="宋体"/>
          <w:b/>
          <w:bCs/>
          <w:color w:val="000000" w:themeColor="text1"/>
          <w:sz w:val="32"/>
          <w:szCs w:val="40"/>
          <w:highlight w:val="none"/>
          <w14:textFill>
            <w14:solidFill>
              <w14:schemeClr w14:val="tx1"/>
            </w14:solidFill>
          </w14:textFill>
        </w:rPr>
      </w:sdtEndPr>
      <w:sdtContent>
        <w:p w14:paraId="2D715EC8">
          <w:pPr>
            <w:jc w:val="center"/>
            <w:rPr>
              <w:rFonts w:hint="eastAsia" w:ascii="宋体" w:hAnsi="宋体"/>
              <w:color w:val="000000" w:themeColor="text1"/>
              <w:highlight w:val="none"/>
              <w14:textFill>
                <w14:solidFill>
                  <w14:schemeClr w14:val="tx1"/>
                </w14:solidFill>
              </w14:textFill>
            </w:rPr>
          </w:pPr>
          <w:bookmarkStart w:id="3" w:name="_Toc8580"/>
          <w:bookmarkStart w:id="4" w:name="_Toc287620666"/>
          <w:bookmarkStart w:id="5" w:name="_Toc277082535"/>
          <w:bookmarkStart w:id="6" w:name="_Toc430530415"/>
          <w:bookmarkStart w:id="7" w:name="_Toc224103298"/>
          <w:bookmarkStart w:id="8" w:name="_Toc2534"/>
          <w:bookmarkStart w:id="9" w:name="_Toc509218691"/>
          <w:bookmarkStart w:id="10" w:name="_Toc287607727"/>
        </w:p>
      </w:sdtContent>
    </w:sdt>
    <w:p w14:paraId="714DE7DC">
      <w:pPr>
        <w:spacing w:line="360" w:lineRule="auto"/>
        <w:rPr>
          <w:rFonts w:hint="eastAsia" w:ascii="宋体" w:hAnsi="宋体" w:cs="宋体"/>
          <w:snapToGrid w:val="0"/>
          <w:color w:val="000000" w:themeColor="text1"/>
          <w:kern w:val="0"/>
          <w:sz w:val="15"/>
          <w:szCs w:val="15"/>
          <w:highlight w:val="none"/>
          <w14:textFill>
            <w14:solidFill>
              <w14:schemeClr w14:val="tx1"/>
            </w14:solidFill>
          </w14:textFill>
        </w:rPr>
      </w:pPr>
    </w:p>
    <w:p w14:paraId="54C4CE85">
      <w:pPr>
        <w:rPr>
          <w:rFonts w:hint="eastAsia" w:ascii="宋体" w:hAnsi="宋体" w:cs="宋体"/>
          <w:snapToGrid w:val="0"/>
          <w:color w:val="000000" w:themeColor="text1"/>
          <w:kern w:val="0"/>
          <w:sz w:val="15"/>
          <w:szCs w:val="15"/>
          <w:highlight w:val="none"/>
          <w14:textFill>
            <w14:solidFill>
              <w14:schemeClr w14:val="tx1"/>
            </w14:solidFill>
          </w14:textFill>
        </w:rPr>
      </w:pPr>
    </w:p>
    <w:p w14:paraId="1D3397DD">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5F55C111">
      <w:pPr>
        <w:rPr>
          <w:rFonts w:hint="eastAsia" w:ascii="宋体" w:hAnsi="宋体" w:cs="宋体"/>
          <w:snapToGrid w:val="0"/>
          <w:color w:val="000000" w:themeColor="text1"/>
          <w:kern w:val="0"/>
          <w:sz w:val="15"/>
          <w:szCs w:val="15"/>
          <w:highlight w:val="none"/>
          <w14:textFill>
            <w14:solidFill>
              <w14:schemeClr w14:val="tx1"/>
            </w14:solidFill>
          </w14:textFill>
        </w:rPr>
      </w:pPr>
    </w:p>
    <w:p w14:paraId="77DC8376">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61AC4159">
      <w:pPr>
        <w:rPr>
          <w:rFonts w:hint="eastAsia" w:ascii="宋体" w:hAnsi="宋体" w:cs="宋体"/>
          <w:snapToGrid w:val="0"/>
          <w:color w:val="000000" w:themeColor="text1"/>
          <w:kern w:val="0"/>
          <w:sz w:val="15"/>
          <w:szCs w:val="15"/>
          <w:highlight w:val="none"/>
          <w14:textFill>
            <w14:solidFill>
              <w14:schemeClr w14:val="tx1"/>
            </w14:solidFill>
          </w14:textFill>
        </w:rPr>
      </w:pPr>
    </w:p>
    <w:p w14:paraId="2853DA5C">
      <w:pPr>
        <w:widowControl/>
        <w:jc w:val="left"/>
        <w:rPr>
          <w:rFonts w:hint="eastAsia" w:ascii="宋体" w:hAnsi="宋体" w:cs="宋体"/>
          <w:snapToGrid w:val="0"/>
          <w:color w:val="000000" w:themeColor="text1"/>
          <w:kern w:val="0"/>
          <w:sz w:val="15"/>
          <w:szCs w:val="15"/>
          <w:highlight w:val="none"/>
          <w14:textFill>
            <w14:solidFill>
              <w14:schemeClr w14:val="tx1"/>
            </w14:solidFill>
          </w14:textFill>
        </w:rPr>
      </w:pPr>
      <w:r>
        <w:rPr>
          <w:rFonts w:ascii="宋体" w:hAnsi="宋体" w:cs="宋体"/>
          <w:b/>
          <w:bCs/>
          <w:snapToGrid w:val="0"/>
          <w:color w:val="000000" w:themeColor="text1"/>
          <w:kern w:val="0"/>
          <w:sz w:val="15"/>
          <w:szCs w:val="15"/>
          <w:highlight w:val="none"/>
          <w14:textFill>
            <w14:solidFill>
              <w14:schemeClr w14:val="tx1"/>
            </w14:solidFill>
          </w14:textFill>
        </w:rPr>
        <w:br w:type="page"/>
      </w:r>
    </w:p>
    <w:p w14:paraId="33ECCBE5">
      <w:pPr>
        <w:pStyle w:val="2"/>
        <w:spacing w:before="0" w:after="0" w:line="360" w:lineRule="auto"/>
        <w:jc w:val="cente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第一章  比选公告</w:t>
      </w:r>
      <w:bookmarkEnd w:id="3"/>
      <w:bookmarkEnd w:id="4"/>
      <w:bookmarkEnd w:id="5"/>
      <w:bookmarkEnd w:id="6"/>
      <w:bookmarkEnd w:id="7"/>
      <w:bookmarkEnd w:id="8"/>
      <w:bookmarkEnd w:id="9"/>
      <w:bookmarkEnd w:id="10"/>
    </w:p>
    <w:p w14:paraId="130B50B1">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000000" w:themeColor="text1"/>
          <w:w w:val="99"/>
          <w:kern w:val="0"/>
          <w:sz w:val="28"/>
          <w:szCs w:val="28"/>
          <w:highlight w:val="none"/>
          <w:lang w:eastAsia="zh-CN"/>
          <w14:textFill>
            <w14:solidFill>
              <w14:schemeClr w14:val="tx1"/>
            </w14:solidFill>
          </w14:textFill>
        </w:rPr>
      </w:pPr>
      <w:bookmarkStart w:id="11" w:name="_Toc31381"/>
      <w:bookmarkStart w:id="12" w:name="_Toc7072"/>
      <w:bookmarkStart w:id="13" w:name="_Toc13786"/>
      <w:bookmarkStart w:id="14" w:name="OLE_LINK2"/>
      <w:r>
        <w:rPr>
          <w:rFonts w:hint="eastAsia" w:cs="宋体" w:asciiTheme="minorEastAsia" w:hAnsiTheme="minorEastAsia" w:eastAsiaTheme="minorEastAsia"/>
          <w:b/>
          <w:snapToGrid w:val="0"/>
          <w:color w:val="000000" w:themeColor="text1"/>
          <w:w w:val="99"/>
          <w:kern w:val="0"/>
          <w:sz w:val="28"/>
          <w:szCs w:val="28"/>
          <w:highlight w:val="none"/>
          <w:lang w:eastAsia="zh-CN"/>
          <w14:textFill>
            <w14:solidFill>
              <w14:schemeClr w14:val="tx1"/>
            </w14:solidFill>
          </w14:textFill>
        </w:rPr>
        <w:t>弹广路安全隐患治理提升工程预算编制项目</w:t>
      </w:r>
    </w:p>
    <w:p w14:paraId="1E56ED2E">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pPr>
      <w: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t>竞争性比选公告</w:t>
      </w:r>
    </w:p>
    <w:p w14:paraId="07D5C126">
      <w:pPr>
        <w:spacing w:before="100" w:after="100" w:line="400" w:lineRule="exact"/>
        <w:ind w:firstLine="422" w:firstLineChars="200"/>
        <w:rPr>
          <w:rFonts w:hint="eastAsia" w:ascii="宋体" w:hAnsi="宋体" w:cs="宋体"/>
          <w:b/>
          <w:snapToGrid w:val="0"/>
          <w:color w:val="000000" w:themeColor="text1"/>
          <w:szCs w:val="21"/>
          <w:highlight w:val="none"/>
          <w14:textFill>
            <w14:solidFill>
              <w14:schemeClr w14:val="tx1"/>
            </w14:solidFill>
          </w14:textFill>
        </w:rPr>
      </w:pPr>
      <w:r>
        <w:rPr>
          <w:rFonts w:hint="eastAsia" w:ascii="宋体" w:hAnsi="宋体" w:cs="宋体"/>
          <w:b/>
          <w:snapToGrid w:val="0"/>
          <w:color w:val="000000" w:themeColor="text1"/>
          <w:szCs w:val="21"/>
          <w:highlight w:val="none"/>
          <w14:textFill>
            <w14:solidFill>
              <w14:schemeClr w14:val="tx1"/>
            </w14:solidFill>
          </w14:textFill>
        </w:rPr>
        <w:t>1、比选条件</w:t>
      </w:r>
      <w:bookmarkEnd w:id="11"/>
      <w:bookmarkEnd w:id="12"/>
      <w:bookmarkEnd w:id="13"/>
    </w:p>
    <w:p w14:paraId="2E5F9490">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bookmarkStart w:id="15" w:name="_Toc30487"/>
      <w:bookmarkStart w:id="16" w:name="_Toc17229"/>
      <w:bookmarkStart w:id="17" w:name="_Toc13219"/>
      <w:r>
        <w:rPr>
          <w:rFonts w:hint="eastAsia" w:asciiTheme="minorEastAsia" w:hAnsiTheme="minorEastAsia" w:eastAsiaTheme="minorEastAsia"/>
          <w:color w:val="000000" w:themeColor="text1"/>
          <w:szCs w:val="21"/>
          <w:highlight w:val="none"/>
          <w14:textFill>
            <w14:solidFill>
              <w14:schemeClr w14:val="tx1"/>
            </w14:solidFill>
          </w14:textFill>
        </w:rPr>
        <w:t>本比选项目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弹广路安全隐患治理提升工程</w:t>
      </w:r>
      <w:r>
        <w:rPr>
          <w:rFonts w:ascii="宋体" w:hAnsi="宋体"/>
          <w:snapToGrid w:val="0"/>
          <w:color w:val="000000" w:themeColor="text1"/>
          <w:kern w:val="0"/>
          <w:szCs w:val="21"/>
          <w:highlight w:val="none"/>
          <w14:textFill>
            <w14:solidFill>
              <w14:schemeClr w14:val="tx1"/>
            </w14:solidFill>
          </w14:textFill>
        </w:rPr>
        <w:t>已由</w:t>
      </w:r>
      <w:r>
        <w:rPr>
          <w:rFonts w:hint="eastAsia" w:ascii="宋体" w:hAnsi="宋体"/>
          <w:snapToGrid w:val="0"/>
          <w:color w:val="000000" w:themeColor="text1"/>
          <w:kern w:val="0"/>
          <w:szCs w:val="21"/>
          <w:highlight w:val="none"/>
          <w:u w:val="single"/>
          <w14:textFill>
            <w14:solidFill>
              <w14:schemeClr w14:val="tx1"/>
            </w14:solidFill>
          </w14:textFill>
        </w:rPr>
        <w:t>重庆市南岸区发展和改革委员会</w:t>
      </w:r>
      <w:r>
        <w:rPr>
          <w:rFonts w:ascii="宋体" w:hAnsi="宋体"/>
          <w:snapToGrid w:val="0"/>
          <w:color w:val="000000" w:themeColor="text1"/>
          <w:kern w:val="0"/>
          <w:szCs w:val="21"/>
          <w:highlight w:val="none"/>
          <w14:textFill>
            <w14:solidFill>
              <w14:schemeClr w14:val="tx1"/>
            </w14:solidFill>
          </w14:textFill>
        </w:rPr>
        <w:t>以</w:t>
      </w:r>
      <w:r>
        <w:rPr>
          <w:rFonts w:hint="eastAsia" w:ascii="宋体" w:hAnsi="宋体"/>
          <w:snapToGrid w:val="0"/>
          <w:color w:val="000000" w:themeColor="text1"/>
          <w:kern w:val="0"/>
          <w:szCs w:val="21"/>
          <w:highlight w:val="none"/>
          <w:u w:val="single"/>
          <w14:textFill>
            <w14:solidFill>
              <w14:schemeClr w14:val="tx1"/>
            </w14:solidFill>
          </w14:textFill>
        </w:rPr>
        <w:t>2504-500108-04-01-434941</w:t>
      </w:r>
      <w:r>
        <w:rPr>
          <w:rFonts w:ascii="宋体" w:hAnsi="宋体"/>
          <w:snapToGrid w:val="0"/>
          <w:color w:val="000000" w:themeColor="text1"/>
          <w:kern w:val="0"/>
          <w:szCs w:val="21"/>
          <w:highlight w:val="none"/>
          <w14:textFill>
            <w14:solidFill>
              <w14:schemeClr w14:val="tx1"/>
            </w14:solidFill>
          </w14:textFill>
        </w:rPr>
        <w:t>批准建设，</w:t>
      </w:r>
      <w:r>
        <w:rPr>
          <w:rFonts w:hint="eastAsia" w:asciiTheme="minorEastAsia" w:hAnsiTheme="minorEastAsia" w:eastAsiaTheme="minorEastAsia"/>
          <w:color w:val="000000" w:themeColor="text1"/>
          <w:szCs w:val="21"/>
          <w:highlight w:val="none"/>
          <w14:textFill>
            <w14:solidFill>
              <w14:schemeClr w14:val="tx1"/>
            </w14:solidFill>
          </w14:textFill>
        </w:rPr>
        <w:t>项目业主为</w:t>
      </w:r>
      <w:r>
        <w:rPr>
          <w:rFonts w:hint="eastAsia" w:ascii="宋体" w:hAnsi="宋体"/>
          <w:snapToGrid w:val="0"/>
          <w:color w:val="000000" w:themeColor="text1"/>
          <w:kern w:val="0"/>
          <w:szCs w:val="21"/>
          <w:highlight w:val="none"/>
          <w:u w:val="single"/>
          <w14:textFill>
            <w14:solidFill>
              <w14:schemeClr w14:val="tx1"/>
            </w14:solidFill>
          </w14:textFill>
        </w:rPr>
        <w:t>重庆市南岸区城市建设发展（集团）有限公司</w:t>
      </w:r>
      <w:r>
        <w:rPr>
          <w:rFonts w:hint="eastAsia" w:asciiTheme="minorEastAsia" w:hAnsiTheme="minorEastAsia" w:eastAsiaTheme="minorEastAsia"/>
          <w:color w:val="000000" w:themeColor="text1"/>
          <w:szCs w:val="21"/>
          <w:highlight w:val="none"/>
          <w14:textFill>
            <w14:solidFill>
              <w14:schemeClr w14:val="tx1"/>
            </w14:solidFill>
          </w14:textFill>
        </w:rPr>
        <w:t>，建设资金来自</w:t>
      </w:r>
      <w:r>
        <w:rPr>
          <w:rFonts w:hint="eastAsia" w:ascii="宋体" w:hAnsi="宋体" w:eastAsiaTheme="minorEastAsia"/>
          <w:snapToGrid w:val="0"/>
          <w:color w:val="000000" w:themeColor="text1"/>
          <w:kern w:val="0"/>
          <w:szCs w:val="21"/>
          <w:highlight w:val="none"/>
          <w:u w:val="single"/>
          <w:lang w:val="en-US" w:eastAsia="zh-CN"/>
          <w14:textFill>
            <w14:solidFill>
              <w14:schemeClr w14:val="tx1"/>
            </w14:solidFill>
          </w14:textFill>
        </w:rPr>
        <w:t>国有资金</w:t>
      </w:r>
      <w:r>
        <w:rPr>
          <w:rFonts w:hint="eastAsia" w:asciiTheme="minorEastAsia" w:hAnsiTheme="minorEastAsia" w:eastAsiaTheme="minorEastAsia"/>
          <w:color w:val="000000" w:themeColor="text1"/>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100%</w:t>
      </w:r>
      <w:r>
        <w:rPr>
          <w:rFonts w:hint="eastAsia" w:asciiTheme="minorEastAsia" w:hAnsiTheme="minorEastAsia" w:eastAsiaTheme="minorEastAsia"/>
          <w:color w:val="000000" w:themeColor="text1"/>
          <w:szCs w:val="21"/>
          <w:highlight w:val="none"/>
          <w14:textFill>
            <w14:solidFill>
              <w14:schemeClr w14:val="tx1"/>
            </w14:solidFill>
          </w14:textFill>
        </w:rPr>
        <w:t>，招标人为</w:t>
      </w:r>
      <w:r>
        <w:rPr>
          <w:rFonts w:hint="eastAsia" w:ascii="宋体" w:hAnsi="宋体"/>
          <w:snapToGrid w:val="0"/>
          <w:color w:val="000000" w:themeColor="text1"/>
          <w:kern w:val="0"/>
          <w:szCs w:val="21"/>
          <w:highlight w:val="none"/>
          <w:u w:val="single"/>
          <w14:textFill>
            <w14:solidFill>
              <w14:schemeClr w14:val="tx1"/>
            </w14:solidFill>
          </w14:textFill>
        </w:rPr>
        <w:t>重庆市南岸区城市建设发展（集团）有限公司</w:t>
      </w:r>
      <w:r>
        <w:rPr>
          <w:rFonts w:hint="eastAsia" w:asciiTheme="minorEastAsia" w:hAnsiTheme="minorEastAsia" w:eastAsiaTheme="minorEastAsia"/>
          <w:color w:val="000000" w:themeColor="text1"/>
          <w:szCs w:val="21"/>
          <w:highlight w:val="none"/>
          <w14:textFill>
            <w14:solidFill>
              <w14:schemeClr w14:val="tx1"/>
            </w14:solidFill>
          </w14:textFill>
        </w:rPr>
        <w:t>。项目已具备招标条件，现对该项目的</w:t>
      </w:r>
      <w:r>
        <w:rPr>
          <w:rFonts w:hint="eastAsia" w:asciiTheme="minorEastAsia" w:hAnsiTheme="minorEastAsia" w:eastAsiaTheme="minorEastAsia"/>
          <w:bCs/>
          <w:color w:val="000000" w:themeColor="text1"/>
          <w:szCs w:val="21"/>
          <w:highlight w:val="none"/>
          <w:u w:val="single"/>
          <w:lang w:eastAsia="zh-CN"/>
          <w14:textFill>
            <w14:solidFill>
              <w14:schemeClr w14:val="tx1"/>
            </w14:solidFill>
          </w14:textFill>
        </w:rPr>
        <w:t>预算编制</w:t>
      </w:r>
      <w:r>
        <w:rPr>
          <w:rFonts w:hint="eastAsia" w:asciiTheme="minorEastAsia" w:hAnsiTheme="minorEastAsia" w:eastAsiaTheme="minorEastAsia"/>
          <w:color w:val="000000" w:themeColor="text1"/>
          <w:szCs w:val="21"/>
          <w:highlight w:val="none"/>
          <w14:textFill>
            <w14:solidFill>
              <w14:schemeClr w14:val="tx1"/>
            </w14:solidFill>
          </w14:textFill>
        </w:rPr>
        <w:t>进行公开比选。</w:t>
      </w:r>
    </w:p>
    <w:p w14:paraId="23D33646">
      <w:pPr>
        <w:spacing w:before="100" w:after="100" w:line="400" w:lineRule="exact"/>
        <w:ind w:firstLine="422" w:firstLineChars="200"/>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2、项目概况与比选范围</w:t>
      </w:r>
    </w:p>
    <w:p w14:paraId="78D5ECB9">
      <w:pPr>
        <w:spacing w:line="460" w:lineRule="exact"/>
        <w:ind w:firstLine="420" w:firstLineChars="200"/>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w:t>
      </w:r>
      <w:r>
        <w:rPr>
          <w:rFonts w:ascii="宋体" w:hAnsi="宋体"/>
          <w:color w:val="000000" w:themeColor="text1"/>
          <w:highlight w:val="none"/>
          <w14:textFill>
            <w14:solidFill>
              <w14:schemeClr w14:val="tx1"/>
            </w14:solidFill>
          </w14:textFill>
        </w:rPr>
        <w:t>建设地点：</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重庆市南岸区</w:t>
      </w:r>
      <w:r>
        <w:rPr>
          <w:rFonts w:hint="eastAsia" w:ascii="宋体" w:hAnsi="宋体"/>
          <w:snapToGrid w:val="0"/>
          <w:color w:val="000000" w:themeColor="text1"/>
          <w:kern w:val="0"/>
          <w:szCs w:val="21"/>
          <w:highlight w:val="none"/>
          <w:u w:val="single"/>
          <w14:textFill>
            <w14:solidFill>
              <w14:schemeClr w14:val="tx1"/>
            </w14:solidFill>
          </w14:textFill>
        </w:rPr>
        <w:t>；</w:t>
      </w:r>
    </w:p>
    <w:p w14:paraId="41E7787B">
      <w:pPr>
        <w:spacing w:line="460" w:lineRule="exact"/>
        <w:ind w:firstLine="420" w:firstLineChars="200"/>
        <w:rPr>
          <w:color w:val="000000" w:themeColor="text1"/>
          <w:szCs w:val="2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14:textFill>
            <w14:solidFill>
              <w14:schemeClr w14:val="tx1"/>
            </w14:solidFill>
          </w14:textFill>
        </w:rPr>
        <w:t>项目对沿江通道弹广路集疏运道路进行低等级路段提质改造，改造全长约11km，对道路线型进行优化等，具体建设规模根据实际情况确定。</w:t>
      </w:r>
    </w:p>
    <w:p w14:paraId="6805E983">
      <w:pPr>
        <w:spacing w:line="460" w:lineRule="exact"/>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2.3建安工程费与合同估算金额：</w:t>
      </w:r>
    </w:p>
    <w:p w14:paraId="45DC36D5">
      <w:pPr>
        <w:spacing w:line="4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（1）本建设项目建安工程费为暂定为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22000</w:t>
      </w:r>
      <w:r>
        <w:rPr>
          <w:rFonts w:hint="eastAsia" w:ascii="宋体" w:hAnsi="宋体"/>
          <w:snapToGrid w:val="0"/>
          <w:color w:val="000000" w:themeColor="text1"/>
          <w:kern w:val="0"/>
          <w:szCs w:val="21"/>
          <w:highlight w:val="none"/>
          <w:u w:val="single"/>
          <w14:textFill>
            <w14:solidFill>
              <w14:schemeClr w14:val="tx1"/>
            </w14:solidFill>
          </w14:textFill>
        </w:rPr>
        <w:t>万元</w:t>
      </w:r>
      <w:r>
        <w:rPr>
          <w:rFonts w:hint="eastAsia" w:ascii="宋体" w:hAnsi="宋体"/>
          <w:color w:val="000000" w:themeColor="text1"/>
          <w:highlight w:val="none"/>
          <w14:textFill>
            <w14:solidFill>
              <w14:schemeClr w14:val="tx1"/>
            </w14:solidFill>
          </w14:textFill>
        </w:rPr>
        <w:t>；</w:t>
      </w:r>
    </w:p>
    <w:p w14:paraId="06CD8434">
      <w:pPr>
        <w:spacing w:line="4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（2）合同估算金额：</w:t>
      </w:r>
      <w:r>
        <w:rPr>
          <w:rFonts w:hint="eastAsia" w:ascii="宋体" w:hAnsi="宋体" w:cs="宋体"/>
          <w:color w:val="000000" w:themeColor="text1"/>
          <w:szCs w:val="21"/>
          <w:highlight w:val="none"/>
          <w:u w:val="single"/>
          <w:lang w:val="en-US" w:eastAsia="zh-CN"/>
          <w14:textFill>
            <w14:solidFill>
              <w14:schemeClr w14:val="tx1"/>
            </w14:solidFill>
          </w14:textFill>
        </w:rPr>
        <w:t>预算编制费固定费率最高限价为暂估工程费的0.166%，暂定服务费最高限价为365750.00元。</w:t>
      </w:r>
    </w:p>
    <w:bookmarkEnd w:id="15"/>
    <w:bookmarkEnd w:id="16"/>
    <w:bookmarkEnd w:id="17"/>
    <w:p w14:paraId="57EAE68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bookmarkStart w:id="18" w:name="_Toc6792"/>
      <w:bookmarkStart w:id="19" w:name="_Toc4964"/>
      <w:bookmarkStart w:id="20" w:name="_Toc3686"/>
      <w:r>
        <w:rPr>
          <w:rFonts w:hint="eastAsia" w:ascii="宋体" w:hAnsi="宋体"/>
          <w:snapToGrid w:val="0"/>
          <w:color w:val="000000" w:themeColor="text1"/>
          <w:kern w:val="0"/>
          <w:szCs w:val="21"/>
          <w:highlight w:val="none"/>
          <w14:textFill>
            <w14:solidFill>
              <w14:schemeClr w14:val="tx1"/>
            </w14:solidFill>
          </w14:textFill>
        </w:rPr>
        <w:t>2.4比选范围：</w:t>
      </w:r>
      <w:r>
        <w:rPr>
          <w:rFonts w:hint="eastAsia" w:ascii="宋体" w:hAnsi="宋体"/>
          <w:color w:val="000000" w:themeColor="text1"/>
          <w:szCs w:val="21"/>
          <w:highlight w:val="none"/>
          <w:u w:val="single"/>
          <w14:textFill>
            <w14:solidFill>
              <w14:schemeClr w14:val="tx1"/>
            </w14:solidFill>
          </w14:textFill>
        </w:rPr>
        <w:t>对本工程提供</w:t>
      </w:r>
      <w:r>
        <w:rPr>
          <w:rFonts w:hint="eastAsia" w:ascii="宋体" w:hAnsi="宋体" w:cs="宋体"/>
          <w:color w:val="000000" w:themeColor="text1"/>
          <w:szCs w:val="21"/>
          <w:highlight w:val="none"/>
          <w:u w:val="single"/>
          <w:lang w:val="en-US" w:eastAsia="zh-CN"/>
          <w14:textFill>
            <w14:solidFill>
              <w14:schemeClr w14:val="tx1"/>
            </w14:solidFill>
          </w14:textFill>
        </w:rPr>
        <w:t>预算编制</w:t>
      </w:r>
      <w:r>
        <w:rPr>
          <w:rFonts w:hint="eastAsia" w:ascii="宋体" w:hAnsi="宋体"/>
          <w:color w:val="000000" w:themeColor="text1"/>
          <w:szCs w:val="21"/>
          <w:highlight w:val="none"/>
          <w:u w:val="single"/>
          <w14:textFill>
            <w14:solidFill>
              <w14:schemeClr w14:val="tx1"/>
            </w14:solidFill>
          </w14:textFill>
        </w:rPr>
        <w:t>，包含但不限于：工程量清单及组价编制；建筑安装材料设备认价、施工方案的经济评价（如有时）;配合招标采购；优化设计方案和二次设计后</w:t>
      </w:r>
      <w:r>
        <w:rPr>
          <w:rFonts w:hint="eastAsia" w:ascii="宋体" w:hAnsi="宋体"/>
          <w:color w:val="000000" w:themeColor="text1"/>
          <w:szCs w:val="21"/>
          <w:highlight w:val="none"/>
          <w:u w:val="single"/>
          <w:lang w:eastAsia="zh-CN"/>
          <w14:textFill>
            <w14:solidFill>
              <w14:schemeClr w14:val="tx1"/>
            </w14:solidFill>
          </w14:textFill>
        </w:rPr>
        <w:t>预算编制</w:t>
      </w:r>
      <w:r>
        <w:rPr>
          <w:rFonts w:hint="eastAsia" w:ascii="宋体" w:hAnsi="宋体"/>
          <w:color w:val="000000" w:themeColor="text1"/>
          <w:szCs w:val="21"/>
          <w:highlight w:val="none"/>
          <w:u w:val="single"/>
          <w14:textFill>
            <w14:solidFill>
              <w14:schemeClr w14:val="tx1"/>
            </w14:solidFill>
          </w14:textFill>
        </w:rPr>
        <w:t>；设计图纸的优化建议。接受造价方面的口头咨询和委托人要求咨询的其它事项，详见合同约定。</w:t>
      </w:r>
    </w:p>
    <w:p w14:paraId="699B7A60">
      <w:pPr>
        <w:tabs>
          <w:tab w:val="left" w:pos="3840"/>
          <w:tab w:val="left" w:pos="5300"/>
        </w:tabs>
        <w:autoSpaceDE w:val="0"/>
        <w:autoSpaceDN w:val="0"/>
        <w:adjustRightInd w:val="0"/>
        <w:snapToGrid w:val="0"/>
        <w:spacing w:line="50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2.5服务期：</w:t>
      </w:r>
      <w:r>
        <w:rPr>
          <w:rFonts w:hint="eastAsia" w:ascii="宋体" w:hAnsi="宋体"/>
          <w:color w:val="000000" w:themeColor="text1"/>
          <w:szCs w:val="21"/>
          <w:highlight w:val="none"/>
          <w:u w:val="single"/>
          <w14:textFill>
            <w14:solidFill>
              <w14:schemeClr w14:val="tx1"/>
            </w14:solidFill>
          </w14:textFill>
        </w:rPr>
        <w:t>本项目服务周期自合同签订之日开始至工程竣工验收及结算审计完成</w:t>
      </w:r>
      <w:r>
        <w:rPr>
          <w:rFonts w:hint="eastAsia" w:ascii="宋体" w:hAnsi="宋体"/>
          <w:snapToGrid w:val="0"/>
          <w:color w:val="000000" w:themeColor="text1"/>
          <w:kern w:val="0"/>
          <w:szCs w:val="21"/>
          <w:highlight w:val="none"/>
          <w14:textFill>
            <w14:solidFill>
              <w14:schemeClr w14:val="tx1"/>
            </w14:solidFill>
          </w14:textFill>
        </w:rPr>
        <w:t>。</w:t>
      </w:r>
    </w:p>
    <w:p w14:paraId="3C0356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2.6 特别说明：</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招标范围、实施内容及招标金额均为初步估算，最终以比选人在项目实施中确认的实施范围和内容为准。本工程项目如遇政策调整或比选人根据项目进展需要及实际情况等因素，比选人有权减少或调整工程实施范围及工程量等，最终实施范围及工程量，以工程实施中比选人确认的工程实施范围及工程量为准，比选人与中标人按照合同约定的计量计价原则进行支付和结算，中标人对此不持异议且不得提出任何费用索赔。竞标人将该因素综合考虑在投标报价中。</w:t>
      </w:r>
    </w:p>
    <w:p w14:paraId="0CB295D6">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b/>
          <w:bCs/>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3、竞选人资格要求</w:t>
      </w:r>
      <w:bookmarkEnd w:id="18"/>
      <w:bookmarkEnd w:id="19"/>
      <w:bookmarkEnd w:id="20"/>
    </w:p>
    <w:p w14:paraId="3A2AE7DE">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bookmarkStart w:id="21" w:name="_Toc26534"/>
      <w:bookmarkStart w:id="22" w:name="_Toc22348"/>
      <w:bookmarkStart w:id="23" w:name="_Toc29881"/>
      <w:r>
        <w:rPr>
          <w:rFonts w:hint="eastAsia" w:ascii="宋体" w:hAnsi="宋体" w:cs="宋体"/>
          <w:color w:val="000000" w:themeColor="text1"/>
          <w:szCs w:val="21"/>
          <w:highlight w:val="none"/>
          <w14:textFill>
            <w14:solidFill>
              <w14:schemeClr w14:val="tx1"/>
            </w14:solidFill>
          </w14:textFill>
        </w:rPr>
        <w:t>3.1 本次招标要求竞选人须具备以下条件：</w:t>
      </w:r>
    </w:p>
    <w:p w14:paraId="1B0E012C">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 本次比选要求竞选人具备有效的营业执照；</w:t>
      </w:r>
    </w:p>
    <w:p w14:paraId="25965F28">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r>
        <w:rPr>
          <w:rFonts w:hint="eastAsia" w:ascii="宋体" w:hAnsi="宋体" w:cs="宋体"/>
          <w:color w:val="000000" w:themeColor="text1"/>
          <w:szCs w:val="21"/>
          <w:highlight w:val="none"/>
          <w:lang w:val="en-US" w:eastAsia="zh-CN"/>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竞选人还应在人员、业绩、设备、资金等方面具有相应的能力，详见比选文件第二章竞选人须知前附表第1.4.1项内容。</w:t>
      </w:r>
    </w:p>
    <w:p w14:paraId="14CD4C8A">
      <w:pPr>
        <w:tabs>
          <w:tab w:val="left" w:pos="3045"/>
          <w:tab w:val="left" w:pos="8310"/>
        </w:tabs>
        <w:autoSpaceDE w:val="0"/>
        <w:autoSpaceDN w:val="0"/>
        <w:adjustRightInd w:val="0"/>
        <w:snapToGrid w:val="0"/>
        <w:spacing w:line="42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  本次比选不接受联合体竞选。</w:t>
      </w:r>
    </w:p>
    <w:p w14:paraId="22FE0DCC">
      <w:pPr>
        <w:pStyle w:val="25"/>
        <w:widowControl/>
        <w:snapToGrid w:val="0"/>
        <w:spacing w:beforeAutospacing="0" w:afterAutospacing="0" w:line="420" w:lineRule="exact"/>
        <w:ind w:firstLine="442" w:firstLineChars="200"/>
        <w:rPr>
          <w:rFonts w:hint="eastAsia" w:ascii="宋体" w:hAnsi="宋体" w:cs="宋体"/>
          <w:snapToGrid w:val="0"/>
          <w:color w:val="000000" w:themeColor="text1"/>
          <w:sz w:val="22"/>
          <w:szCs w:val="22"/>
          <w:highlight w:val="none"/>
          <w14:textFill>
            <w14:solidFill>
              <w14:schemeClr w14:val="tx1"/>
            </w14:solidFill>
          </w14:textFill>
        </w:rPr>
      </w:pPr>
      <w:r>
        <w:rPr>
          <w:rFonts w:hint="eastAsia" w:ascii="宋体" w:hAnsi="宋体" w:cs="宋体"/>
          <w:b/>
          <w:bCs/>
          <w:snapToGrid w:val="0"/>
          <w:color w:val="000000" w:themeColor="text1"/>
          <w:sz w:val="22"/>
          <w:szCs w:val="22"/>
          <w:highlight w:val="none"/>
          <w14:textFill>
            <w14:solidFill>
              <w14:schemeClr w14:val="tx1"/>
            </w14:solidFill>
          </w14:textFill>
        </w:rPr>
        <w:t>4、比选文件的获取</w:t>
      </w:r>
    </w:p>
    <w:p w14:paraId="7A430E57">
      <w:pPr>
        <w:tabs>
          <w:tab w:val="left" w:pos="3315"/>
          <w:tab w:val="left" w:pos="3390"/>
          <w:tab w:val="left" w:pos="6120"/>
          <w:tab w:val="left" w:pos="8850"/>
        </w:tabs>
        <w:autoSpaceDE w:val="0"/>
        <w:autoSpaceDN w:val="0"/>
        <w:adjustRightInd w:val="0"/>
        <w:snapToGrid w:val="0"/>
        <w:spacing w:line="460" w:lineRule="exact"/>
        <w:ind w:firstLine="420"/>
        <w:jc w:val="both"/>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应通</w:t>
      </w:r>
      <w:r>
        <w:rPr>
          <w:rFonts w:hint="eastAsia" w:ascii="宋体" w:hAnsi="宋体"/>
          <w:snapToGrid w:val="0"/>
          <w:color w:val="000000" w:themeColor="text1"/>
          <w:kern w:val="0"/>
          <w:szCs w:val="21"/>
          <w:highlight w:val="none"/>
          <w:lang w:eastAsia="zh-CN"/>
          <w14:textFill>
            <w14:solidFill>
              <w14:schemeClr w14:val="tx1"/>
            </w14:solidFill>
          </w14:textFill>
        </w:rPr>
        <w:t>过行采家网（htt</w:t>
      </w:r>
      <w:bookmarkStart w:id="803" w:name="_GoBack"/>
      <w:bookmarkEnd w:id="803"/>
      <w:r>
        <w:rPr>
          <w:rFonts w:hint="eastAsia" w:ascii="宋体" w:hAnsi="宋体"/>
          <w:snapToGrid w:val="0"/>
          <w:color w:val="000000" w:themeColor="text1"/>
          <w:kern w:val="0"/>
          <w:szCs w:val="21"/>
          <w:highlight w:val="none"/>
          <w:lang w:eastAsia="zh-CN"/>
          <w14:textFill>
            <w14:solidFill>
              <w14:schemeClr w14:val="tx1"/>
            </w14:solidFill>
          </w14:textFill>
        </w:rPr>
        <w:t>p://www.gec123.com）及中国招标投标公共服务平台（http://www.cebpubservice.com/）进行注册。</w:t>
      </w:r>
    </w:p>
    <w:p w14:paraId="798A0E0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4.2凡有意参加比选的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，请于</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10</w:t>
      </w:r>
      <w:r>
        <w:rPr>
          <w:rFonts w:hint="eastAsia" w:ascii="宋体" w:hAnsi="宋体"/>
          <w:snapToGrid w:val="0"/>
          <w:color w:val="000000" w:themeColor="text1"/>
          <w:kern w:val="0"/>
          <w:szCs w:val="21"/>
          <w:highlight w:val="none"/>
          <w14:textFill>
            <w14:solidFill>
              <w14:schemeClr w14:val="tx1"/>
            </w14:solidFill>
          </w14:textFill>
        </w:rPr>
        <w:t>日（9:00-17:00）内完成报名，未在规定时间内完成报名不得参与竞标。报名方式为：</w:t>
      </w:r>
    </w:p>
    <w:p w14:paraId="4049D8A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4.2.1比选文件售价：</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00元/标段（售后不退）</w:t>
      </w:r>
    </w:p>
    <w:p w14:paraId="6C0A112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4.2.2潜在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将《比选文件发售登记表》（加盖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公章）及标书费转账凭证扫描后发送至hulin@cqchinabase.com。</w:t>
      </w:r>
    </w:p>
    <w:p w14:paraId="5940063D">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4.2.3收款账户：</w:t>
      </w:r>
    </w:p>
    <w:p w14:paraId="083C37B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户  名：重庆市中基致信招标代理有限公司</w:t>
      </w:r>
    </w:p>
    <w:p w14:paraId="09313980">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开户行：中国银行重庆江北支行</w:t>
      </w:r>
    </w:p>
    <w:p w14:paraId="40779FD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号：1144 6718 4234</w:t>
      </w:r>
    </w:p>
    <w:p w14:paraId="483AF7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请在行采家网及中国招标投标公共服务平台上下载本项目竞争性比选文件以及补遗等开标前公布的所有项目资料，无论</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下载与否，均视为已知晓所有比选内容。</w:t>
      </w:r>
    </w:p>
    <w:p w14:paraId="72E392DF">
      <w:pPr>
        <w:pStyle w:val="25"/>
        <w:widowControl/>
        <w:snapToGrid w:val="0"/>
        <w:spacing w:beforeAutospacing="0" w:afterAutospacing="0" w:line="420" w:lineRule="exact"/>
        <w:ind w:firstLine="442" w:firstLineChars="200"/>
        <w:jc w:val="both"/>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5、竞选文件的递交</w:t>
      </w:r>
    </w:p>
    <w:p w14:paraId="33B176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5.1递交竞选文件的时间为:</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val="en-US" w:eastAsia="zh-CN"/>
          <w14:textFill>
            <w14:solidFill>
              <w14:schemeClr w14:val="tx1"/>
            </w14:solidFill>
          </w14:textFill>
        </w:rPr>
        <w:t>14</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00</w:t>
      </w:r>
      <w:r>
        <w:rPr>
          <w:rFonts w:hint="eastAsia" w:ascii="宋体" w:hAnsi="宋体"/>
          <w:snapToGrid w:val="0"/>
          <w:color w:val="000000" w:themeColor="text1"/>
          <w:kern w:val="0"/>
          <w:szCs w:val="21"/>
          <w:highlight w:val="none"/>
          <w14:textFill>
            <w14:solidFill>
              <w14:schemeClr w14:val="tx1"/>
            </w14:solidFill>
          </w14:textFill>
        </w:rPr>
        <w:t>分至</w:t>
      </w:r>
      <w:r>
        <w:rPr>
          <w:rFonts w:hint="eastAsia" w:ascii="宋体" w:hAnsi="宋体"/>
          <w:snapToGrid w:val="0"/>
          <w:color w:val="000000" w:themeColor="text1"/>
          <w:kern w:val="0"/>
          <w:szCs w:val="21"/>
          <w:highlight w:val="none"/>
          <w:lang w:val="en-US" w:eastAsia="zh-CN"/>
          <w14:textFill>
            <w14:solidFill>
              <w14:schemeClr w14:val="tx1"/>
            </w14:solidFill>
          </w14:textFill>
        </w:rPr>
        <w:t>14</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0分（北京时间），比选时间：</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日1</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0分，地点为:重庆市南岸区广福大道南岸行政中心B区3号楼2</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层</w:t>
      </w:r>
      <w:r>
        <w:rPr>
          <w:rFonts w:hint="eastAsia" w:ascii="宋体" w:hAnsi="宋体"/>
          <w:snapToGrid w:val="0"/>
          <w:color w:val="000000" w:themeColor="text1"/>
          <w:kern w:val="0"/>
          <w:szCs w:val="21"/>
          <w:highlight w:val="none"/>
          <w:lang w:eastAsia="zh-CN"/>
          <w14:textFill>
            <w14:solidFill>
              <w14:schemeClr w14:val="tx1"/>
            </w14:solidFill>
          </w14:textFill>
        </w:rPr>
        <w:t>2012</w:t>
      </w:r>
      <w:r>
        <w:rPr>
          <w:rFonts w:hint="eastAsia" w:ascii="宋体" w:hAnsi="宋体"/>
          <w:snapToGrid w:val="0"/>
          <w:color w:val="000000" w:themeColor="text1"/>
          <w:kern w:val="0"/>
          <w:szCs w:val="21"/>
          <w:highlight w:val="none"/>
          <w14:textFill>
            <w14:solidFill>
              <w14:schemeClr w14:val="tx1"/>
            </w14:solidFill>
          </w14:textFill>
        </w:rPr>
        <w:t>室。</w:t>
      </w:r>
    </w:p>
    <w:p w14:paraId="560129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5.2 逾期送达的或者未送达指定地点的竞选文件，比选人不予受理。</w:t>
      </w:r>
    </w:p>
    <w:p w14:paraId="270E4E1D">
      <w:pPr>
        <w:pStyle w:val="25"/>
        <w:widowControl/>
        <w:snapToGrid w:val="0"/>
        <w:spacing w:beforeAutospacing="0" w:afterAutospacing="0" w:line="420" w:lineRule="exact"/>
        <w:ind w:firstLine="442" w:firstLineChars="200"/>
        <w:jc w:val="both"/>
        <w:rPr>
          <w:rFonts w:hint="eastAsia" w:ascii="宋体" w:hAnsi="宋体" w:cs="宋体"/>
          <w:b/>
          <w:snapToGrid w:val="0"/>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6、发布公告的媒介</w:t>
      </w:r>
    </w:p>
    <w:p w14:paraId="24485C4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本次比选公告同时在“行采家”网（http://www.gec123.com）及中国招标投标公共服务平台（http://www.cebpubservice.com/）上发布。</w:t>
      </w:r>
    </w:p>
    <w:p w14:paraId="68920850">
      <w:pPr>
        <w:pStyle w:val="25"/>
        <w:widowControl/>
        <w:snapToGrid w:val="0"/>
        <w:spacing w:beforeAutospacing="0" w:afterAutospacing="0" w:line="420" w:lineRule="exact"/>
        <w:ind w:firstLine="442" w:firstLineChars="200"/>
        <w:jc w:val="both"/>
        <w:rPr>
          <w:rFonts w:hint="eastAsia" w:ascii="宋体" w:hAnsi="宋体"/>
          <w:color w:val="000000" w:themeColor="text1"/>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7、联系方式</w:t>
      </w:r>
    </w:p>
    <w:bookmarkEnd w:id="14"/>
    <w:bookmarkEnd w:id="21"/>
    <w:bookmarkEnd w:id="22"/>
    <w:bookmarkEnd w:id="23"/>
    <w:p w14:paraId="0E16D7B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bookmarkStart w:id="24" w:name="_Toc30449"/>
      <w:bookmarkStart w:id="25" w:name="_Toc1178"/>
      <w:bookmarkStart w:id="26" w:name="_Toc287620683"/>
      <w:bookmarkStart w:id="27" w:name="_Toc287607744"/>
      <w:bookmarkStart w:id="28" w:name="_Toc224103315"/>
      <w:bookmarkStart w:id="29" w:name="_Toc430530432"/>
      <w:r>
        <w:rPr>
          <w:rFonts w:hint="eastAsia" w:ascii="宋体" w:hAnsi="宋体" w:cs="宋体"/>
          <w:snapToGrid w:val="0"/>
          <w:color w:val="000000" w:themeColor="text1"/>
          <w:sz w:val="21"/>
          <w:szCs w:val="21"/>
          <w:highlight w:val="none"/>
          <w14:textFill>
            <w14:solidFill>
              <w14:schemeClr w14:val="tx1"/>
            </w14:solidFill>
          </w14:textFill>
        </w:rPr>
        <w:t>比选人：重庆市南岸区城市建设发展（集团）有限公司</w:t>
      </w:r>
    </w:p>
    <w:p w14:paraId="1D5E4E11">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联系人：李老师</w:t>
      </w:r>
    </w:p>
    <w:p w14:paraId="45E599B3">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话：023-</w:t>
      </w:r>
      <w:r>
        <w:rPr>
          <w:rFonts w:ascii="宋体" w:hAnsi="宋体" w:cs="宋体"/>
          <w:snapToGrid w:val="0"/>
          <w:color w:val="000000" w:themeColor="text1"/>
          <w:sz w:val="21"/>
          <w:szCs w:val="21"/>
          <w:highlight w:val="none"/>
          <w14:textFill>
            <w14:solidFill>
              <w14:schemeClr w14:val="tx1"/>
            </w14:solidFill>
          </w14:textFill>
        </w:rPr>
        <w:t>62905607</w:t>
      </w:r>
    </w:p>
    <w:p w14:paraId="1446325C">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地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址：重庆市南岸区广福大道南岸行政中心B区3号楼</w:t>
      </w:r>
    </w:p>
    <w:p w14:paraId="6406AE1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比选代理机构：重庆市中基致信招标代理有限公司</w:t>
      </w:r>
    </w:p>
    <w:p w14:paraId="6F518ACF">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联系人：游建伟、胡琳</w:t>
      </w:r>
    </w:p>
    <w:p w14:paraId="26471AF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  话：023-88758847、88758852</w:t>
      </w:r>
    </w:p>
    <w:p w14:paraId="10E241A3">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传  真：023-88505947</w:t>
      </w:r>
    </w:p>
    <w:p w14:paraId="52FCBDC4">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地  址：重庆市渝北区财富大道2号财富大厦A座9楼</w:t>
      </w:r>
      <w:r>
        <w:rPr>
          <w:rFonts w:ascii="宋体" w:hAnsi="宋体" w:cs="宋体"/>
          <w:snapToGrid w:val="0"/>
          <w:color w:val="000000" w:themeColor="text1"/>
          <w:sz w:val="21"/>
          <w:szCs w:val="21"/>
          <w:highlight w:val="none"/>
          <w14:textFill>
            <w14:solidFill>
              <w14:schemeClr w14:val="tx1"/>
            </w14:solidFill>
          </w14:textFill>
        </w:rPr>
        <w:t xml:space="preserve"> </w:t>
      </w:r>
    </w:p>
    <w:p w14:paraId="07999C74">
      <w:pPr>
        <w:tabs>
          <w:tab w:val="left" w:pos="5140"/>
          <w:tab w:val="left" w:pos="8420"/>
        </w:tabs>
        <w:autoSpaceDE w:val="0"/>
        <w:autoSpaceDN w:val="0"/>
        <w:adjustRightInd w:val="0"/>
        <w:snapToGrid w:val="0"/>
        <w:spacing w:line="420" w:lineRule="exact"/>
        <w:ind w:firstLine="420" w:firstLineChars="200"/>
        <w:jc w:val="right"/>
        <w:rPr>
          <w:rFonts w:hint="eastAsia"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br w:type="page"/>
      </w:r>
    </w:p>
    <w:p w14:paraId="2B13CDD5">
      <w:pPr>
        <w:pStyle w:val="2"/>
        <w:spacing w:before="0" w:after="0" w:line="360" w:lineRule="auto"/>
        <w:jc w:val="center"/>
        <w:rPr>
          <w:rFonts w:hint="eastAsia" w:ascii="宋体" w:hAnsi="宋体" w:cs="宋体"/>
          <w:bCs w:val="0"/>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第二章  竞选人须知</w:t>
      </w:r>
      <w:bookmarkEnd w:id="24"/>
      <w:bookmarkEnd w:id="25"/>
      <w:bookmarkEnd w:id="26"/>
      <w:bookmarkEnd w:id="27"/>
      <w:bookmarkEnd w:id="28"/>
      <w:bookmarkEnd w:id="29"/>
      <w:bookmarkStart w:id="30" w:name="_Toc430530433"/>
      <w:bookmarkStart w:id="31" w:name="_Toc224103316"/>
      <w:bookmarkStart w:id="32" w:name="_Toc287607745"/>
      <w:bookmarkStart w:id="33" w:name="_Toc287620684"/>
      <w:bookmarkStart w:id="34" w:name="_Toc277082551"/>
    </w:p>
    <w:p w14:paraId="31CC26FE">
      <w:pPr>
        <w:pStyle w:val="3"/>
        <w:spacing w:before="100" w:after="100" w:line="360" w:lineRule="auto"/>
        <w:rPr>
          <w:rFonts w:hint="eastAsia" w:ascii="宋体" w:hAnsi="宋体" w:cs="宋体"/>
          <w:color w:val="000000" w:themeColor="text1"/>
          <w:highlight w:val="none"/>
          <w14:textFill>
            <w14:solidFill>
              <w14:schemeClr w14:val="tx1"/>
            </w14:solidFill>
          </w14:textFill>
        </w:rPr>
      </w:pPr>
      <w:bookmarkStart w:id="35" w:name="_Toc509218708"/>
      <w:bookmarkStart w:id="36" w:name="_Toc15182"/>
      <w:bookmarkStart w:id="37" w:name="_Toc9850"/>
      <w:bookmarkStart w:id="38" w:name="_Toc4746"/>
      <w:r>
        <w:rPr>
          <w:rFonts w:hint="eastAsia" w:ascii="宋体" w:hAnsi="宋体" w:cs="宋体"/>
          <w:color w:val="000000" w:themeColor="text1"/>
          <w:highlight w:val="none"/>
          <w14:textFill>
            <w14:solidFill>
              <w14:schemeClr w14:val="tx1"/>
            </w14:solidFill>
          </w14:textFill>
        </w:rPr>
        <w:t>竞选人须知前附表</w:t>
      </w:r>
      <w:bookmarkEnd w:id="30"/>
      <w:bookmarkEnd w:id="31"/>
      <w:bookmarkEnd w:id="32"/>
      <w:bookmarkEnd w:id="33"/>
      <w:bookmarkEnd w:id="34"/>
      <w:bookmarkEnd w:id="35"/>
      <w:bookmarkEnd w:id="36"/>
      <w:bookmarkEnd w:id="37"/>
      <w:bookmarkEnd w:id="38"/>
    </w:p>
    <w:p w14:paraId="0000A41C">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若竞选人须知前附表与正文不一致的地方，以竞选人须知前附表为准。</w:t>
      </w:r>
    </w:p>
    <w:tbl>
      <w:tblPr>
        <w:tblStyle w:val="29"/>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72"/>
      </w:tblGrid>
      <w:tr w14:paraId="4D6E9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33A484BD">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964" w:type="dxa"/>
            <w:vAlign w:val="center"/>
          </w:tcPr>
          <w:p w14:paraId="498513D6">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372" w:type="dxa"/>
            <w:vAlign w:val="center"/>
          </w:tcPr>
          <w:p w14:paraId="1156E3D1">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3B966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E607B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964" w:type="dxa"/>
            <w:vAlign w:val="center"/>
          </w:tcPr>
          <w:p w14:paraId="04C2CF2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6372" w:type="dxa"/>
            <w:vAlign w:val="center"/>
          </w:tcPr>
          <w:p w14:paraId="58047094">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比选人：重庆市南岸区城市建设发展（集团）有限公司</w:t>
            </w:r>
          </w:p>
          <w:p w14:paraId="3D5FCFA8">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联系人：李老师</w:t>
            </w:r>
          </w:p>
          <w:p w14:paraId="1FAE3D78">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话：023-</w:t>
            </w:r>
            <w:r>
              <w:rPr>
                <w:rFonts w:ascii="宋体" w:hAnsi="宋体" w:cs="宋体"/>
                <w:snapToGrid w:val="0"/>
                <w:color w:val="000000" w:themeColor="text1"/>
                <w:sz w:val="21"/>
                <w:szCs w:val="21"/>
                <w:highlight w:val="none"/>
                <w14:textFill>
                  <w14:solidFill>
                    <w14:schemeClr w14:val="tx1"/>
                  </w14:solidFill>
                </w14:textFill>
              </w:rPr>
              <w:t>62905607</w:t>
            </w:r>
          </w:p>
          <w:p w14:paraId="28A0CAF2">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 xml:space="preserve">地 </w:t>
            </w:r>
            <w:r>
              <w:rPr>
                <w:rFonts w:ascii="宋体" w:hAnsi="宋体" w:cs="宋体"/>
                <w:snapToGrid w:val="0"/>
                <w:color w:val="000000" w:themeColor="text1"/>
                <w:szCs w:val="21"/>
                <w:highlight w:val="none"/>
                <w14:textFill>
                  <w14:solidFill>
                    <w14:schemeClr w14:val="tx1"/>
                  </w14:solidFill>
                </w14:textFill>
              </w:rPr>
              <w:t xml:space="preserve"> </w:t>
            </w:r>
            <w:r>
              <w:rPr>
                <w:rFonts w:hint="eastAsia" w:ascii="宋体" w:hAnsi="宋体" w:cs="宋体"/>
                <w:snapToGrid w:val="0"/>
                <w:color w:val="000000" w:themeColor="text1"/>
                <w:szCs w:val="21"/>
                <w:highlight w:val="none"/>
                <w14:textFill>
                  <w14:solidFill>
                    <w14:schemeClr w14:val="tx1"/>
                  </w14:solidFill>
                </w14:textFill>
              </w:rPr>
              <w:t>址：重庆市南岸区广福大道南岸行政中心B区3号楼</w:t>
            </w:r>
          </w:p>
        </w:tc>
      </w:tr>
      <w:tr w14:paraId="1997A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2C54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4" w:type="dxa"/>
            <w:vAlign w:val="center"/>
          </w:tcPr>
          <w:p w14:paraId="26BD105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6372" w:type="dxa"/>
            <w:vAlign w:val="center"/>
          </w:tcPr>
          <w:p w14:paraId="7A4F6C1C">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比选代理机构：重庆市中基致信招标代理有限公司</w:t>
            </w:r>
          </w:p>
          <w:p w14:paraId="53F35905">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联系人：游建伟、胡琳</w:t>
            </w:r>
          </w:p>
          <w:p w14:paraId="39AAEF8E">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  话：023-88758847、88758852</w:t>
            </w:r>
          </w:p>
          <w:p w14:paraId="2A01940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地  址：重庆市渝北区财富大道2号财富大厦A座9楼</w:t>
            </w:r>
          </w:p>
        </w:tc>
      </w:tr>
      <w:tr w14:paraId="45FE5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AB41A1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964" w:type="dxa"/>
            <w:vAlign w:val="center"/>
          </w:tcPr>
          <w:p w14:paraId="1A5936C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372" w:type="dxa"/>
            <w:vAlign w:val="center"/>
          </w:tcPr>
          <w:p w14:paraId="6B981F8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 xml:space="preserve">弹广路安全隐患治理提升工程预算编制项目 </w:t>
            </w:r>
          </w:p>
        </w:tc>
      </w:tr>
      <w:tr w14:paraId="10398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A10E45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964" w:type="dxa"/>
            <w:vAlign w:val="center"/>
          </w:tcPr>
          <w:p w14:paraId="05143F7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372" w:type="dxa"/>
            <w:vAlign w:val="bottom"/>
          </w:tcPr>
          <w:p w14:paraId="74D45122">
            <w:pPr>
              <w:pStyle w:val="25"/>
              <w:widowControl/>
              <w:snapToGrid w:val="0"/>
              <w:spacing w:beforeAutospacing="0" w:afterAutospacing="0" w:line="420" w:lineRule="exact"/>
              <w:ind w:firstLine="420" w:firstLineChars="200"/>
              <w:jc w:val="both"/>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lang w:val="en-US" w:eastAsia="zh-CN"/>
                <w14:textFill>
                  <w14:solidFill>
                    <w14:schemeClr w14:val="tx1"/>
                  </w14:solidFill>
                </w14:textFill>
              </w:rPr>
              <w:t>重庆市南岸区</w:t>
            </w:r>
          </w:p>
        </w:tc>
      </w:tr>
      <w:tr w14:paraId="6959D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99A4C3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964" w:type="dxa"/>
            <w:vAlign w:val="center"/>
          </w:tcPr>
          <w:p w14:paraId="7F6A0B0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项目概况与建设规模</w:t>
            </w:r>
          </w:p>
        </w:tc>
        <w:tc>
          <w:tcPr>
            <w:tcW w:w="6372" w:type="dxa"/>
            <w:vAlign w:val="center"/>
          </w:tcPr>
          <w:p w14:paraId="22351456">
            <w:pPr>
              <w:pStyle w:val="25"/>
              <w:widowControl/>
              <w:snapToGrid w:val="0"/>
              <w:spacing w:beforeAutospacing="0" w:afterAutospacing="0" w:line="420" w:lineRule="exact"/>
              <w:ind w:firstLine="420" w:firstLineChars="200"/>
              <w:jc w:val="both"/>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项目对沿江通道弹广路集疏运道路进行低等级路段提质改造，改造全长约11km，对道路线型进行优化等，具体建设规模根据实际情况确定。</w:t>
            </w:r>
          </w:p>
        </w:tc>
      </w:tr>
      <w:tr w14:paraId="6474F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39D5B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4" w:type="dxa"/>
            <w:vAlign w:val="center"/>
          </w:tcPr>
          <w:p w14:paraId="40C99AB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372" w:type="dxa"/>
            <w:vAlign w:val="center"/>
          </w:tcPr>
          <w:p w14:paraId="1140226A">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国有资金</w:t>
            </w:r>
          </w:p>
        </w:tc>
      </w:tr>
      <w:tr w14:paraId="6440D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5A022C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4" w:type="dxa"/>
            <w:vAlign w:val="center"/>
          </w:tcPr>
          <w:p w14:paraId="1B63652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6372" w:type="dxa"/>
            <w:vAlign w:val="center"/>
          </w:tcPr>
          <w:p w14:paraId="4F2BF41D">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w:t>
            </w:r>
          </w:p>
        </w:tc>
      </w:tr>
      <w:tr w14:paraId="00524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630954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4" w:type="dxa"/>
            <w:vAlign w:val="center"/>
          </w:tcPr>
          <w:p w14:paraId="30DB0E8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372" w:type="dxa"/>
            <w:vAlign w:val="center"/>
          </w:tcPr>
          <w:p w14:paraId="5EC9D73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已落实</w:t>
            </w:r>
          </w:p>
        </w:tc>
      </w:tr>
      <w:tr w14:paraId="599BA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AD6ED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964" w:type="dxa"/>
            <w:vAlign w:val="center"/>
          </w:tcPr>
          <w:p w14:paraId="6B8234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6372" w:type="dxa"/>
            <w:vAlign w:val="center"/>
          </w:tcPr>
          <w:p w14:paraId="7D20424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对本工程提供</w:t>
            </w:r>
            <w:r>
              <w:rPr>
                <w:rFonts w:hint="eastAsia" w:ascii="宋体" w:hAnsi="宋体"/>
                <w:color w:val="000000" w:themeColor="text1"/>
                <w:szCs w:val="21"/>
                <w:highlight w:val="none"/>
                <w:lang w:eastAsia="zh-CN"/>
                <w14:textFill>
                  <w14:solidFill>
                    <w14:schemeClr w14:val="tx1"/>
                  </w14:solidFill>
                </w14:textFill>
              </w:rPr>
              <w:t>预算编制</w:t>
            </w:r>
            <w:r>
              <w:rPr>
                <w:rFonts w:hint="eastAsia" w:ascii="宋体" w:hAnsi="宋体"/>
                <w:color w:val="000000" w:themeColor="text1"/>
                <w:szCs w:val="21"/>
                <w:highlight w:val="none"/>
                <w14:textFill>
                  <w14:solidFill>
                    <w14:schemeClr w14:val="tx1"/>
                  </w14:solidFill>
                </w14:textFill>
              </w:rPr>
              <w:t>，包含但不限于：工程量清单及组价编制；建筑安装材料设备认价、施工方案的经济评价（如有时）;配合招标采购；优化设计方案和二次设计后预算编制；设计图纸的优化建议。接受造价方面的口头咨询和委托人要求咨询的其它事项，详见合同约定。</w:t>
            </w:r>
          </w:p>
        </w:tc>
      </w:tr>
      <w:tr w14:paraId="3C64E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FA868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964" w:type="dxa"/>
            <w:vAlign w:val="center"/>
          </w:tcPr>
          <w:p w14:paraId="20077B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p>
        </w:tc>
        <w:tc>
          <w:tcPr>
            <w:tcW w:w="6372" w:type="dxa"/>
            <w:vAlign w:val="center"/>
          </w:tcPr>
          <w:p w14:paraId="5A24448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本项目服务周期自合同签订之日开始至工程竣工验收及结算审计完成。</w:t>
            </w:r>
          </w:p>
        </w:tc>
      </w:tr>
      <w:tr w14:paraId="2E6A5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4F5499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1.3.3</w:t>
            </w:r>
          </w:p>
        </w:tc>
        <w:tc>
          <w:tcPr>
            <w:tcW w:w="1964" w:type="dxa"/>
            <w:vAlign w:val="center"/>
          </w:tcPr>
          <w:p w14:paraId="5114F60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质量要求</w:t>
            </w:r>
          </w:p>
        </w:tc>
        <w:tc>
          <w:tcPr>
            <w:tcW w:w="6372" w:type="dxa"/>
            <w:vAlign w:val="center"/>
          </w:tcPr>
          <w:p w14:paraId="2C2F5205">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达到国家现行有关服务质量规范要求，并达到合格标准。</w:t>
            </w:r>
          </w:p>
        </w:tc>
      </w:tr>
      <w:tr w14:paraId="1B317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419ADF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D8D266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B07ADD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0A5CC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ADD1C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E56615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2E1257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2671E6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906E70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8DAEB6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186077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DDA394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7D41DB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F85469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6F2809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03B605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0EBDAB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33B5D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p w14:paraId="71D4CF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C248BE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117778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C515DB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8862AD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E26A51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B98508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D56177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ACF3AED">
            <w:pPr>
              <w:pStyle w:val="8"/>
              <w:rPr>
                <w:rFonts w:hint="eastAsia" w:ascii="宋体" w:hAnsi="宋体" w:cs="宋体"/>
                <w:color w:val="000000" w:themeColor="text1"/>
                <w:kern w:val="0"/>
                <w:szCs w:val="21"/>
                <w:highlight w:val="none"/>
                <w14:textFill>
                  <w14:solidFill>
                    <w14:schemeClr w14:val="tx1"/>
                  </w14:solidFill>
                </w14:textFill>
              </w:rPr>
            </w:pPr>
          </w:p>
          <w:p w14:paraId="1B1451F8">
            <w:pPr>
              <w:rPr>
                <w:rFonts w:hint="eastAsia" w:ascii="宋体" w:hAnsi="宋体" w:cs="宋体"/>
                <w:color w:val="000000" w:themeColor="text1"/>
                <w:kern w:val="0"/>
                <w:szCs w:val="21"/>
                <w:highlight w:val="none"/>
                <w14:textFill>
                  <w14:solidFill>
                    <w14:schemeClr w14:val="tx1"/>
                  </w14:solidFill>
                </w14:textFill>
              </w:rPr>
            </w:pPr>
          </w:p>
          <w:p w14:paraId="75994F96">
            <w:pPr>
              <w:pStyle w:val="8"/>
              <w:rPr>
                <w:rFonts w:hint="eastAsia" w:ascii="宋体" w:hAnsi="宋体" w:cs="宋体"/>
                <w:color w:val="000000" w:themeColor="text1"/>
                <w:kern w:val="0"/>
                <w:szCs w:val="21"/>
                <w:highlight w:val="none"/>
                <w14:textFill>
                  <w14:solidFill>
                    <w14:schemeClr w14:val="tx1"/>
                  </w14:solidFill>
                </w14:textFill>
              </w:rPr>
            </w:pPr>
          </w:p>
          <w:p w14:paraId="158F2C0D">
            <w:pPr>
              <w:rPr>
                <w:rFonts w:hint="eastAsia" w:ascii="宋体" w:hAnsi="宋体" w:cs="宋体"/>
                <w:color w:val="000000" w:themeColor="text1"/>
                <w:kern w:val="0"/>
                <w:szCs w:val="21"/>
                <w:highlight w:val="none"/>
                <w14:textFill>
                  <w14:solidFill>
                    <w14:schemeClr w14:val="tx1"/>
                  </w14:solidFill>
                </w14:textFill>
              </w:rPr>
            </w:pPr>
          </w:p>
          <w:p w14:paraId="30999A42">
            <w:pPr>
              <w:pStyle w:val="8"/>
              <w:rPr>
                <w:rFonts w:hint="eastAsia" w:ascii="宋体" w:hAnsi="宋体" w:cs="宋体"/>
                <w:color w:val="000000" w:themeColor="text1"/>
                <w:kern w:val="0"/>
                <w:szCs w:val="21"/>
                <w:highlight w:val="none"/>
                <w14:textFill>
                  <w14:solidFill>
                    <w14:schemeClr w14:val="tx1"/>
                  </w14:solidFill>
                </w14:textFill>
              </w:rPr>
            </w:pPr>
          </w:p>
          <w:p w14:paraId="0FBF9DE9">
            <w:pPr>
              <w:rPr>
                <w:rFonts w:hint="eastAsia" w:ascii="宋体" w:hAnsi="宋体" w:cs="宋体"/>
                <w:color w:val="000000" w:themeColor="text1"/>
                <w:kern w:val="0"/>
                <w:szCs w:val="21"/>
                <w:highlight w:val="none"/>
                <w14:textFill>
                  <w14:solidFill>
                    <w14:schemeClr w14:val="tx1"/>
                  </w14:solidFill>
                </w14:textFill>
              </w:rPr>
            </w:pPr>
          </w:p>
          <w:p w14:paraId="4519B582">
            <w:pPr>
              <w:pStyle w:val="8"/>
              <w:rPr>
                <w:rFonts w:hint="eastAsia" w:ascii="宋体" w:hAnsi="宋体"/>
                <w:color w:val="000000" w:themeColor="text1"/>
                <w:highlight w:val="none"/>
                <w14:textFill>
                  <w14:solidFill>
                    <w14:schemeClr w14:val="tx1"/>
                  </w14:solidFill>
                </w14:textFill>
              </w:rPr>
            </w:pPr>
          </w:p>
          <w:p w14:paraId="0655091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74B123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606DE2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084BED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F9A9EBD">
            <w:pPr>
              <w:pStyle w:val="8"/>
              <w:rPr>
                <w:rFonts w:hint="eastAsia" w:ascii="宋体" w:hAnsi="宋体" w:cs="宋体"/>
                <w:color w:val="000000" w:themeColor="text1"/>
                <w:kern w:val="0"/>
                <w:szCs w:val="21"/>
                <w:highlight w:val="none"/>
                <w14:textFill>
                  <w14:solidFill>
                    <w14:schemeClr w14:val="tx1"/>
                  </w14:solidFill>
                </w14:textFill>
              </w:rPr>
            </w:pPr>
          </w:p>
          <w:p w14:paraId="19C8A7EE">
            <w:pPr>
              <w:rPr>
                <w:rFonts w:hint="eastAsia" w:ascii="宋体" w:hAnsi="宋体" w:cs="宋体"/>
                <w:color w:val="000000" w:themeColor="text1"/>
                <w:kern w:val="0"/>
                <w:szCs w:val="21"/>
                <w:highlight w:val="none"/>
                <w14:textFill>
                  <w14:solidFill>
                    <w14:schemeClr w14:val="tx1"/>
                  </w14:solidFill>
                </w14:textFill>
              </w:rPr>
            </w:pPr>
          </w:p>
          <w:p w14:paraId="41DF2543">
            <w:pPr>
              <w:pStyle w:val="8"/>
              <w:rPr>
                <w:rFonts w:hint="eastAsia" w:ascii="宋体" w:hAnsi="宋体" w:cs="宋体"/>
                <w:color w:val="000000" w:themeColor="text1"/>
                <w:kern w:val="0"/>
                <w:szCs w:val="21"/>
                <w:highlight w:val="none"/>
                <w14:textFill>
                  <w14:solidFill>
                    <w14:schemeClr w14:val="tx1"/>
                  </w14:solidFill>
                </w14:textFill>
              </w:rPr>
            </w:pPr>
          </w:p>
          <w:p w14:paraId="28A53FFA">
            <w:pPr>
              <w:rPr>
                <w:rFonts w:hint="eastAsia" w:ascii="宋体" w:hAnsi="宋体" w:cs="宋体"/>
                <w:color w:val="000000" w:themeColor="text1"/>
                <w:kern w:val="0"/>
                <w:szCs w:val="21"/>
                <w:highlight w:val="none"/>
                <w14:textFill>
                  <w14:solidFill>
                    <w14:schemeClr w14:val="tx1"/>
                  </w14:solidFill>
                </w14:textFill>
              </w:rPr>
            </w:pPr>
          </w:p>
          <w:p w14:paraId="66941BFB">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p>
        </w:tc>
        <w:tc>
          <w:tcPr>
            <w:tcW w:w="1964" w:type="dxa"/>
            <w:vAlign w:val="center"/>
          </w:tcPr>
          <w:p w14:paraId="5B0254E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812C1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D8645D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331A2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2234E0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F75331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E35DD4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37805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E7320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1ADB6F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0506B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8327AA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3989CF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0CB1F2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B75F5A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75DD82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639BA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FA3E19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p w14:paraId="2D1309C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E6B8EB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F4E870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29FDAA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9935BA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531127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69DC9BA">
            <w:pPr>
              <w:pStyle w:val="8"/>
              <w:rPr>
                <w:rFonts w:hint="eastAsia" w:ascii="宋体" w:hAnsi="宋体" w:cs="宋体"/>
                <w:color w:val="000000" w:themeColor="text1"/>
                <w:kern w:val="0"/>
                <w:szCs w:val="21"/>
                <w:highlight w:val="none"/>
                <w14:textFill>
                  <w14:solidFill>
                    <w14:schemeClr w14:val="tx1"/>
                  </w14:solidFill>
                </w14:textFill>
              </w:rPr>
            </w:pPr>
          </w:p>
          <w:p w14:paraId="2E50B964">
            <w:pPr>
              <w:rPr>
                <w:rFonts w:hint="eastAsia" w:ascii="宋体" w:hAnsi="宋体" w:cs="宋体"/>
                <w:color w:val="000000" w:themeColor="text1"/>
                <w:kern w:val="0"/>
                <w:szCs w:val="21"/>
                <w:highlight w:val="none"/>
                <w14:textFill>
                  <w14:solidFill>
                    <w14:schemeClr w14:val="tx1"/>
                  </w14:solidFill>
                </w14:textFill>
              </w:rPr>
            </w:pPr>
          </w:p>
          <w:p w14:paraId="69E4FC7B">
            <w:pPr>
              <w:pStyle w:val="8"/>
              <w:rPr>
                <w:rFonts w:hint="eastAsia" w:ascii="宋体" w:hAnsi="宋体" w:cs="宋体"/>
                <w:color w:val="000000" w:themeColor="text1"/>
                <w:kern w:val="0"/>
                <w:szCs w:val="21"/>
                <w:highlight w:val="none"/>
                <w14:textFill>
                  <w14:solidFill>
                    <w14:schemeClr w14:val="tx1"/>
                  </w14:solidFill>
                </w14:textFill>
              </w:rPr>
            </w:pPr>
          </w:p>
          <w:p w14:paraId="10B6DBA5">
            <w:pPr>
              <w:rPr>
                <w:rFonts w:hint="eastAsia" w:ascii="宋体" w:hAnsi="宋体" w:cs="宋体"/>
                <w:color w:val="000000" w:themeColor="text1"/>
                <w:kern w:val="0"/>
                <w:szCs w:val="21"/>
                <w:highlight w:val="none"/>
                <w14:textFill>
                  <w14:solidFill>
                    <w14:schemeClr w14:val="tx1"/>
                  </w14:solidFill>
                </w14:textFill>
              </w:rPr>
            </w:pPr>
          </w:p>
          <w:p w14:paraId="5214FE11">
            <w:pPr>
              <w:pStyle w:val="8"/>
              <w:rPr>
                <w:rFonts w:hint="eastAsia" w:ascii="宋体" w:hAnsi="宋体" w:cs="宋体"/>
                <w:color w:val="000000" w:themeColor="text1"/>
                <w:kern w:val="0"/>
                <w:szCs w:val="21"/>
                <w:highlight w:val="none"/>
                <w14:textFill>
                  <w14:solidFill>
                    <w14:schemeClr w14:val="tx1"/>
                  </w14:solidFill>
                </w14:textFill>
              </w:rPr>
            </w:pPr>
          </w:p>
          <w:p w14:paraId="0A63A3B4">
            <w:pPr>
              <w:rPr>
                <w:rFonts w:hint="eastAsia" w:ascii="宋体" w:hAnsi="宋体" w:cs="宋体"/>
                <w:color w:val="000000" w:themeColor="text1"/>
                <w:kern w:val="0"/>
                <w:szCs w:val="21"/>
                <w:highlight w:val="none"/>
                <w14:textFill>
                  <w14:solidFill>
                    <w14:schemeClr w14:val="tx1"/>
                  </w14:solidFill>
                </w14:textFill>
              </w:rPr>
            </w:pPr>
          </w:p>
          <w:p w14:paraId="2B8BD57B">
            <w:pPr>
              <w:pStyle w:val="8"/>
              <w:rPr>
                <w:rFonts w:hint="eastAsia" w:ascii="宋体" w:hAnsi="宋体" w:cs="宋体"/>
                <w:color w:val="000000" w:themeColor="text1"/>
                <w:kern w:val="0"/>
                <w:szCs w:val="21"/>
                <w:highlight w:val="none"/>
                <w14:textFill>
                  <w14:solidFill>
                    <w14:schemeClr w14:val="tx1"/>
                  </w14:solidFill>
                </w14:textFill>
              </w:rPr>
            </w:pPr>
          </w:p>
          <w:p w14:paraId="2E89A627">
            <w:pPr>
              <w:rPr>
                <w:rFonts w:hint="eastAsia" w:ascii="宋体" w:hAnsi="宋体" w:cs="宋体"/>
                <w:color w:val="000000" w:themeColor="text1"/>
                <w:kern w:val="0"/>
                <w:szCs w:val="21"/>
                <w:highlight w:val="none"/>
                <w14:textFill>
                  <w14:solidFill>
                    <w14:schemeClr w14:val="tx1"/>
                  </w14:solidFill>
                </w14:textFill>
              </w:rPr>
            </w:pPr>
          </w:p>
          <w:p w14:paraId="71B7F12B">
            <w:pPr>
              <w:pStyle w:val="8"/>
              <w:rPr>
                <w:rFonts w:hint="eastAsia" w:ascii="宋体" w:hAnsi="宋体" w:cs="宋体"/>
                <w:color w:val="000000" w:themeColor="text1"/>
                <w:kern w:val="0"/>
                <w:szCs w:val="21"/>
                <w:highlight w:val="none"/>
                <w14:textFill>
                  <w14:solidFill>
                    <w14:schemeClr w14:val="tx1"/>
                  </w14:solidFill>
                </w14:textFill>
              </w:rPr>
            </w:pPr>
          </w:p>
          <w:p w14:paraId="38ABF801">
            <w:pPr>
              <w:rPr>
                <w:rFonts w:hint="eastAsia" w:ascii="宋体" w:hAnsi="宋体" w:cs="宋体"/>
                <w:color w:val="000000" w:themeColor="text1"/>
                <w:kern w:val="0"/>
                <w:szCs w:val="21"/>
                <w:highlight w:val="none"/>
                <w14:textFill>
                  <w14:solidFill>
                    <w14:schemeClr w14:val="tx1"/>
                  </w14:solidFill>
                </w14:textFill>
              </w:rPr>
            </w:pPr>
          </w:p>
          <w:p w14:paraId="38562218">
            <w:pPr>
              <w:pStyle w:val="8"/>
              <w:rPr>
                <w:rFonts w:hint="eastAsia" w:ascii="宋体" w:hAnsi="宋体" w:cs="宋体"/>
                <w:color w:val="000000" w:themeColor="text1"/>
                <w:kern w:val="0"/>
                <w:szCs w:val="21"/>
                <w:highlight w:val="none"/>
                <w14:textFill>
                  <w14:solidFill>
                    <w14:schemeClr w14:val="tx1"/>
                  </w14:solidFill>
                </w14:textFill>
              </w:rPr>
            </w:pPr>
          </w:p>
          <w:p w14:paraId="5B66C37D">
            <w:pPr>
              <w:rPr>
                <w:rFonts w:hint="eastAsia" w:ascii="宋体" w:hAnsi="宋体" w:cs="宋体"/>
                <w:color w:val="000000" w:themeColor="text1"/>
                <w:kern w:val="0"/>
                <w:szCs w:val="21"/>
                <w:highlight w:val="none"/>
                <w14:textFill>
                  <w14:solidFill>
                    <w14:schemeClr w14:val="tx1"/>
                  </w14:solidFill>
                </w14:textFill>
              </w:rPr>
            </w:pPr>
          </w:p>
          <w:p w14:paraId="10668B46">
            <w:pPr>
              <w:pStyle w:val="8"/>
              <w:rPr>
                <w:rFonts w:hint="eastAsia" w:ascii="宋体" w:hAnsi="宋体"/>
                <w:color w:val="000000" w:themeColor="text1"/>
                <w:highlight w:val="none"/>
                <w14:textFill>
                  <w14:solidFill>
                    <w14:schemeClr w14:val="tx1"/>
                  </w14:solidFill>
                </w14:textFill>
              </w:rPr>
            </w:pPr>
          </w:p>
          <w:p w14:paraId="48F9AF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DCA09D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AE90CC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99CB9B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C8D5F86">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p>
        </w:tc>
        <w:tc>
          <w:tcPr>
            <w:tcW w:w="6372" w:type="dxa"/>
            <w:vAlign w:val="center"/>
          </w:tcPr>
          <w:p w14:paraId="46965A71">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bookmarkStart w:id="39" w:name="OLE_LINK1"/>
            <w:r>
              <w:rPr>
                <w:rFonts w:hint="eastAsia" w:ascii="宋体" w:hAnsi="宋体" w:cs="宋体"/>
                <w:color w:val="000000" w:themeColor="text1"/>
                <w:highlight w:val="none"/>
                <w14:textFill>
                  <w14:solidFill>
                    <w14:schemeClr w14:val="tx1"/>
                  </w14:solidFill>
                </w14:textFill>
              </w:rPr>
              <w:t>本次比选实行资格后审，</w:t>
            </w:r>
            <w:bookmarkStart w:id="40" w:name="一是"/>
            <w:bookmarkEnd w:id="40"/>
            <w:r>
              <w:rPr>
                <w:rFonts w:hint="eastAsia" w:ascii="宋体" w:hAnsi="宋体" w:cs="宋体"/>
                <w:color w:val="000000" w:themeColor="text1"/>
                <w:highlight w:val="none"/>
                <w14:textFill>
                  <w14:solidFill>
                    <w14:schemeClr w14:val="tx1"/>
                  </w14:solidFill>
                </w14:textFill>
              </w:rPr>
              <w:t>竞选人须具备以下资格条件：</w:t>
            </w:r>
          </w:p>
          <w:bookmarkEnd w:id="39"/>
          <w:p w14:paraId="111874D3">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营业执照要求</w:t>
            </w:r>
          </w:p>
          <w:p w14:paraId="724678F9">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具备有效的营业执照，并具有独立法人资格</w:t>
            </w:r>
            <w:r>
              <w:rPr>
                <w:rFonts w:hint="eastAsia" w:ascii="宋体" w:hAnsi="宋体" w:cs="宋体"/>
                <w:color w:val="000000" w:themeColor="text1"/>
                <w:highlight w:val="none"/>
                <w14:textFill>
                  <w14:solidFill>
                    <w14:schemeClr w14:val="tx1"/>
                  </w14:solidFill>
                </w14:textFill>
              </w:rPr>
              <w:t>。</w:t>
            </w:r>
          </w:p>
          <w:p w14:paraId="149BDCC0">
            <w:pPr>
              <w:snapToGrid w:val="0"/>
              <w:spacing w:line="400" w:lineRule="exact"/>
              <w:ind w:firstLine="420" w:firstLineChars="200"/>
              <w:rPr>
                <w:rFonts w:hint="eastAsia" w:ascii="宋体" w:hAnsi="宋体" w:cs="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提供载有统一社会信用代码的营业执照副本复印件。</w:t>
            </w:r>
          </w:p>
          <w:p w14:paraId="3A7061A1">
            <w:pPr>
              <w:snapToGrid w:val="0"/>
              <w:spacing w:line="400" w:lineRule="exact"/>
              <w:ind w:firstLine="42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2.财务要求：</w:t>
            </w:r>
            <w:r>
              <w:rPr>
                <w:rFonts w:hint="eastAsia" w:ascii="宋体" w:hAnsi="宋体" w:cs="宋体"/>
                <w:color w:val="000000" w:themeColor="text1"/>
                <w:highlight w:val="none"/>
                <w14:textFill>
                  <w14:solidFill>
                    <w14:schemeClr w14:val="tx1"/>
                  </w14:solidFill>
                </w14:textFill>
              </w:rPr>
              <w:t xml:space="preserve"> 2023年度财务状况良好，不亏损。</w:t>
            </w:r>
          </w:p>
          <w:p w14:paraId="045E39F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竞选人须在竞选文件资格审查部分提供经会计师事务所或审计机构出具的合法有效的财务审计报告或财务报表（成立时间不足一年的提供财务报表，须包含利润表、现金流量表、资产负债表等）。</w:t>
            </w:r>
          </w:p>
          <w:p w14:paraId="75FFB830">
            <w:pPr>
              <w:snapToGrid w:val="0"/>
              <w:spacing w:line="360" w:lineRule="exact"/>
              <w:ind w:firstLine="422"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.比选截止日比选资格情况</w:t>
            </w:r>
          </w:p>
          <w:p w14:paraId="6E4A037E">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竞选人自行承诺（格式自拟）不得存在下列情形之一：</w:t>
            </w:r>
          </w:p>
          <w:p w14:paraId="2874F4EE">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29E5278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572B24F0">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2D34E76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619F0B13">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2D78C6DF">
            <w:pPr>
              <w:snapToGrid w:val="0"/>
              <w:spacing w:line="400" w:lineRule="exact"/>
              <w:ind w:firstLine="422" w:firstLineChars="20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4</w:t>
            </w:r>
            <w:r>
              <w:rPr>
                <w:rFonts w:hint="eastAsia" w:ascii="宋体" w:hAnsi="宋体" w:cs="宋体"/>
                <w:b/>
                <w:bCs/>
                <w:color w:val="000000" w:themeColor="text1"/>
                <w:highlight w:val="none"/>
                <w14:textFill>
                  <w14:solidFill>
                    <w14:schemeClr w14:val="tx1"/>
                  </w14:solidFill>
                </w14:textFill>
              </w:rPr>
              <w:t>.拟派项目人员</w:t>
            </w:r>
          </w:p>
          <w:p w14:paraId="0D72333B">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项目负责人:1人，须为竞选单位的在职职工，具备</w:t>
            </w:r>
            <w:r>
              <w:rPr>
                <w:rFonts w:hint="eastAsia" w:ascii="宋体" w:hAnsi="宋体" w:cs="宋体"/>
                <w:color w:val="000000" w:themeColor="text1"/>
                <w:kern w:val="0"/>
                <w:szCs w:val="21"/>
                <w:highlight w:val="none"/>
                <w:u w:val="single"/>
                <w14:textFill>
                  <w14:solidFill>
                    <w14:schemeClr w14:val="tx1"/>
                  </w14:solidFill>
                </w14:textFill>
              </w:rPr>
              <w:t>工程类高级及以上</w:t>
            </w:r>
            <w:r>
              <w:rPr>
                <w:rFonts w:hint="eastAsia" w:ascii="宋体" w:hAnsi="宋体" w:cs="宋体"/>
                <w:color w:val="000000" w:themeColor="text1"/>
                <w:kern w:val="0"/>
                <w:szCs w:val="21"/>
                <w:highlight w:val="none"/>
                <w14:textFill>
                  <w14:solidFill>
                    <w14:schemeClr w14:val="tx1"/>
                  </w14:solidFill>
                </w14:textFill>
              </w:rPr>
              <w:t>职称且具有全国一级造价工程师（或全国注册造价工程师）执业资格。</w:t>
            </w:r>
          </w:p>
          <w:p w14:paraId="71240638">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.2其他项目组成员：</w:t>
            </w:r>
          </w:p>
          <w:p w14:paraId="0E0F7D7F">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①土建专业负责人1人，土建专业负责人必须已在竞选人本单位注册并应具有全国一级造价工程师（全国注册造价工程师）执业资格（专业类别：土建），且具有中级及以上技术职称；</w:t>
            </w:r>
          </w:p>
          <w:p w14:paraId="034E1B07">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②安装专业负责人1人，安装专业负责人必须已在竞选人本单位注册并应具有全国一级造价工程师（全国注册造价工程师）执业资格（专业类别：安装），且具有中级及以上技术职称；</w:t>
            </w:r>
          </w:p>
          <w:p w14:paraId="666F7D42">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③其他造价人员，</w:t>
            </w:r>
            <w:r>
              <w:rPr>
                <w:rFonts w:hint="eastAsia"/>
                <w:color w:val="000000" w:themeColor="text1"/>
                <w:highlight w:val="none"/>
                <w14:textFill>
                  <w14:solidFill>
                    <w14:schemeClr w14:val="tx1"/>
                  </w14:solidFill>
                </w14:textFill>
              </w:rPr>
              <w:t>现场派驻人员</w:t>
            </w:r>
            <w:r>
              <w:rPr>
                <w:rFonts w:hint="eastAsia" w:ascii="宋体" w:hAnsi="宋体" w:cs="宋体"/>
                <w:color w:val="000000" w:themeColor="text1"/>
                <w:highlight w:val="none"/>
                <w14:textFill>
                  <w14:solidFill>
                    <w14:schemeClr w14:val="tx1"/>
                  </w14:solidFill>
                </w14:textFill>
              </w:rPr>
              <w:t>不低于1名，造价人员必须已在竞选人本单位注册并应具有全国注册造价工程师（一级造价工程师）或二级造价工程师或全国造价员执业资格。</w:t>
            </w:r>
          </w:p>
          <w:p w14:paraId="5E25432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b/>
                <w:bCs/>
                <w:color w:val="000000" w:themeColor="text1"/>
                <w:highlight w:val="none"/>
                <w14:textFill>
                  <w14:solidFill>
                    <w14:schemeClr w14:val="tx1"/>
                  </w14:solidFill>
                </w14:textFill>
              </w:rPr>
              <w:t>以上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.1及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.2各岗位人员不得相互兼任，</w:t>
            </w:r>
            <w:r>
              <w:rPr>
                <w:rFonts w:hint="eastAsia" w:ascii="宋体" w:hAnsi="宋体"/>
                <w:color w:val="000000" w:themeColor="text1"/>
                <w:highlight w:val="none"/>
                <w14:textFill>
                  <w14:solidFill>
                    <w14:schemeClr w14:val="tx1"/>
                  </w14:solidFill>
                </w14:textFill>
              </w:rPr>
              <w:t>竞选人须在竞选文件资格审查部分提供上述所有人员对应的</w:t>
            </w:r>
            <w:r>
              <w:rPr>
                <w:rFonts w:hint="eastAsia" w:ascii="宋体" w:hAnsi="宋体" w:cs="宋体"/>
                <w:color w:val="000000" w:themeColor="text1"/>
                <w:highlight w:val="none"/>
                <w14:textFill>
                  <w14:solidFill>
                    <w14:schemeClr w14:val="tx1"/>
                  </w14:solidFill>
                </w14:textFill>
              </w:rPr>
              <w:t>造价工程师（或造价员）证书、职称证（如有职称要求）及以竞选人名义缴纳的养老保险证明材料复印件。</w:t>
            </w:r>
          </w:p>
          <w:p w14:paraId="568D97B7">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w:t>
            </w:r>
          </w:p>
          <w:p w14:paraId="110226F1">
            <w:pPr>
              <w:snapToGrid w:val="0"/>
              <w:spacing w:line="400" w:lineRule="exact"/>
              <w:ind w:firstLine="420" w:firstLineChars="200"/>
              <w:rPr>
                <w:rFonts w:hint="eastAsia" w:ascii="宋体" w:hAnsi="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条所须提交的相关证明材料复印件均应加盖竞选单位公章并装入竞选文件资格审查部分中。上述1～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条，有一条不满足，则竞选文件由评选委员会作否决竞选处理；</w:t>
            </w:r>
          </w:p>
          <w:p w14:paraId="1A9CAEC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②上述所有人员有养老保险证明材料</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养老保险</w:t>
            </w:r>
            <w:r>
              <w:rPr>
                <w:rFonts w:ascii="宋体" w:hAnsi="宋体"/>
                <w:bCs/>
                <w:snapToGrid w:val="0"/>
                <w:color w:val="000000" w:themeColor="text1"/>
                <w:kern w:val="0"/>
                <w:szCs w:val="21"/>
                <w:highlight w:val="none"/>
                <w14:textFill>
                  <w14:solidFill>
                    <w14:schemeClr w14:val="tx1"/>
                  </w14:solidFill>
                </w14:textFill>
              </w:rPr>
              <w:t>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 xml:space="preserve"> 6</w:t>
            </w:r>
            <w:r>
              <w:rPr>
                <w:rFonts w:ascii="宋体" w:hAnsi="宋体"/>
                <w:bCs/>
                <w:snapToGrid w:val="0"/>
                <w:color w:val="000000" w:themeColor="text1"/>
                <w:kern w:val="0"/>
                <w:szCs w:val="21"/>
                <w:highlight w:val="none"/>
                <w14:textFill>
                  <w14:solidFill>
                    <w14:schemeClr w14:val="tx1"/>
                  </w14:solidFill>
                </w14:textFill>
              </w:rPr>
              <w:t>月至</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8</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ascii="宋体" w:hAnsi="宋体"/>
                <w:bCs/>
                <w:snapToGrid w:val="0"/>
                <w:color w:val="000000" w:themeColor="text1"/>
                <w:kern w:val="0"/>
                <w:szCs w:val="21"/>
                <w:highlight w:val="none"/>
                <w14:textFill>
                  <w14:solidFill>
                    <w14:schemeClr w14:val="tx1"/>
                  </w14:solidFill>
                </w14:textFill>
              </w:rPr>
              <w:t>月</w:t>
            </w:r>
            <w:r>
              <w:rPr>
                <w:rFonts w:hint="eastAsia" w:ascii="宋体" w:hAnsi="宋体" w:cs="宋体"/>
                <w:color w:val="000000" w:themeColor="text1"/>
                <w:highlight w:val="none"/>
                <w14:textFill>
                  <w14:solidFill>
                    <w14:schemeClr w14:val="tx1"/>
                  </w14:solidFill>
                </w14:textFill>
              </w:rPr>
              <w:t>；</w:t>
            </w:r>
          </w:p>
          <w:p w14:paraId="07E9460F">
            <w:pPr>
              <w:snapToGrid w:val="0"/>
              <w:spacing w:line="400" w:lineRule="exact"/>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③比选人在合同签订前均有权对潜在竞选人提供的上述相关证明材料进行核实，若发现资料存在弄虚作假，按照相关法律法规处理， 其比选保证金不予退还，潜在竞选人承担因此造成的相关责任并赔偿相应损失。 </w:t>
            </w:r>
          </w:p>
        </w:tc>
      </w:tr>
      <w:tr w14:paraId="13383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2D8995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964" w:type="dxa"/>
            <w:vAlign w:val="center"/>
          </w:tcPr>
          <w:p w14:paraId="5A7E9FE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w:t>
            </w:r>
          </w:p>
          <w:p w14:paraId="46C934D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联合体竞选</w:t>
            </w:r>
          </w:p>
        </w:tc>
        <w:tc>
          <w:tcPr>
            <w:tcW w:w="6372" w:type="dxa"/>
            <w:vAlign w:val="center"/>
          </w:tcPr>
          <w:p w14:paraId="2FFCE05E">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不接受</w:t>
            </w:r>
          </w:p>
        </w:tc>
      </w:tr>
      <w:tr w14:paraId="22F37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5C315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964" w:type="dxa"/>
            <w:vAlign w:val="center"/>
          </w:tcPr>
          <w:p w14:paraId="3EDEDEE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372" w:type="dxa"/>
            <w:vAlign w:val="center"/>
          </w:tcPr>
          <w:p w14:paraId="071B2D00">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不组织，由竞选人自行踏勘现场。</w:t>
            </w:r>
          </w:p>
          <w:p w14:paraId="389A18FD">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□组织，集中踏勘时间：</w:t>
            </w:r>
          </w:p>
          <w:p w14:paraId="0ABD8066">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集中踏勘地点：</w:t>
            </w:r>
          </w:p>
        </w:tc>
      </w:tr>
      <w:tr w14:paraId="09101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2451BD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964" w:type="dxa"/>
            <w:vAlign w:val="center"/>
          </w:tcPr>
          <w:p w14:paraId="604A12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比选预备会</w:t>
            </w:r>
          </w:p>
        </w:tc>
        <w:tc>
          <w:tcPr>
            <w:tcW w:w="6372" w:type="dxa"/>
            <w:vAlign w:val="center"/>
          </w:tcPr>
          <w:p w14:paraId="14C4BF7A">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不召开</w:t>
            </w:r>
          </w:p>
          <w:p w14:paraId="5AF279B2">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□召开，召开时间：</w:t>
            </w:r>
          </w:p>
          <w:p w14:paraId="23337B5B">
            <w:pPr>
              <w:snapToGrid w:val="0"/>
              <w:spacing w:after="15" w:afterLines="5"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召开地点：</w:t>
            </w:r>
          </w:p>
        </w:tc>
      </w:tr>
      <w:tr w14:paraId="5FBF7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920EE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964" w:type="dxa"/>
            <w:vAlign w:val="center"/>
          </w:tcPr>
          <w:p w14:paraId="0F65CCB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372" w:type="dxa"/>
            <w:vAlign w:val="center"/>
          </w:tcPr>
          <w:p w14:paraId="4F6B5B4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不允许</w:t>
            </w:r>
          </w:p>
          <w:p w14:paraId="6499819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允许，分包内容要求：</w:t>
            </w:r>
          </w:p>
          <w:p w14:paraId="700E6788">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分包金额要求：</w:t>
            </w:r>
          </w:p>
          <w:p w14:paraId="73A6C424">
            <w:pPr>
              <w:snapToGrid w:val="0"/>
              <w:spacing w:after="15" w:afterLines="5" w:line="400" w:lineRule="exact"/>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接受分包的第三人资质要求：</w:t>
            </w:r>
          </w:p>
        </w:tc>
      </w:tr>
      <w:tr w14:paraId="367C6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2F618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964" w:type="dxa"/>
            <w:vAlign w:val="center"/>
          </w:tcPr>
          <w:p w14:paraId="44BD6763">
            <w:pPr>
              <w:snapToGrid w:val="0"/>
              <w:spacing w:after="15" w:afterLines="5"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6372" w:type="dxa"/>
            <w:vAlign w:val="center"/>
          </w:tcPr>
          <w:p w14:paraId="313417A8">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比选人发出的答疑及补遗书</w:t>
            </w:r>
          </w:p>
        </w:tc>
      </w:tr>
      <w:tr w14:paraId="334F7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DAC4F3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4" w:type="dxa"/>
            <w:tcBorders>
              <w:bottom w:val="single" w:color="auto" w:sz="4" w:space="0"/>
            </w:tcBorders>
            <w:vAlign w:val="center"/>
          </w:tcPr>
          <w:p w14:paraId="366789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竞选人对比选文件提出疑问</w:t>
            </w:r>
          </w:p>
          <w:p w14:paraId="3D03BD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6372" w:type="dxa"/>
            <w:vAlign w:val="center"/>
          </w:tcPr>
          <w:p w14:paraId="538513A5">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竞选人在收到比选文件后，应仔细检查比选文件的所有内容，如有残缺或文字表述不清，图纸尺寸标注不明以及存在错、碰、漏、缺、概念模糊和有可能出现歧义或理解上的偏差的内容等应以书面形式提交。</w:t>
            </w:r>
          </w:p>
        </w:tc>
      </w:tr>
      <w:tr w14:paraId="3335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BE9938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964" w:type="dxa"/>
            <w:vAlign w:val="center"/>
          </w:tcPr>
          <w:p w14:paraId="1ACDBC79">
            <w:pPr>
              <w:snapToGrid w:val="0"/>
              <w:spacing w:after="31" w:afterLines="1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构成竞选文件</w:t>
            </w:r>
          </w:p>
          <w:p w14:paraId="61C42F4B">
            <w:pPr>
              <w:snapToGrid w:val="0"/>
              <w:spacing w:after="31" w:afterLines="1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的其他材料</w:t>
            </w:r>
          </w:p>
        </w:tc>
        <w:tc>
          <w:tcPr>
            <w:tcW w:w="6372" w:type="dxa"/>
            <w:vAlign w:val="center"/>
          </w:tcPr>
          <w:p w14:paraId="3E57391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竞选人的书面澄清、说明和补正（但不得改变竞选文件的实质性内容）</w:t>
            </w:r>
          </w:p>
        </w:tc>
      </w:tr>
      <w:tr w14:paraId="3E725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DC3904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964" w:type="dxa"/>
            <w:vAlign w:val="center"/>
          </w:tcPr>
          <w:p w14:paraId="7282E69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6372" w:type="dxa"/>
            <w:vAlign w:val="center"/>
          </w:tcPr>
          <w:p w14:paraId="22D4C676">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一、报价范围</w:t>
            </w:r>
          </w:p>
          <w:p w14:paraId="57CE58BC">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1.参选报价应是本章竞选人须知前附表1.3.1项中所述的本次比选范围内的全部内容的参选报价，是竞选人根据市场行情及自身情况的自主报价 。</w:t>
            </w:r>
          </w:p>
          <w:p w14:paraId="222F0329">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14:paraId="0098EDBA">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14:paraId="05E4A408">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二、计价原则：</w:t>
            </w:r>
          </w:p>
          <w:p w14:paraId="2F7587DF">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根据渝价【2013】428号文件收费标准（清单计价方式）取费标准，结合自身实力自行考虑按折扣费率进行报价。所填报的服务取费比例作为结算使用，参选费率需综合考虑本项目比选范围内的所有工作内容，竞选人应将本工程的相关费用充分考虑进入参选报价的费率中。</w:t>
            </w:r>
          </w:p>
          <w:p w14:paraId="4AEA477E">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2、在本合同范围内，无论任何因素（工期延长，人员增加，国家政策或法规、标准调整，市场价格波动等），中选费率均不作调整。</w:t>
            </w:r>
          </w:p>
          <w:p w14:paraId="18C58049">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三、比选最高限价：</w:t>
            </w:r>
          </w:p>
          <w:p w14:paraId="6BD721AC">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本项目比选最高限价：</w:t>
            </w:r>
            <w:r>
              <w:rPr>
                <w:rFonts w:hint="eastAsia" w:ascii="宋体" w:hAnsi="宋体"/>
                <w:b/>
                <w:bCs/>
                <w:color w:val="000000" w:themeColor="text1"/>
                <w:szCs w:val="21"/>
                <w:highlight w:val="none"/>
                <w14:textFill>
                  <w14:solidFill>
                    <w14:schemeClr w14:val="tx1"/>
                  </w14:solidFill>
                </w14:textFill>
              </w:rPr>
              <w:t>以暂定建安工程费</w:t>
            </w:r>
            <w:r>
              <w:rPr>
                <w:rFonts w:hint="eastAsia" w:ascii="宋体" w:hAnsi="宋体"/>
                <w:b/>
                <w:bCs/>
                <w:color w:val="000000" w:themeColor="text1"/>
                <w:szCs w:val="21"/>
                <w:highlight w:val="none"/>
                <w:lang w:val="en-US" w:eastAsia="zh-CN"/>
                <w14:textFill>
                  <w14:solidFill>
                    <w14:schemeClr w14:val="tx1"/>
                  </w14:solidFill>
                </w14:textFill>
              </w:rPr>
              <w:t>22000</w:t>
            </w:r>
            <w:r>
              <w:rPr>
                <w:rFonts w:hint="eastAsia" w:ascii="宋体" w:hAnsi="宋体"/>
                <w:b/>
                <w:bCs/>
                <w:color w:val="000000" w:themeColor="text1"/>
                <w:szCs w:val="21"/>
                <w:highlight w:val="none"/>
                <w14:textFill>
                  <w14:solidFill>
                    <w14:schemeClr w14:val="tx1"/>
                  </w14:solidFill>
                </w14:textFill>
              </w:rPr>
              <w:t>万元</w:t>
            </w:r>
            <w:r>
              <w:rPr>
                <w:rFonts w:hint="eastAsia" w:ascii="宋体" w:hAnsi="宋体"/>
                <w:color w:val="000000" w:themeColor="text1"/>
                <w:szCs w:val="21"/>
                <w:highlight w:val="none"/>
                <w14:textFill>
                  <w14:solidFill>
                    <w14:schemeClr w14:val="tx1"/>
                  </w14:solidFill>
                </w14:textFill>
              </w:rPr>
              <w:t>为计费基数，</w:t>
            </w:r>
            <w:r>
              <w:rPr>
                <w:rFonts w:ascii="宋体" w:hAnsi="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预算编制费固定费率最高限价为暂估工程费的0.166%，暂定服务费最高限价为365750.00元</w:t>
            </w:r>
            <w:r>
              <w:rPr>
                <w:rFonts w:hint="eastAsia" w:ascii="宋体" w:hAnsi="宋体"/>
                <w:color w:val="000000" w:themeColor="text1"/>
                <w:szCs w:val="21"/>
                <w:highlight w:val="none"/>
                <w14:textFill>
                  <w14:solidFill>
                    <w14:schemeClr w14:val="tx1"/>
                  </w14:solidFill>
                </w14:textFill>
              </w:rPr>
              <w:t>。</w:t>
            </w:r>
          </w:p>
          <w:p w14:paraId="3733A352">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各竞选人的竞选总报价不得超过最高限价，</w:t>
            </w:r>
            <w:r>
              <w:rPr>
                <w:rFonts w:ascii="宋体" w:hAnsi="宋体" w:cs="宋体"/>
                <w:color w:val="000000" w:themeColor="text1"/>
                <w:highlight w:val="none"/>
                <w14:textFill>
                  <w14:solidFill>
                    <w14:schemeClr w14:val="tx1"/>
                  </w14:solidFill>
                </w14:textFill>
              </w:rPr>
              <w:t>否则由评</w:t>
            </w:r>
            <w:r>
              <w:rPr>
                <w:rFonts w:hint="eastAsia" w:ascii="宋体" w:hAnsi="宋体" w:cs="宋体"/>
                <w:color w:val="000000" w:themeColor="text1"/>
                <w:highlight w:val="none"/>
                <w14:textFill>
                  <w14:solidFill>
                    <w14:schemeClr w14:val="tx1"/>
                  </w14:solidFill>
                </w14:textFill>
              </w:rPr>
              <w:t>审</w:t>
            </w:r>
            <w:r>
              <w:rPr>
                <w:rFonts w:ascii="宋体" w:hAnsi="宋体" w:cs="宋体"/>
                <w:color w:val="000000" w:themeColor="text1"/>
                <w:highlight w:val="none"/>
                <w14:textFill>
                  <w14:solidFill>
                    <w14:schemeClr w14:val="tx1"/>
                  </w14:solidFill>
                </w14:textFill>
              </w:rPr>
              <w:t>委员会作否决投</w:t>
            </w:r>
            <w:r>
              <w:rPr>
                <w:rFonts w:ascii="宋体" w:hAnsi="宋体" w:cs="宋体"/>
                <w:color w:val="000000" w:themeColor="text1"/>
                <w:spacing w:val="-10"/>
                <w:highlight w:val="none"/>
                <w14:textFill>
                  <w14:solidFill>
                    <w14:schemeClr w14:val="tx1"/>
                  </w14:solidFill>
                </w14:textFill>
              </w:rPr>
              <w:t>标处理</w:t>
            </w:r>
            <w:r>
              <w:rPr>
                <w:rFonts w:hint="eastAsia" w:ascii="宋体" w:hAnsi="宋体"/>
                <w:color w:val="000000" w:themeColor="text1"/>
                <w:szCs w:val="21"/>
                <w:highlight w:val="none"/>
                <w14:textFill>
                  <w14:solidFill>
                    <w14:schemeClr w14:val="tx1"/>
                  </w14:solidFill>
                </w14:textFill>
              </w:rPr>
              <w:t>。</w:t>
            </w:r>
          </w:p>
          <w:p w14:paraId="530D408D">
            <w:pPr>
              <w:pStyle w:val="48"/>
              <w:tabs>
                <w:tab w:val="left" w:pos="1076"/>
              </w:tabs>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注：填报的</w:t>
            </w:r>
            <w:r>
              <w:rPr>
                <w:rFonts w:hint="eastAsia" w:ascii="宋体" w:hAnsi="宋体"/>
                <w:color w:val="000000" w:themeColor="text1"/>
                <w:szCs w:val="21"/>
                <w:highlight w:val="none"/>
                <w:lang w:val="en-US" w:eastAsia="zh-CN"/>
                <w14:textFill>
                  <w14:solidFill>
                    <w14:schemeClr w14:val="tx1"/>
                  </w14:solidFill>
                </w14:textFill>
              </w:rPr>
              <w:t>服务费</w:t>
            </w:r>
            <w:r>
              <w:rPr>
                <w:rFonts w:hint="eastAsia" w:ascii="宋体" w:hAnsi="宋体"/>
                <w:color w:val="000000" w:themeColor="text1"/>
                <w:szCs w:val="21"/>
                <w:highlight w:val="none"/>
                <w14:textFill>
                  <w14:solidFill>
                    <w14:schemeClr w14:val="tx1"/>
                  </w14:solidFill>
                </w14:textFill>
              </w:rPr>
              <w:t>费率</w:t>
            </w:r>
            <w:r>
              <w:rPr>
                <w:rFonts w:hint="eastAsia" w:ascii="宋体" w:hAnsi="宋体"/>
                <w:color w:val="000000" w:themeColor="text1"/>
                <w:szCs w:val="21"/>
                <w:highlight w:val="none"/>
                <w:lang w:val="en-US" w:eastAsia="zh-CN"/>
                <w14:textFill>
                  <w14:solidFill>
                    <w14:schemeClr w14:val="tx1"/>
                  </w14:solidFill>
                </w14:textFill>
              </w:rPr>
              <w:t>及服务费金额</w:t>
            </w:r>
            <w:r>
              <w:rPr>
                <w:rFonts w:hint="eastAsia" w:ascii="宋体" w:hAnsi="宋体"/>
                <w:color w:val="000000" w:themeColor="text1"/>
                <w:szCs w:val="21"/>
                <w:highlight w:val="none"/>
                <w14:textFill>
                  <w14:solidFill>
                    <w14:schemeClr w14:val="tx1"/>
                  </w14:solidFill>
                </w14:textFill>
              </w:rPr>
              <w:t>保留到小数点后两位，小数点后第三位“四舍五入”。</w:t>
            </w:r>
          </w:p>
        </w:tc>
      </w:tr>
      <w:tr w14:paraId="1EB22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A0A0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4" w:type="dxa"/>
            <w:vAlign w:val="center"/>
          </w:tcPr>
          <w:p w14:paraId="2733C22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比选有效期</w:t>
            </w:r>
          </w:p>
        </w:tc>
        <w:tc>
          <w:tcPr>
            <w:tcW w:w="6372" w:type="dxa"/>
            <w:vAlign w:val="center"/>
          </w:tcPr>
          <w:p w14:paraId="07AD4EBC">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日历天（从提交竞选文件截止日起计算）</w:t>
            </w:r>
          </w:p>
        </w:tc>
      </w:tr>
      <w:tr w14:paraId="3B59C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3337C3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4" w:type="dxa"/>
            <w:vAlign w:val="center"/>
          </w:tcPr>
          <w:p w14:paraId="59313A5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比选保证金</w:t>
            </w:r>
          </w:p>
        </w:tc>
        <w:tc>
          <w:tcPr>
            <w:tcW w:w="6372" w:type="dxa"/>
            <w:vAlign w:val="center"/>
          </w:tcPr>
          <w:p w14:paraId="2552BF7C">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（一）保证金递交</w:t>
            </w:r>
          </w:p>
          <w:p w14:paraId="7288C585">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1.竞选人须将保证金人民币：</w:t>
            </w:r>
            <w:r>
              <w:rPr>
                <w:rFonts w:hint="eastAsia" w:ascii="宋体" w:hAnsi="宋体" w:cs="宋体"/>
                <w:color w:val="000000" w:themeColor="text1"/>
                <w:highlight w:val="none"/>
                <w:lang w:val="en-US" w:eastAsia="zh-CN"/>
                <w14:textFill>
                  <w14:solidFill>
                    <w14:schemeClr w14:val="tx1"/>
                  </w14:solidFill>
                </w14:textFill>
              </w:rPr>
              <w:t>7000</w:t>
            </w:r>
            <w:r>
              <w:rPr>
                <w:rFonts w:hint="eastAsia" w:ascii="宋体" w:hAnsi="宋体" w:cs="宋体"/>
                <w:color w:val="000000" w:themeColor="text1"/>
                <w:highlight w:val="none"/>
                <w14:textFill>
                  <w14:solidFill>
                    <w14:schemeClr w14:val="tx1"/>
                  </w14:solidFill>
                </w14:textFill>
              </w:rPr>
              <w:t>元（大写：</w:t>
            </w:r>
            <w:r>
              <w:rPr>
                <w:rFonts w:hint="eastAsia" w:ascii="宋体" w:hAnsi="宋体" w:cs="宋体"/>
                <w:color w:val="000000" w:themeColor="text1"/>
                <w:highlight w:val="none"/>
                <w:lang w:val="en-US" w:eastAsia="zh-CN"/>
                <w14:textFill>
                  <w14:solidFill>
                    <w14:schemeClr w14:val="tx1"/>
                  </w14:solidFill>
                </w14:textFill>
              </w:rPr>
              <w:t>柒仟</w:t>
            </w:r>
            <w:r>
              <w:rPr>
                <w:rFonts w:hint="eastAsia" w:ascii="宋体" w:hAnsi="宋体" w:cs="宋体"/>
                <w:color w:val="000000" w:themeColor="text1"/>
                <w:highlight w:val="none"/>
                <w14:textFill>
                  <w14:solidFill>
                    <w14:schemeClr w14:val="tx1"/>
                  </w14:solidFill>
                </w14:textFill>
              </w:rPr>
              <w:t>元整）于202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日17：00时前以竞标人的名义通过单位账户（以到账时间为准）递交到招标代理公司所指定的账户。</w:t>
            </w:r>
          </w:p>
          <w:p w14:paraId="040E787B">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  名：重庆市中基致信招标代理有限公司</w:t>
            </w:r>
          </w:p>
          <w:p w14:paraId="3A30AF38">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开户行：中国银行重庆江北支行</w:t>
            </w:r>
          </w:p>
          <w:p w14:paraId="78BEDB72">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  号：1144 6718 4234</w:t>
            </w:r>
          </w:p>
          <w:p w14:paraId="4CF59807">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2.保证金打款时请批注“</w:t>
            </w:r>
            <w:r>
              <w:rPr>
                <w:rFonts w:hint="eastAsia" w:ascii="宋体" w:hAnsi="宋体" w:cs="宋体"/>
                <w:color w:val="000000" w:themeColor="text1"/>
                <w:highlight w:val="none"/>
                <w:lang w:eastAsia="zh-CN"/>
                <w14:textFill>
                  <w14:solidFill>
                    <w14:schemeClr w14:val="tx1"/>
                  </w14:solidFill>
                </w14:textFill>
              </w:rPr>
              <w:t xml:space="preserve">弹广路安全隐患治理提升工程预算编制项目 </w:t>
            </w:r>
            <w:r>
              <w:rPr>
                <w:rFonts w:hint="eastAsia" w:ascii="宋体" w:hAnsi="宋体" w:cs="宋体"/>
                <w:color w:val="000000" w:themeColor="text1"/>
                <w:highlight w:val="none"/>
                <w14:textFill>
                  <w14:solidFill>
                    <w14:schemeClr w14:val="tx1"/>
                  </w14:solidFill>
                </w14:textFill>
              </w:rPr>
              <w:t>保证金（项目名称可简写）或项目号”。</w:t>
            </w:r>
          </w:p>
          <w:p w14:paraId="04D628E0">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（二）保证金退还方式</w:t>
            </w:r>
          </w:p>
          <w:p w14:paraId="26EAD52B">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1.未中选人的保证金，在成交结果公示后五个工作日内原路退还。</w:t>
            </w:r>
          </w:p>
          <w:p w14:paraId="0367ACB8">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2.中选人的保证金，在中选人与比选人签订合同后，请凭合同复印件至代购代理机构公司退</w:t>
            </w:r>
            <w:r>
              <w:rPr>
                <w:rFonts w:hint="eastAsia"/>
                <w:color w:val="000000" w:themeColor="text1"/>
                <w:highlight w:val="none"/>
                <w14:textFill>
                  <w14:solidFill>
                    <w14:schemeClr w14:val="tx1"/>
                  </w14:solidFill>
                </w14:textFill>
              </w:rPr>
              <w:t>款。</w:t>
            </w:r>
          </w:p>
        </w:tc>
      </w:tr>
      <w:tr w14:paraId="162A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F2162B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3.5.1</w:t>
            </w:r>
          </w:p>
        </w:tc>
        <w:tc>
          <w:tcPr>
            <w:tcW w:w="1964" w:type="dxa"/>
            <w:vAlign w:val="center"/>
          </w:tcPr>
          <w:p w14:paraId="3ED4A36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6372" w:type="dxa"/>
            <w:vAlign w:val="center"/>
          </w:tcPr>
          <w:p w14:paraId="7E8D84C0">
            <w:pPr>
              <w:snapToGrid w:val="0"/>
              <w:spacing w:after="93" w:afterLines="3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7CD29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E5DCC4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3.5.2</w:t>
            </w:r>
          </w:p>
        </w:tc>
        <w:tc>
          <w:tcPr>
            <w:tcW w:w="1964" w:type="dxa"/>
            <w:vAlign w:val="center"/>
          </w:tcPr>
          <w:p w14:paraId="6F72D8C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近年财务状况</w:t>
            </w:r>
          </w:p>
          <w:p w14:paraId="23F3E0A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的年份要求</w:t>
            </w:r>
          </w:p>
        </w:tc>
        <w:tc>
          <w:tcPr>
            <w:tcW w:w="6372" w:type="dxa"/>
            <w:vAlign w:val="center"/>
          </w:tcPr>
          <w:p w14:paraId="5DFE38B7">
            <w:pPr>
              <w:snapToGrid w:val="0"/>
              <w:spacing w:after="93" w:afterLines="30"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3E269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8337E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4" w:type="dxa"/>
            <w:vAlign w:val="center"/>
          </w:tcPr>
          <w:p w14:paraId="7E036CF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14:paraId="6477D203">
            <w:pPr>
              <w:snapToGrid w:val="0"/>
              <w:spacing w:after="93" w:afterLines="3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备选竞选方案</w:t>
            </w:r>
          </w:p>
        </w:tc>
        <w:tc>
          <w:tcPr>
            <w:tcW w:w="6372" w:type="dxa"/>
            <w:vAlign w:val="center"/>
          </w:tcPr>
          <w:p w14:paraId="63C0A337">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不允许</w:t>
            </w:r>
          </w:p>
          <w:p w14:paraId="704264EC">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口允许</w:t>
            </w:r>
          </w:p>
        </w:tc>
      </w:tr>
      <w:tr w14:paraId="28FE7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E77F9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4" w:type="dxa"/>
            <w:vAlign w:val="center"/>
          </w:tcPr>
          <w:p w14:paraId="7116216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2" w:type="dxa"/>
            <w:vAlign w:val="center"/>
          </w:tcPr>
          <w:p w14:paraId="790BBDE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52808F18">
            <w:pPr>
              <w:snapToGrid w:val="0"/>
              <w:spacing w:line="400" w:lineRule="exact"/>
              <w:ind w:firstLine="420" w:firstLineChars="200"/>
              <w:rPr>
                <w:rFonts w:hint="eastAsia"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未按上述规定执行的，交由评选委员会作否决竞选处理。</w:t>
            </w:r>
          </w:p>
        </w:tc>
      </w:tr>
      <w:tr w14:paraId="64A9F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673439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4" w:type="dxa"/>
            <w:vAlign w:val="center"/>
          </w:tcPr>
          <w:p w14:paraId="4EF5CF1A">
            <w:pPr>
              <w:snapToGrid w:val="0"/>
              <w:spacing w:line="400" w:lineRule="exact"/>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竞选文件的份数</w:t>
            </w:r>
          </w:p>
        </w:tc>
        <w:tc>
          <w:tcPr>
            <w:tcW w:w="6372" w:type="dxa"/>
            <w:vAlign w:val="center"/>
          </w:tcPr>
          <w:p w14:paraId="4716F5F5">
            <w:pPr>
              <w:widowControl/>
              <w:spacing w:line="400" w:lineRule="exact"/>
              <w:ind w:firstLine="45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正本</w:t>
            </w:r>
            <w:r>
              <w:rPr>
                <w:rFonts w:hint="eastAsia" w:ascii="宋体" w:hAnsi="宋体"/>
                <w:color w:val="000000" w:themeColor="text1"/>
                <w:kern w:val="0"/>
                <w:szCs w:val="21"/>
                <w:highlight w:val="none"/>
                <w14:textFill>
                  <w14:solidFill>
                    <w14:schemeClr w14:val="tx1"/>
                  </w14:solidFill>
                </w14:textFill>
              </w:rPr>
              <w:t>1份、副本1份，电子版形式（U盘）1份。当副本和正本不一致时，以正本为准。否则由评标委员会作否决投标处理。</w:t>
            </w:r>
          </w:p>
          <w:p w14:paraId="56E685DA">
            <w:pPr>
              <w:widowControl/>
              <w:spacing w:line="400" w:lineRule="exact"/>
              <w:ind w:firstLine="45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电子版形式（U盘）：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电子文档内容</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包括word版竞选文件正本和签字盖章齐全的竞选文件正本扫描件PDF版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，内容必须与正本一致，如出现不一致情况以纸质竞选文件正本为准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（此项不作为否决投标依据，为便于存档请遵照执行）。</w:t>
            </w:r>
          </w:p>
        </w:tc>
      </w:tr>
      <w:tr w14:paraId="5894F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AF58F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4" w:type="dxa"/>
            <w:vAlign w:val="center"/>
          </w:tcPr>
          <w:p w14:paraId="6FF4B4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6372" w:type="dxa"/>
            <w:vAlign w:val="center"/>
          </w:tcPr>
          <w:p w14:paraId="19B8AD01">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1、本技术部分采用</w:t>
            </w:r>
            <w:r>
              <w:rPr>
                <w:rFonts w:hint="eastAsia" w:ascii="宋体" w:hAnsi="宋体"/>
                <w:color w:val="000000" w:themeColor="text1"/>
                <w:szCs w:val="21"/>
                <w:highlight w:val="none"/>
                <w14:textFill>
                  <w14:solidFill>
                    <w14:schemeClr w14:val="tx1"/>
                  </w14:solidFill>
                </w14:textFill>
              </w:rPr>
              <w:t>明</w:t>
            </w:r>
            <w:r>
              <w:rPr>
                <w:rFonts w:ascii="宋体" w:hAnsi="宋体"/>
                <w:color w:val="000000" w:themeColor="text1"/>
                <w:szCs w:val="21"/>
                <w:highlight w:val="none"/>
                <w14:textFill>
                  <w14:solidFill>
                    <w14:schemeClr w14:val="tx1"/>
                  </w14:solidFill>
                </w14:textFill>
              </w:rPr>
              <w:t>标评审，应将投标函部分、技术部分、</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各自分别装订成册。</w:t>
            </w:r>
          </w:p>
          <w:p w14:paraId="5CD1C904">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2、装订</w:t>
            </w:r>
          </w:p>
          <w:p w14:paraId="77198D7E">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）投标函部分的装订要求</w:t>
            </w:r>
          </w:p>
          <w:p w14:paraId="2A562252">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p>
          <w:p w14:paraId="456F6DE5">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）技术部分的装订要求</w:t>
            </w:r>
          </w:p>
          <w:p w14:paraId="5ED7B651">
            <w:pPr>
              <w:adjustRightInd w:val="0"/>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投标文件技术明标并设封面，技术部分文本部分的文字采用四号仿宋字体，文本部分采用A4页面；图表内的字体、字号大小不限，图表部分采用A3或A4页面；（技术部分原则上不超过</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00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页，但不得将页数作为评审因素。）</w:t>
            </w:r>
          </w:p>
          <w:p w14:paraId="147A303F">
            <w:pPr>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14:paraId="2E99AD2A">
            <w:pPr>
              <w:adjustRightInd w:val="0"/>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r>
              <w:rPr>
                <w:rFonts w:hint="eastAsia" w:ascii="宋体" w:hAnsi="宋体"/>
                <w:color w:val="000000" w:themeColor="text1"/>
                <w:szCs w:val="21"/>
                <w:highlight w:val="none"/>
                <w14:textFill>
                  <w14:solidFill>
                    <w14:schemeClr w14:val="tx1"/>
                  </w14:solidFill>
                </w14:textFill>
              </w:rPr>
              <w:t>。</w:t>
            </w:r>
          </w:p>
        </w:tc>
      </w:tr>
      <w:tr w14:paraId="09B25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09CB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964" w:type="dxa"/>
            <w:vAlign w:val="center"/>
          </w:tcPr>
          <w:p w14:paraId="23687C89">
            <w:pPr>
              <w:snapToGrid w:val="0"/>
              <w:spacing w:line="400" w:lineRule="exact"/>
              <w:jc w:val="center"/>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竞选文件的密封</w:t>
            </w:r>
          </w:p>
        </w:tc>
        <w:tc>
          <w:tcPr>
            <w:tcW w:w="6372" w:type="dxa"/>
            <w:vAlign w:val="center"/>
          </w:tcPr>
          <w:p w14:paraId="7A7E50C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袋使用“</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函部分”袋、“技术部分”袋、“</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”袋以及“</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w:t>
            </w:r>
          </w:p>
          <w:p w14:paraId="5AED1D2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.投标函部分</w:t>
            </w:r>
            <w:r>
              <w:rPr>
                <w:rFonts w:hint="eastAsia" w:ascii="宋体" w:hAnsi="宋体"/>
                <w:color w:val="000000" w:themeColor="text1"/>
                <w:szCs w:val="21"/>
                <w:highlight w:val="none"/>
                <w14:textFill>
                  <w14:solidFill>
                    <w14:schemeClr w14:val="tx1"/>
                  </w14:solidFill>
                </w14:textFill>
              </w:rPr>
              <w:t>和电子版形式（U盘）</w:t>
            </w:r>
            <w:r>
              <w:rPr>
                <w:rFonts w:ascii="宋体" w:hAnsi="宋体"/>
                <w:color w:val="000000" w:themeColor="text1"/>
                <w:szCs w:val="21"/>
                <w:highlight w:val="none"/>
                <w14:textFill>
                  <w14:solidFill>
                    <w14:schemeClr w14:val="tx1"/>
                  </w14:solidFill>
                </w14:textFill>
              </w:rPr>
              <w:t>装入“投标函部分”袋中，密封并在袋上加盖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14:paraId="5583888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.技术部分装入“技术部分”袋中，密封并在袋上加盖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14:paraId="3219817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资格审查部分装入“资格审查部分”袋中，密封并在袋上加盖竞选人单位法人章。</w:t>
            </w:r>
          </w:p>
          <w:p w14:paraId="178813E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.“投标函部分”、“技术部分”</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等小袋装入“</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”大袋中，密封并在大袋上加盖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章，同时“</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”大袋应按本表第4.1.2项的规定写明相应内容。</w:t>
            </w:r>
            <w:r>
              <w:rPr>
                <w:rFonts w:hint="eastAsia" w:ascii="宋体" w:hAnsi="宋体"/>
                <w:color w:val="000000" w:themeColor="text1"/>
                <w:szCs w:val="21"/>
                <w:highlight w:val="none"/>
                <w14:textFill>
                  <w14:solidFill>
                    <w14:schemeClr w14:val="tx1"/>
                  </w14:solidFill>
                </w14:textFill>
              </w:rPr>
              <w:t>一个大袋装不下的，可使用多个大袋分册封装。</w:t>
            </w:r>
          </w:p>
          <w:p w14:paraId="5A6FAFA6">
            <w:pPr>
              <w:adjustRightInd w:val="0"/>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注：“投标函部分”袋、“技术部分”袋、“资格审查部分”袋只为方便竞选文件分装，不作为判定密封合格与否的条件。但为了方便开标，请各竞选人主动配合，按要求分装。</w:t>
            </w:r>
          </w:p>
        </w:tc>
      </w:tr>
      <w:tr w14:paraId="2CA6D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9F582B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964" w:type="dxa"/>
            <w:vAlign w:val="center"/>
          </w:tcPr>
          <w:p w14:paraId="7AA47B8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封套上写明</w:t>
            </w:r>
          </w:p>
        </w:tc>
        <w:tc>
          <w:tcPr>
            <w:tcW w:w="6372" w:type="dxa"/>
            <w:vAlign w:val="center"/>
          </w:tcPr>
          <w:p w14:paraId="74E6EC7B">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应在封套上写明如下内容：</w:t>
            </w:r>
          </w:p>
          <w:p w14:paraId="5A0B1DC6">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p>
          <w:p w14:paraId="77820EC4">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竞选文件</w:t>
            </w:r>
          </w:p>
          <w:p w14:paraId="07D90BD0">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时</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分前不得开启</w:t>
            </w:r>
          </w:p>
        </w:tc>
      </w:tr>
      <w:tr w14:paraId="027D4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8D1D5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4" w:type="dxa"/>
            <w:vAlign w:val="center"/>
          </w:tcPr>
          <w:p w14:paraId="44E94CD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6372" w:type="dxa"/>
            <w:vAlign w:val="center"/>
          </w:tcPr>
          <w:p w14:paraId="4536B53E">
            <w:pPr>
              <w:spacing w:line="40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否</w:t>
            </w:r>
          </w:p>
          <w:p w14:paraId="5ED3E822">
            <w:pPr>
              <w:snapToGrid w:val="0"/>
              <w:spacing w:line="400" w:lineRule="exact"/>
              <w:ind w:firstLine="210" w:firstLineChars="1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tc>
      </w:tr>
      <w:tr w14:paraId="66A1C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C1999D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964" w:type="dxa"/>
            <w:vAlign w:val="center"/>
          </w:tcPr>
          <w:p w14:paraId="1D2FF5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评选时间和地点</w:t>
            </w:r>
          </w:p>
        </w:tc>
        <w:tc>
          <w:tcPr>
            <w:tcW w:w="6372" w:type="dxa"/>
            <w:vAlign w:val="center"/>
          </w:tcPr>
          <w:p w14:paraId="53FA324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开标时间：同</w:t>
            </w:r>
            <w:r>
              <w:rPr>
                <w:rFonts w:hint="eastAsia" w:ascii="宋体" w:hAnsi="宋体"/>
                <w:color w:val="000000" w:themeColor="text1"/>
                <w:kern w:val="0"/>
                <w:szCs w:val="21"/>
                <w:highlight w:val="none"/>
                <w14:textFill>
                  <w14:solidFill>
                    <w14:schemeClr w14:val="tx1"/>
                  </w14:solidFill>
                </w14:textFill>
              </w:rPr>
              <w:t>竞选截止时间</w:t>
            </w:r>
          </w:p>
          <w:p w14:paraId="4067BBF0">
            <w:pPr>
              <w:snapToGrid w:val="0"/>
              <w:spacing w:line="400" w:lineRule="exact"/>
              <w:ind w:firstLine="420" w:firstLineChars="200"/>
              <w:rPr>
                <w:rFonts w:hint="eastAsia" w:ascii="宋体" w:hAnsi="宋体" w:cs="宋体"/>
                <w:bCs/>
                <w:i/>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开标地点：</w:t>
            </w:r>
            <w:r>
              <w:rPr>
                <w:rFonts w:hint="eastAsia" w:cs="宋体" w:asciiTheme="minorEastAsia" w:hAnsiTheme="minorEastAsia" w:eastAsiaTheme="minorEastAsia"/>
                <w:color w:val="000000" w:themeColor="text1"/>
                <w:szCs w:val="21"/>
                <w:highlight w:val="none"/>
                <w14:textFill>
                  <w14:solidFill>
                    <w14:schemeClr w14:val="tx1"/>
                  </w14:solidFill>
                </w14:textFill>
              </w:rPr>
              <w:t>重庆市南岸区城市建设发展（集团）有限公司（重庆市南岸区行政服务中心B区3号楼</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2012</w:t>
            </w:r>
            <w:r>
              <w:rPr>
                <w:rFonts w:hint="eastAsia" w:cs="宋体" w:asciiTheme="minorEastAsia" w:hAnsiTheme="minorEastAsia" w:eastAsiaTheme="minorEastAsia"/>
                <w:color w:val="000000" w:themeColor="text1"/>
                <w:szCs w:val="21"/>
                <w:highlight w:val="none"/>
                <w14:textFill>
                  <w14:solidFill>
                    <w14:schemeClr w14:val="tx1"/>
                  </w14:solidFill>
                </w14:textFill>
              </w:rPr>
              <w:t>室）</w:t>
            </w:r>
          </w:p>
        </w:tc>
      </w:tr>
      <w:tr w14:paraId="3EC83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1DD7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4" w:type="dxa"/>
            <w:vAlign w:val="center"/>
          </w:tcPr>
          <w:p w14:paraId="5378F8B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竞选文件开启</w:t>
            </w:r>
          </w:p>
          <w:p w14:paraId="62EA54F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及唱标程序</w:t>
            </w:r>
          </w:p>
        </w:tc>
        <w:tc>
          <w:tcPr>
            <w:tcW w:w="6372" w:type="dxa"/>
            <w:vAlign w:val="center"/>
          </w:tcPr>
          <w:p w14:paraId="52C9F1A0">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284770ED">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核验参加开标会议的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的法定代表人或</w:t>
            </w:r>
            <w:r>
              <w:rPr>
                <w:rFonts w:hint="eastAsia"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14:textFill>
                  <w14:solidFill>
                    <w14:schemeClr w14:val="tx1"/>
                  </w14:solidFill>
                </w14:textFill>
              </w:rPr>
              <w:t>本人身份证（原件），核验委托代理人的授权委托书，以确认其身份合法有效；</w:t>
            </w:r>
            <w:r>
              <w:rPr>
                <w:rFonts w:hint="eastAsia" w:ascii="宋体" w:hAnsi="宋体"/>
                <w:color w:val="000000" w:themeColor="text1"/>
                <w:szCs w:val="21"/>
                <w:highlight w:val="none"/>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14:paraId="57C3F9DB">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2.宣布开标纪律</w:t>
            </w:r>
            <w:r>
              <w:rPr>
                <w:rFonts w:hint="eastAsia" w:ascii="宋体" w:hAnsi="宋体"/>
                <w:color w:val="000000" w:themeColor="text1"/>
                <w:szCs w:val="21"/>
                <w:highlight w:val="none"/>
                <w14:textFill>
                  <w14:solidFill>
                    <w14:schemeClr w14:val="tx1"/>
                  </w14:solidFill>
                </w14:textFill>
              </w:rPr>
              <w:t>。</w:t>
            </w:r>
          </w:p>
          <w:p w14:paraId="14552486">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2166D39E">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 公布在</w:t>
            </w:r>
            <w:r>
              <w:rPr>
                <w:rFonts w:hint="eastAsia" w:ascii="宋体" w:hAnsi="宋体"/>
                <w:color w:val="000000" w:themeColor="text1"/>
                <w:szCs w:val="21"/>
                <w:highlight w:val="none"/>
                <w14:textFill>
                  <w14:solidFill>
                    <w14:schemeClr w14:val="tx1"/>
                  </w14:solidFill>
                </w14:textFill>
              </w:rPr>
              <w:t>竞选截止时间</w:t>
            </w:r>
            <w:r>
              <w:rPr>
                <w:rFonts w:ascii="宋体" w:hAnsi="宋体"/>
                <w:color w:val="000000" w:themeColor="text1"/>
                <w:szCs w:val="21"/>
                <w:highlight w:val="none"/>
                <w14:textFill>
                  <w14:solidFill>
                    <w14:schemeClr w14:val="tx1"/>
                  </w14:solidFill>
                </w14:textFill>
              </w:rPr>
              <w:t>前递交</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00D10AF3">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14:textFill>
                  <w14:solidFill>
                    <w14:schemeClr w14:val="tx1"/>
                  </w14:solidFill>
                </w14:textFill>
              </w:rPr>
              <w:t>竞选文件的密封检查：竞选人可对自己的竞选文件封装情况进行检查，以确认其竞选文件密封完好。</w:t>
            </w:r>
          </w:p>
          <w:p w14:paraId="6E9DC8BE">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核验投标保证金交纳情况。</w:t>
            </w:r>
          </w:p>
          <w:p w14:paraId="362B1145">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 公布最高限价</w:t>
            </w:r>
            <w:r>
              <w:rPr>
                <w:rFonts w:hint="eastAsia" w:ascii="宋体" w:hAnsi="宋体"/>
                <w:color w:val="000000" w:themeColor="text1"/>
                <w:szCs w:val="21"/>
                <w:highlight w:val="none"/>
                <w14:textFill>
                  <w14:solidFill>
                    <w14:schemeClr w14:val="tx1"/>
                  </w14:solidFill>
                </w14:textFill>
              </w:rPr>
              <w:t>。</w:t>
            </w:r>
          </w:p>
          <w:p w14:paraId="2D4246D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大袋及投标函部分袋、技术部分袋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w:t>
            </w:r>
            <w:r>
              <w:rPr>
                <w:rFonts w:hint="eastAsia" w:ascii="宋体" w:hAnsi="宋体"/>
                <w:color w:val="000000" w:themeColor="text1"/>
                <w:szCs w:val="21"/>
                <w:highlight w:val="none"/>
                <w14:textFill>
                  <w14:solidFill>
                    <w14:schemeClr w14:val="tx1"/>
                  </w14:solidFill>
                </w14:textFill>
              </w:rPr>
              <w:t>服务期</w:t>
            </w:r>
            <w:r>
              <w:rPr>
                <w:rFonts w:ascii="宋体" w:hAnsi="宋体"/>
                <w:color w:val="000000" w:themeColor="text1"/>
                <w:szCs w:val="21"/>
                <w:highlight w:val="none"/>
                <w14:textFill>
                  <w14:solidFill>
                    <w14:schemeClr w14:val="tx1"/>
                  </w14:solidFill>
                </w14:textFill>
              </w:rPr>
              <w:t>及其他内容并记录在案</w:t>
            </w:r>
            <w:r>
              <w:rPr>
                <w:rFonts w:hint="eastAsia" w:ascii="宋体" w:hAnsi="宋体"/>
                <w:color w:val="000000" w:themeColor="text1"/>
                <w:szCs w:val="21"/>
                <w:highlight w:val="none"/>
                <w14:textFill>
                  <w14:solidFill>
                    <w14:schemeClr w14:val="tx1"/>
                  </w14:solidFill>
                </w14:textFill>
              </w:rPr>
              <w:t>。</w:t>
            </w:r>
          </w:p>
          <w:p w14:paraId="62A406C9">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竞选人对开标有异议的，应当场提出，由比选人或代理机构当场答复，并记录到开标记录表中。异议处理完毕后，汇总开标情况，打印开标记录表。</w:t>
            </w:r>
          </w:p>
          <w:p w14:paraId="49A529B5">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603DD2AD">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 开标结束。</w:t>
            </w:r>
          </w:p>
        </w:tc>
      </w:tr>
      <w:tr w14:paraId="29CDE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16AC59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4" w:type="dxa"/>
            <w:vAlign w:val="center"/>
          </w:tcPr>
          <w:p w14:paraId="182B84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评选委员会的组建</w:t>
            </w:r>
          </w:p>
        </w:tc>
        <w:tc>
          <w:tcPr>
            <w:tcW w:w="6372" w:type="dxa"/>
            <w:vAlign w:val="center"/>
          </w:tcPr>
          <w:p w14:paraId="58806D1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1、评选委员会构成：</w:t>
            </w: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人。</w:t>
            </w:r>
          </w:p>
          <w:p w14:paraId="51E71999">
            <w:pPr>
              <w:pStyle w:val="8"/>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2、评选专家确定方式：依法组建。</w:t>
            </w:r>
          </w:p>
        </w:tc>
      </w:tr>
      <w:tr w14:paraId="4A1A8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BF7F11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4" w:type="dxa"/>
            <w:vAlign w:val="center"/>
          </w:tcPr>
          <w:p w14:paraId="51E9482A">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是否授权评选委员会确定中选人</w:t>
            </w:r>
          </w:p>
        </w:tc>
        <w:tc>
          <w:tcPr>
            <w:tcW w:w="6372" w:type="dxa"/>
            <w:vAlign w:val="center"/>
          </w:tcPr>
          <w:p w14:paraId="7D82454D">
            <w:pPr>
              <w:snapToGrid w:val="0"/>
              <w:spacing w:line="400" w:lineRule="exact"/>
              <w:ind w:firstLine="210" w:firstLineChars="1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p w14:paraId="09A99735">
            <w:pPr>
              <w:snapToGrid w:val="0"/>
              <w:spacing w:line="400" w:lineRule="exact"/>
              <w:ind w:firstLine="210" w:firstLineChars="100"/>
              <w:rPr>
                <w:rFonts w:hint="eastAsia" w:ascii="宋体" w:hAnsi="宋体" w:cs="宋体"/>
                <w:i/>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否，</w:t>
            </w:r>
            <w:r>
              <w:rPr>
                <w:rFonts w:ascii="宋体" w:hAnsi="宋体" w:cs="宋体"/>
                <w:color w:val="000000" w:themeColor="text1"/>
                <w:szCs w:val="21"/>
                <w:highlight w:val="none"/>
                <w14:textFill>
                  <w14:solidFill>
                    <w14:schemeClr w14:val="tx1"/>
                  </w14:solidFill>
                </w14:textFill>
              </w:rPr>
              <w:t>推荐经</w:t>
            </w:r>
            <w:r>
              <w:rPr>
                <w:rFonts w:hint="eastAsia" w:ascii="宋体" w:hAnsi="宋体" w:cs="宋体"/>
                <w:color w:val="000000" w:themeColor="text1"/>
                <w:szCs w:val="21"/>
                <w:highlight w:val="none"/>
                <w14:textFill>
                  <w14:solidFill>
                    <w14:schemeClr w14:val="tx1"/>
                  </w14:solidFill>
                </w14:textFill>
              </w:rPr>
              <w:t>评选</w:t>
            </w:r>
            <w:r>
              <w:rPr>
                <w:rFonts w:ascii="宋体" w:hAnsi="宋体" w:cs="宋体"/>
                <w:color w:val="000000" w:themeColor="text1"/>
                <w:szCs w:val="21"/>
                <w:highlight w:val="none"/>
                <w14:textFill>
                  <w14:solidFill>
                    <w14:schemeClr w14:val="tx1"/>
                  </w14:solidFill>
                </w14:textFill>
              </w:rPr>
              <w:t>综合得分由高到低排名前三名为</w:t>
            </w:r>
            <w:r>
              <w:rPr>
                <w:rFonts w:hint="eastAsia" w:ascii="宋体" w:hAnsi="宋体" w:cs="宋体"/>
                <w:color w:val="000000" w:themeColor="text1"/>
                <w:szCs w:val="21"/>
                <w:highlight w:val="none"/>
                <w14:textFill>
                  <w14:solidFill>
                    <w14:schemeClr w14:val="tx1"/>
                  </w14:solidFill>
                </w14:textFill>
              </w:rPr>
              <w:t>中选</w:t>
            </w:r>
            <w:r>
              <w:rPr>
                <w:rFonts w:ascii="宋体" w:hAnsi="宋体" w:cs="宋体"/>
                <w:color w:val="000000" w:themeColor="text1"/>
                <w:szCs w:val="21"/>
                <w:highlight w:val="none"/>
                <w14:textFill>
                  <w14:solidFill>
                    <w14:schemeClr w14:val="tx1"/>
                  </w14:solidFill>
                </w14:textFill>
              </w:rPr>
              <w:t>候选人</w:t>
            </w:r>
            <w:r>
              <w:rPr>
                <w:rFonts w:hint="eastAsia" w:ascii="宋体" w:hAnsi="宋体" w:cs="宋体"/>
                <w:color w:val="000000" w:themeColor="text1"/>
                <w:kern w:val="0"/>
                <w:szCs w:val="21"/>
                <w:highlight w:val="none"/>
                <w14:textFill>
                  <w14:solidFill>
                    <w14:schemeClr w14:val="tx1"/>
                  </w14:solidFill>
                </w14:textFill>
              </w:rPr>
              <w:t>。</w:t>
            </w:r>
          </w:p>
        </w:tc>
      </w:tr>
      <w:tr w14:paraId="5304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6946FB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964" w:type="dxa"/>
            <w:vAlign w:val="center"/>
          </w:tcPr>
          <w:p w14:paraId="378FA484">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中选结果公告</w:t>
            </w:r>
          </w:p>
        </w:tc>
        <w:tc>
          <w:tcPr>
            <w:tcW w:w="6372" w:type="dxa"/>
            <w:vAlign w:val="center"/>
          </w:tcPr>
          <w:p w14:paraId="1CA7235D">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评选结果在比选人确认评选结果后2个工作日内，于“</w:t>
            </w:r>
            <w:r>
              <w:rPr>
                <w:rFonts w:hint="eastAsia" w:ascii="宋体" w:hAnsi="宋体"/>
                <w:snapToGrid w:val="0"/>
                <w:color w:val="000000" w:themeColor="text1"/>
                <w:kern w:val="0"/>
                <w:szCs w:val="21"/>
                <w:highlight w:val="none"/>
                <w14:textFill>
                  <w14:solidFill>
                    <w14:schemeClr w14:val="tx1"/>
                  </w14:solidFill>
                </w14:textFill>
              </w:rPr>
              <w:t>行采家”网站（https://www.gec123.com/）上</w:t>
            </w:r>
            <w:r>
              <w:rPr>
                <w:rFonts w:hint="eastAsia" w:ascii="宋体" w:hAnsi="宋体" w:cs="宋体"/>
                <w:color w:val="000000" w:themeColor="text1"/>
                <w:szCs w:val="21"/>
                <w:highlight w:val="none"/>
                <w14:textFill>
                  <w14:solidFill>
                    <w14:schemeClr w14:val="tx1"/>
                  </w14:solidFill>
                </w14:textFill>
              </w:rPr>
              <w:t>进行公告，公告期限为3日。</w:t>
            </w:r>
          </w:p>
        </w:tc>
      </w:tr>
      <w:tr w14:paraId="37788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9FE72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964" w:type="dxa"/>
            <w:vAlign w:val="center"/>
          </w:tcPr>
          <w:p w14:paraId="3673CEA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372" w:type="dxa"/>
            <w:vAlign w:val="center"/>
          </w:tcPr>
          <w:p w14:paraId="23EDA01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1、中标人是否提供履约保证金：</w:t>
            </w:r>
            <w:r>
              <w:rPr>
                <w:rFonts w:hint="eastAsia" w:ascii="宋体" w:hAnsi="宋体"/>
                <w:color w:val="000000" w:themeColor="text1"/>
                <w:kern w:val="0"/>
                <w:szCs w:val="21"/>
                <w:highlight w:val="none"/>
                <w:u w:val="singl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w:t>
            </w:r>
          </w:p>
          <w:p w14:paraId="4A67269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2、中标人提供履约保证金的形式、金额及期限：</w:t>
            </w:r>
          </w:p>
          <w:p w14:paraId="69A5D722">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保证金的形式：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hint="eastAsia" w:ascii="宋体" w:hAnsi="宋体"/>
                <w:color w:val="000000" w:themeColor="text1"/>
                <w:kern w:val="0"/>
                <w:szCs w:val="21"/>
                <w:highlight w:val="none"/>
                <w:lang w:eastAsia="zh-CN"/>
                <w14:textFill>
                  <w14:solidFill>
                    <w14:schemeClr w14:val="tx1"/>
                  </w14:solidFill>
                </w14:textFill>
              </w:rPr>
              <w:t>。</w:t>
            </w:r>
          </w:p>
          <w:p w14:paraId="42E9BBAF">
            <w:pPr>
              <w:snapToGrid w:val="0"/>
              <w:spacing w:line="400" w:lineRule="exact"/>
              <w:ind w:firstLine="420" w:firstLineChars="200"/>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（2）履约保证金的金额：</w:t>
            </w:r>
            <w:r>
              <w:rPr>
                <w:rFonts w:ascii="宋体" w:hAnsi="宋体"/>
                <w:color w:val="000000" w:themeColor="text1"/>
                <w:kern w:val="0"/>
                <w:szCs w:val="21"/>
                <w:highlight w:val="none"/>
                <w14:textFill>
                  <w14:solidFill>
                    <w14:schemeClr w14:val="tx1"/>
                  </w14:solidFill>
                </w14:textFill>
              </w:rPr>
              <w:t>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151B74E5">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（3）履约保证金的提交时间：见专用合同条款。</w:t>
            </w:r>
          </w:p>
          <w:p w14:paraId="29CF04B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（4）履约保证金的期限：见专用合同条款。</w:t>
            </w:r>
          </w:p>
          <w:p w14:paraId="67D6513B">
            <w:pPr>
              <w:snapToGrid w:val="0"/>
              <w:spacing w:after="48" w:afterLines="2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（5）履约保证金的退还时间：见专用合同条款。</w:t>
            </w:r>
          </w:p>
        </w:tc>
      </w:tr>
      <w:tr w14:paraId="31BD3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8356A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964" w:type="dxa"/>
            <w:vAlign w:val="center"/>
          </w:tcPr>
          <w:p w14:paraId="3A9FBDD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重新比选</w:t>
            </w:r>
          </w:p>
        </w:tc>
        <w:tc>
          <w:tcPr>
            <w:tcW w:w="6372" w:type="dxa"/>
            <w:vAlign w:val="center"/>
          </w:tcPr>
          <w:p w14:paraId="1D4319BB">
            <w:pPr>
              <w:autoSpaceDE w:val="0"/>
              <w:autoSpaceDN w:val="0"/>
              <w:adjustRightInd w:val="0"/>
              <w:snapToGrid w:val="0"/>
              <w:spacing w:after="62" w:afterLines="20" w:line="400" w:lineRule="exact"/>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1.初次比选：按竞选人须知第8.1执行；</w:t>
            </w:r>
          </w:p>
          <w:p w14:paraId="323EE3FD">
            <w:pPr>
              <w:autoSpaceDE w:val="0"/>
              <w:autoSpaceDN w:val="0"/>
              <w:adjustRightInd w:val="0"/>
              <w:snapToGrid w:val="0"/>
              <w:spacing w:after="62" w:afterLines="20"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2.二次比选：若初次比选因故终止，第二次比选有效竞选人仍然少于三个的，按照原规定的程序比选和评审。</w:t>
            </w:r>
          </w:p>
        </w:tc>
      </w:tr>
      <w:tr w14:paraId="39395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1642D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336" w:type="dxa"/>
            <w:gridSpan w:val="2"/>
            <w:vAlign w:val="center"/>
          </w:tcPr>
          <w:p w14:paraId="250E860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w:t>
            </w:r>
          </w:p>
        </w:tc>
      </w:tr>
      <w:tr w14:paraId="67B6B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87F6D44">
            <w:pPr>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w:t>
            </w:r>
          </w:p>
        </w:tc>
        <w:tc>
          <w:tcPr>
            <w:tcW w:w="1964" w:type="dxa"/>
            <w:vAlign w:val="center"/>
          </w:tcPr>
          <w:p w14:paraId="7B8FACFB">
            <w:pPr>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低价风险担保</w:t>
            </w:r>
          </w:p>
        </w:tc>
        <w:tc>
          <w:tcPr>
            <w:tcW w:w="6372" w:type="dxa"/>
            <w:vAlign w:val="center"/>
          </w:tcPr>
          <w:p w14:paraId="025BD8CB">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1、低价风险担保：中标价低于最高限价的85%时提供，如不按时足额提供，视为中标人放弃中标，招标人有权不退还其投标保证金，</w:t>
            </w:r>
            <w:r>
              <w:rPr>
                <w:rFonts w:hint="eastAsia" w:ascii="宋体" w:hAnsi="宋体" w:eastAsia="宋体" w:cs="宋体"/>
                <w:color w:val="000000" w:themeColor="text1"/>
                <w:sz w:val="21"/>
                <w:szCs w:val="21"/>
                <w:highlight w:val="none"/>
                <w14:textFill>
                  <w14:solidFill>
                    <w14:schemeClr w14:val="tx1"/>
                  </w14:solidFill>
                </w14:textFill>
              </w:rPr>
              <w:t>并报招标投标行政监督部门按照信用管理办法的规定处理，对中标人的不良行为直接记12分，纳入重点关注名单。</w:t>
            </w:r>
          </w:p>
          <w:p w14:paraId="617778C6">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2、中标人提供低价风险担保的形式、金额及期限：</w:t>
            </w:r>
          </w:p>
          <w:p w14:paraId="225E3159">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（1）低价风险担保的形式：现金或银行保函</w:t>
            </w:r>
            <w:r>
              <w:rPr>
                <w:rFonts w:hint="eastAsia" w:ascii="宋体" w:hAnsi="宋体" w:eastAsia="宋体" w:cs="宋体"/>
                <w:color w:val="000000" w:themeColor="text1"/>
                <w:sz w:val="21"/>
                <w:szCs w:val="21"/>
                <w:highlight w:val="none"/>
                <w14:textFill>
                  <w14:solidFill>
                    <w14:schemeClr w14:val="tx1"/>
                  </w14:solidFill>
                </w14:textFill>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6C010463">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i/>
                <w:i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（2）低价风险担保的金额：（最高限价×85%-中标价）×3</w:t>
            </w:r>
            <w:r>
              <w:rPr>
                <w:rStyle w:val="41"/>
                <w:rFonts w:hint="eastAsia" w:ascii="宋体" w:hAnsi="宋体" w:eastAsia="宋体" w:cs="宋体"/>
                <w:color w:val="000000" w:themeColor="text1"/>
                <w:sz w:val="21"/>
                <w:szCs w:val="21"/>
                <w:highlight w:val="none"/>
                <w:lang w:eastAsia="zh-CN"/>
                <w14:textFill>
                  <w14:solidFill>
                    <w14:schemeClr w14:val="tx1"/>
                  </w14:solidFill>
                </w14:textFill>
              </w:rPr>
              <w:t>。</w:t>
            </w:r>
          </w:p>
          <w:p w14:paraId="1D08225E">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（3）低价风险担保送达招标人的时间：从招标人低价风险担保书面通知送达中标候选人之日起7个工作日内</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2A3DB0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（4）中标人因自身原因未按中标通知书规定的时限与招标人签订合同的，招标人有权扣除其低价风险担保并取消中标资格。</w:t>
            </w:r>
          </w:p>
          <w:p w14:paraId="45412C5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（5）低价风险担保的期限：</w:t>
            </w:r>
            <w:r>
              <w:rPr>
                <w:rFonts w:hint="eastAsia" w:ascii="宋体" w:hAnsi="宋体" w:cs="宋体"/>
                <w:color w:val="000000" w:themeColor="text1"/>
                <w:kern w:val="0"/>
                <w:szCs w:val="21"/>
                <w:highlight w:val="none"/>
                <w:lang w:bidi="ar"/>
                <w14:textFill>
                  <w14:solidFill>
                    <w14:schemeClr w14:val="tx1"/>
                  </w14:solidFill>
                </w14:textFill>
              </w:rPr>
              <w:t>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766196D5">
            <w:pPr>
              <w:keepNext w:val="0"/>
              <w:keepLines w:val="0"/>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3、低价风险担保的退还时间：</w:t>
            </w:r>
            <w:r>
              <w:rPr>
                <w:rFonts w:hint="eastAsia" w:ascii="宋体" w:hAnsi="宋体" w:cs="宋体"/>
                <w:color w:val="000000" w:themeColor="text1"/>
                <w:kern w:val="0"/>
                <w:szCs w:val="21"/>
                <w:highlight w:val="none"/>
                <w:lang w:bidi="ar"/>
                <w14:textFill>
                  <w14:solidFill>
                    <w14:schemeClr w14:val="tx1"/>
                  </w14:solidFill>
                </w14:textFill>
              </w:rPr>
              <w:t>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2C2AC38D">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5835BDB">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14:paraId="2E70FE96">
            <w:pPr>
              <w:pStyle w:val="8"/>
              <w:keepNext w:val="0"/>
              <w:keepLines w:val="0"/>
              <w:pageBreakBefore w:val="0"/>
              <w:widowControl/>
              <w:kinsoku/>
              <w:wordWrap/>
              <w:overflowPunct/>
              <w:topLinePunct w:val="0"/>
              <w:bidi w:val="0"/>
              <w:spacing w:after="0" w:line="40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5、投标总报价低于最高限价85%的，</w:t>
            </w:r>
            <w:r>
              <w:rPr>
                <w:rFonts w:hint="eastAsia" w:ascii="宋体" w:hAnsi="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应在编制</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时，在投标函部分中递交低价风险担保提交承诺书。承诺书格式详见第</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章</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w:t>
            </w:r>
          </w:p>
        </w:tc>
      </w:tr>
      <w:tr w14:paraId="4A679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E07EDD">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w:t>
            </w:r>
          </w:p>
        </w:tc>
        <w:tc>
          <w:tcPr>
            <w:tcW w:w="1964" w:type="dxa"/>
            <w:vAlign w:val="center"/>
          </w:tcPr>
          <w:p w14:paraId="4D6FC0AC">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比选代理服务费</w:t>
            </w:r>
          </w:p>
        </w:tc>
        <w:tc>
          <w:tcPr>
            <w:tcW w:w="6372" w:type="dxa"/>
            <w:vAlign w:val="center"/>
          </w:tcPr>
          <w:p w14:paraId="348F4B1B">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1.根据项目中标金额计算招标代理服务，收费按照渝招投协〔2015〕11号重庆市招标投标协会关于印发《重庆市招标代理服务规范（试行）》的通知收费标准70%计算。不足</w:t>
            </w:r>
            <w:r>
              <w:rPr>
                <w:rFonts w:ascii="宋体" w:hAnsi="宋体" w:cs="MingLiU"/>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5</w:t>
            </w:r>
            <w:r>
              <w:rPr>
                <w:rFonts w:hint="eastAsia" w:ascii="宋体" w:hAnsi="宋体" w:cs="MingLiU"/>
                <w:snapToGrid w:val="0"/>
                <w:color w:val="000000" w:themeColor="text1"/>
                <w:kern w:val="0"/>
                <w:szCs w:val="21"/>
                <w:highlight w:val="none"/>
                <w14:textFill>
                  <w14:solidFill>
                    <w14:schemeClr w14:val="tx1"/>
                  </w14:solidFill>
                </w14:textFill>
              </w:rPr>
              <w:t>00.00元按固定收费金额：</w:t>
            </w:r>
            <w:r>
              <w:rPr>
                <w:rFonts w:ascii="宋体" w:hAnsi="宋体" w:cs="MingLiU"/>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5</w:t>
            </w:r>
            <w:r>
              <w:rPr>
                <w:rFonts w:hint="eastAsia" w:ascii="宋体" w:hAnsi="宋体" w:cs="MingLiU"/>
                <w:snapToGrid w:val="0"/>
                <w:color w:val="000000" w:themeColor="text1"/>
                <w:kern w:val="0"/>
                <w:szCs w:val="21"/>
                <w:highlight w:val="none"/>
                <w14:textFill>
                  <w14:solidFill>
                    <w14:schemeClr w14:val="tx1"/>
                  </w14:solidFill>
                </w14:textFill>
              </w:rPr>
              <w:t>00.00元计算。</w:t>
            </w:r>
          </w:p>
          <w:p w14:paraId="784127F1">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2</w:t>
            </w:r>
            <w:r>
              <w:rPr>
                <w:rFonts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比选代理费由中标人在领取中标通知书时一次性向比选代理机构支付。</w:t>
            </w:r>
          </w:p>
          <w:p w14:paraId="76A64048">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ascii="宋体" w:hAnsi="宋体" w:cs="MingLiU"/>
                <w:snapToGrid w:val="0"/>
                <w:color w:val="000000" w:themeColor="text1"/>
                <w:kern w:val="0"/>
                <w:szCs w:val="21"/>
                <w:highlight w:val="none"/>
                <w14:textFill>
                  <w14:solidFill>
                    <w14:schemeClr w14:val="tx1"/>
                  </w14:solidFill>
                </w14:textFill>
              </w:rPr>
              <w:t>3.</w:t>
            </w:r>
            <w:r>
              <w:rPr>
                <w:rFonts w:hint="eastAsia" w:ascii="宋体" w:hAnsi="宋体" w:cs="MingLiU"/>
                <w:snapToGrid w:val="0"/>
                <w:color w:val="000000" w:themeColor="text1"/>
                <w:kern w:val="0"/>
                <w:szCs w:val="21"/>
                <w:highlight w:val="none"/>
                <w14:textFill>
                  <w14:solidFill>
                    <w14:schemeClr w14:val="tx1"/>
                  </w14:solidFill>
                </w14:textFill>
              </w:rPr>
              <w:t>比选代理服务费缴纳账户信息：</w:t>
            </w:r>
          </w:p>
          <w:p w14:paraId="62FD148C">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ascii="宋体" w:hAnsi="宋体" w:cs="MingLiU"/>
                <w:snapToGrid w:val="0"/>
                <w:color w:val="000000" w:themeColor="text1"/>
                <w:kern w:val="0"/>
                <w:szCs w:val="21"/>
                <w:highlight w:val="none"/>
                <w14:textFill>
                  <w14:solidFill>
                    <w14:schemeClr w14:val="tx1"/>
                  </w14:solidFill>
                </w14:textFill>
              </w:rPr>
              <w:t>户  名：重庆市中基致信招标代理有限公司</w:t>
            </w:r>
          </w:p>
          <w:p w14:paraId="220A2B95">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开户行：中国银行重庆江北支行</w:t>
            </w:r>
          </w:p>
          <w:p w14:paraId="41288448">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账  号：1144 6718 4234</w:t>
            </w:r>
          </w:p>
        </w:tc>
      </w:tr>
      <w:tr w14:paraId="1F32D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36A015F">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w:t>
            </w:r>
          </w:p>
        </w:tc>
        <w:tc>
          <w:tcPr>
            <w:tcW w:w="1964" w:type="dxa"/>
            <w:vAlign w:val="center"/>
          </w:tcPr>
          <w:p w14:paraId="14C35B74">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关于对比选文件及竞选文件理解争议的解释</w:t>
            </w:r>
          </w:p>
        </w:tc>
        <w:tc>
          <w:tcPr>
            <w:tcW w:w="6372" w:type="dxa"/>
            <w:vAlign w:val="center"/>
          </w:tcPr>
          <w:p w14:paraId="25981EA0">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对比选文件的评选标准和方法，以及资格审查和否决条款理解有争议的，应当作出不利于比选人的解释，但违背国家利益、社会公共利益的除外。</w:t>
            </w:r>
          </w:p>
          <w:p w14:paraId="57DB9D6A">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对竞选文件理解有争议的，应当作出不利于提交该竞选文件的竞选人的解释。</w:t>
            </w:r>
          </w:p>
        </w:tc>
      </w:tr>
      <w:tr w14:paraId="49528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D19C3E">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964" w:type="dxa"/>
            <w:vAlign w:val="center"/>
          </w:tcPr>
          <w:p w14:paraId="6863D71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中选候选人和中选人无故放弃中选或不签订合同的后果</w:t>
            </w:r>
          </w:p>
        </w:tc>
        <w:tc>
          <w:tcPr>
            <w:tcW w:w="6372" w:type="dxa"/>
            <w:vAlign w:val="center"/>
          </w:tcPr>
          <w:p w14:paraId="594005D1">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1.不予退还比选保证金；</w:t>
            </w:r>
          </w:p>
          <w:p w14:paraId="082C090F">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2.给比选人造成经济损失的，要赔偿比选人合理损失；</w:t>
            </w:r>
          </w:p>
          <w:p w14:paraId="1C6427AB">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3.由比选人将其不良行为上报监督部门处理。</w:t>
            </w:r>
          </w:p>
        </w:tc>
      </w:tr>
      <w:tr w14:paraId="6708F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21052A2">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bookmarkStart w:id="41" w:name="_Toc277082552"/>
            <w:bookmarkStart w:id="42" w:name="_Toc287607746"/>
            <w:bookmarkStart w:id="43" w:name="_Toc430530435"/>
            <w:bookmarkStart w:id="44" w:name="_Toc287620685"/>
            <w:bookmarkStart w:id="45" w:name="_Toc509218710"/>
            <w:bookmarkStart w:id="46" w:name="_Toc200513126"/>
            <w:bookmarkStart w:id="47" w:name="_Toc224103317"/>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5</w:t>
            </w:r>
          </w:p>
        </w:tc>
        <w:tc>
          <w:tcPr>
            <w:tcW w:w="1964" w:type="dxa"/>
            <w:vAlign w:val="center"/>
          </w:tcPr>
          <w:p w14:paraId="01A3BCB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特别说明</w:t>
            </w:r>
          </w:p>
        </w:tc>
        <w:tc>
          <w:tcPr>
            <w:tcW w:w="6372" w:type="dxa"/>
            <w:vAlign w:val="center"/>
          </w:tcPr>
          <w:p w14:paraId="521E6BD1">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项目非因</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人原因取消的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人不补偿或赔偿</w:t>
            </w:r>
            <w:r>
              <w:rPr>
                <w:rFonts w:hint="eastAsia" w:ascii="宋体" w:hAnsi="宋体" w:eastAsia="宋体" w:cs="宋体"/>
                <w:color w:val="000000" w:themeColor="text1"/>
                <w:kern w:val="0"/>
                <w:szCs w:val="21"/>
                <w:highlight w:val="none"/>
                <w:lang w:val="en-US" w:eastAsia="zh-CN"/>
                <w14:textFill>
                  <w14:solidFill>
                    <w14:schemeClr w14:val="tx1"/>
                  </w14:solidFill>
                </w14:textFill>
              </w:rPr>
              <w:t>竞选</w:t>
            </w:r>
            <w:r>
              <w:rPr>
                <w:rFonts w:hint="eastAsia" w:ascii="宋体" w:hAnsi="宋体" w:eastAsia="宋体" w:cs="宋体"/>
                <w:color w:val="000000" w:themeColor="text1"/>
                <w:kern w:val="0"/>
                <w:szCs w:val="21"/>
                <w:highlight w:val="none"/>
                <w14:textFill>
                  <w14:solidFill>
                    <w14:schemeClr w14:val="tx1"/>
                  </w14:solidFill>
                </w14:textFill>
              </w:rPr>
              <w:t>人。</w:t>
            </w:r>
          </w:p>
          <w:p w14:paraId="4F6AEC24">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42E940B3">
      <w:pPr>
        <w:pStyle w:val="8"/>
        <w:outlineLvl w:val="1"/>
        <w:rPr>
          <w:rFonts w:hint="eastAsia" w:ascii="宋体" w:hAnsi="宋体" w:cs="宋体"/>
          <w:bCs/>
          <w:snapToGrid w:val="0"/>
          <w:color w:val="000000" w:themeColor="text1"/>
          <w:sz w:val="24"/>
          <w:highlight w:val="none"/>
          <w14:textFill>
            <w14:solidFill>
              <w14:schemeClr w14:val="tx1"/>
            </w14:solidFill>
          </w14:textFill>
        </w:rPr>
      </w:pPr>
    </w:p>
    <w:p w14:paraId="187A7F3B">
      <w:pPr>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2E6FC331">
      <w:pPr>
        <w:pStyle w:val="8"/>
        <w:outlineLvl w:val="1"/>
        <w:rPr>
          <w:rFonts w:hint="eastAsia"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  总则</w:t>
      </w:r>
      <w:bookmarkEnd w:id="41"/>
      <w:bookmarkEnd w:id="42"/>
      <w:bookmarkEnd w:id="43"/>
      <w:bookmarkEnd w:id="44"/>
      <w:bookmarkEnd w:id="45"/>
      <w:bookmarkEnd w:id="46"/>
      <w:bookmarkEnd w:id="47"/>
    </w:p>
    <w:p w14:paraId="109FF097">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 w:name="_Toc287620686"/>
      <w:bookmarkStart w:id="49" w:name="_Toc3411"/>
      <w:bookmarkStart w:id="50" w:name="_Toc40569141"/>
      <w:bookmarkStart w:id="51" w:name="_Toc430530436"/>
      <w:bookmarkStart w:id="52" w:name="_Toc287607747"/>
      <w:bookmarkStart w:id="53" w:name="_Toc277082553"/>
      <w:bookmarkStart w:id="54" w:name="_Toc32083"/>
      <w:bookmarkStart w:id="55" w:name="_Toc200513127"/>
      <w:bookmarkStart w:id="56" w:name="_Toc10890"/>
      <w:bookmarkStart w:id="57" w:name="_Toc224103318"/>
      <w:bookmarkStart w:id="58" w:name="_Toc40569046"/>
      <w:bookmarkStart w:id="59" w:name="_Toc509218711"/>
      <w:r>
        <w:rPr>
          <w:rFonts w:hint="eastAsia" w:ascii="宋体" w:hAnsi="宋体" w:cs="宋体"/>
          <w:b w:val="0"/>
          <w:snapToGrid w:val="0"/>
          <w:color w:val="000000" w:themeColor="text1"/>
          <w:sz w:val="24"/>
          <w:szCs w:val="24"/>
          <w:highlight w:val="none"/>
          <w14:textFill>
            <w14:solidFill>
              <w14:schemeClr w14:val="tx1"/>
            </w14:solidFill>
          </w14:textFill>
        </w:rPr>
        <w:t>1.1  项目概况</w:t>
      </w:r>
      <w:bookmarkEnd w:id="48"/>
      <w:bookmarkEnd w:id="49"/>
      <w:bookmarkEnd w:id="50"/>
      <w:bookmarkEnd w:id="51"/>
      <w:bookmarkEnd w:id="52"/>
      <w:bookmarkEnd w:id="53"/>
      <w:bookmarkEnd w:id="54"/>
      <w:bookmarkEnd w:id="55"/>
      <w:bookmarkEnd w:id="56"/>
      <w:bookmarkEnd w:id="57"/>
      <w:bookmarkEnd w:id="58"/>
      <w:bookmarkEnd w:id="59"/>
    </w:p>
    <w:p w14:paraId="62DD96C3">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根据《中华人民共和国招标投标法》等有关法律、法规和规章的规定，本发包项目已具备比选条件，现对本项目进行竞争性比选。</w:t>
      </w:r>
    </w:p>
    <w:p w14:paraId="69EDA2BC">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本发包项目比选人：见竞选人须知前附表。</w:t>
      </w:r>
    </w:p>
    <w:p w14:paraId="5C88F5B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本项目比选代理机构：见竞选人须知前附表。</w:t>
      </w:r>
    </w:p>
    <w:p w14:paraId="0D474B25">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本发包项目名称：见竞选人须知前附表。</w:t>
      </w:r>
    </w:p>
    <w:p w14:paraId="031A7FD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本项目建设地点：见竞选人须知前附表。</w:t>
      </w:r>
    </w:p>
    <w:p w14:paraId="2AA82EA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本项目建设规模：见竞选人须知前附表。</w:t>
      </w:r>
    </w:p>
    <w:p w14:paraId="1113AA8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0" w:name="_Toc40569142"/>
      <w:bookmarkStart w:id="61" w:name="_Toc25629"/>
      <w:bookmarkStart w:id="62" w:name="_Toc40569047"/>
      <w:bookmarkStart w:id="63" w:name="_Toc21234"/>
      <w:bookmarkStart w:id="64" w:name="_Toc287620687"/>
      <w:bookmarkStart w:id="65" w:name="_Toc287607748"/>
      <w:bookmarkStart w:id="66" w:name="_Toc2933"/>
      <w:bookmarkStart w:id="67" w:name="_Toc277082554"/>
      <w:bookmarkStart w:id="68" w:name="_Toc509218712"/>
      <w:bookmarkStart w:id="69" w:name="_Toc224103319"/>
      <w:bookmarkStart w:id="70" w:name="_Toc430530437"/>
      <w:bookmarkStart w:id="71" w:name="_Toc200513128"/>
      <w:r>
        <w:rPr>
          <w:rFonts w:hint="eastAsia" w:ascii="宋体" w:hAnsi="宋体" w:cs="宋体"/>
          <w:b w:val="0"/>
          <w:snapToGrid w:val="0"/>
          <w:color w:val="000000" w:themeColor="text1"/>
          <w:sz w:val="24"/>
          <w:szCs w:val="24"/>
          <w:highlight w:val="none"/>
          <w14:textFill>
            <w14:solidFill>
              <w14:schemeClr w14:val="tx1"/>
            </w14:solidFill>
          </w14:textFill>
        </w:rPr>
        <w:t>1.2  资金来源和落实情况</w:t>
      </w:r>
      <w:bookmarkEnd w:id="60"/>
      <w:bookmarkEnd w:id="61"/>
      <w:bookmarkEnd w:id="62"/>
      <w:bookmarkEnd w:id="63"/>
      <w:bookmarkEnd w:id="64"/>
      <w:bookmarkEnd w:id="65"/>
      <w:bookmarkEnd w:id="66"/>
      <w:bookmarkEnd w:id="67"/>
      <w:bookmarkEnd w:id="68"/>
      <w:bookmarkEnd w:id="69"/>
      <w:bookmarkEnd w:id="70"/>
      <w:bookmarkEnd w:id="71"/>
    </w:p>
    <w:p w14:paraId="3A82857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本发包项目的资金来源：见竞选人须知前附表。</w:t>
      </w:r>
    </w:p>
    <w:p w14:paraId="3C470072">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本发包项目的出资比例：见竞选人须知前附表。</w:t>
      </w:r>
    </w:p>
    <w:p w14:paraId="0AE8E39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本发包项目的资金落实情况：见竞选人须知前附表。</w:t>
      </w:r>
    </w:p>
    <w:p w14:paraId="236EF676">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72" w:name="_Toc3621"/>
      <w:bookmarkStart w:id="73" w:name="_Toc21182"/>
      <w:bookmarkStart w:id="74" w:name="_Toc224103320"/>
      <w:bookmarkStart w:id="75" w:name="_Toc200513129"/>
      <w:bookmarkStart w:id="76" w:name="_Toc40569143"/>
      <w:bookmarkStart w:id="77" w:name="_Toc509218713"/>
      <w:bookmarkStart w:id="78" w:name="_Toc23212"/>
      <w:bookmarkStart w:id="79" w:name="_Toc430530438"/>
      <w:bookmarkStart w:id="80" w:name="_Toc40569048"/>
      <w:bookmarkStart w:id="81" w:name="_Toc277082555"/>
      <w:bookmarkStart w:id="82" w:name="_Toc287620688"/>
      <w:bookmarkStart w:id="83" w:name="_Toc287607749"/>
      <w:r>
        <w:rPr>
          <w:rFonts w:hint="eastAsia" w:ascii="宋体" w:hAnsi="宋体" w:cs="宋体"/>
          <w:b w:val="0"/>
          <w:snapToGrid w:val="0"/>
          <w:color w:val="000000" w:themeColor="text1"/>
          <w:sz w:val="24"/>
          <w:szCs w:val="24"/>
          <w:highlight w:val="none"/>
          <w14:textFill>
            <w14:solidFill>
              <w14:schemeClr w14:val="tx1"/>
            </w14:solidFill>
          </w14:textFill>
        </w:rPr>
        <w:t>1.3  比选范围、工期和质量要求</w:t>
      </w:r>
      <w:bookmarkEnd w:id="72"/>
      <w:bookmarkEnd w:id="73"/>
      <w:bookmarkEnd w:id="74"/>
      <w:bookmarkEnd w:id="75"/>
      <w:bookmarkEnd w:id="76"/>
      <w:bookmarkEnd w:id="77"/>
      <w:bookmarkEnd w:id="78"/>
      <w:bookmarkEnd w:id="79"/>
      <w:bookmarkEnd w:id="80"/>
      <w:bookmarkEnd w:id="81"/>
      <w:bookmarkEnd w:id="82"/>
      <w:bookmarkEnd w:id="83"/>
    </w:p>
    <w:p w14:paraId="72F1DCF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本次比选范围：见竞选人须知前附表。</w:t>
      </w:r>
    </w:p>
    <w:p w14:paraId="43B6D03D">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本项目的服务期：见竞选人须知前附表。</w:t>
      </w:r>
    </w:p>
    <w:p w14:paraId="575F8C33">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本项目的质量要求：见竞选人须知前附表。</w:t>
      </w:r>
    </w:p>
    <w:p w14:paraId="07926AC8">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84" w:name="_Toc287620689"/>
      <w:bookmarkStart w:id="85" w:name="_Toc287607750"/>
      <w:bookmarkStart w:id="86" w:name="_Toc200513130"/>
      <w:bookmarkStart w:id="87" w:name="_Toc224103321"/>
      <w:bookmarkStart w:id="88" w:name="_Toc430530439"/>
      <w:bookmarkStart w:id="89" w:name="_Toc509218714"/>
      <w:bookmarkStart w:id="90" w:name="_Toc277082556"/>
      <w:bookmarkStart w:id="91" w:name="_Toc30002"/>
      <w:bookmarkStart w:id="92" w:name="_Toc5712"/>
      <w:bookmarkStart w:id="93" w:name="_Toc28521"/>
      <w:bookmarkStart w:id="94" w:name="_Toc40569049"/>
      <w:bookmarkStart w:id="95" w:name="_Toc40569144"/>
      <w:r>
        <w:rPr>
          <w:rFonts w:hint="eastAsia" w:ascii="宋体" w:hAnsi="宋体" w:cs="宋体"/>
          <w:b w:val="0"/>
          <w:snapToGrid w:val="0"/>
          <w:color w:val="000000" w:themeColor="text1"/>
          <w:sz w:val="24"/>
          <w:szCs w:val="24"/>
          <w:highlight w:val="none"/>
          <w14:textFill>
            <w14:solidFill>
              <w14:schemeClr w14:val="tx1"/>
            </w14:solidFill>
          </w14:textFill>
        </w:rPr>
        <w:t xml:space="preserve">1.4  </w:t>
      </w:r>
      <w:bookmarkEnd w:id="84"/>
      <w:bookmarkEnd w:id="85"/>
      <w:bookmarkEnd w:id="86"/>
      <w:bookmarkEnd w:id="87"/>
      <w:bookmarkEnd w:id="88"/>
      <w:bookmarkEnd w:id="89"/>
      <w:bookmarkEnd w:id="90"/>
      <w:bookmarkStart w:id="96" w:name="_Toc277082557"/>
      <w:bookmarkStart w:id="97" w:name="_Toc287620690"/>
      <w:bookmarkStart w:id="98" w:name="_Toc287607751"/>
      <w:bookmarkStart w:id="99" w:name="_Toc200513131"/>
      <w:bookmarkStart w:id="100" w:name="_Toc224103322"/>
      <w:bookmarkStart w:id="101" w:name="_Toc430530440"/>
      <w:bookmarkStart w:id="102" w:name="_Toc509218715"/>
      <w:r>
        <w:rPr>
          <w:rFonts w:hint="eastAsia" w:ascii="宋体" w:hAnsi="宋体" w:cs="宋体"/>
          <w:b w:val="0"/>
          <w:snapToGrid w:val="0"/>
          <w:color w:val="000000" w:themeColor="text1"/>
          <w:sz w:val="24"/>
          <w:szCs w:val="24"/>
          <w:highlight w:val="none"/>
          <w14:textFill>
            <w14:solidFill>
              <w14:schemeClr w14:val="tx1"/>
            </w14:solidFill>
          </w14:textFill>
        </w:rPr>
        <w:t>竞选人资格要求</w:t>
      </w:r>
      <w:bookmarkEnd w:id="91"/>
      <w:bookmarkEnd w:id="92"/>
      <w:bookmarkEnd w:id="93"/>
      <w:bookmarkEnd w:id="94"/>
      <w:bookmarkEnd w:id="95"/>
      <w:bookmarkEnd w:id="96"/>
      <w:bookmarkEnd w:id="97"/>
      <w:bookmarkEnd w:id="98"/>
      <w:bookmarkEnd w:id="99"/>
      <w:bookmarkEnd w:id="100"/>
      <w:bookmarkEnd w:id="101"/>
      <w:bookmarkEnd w:id="102"/>
    </w:p>
    <w:p w14:paraId="17171D80">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1.4.1 竞选人应具备承担本项目的资质条件、能力和信誉。</w:t>
      </w:r>
    </w:p>
    <w:p w14:paraId="6CD37CB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资质条件、营业执照</w:t>
      </w:r>
      <w:r>
        <w:rPr>
          <w:rFonts w:hint="eastAsia" w:ascii="宋体" w:hAnsi="宋体" w:cs="宋体"/>
          <w:snapToGrid w:val="0"/>
          <w:color w:val="000000" w:themeColor="text1"/>
          <w:kern w:val="0"/>
          <w:szCs w:val="21"/>
          <w:highlight w:val="none"/>
          <w14:textFill>
            <w14:solidFill>
              <w14:schemeClr w14:val="tx1"/>
            </w14:solidFill>
          </w14:textFill>
        </w:rPr>
        <w:t>：见竞选人须知前附表；</w:t>
      </w:r>
    </w:p>
    <w:p w14:paraId="08650BD8">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（2）财务要求：见竞选人须知前附表；</w:t>
      </w:r>
    </w:p>
    <w:p w14:paraId="1398C26A">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）人员要求：见竞选人须知前附表；</w:t>
      </w:r>
    </w:p>
    <w:p w14:paraId="66670724">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）其他要求：见竞选人须知前附表。</w:t>
      </w:r>
    </w:p>
    <w:p w14:paraId="1989D77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1.4.2  竞选人须知前附表规定接受联合体参与竞选的，除应符合本章第1.4.1项和竞选人须知前附表的要求外，还应遵守以下规定：</w:t>
      </w:r>
    </w:p>
    <w:p w14:paraId="581C56A2">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（1）联合体各方应按比选文件提供的格式签订联合体协议书，明确联合体牵头人和各方权利义务；</w:t>
      </w:r>
    </w:p>
    <w:p w14:paraId="52347398">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（2）联合体各方均应当具备承担招标项目的相应能力；联合体协议约定同一专业分工由两个及以上单位共同承担的，按照就低不就高的原则确定联合体资质；</w:t>
      </w:r>
    </w:p>
    <w:p w14:paraId="414379E4">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14:paraId="54A7FA57">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1.4.3  竞选人不得存在下列情形之一：</w:t>
      </w:r>
    </w:p>
    <w:p w14:paraId="4B3BC5A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103" w:name="_Toc509218716"/>
      <w:bookmarkStart w:id="104" w:name="_Toc7266"/>
      <w:bookmarkStart w:id="105" w:name="_Toc200513132"/>
      <w:bookmarkStart w:id="106" w:name="_Toc40569145"/>
      <w:bookmarkStart w:id="107" w:name="_Toc430530441"/>
      <w:bookmarkStart w:id="108" w:name="_Toc5221"/>
      <w:bookmarkStart w:id="109" w:name="_Toc287620691"/>
      <w:bookmarkStart w:id="110" w:name="_Toc287607752"/>
      <w:bookmarkStart w:id="111" w:name="_Toc277082558"/>
      <w:bookmarkStart w:id="112" w:name="_Toc9192"/>
      <w:bookmarkStart w:id="113" w:name="_Toc224103323"/>
      <w:bookmarkStart w:id="114" w:name="_Toc40569050"/>
      <w:r>
        <w:rPr>
          <w:rFonts w:hint="eastAsia" w:ascii="宋体" w:hAnsi="宋体"/>
          <w:color w:val="000000" w:themeColor="text1"/>
          <w:szCs w:val="21"/>
          <w:highlight w:val="none"/>
          <w14:textFill>
            <w14:solidFill>
              <w14:schemeClr w14:val="tx1"/>
            </w14:solidFill>
          </w14:textFill>
        </w:rPr>
        <w:t>（1）与比选人存在利害关系可能影响招标公正性的法人、其他组织或者个人；</w:t>
      </w:r>
    </w:p>
    <w:p w14:paraId="4F198C2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（2）为本项目的代理人；</w:t>
      </w:r>
    </w:p>
    <w:p w14:paraId="222285C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（3）为本项目的代建人；</w:t>
      </w:r>
    </w:p>
    <w:p w14:paraId="217282A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（4）为本项目提供比选代理服务的；</w:t>
      </w:r>
    </w:p>
    <w:p w14:paraId="410A067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（5）与本项目的代建人或比选代理机构同为一个法定代表人的；</w:t>
      </w:r>
    </w:p>
    <w:p w14:paraId="38A71B5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（6）与本项目的代建人或比选代理机构相互控股或参股的；</w:t>
      </w:r>
    </w:p>
    <w:p w14:paraId="7DD081BD">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（7）与本项目的代建人或比选代理机构相互任职或工作的；</w:t>
      </w:r>
    </w:p>
    <w:p w14:paraId="430E252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（8）被责令停业的；</w:t>
      </w:r>
    </w:p>
    <w:p w14:paraId="10B3F57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（9）被暂停或取消投标资格的；</w:t>
      </w:r>
    </w:p>
    <w:p w14:paraId="62DC240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（10）财产被接管或冻结的；</w:t>
      </w:r>
    </w:p>
    <w:p w14:paraId="325F05E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（11）单位负责人为同一人或者存在控股、管理关系的不同单位，不得在同一标段中同时投标。</w:t>
      </w:r>
    </w:p>
    <w:p w14:paraId="0272FF5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1.5  费用承担</w:t>
      </w:r>
      <w:bookmarkEnd w:id="103"/>
      <w:bookmarkEnd w:id="104"/>
      <w:bookmarkEnd w:id="105"/>
      <w:bookmarkEnd w:id="106"/>
      <w:bookmarkEnd w:id="107"/>
      <w:bookmarkEnd w:id="108"/>
      <w:bookmarkEnd w:id="109"/>
      <w:bookmarkEnd w:id="110"/>
      <w:bookmarkEnd w:id="111"/>
      <w:bookmarkEnd w:id="112"/>
      <w:bookmarkEnd w:id="113"/>
      <w:bookmarkEnd w:id="114"/>
    </w:p>
    <w:p w14:paraId="10BB30F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竞选人准备和参加竞选活动发生的费用自理。</w:t>
      </w:r>
    </w:p>
    <w:p w14:paraId="7852EEB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15" w:name="_Toc277082559"/>
      <w:bookmarkStart w:id="116" w:name="_Toc509218717"/>
      <w:bookmarkStart w:id="117" w:name="_Toc5781"/>
      <w:bookmarkStart w:id="118" w:name="_Toc40569051"/>
      <w:bookmarkStart w:id="119" w:name="_Toc224103324"/>
      <w:bookmarkStart w:id="120" w:name="_Toc200513133"/>
      <w:bookmarkStart w:id="121" w:name="_Toc20139"/>
      <w:bookmarkStart w:id="122" w:name="_Toc40569146"/>
      <w:bookmarkStart w:id="123" w:name="_Toc430530442"/>
      <w:bookmarkStart w:id="124" w:name="_Toc287607753"/>
      <w:bookmarkStart w:id="125" w:name="_Toc287620692"/>
      <w:bookmarkStart w:id="126" w:name="_Toc5293"/>
      <w:r>
        <w:rPr>
          <w:rFonts w:hint="eastAsia" w:ascii="宋体" w:hAnsi="宋体" w:cs="宋体"/>
          <w:b w:val="0"/>
          <w:snapToGrid w:val="0"/>
          <w:color w:val="000000" w:themeColor="text1"/>
          <w:sz w:val="24"/>
          <w:szCs w:val="24"/>
          <w:highlight w:val="none"/>
          <w14:textFill>
            <w14:solidFill>
              <w14:schemeClr w14:val="tx1"/>
            </w14:solidFill>
          </w14:textFill>
        </w:rPr>
        <w:t>1.6  保密</w:t>
      </w:r>
      <w:bookmarkEnd w:id="115"/>
      <w:bookmarkEnd w:id="116"/>
      <w:bookmarkEnd w:id="117"/>
      <w:bookmarkEnd w:id="118"/>
      <w:bookmarkEnd w:id="119"/>
      <w:bookmarkEnd w:id="120"/>
      <w:bookmarkEnd w:id="121"/>
      <w:bookmarkEnd w:id="122"/>
      <w:bookmarkEnd w:id="123"/>
      <w:bookmarkEnd w:id="124"/>
      <w:bookmarkEnd w:id="125"/>
      <w:bookmarkEnd w:id="126"/>
    </w:p>
    <w:p w14:paraId="209DCC89">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参与比选活动的各方应对比选文件和竞选文件中的商业和技术等秘密保密，违者应对由此造成的后果承担法律责任。</w:t>
      </w:r>
    </w:p>
    <w:p w14:paraId="60BC719E">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27" w:name="_Toc40569147"/>
      <w:bookmarkStart w:id="128" w:name="_Toc32367"/>
      <w:bookmarkStart w:id="129" w:name="_Toc287607754"/>
      <w:bookmarkStart w:id="130" w:name="_Toc7317"/>
      <w:bookmarkStart w:id="131" w:name="_Toc287620693"/>
      <w:bookmarkStart w:id="132" w:name="_Toc224103325"/>
      <w:bookmarkStart w:id="133" w:name="_Toc430530443"/>
      <w:bookmarkStart w:id="134" w:name="_Toc40569052"/>
      <w:bookmarkStart w:id="135" w:name="_Toc509218718"/>
      <w:bookmarkStart w:id="136" w:name="_Toc10589"/>
      <w:bookmarkStart w:id="137" w:name="_Toc277082560"/>
      <w:bookmarkStart w:id="138" w:name="_Toc200513134"/>
      <w:r>
        <w:rPr>
          <w:rFonts w:hint="eastAsia" w:ascii="宋体" w:hAnsi="宋体" w:cs="宋体"/>
          <w:b w:val="0"/>
          <w:snapToGrid w:val="0"/>
          <w:color w:val="000000" w:themeColor="text1"/>
          <w:sz w:val="24"/>
          <w:szCs w:val="24"/>
          <w:highlight w:val="none"/>
          <w14:textFill>
            <w14:solidFill>
              <w14:schemeClr w14:val="tx1"/>
            </w14:solidFill>
          </w14:textFill>
        </w:rPr>
        <w:t>1.7  语言文字</w:t>
      </w:r>
      <w:bookmarkEnd w:id="127"/>
      <w:bookmarkEnd w:id="128"/>
      <w:bookmarkEnd w:id="129"/>
      <w:bookmarkEnd w:id="130"/>
      <w:bookmarkEnd w:id="131"/>
      <w:bookmarkEnd w:id="132"/>
      <w:bookmarkEnd w:id="133"/>
      <w:bookmarkEnd w:id="134"/>
      <w:bookmarkEnd w:id="135"/>
      <w:bookmarkEnd w:id="136"/>
      <w:bookmarkEnd w:id="137"/>
      <w:bookmarkEnd w:id="138"/>
    </w:p>
    <w:p w14:paraId="385FB009">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14:paraId="49F129D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39" w:name="_Toc430530444"/>
      <w:bookmarkStart w:id="140" w:name="_Toc23841"/>
      <w:bookmarkStart w:id="141" w:name="_Toc287607755"/>
      <w:bookmarkStart w:id="142" w:name="_Toc200513135"/>
      <w:bookmarkStart w:id="143" w:name="_Toc40569148"/>
      <w:bookmarkStart w:id="144" w:name="_Toc40569053"/>
      <w:bookmarkStart w:id="145" w:name="_Toc1276"/>
      <w:bookmarkStart w:id="146" w:name="_Toc277082561"/>
      <w:bookmarkStart w:id="147" w:name="_Toc224103326"/>
      <w:bookmarkStart w:id="148" w:name="_Toc509218719"/>
      <w:bookmarkStart w:id="149" w:name="_Toc7911"/>
      <w:bookmarkStart w:id="150" w:name="_Toc287620694"/>
      <w:r>
        <w:rPr>
          <w:rFonts w:hint="eastAsia" w:ascii="宋体" w:hAnsi="宋体" w:cs="宋体"/>
          <w:b w:val="0"/>
          <w:snapToGrid w:val="0"/>
          <w:color w:val="000000" w:themeColor="text1"/>
          <w:sz w:val="24"/>
          <w:szCs w:val="24"/>
          <w:highlight w:val="none"/>
          <w14:textFill>
            <w14:solidFill>
              <w14:schemeClr w14:val="tx1"/>
            </w14:solidFill>
          </w14:textFill>
        </w:rPr>
        <w:t>1.8  计量单位</w:t>
      </w:r>
      <w:bookmarkEnd w:id="139"/>
      <w:bookmarkEnd w:id="140"/>
      <w:bookmarkEnd w:id="141"/>
      <w:bookmarkEnd w:id="142"/>
      <w:bookmarkEnd w:id="143"/>
      <w:bookmarkEnd w:id="144"/>
      <w:bookmarkEnd w:id="145"/>
      <w:bookmarkEnd w:id="146"/>
      <w:bookmarkEnd w:id="147"/>
      <w:bookmarkEnd w:id="148"/>
      <w:bookmarkEnd w:id="149"/>
      <w:bookmarkEnd w:id="150"/>
    </w:p>
    <w:p w14:paraId="43DF6F34">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14:paraId="6DBA040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51" w:name="_Toc11881"/>
      <w:bookmarkStart w:id="152" w:name="_Toc40569149"/>
      <w:bookmarkStart w:id="153" w:name="_Toc200513136"/>
      <w:bookmarkStart w:id="154" w:name="_Toc224103327"/>
      <w:bookmarkStart w:id="155" w:name="_Toc287607756"/>
      <w:bookmarkStart w:id="156" w:name="_Toc509218720"/>
      <w:bookmarkStart w:id="157" w:name="_Toc277082562"/>
      <w:bookmarkStart w:id="158" w:name="_Toc430530445"/>
      <w:bookmarkStart w:id="159" w:name="_Toc5390"/>
      <w:bookmarkStart w:id="160" w:name="_Toc5120"/>
      <w:bookmarkStart w:id="161" w:name="_Toc40569054"/>
      <w:bookmarkStart w:id="162" w:name="_Toc287620695"/>
      <w:r>
        <w:rPr>
          <w:rFonts w:hint="eastAsia" w:ascii="宋体" w:hAnsi="宋体" w:cs="宋体"/>
          <w:b w:val="0"/>
          <w:snapToGrid w:val="0"/>
          <w:color w:val="000000" w:themeColor="text1"/>
          <w:sz w:val="24"/>
          <w:szCs w:val="24"/>
          <w:highlight w:val="none"/>
          <w14:textFill>
            <w14:solidFill>
              <w14:schemeClr w14:val="tx1"/>
            </w14:solidFill>
          </w14:textFill>
        </w:rPr>
        <w:t>1.9  踏勘现场</w:t>
      </w:r>
      <w:bookmarkEnd w:id="151"/>
      <w:bookmarkEnd w:id="152"/>
      <w:bookmarkEnd w:id="153"/>
      <w:bookmarkEnd w:id="154"/>
      <w:bookmarkEnd w:id="155"/>
      <w:bookmarkEnd w:id="156"/>
      <w:bookmarkEnd w:id="157"/>
      <w:bookmarkEnd w:id="158"/>
      <w:bookmarkEnd w:id="159"/>
      <w:bookmarkEnd w:id="160"/>
      <w:bookmarkEnd w:id="161"/>
      <w:bookmarkEnd w:id="162"/>
    </w:p>
    <w:p w14:paraId="1438FD6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1.9.1  竞选人须知前附表规定组织踏勘现场的，比选人按竞选人须知前附表规定的时间、 地点组织竞选人踏勘项目现场。</w:t>
      </w:r>
    </w:p>
    <w:p w14:paraId="695DF3E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1.9.2  竞选人踏勘现场发生的费用自理。</w:t>
      </w:r>
    </w:p>
    <w:p w14:paraId="54634B3F">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1.9.3  除比选人的原因外，竞选人自行负责在踏勘现场中所发生的人员伤亡和财产损失。</w:t>
      </w:r>
    </w:p>
    <w:p w14:paraId="004A97AB">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1.9.4  比选人在踏勘现场中介绍的工程场地和相关的周边环境情况，供竞选人在编制竞选文件时参考，比选人不对竞选人据此做出的判断和决策负责。</w:t>
      </w:r>
    </w:p>
    <w:p w14:paraId="48A91E30">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63" w:name="_Toc277082563"/>
      <w:bookmarkStart w:id="164" w:name="_Toc224103328"/>
      <w:bookmarkStart w:id="165" w:name="_Toc509218721"/>
      <w:bookmarkStart w:id="166" w:name="_Toc27798"/>
      <w:bookmarkStart w:id="167" w:name="_Toc287607757"/>
      <w:bookmarkStart w:id="168" w:name="_Toc10229"/>
      <w:bookmarkStart w:id="169" w:name="_Toc430530446"/>
      <w:bookmarkStart w:id="170" w:name="_Toc40569150"/>
      <w:bookmarkStart w:id="171" w:name="_Toc40569055"/>
      <w:bookmarkStart w:id="172" w:name="_Toc287620696"/>
      <w:bookmarkStart w:id="173" w:name="_Toc200513137"/>
      <w:bookmarkStart w:id="174" w:name="_Toc14731"/>
      <w:r>
        <w:rPr>
          <w:rFonts w:hint="eastAsia" w:ascii="宋体" w:hAnsi="宋体" w:cs="宋体"/>
          <w:b w:val="0"/>
          <w:snapToGrid w:val="0"/>
          <w:color w:val="000000" w:themeColor="text1"/>
          <w:sz w:val="24"/>
          <w:szCs w:val="24"/>
          <w:highlight w:val="none"/>
          <w14:textFill>
            <w14:solidFill>
              <w14:schemeClr w14:val="tx1"/>
            </w14:solidFill>
          </w14:textFill>
        </w:rPr>
        <w:t>1.10  比选预备会</w:t>
      </w:r>
      <w:bookmarkEnd w:id="163"/>
      <w:bookmarkEnd w:id="164"/>
      <w:bookmarkEnd w:id="165"/>
      <w:bookmarkEnd w:id="166"/>
      <w:bookmarkEnd w:id="167"/>
      <w:bookmarkEnd w:id="168"/>
      <w:bookmarkEnd w:id="169"/>
      <w:bookmarkEnd w:id="170"/>
      <w:bookmarkEnd w:id="171"/>
      <w:bookmarkEnd w:id="172"/>
      <w:bookmarkEnd w:id="173"/>
      <w:bookmarkEnd w:id="174"/>
    </w:p>
    <w:p w14:paraId="1AF7F195">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1.10.1  竞选人须知前附表规定召开比选预备会的，比选人按竞选人须知前附表规定的时间和地点召开预备会，澄清竞选人提出的问题。</w:t>
      </w:r>
    </w:p>
    <w:p w14:paraId="34FB905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1.10.2  竞选人应在竞选人须知前附表</w:t>
      </w:r>
      <w:r>
        <w:rPr>
          <w:rFonts w:hint="eastAsia" w:ascii="宋体" w:hAnsi="宋体" w:cs="宋体"/>
          <w:color w:val="000000" w:themeColor="text1"/>
          <w:kern w:val="0"/>
          <w:szCs w:val="21"/>
          <w:highlight w:val="none"/>
          <w14:textFill>
            <w14:solidFill>
              <w14:schemeClr w14:val="tx1"/>
            </w14:solidFill>
          </w14:textFill>
        </w:rPr>
        <w:t>2.2.4</w:t>
      </w:r>
      <w:r>
        <w:rPr>
          <w:rFonts w:hint="eastAsia" w:ascii="宋体" w:hAnsi="宋体" w:cs="宋体"/>
          <w:snapToGrid w:val="0"/>
          <w:color w:val="000000" w:themeColor="text1"/>
          <w:kern w:val="0"/>
          <w:szCs w:val="21"/>
          <w:highlight w:val="none"/>
          <w14:textFill>
            <w14:solidFill>
              <w14:schemeClr w14:val="tx1"/>
            </w14:solidFill>
          </w14:textFill>
        </w:rPr>
        <w:t>规定的时间前，以书面形式将提出的问题送达比选人，以便比选人澄清。</w:t>
      </w:r>
    </w:p>
    <w:p w14:paraId="31DCF75A">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1.10.3  比选人在竞选人须知前附表规定的时间内，将对竞选人所提</w:t>
      </w:r>
      <w:r>
        <w:rPr>
          <w:rFonts w:hint="eastAsia" w:ascii="宋体" w:hAnsi="宋体" w:cs="宋体"/>
          <w:snapToGrid w:val="0"/>
          <w:color w:val="000000" w:themeColor="text1"/>
          <w:kern w:val="0"/>
          <w:position w:val="-2"/>
          <w:szCs w:val="21"/>
          <w:highlight w:val="none"/>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问题</w:t>
      </w:r>
      <w:r>
        <w:rPr>
          <w:rFonts w:hint="eastAsia" w:ascii="宋体" w:hAnsi="宋体" w:cs="宋体"/>
          <w:snapToGrid w:val="0"/>
          <w:color w:val="000000" w:themeColor="text1"/>
          <w:kern w:val="0"/>
          <w:position w:val="-2"/>
          <w:szCs w:val="21"/>
          <w:highlight w:val="none"/>
          <w14:textFill>
            <w14:solidFill>
              <w14:schemeClr w14:val="tx1"/>
            </w14:solidFill>
          </w14:textFill>
        </w:rPr>
        <w:t>进行澄清。该澄清内容为比选文件的组成部分。</w:t>
      </w:r>
    </w:p>
    <w:p w14:paraId="050A15CF">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75" w:name="_Toc21877"/>
      <w:bookmarkStart w:id="176" w:name="_Toc277082564"/>
      <w:bookmarkStart w:id="177" w:name="_Toc430530447"/>
      <w:bookmarkStart w:id="178" w:name="_Toc200513138"/>
      <w:bookmarkStart w:id="179" w:name="_Toc40569151"/>
      <w:bookmarkStart w:id="180" w:name="_Toc28064"/>
      <w:bookmarkStart w:id="181" w:name="_Toc287607758"/>
      <w:bookmarkStart w:id="182" w:name="_Toc40569056"/>
      <w:bookmarkStart w:id="183" w:name="_Toc224103329"/>
      <w:bookmarkStart w:id="184" w:name="_Toc509218722"/>
      <w:bookmarkStart w:id="185" w:name="_Toc7176"/>
      <w:bookmarkStart w:id="186" w:name="_Toc287620697"/>
      <w:r>
        <w:rPr>
          <w:rFonts w:hint="eastAsia" w:ascii="宋体" w:hAnsi="宋体" w:cs="宋体"/>
          <w:b w:val="0"/>
          <w:snapToGrid w:val="0"/>
          <w:color w:val="000000" w:themeColor="text1"/>
          <w:sz w:val="24"/>
          <w:szCs w:val="24"/>
          <w:highlight w:val="none"/>
          <w14:textFill>
            <w14:solidFill>
              <w14:schemeClr w14:val="tx1"/>
            </w14:solidFill>
          </w14:textFill>
        </w:rPr>
        <w:t>1.11  分包</w:t>
      </w:r>
      <w:bookmarkEnd w:id="175"/>
      <w:bookmarkEnd w:id="176"/>
      <w:bookmarkEnd w:id="177"/>
      <w:bookmarkEnd w:id="178"/>
      <w:bookmarkEnd w:id="179"/>
      <w:bookmarkEnd w:id="180"/>
      <w:bookmarkEnd w:id="181"/>
      <w:bookmarkEnd w:id="182"/>
      <w:bookmarkEnd w:id="183"/>
      <w:bookmarkEnd w:id="184"/>
      <w:bookmarkEnd w:id="185"/>
      <w:bookmarkEnd w:id="186"/>
    </w:p>
    <w:p w14:paraId="6EF35F1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本项目不允许分包。</w:t>
      </w:r>
    </w:p>
    <w:p w14:paraId="09930A36">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87" w:name="_Toc40569152"/>
      <w:bookmarkStart w:id="188" w:name="_Toc5934"/>
      <w:bookmarkStart w:id="189" w:name="_Toc40569057"/>
      <w:bookmarkStart w:id="190" w:name="_Toc224103330"/>
      <w:bookmarkStart w:id="191" w:name="_Toc277082565"/>
      <w:bookmarkStart w:id="192" w:name="_Toc287620698"/>
      <w:bookmarkStart w:id="193" w:name="_Toc23307"/>
      <w:bookmarkStart w:id="194" w:name="_Toc430530448"/>
      <w:bookmarkStart w:id="195" w:name="_Toc509218723"/>
      <w:bookmarkStart w:id="196" w:name="_Toc29373"/>
      <w:bookmarkStart w:id="197" w:name="_Toc200513139"/>
      <w:bookmarkStart w:id="198" w:name="_Toc287607759"/>
      <w:r>
        <w:rPr>
          <w:rFonts w:hint="eastAsia" w:ascii="宋体" w:hAnsi="宋体" w:cs="宋体"/>
          <w:b w:val="0"/>
          <w:snapToGrid w:val="0"/>
          <w:color w:val="000000" w:themeColor="text1"/>
          <w:sz w:val="24"/>
          <w:szCs w:val="24"/>
          <w:highlight w:val="none"/>
          <w14:textFill>
            <w14:solidFill>
              <w14:schemeClr w14:val="tx1"/>
            </w14:solidFill>
          </w14:textFill>
        </w:rPr>
        <w:t>1.12  偏离</w:t>
      </w:r>
      <w:bookmarkEnd w:id="187"/>
      <w:bookmarkEnd w:id="188"/>
      <w:bookmarkEnd w:id="189"/>
      <w:bookmarkEnd w:id="190"/>
      <w:bookmarkEnd w:id="191"/>
      <w:bookmarkEnd w:id="192"/>
      <w:bookmarkEnd w:id="193"/>
      <w:bookmarkEnd w:id="194"/>
      <w:bookmarkEnd w:id="195"/>
      <w:bookmarkEnd w:id="196"/>
      <w:bookmarkEnd w:id="197"/>
      <w:bookmarkEnd w:id="198"/>
    </w:p>
    <w:p w14:paraId="68FB76F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竞选人须知前附表允许竞选文件偏离比选文件某些要求的，偏离应当符合比选文件规定的偏离范围和幅度。</w:t>
      </w:r>
    </w:p>
    <w:p w14:paraId="12107253">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99" w:name="_Toc200513140"/>
      <w:bookmarkStart w:id="200" w:name="_Toc277082566"/>
      <w:bookmarkStart w:id="201" w:name="_Toc7676"/>
      <w:bookmarkStart w:id="202" w:name="_Toc224103331"/>
      <w:bookmarkStart w:id="203" w:name="_Toc287620699"/>
      <w:bookmarkStart w:id="204" w:name="_Toc10764"/>
      <w:bookmarkStart w:id="205" w:name="_Toc287607760"/>
      <w:bookmarkStart w:id="206" w:name="_Toc509218724"/>
      <w:bookmarkStart w:id="207" w:name="_Toc23017"/>
      <w:bookmarkStart w:id="208" w:name="_Toc430530449"/>
      <w:r>
        <w:rPr>
          <w:rFonts w:hint="eastAsia" w:ascii="宋体" w:hAnsi="宋体" w:cs="宋体"/>
          <w:b w:val="0"/>
          <w:snapToGrid w:val="0"/>
          <w:color w:val="000000" w:themeColor="text1"/>
          <w:sz w:val="24"/>
          <w:szCs w:val="24"/>
          <w:highlight w:val="none"/>
          <w14:textFill>
            <w14:solidFill>
              <w14:schemeClr w14:val="tx1"/>
            </w14:solidFill>
          </w14:textFill>
        </w:rPr>
        <w:t>2.  比选文件</w:t>
      </w:r>
      <w:bookmarkEnd w:id="199"/>
      <w:bookmarkEnd w:id="200"/>
      <w:bookmarkEnd w:id="201"/>
      <w:bookmarkEnd w:id="202"/>
      <w:bookmarkEnd w:id="203"/>
      <w:bookmarkEnd w:id="204"/>
      <w:bookmarkEnd w:id="205"/>
      <w:bookmarkEnd w:id="206"/>
      <w:bookmarkEnd w:id="207"/>
      <w:bookmarkEnd w:id="208"/>
    </w:p>
    <w:p w14:paraId="1BFE864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09" w:name="_Toc430530450"/>
      <w:bookmarkStart w:id="210" w:name="_Toc277082567"/>
      <w:bookmarkStart w:id="211" w:name="_Toc1329"/>
      <w:bookmarkStart w:id="212" w:name="_Toc40569059"/>
      <w:bookmarkStart w:id="213" w:name="_Toc224103332"/>
      <w:bookmarkStart w:id="214" w:name="_Toc509218725"/>
      <w:bookmarkStart w:id="215" w:name="_Toc287607761"/>
      <w:bookmarkStart w:id="216" w:name="_Toc31485"/>
      <w:bookmarkStart w:id="217" w:name="_Toc287620700"/>
      <w:bookmarkStart w:id="218" w:name="_Toc200513141"/>
      <w:bookmarkStart w:id="219" w:name="_Toc21327"/>
      <w:bookmarkStart w:id="220" w:name="_Toc40569154"/>
      <w:r>
        <w:rPr>
          <w:rFonts w:hint="eastAsia" w:ascii="宋体" w:hAnsi="宋体" w:cs="宋体"/>
          <w:b w:val="0"/>
          <w:snapToGrid w:val="0"/>
          <w:color w:val="000000" w:themeColor="text1"/>
          <w:sz w:val="24"/>
          <w:szCs w:val="24"/>
          <w:highlight w:val="none"/>
          <w14:textFill>
            <w14:solidFill>
              <w14:schemeClr w14:val="tx1"/>
            </w14:solidFill>
          </w14:textFill>
        </w:rPr>
        <w:t>2.1  比选文件的组成</w:t>
      </w:r>
      <w:bookmarkEnd w:id="209"/>
      <w:bookmarkEnd w:id="210"/>
      <w:bookmarkEnd w:id="211"/>
      <w:bookmarkEnd w:id="212"/>
      <w:bookmarkEnd w:id="213"/>
      <w:bookmarkEnd w:id="214"/>
      <w:bookmarkEnd w:id="215"/>
      <w:bookmarkEnd w:id="216"/>
      <w:bookmarkEnd w:id="217"/>
      <w:bookmarkEnd w:id="218"/>
      <w:bookmarkEnd w:id="219"/>
      <w:bookmarkEnd w:id="220"/>
    </w:p>
    <w:p w14:paraId="0E7277D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本比选文件包括：</w:t>
      </w:r>
    </w:p>
    <w:p w14:paraId="586C13F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（1）比选公告；</w:t>
      </w:r>
    </w:p>
    <w:p w14:paraId="454813E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（2）竞选人须知；</w:t>
      </w:r>
    </w:p>
    <w:p w14:paraId="792F43F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（3）评选办法；</w:t>
      </w:r>
    </w:p>
    <w:p w14:paraId="254FB23A">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14:paraId="7D751DD4">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（5）技术标准和要求；</w:t>
      </w:r>
    </w:p>
    <w:p w14:paraId="1106482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（6）图纸及工程量清单（如有）；</w:t>
      </w:r>
    </w:p>
    <w:p w14:paraId="390AB6A4">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（7）竞选文件格式；</w:t>
      </w:r>
    </w:p>
    <w:p w14:paraId="6B0D8D7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（8）竞选人须知前附表规定的其他材料。</w:t>
      </w:r>
    </w:p>
    <w:p w14:paraId="01F7F60E">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根据本章第1.10款、第2.2款和第2.3款对比选文件所作的澄清、修改，构成比选文件的组成部分。</w:t>
      </w:r>
    </w:p>
    <w:p w14:paraId="20A72E03">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21" w:name="_Toc40569060"/>
      <w:bookmarkStart w:id="222" w:name="_Toc40569155"/>
      <w:bookmarkStart w:id="223" w:name="_Toc430530451"/>
      <w:bookmarkStart w:id="224" w:name="_Toc5751"/>
      <w:bookmarkStart w:id="225" w:name="_Toc25357"/>
      <w:bookmarkStart w:id="226" w:name="_Toc509218726"/>
      <w:bookmarkStart w:id="227" w:name="_Toc20393"/>
      <w:r>
        <w:rPr>
          <w:rFonts w:hint="eastAsia" w:ascii="宋体" w:hAnsi="宋体" w:cs="宋体"/>
          <w:b w:val="0"/>
          <w:snapToGrid w:val="0"/>
          <w:color w:val="000000" w:themeColor="text1"/>
          <w:sz w:val="24"/>
          <w:szCs w:val="24"/>
          <w:highlight w:val="none"/>
          <w14:textFill>
            <w14:solidFill>
              <w14:schemeClr w14:val="tx1"/>
            </w14:solidFill>
          </w14:textFill>
        </w:rPr>
        <w:t>2.2  比选文件的澄清</w:t>
      </w:r>
      <w:bookmarkEnd w:id="221"/>
      <w:bookmarkEnd w:id="222"/>
      <w:bookmarkEnd w:id="223"/>
      <w:bookmarkEnd w:id="224"/>
      <w:bookmarkEnd w:id="225"/>
      <w:bookmarkEnd w:id="226"/>
      <w:bookmarkEnd w:id="227"/>
    </w:p>
    <w:p w14:paraId="489CE20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000000" w:themeColor="text1"/>
          <w:kern w:val="0"/>
          <w:szCs w:val="21"/>
          <w:highlight w:val="none"/>
          <w14:textFill>
            <w14:solidFill>
              <w14:schemeClr w14:val="tx1"/>
            </w14:solidFill>
          </w14:textFill>
        </w:rPr>
        <w:t>以书面形式向比选人或代理机构提出</w:t>
      </w:r>
      <w:r>
        <w:rPr>
          <w:rFonts w:hint="eastAsia" w:ascii="宋体" w:hAnsi="宋体" w:cs="宋体"/>
          <w:snapToGrid w:val="0"/>
          <w:color w:val="000000" w:themeColor="text1"/>
          <w:kern w:val="0"/>
          <w:szCs w:val="21"/>
          <w:highlight w:val="none"/>
          <w14:textFill>
            <w14:solidFill>
              <w14:schemeClr w14:val="tx1"/>
            </w14:solidFill>
          </w14:textFill>
        </w:rPr>
        <w:t>，要求比选人对比选文件予以澄清。</w:t>
      </w:r>
    </w:p>
    <w:p w14:paraId="459865E9">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28" w:name="_Toc26098"/>
      <w:bookmarkStart w:id="229" w:name="_Toc200513143"/>
      <w:bookmarkStart w:id="230" w:name="_Toc509218727"/>
      <w:bookmarkStart w:id="231" w:name="_Toc277082569"/>
      <w:bookmarkStart w:id="232" w:name="_Toc40569061"/>
      <w:bookmarkStart w:id="233" w:name="_Toc14087"/>
      <w:bookmarkStart w:id="234" w:name="_Toc287620702"/>
      <w:bookmarkStart w:id="235" w:name="_Toc40569156"/>
      <w:bookmarkStart w:id="236" w:name="_Toc8378"/>
      <w:bookmarkStart w:id="237" w:name="_Toc287607763"/>
      <w:bookmarkStart w:id="238" w:name="_Toc224103334"/>
      <w:bookmarkStart w:id="239" w:name="_Toc430530452"/>
      <w:r>
        <w:rPr>
          <w:rFonts w:hint="eastAsia" w:ascii="宋体" w:hAnsi="宋体" w:cs="宋体"/>
          <w:b w:val="0"/>
          <w:snapToGrid w:val="0"/>
          <w:color w:val="000000" w:themeColor="text1"/>
          <w:sz w:val="24"/>
          <w:szCs w:val="24"/>
          <w:highlight w:val="none"/>
          <w14:textFill>
            <w14:solidFill>
              <w14:schemeClr w14:val="tx1"/>
            </w14:solidFill>
          </w14:textFill>
        </w:rPr>
        <w:t>2.3  比选文件的修改</w:t>
      </w:r>
      <w:bookmarkEnd w:id="228"/>
      <w:bookmarkEnd w:id="229"/>
      <w:bookmarkEnd w:id="230"/>
      <w:bookmarkEnd w:id="231"/>
      <w:bookmarkEnd w:id="232"/>
      <w:bookmarkEnd w:id="233"/>
      <w:bookmarkEnd w:id="234"/>
      <w:bookmarkEnd w:id="235"/>
      <w:bookmarkEnd w:id="236"/>
      <w:bookmarkEnd w:id="237"/>
      <w:bookmarkEnd w:id="238"/>
      <w:bookmarkEnd w:id="239"/>
    </w:p>
    <w:p w14:paraId="028A720A">
      <w:pPr>
        <w:autoSpaceDE w:val="0"/>
        <w:autoSpaceDN w:val="0"/>
        <w:adjustRightInd w:val="0"/>
        <w:snapToGrid w:val="0"/>
        <w:spacing w:line="360" w:lineRule="auto"/>
        <w:ind w:firstLine="420"/>
        <w:rPr>
          <w:rFonts w:hint="eastAsia" w:ascii="宋体" w:hAnsi="宋体" w:cs="宋体"/>
          <w:snapToGrid w:val="0"/>
          <w:color w:val="000000" w:themeColor="text1"/>
          <w:highlight w:val="none"/>
          <w14:textFill>
            <w14:solidFill>
              <w14:schemeClr w14:val="tx1"/>
            </w14:solidFill>
          </w14:textFill>
        </w:rPr>
      </w:pPr>
      <w:bookmarkStart w:id="240" w:name="_Toc277082570"/>
      <w:bookmarkStart w:id="241" w:name="_Toc287607764"/>
      <w:bookmarkStart w:id="242" w:name="_Toc287620703"/>
      <w:bookmarkStart w:id="243" w:name="_Toc200513144"/>
      <w:bookmarkStart w:id="244" w:name="_Toc224103335"/>
      <w:r>
        <w:rPr>
          <w:rFonts w:hint="eastAsia" w:ascii="宋体" w:hAnsi="宋体" w:cs="宋体"/>
          <w:snapToGrid w:val="0"/>
          <w:color w:val="000000" w:themeColor="text1"/>
          <w:highlight w:val="none"/>
          <w14:textFill>
            <w14:solidFill>
              <w14:schemeClr w14:val="tx1"/>
            </w14:solidFill>
          </w14:textFill>
        </w:rPr>
        <w:t>按照本章2.2比选文件的澄清相关内容及方式执行。</w:t>
      </w:r>
    </w:p>
    <w:p w14:paraId="1445ADAC">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45" w:name="_Toc430530453"/>
      <w:bookmarkStart w:id="246" w:name="_Toc509218728"/>
      <w:bookmarkStart w:id="247" w:name="_Toc5400"/>
      <w:bookmarkStart w:id="248" w:name="_Toc22016"/>
      <w:bookmarkStart w:id="249" w:name="_Toc6009"/>
      <w:r>
        <w:rPr>
          <w:rFonts w:hint="eastAsia" w:ascii="宋体" w:hAnsi="宋体" w:cs="宋体"/>
          <w:b w:val="0"/>
          <w:snapToGrid w:val="0"/>
          <w:color w:val="000000" w:themeColor="text1"/>
          <w:sz w:val="24"/>
          <w:szCs w:val="24"/>
          <w:highlight w:val="none"/>
          <w14:textFill>
            <w14:solidFill>
              <w14:schemeClr w14:val="tx1"/>
            </w14:solidFill>
          </w14:textFill>
        </w:rPr>
        <w:t xml:space="preserve">3.  </w:t>
      </w:r>
      <w:bookmarkEnd w:id="240"/>
      <w:bookmarkEnd w:id="241"/>
      <w:bookmarkEnd w:id="242"/>
      <w:bookmarkEnd w:id="243"/>
      <w:bookmarkEnd w:id="244"/>
      <w:bookmarkEnd w:id="245"/>
      <w:bookmarkEnd w:id="246"/>
      <w:bookmarkEnd w:id="247"/>
      <w:bookmarkEnd w:id="248"/>
      <w:bookmarkEnd w:id="249"/>
      <w:r>
        <w:rPr>
          <w:rFonts w:hint="eastAsia" w:ascii="宋体" w:hAnsi="宋体" w:cs="宋体"/>
          <w:b w:val="0"/>
          <w:snapToGrid w:val="0"/>
          <w:color w:val="000000" w:themeColor="text1"/>
          <w:sz w:val="24"/>
          <w:szCs w:val="24"/>
          <w:highlight w:val="none"/>
          <w14:textFill>
            <w14:solidFill>
              <w14:schemeClr w14:val="tx1"/>
            </w14:solidFill>
          </w14:textFill>
        </w:rPr>
        <w:t>竞选文件</w:t>
      </w:r>
    </w:p>
    <w:p w14:paraId="5024504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50" w:name="_Toc7795"/>
      <w:bookmarkStart w:id="251" w:name="_Toc40569158"/>
      <w:bookmarkStart w:id="252" w:name="_Toc29196"/>
      <w:bookmarkStart w:id="253" w:name="_Toc277082571"/>
      <w:bookmarkStart w:id="254" w:name="_Toc224103336"/>
      <w:bookmarkStart w:id="255" w:name="_Toc287620704"/>
      <w:bookmarkStart w:id="256" w:name="_Toc40569063"/>
      <w:bookmarkStart w:id="257" w:name="_Toc430530454"/>
      <w:bookmarkStart w:id="258" w:name="_Toc287607765"/>
      <w:bookmarkStart w:id="259" w:name="_Toc13714"/>
      <w:bookmarkStart w:id="260" w:name="_Toc200513145"/>
      <w:bookmarkStart w:id="261" w:name="_Toc509218729"/>
      <w:r>
        <w:rPr>
          <w:rFonts w:hint="eastAsia" w:ascii="宋体" w:hAnsi="宋体" w:cs="宋体"/>
          <w:b w:val="0"/>
          <w:snapToGrid w:val="0"/>
          <w:color w:val="000000" w:themeColor="text1"/>
          <w:sz w:val="24"/>
          <w:szCs w:val="24"/>
          <w:highlight w:val="none"/>
          <w14:textFill>
            <w14:solidFill>
              <w14:schemeClr w14:val="tx1"/>
            </w14:solidFill>
          </w14:textFill>
        </w:rPr>
        <w:t>3.1  竞选文件的组成</w:t>
      </w:r>
      <w:bookmarkEnd w:id="250"/>
      <w:bookmarkEnd w:id="251"/>
      <w:bookmarkEnd w:id="252"/>
      <w:bookmarkEnd w:id="253"/>
      <w:bookmarkEnd w:id="254"/>
      <w:bookmarkEnd w:id="255"/>
      <w:bookmarkEnd w:id="256"/>
      <w:bookmarkEnd w:id="257"/>
      <w:bookmarkEnd w:id="258"/>
      <w:bookmarkEnd w:id="259"/>
      <w:bookmarkEnd w:id="260"/>
      <w:bookmarkEnd w:id="261"/>
    </w:p>
    <w:p w14:paraId="1C2814B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竞选文件应包括下列内容：</w:t>
      </w:r>
    </w:p>
    <w:p w14:paraId="48AEE24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（1）竞选函及竞选函附录；</w:t>
      </w:r>
    </w:p>
    <w:p w14:paraId="782ABF8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（2）法定代表人身份证明或附有法定代表人身份证明的授权委托书；</w:t>
      </w:r>
    </w:p>
    <w:p w14:paraId="1B02E88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（3）比选保证金；</w:t>
      </w:r>
    </w:p>
    <w:p w14:paraId="599E488C">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（4）服务方案；</w:t>
      </w:r>
    </w:p>
    <w:p w14:paraId="2851F8BB">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（5）资格审查资料；</w:t>
      </w:r>
    </w:p>
    <w:p w14:paraId="6BBFD78D">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（6）竞选人须知前附表规定的其他材料。</w:t>
      </w:r>
    </w:p>
    <w:p w14:paraId="39BD303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3.1.2  竞选人须知前附表规定不接受联合体投标的，或竞选人没有组成联合体的，竞选文件不包括本章第3.1.1（3）目所指的联合体协议书。</w:t>
      </w:r>
    </w:p>
    <w:p w14:paraId="29EF685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62" w:name="_Toc200513146"/>
      <w:bookmarkStart w:id="263" w:name="_Toc2578"/>
      <w:bookmarkStart w:id="264" w:name="_Toc430530455"/>
      <w:bookmarkStart w:id="265" w:name="_Toc40569064"/>
      <w:bookmarkStart w:id="266" w:name="_Toc40569159"/>
      <w:bookmarkStart w:id="267" w:name="_Toc5935"/>
      <w:bookmarkStart w:id="268" w:name="_Toc509218730"/>
      <w:bookmarkStart w:id="269" w:name="_Toc287620705"/>
      <w:bookmarkStart w:id="270" w:name="_Toc224103337"/>
      <w:bookmarkStart w:id="271" w:name="_Toc3265"/>
      <w:bookmarkStart w:id="272" w:name="_Toc277082572"/>
      <w:bookmarkStart w:id="273" w:name="_Toc287607766"/>
      <w:r>
        <w:rPr>
          <w:rFonts w:hint="eastAsia" w:ascii="宋体" w:hAnsi="宋体" w:cs="宋体"/>
          <w:b w:val="0"/>
          <w:snapToGrid w:val="0"/>
          <w:color w:val="000000" w:themeColor="text1"/>
          <w:sz w:val="24"/>
          <w:szCs w:val="24"/>
          <w:highlight w:val="none"/>
          <w14:textFill>
            <w14:solidFill>
              <w14:schemeClr w14:val="tx1"/>
            </w14:solidFill>
          </w14:textFill>
        </w:rPr>
        <w:t>3.2  竞选报价</w:t>
      </w:r>
      <w:bookmarkEnd w:id="262"/>
      <w:bookmarkEnd w:id="263"/>
      <w:bookmarkEnd w:id="264"/>
      <w:bookmarkEnd w:id="265"/>
      <w:bookmarkEnd w:id="266"/>
      <w:bookmarkEnd w:id="267"/>
      <w:bookmarkEnd w:id="268"/>
      <w:bookmarkEnd w:id="269"/>
      <w:bookmarkEnd w:id="270"/>
      <w:bookmarkEnd w:id="271"/>
      <w:bookmarkEnd w:id="272"/>
      <w:bookmarkEnd w:id="273"/>
    </w:p>
    <w:p w14:paraId="60830B4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3.2.1  竞选人应按第七章“竞选文件格式”的要求填写相应表格。</w:t>
      </w:r>
    </w:p>
    <w:p w14:paraId="1E5480A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3.2.2  竞选人应认真阅读比选文件规定的计价、结算要求，自行填报报价。</w:t>
      </w:r>
    </w:p>
    <w:p w14:paraId="2AD95D8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74" w:name="_Toc277082573"/>
      <w:bookmarkStart w:id="275" w:name="_Toc287620706"/>
      <w:bookmarkStart w:id="276" w:name="_Toc287607767"/>
      <w:bookmarkStart w:id="277" w:name="_Toc200513147"/>
      <w:bookmarkStart w:id="278" w:name="_Toc27583"/>
      <w:bookmarkStart w:id="279" w:name="_Toc509218731"/>
      <w:bookmarkStart w:id="280" w:name="_Toc40569065"/>
      <w:bookmarkStart w:id="281" w:name="_Toc224103338"/>
      <w:bookmarkStart w:id="282" w:name="_Toc915"/>
      <w:bookmarkStart w:id="283" w:name="_Toc15462"/>
      <w:bookmarkStart w:id="284" w:name="_Toc430530456"/>
      <w:bookmarkStart w:id="285" w:name="_Toc40569160"/>
      <w:r>
        <w:rPr>
          <w:rFonts w:hint="eastAsia" w:ascii="宋体" w:hAnsi="宋体" w:cs="宋体"/>
          <w:b w:val="0"/>
          <w:snapToGrid w:val="0"/>
          <w:color w:val="000000" w:themeColor="text1"/>
          <w:sz w:val="24"/>
          <w:szCs w:val="24"/>
          <w:highlight w:val="none"/>
          <w14:textFill>
            <w14:solidFill>
              <w14:schemeClr w14:val="tx1"/>
            </w14:solidFill>
          </w14:textFill>
        </w:rPr>
        <w:t>3.3  比选有效期</w:t>
      </w:r>
      <w:bookmarkEnd w:id="274"/>
      <w:bookmarkEnd w:id="275"/>
      <w:bookmarkEnd w:id="276"/>
      <w:bookmarkEnd w:id="277"/>
      <w:bookmarkEnd w:id="278"/>
      <w:bookmarkEnd w:id="279"/>
      <w:bookmarkEnd w:id="280"/>
      <w:bookmarkEnd w:id="281"/>
      <w:bookmarkEnd w:id="282"/>
      <w:bookmarkEnd w:id="283"/>
      <w:bookmarkEnd w:id="284"/>
      <w:bookmarkEnd w:id="285"/>
    </w:p>
    <w:p w14:paraId="6FE6582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在竞选人须知前附表规定的比选有效期内，竞选人不得要求撤销或修改其竞选文件。</w:t>
      </w:r>
    </w:p>
    <w:p w14:paraId="72D125B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14:paraId="5CA0AB08">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14:paraId="1ACE2BBF">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86" w:name="_Toc40569066"/>
      <w:bookmarkStart w:id="287" w:name="_Toc40569161"/>
      <w:bookmarkStart w:id="288" w:name="_Toc430530457"/>
      <w:bookmarkStart w:id="289" w:name="_Toc26206"/>
      <w:bookmarkStart w:id="290" w:name="_Toc277082574"/>
      <w:bookmarkStart w:id="291" w:name="_Toc19857"/>
      <w:bookmarkStart w:id="292" w:name="_Toc509218732"/>
      <w:bookmarkStart w:id="293" w:name="_Toc14235"/>
      <w:bookmarkStart w:id="294" w:name="_Toc224103339"/>
      <w:bookmarkStart w:id="295" w:name="_Toc200513148"/>
      <w:bookmarkStart w:id="296" w:name="_Toc287620707"/>
      <w:bookmarkStart w:id="297" w:name="_Toc287607768"/>
      <w:r>
        <w:rPr>
          <w:rFonts w:hint="eastAsia" w:ascii="宋体" w:hAnsi="宋体" w:cs="宋体"/>
          <w:b w:val="0"/>
          <w:snapToGrid w:val="0"/>
          <w:color w:val="000000" w:themeColor="text1"/>
          <w:sz w:val="24"/>
          <w:szCs w:val="24"/>
          <w:highlight w:val="none"/>
          <w14:textFill>
            <w14:solidFill>
              <w14:schemeClr w14:val="tx1"/>
            </w14:solidFill>
          </w14:textFill>
        </w:rPr>
        <w:t xml:space="preserve">3.4  </w:t>
      </w:r>
      <w:bookmarkEnd w:id="286"/>
      <w:bookmarkEnd w:id="287"/>
      <w:bookmarkEnd w:id="288"/>
      <w:bookmarkEnd w:id="289"/>
      <w:bookmarkEnd w:id="290"/>
      <w:bookmarkEnd w:id="291"/>
      <w:bookmarkEnd w:id="292"/>
      <w:bookmarkEnd w:id="293"/>
      <w:bookmarkEnd w:id="294"/>
      <w:bookmarkEnd w:id="295"/>
      <w:bookmarkEnd w:id="296"/>
      <w:bookmarkEnd w:id="297"/>
      <w:r>
        <w:rPr>
          <w:rFonts w:hint="eastAsia" w:ascii="宋体" w:hAnsi="宋体" w:cs="宋体"/>
          <w:b w:val="0"/>
          <w:snapToGrid w:val="0"/>
          <w:color w:val="000000" w:themeColor="text1"/>
          <w:sz w:val="24"/>
          <w:szCs w:val="24"/>
          <w:highlight w:val="none"/>
          <w14:textFill>
            <w14:solidFill>
              <w14:schemeClr w14:val="tx1"/>
            </w14:solidFill>
          </w14:textFill>
        </w:rPr>
        <w:t>比选保证金</w:t>
      </w:r>
    </w:p>
    <w:p w14:paraId="7271100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14:paraId="7681E8D6">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3.4.2  竞选人不按本章第 3.4.1 项要求提交比选保证金的，其竞选文件作否决竞选处理。</w:t>
      </w:r>
    </w:p>
    <w:p w14:paraId="70CE4E67">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3.4.3  比选保证金（保函）退还：见竞选人须知前附表</w:t>
      </w:r>
      <w:r>
        <w:rPr>
          <w:rFonts w:hint="eastAsia" w:ascii="宋体" w:hAnsi="宋体" w:cs="宋体"/>
          <w:snapToGrid w:val="0"/>
          <w:color w:val="000000" w:themeColor="text1"/>
          <w:kern w:val="0"/>
          <w:position w:val="-2"/>
          <w:szCs w:val="21"/>
          <w:highlight w:val="none"/>
          <w14:textFill>
            <w14:solidFill>
              <w14:schemeClr w14:val="tx1"/>
            </w14:solidFill>
          </w14:textFill>
        </w:rPr>
        <w:t>。</w:t>
      </w:r>
    </w:p>
    <w:p w14:paraId="35A2BE9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3.4.4  有下列情形之一的，比选保证金将不予退还：</w:t>
      </w:r>
    </w:p>
    <w:p w14:paraId="3F7602A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（1）竞选人在规定的比选有效期内撤销或修改其竞选文件；</w:t>
      </w:r>
    </w:p>
    <w:p w14:paraId="2D5117DD">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（2）中选人在收到中选通知书后，无正当理由拒签合同协议书或未按比选文件规定提交履约担保；</w:t>
      </w:r>
    </w:p>
    <w:p w14:paraId="1B0D468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（3）违反本章9.2条对竞选人的纪律要求的；</w:t>
      </w:r>
    </w:p>
    <w:p w14:paraId="6757DA0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（4）法律法规和本比选文件规定的其他情形。</w:t>
      </w:r>
    </w:p>
    <w:p w14:paraId="3053F35E">
      <w:pPr>
        <w:tabs>
          <w:tab w:val="left" w:pos="611"/>
          <w:tab w:val="left" w:pos="669"/>
        </w:tabs>
        <w:snapToGrid w:val="0"/>
        <w:spacing w:line="360" w:lineRule="auto"/>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3.4.5</w:t>
      </w:r>
      <w:r>
        <w:rPr>
          <w:rFonts w:hint="eastAsia" w:ascii="宋体" w:hAnsi="宋体" w:cs="宋体"/>
          <w:color w:val="000000" w:themeColor="text1"/>
          <w:kern w:val="0"/>
          <w:highlight w:val="none"/>
          <w14:textFill>
            <w14:solidFill>
              <w14:schemeClr w14:val="tx1"/>
            </w14:solidFill>
          </w14:textFill>
        </w:rPr>
        <w:t>（1）比选保证金为无条件担保；</w:t>
      </w:r>
    </w:p>
    <w:p w14:paraId="1FAC392A">
      <w:pPr>
        <w:tabs>
          <w:tab w:val="left" w:pos="611"/>
          <w:tab w:val="left" w:pos="669"/>
        </w:tabs>
        <w:snapToGrid w:val="0"/>
        <w:spacing w:line="360" w:lineRule="auto"/>
        <w:ind w:firstLine="945" w:firstLineChars="45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（2）比选保证金的受益人为比选人。</w:t>
      </w:r>
    </w:p>
    <w:p w14:paraId="2D19B5D5">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98" w:name="_Toc277082576"/>
      <w:bookmarkStart w:id="299" w:name="_Toc200513150"/>
      <w:bookmarkStart w:id="300" w:name="_Toc287607770"/>
      <w:bookmarkStart w:id="301" w:name="_Toc7055"/>
      <w:bookmarkStart w:id="302" w:name="_Toc287620709"/>
      <w:bookmarkStart w:id="303" w:name="_Toc40569067"/>
      <w:bookmarkStart w:id="304" w:name="_Toc224103341"/>
      <w:bookmarkStart w:id="305" w:name="_Toc430530459"/>
      <w:bookmarkStart w:id="306" w:name="_Toc509218734"/>
      <w:bookmarkStart w:id="307" w:name="_Toc30972"/>
      <w:bookmarkStart w:id="308" w:name="_Toc40569162"/>
      <w:bookmarkStart w:id="309" w:name="_Toc8188"/>
      <w:r>
        <w:rPr>
          <w:rFonts w:hint="eastAsia" w:ascii="宋体" w:hAnsi="宋体" w:cs="宋体"/>
          <w:b w:val="0"/>
          <w:snapToGrid w:val="0"/>
          <w:color w:val="000000" w:themeColor="text1"/>
          <w:sz w:val="24"/>
          <w:szCs w:val="24"/>
          <w:highlight w:val="none"/>
          <w14:textFill>
            <w14:solidFill>
              <w14:schemeClr w14:val="tx1"/>
            </w14:solidFill>
          </w14:textFill>
        </w:rPr>
        <w:t>3.5  资格审查资料</w:t>
      </w:r>
      <w:bookmarkEnd w:id="298"/>
      <w:bookmarkEnd w:id="299"/>
      <w:bookmarkEnd w:id="300"/>
      <w:bookmarkEnd w:id="301"/>
      <w:bookmarkEnd w:id="302"/>
      <w:bookmarkEnd w:id="303"/>
      <w:bookmarkEnd w:id="304"/>
      <w:bookmarkEnd w:id="305"/>
      <w:bookmarkEnd w:id="306"/>
      <w:bookmarkEnd w:id="307"/>
      <w:bookmarkEnd w:id="308"/>
      <w:bookmarkEnd w:id="309"/>
    </w:p>
    <w:p w14:paraId="4E618159">
      <w:pPr>
        <w:autoSpaceDE w:val="0"/>
        <w:autoSpaceDN w:val="0"/>
        <w:adjustRightInd w:val="0"/>
        <w:snapToGrid w:val="0"/>
        <w:spacing w:line="360" w:lineRule="auto"/>
        <w:ind w:left="103" w:leftChars="49" w:right="37"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竞选人须在提交竞选文件时将</w:t>
      </w:r>
      <w:r>
        <w:rPr>
          <w:rFonts w:hint="eastAsia" w:ascii="宋体" w:hAnsi="宋体" w:cs="宋体"/>
          <w:color w:val="000000" w:themeColor="text1"/>
          <w:kern w:val="0"/>
          <w:szCs w:val="21"/>
          <w:highlight w:val="none"/>
          <w14:textFill>
            <w14:solidFill>
              <w14:schemeClr w14:val="tx1"/>
            </w14:solidFill>
          </w14:textFill>
        </w:rPr>
        <w:t>竞选人须知前附表1.4.1中要求的原件</w:t>
      </w:r>
      <w:r>
        <w:rPr>
          <w:rFonts w:hint="eastAsia" w:ascii="宋体" w:hAnsi="宋体" w:cs="宋体"/>
          <w:color w:val="000000" w:themeColor="text1"/>
          <w:szCs w:val="21"/>
          <w:highlight w:val="none"/>
          <w14:textFill>
            <w14:solidFill>
              <w14:schemeClr w14:val="tx1"/>
            </w14:solidFill>
          </w14:textFill>
        </w:rPr>
        <w:t>一次性提交，</w:t>
      </w:r>
      <w:r>
        <w:rPr>
          <w:rFonts w:hint="eastAsia" w:ascii="宋体" w:hAnsi="宋体" w:cs="宋体"/>
          <w:color w:val="000000" w:themeColor="text1"/>
          <w:kern w:val="0"/>
          <w:szCs w:val="21"/>
          <w:highlight w:val="none"/>
          <w14:textFill>
            <w14:solidFill>
              <w14:schemeClr w14:val="tx1"/>
            </w14:solidFill>
          </w14:textFill>
        </w:rPr>
        <w:t>评选委员会审查时必须对</w:t>
      </w:r>
      <w:r>
        <w:rPr>
          <w:rFonts w:hint="eastAsia" w:ascii="宋体" w:hAnsi="宋体" w:cs="宋体"/>
          <w:color w:val="000000" w:themeColor="text1"/>
          <w:szCs w:val="21"/>
          <w:highlight w:val="none"/>
          <w14:textFill>
            <w14:solidFill>
              <w14:schemeClr w14:val="tx1"/>
            </w14:solidFill>
          </w14:textFill>
        </w:rPr>
        <w:t>有关证明和证件的原件核查，若经审查复印件与原件不一致，或未提交原件的，则竞选文件作否决竞选处理。</w:t>
      </w:r>
    </w:p>
    <w:p w14:paraId="0DAC0C6D">
      <w:pPr>
        <w:autoSpaceDE w:val="0"/>
        <w:autoSpaceDN w:val="0"/>
        <w:adjustRightInd w:val="0"/>
        <w:snapToGrid w:val="0"/>
        <w:spacing w:line="360" w:lineRule="auto"/>
        <w:ind w:left="103" w:leftChars="49" w:right="37"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联合体投标的，详见竞选人须知前附表联合体投标相关内容。</w:t>
      </w:r>
    </w:p>
    <w:p w14:paraId="1C6563F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10" w:name="_Toc40569163"/>
      <w:bookmarkStart w:id="311" w:name="_Toc7522"/>
      <w:bookmarkStart w:id="312" w:name="_Toc200513151"/>
      <w:bookmarkStart w:id="313" w:name="_Toc287620710"/>
      <w:bookmarkStart w:id="314" w:name="_Toc40569068"/>
      <w:bookmarkStart w:id="315" w:name="_Toc224103342"/>
      <w:bookmarkStart w:id="316" w:name="_Toc26526"/>
      <w:bookmarkStart w:id="317" w:name="_Toc277082577"/>
      <w:bookmarkStart w:id="318" w:name="_Toc287607771"/>
      <w:bookmarkStart w:id="319" w:name="_Toc430530460"/>
      <w:bookmarkStart w:id="320" w:name="_Toc509218735"/>
      <w:bookmarkStart w:id="321" w:name="_Toc9341"/>
      <w:r>
        <w:rPr>
          <w:rFonts w:hint="eastAsia" w:ascii="宋体" w:hAnsi="宋体" w:cs="宋体"/>
          <w:b w:val="0"/>
          <w:snapToGrid w:val="0"/>
          <w:color w:val="000000" w:themeColor="text1"/>
          <w:sz w:val="24"/>
          <w:szCs w:val="24"/>
          <w:highlight w:val="none"/>
          <w14:textFill>
            <w14:solidFill>
              <w14:schemeClr w14:val="tx1"/>
            </w14:solidFill>
          </w14:textFill>
        </w:rPr>
        <w:t>3.6  备选投标方案</w:t>
      </w:r>
      <w:bookmarkEnd w:id="310"/>
      <w:bookmarkEnd w:id="311"/>
      <w:bookmarkEnd w:id="312"/>
      <w:bookmarkEnd w:id="313"/>
      <w:bookmarkEnd w:id="314"/>
      <w:bookmarkEnd w:id="315"/>
      <w:bookmarkEnd w:id="316"/>
      <w:bookmarkEnd w:id="317"/>
      <w:bookmarkEnd w:id="318"/>
      <w:bookmarkEnd w:id="319"/>
      <w:bookmarkEnd w:id="320"/>
      <w:bookmarkEnd w:id="321"/>
    </w:p>
    <w:p w14:paraId="78B83D8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14:paraId="4F1CBB6E">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22" w:name="_Toc509218736"/>
      <w:bookmarkStart w:id="323" w:name="_Toc287607772"/>
      <w:bookmarkStart w:id="324" w:name="_Toc29274"/>
      <w:bookmarkStart w:id="325" w:name="_Toc29561"/>
      <w:bookmarkStart w:id="326" w:name="_Toc224103343"/>
      <w:bookmarkStart w:id="327" w:name="_Toc40569164"/>
      <w:bookmarkStart w:id="328" w:name="_Toc277082578"/>
      <w:bookmarkStart w:id="329" w:name="_Toc25048"/>
      <w:bookmarkStart w:id="330" w:name="_Toc287620711"/>
      <w:bookmarkStart w:id="331" w:name="_Toc430530461"/>
      <w:bookmarkStart w:id="332" w:name="_Toc40569069"/>
      <w:bookmarkStart w:id="333" w:name="_Toc200513152"/>
      <w:r>
        <w:rPr>
          <w:rFonts w:hint="eastAsia" w:ascii="宋体" w:hAnsi="宋体" w:cs="宋体"/>
          <w:b w:val="0"/>
          <w:snapToGrid w:val="0"/>
          <w:color w:val="000000" w:themeColor="text1"/>
          <w:sz w:val="24"/>
          <w:szCs w:val="24"/>
          <w:highlight w:val="none"/>
          <w14:textFill>
            <w14:solidFill>
              <w14:schemeClr w14:val="tx1"/>
            </w14:solidFill>
          </w14:textFill>
        </w:rPr>
        <w:t>3.7  竞选文件的编制</w:t>
      </w:r>
      <w:bookmarkEnd w:id="322"/>
      <w:bookmarkEnd w:id="323"/>
      <w:bookmarkEnd w:id="324"/>
      <w:bookmarkEnd w:id="325"/>
      <w:bookmarkEnd w:id="326"/>
      <w:bookmarkEnd w:id="327"/>
      <w:bookmarkEnd w:id="328"/>
      <w:bookmarkEnd w:id="329"/>
      <w:bookmarkEnd w:id="330"/>
      <w:bookmarkEnd w:id="331"/>
      <w:bookmarkEnd w:id="332"/>
      <w:bookmarkEnd w:id="333"/>
    </w:p>
    <w:p w14:paraId="1C4F5A1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3.7.1  竞选文件应按第七章“竞选文件格式”进行编写，如有必要，可以增加附页，作为竞选文件的组成部分。其中，竞选函附录在满足比选文件实质性要求的基础上，可以提出比选文件要求更有利于比选人的承诺。</w:t>
      </w:r>
    </w:p>
    <w:p w14:paraId="2B3F996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3.7.2  竞选文件应当对比选文件有关工期、比选有效期、质量要求、技术标准和要求、比选范围等实质性内容做出响应。</w:t>
      </w:r>
    </w:p>
    <w:p w14:paraId="41ED63C8">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3.7.3  按竞选人须知前附表3.7.3款执行。</w:t>
      </w:r>
    </w:p>
    <w:p w14:paraId="4B19B530">
      <w:pPr>
        <w:autoSpaceDE w:val="0"/>
        <w:autoSpaceDN w:val="0"/>
        <w:adjustRightInd w:val="0"/>
        <w:snapToGrid w:val="0"/>
        <w:spacing w:line="360" w:lineRule="auto"/>
        <w:ind w:right="-164" w:firstLine="420" w:firstLineChars="200"/>
        <w:rPr>
          <w:rFonts w:hint="eastAsia"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3.7.4  竞选文件的份数见竞选人须知前附表，不按规定递交足够份数的竞选文件作否决处理。</w:t>
      </w:r>
    </w:p>
    <w:p w14:paraId="3448E1DB">
      <w:pPr>
        <w:autoSpaceDE w:val="0"/>
        <w:autoSpaceDN w:val="0"/>
        <w:adjustRightInd w:val="0"/>
        <w:snapToGrid w:val="0"/>
        <w:spacing w:line="360" w:lineRule="auto"/>
        <w:ind w:right="-109"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3.7.5  竞选文件应装订成册，并编制目录，具体装订要求见竞选人须知前附表规定。</w:t>
      </w:r>
    </w:p>
    <w:p w14:paraId="6B0D6C37">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34" w:name="_Toc31627"/>
      <w:bookmarkStart w:id="335" w:name="_Toc26662"/>
      <w:bookmarkStart w:id="336" w:name="_Toc509218737"/>
      <w:bookmarkStart w:id="337" w:name="_Toc287607773"/>
      <w:bookmarkStart w:id="338" w:name="_Toc224103344"/>
      <w:bookmarkStart w:id="339" w:name="_Toc200513153"/>
      <w:bookmarkStart w:id="340" w:name="_Toc430530462"/>
      <w:bookmarkStart w:id="341" w:name="_Toc17781"/>
      <w:bookmarkStart w:id="342" w:name="_Toc287620712"/>
      <w:bookmarkStart w:id="343" w:name="_Toc277082579"/>
      <w:r>
        <w:rPr>
          <w:rFonts w:hint="eastAsia" w:ascii="宋体" w:hAnsi="宋体" w:cs="宋体"/>
          <w:b w:val="0"/>
          <w:snapToGrid w:val="0"/>
          <w:color w:val="000000" w:themeColor="text1"/>
          <w:sz w:val="24"/>
          <w:szCs w:val="24"/>
          <w:highlight w:val="none"/>
          <w14:textFill>
            <w14:solidFill>
              <w14:schemeClr w14:val="tx1"/>
            </w14:solidFill>
          </w14:textFill>
        </w:rPr>
        <w:t xml:space="preserve">4.  </w:t>
      </w:r>
      <w:bookmarkEnd w:id="334"/>
      <w:bookmarkEnd w:id="335"/>
      <w:bookmarkEnd w:id="336"/>
      <w:bookmarkEnd w:id="337"/>
      <w:bookmarkEnd w:id="338"/>
      <w:bookmarkEnd w:id="339"/>
      <w:bookmarkEnd w:id="340"/>
      <w:bookmarkEnd w:id="341"/>
      <w:bookmarkEnd w:id="342"/>
      <w:bookmarkEnd w:id="343"/>
      <w:r>
        <w:rPr>
          <w:rFonts w:hint="eastAsia" w:ascii="宋体" w:hAnsi="宋体" w:cs="宋体"/>
          <w:b w:val="0"/>
          <w:snapToGrid w:val="0"/>
          <w:color w:val="000000" w:themeColor="text1"/>
          <w:sz w:val="24"/>
          <w:szCs w:val="24"/>
          <w:highlight w:val="none"/>
          <w14:textFill>
            <w14:solidFill>
              <w14:schemeClr w14:val="tx1"/>
            </w14:solidFill>
          </w14:textFill>
        </w:rPr>
        <w:t>竞选文件递交</w:t>
      </w:r>
    </w:p>
    <w:p w14:paraId="7CFD7C21">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44" w:name="_Toc30123"/>
      <w:bookmarkStart w:id="345" w:name="_Toc1906"/>
      <w:bookmarkStart w:id="346" w:name="_Toc200513154"/>
      <w:bookmarkStart w:id="347" w:name="_Toc430530463"/>
      <w:bookmarkStart w:id="348" w:name="_Toc40569071"/>
      <w:bookmarkStart w:id="349" w:name="_Toc287607774"/>
      <w:bookmarkStart w:id="350" w:name="_Toc224103345"/>
      <w:bookmarkStart w:id="351" w:name="_Toc287620713"/>
      <w:bookmarkStart w:id="352" w:name="_Toc40569166"/>
      <w:bookmarkStart w:id="353" w:name="_Toc277082580"/>
      <w:bookmarkStart w:id="354" w:name="_Toc509218738"/>
      <w:bookmarkStart w:id="355" w:name="_Toc21526"/>
      <w:r>
        <w:rPr>
          <w:rFonts w:hint="eastAsia" w:ascii="宋体" w:hAnsi="宋体" w:cs="宋体"/>
          <w:b w:val="0"/>
          <w:snapToGrid w:val="0"/>
          <w:color w:val="000000" w:themeColor="text1"/>
          <w:sz w:val="24"/>
          <w:szCs w:val="24"/>
          <w:highlight w:val="none"/>
          <w14:textFill>
            <w14:solidFill>
              <w14:schemeClr w14:val="tx1"/>
            </w14:solidFill>
          </w14:textFill>
        </w:rPr>
        <w:t>4.1  竞选文件的密封和标记</w:t>
      </w:r>
      <w:bookmarkEnd w:id="344"/>
      <w:bookmarkEnd w:id="345"/>
      <w:bookmarkEnd w:id="346"/>
      <w:bookmarkEnd w:id="347"/>
      <w:bookmarkEnd w:id="348"/>
      <w:bookmarkEnd w:id="349"/>
      <w:bookmarkEnd w:id="350"/>
      <w:bookmarkEnd w:id="351"/>
      <w:bookmarkEnd w:id="352"/>
      <w:bookmarkEnd w:id="353"/>
      <w:bookmarkEnd w:id="354"/>
      <w:bookmarkEnd w:id="355"/>
    </w:p>
    <w:p w14:paraId="238FEB7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bookmarkStart w:id="356" w:name="_Toc200513155"/>
      <w:r>
        <w:rPr>
          <w:rFonts w:hint="eastAsia" w:ascii="宋体" w:hAnsi="宋体" w:cs="宋体"/>
          <w:snapToGrid w:val="0"/>
          <w:color w:val="000000" w:themeColor="text1"/>
          <w:kern w:val="0"/>
          <w:szCs w:val="21"/>
          <w:highlight w:val="none"/>
          <w14:textFill>
            <w14:solidFill>
              <w14:schemeClr w14:val="tx1"/>
            </w14:solidFill>
          </w14:textFill>
        </w:rPr>
        <w:t>4.1.1  竞选文件的密封见竞选人须知前附表。</w:t>
      </w:r>
    </w:p>
    <w:p w14:paraId="6348CFE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竞选文件的封套上应写明的内容见竞选人须知前附表。</w:t>
      </w:r>
    </w:p>
    <w:p w14:paraId="7B5BC58C">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57" w:name="_Toc224103346"/>
      <w:bookmarkStart w:id="358" w:name="_Toc40569167"/>
      <w:bookmarkStart w:id="359" w:name="_Toc277082581"/>
      <w:bookmarkStart w:id="360" w:name="_Toc26108"/>
      <w:bookmarkStart w:id="361" w:name="_Toc509218739"/>
      <w:bookmarkStart w:id="362" w:name="_Toc7699"/>
      <w:bookmarkStart w:id="363" w:name="_Toc11740"/>
      <w:bookmarkStart w:id="364" w:name="_Toc430530464"/>
      <w:bookmarkStart w:id="365" w:name="_Toc287620714"/>
      <w:bookmarkStart w:id="366" w:name="_Toc40569072"/>
      <w:bookmarkStart w:id="367" w:name="_Toc287607775"/>
      <w:r>
        <w:rPr>
          <w:rFonts w:hint="eastAsia" w:ascii="宋体" w:hAnsi="宋体" w:cs="宋体"/>
          <w:b w:val="0"/>
          <w:snapToGrid w:val="0"/>
          <w:color w:val="000000" w:themeColor="text1"/>
          <w:sz w:val="24"/>
          <w:szCs w:val="24"/>
          <w:highlight w:val="none"/>
          <w14:textFill>
            <w14:solidFill>
              <w14:schemeClr w14:val="tx1"/>
            </w14:solidFill>
          </w14:textFill>
        </w:rPr>
        <w:t>4.2  竞选文件的递交</w:t>
      </w:r>
      <w:bookmarkEnd w:id="356"/>
      <w:bookmarkEnd w:id="357"/>
      <w:bookmarkEnd w:id="358"/>
      <w:bookmarkEnd w:id="359"/>
      <w:bookmarkEnd w:id="360"/>
      <w:bookmarkEnd w:id="361"/>
      <w:bookmarkEnd w:id="362"/>
      <w:bookmarkEnd w:id="363"/>
      <w:bookmarkEnd w:id="364"/>
      <w:bookmarkEnd w:id="365"/>
      <w:bookmarkEnd w:id="366"/>
      <w:bookmarkEnd w:id="367"/>
    </w:p>
    <w:p w14:paraId="0AB691C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竞选人应在竞选人须知前附表第 2.2.2 项规定的竞选文件递交截止时间前递交竞选文件。</w:t>
      </w:r>
    </w:p>
    <w:p w14:paraId="190289B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竞选人递交竞选文件的地点：见竞选人须知前附表。</w:t>
      </w:r>
    </w:p>
    <w:p w14:paraId="116AA50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除竞选人须知前附表另有规定外，竞选人所递交的竞选文件不予退还。</w:t>
      </w:r>
    </w:p>
    <w:p w14:paraId="4348B13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比选人收到竞选文件后，向竞选人出具签收凭证。</w:t>
      </w:r>
    </w:p>
    <w:p w14:paraId="56C3580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逾期送达的或者未送达指定地点的竞选文件，比选人不予受理。</w:t>
      </w:r>
    </w:p>
    <w:p w14:paraId="1F141414">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68" w:name="_Toc287607776"/>
      <w:bookmarkStart w:id="369" w:name="_Toc287620715"/>
      <w:bookmarkStart w:id="370" w:name="_Toc30961"/>
      <w:bookmarkStart w:id="371" w:name="_Toc430530465"/>
      <w:bookmarkStart w:id="372" w:name="_Toc277082582"/>
      <w:bookmarkStart w:id="373" w:name="_Toc23344"/>
      <w:bookmarkStart w:id="374" w:name="_Toc224103347"/>
      <w:bookmarkStart w:id="375" w:name="_Toc40569073"/>
      <w:bookmarkStart w:id="376" w:name="_Toc200513156"/>
      <w:bookmarkStart w:id="377" w:name="_Toc13850"/>
      <w:bookmarkStart w:id="378" w:name="_Toc509218740"/>
      <w:bookmarkStart w:id="379" w:name="_Toc40569168"/>
      <w:r>
        <w:rPr>
          <w:rFonts w:hint="eastAsia" w:ascii="宋体" w:hAnsi="宋体" w:cs="宋体"/>
          <w:b w:val="0"/>
          <w:snapToGrid w:val="0"/>
          <w:color w:val="000000" w:themeColor="text1"/>
          <w:sz w:val="24"/>
          <w:szCs w:val="24"/>
          <w:highlight w:val="none"/>
          <w14:textFill>
            <w14:solidFill>
              <w14:schemeClr w14:val="tx1"/>
            </w14:solidFill>
          </w14:textFill>
        </w:rPr>
        <w:t>4.3  竞选文件的修改与撤回</w:t>
      </w:r>
      <w:bookmarkEnd w:id="368"/>
      <w:bookmarkEnd w:id="369"/>
      <w:bookmarkEnd w:id="370"/>
      <w:bookmarkEnd w:id="371"/>
      <w:bookmarkEnd w:id="372"/>
      <w:bookmarkEnd w:id="373"/>
      <w:bookmarkEnd w:id="374"/>
      <w:bookmarkEnd w:id="375"/>
      <w:bookmarkEnd w:id="376"/>
      <w:bookmarkEnd w:id="377"/>
      <w:bookmarkEnd w:id="378"/>
      <w:bookmarkEnd w:id="379"/>
    </w:p>
    <w:p w14:paraId="6053047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在竞选人须知前附表第2.2.2项规定的竞选文件递交截止时间前，竞选人可以修改或撤回已递交的竞选文件，但应以书面形式通知比选人。</w:t>
      </w:r>
    </w:p>
    <w:p w14:paraId="6BDEB10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竞选人修改或撤回已递交竞选文件的书面通知应按照本章第3.7.3项的要求签字或盖章。比选人收到书面通知后，向竞选人出具签收凭证。</w:t>
      </w:r>
    </w:p>
    <w:p w14:paraId="593A400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修改的内容为竞选文件的组成部分。修改的竞选文件应按照本章第3条、第4条规定进行编制、密封、标记和递交，并标明“修改”字样。</w:t>
      </w:r>
    </w:p>
    <w:p w14:paraId="2AB7D26B">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80" w:name="_Toc287620716"/>
      <w:bookmarkStart w:id="381" w:name="_Toc277082583"/>
      <w:bookmarkStart w:id="382" w:name="_Toc7310"/>
      <w:bookmarkStart w:id="383" w:name="_Toc287607777"/>
      <w:bookmarkStart w:id="384" w:name="_Toc24445"/>
      <w:bookmarkStart w:id="385" w:name="_Toc18092"/>
      <w:bookmarkStart w:id="386" w:name="_Toc509218741"/>
      <w:bookmarkStart w:id="387" w:name="_Toc224103348"/>
      <w:bookmarkStart w:id="388" w:name="_Toc430530466"/>
      <w:bookmarkStart w:id="389" w:name="_Toc200513157"/>
      <w:r>
        <w:rPr>
          <w:rFonts w:hint="eastAsia" w:ascii="宋体" w:hAnsi="宋体" w:cs="宋体"/>
          <w:b w:val="0"/>
          <w:snapToGrid w:val="0"/>
          <w:color w:val="000000" w:themeColor="text1"/>
          <w:sz w:val="24"/>
          <w:szCs w:val="24"/>
          <w:highlight w:val="none"/>
          <w14:textFill>
            <w14:solidFill>
              <w14:schemeClr w14:val="tx1"/>
            </w14:solidFill>
          </w14:textFill>
        </w:rPr>
        <w:t>5.  开标</w:t>
      </w:r>
      <w:bookmarkEnd w:id="380"/>
      <w:bookmarkEnd w:id="381"/>
      <w:bookmarkEnd w:id="382"/>
      <w:bookmarkEnd w:id="383"/>
      <w:bookmarkEnd w:id="384"/>
      <w:bookmarkEnd w:id="385"/>
      <w:bookmarkEnd w:id="386"/>
      <w:bookmarkEnd w:id="387"/>
      <w:bookmarkEnd w:id="388"/>
      <w:bookmarkEnd w:id="389"/>
    </w:p>
    <w:p w14:paraId="69102657">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90" w:name="_Toc509218742"/>
      <w:bookmarkStart w:id="391" w:name="_Toc40569075"/>
      <w:bookmarkStart w:id="392" w:name="_Toc21647"/>
      <w:bookmarkStart w:id="393" w:name="_Toc40569170"/>
      <w:bookmarkStart w:id="394" w:name="_Toc200513158"/>
      <w:bookmarkStart w:id="395" w:name="_Toc287607778"/>
      <w:bookmarkStart w:id="396" w:name="_Toc23360"/>
      <w:bookmarkStart w:id="397" w:name="_Toc287620717"/>
      <w:bookmarkStart w:id="398" w:name="_Toc277082584"/>
      <w:bookmarkStart w:id="399" w:name="_Toc21177"/>
      <w:bookmarkStart w:id="400" w:name="_Toc224103349"/>
      <w:bookmarkStart w:id="401" w:name="_Toc430530467"/>
      <w:r>
        <w:rPr>
          <w:rFonts w:hint="eastAsia" w:ascii="宋体" w:hAnsi="宋体" w:cs="宋体"/>
          <w:b w:val="0"/>
          <w:snapToGrid w:val="0"/>
          <w:color w:val="000000" w:themeColor="text1"/>
          <w:sz w:val="24"/>
          <w:szCs w:val="24"/>
          <w:highlight w:val="none"/>
          <w14:textFill>
            <w14:solidFill>
              <w14:schemeClr w14:val="tx1"/>
            </w14:solidFill>
          </w14:textFill>
        </w:rPr>
        <w:t>5.1  开标时间和地点</w:t>
      </w:r>
      <w:bookmarkEnd w:id="390"/>
      <w:bookmarkEnd w:id="391"/>
      <w:bookmarkEnd w:id="392"/>
      <w:bookmarkEnd w:id="393"/>
      <w:bookmarkEnd w:id="394"/>
      <w:bookmarkEnd w:id="395"/>
      <w:bookmarkEnd w:id="396"/>
      <w:bookmarkEnd w:id="397"/>
      <w:bookmarkEnd w:id="398"/>
      <w:bookmarkEnd w:id="399"/>
      <w:bookmarkEnd w:id="400"/>
      <w:bookmarkEnd w:id="401"/>
    </w:p>
    <w:p w14:paraId="2B9BBEC9">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比选人在竞选人须知前附表第 2.2.2 项规定的竞选文件递交截止时间和竞选人须知前附表规定的地点公开开标，并邀请所有竞选人的法定代表人或其委托代理人准时参加。</w:t>
      </w:r>
    </w:p>
    <w:p w14:paraId="10F2DD12">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02" w:name="_Toc277082585"/>
      <w:bookmarkStart w:id="403" w:name="_Toc224103350"/>
      <w:bookmarkStart w:id="404" w:name="_Toc2116"/>
      <w:bookmarkStart w:id="405" w:name="_Toc287607779"/>
      <w:bookmarkStart w:id="406" w:name="_Toc9819"/>
      <w:bookmarkStart w:id="407" w:name="_Toc200513159"/>
      <w:bookmarkStart w:id="408" w:name="_Toc40569076"/>
      <w:bookmarkStart w:id="409" w:name="_Toc430530468"/>
      <w:bookmarkStart w:id="410" w:name="_Toc287620718"/>
      <w:bookmarkStart w:id="411" w:name="_Toc40569171"/>
      <w:bookmarkStart w:id="412" w:name="_Toc4086"/>
      <w:bookmarkStart w:id="413" w:name="_Toc509218743"/>
      <w:r>
        <w:rPr>
          <w:rFonts w:hint="eastAsia" w:ascii="宋体" w:hAnsi="宋体" w:cs="宋体"/>
          <w:b w:val="0"/>
          <w:snapToGrid w:val="0"/>
          <w:color w:val="000000" w:themeColor="text1"/>
          <w:sz w:val="24"/>
          <w:szCs w:val="24"/>
          <w:highlight w:val="none"/>
          <w14:textFill>
            <w14:solidFill>
              <w14:schemeClr w14:val="tx1"/>
            </w14:solidFill>
          </w14:textFill>
        </w:rPr>
        <w:t>5.2  开标程序</w:t>
      </w:r>
      <w:bookmarkEnd w:id="402"/>
      <w:bookmarkEnd w:id="403"/>
      <w:bookmarkEnd w:id="404"/>
      <w:bookmarkEnd w:id="405"/>
      <w:bookmarkEnd w:id="406"/>
      <w:bookmarkEnd w:id="407"/>
      <w:bookmarkEnd w:id="408"/>
      <w:bookmarkEnd w:id="409"/>
      <w:bookmarkEnd w:id="410"/>
      <w:bookmarkEnd w:id="411"/>
      <w:bookmarkEnd w:id="412"/>
      <w:bookmarkEnd w:id="413"/>
    </w:p>
    <w:p w14:paraId="5017A9EB">
      <w:pPr>
        <w:autoSpaceDE w:val="0"/>
        <w:autoSpaceDN w:val="0"/>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414" w:name="_Toc277082586"/>
      <w:bookmarkStart w:id="415" w:name="_Toc287620719"/>
      <w:bookmarkStart w:id="416" w:name="_Toc200513160"/>
      <w:bookmarkStart w:id="417" w:name="_Toc224103351"/>
      <w:bookmarkStart w:id="418" w:name="_Toc287607780"/>
      <w:r>
        <w:rPr>
          <w:rFonts w:hint="eastAsia" w:ascii="宋体" w:hAnsi="宋体" w:cs="宋体"/>
          <w:color w:val="000000" w:themeColor="text1"/>
          <w:szCs w:val="21"/>
          <w:highlight w:val="none"/>
          <w14:textFill>
            <w14:solidFill>
              <w14:schemeClr w14:val="tx1"/>
            </w14:solidFill>
          </w14:textFill>
        </w:rPr>
        <w:t>详见竞选人须知前附表5.2开标程序。</w:t>
      </w:r>
    </w:p>
    <w:p w14:paraId="36DE86EC">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19" w:name="_Toc28222"/>
      <w:bookmarkStart w:id="420" w:name="_Toc20444"/>
      <w:bookmarkStart w:id="421" w:name="_Toc430530469"/>
      <w:bookmarkStart w:id="422" w:name="_Toc509218744"/>
      <w:bookmarkStart w:id="423" w:name="_Toc29670"/>
      <w:r>
        <w:rPr>
          <w:rFonts w:hint="eastAsia" w:ascii="宋体" w:hAnsi="宋体" w:cs="宋体"/>
          <w:b w:val="0"/>
          <w:snapToGrid w:val="0"/>
          <w:color w:val="000000" w:themeColor="text1"/>
          <w:sz w:val="24"/>
          <w:szCs w:val="24"/>
          <w:highlight w:val="none"/>
          <w14:textFill>
            <w14:solidFill>
              <w14:schemeClr w14:val="tx1"/>
            </w14:solidFill>
          </w14:textFill>
        </w:rPr>
        <w:t xml:space="preserve">6.  </w:t>
      </w:r>
      <w:bookmarkEnd w:id="414"/>
      <w:bookmarkEnd w:id="415"/>
      <w:bookmarkEnd w:id="416"/>
      <w:bookmarkEnd w:id="417"/>
      <w:bookmarkEnd w:id="418"/>
      <w:bookmarkEnd w:id="419"/>
      <w:bookmarkEnd w:id="420"/>
      <w:bookmarkEnd w:id="421"/>
      <w:bookmarkEnd w:id="422"/>
      <w:bookmarkEnd w:id="423"/>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11EACA74">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24" w:name="_Toc287620720"/>
      <w:bookmarkStart w:id="425" w:name="_Toc8411"/>
      <w:bookmarkStart w:id="426" w:name="_Toc1171"/>
      <w:bookmarkStart w:id="427" w:name="_Toc287607781"/>
      <w:bookmarkStart w:id="428" w:name="_Toc40569173"/>
      <w:bookmarkStart w:id="429" w:name="_Toc224103352"/>
      <w:bookmarkStart w:id="430" w:name="_Toc40569078"/>
      <w:bookmarkStart w:id="431" w:name="_Toc200513161"/>
      <w:bookmarkStart w:id="432" w:name="_Toc430530470"/>
      <w:bookmarkStart w:id="433" w:name="_Toc509218745"/>
      <w:bookmarkStart w:id="434" w:name="_Toc277082587"/>
      <w:bookmarkStart w:id="435" w:name="_Toc11628"/>
      <w:r>
        <w:rPr>
          <w:rFonts w:hint="eastAsia" w:ascii="宋体" w:hAnsi="宋体" w:cs="宋体"/>
          <w:b w:val="0"/>
          <w:snapToGrid w:val="0"/>
          <w:color w:val="000000" w:themeColor="text1"/>
          <w:sz w:val="24"/>
          <w:szCs w:val="24"/>
          <w:highlight w:val="none"/>
          <w14:textFill>
            <w14:solidFill>
              <w14:schemeClr w14:val="tx1"/>
            </w14:solidFill>
          </w14:textFill>
        </w:rPr>
        <w:t>6.1  评选委员会</w:t>
      </w:r>
      <w:bookmarkEnd w:id="424"/>
      <w:bookmarkEnd w:id="425"/>
      <w:bookmarkEnd w:id="426"/>
      <w:bookmarkEnd w:id="427"/>
      <w:bookmarkEnd w:id="428"/>
      <w:bookmarkEnd w:id="429"/>
      <w:bookmarkEnd w:id="430"/>
      <w:bookmarkEnd w:id="431"/>
      <w:bookmarkEnd w:id="432"/>
      <w:bookmarkEnd w:id="433"/>
      <w:bookmarkEnd w:id="434"/>
      <w:bookmarkEnd w:id="435"/>
    </w:p>
    <w:p w14:paraId="776578E3">
      <w:pPr>
        <w:autoSpaceDE w:val="0"/>
        <w:autoSpaceDN w:val="0"/>
        <w:adjustRightInd w:val="0"/>
        <w:snapToGrid w:val="0"/>
        <w:spacing w:line="360" w:lineRule="auto"/>
        <w:ind w:firstLine="420"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评选由比选人依据法律法规和相关规范性文件组建的评选委员会负责。</w:t>
      </w:r>
    </w:p>
    <w:p w14:paraId="0ADB97E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评选委员会成员有下列情形之一的，应当回避：</w:t>
      </w:r>
    </w:p>
    <w:p w14:paraId="255E262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（1）竞选人或竞选人的主要负责人的近亲属；</w:t>
      </w:r>
    </w:p>
    <w:p w14:paraId="27EA350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14:paraId="5F003FD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（3）与竞选人有利害关系，可能影响对投标公正评选的；</w:t>
      </w:r>
    </w:p>
    <w:p w14:paraId="279E7BE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（4）曾因在招标、评选以及其他与招标投标有关活动中从事违法行为而受过行政处罚或刑事处罚的。</w:t>
      </w:r>
    </w:p>
    <w:p w14:paraId="0603B0A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36" w:name="_Toc509218746"/>
      <w:bookmarkStart w:id="437" w:name="_Toc287620721"/>
      <w:bookmarkStart w:id="438" w:name="_Toc5380"/>
      <w:bookmarkStart w:id="439" w:name="_Toc430530471"/>
      <w:bookmarkStart w:id="440" w:name="_Toc40569174"/>
      <w:bookmarkStart w:id="441" w:name="_Toc200513162"/>
      <w:bookmarkStart w:id="442" w:name="_Toc40569079"/>
      <w:bookmarkStart w:id="443" w:name="_Toc224103353"/>
      <w:bookmarkStart w:id="444" w:name="_Toc287607782"/>
      <w:bookmarkStart w:id="445" w:name="_Toc277082588"/>
      <w:bookmarkStart w:id="446" w:name="_Toc1737"/>
      <w:bookmarkStart w:id="447" w:name="_Toc19907"/>
      <w:r>
        <w:rPr>
          <w:rFonts w:hint="eastAsia" w:ascii="宋体" w:hAnsi="宋体" w:cs="宋体"/>
          <w:b w:val="0"/>
          <w:snapToGrid w:val="0"/>
          <w:color w:val="000000" w:themeColor="text1"/>
          <w:sz w:val="24"/>
          <w:szCs w:val="24"/>
          <w:highlight w:val="none"/>
          <w14:textFill>
            <w14:solidFill>
              <w14:schemeClr w14:val="tx1"/>
            </w14:solidFill>
          </w14:textFill>
        </w:rPr>
        <w:t>6.2  评选原则</w:t>
      </w:r>
      <w:bookmarkEnd w:id="436"/>
      <w:bookmarkEnd w:id="437"/>
      <w:bookmarkEnd w:id="438"/>
      <w:bookmarkEnd w:id="439"/>
      <w:bookmarkEnd w:id="440"/>
      <w:bookmarkEnd w:id="441"/>
      <w:bookmarkEnd w:id="442"/>
      <w:bookmarkEnd w:id="443"/>
      <w:bookmarkEnd w:id="444"/>
      <w:bookmarkEnd w:id="445"/>
      <w:bookmarkEnd w:id="446"/>
      <w:bookmarkEnd w:id="447"/>
    </w:p>
    <w:p w14:paraId="569D7DF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评选活动遵循公平、公正、科学和择优的原则。</w:t>
      </w:r>
    </w:p>
    <w:p w14:paraId="72F6518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48" w:name="_Toc277082589"/>
      <w:bookmarkStart w:id="449" w:name="_Toc430530472"/>
      <w:bookmarkStart w:id="450" w:name="_Toc40569080"/>
      <w:bookmarkStart w:id="451" w:name="_Toc29814"/>
      <w:bookmarkStart w:id="452" w:name="_Toc40569175"/>
      <w:bookmarkStart w:id="453" w:name="_Toc287620722"/>
      <w:bookmarkStart w:id="454" w:name="_Toc224103354"/>
      <w:bookmarkStart w:id="455" w:name="_Toc287607783"/>
      <w:bookmarkStart w:id="456" w:name="_Toc509218747"/>
      <w:bookmarkStart w:id="457" w:name="_Toc17901"/>
      <w:bookmarkStart w:id="458" w:name="_Toc32653"/>
      <w:bookmarkStart w:id="459" w:name="_Toc200513163"/>
      <w:r>
        <w:rPr>
          <w:rFonts w:hint="eastAsia" w:ascii="宋体" w:hAnsi="宋体" w:cs="宋体"/>
          <w:b w:val="0"/>
          <w:snapToGrid w:val="0"/>
          <w:color w:val="000000" w:themeColor="text1"/>
          <w:sz w:val="24"/>
          <w:szCs w:val="24"/>
          <w:highlight w:val="none"/>
          <w14:textFill>
            <w14:solidFill>
              <w14:schemeClr w14:val="tx1"/>
            </w14:solidFill>
          </w14:textFill>
        </w:rPr>
        <w:t xml:space="preserve">6.3  </w:t>
      </w:r>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6EA1CDD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评选委员会按照第三章“评选办法”规定的方法、评选因素、标准和程序对竞选文件进行评选。第三章“评选办法”没有规定的方法、评选因素和标准，不得作为评选依据。</w:t>
      </w:r>
    </w:p>
    <w:p w14:paraId="5062238B">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60" w:name="_Toc509218748"/>
      <w:bookmarkStart w:id="461" w:name="_Toc277082590"/>
      <w:bookmarkStart w:id="462" w:name="_Toc23357"/>
      <w:bookmarkStart w:id="463" w:name="_Toc430530473"/>
      <w:bookmarkStart w:id="464" w:name="_Toc200513164"/>
      <w:bookmarkStart w:id="465" w:name="_Toc287620723"/>
      <w:bookmarkStart w:id="466" w:name="_Toc27760"/>
      <w:bookmarkStart w:id="467" w:name="_Toc287607784"/>
      <w:bookmarkStart w:id="468" w:name="_Toc677"/>
      <w:bookmarkStart w:id="469" w:name="_Toc224103355"/>
      <w:r>
        <w:rPr>
          <w:rFonts w:hint="eastAsia" w:ascii="宋体" w:hAnsi="宋体" w:cs="宋体"/>
          <w:b w:val="0"/>
          <w:snapToGrid w:val="0"/>
          <w:color w:val="000000" w:themeColor="text1"/>
          <w:sz w:val="24"/>
          <w:szCs w:val="24"/>
          <w:highlight w:val="none"/>
          <w14:textFill>
            <w14:solidFill>
              <w14:schemeClr w14:val="tx1"/>
            </w14:solidFill>
          </w14:textFill>
        </w:rPr>
        <w:t>7.  合同授予</w:t>
      </w:r>
      <w:bookmarkEnd w:id="460"/>
      <w:bookmarkEnd w:id="461"/>
      <w:bookmarkEnd w:id="462"/>
      <w:bookmarkEnd w:id="463"/>
      <w:bookmarkEnd w:id="464"/>
      <w:bookmarkEnd w:id="465"/>
      <w:bookmarkEnd w:id="466"/>
      <w:bookmarkEnd w:id="467"/>
      <w:bookmarkEnd w:id="468"/>
      <w:bookmarkEnd w:id="469"/>
    </w:p>
    <w:p w14:paraId="5FFA6A21">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70" w:name="_Toc430530474"/>
      <w:bookmarkStart w:id="471" w:name="_Toc224103356"/>
      <w:bookmarkStart w:id="472" w:name="_Toc14144"/>
      <w:bookmarkStart w:id="473" w:name="_Toc12014"/>
      <w:bookmarkStart w:id="474" w:name="_Toc287607785"/>
      <w:bookmarkStart w:id="475" w:name="_Toc200513165"/>
      <w:bookmarkStart w:id="476" w:name="_Toc12616"/>
      <w:bookmarkStart w:id="477" w:name="_Toc509218749"/>
      <w:bookmarkStart w:id="478" w:name="_Toc287620724"/>
      <w:bookmarkStart w:id="479" w:name="_Toc277082591"/>
      <w:bookmarkStart w:id="480" w:name="_Toc40569177"/>
      <w:bookmarkStart w:id="481" w:name="_Toc40569082"/>
      <w:r>
        <w:rPr>
          <w:rFonts w:hint="eastAsia" w:ascii="宋体" w:hAnsi="宋体" w:cs="宋体"/>
          <w:b w:val="0"/>
          <w:snapToGrid w:val="0"/>
          <w:color w:val="000000" w:themeColor="text1"/>
          <w:sz w:val="24"/>
          <w:szCs w:val="24"/>
          <w:highlight w:val="none"/>
          <w14:textFill>
            <w14:solidFill>
              <w14:schemeClr w14:val="tx1"/>
            </w14:solidFill>
          </w14:textFill>
        </w:rPr>
        <w:t>7.1  定标方式</w:t>
      </w:r>
      <w:bookmarkEnd w:id="470"/>
      <w:bookmarkEnd w:id="471"/>
      <w:bookmarkEnd w:id="472"/>
      <w:bookmarkEnd w:id="473"/>
      <w:bookmarkEnd w:id="474"/>
      <w:bookmarkEnd w:id="475"/>
      <w:bookmarkEnd w:id="476"/>
      <w:bookmarkEnd w:id="477"/>
      <w:bookmarkEnd w:id="478"/>
      <w:bookmarkEnd w:id="479"/>
      <w:bookmarkEnd w:id="480"/>
      <w:bookmarkEnd w:id="481"/>
    </w:p>
    <w:p w14:paraId="24C65DA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6903146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评选委员会推荐中选候选人的人数见竞选人须知前附表。</w:t>
      </w:r>
    </w:p>
    <w:p w14:paraId="3632734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2" w:name="_Toc509218750"/>
      <w:bookmarkStart w:id="483" w:name="_Toc757"/>
      <w:bookmarkStart w:id="484" w:name="_Toc40569178"/>
      <w:bookmarkStart w:id="485" w:name="_Toc430530475"/>
      <w:bookmarkStart w:id="486" w:name="_Toc23600"/>
      <w:bookmarkStart w:id="487" w:name="_Toc40569083"/>
      <w:bookmarkStart w:id="488" w:name="_Toc3480"/>
      <w:r>
        <w:rPr>
          <w:rFonts w:hint="eastAsia" w:ascii="宋体" w:hAnsi="宋体" w:cs="宋体"/>
          <w:b w:val="0"/>
          <w:snapToGrid w:val="0"/>
          <w:color w:val="000000" w:themeColor="text1"/>
          <w:sz w:val="24"/>
          <w:szCs w:val="24"/>
          <w:highlight w:val="none"/>
          <w14:textFill>
            <w14:solidFill>
              <w14:schemeClr w14:val="tx1"/>
            </w14:solidFill>
          </w14:textFill>
        </w:rPr>
        <w:t>7.2  中选公示及中选通知</w:t>
      </w:r>
      <w:bookmarkEnd w:id="482"/>
      <w:bookmarkEnd w:id="483"/>
      <w:bookmarkEnd w:id="484"/>
      <w:bookmarkEnd w:id="485"/>
      <w:bookmarkEnd w:id="486"/>
      <w:bookmarkEnd w:id="487"/>
      <w:bookmarkEnd w:id="488"/>
    </w:p>
    <w:p w14:paraId="487C7B8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详见竞选人须知前附表。</w:t>
      </w:r>
    </w:p>
    <w:p w14:paraId="6A9BA7A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9" w:name="_Toc40569179"/>
      <w:bookmarkStart w:id="490" w:name="_Toc200513167"/>
      <w:bookmarkStart w:id="491" w:name="_Toc287607787"/>
      <w:bookmarkStart w:id="492" w:name="_Toc509218751"/>
      <w:bookmarkStart w:id="493" w:name="_Toc287620726"/>
      <w:bookmarkStart w:id="494" w:name="_Toc224103358"/>
      <w:bookmarkStart w:id="495" w:name="_Toc1444"/>
      <w:bookmarkStart w:id="496" w:name="_Toc40569084"/>
      <w:bookmarkStart w:id="497" w:name="_Toc430530476"/>
      <w:bookmarkStart w:id="498" w:name="_Toc20679"/>
      <w:bookmarkStart w:id="499" w:name="_Toc31150"/>
      <w:bookmarkStart w:id="500" w:name="_Toc277082593"/>
      <w:r>
        <w:rPr>
          <w:rFonts w:hint="eastAsia" w:ascii="宋体" w:hAnsi="宋体" w:cs="宋体"/>
          <w:b w:val="0"/>
          <w:snapToGrid w:val="0"/>
          <w:color w:val="000000" w:themeColor="text1"/>
          <w:sz w:val="24"/>
          <w:szCs w:val="24"/>
          <w:highlight w:val="none"/>
          <w14:textFill>
            <w14:solidFill>
              <w14:schemeClr w14:val="tx1"/>
            </w14:solidFill>
          </w14:textFill>
        </w:rPr>
        <w:t>7.3  履约担保</w:t>
      </w:r>
      <w:bookmarkEnd w:id="489"/>
      <w:bookmarkEnd w:id="490"/>
      <w:bookmarkEnd w:id="491"/>
      <w:bookmarkEnd w:id="492"/>
      <w:bookmarkEnd w:id="493"/>
      <w:bookmarkEnd w:id="494"/>
      <w:bookmarkEnd w:id="495"/>
      <w:bookmarkEnd w:id="496"/>
      <w:bookmarkEnd w:id="497"/>
      <w:bookmarkEnd w:id="498"/>
      <w:bookmarkEnd w:id="499"/>
      <w:bookmarkEnd w:id="500"/>
    </w:p>
    <w:p w14:paraId="707AD78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14:paraId="33AB428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7.3.2  中选人不能按本章第 7.3.1 项要求提交履约担保的，视为放弃中选，其比选保证金不予退还，给比选人造成的损失超过比选保证金数额的，中选人还应当对超过部分予以赔偿。</w:t>
      </w:r>
    </w:p>
    <w:p w14:paraId="4C24829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01" w:name="_Toc40569085"/>
      <w:bookmarkStart w:id="502" w:name="_Toc277082594"/>
      <w:bookmarkStart w:id="503" w:name="_Toc3209"/>
      <w:bookmarkStart w:id="504" w:name="_Toc287620727"/>
      <w:bookmarkStart w:id="505" w:name="_Toc509218752"/>
      <w:bookmarkStart w:id="506" w:name="_Toc287607788"/>
      <w:bookmarkStart w:id="507" w:name="_Toc224103359"/>
      <w:bookmarkStart w:id="508" w:name="_Toc430530477"/>
      <w:bookmarkStart w:id="509" w:name="_Toc1871"/>
      <w:bookmarkStart w:id="510" w:name="_Toc40569180"/>
      <w:bookmarkStart w:id="511" w:name="_Toc23731"/>
      <w:bookmarkStart w:id="512" w:name="_Toc200513168"/>
      <w:r>
        <w:rPr>
          <w:rFonts w:hint="eastAsia" w:ascii="宋体" w:hAnsi="宋体" w:cs="宋体"/>
          <w:b w:val="0"/>
          <w:snapToGrid w:val="0"/>
          <w:color w:val="000000" w:themeColor="text1"/>
          <w:sz w:val="24"/>
          <w:szCs w:val="24"/>
          <w:highlight w:val="none"/>
          <w14:textFill>
            <w14:solidFill>
              <w14:schemeClr w14:val="tx1"/>
            </w14:solidFill>
          </w14:textFill>
        </w:rPr>
        <w:t>7.4  签订合同</w:t>
      </w:r>
      <w:bookmarkEnd w:id="501"/>
      <w:bookmarkEnd w:id="502"/>
      <w:bookmarkEnd w:id="503"/>
      <w:bookmarkEnd w:id="504"/>
      <w:bookmarkEnd w:id="505"/>
      <w:bookmarkEnd w:id="506"/>
      <w:bookmarkEnd w:id="507"/>
      <w:bookmarkEnd w:id="508"/>
      <w:bookmarkEnd w:id="509"/>
      <w:bookmarkEnd w:id="510"/>
      <w:bookmarkEnd w:id="511"/>
      <w:bookmarkEnd w:id="512"/>
    </w:p>
    <w:p w14:paraId="2FB1FE18">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14:paraId="5A6DBD80">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发出中选通知书后，比选人无正当理由拒签合同的，比选人向中选人退还比选保证金；给中选人造成损失的，还应当赔偿损失。</w:t>
      </w:r>
    </w:p>
    <w:p w14:paraId="3F0BCF16">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13" w:name="_Toc430530478"/>
      <w:bookmarkStart w:id="514" w:name="_Toc387"/>
      <w:bookmarkStart w:id="515" w:name="_Toc509218753"/>
      <w:bookmarkStart w:id="516" w:name="_Toc4906"/>
      <w:bookmarkStart w:id="517" w:name="_Toc287620728"/>
      <w:bookmarkStart w:id="518" w:name="_Toc277082595"/>
      <w:bookmarkStart w:id="519" w:name="_Toc32452"/>
      <w:bookmarkStart w:id="520" w:name="_Toc287607789"/>
      <w:bookmarkStart w:id="521" w:name="_Toc224103360"/>
      <w:bookmarkStart w:id="522" w:name="_Toc200513169"/>
      <w:r>
        <w:rPr>
          <w:rFonts w:hint="eastAsia" w:ascii="宋体" w:hAnsi="宋体" w:cs="宋体"/>
          <w:b w:val="0"/>
          <w:snapToGrid w:val="0"/>
          <w:color w:val="000000" w:themeColor="text1"/>
          <w:sz w:val="24"/>
          <w:szCs w:val="24"/>
          <w:highlight w:val="none"/>
          <w14:textFill>
            <w14:solidFill>
              <w14:schemeClr w14:val="tx1"/>
            </w14:solidFill>
          </w14:textFill>
        </w:rPr>
        <w:t>8.  重新</w:t>
      </w:r>
      <w:bookmarkEnd w:id="513"/>
      <w:bookmarkEnd w:id="514"/>
      <w:bookmarkEnd w:id="515"/>
      <w:bookmarkEnd w:id="516"/>
      <w:bookmarkEnd w:id="517"/>
      <w:bookmarkEnd w:id="518"/>
      <w:bookmarkEnd w:id="519"/>
      <w:bookmarkEnd w:id="520"/>
      <w:bookmarkEnd w:id="521"/>
      <w:bookmarkEnd w:id="522"/>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431454EF">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23" w:name="_Toc277082596"/>
      <w:bookmarkStart w:id="524" w:name="_Toc287620729"/>
      <w:bookmarkStart w:id="525" w:name="_Toc287607790"/>
      <w:bookmarkStart w:id="526" w:name="_Toc40569087"/>
      <w:bookmarkStart w:id="527" w:name="_Toc40569182"/>
      <w:bookmarkStart w:id="528" w:name="_Toc430530479"/>
      <w:bookmarkStart w:id="529" w:name="_Toc23599"/>
      <w:bookmarkStart w:id="530" w:name="_Toc509218754"/>
      <w:bookmarkStart w:id="531" w:name="_Toc224103361"/>
      <w:bookmarkStart w:id="532" w:name="_Toc16710"/>
      <w:bookmarkStart w:id="533" w:name="_Toc5411"/>
      <w:bookmarkStart w:id="534" w:name="_Toc200513170"/>
      <w:r>
        <w:rPr>
          <w:rFonts w:hint="eastAsia" w:ascii="宋体" w:hAnsi="宋体" w:cs="宋体"/>
          <w:b w:val="0"/>
          <w:snapToGrid w:val="0"/>
          <w:color w:val="000000" w:themeColor="text1"/>
          <w:sz w:val="24"/>
          <w:szCs w:val="24"/>
          <w:highlight w:val="none"/>
          <w14:textFill>
            <w14:solidFill>
              <w14:schemeClr w14:val="tx1"/>
            </w14:solidFill>
          </w14:textFill>
        </w:rPr>
        <w:t>8.1  重新</w:t>
      </w:r>
      <w:bookmarkEnd w:id="523"/>
      <w:bookmarkEnd w:id="524"/>
      <w:bookmarkEnd w:id="525"/>
      <w:bookmarkEnd w:id="526"/>
      <w:bookmarkEnd w:id="527"/>
      <w:bookmarkEnd w:id="528"/>
      <w:bookmarkEnd w:id="529"/>
      <w:bookmarkEnd w:id="530"/>
      <w:bookmarkEnd w:id="531"/>
      <w:bookmarkEnd w:id="532"/>
      <w:bookmarkEnd w:id="533"/>
      <w:bookmarkEnd w:id="534"/>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7E0B3BC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w:t>
      </w:r>
      <w:r>
        <w:rPr>
          <w:rFonts w:hint="eastAsia" w:ascii="宋体" w:hAnsi="宋体" w:cs="宋体"/>
          <w:snapToGrid w:val="0"/>
          <w:color w:val="000000" w:themeColor="text1"/>
          <w:kern w:val="0"/>
          <w:szCs w:val="21"/>
          <w:highlight w:val="none"/>
          <w14:textFill>
            <w14:solidFill>
              <w14:schemeClr w14:val="tx1"/>
            </w14:solidFill>
          </w14:textFill>
        </w:rPr>
        <w:t>有下列情形之一的，比选人将重新开展比选活动：</w:t>
      </w:r>
    </w:p>
    <w:p w14:paraId="10010ACD">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①竞选文件递交截止时间为止，竞选人少于3个的；</w:t>
      </w:r>
    </w:p>
    <w:p w14:paraId="1308154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②经评选委员会评选后否决所有竞选人的；</w:t>
      </w:r>
    </w:p>
    <w:p w14:paraId="3825A847">
      <w:pPr>
        <w:widowControl/>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14:paraId="17B570F4">
      <w:pPr>
        <w:widowControl/>
        <w:spacing w:line="360" w:lineRule="auto"/>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④法律法规规定的其他情形。</w:t>
      </w:r>
    </w:p>
    <w:p w14:paraId="26BB0D38">
      <w:pPr>
        <w:widowControl/>
        <w:spacing w:line="360" w:lineRule="auto"/>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（2）若初次比选因故终止，第二次比选有效竞选人仍然少于三个的，按照原规定的程序比选和评审。</w:t>
      </w:r>
    </w:p>
    <w:p w14:paraId="70F6E93E">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35" w:name="_Toc287620731"/>
      <w:bookmarkStart w:id="536" w:name="_Toc200513172"/>
      <w:bookmarkStart w:id="537" w:name="_Toc277082598"/>
      <w:bookmarkStart w:id="538" w:name="_Toc30342"/>
      <w:bookmarkStart w:id="539" w:name="_Toc7059"/>
      <w:bookmarkStart w:id="540" w:name="_Toc287607792"/>
      <w:bookmarkStart w:id="541" w:name="_Toc224103363"/>
      <w:bookmarkStart w:id="542" w:name="_Toc32459"/>
      <w:bookmarkStart w:id="543" w:name="_Toc509218756"/>
      <w:bookmarkStart w:id="544" w:name="_Toc430530481"/>
      <w:r>
        <w:rPr>
          <w:rFonts w:hint="eastAsia" w:ascii="宋体" w:hAnsi="宋体" w:cs="宋体"/>
          <w:b w:val="0"/>
          <w:snapToGrid w:val="0"/>
          <w:color w:val="000000" w:themeColor="text1"/>
          <w:sz w:val="24"/>
          <w:szCs w:val="24"/>
          <w:highlight w:val="none"/>
          <w14:textFill>
            <w14:solidFill>
              <w14:schemeClr w14:val="tx1"/>
            </w14:solidFill>
          </w14:textFill>
        </w:rPr>
        <w:t>9.  纪律和监督</w:t>
      </w:r>
      <w:bookmarkEnd w:id="535"/>
      <w:bookmarkEnd w:id="536"/>
      <w:bookmarkEnd w:id="537"/>
      <w:bookmarkEnd w:id="538"/>
      <w:bookmarkEnd w:id="539"/>
      <w:bookmarkEnd w:id="540"/>
      <w:bookmarkEnd w:id="541"/>
      <w:bookmarkEnd w:id="542"/>
      <w:bookmarkEnd w:id="543"/>
      <w:bookmarkEnd w:id="544"/>
    </w:p>
    <w:p w14:paraId="4B5EEFC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45" w:name="_Toc509218757"/>
      <w:bookmarkStart w:id="546" w:name="_Toc430530482"/>
      <w:bookmarkStart w:id="547" w:name="_Toc20555"/>
      <w:bookmarkStart w:id="548" w:name="_Toc40569185"/>
      <w:bookmarkStart w:id="549" w:name="_Toc287620732"/>
      <w:bookmarkStart w:id="550" w:name="_Toc200513173"/>
      <w:bookmarkStart w:id="551" w:name="_Toc287607793"/>
      <w:bookmarkStart w:id="552" w:name="_Toc277082599"/>
      <w:bookmarkStart w:id="553" w:name="_Toc15838"/>
      <w:bookmarkStart w:id="554" w:name="_Toc40569090"/>
      <w:bookmarkStart w:id="555" w:name="_Toc14823"/>
      <w:bookmarkStart w:id="556" w:name="_Toc224103364"/>
      <w:r>
        <w:rPr>
          <w:rFonts w:hint="eastAsia" w:ascii="宋体" w:hAnsi="宋体" w:cs="宋体"/>
          <w:b w:val="0"/>
          <w:snapToGrid w:val="0"/>
          <w:color w:val="000000" w:themeColor="text1"/>
          <w:sz w:val="24"/>
          <w:szCs w:val="24"/>
          <w:highlight w:val="none"/>
          <w14:textFill>
            <w14:solidFill>
              <w14:schemeClr w14:val="tx1"/>
            </w14:solidFill>
          </w14:textFill>
        </w:rPr>
        <w:t>9.1  对比选人的纪律要求</w:t>
      </w:r>
      <w:bookmarkEnd w:id="545"/>
      <w:bookmarkEnd w:id="546"/>
      <w:bookmarkEnd w:id="547"/>
      <w:bookmarkEnd w:id="548"/>
      <w:bookmarkEnd w:id="549"/>
      <w:bookmarkEnd w:id="550"/>
      <w:bookmarkEnd w:id="551"/>
      <w:bookmarkEnd w:id="552"/>
      <w:bookmarkEnd w:id="553"/>
      <w:bookmarkEnd w:id="554"/>
      <w:bookmarkEnd w:id="555"/>
      <w:bookmarkEnd w:id="556"/>
    </w:p>
    <w:p w14:paraId="1422641E">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比选人不得泄漏比选活动中应当保密的情况和资料，不得与竞选人串通损害国家利 益、社会公共利益或者他人合法权益，</w:t>
      </w:r>
      <w:r>
        <w:rPr>
          <w:rFonts w:hint="eastAsia" w:ascii="宋体" w:hAnsi="宋体" w:cs="宋体"/>
          <w:color w:val="000000" w:themeColor="text1"/>
          <w:highlight w:val="none"/>
          <w14:textFill>
            <w14:solidFill>
              <w14:schemeClr w14:val="tx1"/>
            </w14:solidFill>
          </w14:textFill>
        </w:rPr>
        <w:t>禁止比选人与竞选人串通投标。</w:t>
      </w:r>
    </w:p>
    <w:p w14:paraId="066781CF">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有下列情形之一的，属于比选人与竞选人串通投标：</w:t>
      </w:r>
    </w:p>
    <w:p w14:paraId="4BEB8A6F">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（1）比选人在评选开始前开启竞选文件并将有关信息泄露给其他竞选人；</w:t>
      </w:r>
    </w:p>
    <w:p w14:paraId="262AB2EC">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（2）比选人直接或者间接向竞选人泄露标底、评选委员会成员等信息；</w:t>
      </w:r>
    </w:p>
    <w:p w14:paraId="4F1EBF1B">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（3）比选人明示或者暗示竞选人压低或者抬高竞选总报价；</w:t>
      </w:r>
    </w:p>
    <w:p w14:paraId="69965190">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（4）比选人授意竞选人撤换、修改竞选文件；</w:t>
      </w:r>
    </w:p>
    <w:p w14:paraId="46C3EA96">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（5）比选人明示或者暗示竞选人为特定竞选人中选提供方便；</w:t>
      </w:r>
    </w:p>
    <w:p w14:paraId="650B5E32">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（6）比选人与竞选人为谋求特定竞选人中选而采取的其他串通行为。</w:t>
      </w:r>
    </w:p>
    <w:p w14:paraId="00299EF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57" w:name="_Toc509218758"/>
      <w:bookmarkStart w:id="558" w:name="_Toc1612"/>
      <w:bookmarkStart w:id="559" w:name="_Toc13914"/>
      <w:bookmarkStart w:id="560" w:name="_Toc430530483"/>
      <w:bookmarkStart w:id="561" w:name="_Toc40569186"/>
      <w:bookmarkStart w:id="562" w:name="_Toc40569091"/>
      <w:bookmarkStart w:id="563" w:name="_Toc277082600"/>
      <w:bookmarkStart w:id="564" w:name="_Toc26842"/>
      <w:bookmarkStart w:id="565" w:name="_Toc287607794"/>
      <w:bookmarkStart w:id="566" w:name="_Toc200513174"/>
      <w:bookmarkStart w:id="567" w:name="_Toc224103365"/>
      <w:bookmarkStart w:id="568" w:name="_Toc287620733"/>
      <w:r>
        <w:rPr>
          <w:rFonts w:hint="eastAsia" w:ascii="宋体" w:hAnsi="宋体" w:cs="宋体"/>
          <w:b w:val="0"/>
          <w:snapToGrid w:val="0"/>
          <w:color w:val="000000" w:themeColor="text1"/>
          <w:sz w:val="24"/>
          <w:szCs w:val="24"/>
          <w:highlight w:val="none"/>
          <w14:textFill>
            <w14:solidFill>
              <w14:schemeClr w14:val="tx1"/>
            </w14:solidFill>
          </w14:textFill>
        </w:rPr>
        <w:t>9.2  对竞选人的纪律要求</w:t>
      </w:r>
      <w:bookmarkEnd w:id="557"/>
      <w:bookmarkEnd w:id="558"/>
      <w:bookmarkEnd w:id="559"/>
      <w:bookmarkEnd w:id="560"/>
      <w:bookmarkEnd w:id="561"/>
      <w:bookmarkEnd w:id="562"/>
      <w:bookmarkEnd w:id="563"/>
      <w:bookmarkEnd w:id="564"/>
      <w:bookmarkEnd w:id="565"/>
      <w:bookmarkEnd w:id="566"/>
      <w:bookmarkEnd w:id="567"/>
      <w:bookmarkEnd w:id="568"/>
    </w:p>
    <w:p w14:paraId="57C48521">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000000" w:themeColor="text1"/>
          <w:highlight w:val="none"/>
          <w14:textFill>
            <w14:solidFill>
              <w14:schemeClr w14:val="tx1"/>
            </w14:solidFill>
          </w14:textFill>
        </w:rPr>
        <w:t>有下列情形之一的，属于竞选人相互串通投标：</w:t>
      </w:r>
    </w:p>
    <w:p w14:paraId="2934388E">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（1）竞选人之间协商竞选总报价等竞选文件的实质性内容；</w:t>
      </w:r>
    </w:p>
    <w:p w14:paraId="536A613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（2）竞选人之间约定中选人；</w:t>
      </w:r>
    </w:p>
    <w:p w14:paraId="3320A60B">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（3）竞选人之间约定部分竞选人放弃投标或者中选；</w:t>
      </w:r>
    </w:p>
    <w:p w14:paraId="068EC1C7">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（4）属于同一集团、协会、商会等组织成员的竞选人按照该组织要求协同投标；</w:t>
      </w:r>
    </w:p>
    <w:p w14:paraId="2DAC913D">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（5）竞选人之间为谋取中选或者排斥特定竞选人而采取的其他联合行动。</w:t>
      </w:r>
    </w:p>
    <w:p w14:paraId="504C8F8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有下列情形之一的，视为竞选人相互串通投标：</w:t>
      </w:r>
    </w:p>
    <w:p w14:paraId="242A0023">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（1）不同竞选人的竞选文件由同一单位或者个人编制；</w:t>
      </w:r>
    </w:p>
    <w:p w14:paraId="7A5401F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（2）不同竞选人委托同一单位或者个人办理投标事宜；</w:t>
      </w:r>
    </w:p>
    <w:p w14:paraId="03DD983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（3）不同竞选人的竞选文件载明的项目管理成员为同一人；</w:t>
      </w:r>
    </w:p>
    <w:p w14:paraId="6724295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（4）不同竞选人的竞选文件异常一致或者竞选总报价呈规律性差异；</w:t>
      </w:r>
    </w:p>
    <w:p w14:paraId="71533935">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（5）不同竞选人的竞选文件相互混装；</w:t>
      </w:r>
    </w:p>
    <w:p w14:paraId="20C6AC74">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（6）不同竞选人的比选保证金从同一单位或者个人的账户转出。</w:t>
      </w:r>
    </w:p>
    <w:p w14:paraId="00D29DE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使用通过受让或者租借等方式获取的资格、资质证书投标的，属于以他人名义投标。</w:t>
      </w:r>
    </w:p>
    <w:p w14:paraId="2B0096DD">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竞选人有下列情形之一的，属于以其他方式弄虚作假的行为：</w:t>
      </w:r>
    </w:p>
    <w:p w14:paraId="50A85DF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（一）使用伪造、变造的许可证件；</w:t>
      </w:r>
    </w:p>
    <w:p w14:paraId="662AF07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（二）提供虚假的财务状况或者业绩；</w:t>
      </w:r>
    </w:p>
    <w:p w14:paraId="1856F752">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（三）提供虚假的项目负责人或者主要技术人员简历、劳动关系证明；</w:t>
      </w:r>
    </w:p>
    <w:p w14:paraId="5B5AB737">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（四）提供虚假的信用状况；</w:t>
      </w:r>
    </w:p>
    <w:p w14:paraId="42339C3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（五）其他弄虚作假的行为。</w:t>
      </w:r>
    </w:p>
    <w:p w14:paraId="50FBA3C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69" w:name="_Toc15322"/>
      <w:bookmarkStart w:id="570" w:name="_Toc3385"/>
      <w:bookmarkStart w:id="571" w:name="_Toc30347"/>
      <w:bookmarkStart w:id="572" w:name="_Toc430530484"/>
      <w:bookmarkStart w:id="573" w:name="_Toc287620734"/>
      <w:bookmarkStart w:id="574" w:name="_Toc40569092"/>
      <w:bookmarkStart w:id="575" w:name="_Toc509218759"/>
      <w:bookmarkStart w:id="576" w:name="_Toc277082601"/>
      <w:bookmarkStart w:id="577" w:name="_Toc287607795"/>
      <w:bookmarkStart w:id="578" w:name="_Toc200513175"/>
      <w:bookmarkStart w:id="579" w:name="_Toc40569187"/>
      <w:bookmarkStart w:id="580" w:name="_Toc224103366"/>
      <w:r>
        <w:rPr>
          <w:rFonts w:hint="eastAsia" w:ascii="宋体" w:hAnsi="宋体" w:cs="宋体"/>
          <w:b w:val="0"/>
          <w:snapToGrid w:val="0"/>
          <w:color w:val="000000" w:themeColor="text1"/>
          <w:sz w:val="24"/>
          <w:szCs w:val="24"/>
          <w:highlight w:val="none"/>
          <w14:textFill>
            <w14:solidFill>
              <w14:schemeClr w14:val="tx1"/>
            </w14:solidFill>
          </w14:textFill>
        </w:rPr>
        <w:t>9.3  对评选委员会成员的纪律要求</w:t>
      </w:r>
      <w:bookmarkEnd w:id="569"/>
      <w:bookmarkEnd w:id="570"/>
      <w:bookmarkEnd w:id="571"/>
      <w:bookmarkEnd w:id="572"/>
      <w:bookmarkEnd w:id="573"/>
      <w:bookmarkEnd w:id="574"/>
      <w:bookmarkEnd w:id="575"/>
      <w:bookmarkEnd w:id="576"/>
      <w:bookmarkEnd w:id="577"/>
      <w:bookmarkEnd w:id="578"/>
      <w:bookmarkEnd w:id="579"/>
      <w:bookmarkEnd w:id="580"/>
    </w:p>
    <w:p w14:paraId="60C7921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14:paraId="633C530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81" w:name="_Toc287607796"/>
      <w:bookmarkStart w:id="582" w:name="_Toc24901"/>
      <w:bookmarkStart w:id="583" w:name="_Toc224103367"/>
      <w:bookmarkStart w:id="584" w:name="_Toc200513176"/>
      <w:bookmarkStart w:id="585" w:name="_Toc277082602"/>
      <w:bookmarkStart w:id="586" w:name="_Toc509218760"/>
      <w:bookmarkStart w:id="587" w:name="_Toc14712"/>
      <w:bookmarkStart w:id="588" w:name="_Toc19795"/>
      <w:bookmarkStart w:id="589" w:name="_Toc40569093"/>
      <w:bookmarkStart w:id="590" w:name="_Toc40569188"/>
      <w:bookmarkStart w:id="591" w:name="_Toc430530485"/>
      <w:bookmarkStart w:id="592" w:name="_Toc287620735"/>
      <w:r>
        <w:rPr>
          <w:rFonts w:hint="eastAsia" w:ascii="宋体" w:hAnsi="宋体" w:cs="宋体"/>
          <w:b w:val="0"/>
          <w:snapToGrid w:val="0"/>
          <w:color w:val="000000" w:themeColor="text1"/>
          <w:sz w:val="24"/>
          <w:szCs w:val="24"/>
          <w:highlight w:val="none"/>
          <w14:textFill>
            <w14:solidFill>
              <w14:schemeClr w14:val="tx1"/>
            </w14:solidFill>
          </w14:textFill>
        </w:rPr>
        <w:t>9.4  对与评选活动有关的工作人员的纪律要求</w:t>
      </w:r>
      <w:bookmarkEnd w:id="581"/>
      <w:bookmarkEnd w:id="582"/>
      <w:bookmarkEnd w:id="583"/>
      <w:bookmarkEnd w:id="584"/>
      <w:bookmarkEnd w:id="585"/>
      <w:bookmarkEnd w:id="586"/>
      <w:bookmarkEnd w:id="587"/>
      <w:bookmarkEnd w:id="588"/>
      <w:bookmarkEnd w:id="589"/>
      <w:bookmarkEnd w:id="590"/>
      <w:bookmarkEnd w:id="591"/>
      <w:bookmarkEnd w:id="592"/>
    </w:p>
    <w:p w14:paraId="1C4AD34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14:paraId="7D97C4B8">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93" w:name="_Toc40569189"/>
      <w:bookmarkStart w:id="594" w:name="_Toc9443"/>
      <w:bookmarkStart w:id="595" w:name="_Toc24405"/>
      <w:bookmarkStart w:id="596" w:name="_Toc430530486"/>
      <w:bookmarkStart w:id="597" w:name="_Toc7152"/>
      <w:bookmarkStart w:id="598" w:name="_Toc509218761"/>
      <w:bookmarkStart w:id="599" w:name="_Toc287607797"/>
      <w:bookmarkStart w:id="600" w:name="_Toc277082603"/>
      <w:bookmarkStart w:id="601" w:name="_Toc224103368"/>
      <w:bookmarkStart w:id="602" w:name="_Toc287620736"/>
      <w:bookmarkStart w:id="603" w:name="_Toc200513177"/>
      <w:bookmarkStart w:id="604" w:name="_Toc40569094"/>
      <w:r>
        <w:rPr>
          <w:rFonts w:hint="eastAsia" w:ascii="宋体" w:hAnsi="宋体" w:cs="宋体"/>
          <w:b w:val="0"/>
          <w:snapToGrid w:val="0"/>
          <w:color w:val="000000" w:themeColor="text1"/>
          <w:sz w:val="24"/>
          <w:szCs w:val="24"/>
          <w:highlight w:val="none"/>
          <w14:textFill>
            <w14:solidFill>
              <w14:schemeClr w14:val="tx1"/>
            </w14:solidFill>
          </w14:textFill>
        </w:rPr>
        <w:t>9.5  投诉</w:t>
      </w:r>
      <w:bookmarkEnd w:id="593"/>
      <w:bookmarkEnd w:id="594"/>
      <w:bookmarkEnd w:id="595"/>
      <w:bookmarkEnd w:id="596"/>
      <w:bookmarkEnd w:id="597"/>
      <w:bookmarkEnd w:id="598"/>
      <w:bookmarkEnd w:id="599"/>
      <w:bookmarkEnd w:id="600"/>
      <w:bookmarkEnd w:id="601"/>
      <w:bookmarkEnd w:id="602"/>
      <w:bookmarkEnd w:id="603"/>
      <w:bookmarkEnd w:id="604"/>
    </w:p>
    <w:p w14:paraId="4262D21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竞选人和其他利害关系人认为本次比选活动违反法律、法规和规章规定的，有权向有关行政监督部门投诉。</w:t>
      </w:r>
    </w:p>
    <w:p w14:paraId="6421762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05" w:name="_Toc200513178"/>
      <w:bookmarkStart w:id="606" w:name="_Toc287607798"/>
      <w:bookmarkStart w:id="607" w:name="_Toc224103369"/>
      <w:bookmarkStart w:id="608" w:name="_Toc32650"/>
      <w:bookmarkStart w:id="609" w:name="_Toc18945"/>
      <w:bookmarkStart w:id="610" w:name="_Toc509218762"/>
      <w:bookmarkStart w:id="611" w:name="_Toc6297"/>
      <w:bookmarkStart w:id="612" w:name="_Toc287620737"/>
      <w:bookmarkStart w:id="613" w:name="_Toc430530487"/>
      <w:bookmarkStart w:id="614" w:name="_Toc277082604"/>
      <w:r>
        <w:rPr>
          <w:rFonts w:hint="eastAsia" w:ascii="宋体" w:hAnsi="宋体" w:cs="宋体"/>
          <w:b w:val="0"/>
          <w:snapToGrid w:val="0"/>
          <w:color w:val="000000" w:themeColor="text1"/>
          <w:sz w:val="24"/>
          <w:szCs w:val="24"/>
          <w:highlight w:val="none"/>
          <w14:textFill>
            <w14:solidFill>
              <w14:schemeClr w14:val="tx1"/>
            </w14:solidFill>
          </w14:textFill>
        </w:rPr>
        <w:t>10. 需要补充的其他内容</w:t>
      </w:r>
      <w:bookmarkEnd w:id="605"/>
      <w:bookmarkEnd w:id="606"/>
      <w:bookmarkEnd w:id="607"/>
      <w:bookmarkEnd w:id="608"/>
      <w:bookmarkEnd w:id="609"/>
      <w:bookmarkEnd w:id="610"/>
      <w:bookmarkEnd w:id="611"/>
      <w:bookmarkEnd w:id="612"/>
      <w:bookmarkEnd w:id="613"/>
      <w:bookmarkEnd w:id="614"/>
    </w:p>
    <w:p w14:paraId="72BF3EF6">
      <w:pPr>
        <w:pStyle w:val="4"/>
        <w:snapToGrid w:val="0"/>
        <w:spacing w:before="0" w:after="0" w:line="360" w:lineRule="auto"/>
        <w:ind w:firstLine="480" w:firstLineChars="200"/>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见竞选人须知前附表。</w:t>
      </w:r>
    </w:p>
    <w:p w14:paraId="2DDF606D">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6D82EF37">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附表一：报价记录表</w:t>
      </w:r>
    </w:p>
    <w:p w14:paraId="532004F8">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E6B7ED4">
      <w:pPr>
        <w:spacing w:line="360" w:lineRule="auto"/>
        <w:rPr>
          <w:rFonts w:hint="eastAsia"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w w:val="99"/>
          <w:kern w:val="0"/>
          <w:sz w:val="28"/>
          <w:szCs w:val="28"/>
          <w:highlight w:val="none"/>
          <w14:textFill>
            <w14:solidFill>
              <w14:schemeClr w14:val="tx1"/>
            </w14:solidFill>
          </w14:textFill>
        </w:rPr>
        <w:t>（项目名称）报价记录表</w:t>
      </w:r>
    </w:p>
    <w:p w14:paraId="4CED5199">
      <w:pPr>
        <w:tabs>
          <w:tab w:val="left" w:pos="2260"/>
          <w:tab w:val="left" w:pos="5060"/>
        </w:tabs>
        <w:autoSpaceDE w:val="0"/>
        <w:autoSpaceDN w:val="0"/>
        <w:adjustRightInd w:val="0"/>
        <w:snapToGrid w:val="0"/>
        <w:spacing w:line="360" w:lineRule="auto"/>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时间：年月日时分</w:t>
      </w:r>
    </w:p>
    <w:tbl>
      <w:tblPr>
        <w:tblStyle w:val="29"/>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14:paraId="4473D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14:paraId="47603878">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628" w:type="dxa"/>
            <w:vAlign w:val="center"/>
          </w:tcPr>
          <w:p w14:paraId="51631DEC">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w:t>
            </w:r>
          </w:p>
        </w:tc>
        <w:tc>
          <w:tcPr>
            <w:tcW w:w="695" w:type="dxa"/>
            <w:vAlign w:val="center"/>
          </w:tcPr>
          <w:p w14:paraId="627FC7C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密封</w:t>
            </w:r>
          </w:p>
          <w:p w14:paraId="5B1F8CA8">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情况</w:t>
            </w:r>
          </w:p>
        </w:tc>
        <w:tc>
          <w:tcPr>
            <w:tcW w:w="800" w:type="dxa"/>
            <w:vAlign w:val="center"/>
          </w:tcPr>
          <w:p w14:paraId="6463FCCB">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比选保</w:t>
            </w:r>
          </w:p>
          <w:p w14:paraId="6AE5E9EF">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证金</w:t>
            </w:r>
          </w:p>
        </w:tc>
        <w:tc>
          <w:tcPr>
            <w:tcW w:w="642" w:type="dxa"/>
            <w:tcBorders>
              <w:right w:val="single" w:color="auto" w:sz="4" w:space="0"/>
            </w:tcBorders>
            <w:vAlign w:val="center"/>
          </w:tcPr>
          <w:p w14:paraId="114C6F23">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w:t>
            </w:r>
          </w:p>
          <w:p w14:paraId="3C504830">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报价</w:t>
            </w:r>
          </w:p>
        </w:tc>
        <w:tc>
          <w:tcPr>
            <w:tcW w:w="866" w:type="dxa"/>
            <w:tcBorders>
              <w:left w:val="single" w:color="auto" w:sz="4" w:space="0"/>
            </w:tcBorders>
            <w:vAlign w:val="center"/>
          </w:tcPr>
          <w:p w14:paraId="6EEE354C">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质量目标</w:t>
            </w:r>
          </w:p>
        </w:tc>
        <w:tc>
          <w:tcPr>
            <w:tcW w:w="1079" w:type="dxa"/>
            <w:vAlign w:val="center"/>
          </w:tcPr>
          <w:p w14:paraId="437F98F9">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服务期</w:t>
            </w:r>
          </w:p>
        </w:tc>
        <w:tc>
          <w:tcPr>
            <w:tcW w:w="845" w:type="dxa"/>
            <w:vAlign w:val="center"/>
          </w:tcPr>
          <w:p w14:paraId="111C65BF">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项目负责人</w:t>
            </w:r>
          </w:p>
        </w:tc>
        <w:tc>
          <w:tcPr>
            <w:tcW w:w="1435" w:type="dxa"/>
            <w:vAlign w:val="center"/>
          </w:tcPr>
          <w:p w14:paraId="09780956">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竞选人代表</w:t>
            </w:r>
          </w:p>
          <w:p w14:paraId="5D0ADD8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签名</w:t>
            </w:r>
          </w:p>
        </w:tc>
        <w:tc>
          <w:tcPr>
            <w:tcW w:w="1435" w:type="dxa"/>
            <w:vAlign w:val="center"/>
          </w:tcPr>
          <w:p w14:paraId="04E0F06A">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r>
      <w:tr w14:paraId="7E8199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2ADACB1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6ACE8C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26AC41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4F200EB">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14:paraId="331A31A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0EEFBE4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E6408E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EB7697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D555C8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ECCB67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682B3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4CE6BC8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ADBD5E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6EAA85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EDA918A">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14:paraId="420E0CC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00E4B7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2F7143F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749DFC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81ACF3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78BC5A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87ABF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C214E0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4BC096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3CC0EB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501504A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516124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6B9CA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7091E3C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7DB346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767D2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AB44C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562E4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803A60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F059EE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45AEED5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2D5385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28DF51D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A53CF6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C4910B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3A12217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49A401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C99DA9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5EDB0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DE733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9B9BC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1587DD7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848D76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D7D7AB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1D8A91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3FDB106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5210F2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F2EED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6646E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7A1FD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AA49AE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7D6DE5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391B99D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2E909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124D30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2CC112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5EDD4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1004668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3DD608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ECC993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7C6E7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1C5CC0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C316C2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F1004A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048FD37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1CAF35D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08B093B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7920299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61E9BDE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F2764F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5584E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1D9E56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14B387E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671ACD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1201957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1CFE7B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FFA6B5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44F4EA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2D35C1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018123D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249CDF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470920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55664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E73FA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25C8FD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406A7B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E5DAA7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0A6188E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ACDA81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EB6273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4D0C216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56B63B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3DDF6E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17061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E4BCF6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D61847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12339B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4F6A311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7EB2D9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44167C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6C3625C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454859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9957ED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72F021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3C4866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F603FE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A8160A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2064F22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5BAAB10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E57860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EBEBFB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36CDE09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132EE10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87B4B9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D0ECF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B9F9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40A2CEF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0EA031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6C864A4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6DC37F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95D001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7FD92CB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995A23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0C7D700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33E7D2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F5504A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7DCE62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4E9F28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1E0A2AD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71B49D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3CED542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7C1AD0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C1828C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25E24E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5E8E6B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2E8299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904C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3FAA5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71AD78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701CE3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B50BC1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334BB8D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AFEA95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6B3EA1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F27582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36CCE8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303C7B3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B4EF8C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ECA61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58932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7B60A01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44EA956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67284C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225CC9D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CB921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559C6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0276D3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39550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3250BF5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211FE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14:paraId="150F0C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7D5A273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69E9A1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0D89E7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E7A6BD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9887AF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3E2177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53AA2F5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2E77FB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61B582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401D0D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14:paraId="274D0F4C">
            <w:pPr>
              <w:autoSpaceDE w:val="0"/>
              <w:autoSpaceDN w:val="0"/>
              <w:adjustRightInd w:val="0"/>
              <w:snapToGrid w:val="0"/>
              <w:spacing w:line="360" w:lineRule="auto"/>
              <w:jc w:val="center"/>
              <w:rPr>
                <w:rFonts w:hint="eastAsia"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最高限价</w:t>
            </w:r>
          </w:p>
        </w:tc>
        <w:tc>
          <w:tcPr>
            <w:tcW w:w="4232" w:type="dxa"/>
            <w:gridSpan w:val="5"/>
            <w:tcBorders>
              <w:right w:val="single" w:color="auto" w:sz="4" w:space="0"/>
            </w:tcBorders>
            <w:vAlign w:val="center"/>
          </w:tcPr>
          <w:p w14:paraId="52509B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974A12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A56D45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bl>
    <w:p w14:paraId="35AD4F9D">
      <w:pPr>
        <w:tabs>
          <w:tab w:val="left" w:pos="2740"/>
          <w:tab w:val="left" w:pos="4940"/>
          <w:tab w:val="left" w:pos="714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54D40B2E">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比选人代表：记录人： 监督人员：</w:t>
      </w:r>
    </w:p>
    <w:p w14:paraId="65BDD90C">
      <w:pPr>
        <w:autoSpaceDE w:val="0"/>
        <w:autoSpaceDN w:val="0"/>
        <w:adjustRightInd w:val="0"/>
        <w:snapToGrid w:val="0"/>
        <w:spacing w:before="62" w:beforeLines="20"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p>
    <w:p w14:paraId="3F3C8C6F">
      <w:pPr>
        <w:autoSpaceDE w:val="0"/>
        <w:autoSpaceDN w:val="0"/>
        <w:adjustRightInd w:val="0"/>
        <w:snapToGrid w:val="0"/>
        <w:spacing w:before="62" w:beforeLines="20"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年月日</w:t>
      </w:r>
    </w:p>
    <w:p w14:paraId="209611C6">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r>
        <w:rPr>
          <w:rFonts w:hint="eastAsia" w:ascii="宋体" w:hAnsi="宋体" w:cs="宋体"/>
          <w:b/>
          <w:snapToGrid w:val="0"/>
          <w:color w:val="000000" w:themeColor="text1"/>
          <w:kern w:val="0"/>
          <w:highlight w:val="none"/>
          <w14:textFill>
            <w14:solidFill>
              <w14:schemeClr w14:val="tx1"/>
            </w14:solidFill>
          </w14:textFill>
        </w:rPr>
        <w:t>附表二：问题澄清通知</w:t>
      </w:r>
    </w:p>
    <w:p w14:paraId="38348A3C">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52A7E734">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问题澄清通知</w:t>
      </w:r>
    </w:p>
    <w:p w14:paraId="0E5D93B4">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36F823C1">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14:paraId="688061E7">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2038BD00">
      <w:pPr>
        <w:autoSpaceDE w:val="0"/>
        <w:autoSpaceDN w:val="0"/>
        <w:adjustRightInd w:val="0"/>
        <w:snapToGrid w:val="0"/>
        <w:spacing w:line="360" w:lineRule="auto"/>
        <w:ind w:firstLine="140" w:firstLineChars="50"/>
        <w:rPr>
          <w:rFonts w:hint="eastAsia" w:ascii="宋体" w:hAnsi="宋体" w:cs="宋体"/>
          <w:snapToGrid w:val="0"/>
          <w:color w:val="000000" w:themeColor="text1"/>
          <w:kern w:val="0"/>
          <w:sz w:val="28"/>
          <w:szCs w:val="28"/>
          <w:highlight w:val="none"/>
          <w14:textFill>
            <w14:solidFill>
              <w14:schemeClr w14:val="tx1"/>
            </w14:solidFill>
          </w14:textFill>
        </w:rPr>
      </w:pPr>
    </w:p>
    <w:p w14:paraId="3BB779EC">
      <w:pPr>
        <w:tabs>
          <w:tab w:val="left" w:pos="158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（竞选人名称）：</w:t>
      </w:r>
    </w:p>
    <w:p w14:paraId="08CD332C">
      <w:pPr>
        <w:tabs>
          <w:tab w:val="left" w:pos="2320"/>
        </w:tabs>
        <w:autoSpaceDE w:val="0"/>
        <w:autoSpaceDN w:val="0"/>
        <w:adjustRightInd w:val="0"/>
        <w:snapToGrid w:val="0"/>
        <w:spacing w:line="360" w:lineRule="auto"/>
        <w:ind w:firstLine="212" w:firstLineChars="101"/>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（项目名称）的评选委员会，对你方的竞选文件进行了仔细的审查，现需你方对下列问题以书面形式予以澄清：</w:t>
      </w:r>
    </w:p>
    <w:p w14:paraId="4330C9B2">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41B679AC">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10668451">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47EEE02E">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321B2CDD">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5794E031">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0569A3B4">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40B9D315">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33E3AA4A">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4008B4AC">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2907F185">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30C93649">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3234667D">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请将上述问题的澄清于年月日时前递交至（详细地址）或传真至（传真号码）。采用传真方式的，应在年月日时前将原件递交至</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（详细地址）。</w:t>
      </w:r>
    </w:p>
    <w:p w14:paraId="1F4C8654">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55CA11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p w14:paraId="441B5054">
      <w:pPr>
        <w:tabs>
          <w:tab w:val="left" w:pos="6400"/>
        </w:tabs>
        <w:autoSpaceDE w:val="0"/>
        <w:autoSpaceDN w:val="0"/>
        <w:adjustRightInd w:val="0"/>
        <w:snapToGrid w:val="0"/>
        <w:spacing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评选委员会：（签字）</w:t>
      </w:r>
    </w:p>
    <w:p w14:paraId="66E57D95">
      <w:pPr>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p>
    <w:p w14:paraId="0D0F9985">
      <w:pPr>
        <w:wordWrap w:val="0"/>
        <w:autoSpaceDE w:val="0"/>
        <w:autoSpaceDN w:val="0"/>
        <w:adjustRightInd w:val="0"/>
        <w:snapToGrid w:val="0"/>
        <w:spacing w:line="360" w:lineRule="auto"/>
        <w:ind w:firstLine="850" w:firstLineChars="40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14:paraId="2A81355F">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39E93DE0">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43F79557">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C28F1B7">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19CDBB6C">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049BCBB8">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附表三：问题的澄清</w:t>
      </w:r>
    </w:p>
    <w:p w14:paraId="67E30F22">
      <w:pPr>
        <w:autoSpaceDE w:val="0"/>
        <w:autoSpaceDN w:val="0"/>
        <w:adjustRightInd w:val="0"/>
        <w:snapToGrid w:val="0"/>
        <w:spacing w:line="360" w:lineRule="auto"/>
        <w:jc w:val="left"/>
        <w:rPr>
          <w:rFonts w:hint="eastAsia" w:ascii="宋体" w:hAnsi="宋体" w:cs="宋体"/>
          <w:b/>
          <w:snapToGrid w:val="0"/>
          <w:color w:val="000000" w:themeColor="text1"/>
          <w:kern w:val="0"/>
          <w:sz w:val="10"/>
          <w:szCs w:val="10"/>
          <w:highlight w:val="none"/>
          <w14:textFill>
            <w14:solidFill>
              <w14:schemeClr w14:val="tx1"/>
            </w14:solidFill>
          </w14:textFill>
        </w:rPr>
      </w:pPr>
    </w:p>
    <w:p w14:paraId="0CC87B86">
      <w:pPr>
        <w:autoSpaceDE w:val="0"/>
        <w:autoSpaceDN w:val="0"/>
        <w:adjustRightInd w:val="0"/>
        <w:snapToGrid w:val="0"/>
        <w:spacing w:line="360" w:lineRule="auto"/>
        <w:jc w:val="center"/>
        <w:rPr>
          <w:rFonts w:hint="eastAsia"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问题的澄清</w:t>
      </w:r>
    </w:p>
    <w:p w14:paraId="023773F0">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14:textFill>
            <w14:solidFill>
              <w14:schemeClr w14:val="tx1"/>
            </w14:solidFill>
          </w14:textFill>
        </w:rPr>
      </w:pPr>
    </w:p>
    <w:p w14:paraId="246770C4">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14:paraId="2F5DD9FC">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3E806DAA">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5FFBF9C8">
      <w:pPr>
        <w:tabs>
          <w:tab w:val="left" w:pos="2415"/>
          <w:tab w:val="left" w:pos="3480"/>
          <w:tab w:val="left" w:pos="4200"/>
        </w:tabs>
        <w:autoSpaceDE w:val="0"/>
        <w:autoSpaceDN w:val="0"/>
        <w:adjustRightInd w:val="0"/>
        <w:snapToGrid w:val="0"/>
        <w:spacing w:line="360" w:lineRule="auto"/>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（项目名称）评选委员会：</w:t>
      </w:r>
    </w:p>
    <w:p w14:paraId="60AA647E">
      <w:pPr>
        <w:tabs>
          <w:tab w:val="left" w:pos="2000"/>
          <w:tab w:val="left" w:pos="3480"/>
          <w:tab w:val="left" w:pos="420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问题澄清通知（编号：</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）已收悉，现澄清如下：</w:t>
      </w:r>
    </w:p>
    <w:p w14:paraId="03DE12C3">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79828646">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1F66178E">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2AA25A42">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316D6E3E">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4E2B1950">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6676F544">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7CAC1E6C">
      <w:pPr>
        <w:autoSpaceDE w:val="0"/>
        <w:autoSpaceDN w:val="0"/>
        <w:adjustRightInd w:val="0"/>
        <w:snapToGrid w:val="0"/>
        <w:spacing w:line="360" w:lineRule="auto"/>
        <w:jc w:val="left"/>
        <w:rPr>
          <w:rFonts w:hint="eastAsia" w:ascii="宋体" w:hAnsi="宋体" w:cs="宋体"/>
          <w:snapToGrid w:val="0"/>
          <w:color w:val="000000" w:themeColor="text1"/>
          <w:kern w:val="0"/>
          <w:sz w:val="22"/>
          <w:szCs w:val="22"/>
          <w:highlight w:val="none"/>
          <w14:textFill>
            <w14:solidFill>
              <w14:schemeClr w14:val="tx1"/>
            </w14:solidFill>
          </w14:textFill>
        </w:rPr>
      </w:pPr>
    </w:p>
    <w:p w14:paraId="72180493">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1E74789C">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7543C03A">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43325CD1">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7E1F9F8E">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1E38FE6D">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0B856E8C">
      <w:pPr>
        <w:tabs>
          <w:tab w:val="left" w:pos="7035"/>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竞选人：（盖单位公章） </w:t>
      </w:r>
    </w:p>
    <w:p w14:paraId="18EEA743">
      <w:pPr>
        <w:tabs>
          <w:tab w:val="left" w:pos="6620"/>
          <w:tab w:val="left" w:pos="7040"/>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（签字或盖章）</w:t>
      </w:r>
    </w:p>
    <w:p w14:paraId="169363E0">
      <w:pPr>
        <w:autoSpaceDE w:val="0"/>
        <w:autoSpaceDN w:val="0"/>
        <w:adjustRightInd w:val="0"/>
        <w:snapToGrid w:val="0"/>
        <w:spacing w:line="360" w:lineRule="auto"/>
        <w:jc w:val="right"/>
        <w:rPr>
          <w:rFonts w:hint="eastAsia" w:ascii="宋体" w:hAnsi="宋体" w:cs="宋体"/>
          <w:snapToGrid w:val="0"/>
          <w:color w:val="000000" w:themeColor="text1"/>
          <w:kern w:val="0"/>
          <w:sz w:val="20"/>
          <w:szCs w:val="20"/>
          <w:highlight w:val="none"/>
          <w14:textFill>
            <w14:solidFill>
              <w14:schemeClr w14:val="tx1"/>
            </w14:solidFill>
          </w14:textFill>
        </w:rPr>
      </w:pPr>
    </w:p>
    <w:p w14:paraId="2F6B3422">
      <w:pPr>
        <w:wordWrap w:val="0"/>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14:paraId="3EBBD930">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4787E24D">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430171F9">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297E3AAB">
      <w:pPr>
        <w:autoSpaceDE w:val="0"/>
        <w:autoSpaceDN w:val="0"/>
        <w:adjustRightInd w:val="0"/>
        <w:snapToGrid w:val="0"/>
        <w:spacing w:line="360" w:lineRule="auto"/>
        <w:jc w:val="left"/>
        <w:outlineLvl w:val="2"/>
        <w:rPr>
          <w:rFonts w:hint="eastAsia"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附表四：中选通知书</w:t>
      </w:r>
    </w:p>
    <w:p w14:paraId="6A9D8A76">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p>
    <w:p w14:paraId="38D5B0A0">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中选通知书</w:t>
      </w:r>
    </w:p>
    <w:p w14:paraId="78E5C935">
      <w:pPr>
        <w:autoSpaceDE w:val="0"/>
        <w:autoSpaceDN w:val="0"/>
        <w:adjustRightIn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2264E35A">
      <w:pPr>
        <w:spacing w:line="360" w:lineRule="auto"/>
        <w:rPr>
          <w:rFonts w:hint="eastAsia" w:ascii="宋体" w:hAnsi="宋体" w:cs="宋体"/>
          <w:bCs/>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中选单位</w:t>
      </w:r>
      <w:r>
        <w:rPr>
          <w:rFonts w:hint="eastAsia" w:ascii="宋体" w:hAnsi="宋体" w:cs="宋体"/>
          <w:bCs/>
          <w:color w:val="000000" w:themeColor="text1"/>
          <w:kern w:val="0"/>
          <w:szCs w:val="21"/>
          <w:highlight w:val="none"/>
          <w14:textFill>
            <w14:solidFill>
              <w14:schemeClr w14:val="tx1"/>
            </w14:solidFill>
          </w14:textFill>
        </w:rPr>
        <w:t>：</w:t>
      </w:r>
    </w:p>
    <w:p w14:paraId="1372B928">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我单位拟建的 于年月日进行竞争性比选，经评选委员会评定，确定你单位为中选人，中选暂定总价为</w:t>
      </w:r>
      <w:r>
        <w:rPr>
          <w:rFonts w:hint="eastAsia" w:ascii="宋体" w:hAnsi="宋体" w:cs="宋体"/>
          <w:bCs/>
          <w:color w:val="000000" w:themeColor="text1"/>
          <w:kern w:val="0"/>
          <w:szCs w:val="21"/>
          <w:highlight w:val="none"/>
          <w14:textFill>
            <w14:solidFill>
              <w14:schemeClr w14:val="tx1"/>
            </w14:solidFill>
          </w14:textFill>
        </w:rPr>
        <w:t xml:space="preserve"> ，取费折扣比例为，</w:t>
      </w:r>
      <w:r>
        <w:rPr>
          <w:rFonts w:hint="eastAsia" w:ascii="宋体" w:hAnsi="宋体" w:cs="宋体"/>
          <w:color w:val="000000" w:themeColor="text1"/>
          <w:kern w:val="0"/>
          <w:szCs w:val="21"/>
          <w:highlight w:val="none"/>
          <w14:textFill>
            <w14:solidFill>
              <w14:schemeClr w14:val="tx1"/>
            </w14:solidFill>
          </w14:textFill>
        </w:rPr>
        <w:t>中选项目范围：，工程规模为 ，中选服务期，质量要求：。</w:t>
      </w:r>
    </w:p>
    <w:p w14:paraId="3335F59E">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你单位收到中选通知书后，在 日内到我单位签订施工合同。</w:t>
      </w:r>
    </w:p>
    <w:p w14:paraId="381C902E">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特此通知。</w:t>
      </w:r>
    </w:p>
    <w:p w14:paraId="3AD41020">
      <w:pPr>
        <w:spacing w:line="360" w:lineRule="auto"/>
        <w:rPr>
          <w:rFonts w:hint="eastAsia" w:ascii="宋体" w:hAnsi="宋体" w:cs="宋体"/>
          <w:color w:val="000000" w:themeColor="text1"/>
          <w:kern w:val="0"/>
          <w:sz w:val="24"/>
          <w:highlight w:val="none"/>
          <w14:textFill>
            <w14:solidFill>
              <w14:schemeClr w14:val="tx1"/>
            </w14:solidFill>
          </w14:textFill>
        </w:rPr>
      </w:pPr>
    </w:p>
    <w:p w14:paraId="747B662D">
      <w:pPr>
        <w:spacing w:line="360" w:lineRule="auto"/>
        <w:rPr>
          <w:rFonts w:hint="eastAsia" w:ascii="宋体" w:hAnsi="宋体" w:cs="宋体"/>
          <w:color w:val="000000" w:themeColor="text1"/>
          <w:kern w:val="0"/>
          <w:sz w:val="24"/>
          <w:highlight w:val="none"/>
          <w14:textFill>
            <w14:solidFill>
              <w14:schemeClr w14:val="tx1"/>
            </w14:solidFill>
          </w14:textFill>
        </w:rPr>
      </w:pPr>
    </w:p>
    <w:p w14:paraId="3D0BC249">
      <w:pPr>
        <w:spacing w:line="360" w:lineRule="auto"/>
        <w:rPr>
          <w:rFonts w:hint="eastAsia" w:ascii="宋体" w:hAnsi="宋体" w:cs="宋体"/>
          <w:color w:val="000000" w:themeColor="text1"/>
          <w:kern w:val="0"/>
          <w:sz w:val="24"/>
          <w:highlight w:val="none"/>
          <w14:textFill>
            <w14:solidFill>
              <w14:schemeClr w14:val="tx1"/>
            </w14:solidFill>
          </w14:textFill>
        </w:rPr>
      </w:pPr>
    </w:p>
    <w:p w14:paraId="072940C4">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w:t>
      </w:r>
    </w:p>
    <w:p w14:paraId="54A6554D">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比选代理机构：（</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 xml:space="preserve">）                                    </w:t>
      </w:r>
    </w:p>
    <w:p w14:paraId="0C234A5C">
      <w:pPr>
        <w:spacing w:line="360" w:lineRule="auto"/>
        <w:ind w:firstLine="3780" w:firstLineChars="18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（签字或盖章）</w:t>
      </w:r>
    </w:p>
    <w:p w14:paraId="40E867AA">
      <w:pPr>
        <w:spacing w:line="360" w:lineRule="auto"/>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联系人</w:t>
      </w:r>
      <w:r>
        <w:rPr>
          <w:rFonts w:hint="eastAsia" w:ascii="宋体" w:hAnsi="宋体" w:cs="宋体"/>
          <w:snapToGrid w:val="0"/>
          <w:color w:val="000000" w:themeColor="text1"/>
          <w:kern w:val="0"/>
          <w:szCs w:val="21"/>
          <w:highlight w:val="none"/>
          <w14:textFill>
            <w14:solidFill>
              <w14:schemeClr w14:val="tx1"/>
            </w14:solidFill>
          </w14:textFill>
        </w:rPr>
        <w:t>：</w:t>
      </w:r>
    </w:p>
    <w:p w14:paraId="2EDDC019">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联系电话</w:t>
      </w:r>
      <w:r>
        <w:rPr>
          <w:rFonts w:hint="eastAsia" w:ascii="宋体" w:hAnsi="宋体" w:cs="宋体"/>
          <w:snapToGrid w:val="0"/>
          <w:color w:val="000000" w:themeColor="text1"/>
          <w:kern w:val="0"/>
          <w:szCs w:val="21"/>
          <w:highlight w:val="none"/>
          <w14:textFill>
            <w14:solidFill>
              <w14:schemeClr w14:val="tx1"/>
            </w14:solidFill>
          </w14:textFill>
        </w:rPr>
        <w:t>：</w:t>
      </w:r>
    </w:p>
    <w:p w14:paraId="0C1F42AC">
      <w:pPr>
        <w:spacing w:line="360" w:lineRule="auto"/>
        <w:ind w:firstLine="3780" w:firstLineChars="18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签发日期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年月日</w:t>
      </w:r>
    </w:p>
    <w:p w14:paraId="264D6DD1">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bookmarkStart w:id="615" w:name="_Toc29866"/>
      <w:bookmarkStart w:id="616" w:name="_Toc21320"/>
    </w:p>
    <w:p w14:paraId="037AC0A6">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p>
    <w:p w14:paraId="173D4BFE">
      <w:pPr>
        <w:rPr>
          <w:rFonts w:hint="eastAsia" w:ascii="宋体" w:hAnsi="宋体" w:cs="宋体"/>
          <w:color w:val="000000" w:themeColor="text1"/>
          <w:kern w:val="1"/>
          <w:highlight w:val="none"/>
          <w14:textFill>
            <w14:solidFill>
              <w14:schemeClr w14:val="tx1"/>
            </w14:solidFill>
          </w14:textFill>
        </w:rPr>
      </w:pPr>
    </w:p>
    <w:p w14:paraId="2598FEC8">
      <w:pPr>
        <w:spacing w:line="360" w:lineRule="auto"/>
        <w:jc w:val="center"/>
        <w:rPr>
          <w:rFonts w:hint="eastAsia" w:ascii="宋体" w:hAnsi="宋体" w:cs="宋体"/>
          <w:color w:val="000000" w:themeColor="text1"/>
          <w:kern w:val="1"/>
          <w:highlight w:val="none"/>
          <w14:textFill>
            <w14:solidFill>
              <w14:schemeClr w14:val="tx1"/>
            </w14:solidFill>
          </w14:textFill>
        </w:rPr>
      </w:pPr>
    </w:p>
    <w:p w14:paraId="7972F846">
      <w:pPr>
        <w:rPr>
          <w:rFonts w:hint="eastAsia" w:ascii="宋体" w:hAnsi="宋体"/>
          <w:color w:val="000000" w:themeColor="text1"/>
          <w:highlight w:val="none"/>
          <w14:textFill>
            <w14:solidFill>
              <w14:schemeClr w14:val="tx1"/>
            </w14:solidFill>
          </w14:textFill>
        </w:rPr>
      </w:pPr>
    </w:p>
    <w:p w14:paraId="4AAB896B">
      <w:pPr>
        <w:rPr>
          <w:rFonts w:hint="eastAsia" w:ascii="宋体" w:hAnsi="宋体" w:cs="宋体"/>
          <w:color w:val="000000" w:themeColor="text1"/>
          <w:kern w:val="1"/>
          <w:highlight w:val="none"/>
          <w14:textFill>
            <w14:solidFill>
              <w14:schemeClr w14:val="tx1"/>
            </w14:solidFill>
          </w14:textFill>
        </w:rPr>
      </w:pPr>
    </w:p>
    <w:p w14:paraId="31C3AE9B">
      <w:pPr>
        <w:pStyle w:val="8"/>
        <w:rPr>
          <w:rFonts w:hint="eastAsia" w:ascii="宋体" w:hAnsi="宋体" w:cs="宋体"/>
          <w:color w:val="000000" w:themeColor="text1"/>
          <w:kern w:val="1"/>
          <w:highlight w:val="none"/>
          <w14:textFill>
            <w14:solidFill>
              <w14:schemeClr w14:val="tx1"/>
            </w14:solidFill>
          </w14:textFill>
        </w:rPr>
      </w:pPr>
    </w:p>
    <w:p w14:paraId="3B0E36E4">
      <w:pPr>
        <w:rPr>
          <w:rFonts w:hint="eastAsia" w:ascii="宋体" w:hAnsi="宋体"/>
          <w:color w:val="000000" w:themeColor="text1"/>
          <w:highlight w:val="none"/>
          <w14:textFill>
            <w14:solidFill>
              <w14:schemeClr w14:val="tx1"/>
            </w14:solidFill>
          </w14:textFill>
        </w:rPr>
      </w:pPr>
    </w:p>
    <w:p w14:paraId="2B5CA6B7">
      <w:pPr>
        <w:spacing w:line="360" w:lineRule="auto"/>
        <w:jc w:val="center"/>
        <w:rPr>
          <w:rFonts w:hint="eastAsia" w:ascii="宋体" w:hAnsi="宋体" w:cs="宋体"/>
          <w:color w:val="000000" w:themeColor="text1"/>
          <w:kern w:val="1"/>
          <w:highlight w:val="none"/>
          <w14:textFill>
            <w14:solidFill>
              <w14:schemeClr w14:val="tx1"/>
            </w14:solidFill>
          </w14:textFill>
        </w:rPr>
      </w:pPr>
    </w:p>
    <w:p w14:paraId="1C7484D0">
      <w:pPr>
        <w:pStyle w:val="8"/>
        <w:rPr>
          <w:rFonts w:hint="eastAsia" w:ascii="宋体" w:hAnsi="宋体" w:cs="宋体"/>
          <w:color w:val="000000" w:themeColor="text1"/>
          <w:kern w:val="1"/>
          <w:highlight w:val="none"/>
          <w14:textFill>
            <w14:solidFill>
              <w14:schemeClr w14:val="tx1"/>
            </w14:solidFill>
          </w14:textFill>
        </w:rPr>
      </w:pPr>
    </w:p>
    <w:p w14:paraId="3D17DA3B">
      <w:pPr>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br w:type="page"/>
      </w:r>
    </w:p>
    <w:p w14:paraId="571BEBE3">
      <w:pPr>
        <w:pStyle w:val="2"/>
        <w:spacing w:line="360" w:lineRule="auto"/>
        <w:jc w:val="center"/>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第三章  评选办法（综合评估法）</w:t>
      </w:r>
      <w:bookmarkEnd w:id="615"/>
      <w:bookmarkEnd w:id="616"/>
    </w:p>
    <w:p w14:paraId="6535573A">
      <w:pPr>
        <w:pStyle w:val="3"/>
        <w:spacing w:before="100" w:after="100"/>
        <w:rPr>
          <w:rFonts w:hint="eastAsia" w:ascii="宋体" w:hAnsi="宋体"/>
          <w:color w:val="000000" w:themeColor="text1"/>
          <w:highlight w:val="none"/>
          <w14:textFill>
            <w14:solidFill>
              <w14:schemeClr w14:val="tx1"/>
            </w14:solidFill>
          </w14:textFill>
        </w:rPr>
      </w:pPr>
      <w:bookmarkStart w:id="617" w:name="_Toc122515229"/>
      <w:bookmarkStart w:id="618" w:name="_Toc721"/>
      <w:bookmarkStart w:id="619" w:name="_Toc509218775"/>
      <w:bookmarkStart w:id="620" w:name="_Toc32462"/>
      <w:bookmarkStart w:id="621" w:name="_Toc29600"/>
      <w:r>
        <w:rPr>
          <w:rFonts w:hint="eastAsia" w:ascii="宋体" w:hAnsi="宋体"/>
          <w:color w:val="000000" w:themeColor="text1"/>
          <w:highlight w:val="none"/>
          <w14:textFill>
            <w14:solidFill>
              <w14:schemeClr w14:val="tx1"/>
            </w14:solidFill>
          </w14:textFill>
        </w:rPr>
        <w:t>评标办法前附表</w:t>
      </w:r>
      <w:bookmarkEnd w:id="617"/>
      <w:bookmarkEnd w:id="618"/>
      <w:bookmarkEnd w:id="619"/>
    </w:p>
    <w:p w14:paraId="4A603E4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评标办法中的评审内容必须和竞选人须知中的对应内容一致，若竞选人须知中未作要求的内容，不得列入评标办法作为评定依据。</w:t>
      </w:r>
    </w:p>
    <w:tbl>
      <w:tblPr>
        <w:tblStyle w:val="29"/>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14:paraId="7BE56B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6941634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0C8AC44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728" w:type="dxa"/>
            <w:vAlign w:val="center"/>
          </w:tcPr>
          <w:p w14:paraId="4298D30D">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0FAD1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14:paraId="2B671A4E">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14:paraId="2D68FE46">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492" w:type="dxa"/>
            <w:vAlign w:val="center"/>
          </w:tcPr>
          <w:p w14:paraId="2FEF9866">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5728" w:type="dxa"/>
            <w:vAlign w:val="center"/>
          </w:tcPr>
          <w:p w14:paraId="15B65A2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000000" w:themeColor="text1"/>
                <w:kern w:val="0"/>
                <w:highlight w:val="none"/>
                <w:u w:val="single"/>
                <w:lang w:val="en-US" w:eastAsia="zh-CN"/>
                <w14:textFill>
                  <w14:solidFill>
                    <w14:schemeClr w14:val="tx1"/>
                  </w14:solidFill>
                </w14:textFill>
              </w:rPr>
              <w:t>评审委员会投票</w:t>
            </w:r>
            <w:r>
              <w:rPr>
                <w:rFonts w:hint="eastAsia" w:ascii="宋体" w:hAnsi="宋体"/>
                <w:color w:val="000000" w:themeColor="text1"/>
                <w:kern w:val="0"/>
                <w:highlight w:val="none"/>
                <w14:textFill>
                  <w14:solidFill>
                    <w14:schemeClr w14:val="tx1"/>
                  </w14:solidFill>
                </w14:textFill>
              </w:rPr>
              <w:t>原则排序。</w:t>
            </w:r>
          </w:p>
        </w:tc>
      </w:tr>
      <w:tr w14:paraId="37324A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14:paraId="7E37D8C4">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14:paraId="3F83C80C">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492" w:type="dxa"/>
            <w:tcBorders>
              <w:left w:val="single" w:color="auto" w:sz="4" w:space="0"/>
            </w:tcBorders>
            <w:vAlign w:val="center"/>
          </w:tcPr>
          <w:p w14:paraId="3D9E3D1D">
            <w:pPr>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5728" w:type="dxa"/>
            <w:vAlign w:val="center"/>
          </w:tcPr>
          <w:p w14:paraId="7A9B69AF">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33392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1F6E2C7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60ABBB1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3734A171">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财务</w:t>
            </w:r>
            <w:r>
              <w:rPr>
                <w:rFonts w:hint="eastAsia" w:ascii="宋体" w:hAnsi="宋体"/>
                <w:color w:val="000000" w:themeColor="text1"/>
                <w:kern w:val="0"/>
                <w:highlight w:val="none"/>
                <w14:textFill>
                  <w14:solidFill>
                    <w14:schemeClr w14:val="tx1"/>
                  </w14:solidFill>
                </w14:textFill>
              </w:rPr>
              <w:t>要求</w:t>
            </w:r>
          </w:p>
        </w:tc>
        <w:tc>
          <w:tcPr>
            <w:tcW w:w="5728" w:type="dxa"/>
            <w:vAlign w:val="center"/>
          </w:tcPr>
          <w:p w14:paraId="7922483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3B78FE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29D78A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E29ACB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14:paraId="7FD344A9">
            <w:pPr>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比选截止日比选资格情况</w:t>
            </w:r>
          </w:p>
        </w:tc>
        <w:tc>
          <w:tcPr>
            <w:tcW w:w="5728" w:type="dxa"/>
            <w:vAlign w:val="center"/>
          </w:tcPr>
          <w:p w14:paraId="66FE0E57">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0CFCE6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2BCF930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54885B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14:paraId="5A3F1905">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拟派项目人员</w:t>
            </w:r>
          </w:p>
        </w:tc>
        <w:tc>
          <w:tcPr>
            <w:tcW w:w="5728" w:type="dxa"/>
            <w:vAlign w:val="center"/>
          </w:tcPr>
          <w:p w14:paraId="41AFB699">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67C327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5D368F30">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14:paraId="11201A61">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492" w:type="dxa"/>
            <w:tcBorders>
              <w:left w:val="single" w:color="auto" w:sz="4" w:space="0"/>
            </w:tcBorders>
            <w:vAlign w:val="center"/>
          </w:tcPr>
          <w:p w14:paraId="17A0AAF8">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竞选人名称</w:t>
            </w:r>
          </w:p>
        </w:tc>
        <w:tc>
          <w:tcPr>
            <w:tcW w:w="5728" w:type="dxa"/>
            <w:vAlign w:val="center"/>
          </w:tcPr>
          <w:p w14:paraId="09CBBA9F">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14:paraId="61793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44BCF30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1FC482A7">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50D5071A">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竞选文件格式</w:t>
            </w:r>
          </w:p>
        </w:tc>
        <w:tc>
          <w:tcPr>
            <w:tcW w:w="5728" w:type="dxa"/>
            <w:vAlign w:val="center"/>
          </w:tcPr>
          <w:p w14:paraId="177E4066">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章“竞选人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的要求</w:t>
            </w:r>
            <w:r>
              <w:rPr>
                <w:rFonts w:hint="eastAsia" w:ascii="宋体" w:hAnsi="宋体"/>
                <w:color w:val="000000" w:themeColor="text1"/>
                <w:kern w:val="0"/>
                <w:highlight w:val="none"/>
                <w14:textFill>
                  <w14:solidFill>
                    <w14:schemeClr w14:val="tx1"/>
                  </w14:solidFill>
                </w14:textFill>
              </w:rPr>
              <w:t>（不含竞选函部分）</w:t>
            </w:r>
            <w:r>
              <w:rPr>
                <w:rFonts w:ascii="宋体" w:hAnsi="宋体"/>
                <w:color w:val="000000" w:themeColor="text1"/>
                <w:kern w:val="0"/>
                <w:highlight w:val="none"/>
                <w14:textFill>
                  <w14:solidFill>
                    <w14:schemeClr w14:val="tx1"/>
                  </w14:solidFill>
                </w14:textFill>
              </w:rPr>
              <w:t>。</w:t>
            </w:r>
          </w:p>
        </w:tc>
      </w:tr>
      <w:tr w14:paraId="642FFD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14:paraId="01FD2BA0">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687F5C4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79034696">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竞选文件的签署</w:t>
            </w:r>
          </w:p>
        </w:tc>
        <w:tc>
          <w:tcPr>
            <w:tcW w:w="5728" w:type="dxa"/>
            <w:vAlign w:val="center"/>
          </w:tcPr>
          <w:p w14:paraId="0DB7EDF1">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ascii="宋体" w:hAnsi="宋体"/>
                <w:color w:val="000000" w:themeColor="text1"/>
                <w:kern w:val="0"/>
                <w:highlight w:val="none"/>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格式（不含竞选函部分）要求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szCs w:val="21"/>
                <w:highlight w:val="none"/>
                <w14:textFill>
                  <w14:solidFill>
                    <w14:schemeClr w14:val="tx1"/>
                  </w14:solidFill>
                </w14:textFill>
              </w:rPr>
              <w:t>要求签名的，</w:t>
            </w:r>
            <w:r>
              <w:rPr>
                <w:rFonts w:hint="eastAsia" w:ascii="宋体" w:hAnsi="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14:textFill>
                  <w14:solidFill>
                    <w14:schemeClr w14:val="tx1"/>
                  </w14:solidFill>
                </w14:textFill>
              </w:rPr>
              <w:t>或签章</w:t>
            </w:r>
            <w:r>
              <w:rPr>
                <w:rFonts w:hint="eastAsia" w:ascii="宋体" w:hAnsi="宋体"/>
                <w:color w:val="000000" w:themeColor="text1"/>
                <w:kern w:val="0"/>
                <w:highlight w:val="none"/>
                <w14:textFill>
                  <w14:solidFill>
                    <w14:schemeClr w14:val="tx1"/>
                  </w14:solidFill>
                </w14:textFill>
              </w:rPr>
              <w:t>均可。</w:t>
            </w:r>
          </w:p>
        </w:tc>
      </w:tr>
      <w:tr w14:paraId="1C662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20177ED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406A2F2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44A01A0D">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728" w:type="dxa"/>
            <w:vAlign w:val="center"/>
          </w:tcPr>
          <w:p w14:paraId="4D143C9D">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w:t>
            </w:r>
          </w:p>
        </w:tc>
      </w:tr>
      <w:tr w14:paraId="6656A0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7333AC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2362CF25">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20B172AB">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备选投标方案</w:t>
            </w:r>
          </w:p>
        </w:tc>
        <w:tc>
          <w:tcPr>
            <w:tcW w:w="5728" w:type="dxa"/>
            <w:vAlign w:val="center"/>
          </w:tcPr>
          <w:p w14:paraId="5288D4C0">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除竞争性比选明确允许提交备选投标方案外，竞选人不得提交备选投标方案</w:t>
            </w:r>
          </w:p>
        </w:tc>
      </w:tr>
      <w:tr w14:paraId="51C2C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24502F38">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14:paraId="3330463F">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492" w:type="dxa"/>
            <w:vAlign w:val="center"/>
          </w:tcPr>
          <w:p w14:paraId="5E039CA0">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5728" w:type="dxa"/>
            <w:vAlign w:val="center"/>
          </w:tcPr>
          <w:p w14:paraId="4B9C99BD">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符合第二章“竞选人须知”第1.3.1项规定</w:t>
            </w:r>
          </w:p>
        </w:tc>
      </w:tr>
      <w:tr w14:paraId="69496C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3915AB3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14:paraId="0F55792E">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top w:val="single" w:color="auto" w:sz="4" w:space="0"/>
            </w:tcBorders>
            <w:vAlign w:val="center"/>
          </w:tcPr>
          <w:p w14:paraId="5D168F49">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5728" w:type="dxa"/>
            <w:vAlign w:val="center"/>
          </w:tcPr>
          <w:p w14:paraId="4583B87D">
            <w:pPr>
              <w:tabs>
                <w:tab w:val="left" w:pos="601"/>
                <w:tab w:val="left" w:pos="669"/>
              </w:tabs>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14:paraId="70127C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14:paraId="40D44337">
            <w:pPr>
              <w:spacing w:line="400" w:lineRule="exact"/>
              <w:jc w:val="center"/>
              <w:rPr>
                <w:rFonts w:hint="eastAsia" w:ascii="宋体" w:hAnsi="宋体"/>
                <w:color w:val="000000" w:themeColor="text1"/>
                <w:highlight w:val="none"/>
                <w14:textFill>
                  <w14:solidFill>
                    <w14:schemeClr w14:val="tx1"/>
                  </w14:solidFill>
                </w14:textFill>
              </w:rPr>
            </w:pPr>
          </w:p>
        </w:tc>
        <w:tc>
          <w:tcPr>
            <w:tcW w:w="852" w:type="dxa"/>
            <w:vMerge w:val="continue"/>
          </w:tcPr>
          <w:p w14:paraId="2A237138">
            <w:pPr>
              <w:spacing w:line="400" w:lineRule="exact"/>
              <w:jc w:val="center"/>
              <w:rPr>
                <w:rFonts w:hint="eastAsia" w:ascii="宋体" w:hAnsi="宋体"/>
                <w:color w:val="000000" w:themeColor="text1"/>
                <w:highlight w:val="none"/>
                <w14:textFill>
                  <w14:solidFill>
                    <w14:schemeClr w14:val="tx1"/>
                  </w14:solidFill>
                </w14:textFill>
              </w:rPr>
            </w:pPr>
          </w:p>
        </w:tc>
        <w:tc>
          <w:tcPr>
            <w:tcW w:w="2492" w:type="dxa"/>
            <w:vAlign w:val="center"/>
          </w:tcPr>
          <w:p w14:paraId="2CBB3BD3">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728" w:type="dxa"/>
            <w:vAlign w:val="center"/>
          </w:tcPr>
          <w:p w14:paraId="25F2D643">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符合第四章“合同条款及格式”规定，</w:t>
            </w:r>
            <w:r>
              <w:rPr>
                <w:rFonts w:hint="eastAsia" w:ascii="宋体" w:hAnsi="宋体"/>
                <w:color w:val="000000" w:themeColor="text1"/>
                <w:kern w:val="0"/>
                <w:highlight w:val="none"/>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不应附有</w:t>
            </w:r>
            <w:r>
              <w:rPr>
                <w:rFonts w:hint="eastAsia" w:ascii="宋体" w:hAnsi="宋体"/>
                <w:color w:val="000000" w:themeColor="text1"/>
                <w:kern w:val="0"/>
                <w:highlight w:val="none"/>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不能接受的条件。</w:t>
            </w:r>
            <w:r>
              <w:rPr>
                <w:rFonts w:hint="eastAsia" w:ascii="宋体" w:hAnsi="宋体" w:cs="宋体"/>
                <w:color w:val="000000" w:themeColor="text1"/>
                <w:kern w:val="0"/>
                <w:highlight w:val="none"/>
                <w14:textFill>
                  <w14:solidFill>
                    <w14:schemeClr w14:val="tx1"/>
                  </w14:solidFill>
                </w14:textFill>
              </w:rPr>
              <w:t>（由竞选人承诺，承诺书格式详见第六章竞选文件格式。）</w:t>
            </w:r>
          </w:p>
        </w:tc>
      </w:tr>
      <w:tr w14:paraId="60DE7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103331F4">
            <w:pPr>
              <w:spacing w:line="400" w:lineRule="exact"/>
              <w:rPr>
                <w:rFonts w:hint="eastAsia" w:ascii="宋体" w:hAnsi="宋体"/>
                <w:color w:val="000000" w:themeColor="text1"/>
                <w:highlight w:val="none"/>
                <w14:textFill>
                  <w14:solidFill>
                    <w14:schemeClr w14:val="tx1"/>
                  </w14:solidFill>
                </w14:textFill>
              </w:rPr>
            </w:pPr>
          </w:p>
        </w:tc>
        <w:tc>
          <w:tcPr>
            <w:tcW w:w="852" w:type="dxa"/>
            <w:vMerge w:val="continue"/>
          </w:tcPr>
          <w:p w14:paraId="17102281">
            <w:pPr>
              <w:spacing w:line="400" w:lineRule="exact"/>
              <w:rPr>
                <w:rFonts w:hint="eastAsia" w:ascii="宋体" w:hAnsi="宋体"/>
                <w:color w:val="000000" w:themeColor="text1"/>
                <w:highlight w:val="none"/>
                <w14:textFill>
                  <w14:solidFill>
                    <w14:schemeClr w14:val="tx1"/>
                  </w14:solidFill>
                </w14:textFill>
              </w:rPr>
            </w:pPr>
          </w:p>
        </w:tc>
        <w:tc>
          <w:tcPr>
            <w:tcW w:w="2492" w:type="dxa"/>
            <w:vAlign w:val="center"/>
          </w:tcPr>
          <w:p w14:paraId="61085F91">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728" w:type="dxa"/>
            <w:vAlign w:val="center"/>
          </w:tcPr>
          <w:p w14:paraId="19471A11">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符合第二章“竞选人须知”第1.4.3项规定。</w:t>
            </w:r>
          </w:p>
          <w:p w14:paraId="57BFB03A">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14:paraId="6FD887CB">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14:paraId="41B46F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1B1382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16C44CC5">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5728" w:type="dxa"/>
            <w:vAlign w:val="center"/>
          </w:tcPr>
          <w:p w14:paraId="03C1ED2C">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tr w14:paraId="2BCC8D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14:paraId="4214224E">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492" w:type="dxa"/>
            <w:vAlign w:val="center"/>
          </w:tcPr>
          <w:p w14:paraId="1974DE1C">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14:paraId="33798E7F">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728" w:type="dxa"/>
            <w:vAlign w:val="center"/>
          </w:tcPr>
          <w:p w14:paraId="595C6C10">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技术部分</w:t>
            </w:r>
            <w:r>
              <w:rPr>
                <w:rFonts w:hint="eastAsia" w:ascii="宋体" w:hAnsi="宋体"/>
                <w:color w:val="000000" w:themeColor="text1"/>
                <w:kern w:val="0"/>
                <w:highlight w:val="none"/>
                <w:u w:val="single"/>
                <w:lang w:val="en-US" w:eastAsia="zh-CN"/>
                <w14:textFill>
                  <w14:solidFill>
                    <w14:schemeClr w14:val="tx1"/>
                  </w14:solidFill>
                </w14:textFill>
              </w:rPr>
              <w:t>7</w:t>
            </w:r>
            <w:r>
              <w:rPr>
                <w:rFonts w:hint="eastAsia" w:ascii="宋体" w:hAnsi="宋体"/>
                <w:color w:val="000000" w:themeColor="text1"/>
                <w:kern w:val="0"/>
                <w:highlight w:val="none"/>
                <w:u w:val="single"/>
                <w14:textFill>
                  <w14:solidFill>
                    <w14:schemeClr w14:val="tx1"/>
                  </w14:solidFill>
                </w14:textFill>
              </w:rPr>
              <w:t>0</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；（服务方案）</w:t>
            </w:r>
          </w:p>
          <w:p w14:paraId="49AA780E">
            <w:pPr>
              <w:snapToGrid w:val="0"/>
              <w:spacing w:line="400" w:lineRule="exact"/>
              <w:ind w:firstLine="420" w:firstLineChars="200"/>
              <w:rPr>
                <w:rFonts w:hint="eastAsia" w:ascii="宋体" w:hAnsi="宋体"/>
                <w:i/>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.投标报价</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3</w:t>
            </w:r>
            <w:r>
              <w:rPr>
                <w:rFonts w:hint="eastAsia" w:ascii="宋体" w:hAnsi="宋体"/>
                <w:color w:val="000000" w:themeColor="text1"/>
                <w:kern w:val="0"/>
                <w:highlight w:val="none"/>
                <w:u w:val="single"/>
                <w14:textFill>
                  <w14:solidFill>
                    <w14:schemeClr w14:val="tx1"/>
                  </w14:solidFill>
                </w14:textFill>
              </w:rPr>
              <w:t xml:space="preserve">0 </w:t>
            </w:r>
            <w:r>
              <w:rPr>
                <w:rFonts w:hint="eastAsia" w:ascii="宋体" w:hAnsi="宋体"/>
                <w:color w:val="000000" w:themeColor="text1"/>
                <w:kern w:val="0"/>
                <w:highlight w:val="none"/>
                <w14:textFill>
                  <w14:solidFill>
                    <w14:schemeClr w14:val="tx1"/>
                  </w14:solidFill>
                </w14:textFill>
              </w:rPr>
              <w:t>分。</w:t>
            </w:r>
          </w:p>
        </w:tc>
      </w:tr>
      <w:tr w14:paraId="1FCFC4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14:paraId="615F133E">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492" w:type="dxa"/>
            <w:vAlign w:val="center"/>
          </w:tcPr>
          <w:p w14:paraId="17721422">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评标基准价计算方法</w:t>
            </w:r>
          </w:p>
        </w:tc>
        <w:tc>
          <w:tcPr>
            <w:tcW w:w="5728" w:type="dxa"/>
            <w:vAlign w:val="center"/>
          </w:tcPr>
          <w:p w14:paraId="0E7B1154">
            <w:pPr>
              <w:snapToGri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所有通过初步评审</w:t>
            </w:r>
            <w:r>
              <w:rPr>
                <w:rFonts w:hint="eastAsia" w:ascii="宋体" w:hAnsi="宋体"/>
                <w:color w:val="000000" w:themeColor="text1"/>
                <w:highlight w:val="none"/>
                <w14:textFill>
                  <w14:solidFill>
                    <w14:schemeClr w14:val="tx1"/>
                  </w14:solidFill>
                </w14:textFill>
              </w:rPr>
              <w:t>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w:t>
            </w:r>
            <w:r>
              <w:rPr>
                <w:rFonts w:ascii="宋体" w:hAnsi="宋体"/>
                <w:color w:val="000000" w:themeColor="text1"/>
                <w:highlight w:val="none"/>
                <w14:textFill>
                  <w14:solidFill>
                    <w14:schemeClr w14:val="tx1"/>
                  </w14:solidFill>
                </w14:textFill>
              </w:rPr>
              <w:t>合格的竞选人的投标总报价中去掉六分之一（不能整除的按小数点前整数取整，不足六家报价则不去掉）的最低价和相同家数的最高价后</w:t>
            </w:r>
            <w:r>
              <w:rPr>
                <w:rFonts w:hint="eastAsia" w:ascii="宋体" w:hAnsi="宋体"/>
                <w:color w:val="000000" w:themeColor="text1"/>
                <w:highlight w:val="none"/>
                <w14:textFill>
                  <w14:solidFill>
                    <w14:schemeClr w14:val="tx1"/>
                  </w14:solidFill>
                </w14:textFill>
              </w:rPr>
              <w:t>计算出</w:t>
            </w:r>
            <w:r>
              <w:rPr>
                <w:rFonts w:ascii="宋体" w:hAnsi="宋体"/>
                <w:color w:val="000000" w:themeColor="text1"/>
                <w:highlight w:val="none"/>
                <w14:textFill>
                  <w14:solidFill>
                    <w14:schemeClr w14:val="tx1"/>
                  </w14:solidFill>
                </w14:textFill>
              </w:rPr>
              <w:t>的算术平均值</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即为本项目投标总报价的评标基准价</w:t>
            </w:r>
            <w:r>
              <w:rPr>
                <w:rFonts w:hint="eastAsia" w:ascii="宋体" w:hAnsi="宋体"/>
                <w:color w:val="000000" w:themeColor="text1"/>
                <w:highlight w:val="none"/>
                <w14:textFill>
                  <w14:solidFill>
                    <w14:schemeClr w14:val="tx1"/>
                  </w14:solidFill>
                </w14:textFill>
              </w:rPr>
              <w:t>。</w:t>
            </w:r>
          </w:p>
          <w:p w14:paraId="2254871A">
            <w:pPr>
              <w:snapToGri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评标基准价计算的最终</w:t>
            </w:r>
            <w:r>
              <w:rPr>
                <w:rFonts w:ascii="宋体" w:hAnsi="宋体"/>
                <w:color w:val="000000" w:themeColor="text1"/>
                <w:highlight w:val="none"/>
                <w14:textFill>
                  <w14:solidFill>
                    <w14:schemeClr w14:val="tx1"/>
                  </w14:solidFill>
                </w14:textFill>
              </w:rPr>
              <w:t>结果取小数点后两位，第三位四舍五入。在评标基准价计算完成后（除计算错误外），在后续的评审中不得再对其做出调整。</w:t>
            </w:r>
          </w:p>
        </w:tc>
      </w:tr>
      <w:tr w14:paraId="40DC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00A46ECD">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492" w:type="dxa"/>
            <w:vAlign w:val="center"/>
          </w:tcPr>
          <w:p w14:paraId="3F3B5A28">
            <w:pPr>
              <w:tabs>
                <w:tab w:val="left" w:pos="1875"/>
              </w:tabs>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投标报价的偏差率计算公式</w:t>
            </w:r>
          </w:p>
        </w:tc>
        <w:tc>
          <w:tcPr>
            <w:tcW w:w="5728" w:type="dxa"/>
            <w:vAlign w:val="center"/>
          </w:tcPr>
          <w:p w14:paraId="62FE866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100％×（竞选人报价</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评标基准价）／评标基准价</w:t>
            </w:r>
          </w:p>
          <w:p w14:paraId="5976E280">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计算的最终结果</w:t>
            </w:r>
            <w:r>
              <w:rPr>
                <w:rFonts w:hint="eastAsia" w:ascii="宋体" w:hAnsi="宋体"/>
                <w:color w:val="000000" w:themeColor="text1"/>
                <w:kern w:val="0"/>
                <w:szCs w:val="21"/>
                <w:highlight w:val="none"/>
                <w14:textFill>
                  <w14:solidFill>
                    <w14:schemeClr w14:val="tx1"/>
                  </w14:solidFill>
                </w14:textFill>
              </w:rPr>
              <w:t>取</w:t>
            </w:r>
            <w:r>
              <w:rPr>
                <w:rFonts w:ascii="宋体" w:hAnsi="宋体"/>
                <w:color w:val="000000" w:themeColor="text1"/>
                <w:kern w:val="0"/>
                <w:szCs w:val="21"/>
                <w:highlight w:val="none"/>
                <w14:textFill>
                  <w14:solidFill>
                    <w14:schemeClr w14:val="tx1"/>
                  </w14:solidFill>
                </w14:textFill>
              </w:rPr>
              <w:t>小数点后两位，小数点后第三位“四舍五入”。</w:t>
            </w:r>
          </w:p>
        </w:tc>
      </w:tr>
      <w:tr w14:paraId="0848F0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AD5D5FB">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587ED7B9">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5728" w:type="dxa"/>
            <w:vAlign w:val="center"/>
          </w:tcPr>
          <w:p w14:paraId="1526B05F">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bl>
    <w:p w14:paraId="712CE2E7">
      <w:pPr>
        <w:rPr>
          <w:rFonts w:hint="eastAsia" w:ascii="宋体" w:hAnsi="宋体"/>
          <w:color w:val="000000" w:themeColor="text1"/>
          <w:highlight w:val="none"/>
          <w14:textFill>
            <w14:solidFill>
              <w14:schemeClr w14:val="tx1"/>
            </w14:solidFill>
          </w14:textFill>
        </w:rPr>
      </w:pPr>
    </w:p>
    <w:tbl>
      <w:tblPr>
        <w:tblStyle w:val="29"/>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14:paraId="4E47E5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96" w:hRule="atLeast"/>
          <w:jc w:val="center"/>
        </w:trPr>
        <w:tc>
          <w:tcPr>
            <w:tcW w:w="808" w:type="dxa"/>
            <w:vMerge w:val="restart"/>
            <w:tcBorders>
              <w:right w:val="single" w:color="auto" w:sz="4" w:space="0"/>
            </w:tcBorders>
            <w:vAlign w:val="center"/>
          </w:tcPr>
          <w:p w14:paraId="6209B81E">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14:paraId="29E94F03">
            <w:pPr>
              <w:pStyle w:val="8"/>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rFonts w:ascii="宋体" w:hAnsi="宋体"/>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tc>
        <w:tc>
          <w:tcPr>
            <w:tcW w:w="2587" w:type="dxa"/>
            <w:tcBorders>
              <w:bottom w:val="single" w:color="auto" w:sz="4" w:space="0"/>
            </w:tcBorders>
            <w:vAlign w:val="center"/>
          </w:tcPr>
          <w:p w14:paraId="7688E015">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服务方案总体评审标准</w:t>
            </w:r>
          </w:p>
        </w:tc>
        <w:tc>
          <w:tcPr>
            <w:tcW w:w="5738" w:type="dxa"/>
            <w:vAlign w:val="center"/>
          </w:tcPr>
          <w:p w14:paraId="7C097618">
            <w:pPr>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评委</w:t>
            </w:r>
            <w:r>
              <w:rPr>
                <w:rFonts w:hint="eastAsia" w:ascii="宋体" w:hAnsi="宋体"/>
                <w:snapToGrid w:val="0"/>
                <w:color w:val="000000" w:themeColor="text1"/>
                <w:kern w:val="0"/>
                <w:szCs w:val="21"/>
                <w:highlight w:val="none"/>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取算术平均值为该竞选人</w:t>
            </w:r>
            <w:r>
              <w:rPr>
                <w:rFonts w:hint="eastAsia" w:ascii="宋体" w:hAnsi="宋体"/>
                <w:snapToGrid w:val="0"/>
                <w:color w:val="000000" w:themeColor="text1"/>
                <w:kern w:val="0"/>
                <w:szCs w:val="21"/>
                <w:highlight w:val="none"/>
                <w14:textFill>
                  <w14:solidFill>
                    <w14:schemeClr w14:val="tx1"/>
                  </w14:solidFill>
                </w14:textFill>
              </w:rPr>
              <w:t>服务方案</w:t>
            </w:r>
            <w:r>
              <w:rPr>
                <w:rFonts w:ascii="宋体" w:hAnsi="宋体"/>
                <w:snapToGrid w:val="0"/>
                <w:color w:val="000000" w:themeColor="text1"/>
                <w:kern w:val="0"/>
                <w:szCs w:val="21"/>
                <w:highlight w:val="none"/>
                <w14:textFill>
                  <w14:solidFill>
                    <w14:schemeClr w14:val="tx1"/>
                  </w14:solidFill>
                </w14:textFill>
              </w:rPr>
              <w:t>得分。</w:t>
            </w:r>
          </w:p>
          <w:p w14:paraId="1204694A">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w:t>
            </w:r>
            <w:r>
              <w:rPr>
                <w:rFonts w:ascii="宋体" w:hAnsi="宋体"/>
                <w:color w:val="000000" w:themeColor="text1"/>
                <w:kern w:val="0"/>
                <w:szCs w:val="21"/>
                <w:highlight w:val="none"/>
                <w14:textFill>
                  <w14:solidFill>
                    <w14:schemeClr w14:val="tx1"/>
                  </w14:solidFill>
                </w14:textFill>
              </w:rPr>
              <w:t>方案得分的最终结果取小数点后两位，第三位四舍五入。</w:t>
            </w:r>
          </w:p>
        </w:tc>
      </w:tr>
      <w:tr w14:paraId="2F240C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14:paraId="3729BFF1">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57B55332">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vAlign w:val="center"/>
          </w:tcPr>
          <w:p w14:paraId="62458C6A">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ascii="宋体" w:hAnsi="宋体"/>
                <w:color w:val="000000" w:themeColor="text1"/>
                <w:szCs w:val="21"/>
                <w:highlight w:val="none"/>
                <w14:textFill>
                  <w14:solidFill>
                    <w14:schemeClr w14:val="tx1"/>
                  </w14:solidFill>
                </w14:textFill>
              </w:rPr>
              <w:t>咨询工作大纲（</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2128A3E3">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编制要点：各有效竞选人针对本项目</w:t>
            </w: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hint="eastAsia" w:ascii="宋体" w:hAnsi="宋体"/>
                <w:color w:val="000000" w:themeColor="text1"/>
                <w:szCs w:val="21"/>
                <w:highlight w:val="none"/>
                <w14:textFill>
                  <w14:solidFill>
                    <w14:schemeClr w14:val="tx1"/>
                  </w14:solidFill>
                </w14:textFill>
              </w:rPr>
              <w:t>服务大纲编制内容的总体思路、内容是否完善等；优得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014DB0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 w:hRule="atLeast"/>
          <w:jc w:val="center"/>
        </w:trPr>
        <w:tc>
          <w:tcPr>
            <w:tcW w:w="808" w:type="dxa"/>
            <w:vMerge w:val="continue"/>
            <w:tcBorders>
              <w:right w:val="single" w:color="auto" w:sz="4" w:space="0"/>
            </w:tcBorders>
            <w:vAlign w:val="center"/>
          </w:tcPr>
          <w:p w14:paraId="14F092EB">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C40FC90">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14260D30">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ascii="宋体" w:hAnsi="宋体"/>
                <w:color w:val="000000" w:themeColor="text1"/>
                <w:szCs w:val="21"/>
                <w:highlight w:val="none"/>
                <w14:textFill>
                  <w14:solidFill>
                    <w14:schemeClr w14:val="tx1"/>
                  </w14:solidFill>
                </w14:textFill>
              </w:rPr>
              <w:t>岗位职责和职业守则（</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12D49B12">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w:t>
            </w: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hint="eastAsia" w:ascii="宋体" w:hAnsi="宋体"/>
                <w:color w:val="000000" w:themeColor="text1"/>
                <w:szCs w:val="21"/>
                <w:highlight w:val="none"/>
                <w14:textFill>
                  <w14:solidFill>
                    <w14:schemeClr w14:val="tx1"/>
                  </w14:solidFill>
                </w14:textFill>
              </w:rPr>
              <w:t>机构配置是否完整且合理，分工明确，</w:t>
            </w: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hint="eastAsia" w:ascii="宋体" w:hAnsi="宋体"/>
                <w:color w:val="000000" w:themeColor="text1"/>
                <w:szCs w:val="21"/>
                <w:highlight w:val="none"/>
                <w14:textFill>
                  <w14:solidFill>
                    <w14:schemeClr w14:val="tx1"/>
                  </w14:solidFill>
                </w14:textFill>
              </w:rPr>
              <w:t>人员岗位职责及制度是否健全，专业人员是否配置合理，优得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1F9EDC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14:paraId="1C7C93C2">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723D3977">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31D27438">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ascii="宋体" w:hAnsi="宋体"/>
                <w:color w:val="000000" w:themeColor="text1"/>
                <w:szCs w:val="21"/>
                <w:highlight w:val="none"/>
                <w14:textFill>
                  <w14:solidFill>
                    <w14:schemeClr w14:val="tx1"/>
                  </w14:solidFill>
                </w14:textFill>
              </w:rPr>
              <w:t>措施（含企业内部组织管理体系、对本工程</w:t>
            </w: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ascii="宋体" w:hAnsi="宋体"/>
                <w:color w:val="000000" w:themeColor="text1"/>
                <w:szCs w:val="21"/>
                <w:highlight w:val="none"/>
                <w14:textFill>
                  <w14:solidFill>
                    <w14:schemeClr w14:val="tx1"/>
                  </w14:solidFill>
                </w14:textFill>
              </w:rPr>
              <w:t>的重难点分析）（</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71C14C73">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hint="eastAsia" w:ascii="宋体" w:hAnsi="宋体"/>
                <w:color w:val="000000" w:themeColor="text1"/>
                <w:szCs w:val="21"/>
                <w:highlight w:val="none"/>
                <w14:textFill>
                  <w14:solidFill>
                    <w14:schemeClr w14:val="tx1"/>
                  </w14:solidFill>
                </w14:textFill>
              </w:rPr>
              <w:t>难点提出可行的措施，同时针对本工程分析重难点及合理化建议，提出问题的解决方法，以及企业内部组织管理体系</w:t>
            </w:r>
            <w:r>
              <w:rPr>
                <w:rStyle w:val="56"/>
                <w:rFonts w:hint="eastAsia" w:ascii="宋体" w:hAnsi="宋体" w:eastAsia="宋体" w:cs="Times New Roman"/>
                <w:color w:val="000000" w:themeColor="text1"/>
                <w:szCs w:val="21"/>
                <w:highlight w:val="none"/>
                <w14:textFill>
                  <w14:solidFill>
                    <w14:schemeClr w14:val="tx1"/>
                  </w14:solidFill>
                </w14:textFill>
              </w:rPr>
              <w:t>等；优得</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10</w:t>
            </w:r>
            <w:r>
              <w:rPr>
                <w:rStyle w:val="56"/>
                <w:rFonts w:hint="eastAsia" w:ascii="宋体" w:hAnsi="宋体" w:eastAsia="宋体" w:cs="Times New Roman"/>
                <w:color w:val="000000" w:themeColor="text1"/>
                <w:szCs w:val="21"/>
                <w:highlight w:val="none"/>
                <w14:textFill>
                  <w14:solidFill>
                    <w14:schemeClr w14:val="tx1"/>
                  </w14:solidFill>
                </w14:textFill>
              </w:rPr>
              <w:t>-</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15</w:t>
            </w:r>
            <w:r>
              <w:rPr>
                <w:rStyle w:val="56"/>
                <w:rFonts w:hint="eastAsia" w:ascii="宋体" w:hAnsi="宋体" w:eastAsia="宋体" w:cs="Times New Roman"/>
                <w:color w:val="000000" w:themeColor="text1"/>
                <w:szCs w:val="21"/>
                <w:highlight w:val="none"/>
                <w14:textFill>
                  <w14:solidFill>
                    <w14:schemeClr w14:val="tx1"/>
                  </w14:solidFill>
                </w14:textFill>
              </w:rPr>
              <w:t>分；良得</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5</w:t>
            </w:r>
            <w:r>
              <w:rPr>
                <w:rStyle w:val="56"/>
                <w:rFonts w:hint="eastAsia" w:ascii="宋体" w:hAnsi="宋体" w:eastAsia="宋体" w:cs="Times New Roman"/>
                <w:color w:val="000000" w:themeColor="text1"/>
                <w:szCs w:val="21"/>
                <w:highlight w:val="none"/>
                <w14:textFill>
                  <w14:solidFill>
                    <w14:schemeClr w14:val="tx1"/>
                  </w14:solidFill>
                </w14:textFill>
              </w:rPr>
              <w:t>-</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9</w:t>
            </w:r>
            <w:r>
              <w:rPr>
                <w:rStyle w:val="56"/>
                <w:rFonts w:hint="eastAsia" w:ascii="宋体" w:hAnsi="宋体" w:eastAsia="宋体" w:cs="Times New Roman"/>
                <w:color w:val="000000" w:themeColor="text1"/>
                <w:szCs w:val="21"/>
                <w:highlight w:val="none"/>
                <w14:textFill>
                  <w14:solidFill>
                    <w14:schemeClr w14:val="tx1"/>
                  </w14:solidFill>
                </w14:textFill>
              </w:rPr>
              <w:t>分；一般得1-</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4</w:t>
            </w:r>
            <w:r>
              <w:rPr>
                <w:rStyle w:val="56"/>
                <w:rFonts w:hint="eastAsia" w:ascii="宋体" w:hAnsi="宋体" w:eastAsia="宋体" w:cs="Times New Roman"/>
                <w:color w:val="000000" w:themeColor="text1"/>
                <w:szCs w:val="21"/>
                <w:highlight w:val="none"/>
                <w14:textFill>
                  <w14:solidFill>
                    <w14:schemeClr w14:val="tx1"/>
                  </w14:solidFill>
                </w14:textFill>
              </w:rPr>
              <w:t>分；差不得分。</w:t>
            </w:r>
          </w:p>
        </w:tc>
      </w:tr>
      <w:tr w14:paraId="706522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2C74627C">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07F303B8">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10E26710">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ascii="宋体" w:hAnsi="宋体"/>
                <w:color w:val="000000" w:themeColor="text1"/>
                <w:szCs w:val="21"/>
                <w:highlight w:val="none"/>
                <w14:textFill>
                  <w14:solidFill>
                    <w14:schemeClr w14:val="tx1"/>
                  </w14:solidFill>
                </w14:textFill>
              </w:rPr>
              <w:t>工程投资的控制措施（</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ascii="宋体" w:hAnsi="宋体"/>
                <w:color w:val="000000" w:themeColor="text1"/>
                <w:szCs w:val="21"/>
                <w:highlight w:val="none"/>
                <w14:textFill>
                  <w14:solidFill>
                    <w14:schemeClr w14:val="tx1"/>
                  </w14:solidFill>
                </w14:textFill>
              </w:rPr>
              <w:t xml:space="preserve"> 分）</w:t>
            </w:r>
          </w:p>
        </w:tc>
        <w:tc>
          <w:tcPr>
            <w:tcW w:w="5738" w:type="dxa"/>
            <w:vAlign w:val="center"/>
          </w:tcPr>
          <w:p w14:paraId="589893A6">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w:t>
            </w:r>
            <w:r>
              <w:rPr>
                <w:rStyle w:val="56"/>
                <w:rFonts w:ascii="宋体" w:hAnsi="宋体"/>
                <w:color w:val="000000" w:themeColor="text1"/>
                <w:szCs w:val="21"/>
                <w:highlight w:val="none"/>
                <w14:textFill>
                  <w14:solidFill>
                    <w14:schemeClr w14:val="tx1"/>
                  </w14:solidFill>
                </w14:textFill>
              </w:rPr>
              <w:t>控制措施</w:t>
            </w:r>
            <w:r>
              <w:rPr>
                <w:rStyle w:val="56"/>
                <w:rFonts w:hint="eastAsia" w:ascii="宋体" w:hAnsi="宋体"/>
                <w:color w:val="000000" w:themeColor="text1"/>
                <w:szCs w:val="21"/>
                <w:highlight w:val="none"/>
                <w14:textFill>
                  <w14:solidFill>
                    <w14:schemeClr w14:val="tx1"/>
                  </w14:solidFill>
                </w14:textFill>
              </w:rPr>
              <w:t>，合理管理、控制在施工过程中的投资，分析本项目的重要节点投资控制 、控制方法路线切实可行、理念思路清晰的；优得</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hint="eastAsia" w:ascii="宋体" w:hAnsi="宋体"/>
                <w:color w:val="000000" w:themeColor="text1"/>
                <w:szCs w:val="21"/>
                <w:highlight w:val="none"/>
                <w14:textFill>
                  <w14:solidFill>
                    <w14:schemeClr w14:val="tx1"/>
                  </w14:solidFill>
                </w14:textFill>
              </w:rPr>
              <w:t>分；良得</w:t>
            </w:r>
            <w:r>
              <w:rPr>
                <w:rStyle w:val="56"/>
                <w:rFonts w:hint="eastAsia" w:ascii="宋体" w:hAnsi="宋体"/>
                <w:color w:val="000000" w:themeColor="text1"/>
                <w:szCs w:val="21"/>
                <w:highlight w:val="none"/>
                <w:lang w:val="en-US" w:eastAsia="zh-CN"/>
                <w14:textFill>
                  <w14:solidFill>
                    <w14:schemeClr w14:val="tx1"/>
                  </w14:solidFill>
                </w14:textFill>
              </w:rPr>
              <w:t>5</w:t>
            </w:r>
            <w:r>
              <w:rPr>
                <w:rStyle w:val="56"/>
                <w:rFonts w:ascii="宋体" w:hAnsi="宋体"/>
                <w:color w:val="000000" w:themeColor="text1"/>
                <w:szCs w:val="21"/>
                <w:highlight w:val="none"/>
                <w14:textFill>
                  <w14:solidFill>
                    <w14:schemeClr w14:val="tx1"/>
                  </w14:solidFill>
                </w14:textFill>
              </w:rPr>
              <w:t>-</w:t>
            </w:r>
            <w:r>
              <w:rPr>
                <w:rStyle w:val="56"/>
                <w:rFonts w:hint="eastAsia" w:ascii="宋体" w:hAnsi="宋体"/>
                <w:color w:val="000000" w:themeColor="text1"/>
                <w:szCs w:val="21"/>
                <w:highlight w:val="none"/>
                <w:lang w:val="en-US" w:eastAsia="zh-CN"/>
                <w14:textFill>
                  <w14:solidFill>
                    <w14:schemeClr w14:val="tx1"/>
                  </w14:solidFill>
                </w14:textFill>
              </w:rPr>
              <w:t>9</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w:t>
            </w:r>
            <w:r>
              <w:rPr>
                <w:rStyle w:val="56"/>
                <w:rFonts w:hint="eastAsia" w:ascii="宋体" w:hAnsi="宋体"/>
                <w:color w:val="000000" w:themeColor="text1"/>
                <w:szCs w:val="21"/>
                <w:highlight w:val="none"/>
                <w:lang w:val="en-US" w:eastAsia="zh-CN"/>
                <w14:textFill>
                  <w14:solidFill>
                    <w14:schemeClr w14:val="tx1"/>
                  </w14:solidFill>
                </w14:textFill>
              </w:rPr>
              <w:t>4</w:t>
            </w:r>
            <w:r>
              <w:rPr>
                <w:rStyle w:val="56"/>
                <w:rFonts w:hint="eastAsia" w:ascii="宋体" w:hAnsi="宋体"/>
                <w:color w:val="000000" w:themeColor="text1"/>
                <w:szCs w:val="21"/>
                <w:highlight w:val="none"/>
                <w14:textFill>
                  <w14:solidFill>
                    <w14:schemeClr w14:val="tx1"/>
                  </w14:solidFill>
                </w14:textFill>
              </w:rPr>
              <w:t>分；差不得分。</w:t>
            </w:r>
          </w:p>
        </w:tc>
      </w:tr>
      <w:tr w14:paraId="7522F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72D7D88F">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5D9BDAC3">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3F244B93">
            <w:pPr>
              <w:tabs>
                <w:tab w:val="left" w:pos="1875"/>
              </w:tabs>
              <w:spacing w:line="400" w:lineRule="exact"/>
              <w:jc w:val="center"/>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ascii="宋体" w:hAnsi="宋体"/>
                <w:color w:val="000000" w:themeColor="text1"/>
                <w:szCs w:val="21"/>
                <w:highlight w:val="none"/>
                <w14:textFill>
                  <w14:solidFill>
                    <w14:schemeClr w14:val="tx1"/>
                  </w14:solidFill>
                </w14:textFill>
              </w:rPr>
              <w:t>进度控制措施（</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6E740CFB">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预算编制</w:t>
            </w:r>
            <w:r>
              <w:rPr>
                <w:rStyle w:val="56"/>
                <w:rFonts w:hint="eastAsia" w:ascii="宋体" w:hAnsi="宋体"/>
                <w:color w:val="000000" w:themeColor="text1"/>
                <w:szCs w:val="21"/>
                <w:highlight w:val="none"/>
                <w14:textFill>
                  <w14:solidFill>
                    <w14:schemeClr w14:val="tx1"/>
                  </w14:solidFill>
                </w14:textFill>
              </w:rPr>
              <w:t>进度，合理管理造价在施工过程中的进度控制，拟定整个方案和计划安排合理可行的；优得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71AAC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5A6155BA">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322A8A5">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tcBorders>
            <w:vAlign w:val="center"/>
          </w:tcPr>
          <w:p w14:paraId="43ACA73F">
            <w:pPr>
              <w:tabs>
                <w:tab w:val="left" w:pos="1875"/>
              </w:tabs>
              <w:spacing w:line="400" w:lineRule="exact"/>
              <w:jc w:val="center"/>
              <w:rPr>
                <w:rFonts w:hint="eastAsia" w:ascii="宋体" w:hAnsi="宋体"/>
                <w:color w:val="000000" w:themeColor="text1"/>
                <w:szCs w:val="21"/>
                <w:highlight w:val="none"/>
                <w14:textFill>
                  <w14:solidFill>
                    <w14:schemeClr w14:val="tx1"/>
                  </w14:solidFill>
                </w14:textFill>
              </w:rPr>
            </w:pPr>
            <w:r>
              <w:rPr>
                <w:rStyle w:val="56"/>
                <w:rFonts w:ascii="宋体" w:hAnsi="宋体"/>
                <w:color w:val="000000" w:themeColor="text1"/>
                <w:szCs w:val="21"/>
                <w:highlight w:val="none"/>
                <w14:textFill>
                  <w14:solidFill>
                    <w14:schemeClr w14:val="tx1"/>
                  </w14:solidFill>
                </w14:textFill>
              </w:rPr>
              <w:t>成本管控方案（</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5198E58A">
            <w:pPr>
              <w:snapToGrid w:val="0"/>
              <w:spacing w:line="380" w:lineRule="exact"/>
              <w:ind w:firstLine="420" w:firstLineChars="200"/>
              <w:jc w:val="left"/>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val="en-US" w:eastAsia="zh-CN"/>
                <w14:textFill>
                  <w14:solidFill>
                    <w14:schemeClr w14:val="tx1"/>
                  </w14:solidFill>
                </w14:textFill>
              </w:rPr>
              <w:t>预算</w:t>
            </w:r>
            <w:r>
              <w:rPr>
                <w:rStyle w:val="56"/>
                <w:rFonts w:ascii="宋体" w:hAnsi="宋体"/>
                <w:color w:val="000000" w:themeColor="text1"/>
                <w:szCs w:val="21"/>
                <w:highlight w:val="none"/>
                <w14:textFill>
                  <w14:solidFill>
                    <w14:schemeClr w14:val="tx1"/>
                  </w14:solidFill>
                </w14:textFill>
              </w:rPr>
              <w:t>成本管控方案</w:t>
            </w:r>
            <w:r>
              <w:rPr>
                <w:rStyle w:val="56"/>
                <w:rFonts w:hint="eastAsia" w:ascii="宋体" w:hAnsi="宋体"/>
                <w:color w:val="000000" w:themeColor="text1"/>
                <w:szCs w:val="21"/>
                <w:highlight w:val="none"/>
                <w14:textFill>
                  <w14:solidFill>
                    <w14:schemeClr w14:val="tx1"/>
                  </w14:solidFill>
                </w14:textFill>
              </w:rPr>
              <w:t>，提出合理化建议、拟定</w:t>
            </w:r>
            <w:r>
              <w:rPr>
                <w:rStyle w:val="56"/>
                <w:rFonts w:ascii="宋体" w:hAnsi="宋体"/>
                <w:color w:val="000000" w:themeColor="text1"/>
                <w:szCs w:val="21"/>
                <w:highlight w:val="none"/>
                <w14:textFill>
                  <w14:solidFill>
                    <w14:schemeClr w14:val="tx1"/>
                  </w14:solidFill>
                </w14:textFill>
              </w:rPr>
              <w:t>成本管控</w:t>
            </w:r>
            <w:r>
              <w:rPr>
                <w:rStyle w:val="56"/>
                <w:rFonts w:hint="eastAsia" w:ascii="宋体" w:hAnsi="宋体"/>
                <w:color w:val="000000" w:themeColor="text1"/>
                <w:szCs w:val="21"/>
                <w:highlight w:val="none"/>
                <w14:textFill>
                  <w14:solidFill>
                    <w14:schemeClr w14:val="tx1"/>
                  </w14:solidFill>
                </w14:textFill>
              </w:rPr>
              <w:t>的方案和切实可行的；优得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55D5D9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40B47588">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.2.4（2）</w:t>
            </w:r>
          </w:p>
        </w:tc>
        <w:tc>
          <w:tcPr>
            <w:tcW w:w="852" w:type="dxa"/>
            <w:vAlign w:val="center"/>
          </w:tcPr>
          <w:p w14:paraId="660DAC82">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r>
              <w:rPr>
                <w:rFonts w:hint="eastAsia" w:ascii="宋体" w:hAnsi="宋体"/>
                <w:color w:val="000000" w:themeColor="text1"/>
                <w:highlight w:val="none"/>
                <w14:textFill>
                  <w14:solidFill>
                    <w14:schemeClr w14:val="tx1"/>
                  </w14:solidFill>
                </w14:textFill>
              </w:rPr>
              <w:t>评分（</w:t>
            </w:r>
            <w:r>
              <w:rPr>
                <w:rFonts w:ascii="宋体" w:hAnsi="宋体"/>
                <w:color w:val="000000" w:themeColor="text1"/>
                <w:highlight w:val="none"/>
                <w14:textFill>
                  <w14:solidFill>
                    <w14:schemeClr w14:val="tx1"/>
                  </w14:solidFill>
                </w14:textFill>
              </w:rPr>
              <w:t>B</w:t>
            </w:r>
            <w:r>
              <w:rPr>
                <w:rFonts w:hint="eastAsia" w:ascii="宋体" w:hAnsi="宋体"/>
                <w:color w:val="000000" w:themeColor="text1"/>
                <w:highlight w:val="none"/>
                <w14:textFill>
                  <w14:solidFill>
                    <w14:schemeClr w14:val="tx1"/>
                  </w14:solidFill>
                </w14:textFill>
              </w:rPr>
              <w:t>）标准</w:t>
            </w:r>
          </w:p>
        </w:tc>
        <w:tc>
          <w:tcPr>
            <w:tcW w:w="2587" w:type="dxa"/>
            <w:tcBorders>
              <w:top w:val="single" w:color="auto" w:sz="4" w:space="0"/>
              <w:bottom w:val="single" w:color="auto" w:sz="4" w:space="0"/>
            </w:tcBorders>
            <w:vAlign w:val="center"/>
          </w:tcPr>
          <w:p w14:paraId="359FE9B8">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p>
        </w:tc>
        <w:tc>
          <w:tcPr>
            <w:tcW w:w="5738" w:type="dxa"/>
            <w:vAlign w:val="center"/>
          </w:tcPr>
          <w:p w14:paraId="386DDDB1">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所有通过初步评审和本章第2.2.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）目评审合格的竞选人，投标总报价得本附表第2.2.1项规定分值的满分。</w:t>
            </w:r>
            <w:r>
              <w:rPr>
                <w:rFonts w:ascii="宋体" w:hAnsi="宋体"/>
                <w:color w:val="000000" w:themeColor="text1"/>
                <w:highlight w:val="none"/>
                <w14:textFill>
                  <w14:solidFill>
                    <w14:schemeClr w14:val="tx1"/>
                  </w14:solidFill>
                </w14:textFill>
              </w:rPr>
              <w:t>在此基础上，</w:t>
            </w:r>
            <w:r>
              <w:rPr>
                <w:color w:val="000000" w:themeColor="text1"/>
                <w:highlight w:val="none"/>
                <w14:textFill>
                  <w14:solidFill>
                    <w14:schemeClr w14:val="tx1"/>
                  </w14:solidFill>
                </w14:textFill>
              </w:rPr>
              <w:t>投标总报价与评标基准价相比，每增加1%扣</w:t>
            </w:r>
            <w:r>
              <w:rPr>
                <w:rFonts w:hint="eastAsia"/>
                <w:color w:val="000000" w:themeColor="text1"/>
                <w:highlight w:val="none"/>
                <w:u w:val="single"/>
                <w:lang w:val="en-US" w:eastAsia="zh-CN"/>
                <w14:textFill>
                  <w14:solidFill>
                    <w14:schemeClr w14:val="tx1"/>
                  </w14:solidFill>
                </w14:textFill>
              </w:rPr>
              <w:t xml:space="preserve">0.5 </w:t>
            </w:r>
            <w:r>
              <w:rPr>
                <w:color w:val="000000" w:themeColor="text1"/>
                <w:highlight w:val="none"/>
                <w14:textFill>
                  <w14:solidFill>
                    <w14:schemeClr w14:val="tx1"/>
                  </w14:solidFill>
                </w14:textFill>
              </w:rPr>
              <w:t>分，每减少1%扣</w:t>
            </w:r>
            <w:r>
              <w:rPr>
                <w:rFonts w:hint="eastAsia"/>
                <w:color w:val="000000" w:themeColor="text1"/>
                <w:highlight w:val="none"/>
                <w:u w:val="single"/>
                <w:lang w:val="en-US" w:eastAsia="zh-CN"/>
                <w14:textFill>
                  <w14:solidFill>
                    <w14:schemeClr w14:val="tx1"/>
                  </w14:solidFill>
                </w14:textFill>
              </w:rPr>
              <w:t>0.25</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最多扣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5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w:t>
            </w:r>
          </w:p>
          <w:p w14:paraId="76D6563F">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按插入法计算得分。</w:t>
            </w:r>
          </w:p>
          <w:p w14:paraId="17B7ABA5">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未参与评标基准价计算的投标</w:t>
            </w:r>
            <w:r>
              <w:rPr>
                <w:rFonts w:hint="eastAsia" w:ascii="宋体" w:hAnsi="宋体"/>
                <w:color w:val="000000" w:themeColor="text1"/>
                <w:highlight w:val="none"/>
                <w14:textFill>
                  <w14:solidFill>
                    <w14:schemeClr w14:val="tx1"/>
                  </w14:solidFill>
                </w14:textFill>
              </w:rPr>
              <w:t>总</w:t>
            </w:r>
            <w:r>
              <w:rPr>
                <w:rFonts w:ascii="宋体" w:hAnsi="宋体"/>
                <w:color w:val="000000" w:themeColor="text1"/>
                <w:highlight w:val="none"/>
                <w14:textFill>
                  <w14:solidFill>
                    <w14:schemeClr w14:val="tx1"/>
                  </w14:solidFill>
                </w14:textFill>
              </w:rPr>
              <w:t>报价，仍应参加计算相应分值。</w:t>
            </w:r>
          </w:p>
          <w:p w14:paraId="7C409D0C">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投标总报价得分最终结果</w:t>
            </w:r>
            <w:r>
              <w:rPr>
                <w:rFonts w:ascii="宋体" w:hAnsi="宋体"/>
                <w:color w:val="000000" w:themeColor="text1"/>
                <w:highlight w:val="none"/>
                <w14:textFill>
                  <w14:solidFill>
                    <w14:schemeClr w14:val="tx1"/>
                  </w14:solidFill>
                </w14:textFill>
              </w:rPr>
              <w:t>取小数点后两位，第三位四舍五入。</w:t>
            </w:r>
          </w:p>
        </w:tc>
      </w:tr>
      <w:tr w14:paraId="7176BE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8129F9E">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87" w:type="dxa"/>
            <w:tcBorders>
              <w:top w:val="single" w:color="auto" w:sz="4" w:space="0"/>
              <w:bottom w:val="single" w:color="auto" w:sz="4" w:space="0"/>
            </w:tcBorders>
            <w:vAlign w:val="center"/>
          </w:tcPr>
          <w:p w14:paraId="4D821EB4">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5738" w:type="dxa"/>
            <w:vAlign w:val="center"/>
          </w:tcPr>
          <w:p w14:paraId="13E0C2F9">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1.按本章评标办法第3.1款进行初步评审。未通过初步评审或评标委员会认定为无效的竞选文件的不再进行后续评审。</w:t>
            </w:r>
          </w:p>
          <w:p w14:paraId="30A48D4B">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14:paraId="33CD50FC">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14:paraId="66A8AC1C">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.经评审合格的竞选人按照本章第2.2.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14:paraId="6FDFA2D5">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.对技术部分、投标报价得分进行汇总，确定得分由高至低前三名竞选人为中标候选人。</w:t>
            </w:r>
          </w:p>
        </w:tc>
      </w:tr>
      <w:tr w14:paraId="7983E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7375A315">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3.2.3</w:t>
            </w:r>
          </w:p>
        </w:tc>
        <w:tc>
          <w:tcPr>
            <w:tcW w:w="2587" w:type="dxa"/>
            <w:tcBorders>
              <w:top w:val="single" w:color="auto" w:sz="4" w:space="0"/>
              <w:bottom w:val="single" w:color="auto" w:sz="4" w:space="0"/>
            </w:tcBorders>
            <w:vAlign w:val="center"/>
          </w:tcPr>
          <w:p w14:paraId="02FE6454">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p>
        </w:tc>
        <w:tc>
          <w:tcPr>
            <w:tcW w:w="5738" w:type="dxa"/>
            <w:vAlign w:val="center"/>
          </w:tcPr>
          <w:p w14:paraId="745B9C31">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r>
              <w:rPr>
                <w:rFonts w:hint="eastAsia" w:ascii="宋体" w:hAnsi="宋体"/>
                <w:color w:val="000000" w:themeColor="text1"/>
                <w:kern w:val="0"/>
                <w:szCs w:val="21"/>
                <w:highlight w:val="none"/>
                <w14:textFill>
                  <w14:solidFill>
                    <w14:schemeClr w14:val="tx1"/>
                  </w14:solidFill>
                </w14:textFill>
              </w:rPr>
              <w:t>A+</w:t>
            </w:r>
            <w:r>
              <w:rPr>
                <w:rFonts w:ascii="宋体" w:hAnsi="宋体"/>
                <w:color w:val="000000" w:themeColor="text1"/>
                <w:kern w:val="0"/>
                <w:szCs w:val="21"/>
                <w:highlight w:val="none"/>
                <w14:textFill>
                  <w14:solidFill>
                    <w14:schemeClr w14:val="tx1"/>
                  </w14:solidFill>
                </w14:textFill>
              </w:rPr>
              <w:t>B</w:t>
            </w:r>
          </w:p>
        </w:tc>
      </w:tr>
      <w:tr w14:paraId="68F740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5504901">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2587" w:type="dxa"/>
            <w:tcBorders>
              <w:top w:val="single" w:color="auto" w:sz="4" w:space="0"/>
            </w:tcBorders>
            <w:vAlign w:val="center"/>
          </w:tcPr>
          <w:p w14:paraId="040D94F1">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评标结果</w:t>
            </w:r>
          </w:p>
        </w:tc>
        <w:tc>
          <w:tcPr>
            <w:tcW w:w="5738" w:type="dxa"/>
            <w:vAlign w:val="center"/>
          </w:tcPr>
          <w:p w14:paraId="18179268">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3.4.1</w:t>
            </w:r>
            <w:r>
              <w:rPr>
                <w:rFonts w:ascii="宋体" w:hAnsi="宋体"/>
                <w:color w:val="000000" w:themeColor="text1"/>
                <w:highlight w:val="none"/>
                <w14:textFill>
                  <w14:solidFill>
                    <w14:schemeClr w14:val="tx1"/>
                  </w14:solidFill>
                </w14:textFill>
              </w:rPr>
              <w:t>除第二章“竞选人须知”前附表授权直接确定中选人外，评标委员会按照得分由高到低的顺序推荐中标候选人，并标明排序。</w:t>
            </w:r>
          </w:p>
          <w:p w14:paraId="5B5863BD">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3.4.2 评标委员会完成评标后，应当向招标人提交书面评标报告和中标候选人名单。</w:t>
            </w:r>
          </w:p>
        </w:tc>
      </w:tr>
    </w:tbl>
    <w:p w14:paraId="7066A5A3">
      <w:pPr>
        <w:pStyle w:val="3"/>
        <w:rPr>
          <w:rFonts w:hint="eastAsia" w:ascii="宋体" w:hAnsi="宋体"/>
          <w:b w:val="0"/>
          <w:snapToGrid w:val="0"/>
          <w:color w:val="000000" w:themeColor="text1"/>
          <w:highlight w:val="none"/>
          <w14:textFill>
            <w14:solidFill>
              <w14:schemeClr w14:val="tx1"/>
            </w14:solidFill>
          </w14:textFill>
        </w:rPr>
      </w:pPr>
      <w:bookmarkStart w:id="622" w:name="_Toc509218776"/>
      <w:r>
        <w:rPr>
          <w:rFonts w:ascii="宋体" w:hAnsi="宋体"/>
          <w:b w:val="0"/>
          <w:snapToGrid w:val="0"/>
          <w:color w:val="000000" w:themeColor="text1"/>
          <w:highlight w:val="none"/>
          <w14:textFill>
            <w14:solidFill>
              <w14:schemeClr w14:val="tx1"/>
            </w14:solidFill>
          </w14:textFill>
        </w:rPr>
        <w:br w:type="page"/>
      </w:r>
      <w:bookmarkStart w:id="623" w:name="_Toc2468"/>
      <w:bookmarkStart w:id="624" w:name="_Toc122515230"/>
      <w:r>
        <w:rPr>
          <w:rFonts w:ascii="宋体" w:hAnsi="宋体"/>
          <w:b w:val="0"/>
          <w:snapToGrid w:val="0"/>
          <w:color w:val="000000" w:themeColor="text1"/>
          <w:highlight w:val="none"/>
          <w14:textFill>
            <w14:solidFill>
              <w14:schemeClr w14:val="tx1"/>
            </w14:solidFill>
          </w14:textFill>
        </w:rPr>
        <w:t>1.  评标方法</w:t>
      </w:r>
      <w:bookmarkEnd w:id="622"/>
      <w:bookmarkEnd w:id="623"/>
      <w:bookmarkEnd w:id="624"/>
    </w:p>
    <w:p w14:paraId="2CED588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评标委员会对满足竞争性比选实质性要求的竞选文件，按照本章第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或根据招标人授权直接确定中选人。综合评分相等时，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rFonts w:ascii="宋体" w:hAnsi="宋体"/>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14:paraId="2868EAC3">
      <w:pPr>
        <w:pStyle w:val="3"/>
        <w:rPr>
          <w:rFonts w:hint="eastAsia" w:ascii="宋体" w:hAnsi="宋体"/>
          <w:b w:val="0"/>
          <w:snapToGrid w:val="0"/>
          <w:color w:val="000000" w:themeColor="text1"/>
          <w:highlight w:val="none"/>
          <w14:textFill>
            <w14:solidFill>
              <w14:schemeClr w14:val="tx1"/>
            </w14:solidFill>
          </w14:textFill>
        </w:rPr>
      </w:pPr>
      <w:bookmarkStart w:id="625" w:name="_Toc122515231"/>
      <w:bookmarkStart w:id="626" w:name="_Toc509218777"/>
      <w:bookmarkStart w:id="627" w:name="_Toc8451"/>
      <w:r>
        <w:rPr>
          <w:rFonts w:ascii="宋体" w:hAnsi="宋体"/>
          <w:b w:val="0"/>
          <w:snapToGrid w:val="0"/>
          <w:color w:val="000000" w:themeColor="text1"/>
          <w:highlight w:val="none"/>
          <w14:textFill>
            <w14:solidFill>
              <w14:schemeClr w14:val="tx1"/>
            </w14:solidFill>
          </w14:textFill>
        </w:rPr>
        <w:t>2.  评审标准</w:t>
      </w:r>
      <w:bookmarkEnd w:id="625"/>
      <w:bookmarkEnd w:id="626"/>
      <w:bookmarkEnd w:id="627"/>
    </w:p>
    <w:p w14:paraId="5C030086">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28" w:name="_Toc11473"/>
      <w:bookmarkStart w:id="629" w:name="_Toc122515232"/>
      <w:bookmarkStart w:id="630" w:name="_Toc509218778"/>
      <w:r>
        <w:rPr>
          <w:rFonts w:ascii="宋体" w:hAnsi="宋体"/>
          <w:b w:val="0"/>
          <w:snapToGrid w:val="0"/>
          <w:color w:val="000000" w:themeColor="text1"/>
          <w:szCs w:val="24"/>
          <w:highlight w:val="none"/>
          <w14:textFill>
            <w14:solidFill>
              <w14:schemeClr w14:val="tx1"/>
            </w14:solidFill>
          </w14:textFill>
        </w:rPr>
        <w:t>2.1  初步评审标准</w:t>
      </w:r>
      <w:bookmarkEnd w:id="628"/>
      <w:bookmarkEnd w:id="629"/>
      <w:bookmarkEnd w:id="630"/>
    </w:p>
    <w:p w14:paraId="7A37EBAB">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 xml:space="preserve">  资格评审标准：见评标办法前附表（适用于未进行资格预审的）。</w:t>
      </w:r>
    </w:p>
    <w:p w14:paraId="4E58FAE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14:paraId="469E4C7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14:paraId="41E7E47E">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31" w:name="_Toc122515233"/>
      <w:bookmarkStart w:id="632" w:name="_Toc509218779"/>
      <w:bookmarkStart w:id="633" w:name="_Toc21330"/>
      <w:r>
        <w:rPr>
          <w:rFonts w:ascii="宋体" w:hAnsi="宋体"/>
          <w:b w:val="0"/>
          <w:snapToGrid w:val="0"/>
          <w:color w:val="000000" w:themeColor="text1"/>
          <w:szCs w:val="24"/>
          <w:highlight w:val="none"/>
          <w14:textFill>
            <w14:solidFill>
              <w14:schemeClr w14:val="tx1"/>
            </w14:solidFill>
          </w14:textFill>
        </w:rPr>
        <w:t>2.2  分值构成与</w:t>
      </w:r>
      <w:r>
        <w:rPr>
          <w:rFonts w:hint="eastAsia" w:ascii="宋体" w:hAnsi="宋体"/>
          <w:b w:val="0"/>
          <w:snapToGrid w:val="0"/>
          <w:color w:val="000000" w:themeColor="text1"/>
          <w:szCs w:val="24"/>
          <w:highlight w:val="none"/>
          <w14:textFill>
            <w14:solidFill>
              <w14:schemeClr w14:val="tx1"/>
            </w14:solidFill>
          </w14:textFill>
        </w:rPr>
        <w:t>评审</w:t>
      </w:r>
      <w:r>
        <w:rPr>
          <w:rFonts w:ascii="宋体" w:hAnsi="宋体"/>
          <w:b w:val="0"/>
          <w:snapToGrid w:val="0"/>
          <w:color w:val="000000" w:themeColor="text1"/>
          <w:szCs w:val="24"/>
          <w:highlight w:val="none"/>
          <w14:textFill>
            <w14:solidFill>
              <w14:schemeClr w14:val="tx1"/>
            </w14:solidFill>
          </w14:textFill>
        </w:rPr>
        <w:t>标准</w:t>
      </w:r>
      <w:bookmarkEnd w:id="631"/>
      <w:bookmarkEnd w:id="632"/>
      <w:bookmarkEnd w:id="633"/>
    </w:p>
    <w:p w14:paraId="78359441">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14:paraId="3A8583B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2F19DD5E">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14:paraId="0E4E1E3E">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14:paraId="65EAE1C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14:paraId="7EE3698C">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 投标报价的偏差率计算</w:t>
      </w:r>
    </w:p>
    <w:p w14:paraId="7555282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14:paraId="5EF2499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14:paraId="0FFE159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14:paraId="218E7B93">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14:paraId="722781B4">
      <w:pPr>
        <w:pStyle w:val="3"/>
        <w:rPr>
          <w:rFonts w:hint="eastAsia" w:ascii="宋体" w:hAnsi="宋体"/>
          <w:b w:val="0"/>
          <w:snapToGrid w:val="0"/>
          <w:color w:val="000000" w:themeColor="text1"/>
          <w:highlight w:val="none"/>
          <w14:textFill>
            <w14:solidFill>
              <w14:schemeClr w14:val="tx1"/>
            </w14:solidFill>
          </w14:textFill>
        </w:rPr>
      </w:pPr>
      <w:bookmarkStart w:id="634" w:name="_Toc122515234"/>
      <w:bookmarkStart w:id="635" w:name="_Toc765"/>
      <w:bookmarkStart w:id="636" w:name="_Toc509218780"/>
      <w:r>
        <w:rPr>
          <w:rFonts w:ascii="宋体" w:hAnsi="宋体"/>
          <w:b w:val="0"/>
          <w:snapToGrid w:val="0"/>
          <w:color w:val="000000" w:themeColor="text1"/>
          <w:highlight w:val="none"/>
          <w14:textFill>
            <w14:solidFill>
              <w14:schemeClr w14:val="tx1"/>
            </w14:solidFill>
          </w14:textFill>
        </w:rPr>
        <w:t>3.  评标程序</w:t>
      </w:r>
      <w:bookmarkEnd w:id="634"/>
      <w:bookmarkEnd w:id="635"/>
      <w:bookmarkEnd w:id="636"/>
    </w:p>
    <w:p w14:paraId="70A7C548">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37" w:name="_Toc18340"/>
      <w:bookmarkStart w:id="638" w:name="_Toc122515235"/>
      <w:bookmarkStart w:id="639" w:name="_Toc509218781"/>
      <w:r>
        <w:rPr>
          <w:rFonts w:ascii="宋体" w:hAnsi="宋体"/>
          <w:b w:val="0"/>
          <w:snapToGrid w:val="0"/>
          <w:color w:val="000000" w:themeColor="text1"/>
          <w:szCs w:val="24"/>
          <w:highlight w:val="none"/>
          <w14:textFill>
            <w14:solidFill>
              <w14:schemeClr w14:val="tx1"/>
            </w14:solidFill>
          </w14:textFill>
        </w:rPr>
        <w:t>3.1  初步评审</w:t>
      </w:r>
      <w:bookmarkEnd w:id="637"/>
      <w:bookmarkEnd w:id="638"/>
      <w:bookmarkEnd w:id="639"/>
    </w:p>
    <w:p w14:paraId="6F4854C3">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款规定的标准对竞选文件进行初步评审。有一项不符合评审标准的，作否决投标处理。（适用于未进行资格预审的）</w:t>
      </w:r>
    </w:p>
    <w:p w14:paraId="44E8B58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评标委员会依据本章第2.1.2项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14:paraId="2E89ADA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  竞选人有以下情形之一的，其投标作否决投标处理：</w:t>
      </w:r>
    </w:p>
    <w:p w14:paraId="72D89C5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14:paraId="7AF19A6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14:paraId="21BE410F">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投标报价有算术错误及其他错误的，评标委员会按以下原则要求竞选人对投标报价进行修正，并要求竞选人书面澄清确认。竞选人拒不澄清确认的，评标委员会应当否决其投标：</w:t>
      </w:r>
    </w:p>
    <w:p w14:paraId="1AD2A0D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（1）竞选文件中的大写金额与小写金额不一致的，以大写金额为准；</w:t>
      </w:r>
    </w:p>
    <w:p w14:paraId="1D71EB8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640" w:name="_Toc509218782"/>
      <w:bookmarkStart w:id="641" w:name="_Toc1832"/>
      <w:r>
        <w:rPr>
          <w:rFonts w:hint="eastAsia" w:ascii="宋体" w:hAnsi="宋体"/>
          <w:color w:val="000000" w:themeColor="text1"/>
          <w:szCs w:val="21"/>
          <w:highlight w:val="none"/>
          <w14:textFill>
            <w14:solidFill>
              <w14:schemeClr w14:val="tx1"/>
            </w14:solidFill>
          </w14:textFill>
        </w:rPr>
        <w:t>（2）竞选文件中用数字表示的数额与用文字表示的数额不一致时，以文字数额为准；</w:t>
      </w:r>
    </w:p>
    <w:p w14:paraId="3666023F">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2" w:name="_Toc122515236"/>
      <w:r>
        <w:rPr>
          <w:rFonts w:ascii="宋体" w:hAnsi="宋体"/>
          <w:b w:val="0"/>
          <w:snapToGrid w:val="0"/>
          <w:color w:val="000000" w:themeColor="text1"/>
          <w:szCs w:val="24"/>
          <w:highlight w:val="none"/>
          <w14:textFill>
            <w14:solidFill>
              <w14:schemeClr w14:val="tx1"/>
            </w14:solidFill>
          </w14:textFill>
        </w:rPr>
        <w:t>3.2  详细评审</w:t>
      </w:r>
      <w:bookmarkEnd w:id="640"/>
      <w:bookmarkEnd w:id="641"/>
      <w:bookmarkEnd w:id="642"/>
    </w:p>
    <w:p w14:paraId="0271010F">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14:paraId="44424B9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14:paraId="3E5A5046">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）按本章第 2.2.4（2）目规定的评审因素和分值对投标报价计算出得分 B；</w:t>
      </w:r>
    </w:p>
    <w:p w14:paraId="29C6604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14:paraId="3A693FC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  竞选人得分=A</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w:t>
      </w:r>
      <w:r>
        <w:rPr>
          <w:rFonts w:hint="eastAsia" w:ascii="宋体" w:hAnsi="宋体"/>
          <w:color w:val="000000" w:themeColor="text1"/>
          <w:kern w:val="0"/>
          <w:szCs w:val="21"/>
          <w:highlight w:val="none"/>
          <w14:textFill>
            <w14:solidFill>
              <w14:schemeClr w14:val="tx1"/>
            </w14:solidFill>
          </w14:textFill>
        </w:rPr>
        <w:t>。</w:t>
      </w:r>
    </w:p>
    <w:p w14:paraId="72C01B37">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3" w:name="_Toc509218783"/>
      <w:bookmarkStart w:id="644" w:name="_Toc122515237"/>
      <w:bookmarkStart w:id="645" w:name="_Toc18143"/>
      <w:r>
        <w:rPr>
          <w:rFonts w:ascii="宋体" w:hAnsi="宋体"/>
          <w:b w:val="0"/>
          <w:snapToGrid w:val="0"/>
          <w:color w:val="000000" w:themeColor="text1"/>
          <w:szCs w:val="24"/>
          <w:highlight w:val="none"/>
          <w14:textFill>
            <w14:solidFill>
              <w14:schemeClr w14:val="tx1"/>
            </w14:solidFill>
          </w14:textFill>
        </w:rPr>
        <w:t>3.3  竞选文件的澄清</w:t>
      </w:r>
      <w:bookmarkEnd w:id="643"/>
      <w:bookmarkEnd w:id="644"/>
      <w:bookmarkEnd w:id="645"/>
    </w:p>
    <w:p w14:paraId="4EE1051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bookmarkStart w:id="646"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在评标过程中，评标委员会可以书面形式要求竞选人对所提交竞选文件中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含义不明确、对同类问题表述不一致或者有明显文字和计算错误的内容作必要的澄清、说明或补正。澄清、说明或补正应以书面方式进行。评标委员会不接受竞选人主动提出的澄清、说明或补正。</w:t>
      </w:r>
    </w:p>
    <w:p w14:paraId="298D23CA">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澄清、说明或补正不得超出竞选文件的范围且不得改变竞选文件的实质性内容，并构成竞选文件的组成部分。</w:t>
      </w:r>
    </w:p>
    <w:p w14:paraId="26A2CD75">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评标委员会对竞选人提交的澄清、说明或补正有疑问的，可以要求竞选人进一步澄清、说明或补正，直至满足评标委员会的要求。</w:t>
      </w:r>
      <w:bookmarkEnd w:id="646"/>
    </w:p>
    <w:p w14:paraId="4EB0C982">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7" w:name="_Toc122515238"/>
      <w:bookmarkStart w:id="648" w:name="_Toc509218784"/>
      <w:bookmarkStart w:id="649" w:name="_Toc22756"/>
      <w:r>
        <w:rPr>
          <w:rFonts w:ascii="宋体" w:hAnsi="宋体"/>
          <w:b w:val="0"/>
          <w:snapToGrid w:val="0"/>
          <w:color w:val="000000" w:themeColor="text1"/>
          <w:szCs w:val="24"/>
          <w:highlight w:val="none"/>
          <w14:textFill>
            <w14:solidFill>
              <w14:schemeClr w14:val="tx1"/>
            </w14:solidFill>
          </w14:textFill>
        </w:rPr>
        <w:t>3.4  评标结果</w:t>
      </w:r>
      <w:bookmarkEnd w:id="647"/>
      <w:bookmarkEnd w:id="648"/>
      <w:bookmarkEnd w:id="649"/>
    </w:p>
    <w:p w14:paraId="6F2F6F6B">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 除第二章“竞选人须知”前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确定中选人外，评标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14:paraId="09D24AFE">
      <w:pPr>
        <w:autoSpaceDE w:val="0"/>
        <w:autoSpaceDN w:val="0"/>
        <w:adjustRightInd w:val="0"/>
        <w:snapToGrid w:val="0"/>
        <w:spacing w:line="360" w:lineRule="auto"/>
        <w:ind w:firstLine="424" w:firstLineChars="200"/>
        <w:rPr>
          <w:rFonts w:hint="eastAsia"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评标委员会完成评标后，应当向招标人提交书面评标报告和中标候选人名单。</w:t>
      </w:r>
    </w:p>
    <w:p w14:paraId="6393B422">
      <w:pPr>
        <w:pStyle w:val="8"/>
        <w:rPr>
          <w:rFonts w:hint="eastAsia" w:ascii="宋体" w:hAnsi="宋体"/>
          <w:color w:val="000000" w:themeColor="text1"/>
          <w:highlight w:val="none"/>
          <w14:textFill>
            <w14:solidFill>
              <w14:schemeClr w14:val="tx1"/>
            </w14:solidFill>
          </w14:textFill>
        </w:rPr>
      </w:pPr>
    </w:p>
    <w:p w14:paraId="34726F98">
      <w:pPr>
        <w:spacing w:line="400" w:lineRule="atLeast"/>
        <w:rPr>
          <w:rFonts w:hint="eastAsia" w:ascii="宋体" w:hAnsi="宋体"/>
          <w:color w:val="000000" w:themeColor="text1"/>
          <w:szCs w:val="20"/>
          <w:highlight w:val="none"/>
          <w14:textFill>
            <w14:solidFill>
              <w14:schemeClr w14:val="tx1"/>
            </w14:solidFill>
          </w14:textFill>
        </w:rPr>
      </w:pPr>
      <w:r>
        <w:rPr>
          <w:rFonts w:hint="eastAsia" w:ascii="宋体" w:hAnsi="宋体"/>
          <w:color w:val="000000" w:themeColor="text1"/>
          <w:kern w:val="0"/>
          <w:sz w:val="20"/>
          <w:szCs w:val="20"/>
          <w:highlight w:val="none"/>
          <w14:textFill>
            <w14:solidFill>
              <w14:schemeClr w14:val="tx1"/>
            </w14:solidFill>
          </w14:textFill>
        </w:rPr>
        <w:br w:type="page"/>
      </w:r>
      <w:r>
        <w:rPr>
          <w:rFonts w:hint="eastAsia" w:ascii="宋体" w:hAnsi="宋体"/>
          <w:color w:val="000000" w:themeColor="text1"/>
          <w:szCs w:val="20"/>
          <w:highlight w:val="none"/>
          <w14:textFill>
            <w14:solidFill>
              <w14:schemeClr w14:val="tx1"/>
            </w14:solidFill>
          </w14:textFill>
        </w:rPr>
        <w:t>附件A：否决竞选条件</w:t>
      </w:r>
    </w:p>
    <w:p w14:paraId="252FDBA2">
      <w:pPr>
        <w:pStyle w:val="21"/>
        <w:spacing w:line="360" w:lineRule="auto"/>
        <w:rPr>
          <w:rFonts w:hint="eastAsia" w:ascii="宋体" w:hAnsi="宋体"/>
          <w:color w:val="000000" w:themeColor="text1"/>
          <w:sz w:val="28"/>
          <w:szCs w:val="28"/>
          <w:highlight w:val="none"/>
          <w:lang w:eastAsia="zh-CN"/>
          <w14:textFill>
            <w14:solidFill>
              <w14:schemeClr w14:val="tx1"/>
            </w14:solidFill>
          </w14:textFill>
        </w:rPr>
      </w:pPr>
      <w:bookmarkStart w:id="650" w:name="招标文件03章02评标办法综合评估法02附件02"/>
      <w:bookmarkEnd w:id="650"/>
      <w:bookmarkStart w:id="651" w:name="招标文件04章合同条款及格式"/>
      <w:bookmarkEnd w:id="651"/>
      <w:bookmarkStart w:id="652" w:name="_Toc230410480"/>
      <w:bookmarkStart w:id="653" w:name="_Toc277082627"/>
      <w:r>
        <w:rPr>
          <w:rFonts w:hint="eastAsia" w:ascii="宋体" w:hAnsi="宋体"/>
          <w:color w:val="000000" w:themeColor="text1"/>
          <w:sz w:val="28"/>
          <w:szCs w:val="28"/>
          <w:highlight w:val="none"/>
          <w:lang w:eastAsia="zh-CN"/>
          <w14:textFill>
            <w14:solidFill>
              <w14:schemeClr w14:val="tx1"/>
            </w14:solidFill>
          </w14:textFill>
        </w:rPr>
        <w:t>附件A：综合评估法否决竞选情况一览表</w:t>
      </w:r>
      <w:bookmarkEnd w:id="652"/>
    </w:p>
    <w:p w14:paraId="38099F48">
      <w:pPr>
        <w:pStyle w:val="21"/>
        <w:spacing w:line="360" w:lineRule="auto"/>
        <w:jc w:val="both"/>
        <w:rPr>
          <w:rFonts w:hint="eastAsia" w:ascii="宋体" w:hAnsi="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一览表否决竞选条件之外的评选委员会不得判为重大偏差。</w:t>
      </w:r>
    </w:p>
    <w:tbl>
      <w:tblPr>
        <w:tblStyle w:val="29"/>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14:paraId="00F4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14:paraId="6430674B">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2FF795CB">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14:paraId="483A55A7">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否决竞选条件</w:t>
            </w:r>
          </w:p>
        </w:tc>
      </w:tr>
      <w:tr w14:paraId="0627D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72C5B5B">
            <w:pPr>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BB99EB6">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14:paraId="6B0A533A">
            <w:pPr>
              <w:autoSpaceDE w:val="0"/>
              <w:autoSpaceDN w:val="0"/>
              <w:adjustRightInd w:val="0"/>
              <w:spacing w:line="360" w:lineRule="auto"/>
              <w:ind w:firstLine="415" w:firstLineChars="198"/>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只要有一条不满足比选文件第二章竞选人须知前附表要求即为否决竞选。</w:t>
            </w:r>
          </w:p>
        </w:tc>
      </w:tr>
      <w:tr w14:paraId="7EDD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0929355">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522B07FB">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14:paraId="57DE1BC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各竞选人所填报的竞选报价不得超过最高限价，否则将作否决竞选处理。</w:t>
            </w:r>
          </w:p>
        </w:tc>
      </w:tr>
      <w:tr w14:paraId="5D24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09BADBFA">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095BB8B">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14:paraId="6B48A666">
            <w:pPr>
              <w:autoSpaceDE w:val="0"/>
              <w:autoSpaceDN w:val="0"/>
              <w:adjustRightInd w:val="0"/>
              <w:spacing w:line="360" w:lineRule="auto"/>
              <w:ind w:firstLine="415" w:firstLineChars="198"/>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14:paraId="0536B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5E72A03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E7A46AF">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14:paraId="63F69172">
            <w:pPr>
              <w:autoSpaceDE w:val="0"/>
              <w:autoSpaceDN w:val="0"/>
              <w:adjustRightInd w:val="0"/>
              <w:spacing w:line="360" w:lineRule="auto"/>
              <w:ind w:firstLine="415" w:firstLineChars="19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14:paraId="17DCA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14:paraId="1EE0CF93">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14:paraId="318807F4">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初步评审</w:t>
            </w:r>
          </w:p>
        </w:tc>
        <w:tc>
          <w:tcPr>
            <w:tcW w:w="6376" w:type="dxa"/>
            <w:tcBorders>
              <w:top w:val="single" w:color="000000" w:sz="4" w:space="0"/>
              <w:left w:val="single" w:color="000000" w:sz="4" w:space="0"/>
              <w:bottom w:val="single" w:color="000000" w:sz="4" w:space="0"/>
              <w:right w:val="single" w:color="000000" w:sz="4" w:space="0"/>
            </w:tcBorders>
          </w:tcPr>
          <w:p w14:paraId="4AA5F568">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竞选人有以下情形之一的，</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委员会应当否决其竞选：</w:t>
            </w:r>
          </w:p>
          <w:p w14:paraId="5BC4617C">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竞选文件没有对比选文件的实质性要求和条件作出响应，或者对比选文件的偏差超出比选文件规定的偏差范围；</w:t>
            </w:r>
          </w:p>
        </w:tc>
      </w:tr>
      <w:tr w14:paraId="5F4E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0847CECE">
            <w:pPr>
              <w:widowControl/>
              <w:jc w:val="left"/>
              <w:rPr>
                <w:rFonts w:hint="eastAsia"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45D55DBF">
            <w:pPr>
              <w:widowControl/>
              <w:jc w:val="left"/>
              <w:rPr>
                <w:rFonts w:hint="eastAsia"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257A48F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竞选报价有算术错误的，评选委员会按以下原则对竞选报价进行修正，修正的价格经竞选人书面确认后具有约束力。竞选人不接受修正价格的，其竞选作无效竞选处理。</w:t>
            </w:r>
          </w:p>
        </w:tc>
      </w:tr>
      <w:tr w14:paraId="5925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55BE9892">
            <w:pPr>
              <w:widowControl/>
              <w:jc w:val="left"/>
              <w:rPr>
                <w:rFonts w:hint="eastAsia"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0BF008FC">
            <w:pPr>
              <w:widowControl/>
              <w:jc w:val="left"/>
              <w:rPr>
                <w:rFonts w:hint="eastAsia"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12956D43">
            <w:pPr>
              <w:autoSpaceDE w:val="0"/>
              <w:autoSpaceDN w:val="0"/>
              <w:adjustRightInd w:val="0"/>
              <w:snapToGrid w:val="0"/>
              <w:spacing w:line="360" w:lineRule="auto"/>
              <w:ind w:firstLine="420" w:firstLineChars="20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竞选人有以下情形之一的，其竞选作否决竞选处理：</w:t>
            </w:r>
          </w:p>
          <w:p w14:paraId="098D6249">
            <w:pPr>
              <w:autoSpaceDE w:val="0"/>
              <w:autoSpaceDN w:val="0"/>
              <w:adjustRightInd w:val="0"/>
              <w:snapToGrid w:val="0"/>
              <w:spacing w:line="360" w:lineRule="auto"/>
              <w:ind w:firstLine="315" w:firstLineChars="15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hint="eastAsia" w:ascii="宋体" w:hAnsi="宋体" w:cs="MingLiU"/>
                <w:color w:val="000000" w:themeColor="text1"/>
                <w:kern w:val="0"/>
                <w:szCs w:val="21"/>
                <w:highlight w:val="none"/>
                <w14:textFill>
                  <w14:solidFill>
                    <w14:schemeClr w14:val="tx1"/>
                  </w14:solidFill>
                </w14:textFill>
              </w:rPr>
              <w:t>）第二</w:t>
            </w:r>
            <w:r>
              <w:rPr>
                <w:rFonts w:hint="eastAsia" w:ascii="宋体" w:hAnsi="宋体" w:cs="MingLiU"/>
                <w:color w:val="000000" w:themeColor="text1"/>
                <w:spacing w:val="-1"/>
                <w:kern w:val="0"/>
                <w:szCs w:val="21"/>
                <w:highlight w:val="none"/>
                <w14:textFill>
                  <w14:solidFill>
                    <w14:schemeClr w14:val="tx1"/>
                  </w14:solidFill>
                </w14:textFill>
              </w:rPr>
              <w:t>章</w:t>
            </w:r>
            <w:r>
              <w:rPr>
                <w:rFonts w:hint="eastAsia" w:ascii="宋体" w:hAnsi="宋体" w:cs="MingLiU"/>
                <w:color w:val="000000" w:themeColor="text1"/>
                <w:kern w:val="0"/>
                <w:szCs w:val="21"/>
                <w:highlight w:val="none"/>
                <w14:textFill>
                  <w14:solidFill>
                    <w14:schemeClr w14:val="tx1"/>
                  </w14:solidFill>
                </w14:textFill>
              </w:rPr>
              <w:t>“竞选人须知前附表”规定的任何一种情形的；</w:t>
            </w:r>
          </w:p>
          <w:p w14:paraId="10002DD0">
            <w:pPr>
              <w:autoSpaceDE w:val="0"/>
              <w:autoSpaceDN w:val="0"/>
              <w:adjustRightInd w:val="0"/>
              <w:snapToGrid w:val="0"/>
              <w:spacing w:line="360" w:lineRule="auto"/>
              <w:ind w:firstLine="315" w:firstLineChars="15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hint="eastAsia" w:ascii="宋体" w:hAnsi="宋体" w:cs="MingLiU"/>
                <w:color w:val="000000" w:themeColor="text1"/>
                <w:kern w:val="0"/>
                <w:szCs w:val="21"/>
                <w:highlight w:val="none"/>
                <w14:textFill>
                  <w14:solidFill>
                    <w14:schemeClr w14:val="tx1"/>
                  </w14:solidFill>
                </w14:textFill>
              </w:rPr>
              <w:t>）串通</w:t>
            </w:r>
            <w:r>
              <w:rPr>
                <w:rFonts w:hint="eastAsia" w:ascii="宋体" w:hAnsi="宋体" w:cs="MingLiU"/>
                <w:color w:val="000000" w:themeColor="text1"/>
                <w:spacing w:val="-1"/>
                <w:kern w:val="0"/>
                <w:szCs w:val="2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或弄虚作假或有其他违法行为的；</w:t>
            </w:r>
          </w:p>
          <w:p w14:paraId="71EA4D3D">
            <w:pPr>
              <w:spacing w:line="360" w:lineRule="auto"/>
              <w:ind w:firstLine="315" w:firstLineChars="150"/>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3</w:t>
            </w:r>
            <w:r>
              <w:rPr>
                <w:rFonts w:hint="eastAsia" w:ascii="宋体" w:hAnsi="宋体" w:cs="MingLiU"/>
                <w:color w:val="000000" w:themeColor="text1"/>
                <w:kern w:val="0"/>
                <w:szCs w:val="21"/>
                <w:highlight w:val="none"/>
                <w14:textFill>
                  <w14:solidFill>
                    <w14:schemeClr w14:val="tx1"/>
                  </w14:solidFill>
                </w14:textFill>
              </w:rPr>
              <w:t>）不按</w:t>
            </w:r>
            <w:r>
              <w:rPr>
                <w:rFonts w:hint="eastAsia" w:ascii="宋体" w:hAnsi="宋体" w:cs="MingLiU"/>
                <w:color w:val="000000" w:themeColor="text1"/>
                <w:spacing w:val="-1"/>
                <w:kern w:val="0"/>
                <w:szCs w:val="21"/>
                <w:highlight w:val="none"/>
                <w14:textFill>
                  <w14:solidFill>
                    <w14:schemeClr w14:val="tx1"/>
                  </w14:solidFill>
                </w14:textFill>
              </w:rPr>
              <w:t>评选</w:t>
            </w:r>
            <w:r>
              <w:rPr>
                <w:rFonts w:hint="eastAsia" w:ascii="宋体" w:hAnsi="宋体" w:cs="MingLiU"/>
                <w:color w:val="000000" w:themeColor="text1"/>
                <w:kern w:val="0"/>
                <w:szCs w:val="21"/>
                <w:highlight w:val="none"/>
                <w14:textFill>
                  <w14:solidFill>
                    <w14:schemeClr w14:val="tx1"/>
                  </w14:solidFill>
                </w14:textFill>
              </w:rPr>
              <w:t>委员会要求澄清、说明或补正的。</w:t>
            </w:r>
          </w:p>
          <w:p w14:paraId="44A224B5">
            <w:pPr>
              <w:spacing w:line="360" w:lineRule="auto"/>
              <w:ind w:firstLine="315" w:firstLineChars="150"/>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（4）恶意低价竞选的</w:t>
            </w:r>
          </w:p>
          <w:p w14:paraId="1B66FDDC">
            <w:pPr>
              <w:spacing w:line="360" w:lineRule="auto"/>
              <w:ind w:firstLine="315" w:firstLineChars="150"/>
              <w:rPr>
                <w:rFonts w:hint="eastAsia" w:ascii="宋体" w:hAnsi="宋体"/>
                <w:color w:val="000000" w:themeColor="text1"/>
                <w:sz w:val="18"/>
                <w:szCs w:val="18"/>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，其竞选作否决竞选处理。</w:t>
            </w:r>
          </w:p>
        </w:tc>
      </w:tr>
      <w:tr w14:paraId="5B2C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156C942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17D74F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详细评审</w:t>
            </w:r>
          </w:p>
        </w:tc>
        <w:tc>
          <w:tcPr>
            <w:tcW w:w="6376" w:type="dxa"/>
            <w:tcBorders>
              <w:top w:val="single" w:color="000000" w:sz="4" w:space="0"/>
              <w:left w:val="single" w:color="000000" w:sz="4" w:space="0"/>
              <w:bottom w:val="single" w:color="000000" w:sz="4" w:space="0"/>
              <w:right w:val="single" w:color="000000" w:sz="4" w:space="0"/>
            </w:tcBorders>
          </w:tcPr>
          <w:p w14:paraId="44FDE44D">
            <w:pPr>
              <w:autoSpaceDE w:val="0"/>
              <w:autoSpaceDN w:val="0"/>
              <w:adjustRightInd w:val="0"/>
              <w:snapToGrid w:val="0"/>
              <w:spacing w:line="360" w:lineRule="auto"/>
              <w:ind w:firstLine="420" w:firstLineChars="200"/>
              <w:jc w:val="left"/>
              <w:rPr>
                <w:rFonts w:hint="eastAsia" w:ascii="宋体" w:hAnsi="宋体" w:cs="MingLiU"/>
                <w:color w:val="000000" w:themeColor="text1"/>
                <w:kern w:val="0"/>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，其竞选作否决竞选处理。</w:t>
            </w:r>
          </w:p>
        </w:tc>
      </w:tr>
      <w:bookmarkEnd w:id="653"/>
    </w:tbl>
    <w:p w14:paraId="4CE1471E">
      <w:pPr>
        <w:pStyle w:val="2"/>
        <w:jc w:val="center"/>
        <w:rPr>
          <w:rFonts w:hint="eastAsia" w:ascii="宋体" w:hAnsi="宋体"/>
          <w:color w:val="000000" w:themeColor="text1"/>
          <w:sz w:val="21"/>
          <w:szCs w:val="21"/>
          <w:highlight w:val="none"/>
          <w14:textFill>
            <w14:solidFill>
              <w14:schemeClr w14:val="tx1"/>
            </w14:solidFill>
          </w14:textFill>
        </w:rPr>
      </w:pPr>
    </w:p>
    <w:p w14:paraId="7972253C">
      <w:pPr>
        <w:pStyle w:val="2"/>
        <w:jc w:val="center"/>
        <w:rPr>
          <w:rFonts w:hint="eastAsia" w:ascii="宋体" w:hAnsi="宋体"/>
          <w:color w:val="000000" w:themeColor="text1"/>
          <w:sz w:val="21"/>
          <w:szCs w:val="21"/>
          <w:highlight w:val="none"/>
          <w14:textFill>
            <w14:solidFill>
              <w14:schemeClr w14:val="tx1"/>
            </w14:solidFill>
          </w14:textFill>
        </w:rPr>
      </w:pPr>
    </w:p>
    <w:p w14:paraId="2B0B58BF">
      <w:pPr>
        <w:pStyle w:val="2"/>
        <w:jc w:val="center"/>
        <w:rPr>
          <w:rFonts w:hint="eastAsia" w:ascii="宋体" w:hAnsi="宋体"/>
          <w:color w:val="000000" w:themeColor="text1"/>
          <w:sz w:val="21"/>
          <w:szCs w:val="21"/>
          <w:highlight w:val="none"/>
          <w14:textFill>
            <w14:solidFill>
              <w14:schemeClr w14:val="tx1"/>
            </w14:solidFill>
          </w14:textFill>
        </w:rPr>
      </w:pPr>
    </w:p>
    <w:p w14:paraId="6D586B3B">
      <w:pPr>
        <w:pStyle w:val="2"/>
        <w:jc w:val="center"/>
        <w:rPr>
          <w:rFonts w:hint="eastAsia" w:ascii="宋体" w:hAnsi="宋体"/>
          <w:color w:val="000000" w:themeColor="text1"/>
          <w:sz w:val="21"/>
          <w:szCs w:val="21"/>
          <w:highlight w:val="none"/>
          <w14:textFill>
            <w14:solidFill>
              <w14:schemeClr w14:val="tx1"/>
            </w14:solidFill>
          </w14:textFill>
        </w:rPr>
      </w:pPr>
    </w:p>
    <w:p w14:paraId="74169A16">
      <w:pPr>
        <w:pStyle w:val="2"/>
        <w:jc w:val="center"/>
        <w:rPr>
          <w:rFonts w:hint="eastAsia" w:ascii="宋体" w:hAnsi="宋体"/>
          <w:color w:val="000000" w:themeColor="text1"/>
          <w:sz w:val="21"/>
          <w:szCs w:val="21"/>
          <w:highlight w:val="none"/>
          <w14:textFill>
            <w14:solidFill>
              <w14:schemeClr w14:val="tx1"/>
            </w14:solidFill>
          </w14:textFill>
        </w:rPr>
      </w:pPr>
    </w:p>
    <w:p w14:paraId="22222E50">
      <w:pPr>
        <w:pStyle w:val="2"/>
        <w:jc w:val="center"/>
        <w:rPr>
          <w:rFonts w:hint="eastAsia" w:ascii="宋体" w:hAnsi="宋体"/>
          <w:color w:val="000000" w:themeColor="text1"/>
          <w:sz w:val="21"/>
          <w:szCs w:val="21"/>
          <w:highlight w:val="none"/>
          <w14:textFill>
            <w14:solidFill>
              <w14:schemeClr w14:val="tx1"/>
            </w14:solidFill>
          </w14:textFill>
        </w:rPr>
      </w:pPr>
    </w:p>
    <w:p w14:paraId="14577155">
      <w:pPr>
        <w:pStyle w:val="2"/>
        <w:jc w:val="center"/>
        <w:rPr>
          <w:rFonts w:hint="eastAsia" w:ascii="宋体" w:hAnsi="宋体"/>
          <w:color w:val="000000" w:themeColor="text1"/>
          <w:sz w:val="21"/>
          <w:szCs w:val="21"/>
          <w:highlight w:val="none"/>
          <w14:textFill>
            <w14:solidFill>
              <w14:schemeClr w14:val="tx1"/>
            </w14:solidFill>
          </w14:textFill>
        </w:rPr>
      </w:pPr>
    </w:p>
    <w:p w14:paraId="79A37B2E">
      <w:pPr>
        <w:rPr>
          <w:rFonts w:hint="eastAsia" w:ascii="宋体" w:hAnsi="宋体"/>
          <w:color w:val="000000" w:themeColor="text1"/>
          <w:highlight w:val="none"/>
          <w14:textFill>
            <w14:solidFill>
              <w14:schemeClr w14:val="tx1"/>
            </w14:solidFill>
          </w14:textFill>
        </w:rPr>
      </w:pPr>
    </w:p>
    <w:p w14:paraId="0FB9817C">
      <w:pPr>
        <w:pStyle w:val="2"/>
        <w:jc w:val="center"/>
        <w:rPr>
          <w:rFonts w:hint="eastAsia" w:ascii="宋体" w:hAnsi="宋体"/>
          <w:color w:val="000000" w:themeColor="text1"/>
          <w:sz w:val="21"/>
          <w:szCs w:val="21"/>
          <w:highlight w:val="none"/>
          <w14:textFill>
            <w14:solidFill>
              <w14:schemeClr w14:val="tx1"/>
            </w14:solidFill>
          </w14:textFill>
        </w:rPr>
      </w:pPr>
    </w:p>
    <w:p w14:paraId="5AA92991">
      <w:pPr>
        <w:rPr>
          <w:rFonts w:hint="eastAsia" w:ascii="宋体" w:hAnsi="宋体"/>
          <w:color w:val="000000" w:themeColor="text1"/>
          <w:szCs w:val="21"/>
          <w:highlight w:val="none"/>
          <w14:textFill>
            <w14:solidFill>
              <w14:schemeClr w14:val="tx1"/>
            </w14:solidFill>
          </w14:textFill>
        </w:rPr>
      </w:pPr>
    </w:p>
    <w:p w14:paraId="26AC905F">
      <w:pPr>
        <w:pStyle w:val="8"/>
        <w:rPr>
          <w:rFonts w:hint="eastAsia" w:ascii="宋体" w:hAnsi="宋体"/>
          <w:color w:val="000000" w:themeColor="text1"/>
          <w:szCs w:val="21"/>
          <w:highlight w:val="none"/>
          <w14:textFill>
            <w14:solidFill>
              <w14:schemeClr w14:val="tx1"/>
            </w14:solidFill>
          </w14:textFill>
        </w:rPr>
      </w:pPr>
    </w:p>
    <w:p w14:paraId="452B472E">
      <w:pPr>
        <w:rPr>
          <w:rFonts w:hint="eastAsia" w:ascii="宋体" w:hAnsi="宋体"/>
          <w:color w:val="000000" w:themeColor="text1"/>
          <w:highlight w:val="none"/>
          <w14:textFill>
            <w14:solidFill>
              <w14:schemeClr w14:val="tx1"/>
            </w14:solidFill>
          </w14:textFill>
        </w:rPr>
      </w:pPr>
    </w:p>
    <w:p w14:paraId="2856922B">
      <w:pPr>
        <w:pStyle w:val="2"/>
        <w:jc w:val="center"/>
        <w:rPr>
          <w:rFonts w:hint="eastAsia" w:ascii="宋体" w:hAnsi="宋体"/>
          <w:color w:val="000000" w:themeColor="text1"/>
          <w:sz w:val="21"/>
          <w:szCs w:val="21"/>
          <w:highlight w:val="none"/>
          <w14:textFill>
            <w14:solidFill>
              <w14:schemeClr w14:val="tx1"/>
            </w14:solidFill>
          </w14:textFill>
        </w:rPr>
      </w:pPr>
    </w:p>
    <w:p w14:paraId="1C324906">
      <w:pPr>
        <w:pStyle w:val="2"/>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第四章  合同条款及格式</w:t>
      </w:r>
    </w:p>
    <w:p w14:paraId="6E6788FF">
      <w:pPr>
        <w:wordWrap w:val="0"/>
        <w:ind w:right="1440" w:firstLine="720"/>
        <w:rPr>
          <w:color w:val="000000" w:themeColor="text1"/>
          <w:sz w:val="36"/>
          <w:szCs w:val="36"/>
          <w:highlight w:val="none"/>
          <w:u w:val="single"/>
          <w14:textFill>
            <w14:solidFill>
              <w14:schemeClr w14:val="tx1"/>
            </w14:solidFill>
          </w14:textFill>
        </w:rPr>
      </w:pPr>
      <w:r>
        <w:rPr>
          <w:rFonts w:hint="eastAsia"/>
          <w:color w:val="000000" w:themeColor="text1"/>
          <w:sz w:val="36"/>
          <w:szCs w:val="36"/>
          <w:highlight w:val="none"/>
          <w14:textFill>
            <w14:solidFill>
              <w14:schemeClr w14:val="tx1"/>
            </w14:solidFill>
          </w14:textFill>
        </w:rPr>
        <w:t>合同编号：</w:t>
      </w:r>
    </w:p>
    <w:p w14:paraId="2A6C2192">
      <w:pPr>
        <w:ind w:firstLine="720"/>
        <w:jc w:val="center"/>
        <w:rPr>
          <w:color w:val="000000" w:themeColor="text1"/>
          <w:sz w:val="36"/>
          <w:szCs w:val="36"/>
          <w:highlight w:val="none"/>
          <w14:textFill>
            <w14:solidFill>
              <w14:schemeClr w14:val="tx1"/>
            </w14:solidFill>
          </w14:textFill>
        </w:rPr>
      </w:pPr>
    </w:p>
    <w:p w14:paraId="55FA0118">
      <w:pPr>
        <w:ind w:firstLine="1440"/>
        <w:jc w:val="center"/>
        <w:rPr>
          <w:color w:val="000000" w:themeColor="text1"/>
          <w:sz w:val="72"/>
          <w:szCs w:val="72"/>
          <w:highlight w:val="none"/>
          <w14:textFill>
            <w14:solidFill>
              <w14:schemeClr w14:val="tx1"/>
            </w14:solidFill>
          </w14:textFill>
        </w:rPr>
      </w:pPr>
    </w:p>
    <w:p w14:paraId="7C270A2D">
      <w:pPr>
        <w:ind w:firstLine="1440"/>
        <w:jc w:val="center"/>
        <w:rPr>
          <w:color w:val="000000" w:themeColor="text1"/>
          <w:sz w:val="72"/>
          <w:szCs w:val="72"/>
          <w:highlight w:val="none"/>
          <w14:textFill>
            <w14:solidFill>
              <w14:schemeClr w14:val="tx1"/>
            </w14:solidFill>
          </w14:textFill>
        </w:rPr>
      </w:pPr>
    </w:p>
    <w:p w14:paraId="3DE65B7B">
      <w:pPr>
        <w:ind w:firstLine="1440"/>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建设工程造价咨询合同</w:t>
      </w:r>
    </w:p>
    <w:p w14:paraId="5C86E044">
      <w:pPr>
        <w:ind w:firstLine="880"/>
        <w:jc w:val="center"/>
        <w:rPr>
          <w:color w:val="000000" w:themeColor="text1"/>
          <w:sz w:val="44"/>
          <w:szCs w:val="44"/>
          <w:highlight w:val="none"/>
          <w14:textFill>
            <w14:solidFill>
              <w14:schemeClr w14:val="tx1"/>
            </w14:solidFill>
          </w14:textFill>
        </w:rPr>
      </w:pPr>
    </w:p>
    <w:p w14:paraId="6DC93534">
      <w:pPr>
        <w:ind w:firstLine="880"/>
        <w:jc w:val="center"/>
        <w:rPr>
          <w:color w:val="000000" w:themeColor="text1"/>
          <w:sz w:val="44"/>
          <w:szCs w:val="44"/>
          <w:highlight w:val="none"/>
          <w14:textFill>
            <w14:solidFill>
              <w14:schemeClr w14:val="tx1"/>
            </w14:solidFill>
          </w14:textFill>
        </w:rPr>
      </w:pPr>
    </w:p>
    <w:p w14:paraId="0D9485C4">
      <w:pPr>
        <w:ind w:firstLine="880"/>
        <w:jc w:val="center"/>
        <w:rPr>
          <w:color w:val="000000" w:themeColor="text1"/>
          <w:sz w:val="44"/>
          <w:szCs w:val="44"/>
          <w:highlight w:val="none"/>
          <w14:textFill>
            <w14:solidFill>
              <w14:schemeClr w14:val="tx1"/>
            </w14:solidFill>
          </w14:textFill>
        </w:rPr>
      </w:pPr>
    </w:p>
    <w:p w14:paraId="3A53B820">
      <w:pPr>
        <w:ind w:firstLine="880"/>
        <w:jc w:val="center"/>
        <w:rPr>
          <w:color w:val="000000" w:themeColor="text1"/>
          <w:sz w:val="44"/>
          <w:szCs w:val="44"/>
          <w:highlight w:val="none"/>
          <w14:textFill>
            <w14:solidFill>
              <w14:schemeClr w14:val="tx1"/>
            </w14:solidFill>
          </w14:textFill>
        </w:rPr>
      </w:pPr>
    </w:p>
    <w:p w14:paraId="1AEAF035">
      <w:pPr>
        <w:ind w:firstLine="880"/>
        <w:jc w:val="center"/>
        <w:rPr>
          <w:color w:val="000000" w:themeColor="text1"/>
          <w:sz w:val="44"/>
          <w:szCs w:val="44"/>
          <w:highlight w:val="none"/>
          <w14:textFill>
            <w14:solidFill>
              <w14:schemeClr w14:val="tx1"/>
            </w14:solidFill>
          </w14:textFill>
        </w:rPr>
      </w:pPr>
    </w:p>
    <w:p w14:paraId="735818B0">
      <w:pPr>
        <w:ind w:firstLine="880"/>
        <w:jc w:val="center"/>
        <w:rPr>
          <w:color w:val="000000" w:themeColor="text1"/>
          <w:sz w:val="44"/>
          <w:szCs w:val="44"/>
          <w:highlight w:val="none"/>
          <w14:textFill>
            <w14:solidFill>
              <w14:schemeClr w14:val="tx1"/>
            </w14:solidFill>
          </w14:textFill>
        </w:rPr>
      </w:pPr>
    </w:p>
    <w:p w14:paraId="50730F49">
      <w:pPr>
        <w:pStyle w:val="13"/>
        <w:tabs>
          <w:tab w:val="left" w:pos="0"/>
          <w:tab w:val="left" w:pos="630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项目名称：</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4FA7D987">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委</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托</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161302D6">
      <w:pPr>
        <w:pStyle w:val="13"/>
        <w:tabs>
          <w:tab w:val="left" w:pos="147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咨 询 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0322C9B8">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日</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期：</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年</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月</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日</w:t>
      </w:r>
    </w:p>
    <w:p w14:paraId="2205244B">
      <w:pPr>
        <w:rPr>
          <w:color w:val="000000" w:themeColor="text1"/>
          <w:highlight w:val="none"/>
          <w14:textFill>
            <w14:solidFill>
              <w14:schemeClr w14:val="tx1"/>
            </w14:solidFill>
          </w14:textFill>
        </w:rPr>
      </w:pPr>
    </w:p>
    <w:p w14:paraId="07273EC4">
      <w:pPr>
        <w:rPr>
          <w:color w:val="000000" w:themeColor="text1"/>
          <w:highlight w:val="none"/>
          <w14:textFill>
            <w14:solidFill>
              <w14:schemeClr w14:val="tx1"/>
            </w14:solidFill>
          </w14:textFill>
        </w:rPr>
      </w:pPr>
    </w:p>
    <w:p w14:paraId="5D1A8E02">
      <w:pPr>
        <w:rPr>
          <w:color w:val="000000" w:themeColor="text1"/>
          <w:highlight w:val="none"/>
          <w14:textFill>
            <w14:solidFill>
              <w14:schemeClr w14:val="tx1"/>
            </w14:solidFill>
          </w14:textFill>
        </w:rPr>
      </w:pPr>
    </w:p>
    <w:p w14:paraId="22D4A0D1">
      <w:pPr>
        <w:rPr>
          <w:color w:val="000000" w:themeColor="text1"/>
          <w:highlight w:val="none"/>
          <w14:textFill>
            <w14:solidFill>
              <w14:schemeClr w14:val="tx1"/>
            </w14:solidFill>
          </w14:textFill>
        </w:rPr>
      </w:pPr>
    </w:p>
    <w:p w14:paraId="21C2801F">
      <w:pPr>
        <w:rPr>
          <w:color w:val="000000" w:themeColor="text1"/>
          <w:highlight w:val="none"/>
          <w14:textFill>
            <w14:solidFill>
              <w14:schemeClr w14:val="tx1"/>
            </w14:solidFill>
          </w14:textFill>
        </w:rPr>
      </w:pPr>
    </w:p>
    <w:p w14:paraId="1EE786F4">
      <w:pPr>
        <w:rPr>
          <w:color w:val="000000" w:themeColor="text1"/>
          <w:highlight w:val="none"/>
          <w14:textFill>
            <w14:solidFill>
              <w14:schemeClr w14:val="tx1"/>
            </w14:solidFill>
          </w14:textFill>
        </w:rPr>
      </w:pPr>
    </w:p>
    <w:p w14:paraId="55C79292">
      <w:pPr>
        <w:ind w:firstLine="880"/>
        <w:jc w:val="center"/>
        <w:rPr>
          <w:rFonts w:asciiTheme="minorEastAsia" w:hAnsiTheme="minorEastAsia"/>
          <w:color w:val="000000" w:themeColor="text1"/>
          <w:sz w:val="44"/>
          <w:szCs w:val="44"/>
          <w:highlight w:val="none"/>
          <w14:textFill>
            <w14:solidFill>
              <w14:schemeClr w14:val="tx1"/>
            </w14:solidFill>
          </w14:textFill>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000000" w:themeColor="text1"/>
          <w:highlight w:val="none"/>
          <w14:textFill>
            <w14:solidFill>
              <w14:schemeClr w14:val="tx1"/>
            </w14:solidFill>
          </w14:textFill>
        </w:rPr>
        <w:id w:val="147464851"/>
        <w:docPartObj>
          <w:docPartGallery w:val="Table of Contents"/>
          <w:docPartUnique/>
        </w:docPartObj>
      </w:sdtPr>
      <w:sdtEndPr>
        <w:rPr>
          <w:rFonts w:ascii="宋体" w:hAnsi="宋体" w:eastAsia="宋体"/>
          <w:color w:val="000000" w:themeColor="text1"/>
          <w:sz w:val="24"/>
          <w:szCs w:val="24"/>
          <w:highlight w:val="none"/>
          <w14:textFill>
            <w14:solidFill>
              <w14:schemeClr w14:val="tx1"/>
            </w14:solidFill>
          </w14:textFill>
        </w:rPr>
      </w:sdtEndPr>
      <w:sdtContent>
        <w:p w14:paraId="7F125006">
          <w:pPr>
            <w:jc w:val="center"/>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目录</w:t>
          </w:r>
        </w:p>
        <w:p w14:paraId="4EE6A3D2">
          <w:pPr>
            <w:pStyle w:val="19"/>
            <w:tabs>
              <w:tab w:val="right" w:leader="dot" w:pos="8720"/>
            </w:tabs>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TOC \o "1-3" \h \u </w:instrText>
          </w:r>
          <w:r>
            <w:rPr>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"_Toc76398630" </w:instrText>
          </w:r>
          <w:r>
            <w:rPr>
              <w:color w:val="000000" w:themeColor="text1"/>
              <w:highlight w:val="none"/>
              <w14:textFill>
                <w14:solidFill>
                  <w14:schemeClr w14:val="tx1"/>
                </w14:solidFill>
              </w14:textFill>
            </w:rPr>
            <w:fldChar w:fldCharType="separate"/>
          </w:r>
          <w:r>
            <w:rPr>
              <w:rStyle w:val="39"/>
              <w:rFonts w:hint="eastAsia"/>
              <w:b/>
              <w:color w:val="000000" w:themeColor="text1"/>
              <w:highlight w:val="none"/>
              <w14:textFill>
                <w14:solidFill>
                  <w14:schemeClr w14:val="tx1"/>
                </w14:solidFill>
              </w14:textFill>
            </w:rPr>
            <w:t>第一部分协议书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64163C">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一、工程概况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0D433D">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"_Toc76398632"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二、服务范围及工作内容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098306">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"_Toc76398633"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三、服务期限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F2E2D2">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"_Toc76398634"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四、质量标准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715B67">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"_Toc76398635"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五、酬金或计取方式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67512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"_Toc76398636"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六、合同文件的构成本协议书与下列文件一起构成合同文件</w:t>
          </w:r>
          <w:r>
            <w:rPr>
              <w:rStyle w:val="39"/>
              <w:rFonts w:asciiTheme="minorEastAsia" w:hAnsiTheme="minor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724B3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"_Toc76398637"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七、词语定义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F4F0D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"_Toc76398638"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八、合同订立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D2D04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"_Toc76398639"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九、合同生效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7CE82E">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"_Toc76398640"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十、合同份数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910F60">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b/>
              <w:color w:val="000000" w:themeColor="text1"/>
              <w:highlight w:val="none"/>
              <w14:textFill>
                <w14:solidFill>
                  <w14:schemeClr w14:val="tx1"/>
                </w14:solidFill>
              </w14:textFill>
            </w:rPr>
            <w:t>第二部分通用条件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8CF4B6">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1.</w:t>
          </w:r>
          <w:r>
            <w:rPr>
              <w:rStyle w:val="39"/>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EB049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1.1 </w:t>
          </w:r>
          <w:r>
            <w:rPr>
              <w:rStyle w:val="39"/>
              <w:rFonts w:hint="eastAsia" w:asciiTheme="minorEastAsia" w:hAnsiTheme="minorEastAsia"/>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EF7D2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1.2 </w:t>
          </w:r>
          <w:r>
            <w:rPr>
              <w:rStyle w:val="39"/>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B8D0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1.3 </w:t>
          </w:r>
          <w:r>
            <w:rPr>
              <w:rStyle w:val="39"/>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EEE1B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1.4 </w:t>
          </w:r>
          <w:r>
            <w:rPr>
              <w:rStyle w:val="39"/>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2EC81A">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2.</w:t>
          </w:r>
          <w:r>
            <w:rPr>
              <w:rStyle w:val="39"/>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4826F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2.1 </w:t>
          </w:r>
          <w:r>
            <w:rPr>
              <w:rStyle w:val="39"/>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EAC09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2.2 </w:t>
          </w:r>
          <w:r>
            <w:rPr>
              <w:rStyle w:val="39"/>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A8257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2.3 </w:t>
          </w:r>
          <w:r>
            <w:rPr>
              <w:rStyle w:val="39"/>
              <w:rFonts w:hint="eastAsia" w:asciiTheme="minorEastAsia" w:hAnsiTheme="minorEastAsia"/>
              <w:color w:val="000000" w:themeColor="text1"/>
              <w:highlight w:val="none"/>
              <w14:textFill>
                <w14:solidFill>
                  <w14:schemeClr w14:val="tx1"/>
                </w14:solidFill>
              </w14:textFill>
            </w:rPr>
            <w:t>合理工作时限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E537C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2.4 </w:t>
          </w:r>
          <w:r>
            <w:rPr>
              <w:rStyle w:val="39"/>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A9D81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2.5 </w:t>
          </w:r>
          <w:r>
            <w:rPr>
              <w:rStyle w:val="39"/>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1167C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2.6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37C58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3.</w:t>
          </w:r>
          <w:r>
            <w:rPr>
              <w:rStyle w:val="39"/>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D461F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3.1 </w:t>
          </w:r>
          <w:r>
            <w:rPr>
              <w:rStyle w:val="39"/>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DB6B3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3.2 </w:t>
          </w:r>
          <w:r>
            <w:rPr>
              <w:rStyle w:val="39"/>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B281E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3.3 </w:t>
          </w:r>
          <w:r>
            <w:rPr>
              <w:rStyle w:val="39"/>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6A278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3.4 </w:t>
          </w:r>
          <w:r>
            <w:rPr>
              <w:rStyle w:val="39"/>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F56E1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4.</w:t>
          </w:r>
          <w:r>
            <w:rPr>
              <w:rStyle w:val="39"/>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97E6C0">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4.1 </w:t>
          </w:r>
          <w:r>
            <w:rPr>
              <w:rStyle w:val="39"/>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ECBBA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4.2 </w:t>
          </w:r>
          <w:r>
            <w:rPr>
              <w:rStyle w:val="39"/>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C77E4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5.</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1978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5.1 </w:t>
          </w:r>
          <w:r>
            <w:rPr>
              <w:rStyle w:val="39"/>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4B730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5.2 </w:t>
          </w:r>
          <w:r>
            <w:rPr>
              <w:rStyle w:val="39"/>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75D13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5.3 </w:t>
          </w:r>
          <w:r>
            <w:rPr>
              <w:rStyle w:val="39"/>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5C4184">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5.4 </w:t>
          </w:r>
          <w:r>
            <w:rPr>
              <w:rStyle w:val="39"/>
              <w:rFonts w:hint="eastAsia" w:asciiTheme="minorEastAsia" w:hAnsiTheme="minorEastAsia"/>
              <w:color w:val="000000" w:themeColor="text1"/>
              <w:highlight w:val="none"/>
              <w14:textFill>
                <w14:solidFill>
                  <w14:schemeClr w14:val="tx1"/>
                </w14:solidFill>
              </w14:textFill>
            </w:rPr>
            <w:t>有异议部分的支付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2975F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6.</w:t>
          </w:r>
          <w:r>
            <w:rPr>
              <w:rStyle w:val="39"/>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44F51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6.1 </w:t>
          </w:r>
          <w:r>
            <w:rPr>
              <w:rStyle w:val="39"/>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A48F6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6.2 </w:t>
          </w:r>
          <w:r>
            <w:rPr>
              <w:rStyle w:val="39"/>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894FF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6.3 </w:t>
          </w:r>
          <w:r>
            <w:rPr>
              <w:rStyle w:val="39"/>
              <w:rFonts w:hint="eastAsia" w:asciiTheme="minorEastAsia" w:hAnsiTheme="minorEastAsia"/>
              <w:color w:val="000000" w:themeColor="text1"/>
              <w:highlight w:val="none"/>
              <w14:textFill>
                <w14:solidFill>
                  <w14:schemeClr w14:val="tx1"/>
                </w14:solidFill>
              </w14:textFill>
            </w:rPr>
            <w:t>合同终止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E3FF01">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7.</w:t>
          </w:r>
          <w:r>
            <w:rPr>
              <w:rStyle w:val="39"/>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F1D4E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7.1 </w:t>
          </w:r>
          <w:r>
            <w:rPr>
              <w:rStyle w:val="39"/>
              <w:rFonts w:hint="eastAsia" w:asciiTheme="minorEastAsia" w:hAnsiTheme="minorEastAsia"/>
              <w:color w:val="000000" w:themeColor="text1"/>
              <w:highlight w:val="none"/>
              <w14:textFill>
                <w14:solidFill>
                  <w14:schemeClr w14:val="tx1"/>
                </w14:solidFill>
              </w14:textFill>
            </w:rPr>
            <w:t>协商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CF637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7.2 </w:t>
          </w:r>
          <w:r>
            <w:rPr>
              <w:rStyle w:val="39"/>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73CD9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7.3 </w:t>
          </w:r>
          <w:r>
            <w:rPr>
              <w:rStyle w:val="39"/>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3B85D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8.</w:t>
          </w:r>
          <w:r>
            <w:rPr>
              <w:rStyle w:val="39"/>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74D9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8.1 </w:t>
          </w:r>
          <w:r>
            <w:rPr>
              <w:rStyle w:val="39"/>
              <w:rFonts w:hint="eastAsia" w:asciiTheme="minorEastAsia" w:hAnsiTheme="minorEastAsia"/>
              <w:color w:val="000000" w:themeColor="text1"/>
              <w:highlight w:val="none"/>
              <w14:textFill>
                <w14:solidFill>
                  <w14:schemeClr w14:val="tx1"/>
                </w14:solidFill>
              </w14:textFill>
            </w:rPr>
            <w:t>考察及相关费用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99E53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8.2 </w:t>
          </w:r>
          <w:r>
            <w:rPr>
              <w:rStyle w:val="39"/>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4244B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8.3 </w:t>
          </w:r>
          <w:r>
            <w:rPr>
              <w:rStyle w:val="39"/>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6AA5A8">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8.4 </w:t>
          </w:r>
          <w:r>
            <w:rPr>
              <w:rStyle w:val="39"/>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A3C38B">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8.5 </w:t>
          </w:r>
          <w:r>
            <w:rPr>
              <w:rStyle w:val="39"/>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97539A">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b/>
              <w:color w:val="000000" w:themeColor="text1"/>
              <w:highlight w:val="none"/>
              <w14:textFill>
                <w14:solidFill>
                  <w14:schemeClr w14:val="tx1"/>
                </w14:solidFill>
              </w14:textFill>
            </w:rPr>
            <w:t>第三部分专用条件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9EF8E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1.</w:t>
          </w:r>
          <w:r>
            <w:rPr>
              <w:rStyle w:val="39"/>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C84FD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1.2 </w:t>
          </w:r>
          <w:r>
            <w:rPr>
              <w:rStyle w:val="39"/>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1D7A4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1.3 </w:t>
          </w:r>
          <w:r>
            <w:rPr>
              <w:rStyle w:val="39"/>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47AAC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1.4 </w:t>
          </w:r>
          <w:r>
            <w:rPr>
              <w:rStyle w:val="39"/>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C719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2.</w:t>
          </w:r>
          <w:r>
            <w:rPr>
              <w:rStyle w:val="39"/>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24D04C">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2.1 </w:t>
          </w:r>
          <w:r>
            <w:rPr>
              <w:rStyle w:val="39"/>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70833E">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2.2 </w:t>
          </w:r>
          <w:r>
            <w:rPr>
              <w:rStyle w:val="39"/>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14A3B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2.4 </w:t>
          </w:r>
          <w:r>
            <w:rPr>
              <w:rStyle w:val="39"/>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85E21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2.5 </w:t>
          </w:r>
          <w:r>
            <w:rPr>
              <w:rStyle w:val="39"/>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C1E6C5">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3.</w:t>
          </w:r>
          <w:r>
            <w:rPr>
              <w:rStyle w:val="39"/>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7E618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3.1 </w:t>
          </w:r>
          <w:r>
            <w:rPr>
              <w:rStyle w:val="39"/>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5C67D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3.2 </w:t>
          </w:r>
          <w:r>
            <w:rPr>
              <w:rStyle w:val="39"/>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7D75B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3.3 </w:t>
          </w:r>
          <w:r>
            <w:rPr>
              <w:rStyle w:val="39"/>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219D6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3.4 </w:t>
          </w:r>
          <w:r>
            <w:rPr>
              <w:rStyle w:val="39"/>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1E05C7">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 </w:t>
          </w:r>
          <w:r>
            <w:rPr>
              <w:rStyle w:val="39"/>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DD12A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4.1 </w:t>
          </w:r>
          <w:r>
            <w:rPr>
              <w:rStyle w:val="39"/>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15BD9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4.2 </w:t>
          </w:r>
          <w:r>
            <w:rPr>
              <w:rStyle w:val="39"/>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2BBF1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97244">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5.1 </w:t>
          </w:r>
          <w:r>
            <w:rPr>
              <w:rStyle w:val="39"/>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CB23A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5.2 </w:t>
          </w:r>
          <w:r>
            <w:rPr>
              <w:rStyle w:val="39"/>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6C95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5.3 </w:t>
          </w:r>
          <w:r>
            <w:rPr>
              <w:rStyle w:val="39"/>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018852">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 </w:t>
          </w:r>
          <w:r>
            <w:rPr>
              <w:rStyle w:val="39"/>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20C0C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6.1 </w:t>
          </w:r>
          <w:r>
            <w:rPr>
              <w:rStyle w:val="39"/>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47569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6.2 </w:t>
          </w:r>
          <w:r>
            <w:rPr>
              <w:rStyle w:val="39"/>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E48A0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 </w:t>
          </w:r>
          <w:r>
            <w:rPr>
              <w:rStyle w:val="39"/>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6BA52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7.2 </w:t>
          </w:r>
          <w:r>
            <w:rPr>
              <w:rStyle w:val="39"/>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0666AB">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7.3 </w:t>
          </w:r>
          <w:r>
            <w:rPr>
              <w:rStyle w:val="39"/>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8FBB2D">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 </w:t>
          </w:r>
          <w:r>
            <w:rPr>
              <w:rStyle w:val="39"/>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40B4A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8.1 </w:t>
          </w:r>
          <w:r>
            <w:rPr>
              <w:rStyle w:val="39"/>
              <w:rFonts w:hint="eastAsia" w:asciiTheme="minorEastAsia" w:hAnsiTheme="minorEastAsia"/>
              <w:color w:val="000000" w:themeColor="text1"/>
              <w:highlight w:val="none"/>
              <w14:textFill>
                <w14:solidFill>
                  <w14:schemeClr w14:val="tx1"/>
                </w14:solidFill>
              </w14:textFill>
            </w:rPr>
            <w:t>考察及相关费用咨询人经委托人同意进行考察发生的费用由</w:t>
          </w:r>
          <w:r>
            <w:rPr>
              <w:rStyle w:val="39"/>
              <w:rFonts w:asciiTheme="minorEastAsia" w:hAnsiTheme="minorEastAsia"/>
              <w:color w:val="000000" w:themeColor="text1"/>
              <w:highlight w:val="none"/>
              <w14:textFill>
                <w14:solidFill>
                  <w14:schemeClr w14:val="tx1"/>
                </w14:solidFill>
              </w14:textFill>
            </w:rPr>
            <w:t xml:space="preserve">  /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CF5C8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8.2 </w:t>
          </w:r>
          <w:r>
            <w:rPr>
              <w:rStyle w:val="39"/>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BC39DC">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8.3 </w:t>
          </w:r>
          <w:r>
            <w:rPr>
              <w:rStyle w:val="39"/>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D6B40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8.4 </w:t>
          </w:r>
          <w:r>
            <w:rPr>
              <w:rStyle w:val="39"/>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A979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8.5 </w:t>
          </w:r>
          <w:r>
            <w:rPr>
              <w:rStyle w:val="39"/>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2B220F">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9.</w:t>
          </w:r>
          <w:r>
            <w:rPr>
              <w:rStyle w:val="39"/>
              <w:rFonts w:hint="eastAsia" w:asciiTheme="minorEastAsia" w:hAnsiTheme="minorEastAsia"/>
              <w:color w:val="000000" w:themeColor="text1"/>
              <w:highlight w:val="none"/>
              <w14:textFill>
                <w14:solidFill>
                  <w14:schemeClr w14:val="tx1"/>
                </w14:solidFill>
              </w14:textFill>
            </w:rPr>
            <w:t>补充条款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62387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"_Toc76398716"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A</w:t>
          </w:r>
          <w:r>
            <w:rPr>
              <w:rFonts w:hint="eastAsia"/>
              <w:color w:val="000000" w:themeColor="text1"/>
              <w:highlight w:val="none"/>
              <w14:textFill>
                <w14:solidFill>
                  <w14:schemeClr w14:val="tx1"/>
                </w14:solidFill>
              </w14:textFill>
            </w:rPr>
            <w:t>咨询人人员配置一览表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4DBDC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"_Toc76398717"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B </w:t>
          </w:r>
          <w:r>
            <w:rPr>
              <w:rStyle w:val="39"/>
              <w:rFonts w:hint="eastAsia"/>
              <w:color w:val="000000" w:themeColor="text1"/>
              <w:highlight w:val="none"/>
              <w14:textFill>
                <w14:solidFill>
                  <w14:schemeClr w14:val="tx1"/>
                </w14:solidFill>
              </w14:textFill>
            </w:rPr>
            <w:t>咨询人提交成果文件一览表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910F9A">
          <w:pPr>
            <w:pStyle w:val="19"/>
            <w:tabs>
              <w:tab w:val="right" w:leader="dot" w:pos="8720"/>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"_Toc76398718"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C</w:t>
          </w:r>
          <w:r>
            <w:rPr>
              <w:rStyle w:val="39"/>
              <w:rFonts w:hint="eastAsia"/>
              <w:color w:val="000000" w:themeColor="text1"/>
              <w:highlight w:val="none"/>
              <w14:textFill>
                <w14:solidFill>
                  <w14:schemeClr w14:val="tx1"/>
                </w14:solidFill>
              </w14:textFill>
            </w:rPr>
            <w:t>委托人提供资料一览表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sdtContent>
    </w:sdt>
    <w:p w14:paraId="413B996A">
      <w:pPr>
        <w:rPr>
          <w:rFonts w:hint="eastAsia"/>
          <w:b/>
          <w:color w:val="000000" w:themeColor="text1"/>
          <w:sz w:val="32"/>
          <w:szCs w:val="32"/>
          <w:highlight w:val="none"/>
          <w14:textFill>
            <w14:solidFill>
              <w14:schemeClr w14:val="tx1"/>
            </w14:solidFill>
          </w14:textFill>
        </w:rPr>
      </w:pPr>
      <w:bookmarkStart w:id="654" w:name="_Toc76398630"/>
      <w:r>
        <w:rPr>
          <w:rFonts w:hint="eastAsia"/>
          <w:b/>
          <w:color w:val="000000" w:themeColor="text1"/>
          <w:sz w:val="32"/>
          <w:szCs w:val="32"/>
          <w:highlight w:val="none"/>
          <w14:textFill>
            <w14:solidFill>
              <w14:schemeClr w14:val="tx1"/>
            </w14:solidFill>
          </w14:textFill>
        </w:rPr>
        <w:br w:type="page"/>
      </w:r>
    </w:p>
    <w:p w14:paraId="419BF61D">
      <w:pPr>
        <w:spacing w:line="360" w:lineRule="auto"/>
        <w:ind w:firstLine="643"/>
        <w:jc w:val="center"/>
        <w:outlineLvl w:val="0"/>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第一部分 协议书</w:t>
      </w:r>
      <w:bookmarkEnd w:id="654"/>
    </w:p>
    <w:p w14:paraId="17890656">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1660047B">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37A045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根据《中华人民共和国民法典》及其他有关法律、法规，遵循平等、自愿、公平和诚实信用的原则，双方就下述建设工程委托造价咨询与其他服务事项协商一致，订立本合同。</w:t>
      </w:r>
    </w:p>
    <w:p w14:paraId="09C4849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5" w:name="_Toc76398631"/>
      <w:r>
        <w:rPr>
          <w:rFonts w:hint="eastAsia" w:asciiTheme="minorEastAsia" w:hAnsiTheme="minorEastAsia"/>
          <w:color w:val="000000" w:themeColor="text1"/>
          <w:sz w:val="24"/>
          <w:szCs w:val="24"/>
          <w:highlight w:val="none"/>
          <w14:textFill>
            <w14:solidFill>
              <w14:schemeClr w14:val="tx1"/>
            </w14:solidFill>
          </w14:textFill>
        </w:rPr>
        <w:t>一、工程概况</w:t>
      </w:r>
      <w:bookmarkEnd w:id="655"/>
    </w:p>
    <w:p w14:paraId="7AFC76D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1.工程名称：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 xml:space="preserve">     </w:t>
      </w:r>
    </w:p>
    <w:p w14:paraId="245D01C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2.工程地点：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14:paraId="15434D39">
      <w:pPr>
        <w:adjustRightInd w:val="0"/>
        <w:snapToGrid w:val="0"/>
        <w:spacing w:line="360" w:lineRule="auto"/>
        <w:ind w:firstLine="475" w:firstLineChars="198"/>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3.工程规模：</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14:paraId="4025A5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4.投资金额：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万元。</w:t>
      </w:r>
    </w:p>
    <w:p w14:paraId="1B1B290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5.资金来源：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2346659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6.建设工期或周期：</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日历天。</w:t>
      </w:r>
    </w:p>
    <w:p w14:paraId="0C40773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7.其他：</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0144B81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6" w:name="_Toc76398632"/>
      <w:r>
        <w:rPr>
          <w:rFonts w:hint="eastAsia" w:asciiTheme="minorEastAsia" w:hAnsiTheme="minorEastAsia"/>
          <w:color w:val="000000" w:themeColor="text1"/>
          <w:sz w:val="24"/>
          <w:szCs w:val="24"/>
          <w:highlight w:val="none"/>
          <w14:textFill>
            <w14:solidFill>
              <w14:schemeClr w14:val="tx1"/>
            </w14:solidFill>
          </w14:textFill>
        </w:rPr>
        <w:t>二、服务范围及工作内容</w:t>
      </w:r>
      <w:bookmarkEnd w:id="656"/>
    </w:p>
    <w:p w14:paraId="3DB0EA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双方约定的服务范围及工作内容：</w:t>
      </w:r>
      <w:r>
        <w:rPr>
          <w:rFonts w:hint="eastAsia" w:asciiTheme="minorEastAsia" w:hAnsiTheme="minorEastAsia"/>
          <w:color w:val="000000" w:themeColor="text1"/>
          <w:sz w:val="24"/>
          <w:szCs w:val="24"/>
          <w:highlight w:val="none"/>
          <w:u w:val="single"/>
          <w14:textFill>
            <w14:solidFill>
              <w14:schemeClr w14:val="tx1"/>
            </w14:solidFill>
          </w14:textFill>
        </w:rPr>
        <w:t>根据委托项目有关资料，依据国家及行业现行规定、规范、设计图纸、合同等资料文件完成本项目的工程量清单及组价编制服务。内容包括但不限于完成：</w:t>
      </w:r>
    </w:p>
    <w:p w14:paraId="7526A0C7">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A:工程量清单及组价编制（审核）或招标控制价编制（审核）：</w:t>
      </w:r>
      <w:r>
        <w:rPr>
          <w:rFonts w:hint="eastAsia" w:asciiTheme="minorEastAsia" w:hAnsiTheme="minorEastAsia"/>
          <w:color w:val="000000" w:themeColor="text1"/>
          <w:sz w:val="24"/>
          <w:szCs w:val="24"/>
          <w:highlight w:val="none"/>
          <w:u w:val="single"/>
          <w14:textFill>
            <w14:solidFill>
              <w14:schemeClr w14:val="tx1"/>
            </w14:solidFill>
          </w14:textFill>
        </w:rPr>
        <w:t>本工程的工程量清单及组价编制；建筑安装材料设备认价、施工方案的经济评价（如有时）;配合招标采购；优化设计方案和二次设计后预算编制；设计图纸的优化建议。接受造价方面的口头咨询和委托人要求咨询的其它事项，详见合同约定。</w:t>
      </w:r>
    </w:p>
    <w:p w14:paraId="1BADC75F">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B：</w:t>
      </w:r>
      <w:r>
        <w:rPr>
          <w:rFonts w:hint="eastAsia" w:asciiTheme="minorEastAsia" w:hAnsiTheme="minorEastAsia"/>
          <w:color w:val="000000" w:themeColor="text1"/>
          <w:sz w:val="24"/>
          <w:szCs w:val="24"/>
          <w:highlight w:val="none"/>
          <w14:textFill>
            <w14:solidFill>
              <w14:schemeClr w14:val="tx1"/>
            </w14:solidFill>
          </w14:textFill>
        </w:rPr>
        <w:t>施工阶段工程造价全过程控制：</w:t>
      </w:r>
      <w:r>
        <w:rPr>
          <w:rFonts w:hint="eastAsia" w:asciiTheme="minorEastAsia" w:hAnsi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1FEDDA78">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C：施工阶段工程造价全过程控制合同范围内应完成的其他工作：工程建设其他费结算审核（如有）</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0B3CC680">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u w:val="single"/>
          <w14:textFill>
            <w14:solidFill>
              <w14:schemeClr w14:val="tx1"/>
            </w14:solidFill>
          </w14:textFill>
        </w:rPr>
        <w:t>咨询服务单位应熟悉并按照区城建集团相关制度执行，包含但不限于《重庆市南岸区城市建设发展（集团）有限公司认质核价实施细则》、《工程变更管理办法》、《</w:t>
      </w:r>
      <w:r>
        <w:rPr>
          <w:rFonts w:hint="eastAsia" w:asciiTheme="minorEastAsia" w:hAnsiTheme="minorEastAsia"/>
          <w:color w:val="000000" w:themeColor="text1"/>
          <w:sz w:val="24"/>
          <w:szCs w:val="24"/>
          <w:highlight w:val="none"/>
          <w:u w:val="single"/>
          <w:lang w:eastAsia="zh-CN"/>
          <w14:textFill>
            <w14:solidFill>
              <w14:schemeClr w14:val="tx1"/>
            </w14:solidFill>
          </w14:textFill>
        </w:rPr>
        <w:t>预算编制审核</w:t>
      </w:r>
      <w:r>
        <w:rPr>
          <w:rFonts w:asciiTheme="minorEastAsia" w:hAnsiTheme="minorEastAsia"/>
          <w:color w:val="000000" w:themeColor="text1"/>
          <w:sz w:val="24"/>
          <w:szCs w:val="24"/>
          <w:highlight w:val="none"/>
          <w:u w:val="single"/>
          <w14:textFill>
            <w14:solidFill>
              <w14:schemeClr w14:val="tx1"/>
            </w14:solidFill>
          </w14:textFill>
        </w:rPr>
        <w:t>（审核）工作须知》、《施工阶段全过程咨询工作须知》</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12400D39">
      <w:pPr>
        <w:spacing w:line="360" w:lineRule="auto"/>
        <w:ind w:firstLine="482" w:firstLineChars="200"/>
        <w:outlineLvl w:val="0"/>
        <w:rPr>
          <w:b/>
          <w:bCs/>
          <w:color w:val="000000" w:themeColor="text1"/>
          <w:highlight w:val="none"/>
          <w14:textFill>
            <w14:solidFill>
              <w14:schemeClr w14:val="tx1"/>
            </w14:solidFill>
          </w14:textFill>
        </w:rPr>
      </w:pPr>
      <w:r>
        <w:rPr>
          <w:rFonts w:asciiTheme="minorEastAsia" w:hAnsiTheme="minorEastAsia"/>
          <w:b/>
          <w:bCs/>
          <w:color w:val="000000" w:themeColor="text1"/>
          <w:sz w:val="24"/>
          <w:szCs w:val="24"/>
          <w:highlight w:val="none"/>
          <w:u w:val="single"/>
          <w14:textFill>
            <w14:solidFill>
              <w14:schemeClr w14:val="tx1"/>
            </w14:solidFill>
          </w14:textFill>
        </w:rPr>
        <w:t>注：若需委托人给咨询人提供工作条件，产生的费用由咨询人承担，委托人与第三方另有约定按照约定执行。</w:t>
      </w:r>
    </w:p>
    <w:p w14:paraId="76B7443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7" w:name="_Toc76398633"/>
      <w:r>
        <w:rPr>
          <w:rFonts w:hint="eastAsia" w:asciiTheme="minorEastAsia" w:hAnsiTheme="minorEastAsia"/>
          <w:color w:val="000000" w:themeColor="text1"/>
          <w:sz w:val="24"/>
          <w:szCs w:val="24"/>
          <w:highlight w:val="none"/>
          <w14:textFill>
            <w14:solidFill>
              <w14:schemeClr w14:val="tx1"/>
            </w14:solidFill>
          </w14:textFill>
        </w:rPr>
        <w:t>三、服务期限</w:t>
      </w:r>
      <w:bookmarkEnd w:id="657"/>
    </w:p>
    <w:p w14:paraId="1DDBC39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本合同约定的建设工程造价咨询服务自</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日开始实施，暂定至</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日终结。</w:t>
      </w:r>
    </w:p>
    <w:p w14:paraId="5509272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8" w:name="_Toc76398634"/>
      <w:r>
        <w:rPr>
          <w:rFonts w:hint="eastAsia" w:asciiTheme="minorEastAsia" w:hAnsiTheme="minorEastAsia"/>
          <w:color w:val="000000" w:themeColor="text1"/>
          <w:sz w:val="24"/>
          <w:szCs w:val="24"/>
          <w:highlight w:val="none"/>
          <w14:textFill>
            <w14:solidFill>
              <w14:schemeClr w14:val="tx1"/>
            </w14:solidFill>
          </w14:textFill>
        </w:rPr>
        <w:t>四、质量标准</w:t>
      </w:r>
      <w:bookmarkEnd w:id="658"/>
    </w:p>
    <w:p w14:paraId="2CD6524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工程造价咨询成果文件应符合：</w:t>
      </w:r>
      <w:r>
        <w:rPr>
          <w:rFonts w:hint="eastAsia" w:asciiTheme="minorEastAsia" w:hAnsiTheme="minorEastAsia"/>
          <w:color w:val="000000" w:themeColor="text1"/>
          <w:sz w:val="24"/>
          <w:szCs w:val="24"/>
          <w:highlight w:val="none"/>
          <w:u w:val="single"/>
          <w14:textFill>
            <w14:solidFill>
              <w14:schemeClr w14:val="tx1"/>
            </w14:solidFill>
          </w14:textFill>
        </w:rPr>
        <w:t>《建设工程造价咨询成果文件质量标准》</w:t>
      </w:r>
      <w:r>
        <w:rPr>
          <w:rFonts w:asciiTheme="minorEastAsia" w:hAnsiTheme="minorEastAsia"/>
          <w:color w:val="000000" w:themeColor="text1"/>
          <w:sz w:val="24"/>
          <w:szCs w:val="24"/>
          <w:highlight w:val="none"/>
          <w:u w:val="single"/>
          <w14:textFill>
            <w14:solidFill>
              <w14:schemeClr w14:val="tx1"/>
            </w14:solidFill>
          </w14:textFill>
        </w:rPr>
        <w:t>CECA/GC7-2012</w:t>
      </w:r>
      <w:r>
        <w:rPr>
          <w:rFonts w:hint="eastAsia" w:asciiTheme="minorEastAsia" w:hAnsiTheme="minorEastAsia"/>
          <w:color w:val="000000" w:themeColor="text1"/>
          <w:sz w:val="24"/>
          <w:szCs w:val="24"/>
          <w:highlight w:val="none"/>
          <w:u w:val="single"/>
          <w14:textFill>
            <w14:solidFill>
              <w14:schemeClr w14:val="tx1"/>
            </w14:solidFill>
          </w14:textFill>
        </w:rPr>
        <w:t>；《建设工程招标控制价编审规程》</w:t>
      </w:r>
      <w:r>
        <w:rPr>
          <w:rFonts w:asciiTheme="minorEastAsia" w:hAnsiTheme="minorEastAsia"/>
          <w:color w:val="000000" w:themeColor="text1"/>
          <w:sz w:val="24"/>
          <w:szCs w:val="24"/>
          <w:highlight w:val="none"/>
          <w:u w:val="single"/>
          <w14:textFill>
            <w14:solidFill>
              <w14:schemeClr w14:val="tx1"/>
            </w14:solidFill>
          </w14:textFill>
        </w:rPr>
        <w:t>CECA/GC6-2011；《建设项目施工图预算编审规程》CECA／GC 5—2010</w:t>
      </w:r>
      <w:r>
        <w:rPr>
          <w:rFonts w:hint="eastAsia" w:asciiTheme="minorEastAsia" w:hAnsiTheme="minorEastAsia"/>
          <w:color w:val="000000" w:themeColor="text1"/>
          <w:sz w:val="24"/>
          <w:szCs w:val="24"/>
          <w:highlight w:val="none"/>
          <w:u w:val="single"/>
          <w14:textFill>
            <w14:solidFill>
              <w14:schemeClr w14:val="tx1"/>
            </w14:solidFill>
          </w14:textFill>
        </w:rPr>
        <w:t>文件、渝建发〔</w:t>
      </w:r>
      <w:r>
        <w:rPr>
          <w:rFonts w:asciiTheme="minorEastAsia" w:hAnsiTheme="minorEastAsia"/>
          <w:color w:val="000000" w:themeColor="text1"/>
          <w:sz w:val="24"/>
          <w:szCs w:val="24"/>
          <w:highlight w:val="none"/>
          <w:u w:val="single"/>
          <w14:textFill>
            <w14:solidFill>
              <w14:schemeClr w14:val="tx1"/>
            </w14:solidFill>
          </w14:textFill>
        </w:rPr>
        <w:t>2016〕67号《重庆市国有资金投资建设工程施工招标控制价编制与确定程序的规定》</w:t>
      </w:r>
      <w:r>
        <w:rPr>
          <w:rFonts w:hint="eastAsia" w:asciiTheme="minorEastAsia" w:hAnsiTheme="minorEastAsia"/>
          <w:color w:val="000000" w:themeColor="text1"/>
          <w:sz w:val="24"/>
          <w:szCs w:val="24"/>
          <w:highlight w:val="none"/>
          <w:u w:val="single"/>
          <w14:textFill>
            <w14:solidFill>
              <w14:schemeClr w14:val="tx1"/>
            </w14:solidFill>
          </w14:textFill>
        </w:rPr>
        <w:t>规定及委托人的要求。</w:t>
      </w:r>
    </w:p>
    <w:p w14:paraId="1C8CE126">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9" w:name="_Toc76398635"/>
      <w:r>
        <w:rPr>
          <w:rFonts w:hint="eastAsia" w:asciiTheme="minorEastAsia" w:hAnsiTheme="minorEastAsia"/>
          <w:color w:val="000000" w:themeColor="text1"/>
          <w:sz w:val="24"/>
          <w:szCs w:val="24"/>
          <w:highlight w:val="none"/>
          <w14:textFill>
            <w14:solidFill>
              <w14:schemeClr w14:val="tx1"/>
            </w14:solidFill>
          </w14:textFill>
        </w:rPr>
        <w:t>五、酬金或计取方式</w:t>
      </w:r>
      <w:bookmarkEnd w:id="659"/>
    </w:p>
    <w:p w14:paraId="23AE042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1.签约酬金：</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元（大写：          ）；中标费率/签约费率：     %，税率：     %。</w:t>
      </w:r>
    </w:p>
    <w:p w14:paraId="2797677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2.计取方式：</w:t>
      </w:r>
      <w:r>
        <w:rPr>
          <w:rFonts w:hint="eastAsia" w:asciiTheme="minorEastAsia" w:hAnsiTheme="minorEastAsia"/>
          <w:color w:val="000000" w:themeColor="text1"/>
          <w:sz w:val="24"/>
          <w:szCs w:val="24"/>
          <w:highlight w:val="none"/>
          <w:u w:val="single"/>
          <w14:textFill>
            <w14:solidFill>
              <w14:schemeClr w14:val="tx1"/>
            </w14:solidFill>
          </w14:textFill>
        </w:rPr>
        <w:t>固定酬金/固定费率</w:t>
      </w:r>
      <w:r>
        <w:rPr>
          <w:rFonts w:hint="eastAsia" w:asciiTheme="minorEastAsia" w:hAnsiTheme="minorEastAsia"/>
          <w:color w:val="000000" w:themeColor="text1"/>
          <w:sz w:val="24"/>
          <w:szCs w:val="24"/>
          <w:highlight w:val="none"/>
          <w14:textFill>
            <w14:solidFill>
              <w14:schemeClr w14:val="tx1"/>
            </w14:solidFill>
          </w14:textFill>
        </w:rPr>
        <w:t>。</w:t>
      </w:r>
    </w:p>
    <w:p w14:paraId="3FD541F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3.</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（本条固定费率合同使用）</w:t>
      </w:r>
      <w:r>
        <w:rPr>
          <w:rFonts w:asciiTheme="minorEastAsia" w:hAnsiTheme="minorEastAsia"/>
          <w:color w:val="000000" w:themeColor="text1"/>
          <w:sz w:val="24"/>
          <w:szCs w:val="24"/>
          <w:highlight w:val="none"/>
          <w14:textFill>
            <w14:solidFill>
              <w14:schemeClr w14:val="tx1"/>
            </w14:solidFill>
          </w14:textFill>
        </w:rPr>
        <w:t>完成本合同</w:t>
      </w:r>
      <w:r>
        <w:rPr>
          <w:rFonts w:hint="eastAsia" w:asciiTheme="minorEastAsia" w:hAnsiTheme="minorEastAsia"/>
          <w:color w:val="000000" w:themeColor="text1"/>
          <w:sz w:val="24"/>
          <w:szCs w:val="24"/>
          <w:highlight w:val="none"/>
          <w14:textFill>
            <w14:solidFill>
              <w14:schemeClr w14:val="tx1"/>
            </w14:solidFill>
          </w14:textFill>
        </w:rPr>
        <w:t>服务范围及工作内容，</w:t>
      </w:r>
      <w:r>
        <w:rPr>
          <w:rFonts w:asciiTheme="minorEastAsia" w:hAnsiTheme="minorEastAsia"/>
          <w:color w:val="000000" w:themeColor="text1"/>
          <w:sz w:val="24"/>
          <w:szCs w:val="24"/>
          <w:highlight w:val="none"/>
          <w14:textFill>
            <w14:solidFill>
              <w14:schemeClr w14:val="tx1"/>
            </w14:solidFill>
          </w14:textFill>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000000" w:themeColor="text1"/>
          <w:sz w:val="24"/>
          <w:szCs w:val="24"/>
          <w:highlight w:val="none"/>
          <w14:textFill>
            <w14:solidFill>
              <w14:schemeClr w14:val="tx1"/>
            </w14:solidFill>
          </w14:textFill>
        </w:rPr>
        <w:t>签约</w:t>
      </w:r>
      <w:r>
        <w:rPr>
          <w:rFonts w:asciiTheme="minorEastAsia" w:hAnsiTheme="minorEastAsia"/>
          <w:color w:val="000000" w:themeColor="text1"/>
          <w:sz w:val="24"/>
          <w:szCs w:val="24"/>
          <w:highlight w:val="none"/>
          <w14:textFill>
            <w14:solidFill>
              <w14:schemeClr w14:val="tx1"/>
            </w14:solidFill>
          </w14:textFill>
        </w:rPr>
        <w:t>金额</w:t>
      </w:r>
      <w:r>
        <w:rPr>
          <w:rFonts w:hint="eastAsia" w:asciiTheme="minorEastAsia" w:hAnsiTheme="minorEastAsia"/>
          <w:color w:val="000000" w:themeColor="text1"/>
          <w:sz w:val="24"/>
          <w:szCs w:val="24"/>
          <w:highlight w:val="none"/>
          <w14:textFill>
            <w14:solidFill>
              <w14:schemeClr w14:val="tx1"/>
            </w14:solidFill>
          </w14:textFill>
        </w:rPr>
        <w:t>。</w:t>
      </w:r>
    </w:p>
    <w:p w14:paraId="77A8BD55">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3.1工程量清单及组价审核：</w:t>
      </w:r>
      <w:r>
        <w:rPr>
          <w:rFonts w:hint="eastAsia" w:asciiTheme="minorEastAsia" w:hAnsiTheme="minorEastAsia"/>
          <w:color w:val="000000" w:themeColor="text1"/>
          <w:sz w:val="24"/>
          <w:highlight w:val="none"/>
          <w14:textFill>
            <w14:solidFill>
              <w14:schemeClr w14:val="tx1"/>
            </w14:solidFill>
          </w14:textFill>
        </w:rPr>
        <w:t>以预算审定的建安工程费金额为基数</w:t>
      </w:r>
      <w:r>
        <w:rPr>
          <w:rFonts w:hint="eastAsia" w:asciiTheme="minorEastAsia" w:hAnsiTheme="minorEastAsia" w:eastAsiaTheme="minorEastAsia"/>
          <w:color w:val="000000" w:themeColor="text1"/>
          <w:sz w:val="24"/>
          <w:highlight w:val="none"/>
          <w14:textFill>
            <w14:solidFill>
              <w14:schemeClr w14:val="tx1"/>
            </w14:solidFill>
          </w14:textFill>
        </w:rPr>
        <w:t>乘以</w:t>
      </w:r>
      <w:r>
        <w:rPr>
          <w:rFonts w:hint="eastAsia" w:asciiTheme="minorEastAsia" w:hAnsiTheme="minorEastAsia"/>
          <w:color w:val="000000" w:themeColor="text1"/>
          <w:sz w:val="24"/>
          <w:highlight w:val="none"/>
          <w14:textFill>
            <w14:solidFill>
              <w14:schemeClr w14:val="tx1"/>
            </w14:solidFill>
          </w14:textFill>
        </w:rPr>
        <w:t>中标费率/签约费率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，暂定金额为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p>
    <w:p w14:paraId="3E14A87F">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3.2施工阶段工程造价全过程控制（含出具结算审核报告）：</w:t>
      </w:r>
      <w:r>
        <w:rPr>
          <w:rFonts w:hint="eastAsia" w:asciiTheme="minorEastAsia" w:hAnsiTheme="minorEastAsia"/>
          <w:color w:val="000000" w:themeColor="text1"/>
          <w:sz w:val="24"/>
          <w:highlight w:val="none"/>
          <w14:textFill>
            <w14:solidFill>
              <w14:schemeClr w14:val="tx1"/>
            </w14:solidFill>
          </w14:textFill>
        </w:rPr>
        <w:t>以最终审定的建安工程费金额为基数</w:t>
      </w:r>
      <w:r>
        <w:rPr>
          <w:rFonts w:hint="eastAsia" w:asciiTheme="minorEastAsia" w:hAnsiTheme="minorEastAsia" w:eastAsiaTheme="minorEastAsia"/>
          <w:color w:val="000000" w:themeColor="text1"/>
          <w:sz w:val="24"/>
          <w:highlight w:val="none"/>
          <w14:textFill>
            <w14:solidFill>
              <w14:schemeClr w14:val="tx1"/>
            </w14:solidFill>
          </w14:textFill>
        </w:rPr>
        <w:t>乘以</w:t>
      </w:r>
      <w:r>
        <w:rPr>
          <w:rFonts w:hint="eastAsia" w:asciiTheme="minorEastAsia" w:hAnsiTheme="minorEastAsia"/>
          <w:color w:val="000000" w:themeColor="text1"/>
          <w:sz w:val="24"/>
          <w:highlight w:val="none"/>
          <w14:textFill>
            <w14:solidFill>
              <w14:schemeClr w14:val="tx1"/>
            </w14:solidFill>
          </w14:textFill>
        </w:rPr>
        <w:t>中标费率/签约费率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暂定金额为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p>
    <w:p w14:paraId="1274CF1A">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0" w:name="_Toc76398636"/>
      <w:r>
        <w:rPr>
          <w:rFonts w:hint="eastAsia" w:asciiTheme="minorEastAsia" w:hAnsiTheme="minorEastAsia"/>
          <w:color w:val="000000" w:themeColor="text1"/>
          <w:sz w:val="24"/>
          <w:szCs w:val="24"/>
          <w:highlight w:val="none"/>
          <w14:textFill>
            <w14:solidFill>
              <w14:schemeClr w14:val="tx1"/>
            </w14:solidFill>
          </w14:textFill>
        </w:rPr>
        <w:t>六、合同文件的构成本协议书与下列文件一起构成合同文件:</w:t>
      </w:r>
      <w:bookmarkEnd w:id="660"/>
    </w:p>
    <w:p w14:paraId="239F0BB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1.本合同协议书；</w:t>
      </w:r>
    </w:p>
    <w:p w14:paraId="18D67E2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2.招标文件或比选文件（包括但不限于本工程的招标或比选文件、图纸、其他技术资料及招标人发出的对招标或比选文件所作的澄清、修改、补遗等资料）（若有）；</w:t>
      </w:r>
    </w:p>
    <w:p w14:paraId="7CB6E7A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3.中标通知书或委托书（如果有）；</w:t>
      </w:r>
    </w:p>
    <w:p w14:paraId="12CD608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4.投标函及投标函附录或造价咨询服务建议书（如果有）；</w:t>
      </w:r>
    </w:p>
    <w:p w14:paraId="4552ED1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5.专用条件及附录；</w:t>
      </w:r>
    </w:p>
    <w:p w14:paraId="3FE9F2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6.通用条件；</w:t>
      </w:r>
    </w:p>
    <w:p w14:paraId="1A535C2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7.投标文件（如果有）</w:t>
      </w:r>
    </w:p>
    <w:p w14:paraId="0A08BBF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8.其他合同文件。</w:t>
      </w:r>
    </w:p>
    <w:p w14:paraId="5658E50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0D744F3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1" w:name="_Toc76398637"/>
      <w:r>
        <w:rPr>
          <w:rFonts w:hint="eastAsia" w:asciiTheme="minorEastAsia" w:hAnsiTheme="minorEastAsia"/>
          <w:color w:val="000000" w:themeColor="text1"/>
          <w:sz w:val="24"/>
          <w:szCs w:val="24"/>
          <w:highlight w:val="none"/>
          <w14:textFill>
            <w14:solidFill>
              <w14:schemeClr w14:val="tx1"/>
            </w14:solidFill>
          </w14:textFill>
        </w:rPr>
        <w:t>七、词语定义</w:t>
      </w:r>
      <w:bookmarkEnd w:id="661"/>
    </w:p>
    <w:p w14:paraId="4A8CA9B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协议书中相关词语的含义与通用条件中的定义与解释相同。</w:t>
      </w:r>
    </w:p>
    <w:p w14:paraId="11C3124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2" w:name="_Toc76398638"/>
      <w:r>
        <w:rPr>
          <w:rFonts w:hint="eastAsia" w:asciiTheme="minorEastAsia" w:hAnsiTheme="minorEastAsia"/>
          <w:color w:val="000000" w:themeColor="text1"/>
          <w:sz w:val="24"/>
          <w:szCs w:val="24"/>
          <w:highlight w:val="none"/>
          <w14:textFill>
            <w14:solidFill>
              <w14:schemeClr w14:val="tx1"/>
            </w14:solidFill>
          </w14:textFill>
        </w:rPr>
        <w:t>八、其他</w:t>
      </w:r>
    </w:p>
    <w:p w14:paraId="576C828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3305CD8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九合同订立</w:t>
      </w:r>
      <w:bookmarkEnd w:id="662"/>
    </w:p>
    <w:p w14:paraId="176D304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订立地点：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重庆市南岸区行政服务中心B区3号楼 </w:t>
      </w:r>
      <w:r>
        <w:rPr>
          <w:rFonts w:hint="eastAsia" w:asciiTheme="minorEastAsia" w:hAnsiTheme="minorEastAsia"/>
          <w:color w:val="000000" w:themeColor="text1"/>
          <w:sz w:val="24"/>
          <w:szCs w:val="24"/>
          <w:highlight w:val="none"/>
          <w14:textFill>
            <w14:solidFill>
              <w14:schemeClr w14:val="tx1"/>
            </w14:solidFill>
          </w14:textFill>
        </w:rPr>
        <w:t>。</w:t>
      </w:r>
    </w:p>
    <w:p w14:paraId="109A85B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3" w:name="_Toc76398639"/>
      <w:r>
        <w:rPr>
          <w:rFonts w:hint="eastAsia" w:asciiTheme="minorEastAsia" w:hAnsiTheme="minorEastAsia"/>
          <w:color w:val="000000" w:themeColor="text1"/>
          <w:sz w:val="24"/>
          <w:szCs w:val="24"/>
          <w:highlight w:val="none"/>
          <w14:textFill>
            <w14:solidFill>
              <w14:schemeClr w14:val="tx1"/>
            </w14:solidFill>
          </w14:textFill>
        </w:rPr>
        <w:t>十、合同生效</w:t>
      </w:r>
      <w:bookmarkEnd w:id="663"/>
    </w:p>
    <w:p w14:paraId="231B6CC0">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本合同自</w:t>
      </w:r>
      <w:r>
        <w:rPr>
          <w:rFonts w:hint="eastAsia" w:asciiTheme="minorEastAsia" w:hAnsiTheme="minorEastAsia"/>
          <w:color w:val="000000" w:themeColor="text1"/>
          <w:sz w:val="24"/>
          <w:szCs w:val="24"/>
          <w:highlight w:val="none"/>
          <w:u w:val="single"/>
          <w14:textFill>
            <w14:solidFill>
              <w14:schemeClr w14:val="tx1"/>
            </w14:solidFill>
          </w14:textFill>
        </w:rPr>
        <w:t>盖章完成之日起</w:t>
      </w:r>
      <w:r>
        <w:rPr>
          <w:rFonts w:hint="eastAsia" w:asciiTheme="minorEastAsia" w:hAnsiTheme="minorEastAsia"/>
          <w:color w:val="000000" w:themeColor="text1"/>
          <w:sz w:val="24"/>
          <w:szCs w:val="24"/>
          <w:highlight w:val="none"/>
          <w14:textFill>
            <w14:solidFill>
              <w14:schemeClr w14:val="tx1"/>
            </w14:solidFill>
          </w14:textFill>
        </w:rPr>
        <w:t>生效。</w:t>
      </w:r>
    </w:p>
    <w:p w14:paraId="6AA26320">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4" w:name="_Toc76398640"/>
      <w:r>
        <w:rPr>
          <w:rFonts w:hint="eastAsia" w:asciiTheme="minorEastAsia" w:hAnsiTheme="minorEastAsia"/>
          <w:color w:val="000000" w:themeColor="text1"/>
          <w:sz w:val="24"/>
          <w:szCs w:val="24"/>
          <w:highlight w:val="none"/>
          <w14:textFill>
            <w14:solidFill>
              <w14:schemeClr w14:val="tx1"/>
            </w14:solidFill>
          </w14:textFill>
        </w:rPr>
        <w:t>十、合同份数</w:t>
      </w:r>
      <w:bookmarkEnd w:id="664"/>
    </w:p>
    <w:p w14:paraId="4A8A992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本合同一式</w:t>
      </w:r>
      <w:r>
        <w:rPr>
          <w:rFonts w:hint="eastAsia" w:asciiTheme="minorEastAsia" w:hAnsiTheme="minorEastAsia"/>
          <w:color w:val="000000" w:themeColor="text1"/>
          <w:sz w:val="24"/>
          <w:szCs w:val="24"/>
          <w:highlight w:val="none"/>
          <w:u w:val="single"/>
          <w14:textFill>
            <w14:solidFill>
              <w14:schemeClr w14:val="tx1"/>
            </w14:solidFill>
          </w14:textFill>
        </w:rPr>
        <w:t>陆</w:t>
      </w:r>
      <w:r>
        <w:rPr>
          <w:rFonts w:hint="eastAsia" w:asciiTheme="minorEastAsia" w:hAnsiTheme="minorEastAsia"/>
          <w:color w:val="000000" w:themeColor="text1"/>
          <w:sz w:val="24"/>
          <w:szCs w:val="24"/>
          <w:highlight w:val="none"/>
          <w14:textFill>
            <w14:solidFill>
              <w14:schemeClr w14:val="tx1"/>
            </w14:solidFill>
          </w14:textFill>
        </w:rPr>
        <w:t>份，具有同等法律效力，双方各持叁份。</w:t>
      </w:r>
      <w:r>
        <w:rPr>
          <w:rFonts w:hint="eastAsia" w:asciiTheme="minorEastAsia" w:hAnsiTheme="minorEastAsia"/>
          <w:color w:val="000000" w:themeColor="text1"/>
          <w:sz w:val="24"/>
          <w:szCs w:val="24"/>
          <w:highlight w:val="none"/>
          <w:lang w:val="zh-CN"/>
          <w14:textFill>
            <w14:solidFill>
              <w14:schemeClr w14:val="tx1"/>
            </w14:solidFill>
          </w14:textFill>
        </w:rPr>
        <w:t>本合同正文若出现手写内容，手写内容未经双方盖章确认则无效。本合同载明的</w:t>
      </w:r>
      <w:r>
        <w:rPr>
          <w:rFonts w:hint="eastAsia" w:asciiTheme="minorEastAsia" w:hAnsiTheme="minorEastAsia"/>
          <w:color w:val="000000" w:themeColor="text1"/>
          <w:sz w:val="24"/>
          <w:szCs w:val="24"/>
          <w:highlight w:val="none"/>
          <w14:textFill>
            <w14:solidFill>
              <w14:schemeClr w14:val="tx1"/>
            </w14:solidFill>
          </w14:textFill>
        </w:rPr>
        <w:t>委托代理人</w:t>
      </w:r>
      <w:r>
        <w:rPr>
          <w:rFonts w:hint="eastAsia" w:asciiTheme="minorEastAsia" w:hAnsiTheme="minorEastAsia"/>
          <w:color w:val="000000" w:themeColor="text1"/>
          <w:sz w:val="24"/>
          <w:szCs w:val="24"/>
          <w:highlight w:val="none"/>
          <w:lang w:val="zh-CN"/>
          <w14:textFill>
            <w14:solidFill>
              <w14:schemeClr w14:val="tx1"/>
            </w14:solidFill>
          </w14:textFill>
        </w:rPr>
        <w:t>未经书面授权，仅代表在本合同签名，其他单方承诺和认可内容无效。</w:t>
      </w:r>
    </w:p>
    <w:p w14:paraId="2A81FDF8">
      <w:pPr>
        <w:spacing w:line="360" w:lineRule="auto"/>
        <w:ind w:left="5280" w:hanging="5280" w:hangingChars="2200"/>
        <w:rPr>
          <w:rFonts w:asciiTheme="minorEastAsia" w:hAnsiTheme="minorEastAsia"/>
          <w:color w:val="000000" w:themeColor="text1"/>
          <w:sz w:val="24"/>
          <w:szCs w:val="24"/>
          <w:highlight w:val="none"/>
          <w14:textFill>
            <w14:solidFill>
              <w14:schemeClr w14:val="tx1"/>
            </w14:solidFill>
          </w14:textFill>
        </w:rPr>
      </w:pPr>
    </w:p>
    <w:tbl>
      <w:tblPr>
        <w:tblStyle w:val="29"/>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70C20E42">
        <w:tblPrEx>
          <w:tblCellMar>
            <w:top w:w="0" w:type="dxa"/>
            <w:left w:w="108" w:type="dxa"/>
            <w:bottom w:w="0" w:type="dxa"/>
            <w:right w:w="108" w:type="dxa"/>
          </w:tblCellMar>
        </w:tblPrEx>
        <w:trPr>
          <w:trHeight w:val="884" w:hRule="atLeast"/>
        </w:trPr>
        <w:tc>
          <w:tcPr>
            <w:tcW w:w="4752" w:type="dxa"/>
          </w:tcPr>
          <w:p w14:paraId="77BAFBD8">
            <w:pPr>
              <w:spacing w:line="560" w:lineRule="exact"/>
              <w:ind w:left="1010" w:hanging="1010" w:hangingChars="421"/>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甲</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c>
          <w:tcPr>
            <w:tcW w:w="4599" w:type="dxa"/>
          </w:tcPr>
          <w:p w14:paraId="79E8938F">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r>
      <w:tr w14:paraId="48E6C32D">
        <w:tblPrEx>
          <w:tblCellMar>
            <w:top w:w="0" w:type="dxa"/>
            <w:left w:w="108" w:type="dxa"/>
            <w:bottom w:w="0" w:type="dxa"/>
            <w:right w:w="108" w:type="dxa"/>
          </w:tblCellMar>
        </w:tblPrEx>
        <w:tc>
          <w:tcPr>
            <w:tcW w:w="4752" w:type="dxa"/>
          </w:tcPr>
          <w:p w14:paraId="5ADCAAFD">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116CDB17">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7D9F43E6">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委托代理人：</w:t>
            </w:r>
          </w:p>
        </w:tc>
        <w:tc>
          <w:tcPr>
            <w:tcW w:w="4599" w:type="dxa"/>
          </w:tcPr>
          <w:p w14:paraId="0330924F">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39260240">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5E975011">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委托代理人： </w:t>
            </w:r>
          </w:p>
        </w:tc>
      </w:tr>
      <w:tr w14:paraId="64DA6361">
        <w:tblPrEx>
          <w:tblCellMar>
            <w:top w:w="0" w:type="dxa"/>
            <w:left w:w="108" w:type="dxa"/>
            <w:bottom w:w="0" w:type="dxa"/>
            <w:right w:w="108" w:type="dxa"/>
          </w:tblCellMar>
        </w:tblPrEx>
        <w:trPr>
          <w:trHeight w:val="1834" w:hRule="atLeast"/>
        </w:trPr>
        <w:tc>
          <w:tcPr>
            <w:tcW w:w="4752" w:type="dxa"/>
            <w:vAlign w:val="center"/>
          </w:tcPr>
          <w:p w14:paraId="5A4D549C">
            <w:pPr>
              <w:spacing w:line="560" w:lineRule="exact"/>
              <w:ind w:left="1000" w:hanging="10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tc>
        <w:tc>
          <w:tcPr>
            <w:tcW w:w="4599" w:type="dxa"/>
          </w:tcPr>
          <w:p w14:paraId="1DA70EC3">
            <w:pPr>
              <w:spacing w:before="156" w:beforeLines="50" w:line="560" w:lineRule="exact"/>
              <w:ind w:left="1000" w:hanging="10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p w14:paraId="112DD572">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开</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户</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行：</w:t>
            </w:r>
          </w:p>
          <w:p w14:paraId="5C2234C9">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账    号：</w:t>
            </w:r>
            <w:r>
              <w:rPr>
                <w:rFonts w:asciiTheme="minorEastAsia" w:hAnsiTheme="minorEastAsia"/>
                <w:color w:val="000000" w:themeColor="text1"/>
                <w:sz w:val="24"/>
                <w:szCs w:val="24"/>
                <w:highlight w:val="none"/>
                <w14:textFill>
                  <w14:solidFill>
                    <w14:schemeClr w14:val="tx1"/>
                  </w14:solidFill>
                </w14:textFill>
              </w:rPr>
              <w:t xml:space="preserve"> </w:t>
            </w:r>
          </w:p>
        </w:tc>
      </w:tr>
      <w:tr w14:paraId="4FEB5725">
        <w:tblPrEx>
          <w:tblCellMar>
            <w:top w:w="0" w:type="dxa"/>
            <w:left w:w="108" w:type="dxa"/>
            <w:bottom w:w="0" w:type="dxa"/>
            <w:right w:w="108" w:type="dxa"/>
          </w:tblCellMar>
        </w:tblPrEx>
        <w:trPr>
          <w:trHeight w:val="1120" w:hRule="atLeast"/>
        </w:trPr>
        <w:tc>
          <w:tcPr>
            <w:tcW w:w="4752" w:type="dxa"/>
          </w:tcPr>
          <w:p w14:paraId="76C29757">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经办人：</w:t>
            </w:r>
          </w:p>
        </w:tc>
        <w:tc>
          <w:tcPr>
            <w:tcW w:w="4599" w:type="dxa"/>
          </w:tcPr>
          <w:p w14:paraId="528C20B3">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经办人：         </w:t>
            </w:r>
          </w:p>
        </w:tc>
      </w:tr>
      <w:tr w14:paraId="4D1D08F3">
        <w:tblPrEx>
          <w:tblCellMar>
            <w:top w:w="0" w:type="dxa"/>
            <w:left w:w="108" w:type="dxa"/>
            <w:bottom w:w="0" w:type="dxa"/>
            <w:right w:w="108" w:type="dxa"/>
          </w:tblCellMar>
        </w:tblPrEx>
        <w:trPr>
          <w:trHeight w:val="572" w:hRule="atLeast"/>
        </w:trPr>
        <w:tc>
          <w:tcPr>
            <w:tcW w:w="4752" w:type="dxa"/>
          </w:tcPr>
          <w:p w14:paraId="50C36F0B">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地    址： </w:t>
            </w:r>
          </w:p>
        </w:tc>
        <w:tc>
          <w:tcPr>
            <w:tcW w:w="4599" w:type="dxa"/>
          </w:tcPr>
          <w:p w14:paraId="453E607A">
            <w:pPr>
              <w:spacing w:line="560" w:lineRule="exact"/>
              <w:ind w:left="1183" w:hanging="1183" w:hangingChars="493"/>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地</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址：</w:t>
            </w:r>
            <w:r>
              <w:rPr>
                <w:rFonts w:asciiTheme="minorEastAsia" w:hAnsiTheme="minorEastAsia"/>
                <w:color w:val="000000" w:themeColor="text1"/>
                <w:sz w:val="24"/>
                <w:szCs w:val="24"/>
                <w:highlight w:val="none"/>
                <w14:textFill>
                  <w14:solidFill>
                    <w14:schemeClr w14:val="tx1"/>
                  </w14:solidFill>
                </w14:textFill>
              </w:rPr>
              <w:t xml:space="preserve"> </w:t>
            </w:r>
          </w:p>
        </w:tc>
      </w:tr>
    </w:tbl>
    <w:p w14:paraId="0D61A086">
      <w:pPr>
        <w:pStyle w:val="4"/>
        <w:ind w:firstLine="7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611C6C3">
      <w:pPr>
        <w:widowControl/>
        <w:ind w:firstLine="643"/>
        <w:jc w:val="center"/>
        <w:rPr>
          <w:rFonts w:asciiTheme="minorEastAsia" w:hAnsiTheme="minorEastAsia"/>
          <w:b/>
          <w:color w:val="000000" w:themeColor="text1"/>
          <w:sz w:val="32"/>
          <w:szCs w:val="32"/>
          <w:highlight w:val="none"/>
          <w14:textFill>
            <w14:solidFill>
              <w14:schemeClr w14:val="tx1"/>
            </w14:solidFill>
          </w14:textFill>
        </w:rPr>
      </w:pPr>
      <w:bookmarkStart w:id="665" w:name="_Toc76398641"/>
      <w:r>
        <w:rPr>
          <w:rFonts w:hint="eastAsia" w:asciiTheme="minorEastAsia" w:hAnsiTheme="minorEastAsia"/>
          <w:b/>
          <w:color w:val="000000" w:themeColor="text1"/>
          <w:sz w:val="32"/>
          <w:szCs w:val="32"/>
          <w:highlight w:val="none"/>
          <w14:textFill>
            <w14:solidFill>
              <w14:schemeClr w14:val="tx1"/>
            </w14:solidFill>
          </w14:textFill>
        </w:rPr>
        <w:t>第二部分通用条件</w:t>
      </w:r>
      <w:bookmarkEnd w:id="665"/>
    </w:p>
    <w:p w14:paraId="2362994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6" w:name="_Toc7639864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666"/>
    </w:p>
    <w:p w14:paraId="139D9E8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7" w:name="_Toc76398643"/>
      <w:r>
        <w:rPr>
          <w:rFonts w:hint="eastAsia" w:asciiTheme="minorEastAsia" w:hAnsiTheme="minorEastAsia"/>
          <w:color w:val="000000" w:themeColor="text1"/>
          <w:sz w:val="24"/>
          <w:szCs w:val="24"/>
          <w:highlight w:val="none"/>
          <w14:textFill>
            <w14:solidFill>
              <w14:schemeClr w14:val="tx1"/>
            </w14:solidFill>
          </w14:textFill>
        </w:rPr>
        <w:t>1.1 词语定义</w:t>
      </w:r>
      <w:bookmarkEnd w:id="667"/>
    </w:p>
    <w:p w14:paraId="3C22E58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组成本合同的全部文件中的下列名词和用语应具有本款所赋予的含义：</w:t>
      </w:r>
    </w:p>
    <w:p w14:paraId="318675E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1.1.1“工程”是指按照本合同约定实施造价咨询与其他服务的建设工程。</w:t>
      </w:r>
    </w:p>
    <w:p w14:paraId="5D1C0EE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1.1.2“工程造价”是指工程项目建设过程中预计或实际支出的全部费用。</w:t>
      </w:r>
    </w:p>
    <w:p w14:paraId="7DB427C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1.1.3“委托人”是指本合同中委托造价咨询与其他服务的一方，及其合法的继承人或受让人。</w:t>
      </w:r>
    </w:p>
    <w:p w14:paraId="652A441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1.1.4“咨询人”是指本合同中提供造价咨询与其他服务的一方，及其合法的继承人。</w:t>
      </w:r>
    </w:p>
    <w:p w14:paraId="22D753D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1.1.5“第三人”是指除委托人、咨询人以外与本咨询业务有关的当事人。</w:t>
      </w:r>
    </w:p>
    <w:p w14:paraId="4DBE021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1.1.6“正常工作”是指本合同订立时通用条件和专用条件中约定的咨询人的工作。</w:t>
      </w:r>
    </w:p>
    <w:p w14:paraId="3192845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1.1.7“附加工作”是指咨询人根据合同条件完成的正常工作以外的工作。</w:t>
      </w:r>
    </w:p>
    <w:p w14:paraId="49A5AA6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1.1.8“项目咨询团队”是指咨询人指派负责履行本合同的团队，其团队成员为本合同的项目咨询人员。</w:t>
      </w:r>
    </w:p>
    <w:p w14:paraId="1CEA312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1.1.9“项目负责人”是指由咨询人的法定代表人书面授权，在授权范围内负责履行本合同、主持项目咨询团队工作的负责人。</w:t>
      </w:r>
    </w:p>
    <w:p w14:paraId="737F42A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1.1.10“委托人代表”是指由委托人的法定代表人书面授权，在授权范围内行使委托人权利的人。</w:t>
      </w:r>
    </w:p>
    <w:p w14:paraId="580D37C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1.1.11“酬金”是指咨询人履行本合同义务，委托人按照本合同约定给付咨询人的金额。</w:t>
      </w:r>
    </w:p>
    <w:p w14:paraId="698645C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1.1.12“正常工作酬金”是指在协议书中载明的，咨询人完成正常工作，委托人应给付咨询人的酬金。</w:t>
      </w:r>
    </w:p>
    <w:p w14:paraId="029404F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1.1.13“附加工作酬金”是指咨询人完成附加工作，委托人应给付咨询人的酬金。</w:t>
      </w:r>
    </w:p>
    <w:p w14:paraId="70C59CC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1.1.14 “书面形式”是指合同书、信件和数据电文（包括电报、电传、传真、电子数据交换和电子邮件）等可以有形地表现所载内容的形式。</w:t>
      </w:r>
    </w:p>
    <w:p w14:paraId="0111BDD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14:paraId="7C19374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8" w:name="_Toc76398644"/>
      <w:r>
        <w:rPr>
          <w:rFonts w:hint="eastAsia" w:asciiTheme="minorEastAsia" w:hAnsiTheme="minorEastAsia"/>
          <w:color w:val="000000" w:themeColor="text1"/>
          <w:sz w:val="24"/>
          <w:szCs w:val="24"/>
          <w:highlight w:val="none"/>
          <w14:textFill>
            <w14:solidFill>
              <w14:schemeClr w14:val="tx1"/>
            </w14:solidFill>
          </w14:textFill>
        </w:rPr>
        <w:t>1.2 语言</w:t>
      </w:r>
      <w:bookmarkEnd w:id="668"/>
    </w:p>
    <w:p w14:paraId="2E2550E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本合同使用中文书写、解释和说明。如专用条件约定使用两种及以上语言文字时，应以中文为准。</w:t>
      </w:r>
    </w:p>
    <w:p w14:paraId="2A6ABBE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9" w:name="_Toc76398645"/>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669"/>
    </w:p>
    <w:p w14:paraId="70F11F3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组成本合同的下列文件彼此应能相互解释、互为说明。除专用条件另有约定外，本合同文件的解释顺序如下：</w:t>
      </w:r>
    </w:p>
    <w:p w14:paraId="075DC29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1.协议书</w:t>
      </w:r>
    </w:p>
    <w:p w14:paraId="2961B21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2.中标通知书或委托书（如果有）；</w:t>
      </w:r>
    </w:p>
    <w:p w14:paraId="39D65B7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3.专用条件及附录；</w:t>
      </w:r>
    </w:p>
    <w:p w14:paraId="2A03A77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4.通用条件；</w:t>
      </w:r>
    </w:p>
    <w:p w14:paraId="6A61D1F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5.投标函及投标函附录或造价咨询服务建议书（如果有）；</w:t>
      </w:r>
    </w:p>
    <w:p w14:paraId="1125137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6.其他合同文件。</w:t>
      </w:r>
    </w:p>
    <w:p w14:paraId="442CFA4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14:paraId="035A1DE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0" w:name="_Toc76398646"/>
      <w:r>
        <w:rPr>
          <w:rFonts w:hint="eastAsia" w:asciiTheme="minorEastAsia" w:hAnsiTheme="minorEastAsia"/>
          <w:color w:val="000000" w:themeColor="text1"/>
          <w:sz w:val="24"/>
          <w:szCs w:val="24"/>
          <w:highlight w:val="none"/>
          <w14:textFill>
            <w14:solidFill>
              <w14:schemeClr w14:val="tx1"/>
            </w14:solidFill>
          </w14:textFill>
        </w:rPr>
        <w:t>1.4 适用法律</w:t>
      </w:r>
      <w:bookmarkEnd w:id="670"/>
    </w:p>
    <w:p w14:paraId="03874C3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本合同适用中华人民共和国法律、行政法规、部门规章以及工程所在地的地方性法规、自治条例、单行条例和地方政府规章等。</w:t>
      </w:r>
    </w:p>
    <w:p w14:paraId="62B11DB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合同当事人可以在专用条件中约定本合同适用的其他规范、规程、定额、技术标准等规范性文件。</w:t>
      </w:r>
    </w:p>
    <w:p w14:paraId="6181CB2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1" w:name="_Toc76398647"/>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671"/>
    </w:p>
    <w:p w14:paraId="12B9271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2" w:name="_Toc76398648"/>
      <w:r>
        <w:rPr>
          <w:rFonts w:hint="eastAsia" w:asciiTheme="minorEastAsia" w:hAnsiTheme="minorEastAsia"/>
          <w:color w:val="000000" w:themeColor="text1"/>
          <w:sz w:val="24"/>
          <w:szCs w:val="24"/>
          <w:highlight w:val="none"/>
          <w14:textFill>
            <w14:solidFill>
              <w14:schemeClr w14:val="tx1"/>
            </w14:solidFill>
          </w14:textFill>
        </w:rPr>
        <w:t>2.1 提供资料</w:t>
      </w:r>
      <w:bookmarkEnd w:id="672"/>
    </w:p>
    <w:p w14:paraId="6C1D3B1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EB166B0">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3" w:name="_Toc76398649"/>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673"/>
    </w:p>
    <w:p w14:paraId="4ED74BA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委托人应为咨询人完成造价咨询提供必要的条件。</w:t>
      </w:r>
    </w:p>
    <w:p w14:paraId="0D90A5F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委托人需要咨询人派驻项目现场咨询人员的，除专用条件另有约定</w:t>
      </w:r>
    </w:p>
    <w:p w14:paraId="3C3EE4B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外，不提供的房屋及设备。</w:t>
      </w:r>
    </w:p>
    <w:p w14:paraId="2CC62EC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2.2.2 委托人应负责与本工程造价咨询业务有关的外部关系的协调，为咨询人履行本合同提供必要的外部条件；需要咨询人联系的由咨询人自行协调。</w:t>
      </w:r>
    </w:p>
    <w:p w14:paraId="149E40D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4" w:name="_Toc76398650"/>
      <w:r>
        <w:rPr>
          <w:rFonts w:hint="eastAsia" w:asciiTheme="minorEastAsia" w:hAnsiTheme="minorEastAsia"/>
          <w:color w:val="000000" w:themeColor="text1"/>
          <w:sz w:val="24"/>
          <w:szCs w:val="24"/>
          <w:highlight w:val="none"/>
          <w14:textFill>
            <w14:solidFill>
              <w14:schemeClr w14:val="tx1"/>
            </w14:solidFill>
          </w14:textFill>
        </w:rPr>
        <w:t>2.3 合理工作时限</w:t>
      </w:r>
      <w:bookmarkEnd w:id="674"/>
    </w:p>
    <w:p w14:paraId="4077459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委托人应当为咨询人完成其咨询工作，设定合理的工作时限。</w:t>
      </w:r>
    </w:p>
    <w:p w14:paraId="6EBAD16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5" w:name="_Toc76398651"/>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675"/>
    </w:p>
    <w:p w14:paraId="181F42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委托人应授权一名代表负责本合同的履行。委托人应在双方签订本合同 7日内，将委托人代表的姓名和权限范围书面告知咨询人。委托人更换委托人代表时，应提前 7 日书面通知咨询人。</w:t>
      </w:r>
    </w:p>
    <w:p w14:paraId="744C9CA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6" w:name="_Toc76398652"/>
      <w:r>
        <w:rPr>
          <w:rFonts w:hint="eastAsia" w:asciiTheme="minorEastAsia" w:hAnsiTheme="minorEastAsia"/>
          <w:color w:val="000000" w:themeColor="text1"/>
          <w:sz w:val="24"/>
          <w:szCs w:val="24"/>
          <w:highlight w:val="none"/>
          <w14:textFill>
            <w14:solidFill>
              <w14:schemeClr w14:val="tx1"/>
            </w14:solidFill>
          </w14:textFill>
        </w:rPr>
        <w:t>2.5 答复</w:t>
      </w:r>
      <w:bookmarkEnd w:id="676"/>
    </w:p>
    <w:p w14:paraId="1224602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委托人应当在专用条件约定的时间内就咨询人以书面形式提交并要求做出答复的事宜给予书面答复。</w:t>
      </w:r>
    </w:p>
    <w:p w14:paraId="2CD59CF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7" w:name="_Toc76398653"/>
      <w:r>
        <w:rPr>
          <w:rFonts w:hint="eastAsia" w:asciiTheme="minorEastAsia" w:hAnsiTheme="minorEastAsia"/>
          <w:color w:val="000000" w:themeColor="text1"/>
          <w:sz w:val="24"/>
          <w:szCs w:val="24"/>
          <w:highlight w:val="none"/>
          <w14:textFill>
            <w14:solidFill>
              <w14:schemeClr w14:val="tx1"/>
            </w14:solidFill>
          </w14:textFill>
        </w:rPr>
        <w:t>2.6 支付</w:t>
      </w:r>
      <w:bookmarkEnd w:id="677"/>
    </w:p>
    <w:p w14:paraId="2B37C2B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委托人应当按照合同的约定，向咨询人支付酬金。</w:t>
      </w:r>
    </w:p>
    <w:p w14:paraId="30B358B0">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8" w:name="_Toc76398654"/>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678"/>
    </w:p>
    <w:p w14:paraId="3E42E35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9" w:name="_Toc76398655"/>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679"/>
    </w:p>
    <w:p w14:paraId="038230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项目咨询团队的主要人员应具有专用条件约定的资格条件，团队人员的数量应符合专用条件的约定。</w:t>
      </w:r>
    </w:p>
    <w:p w14:paraId="14FF46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w:t>
      </w:r>
    </w:p>
    <w:p w14:paraId="115F4B9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6C29071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14:paraId="4EDA50A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咨询人员有下列情形之一，委托人要求咨询人更换的，咨询人应当更换：</w:t>
      </w:r>
    </w:p>
    <w:p w14:paraId="4B3B669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（1）存在严重过失行为的；</w:t>
      </w:r>
    </w:p>
    <w:p w14:paraId="2A98D1F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（2）存在违法行为不能履行职责的；</w:t>
      </w:r>
    </w:p>
    <w:p w14:paraId="3D9CB79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（3）涉嫌犯罪的；</w:t>
      </w:r>
    </w:p>
    <w:p w14:paraId="3166DCF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（4）不能胜任岗位职责的；</w:t>
      </w:r>
    </w:p>
    <w:p w14:paraId="71C3EE0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（5）严重违反职业道德的；</w:t>
      </w:r>
    </w:p>
    <w:p w14:paraId="2156B33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6</w:t>
      </w:r>
      <w:r>
        <w:rPr>
          <w:rFonts w:hint="eastAsia" w:asciiTheme="minorEastAsia" w:hAnsiTheme="minorEastAsia"/>
          <w:color w:val="000000" w:themeColor="text1"/>
          <w:sz w:val="24"/>
          <w:szCs w:val="24"/>
          <w:highlight w:val="none"/>
          <w14:textFill>
            <w14:solidFill>
              <w14:schemeClr w14:val="tx1"/>
            </w14:solidFill>
          </w14:textFill>
        </w:rPr>
        <w:t>）不满意的；</w:t>
      </w:r>
    </w:p>
    <w:p w14:paraId="25008EC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（7）专用条件约定的其他情形。</w:t>
      </w:r>
    </w:p>
    <w:p w14:paraId="2D5D887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0" w:name="_Toc76398656"/>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680"/>
    </w:p>
    <w:p w14:paraId="4D763BB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3.2.1 </w:t>
      </w:r>
      <w:r>
        <w:rPr>
          <w:rFonts w:hint="eastAsia" w:asciiTheme="minorEastAsia" w:hAnsiTheme="minorEastAsia"/>
          <w:color w:val="000000" w:themeColor="text1"/>
          <w:sz w:val="24"/>
          <w:szCs w:val="24"/>
          <w:highlight w:val="none"/>
          <w14:textFill>
            <w14:solidFill>
              <w14:schemeClr w14:val="tx1"/>
            </w14:solidFill>
          </w14:textFill>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6761385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14:paraId="78F950A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482C59C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咨询人应在专用条件约定的时间内，对委托人以书面形式提出的建议或者异议给予书面答复。</w:t>
      </w:r>
    </w:p>
    <w:p w14:paraId="44096F8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3.2.5 咨询人从事工程造价咨询活动，应当遵循独立、客观、公正、诚实信用的原则，不得损害社会公共利益和他人的合法权益。</w:t>
      </w:r>
    </w:p>
    <w:p w14:paraId="19B21F0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3.2.6 咨询人承诺按照法律规定及合同约定，完成合同范围内的建设工程造价咨询服务，不转包承接的造价咨询服务业务。</w:t>
      </w:r>
    </w:p>
    <w:p w14:paraId="4DF6180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1" w:name="_Toc76398657"/>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681"/>
    </w:p>
    <w:p w14:paraId="3E57493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14:paraId="563D7F9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2" w:name="_Toc76398658"/>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682"/>
    </w:p>
    <w:p w14:paraId="7CF957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328C2A1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3" w:name="_Toc76398659"/>
      <w:r>
        <w:rPr>
          <w:rFonts w:hint="eastAsia" w:asciiTheme="minorEastAsia" w:hAnsiTheme="minorEastAsia"/>
          <w:color w:val="000000" w:themeColor="text1"/>
          <w:sz w:val="24"/>
          <w:szCs w:val="24"/>
          <w:highlight w:val="none"/>
          <w14:textFill>
            <w14:solidFill>
              <w14:schemeClr w14:val="tx1"/>
            </w14:solidFill>
          </w14:textFill>
        </w:rPr>
        <w:t>4.违约责任</w:t>
      </w:r>
      <w:bookmarkEnd w:id="683"/>
    </w:p>
    <w:p w14:paraId="337B888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4" w:name="_Toc76398660"/>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684"/>
    </w:p>
    <w:p w14:paraId="3670520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委托人不履行本合同义务或者履行义务不符合本合同约定的，应承担违约责任。双方可在专用条件中约定违约金的计算及支付方法。</w:t>
      </w:r>
    </w:p>
    <w:p w14:paraId="76675D1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委托人违反本合同约定造成咨询人损失的，委托人应予以赔偿。双方可在专用条件中约定赔偿金额的确定及支付方法。</w:t>
      </w:r>
    </w:p>
    <w:p w14:paraId="7C0285F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14:paraId="5FA4A1C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5" w:name="_Toc76398661"/>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685"/>
    </w:p>
    <w:p w14:paraId="55F281B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咨询人不履行本合同义务或者履行义务不符合本合同约定的，应承担违约责任。双方可在专用条件中约定违约金的计算及支付方法。</w:t>
      </w:r>
    </w:p>
    <w:p w14:paraId="04F87E4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因咨询人违反本合同约定给委托人造成损失的，咨询人应当赔偿委托人损失。双方可在专用条件中约定赔偿金额的确定及支付方法。</w:t>
      </w:r>
    </w:p>
    <w:p w14:paraId="27B7FCB5">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6" w:name="_Toc76398662"/>
      <w:r>
        <w:rPr>
          <w:rFonts w:hint="eastAsia" w:asciiTheme="minorEastAsia" w:hAnsiTheme="minorEastAsia"/>
          <w:color w:val="000000" w:themeColor="text1"/>
          <w:sz w:val="24"/>
          <w:szCs w:val="24"/>
          <w:highlight w:val="none"/>
          <w14:textFill>
            <w14:solidFill>
              <w14:schemeClr w14:val="tx1"/>
            </w14:solidFill>
          </w14:textFill>
        </w:rPr>
        <w:t>5.支付</w:t>
      </w:r>
      <w:bookmarkEnd w:id="686"/>
    </w:p>
    <w:p w14:paraId="5951D71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7" w:name="_Toc76398663"/>
      <w:r>
        <w:rPr>
          <w:rFonts w:hint="eastAsia" w:asciiTheme="minorEastAsia" w:hAnsiTheme="minorEastAsia"/>
          <w:color w:val="000000" w:themeColor="text1"/>
          <w:sz w:val="24"/>
          <w:szCs w:val="24"/>
          <w:highlight w:val="none"/>
          <w14:textFill>
            <w14:solidFill>
              <w14:schemeClr w14:val="tx1"/>
            </w14:solidFill>
          </w14:textFill>
        </w:rPr>
        <w:t>5.1 支付货币</w:t>
      </w:r>
      <w:bookmarkEnd w:id="687"/>
    </w:p>
    <w:p w14:paraId="55CF0A3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除专用条件另有约定外，酬金均以人民币支付。涉及外币支付的，所采用的货币种类和汇率等在专用条件中约定。</w:t>
      </w:r>
    </w:p>
    <w:p w14:paraId="4E84F91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8" w:name="_Toc76398664"/>
      <w:r>
        <w:rPr>
          <w:rFonts w:hint="eastAsia" w:asciiTheme="minorEastAsia" w:hAnsiTheme="minorEastAsia"/>
          <w:color w:val="000000" w:themeColor="text1"/>
          <w:sz w:val="24"/>
          <w:szCs w:val="24"/>
          <w:highlight w:val="none"/>
          <w14:textFill>
            <w14:solidFill>
              <w14:schemeClr w14:val="tx1"/>
            </w14:solidFill>
          </w14:textFill>
        </w:rPr>
        <w:t>5.2 支付申请</w:t>
      </w:r>
      <w:bookmarkEnd w:id="688"/>
    </w:p>
    <w:p w14:paraId="0F83100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013547E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9" w:name="_Toc76398665"/>
      <w:r>
        <w:rPr>
          <w:rFonts w:hint="eastAsia" w:asciiTheme="minorEastAsia" w:hAnsiTheme="minorEastAsia"/>
          <w:color w:val="000000" w:themeColor="text1"/>
          <w:sz w:val="24"/>
          <w:szCs w:val="24"/>
          <w:highlight w:val="none"/>
          <w14:textFill>
            <w14:solidFill>
              <w14:schemeClr w14:val="tx1"/>
            </w14:solidFill>
          </w14:textFill>
        </w:rPr>
        <w:t>5.3 支付酬金</w:t>
      </w:r>
      <w:bookmarkEnd w:id="689"/>
    </w:p>
    <w:p w14:paraId="0089C50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支付酬金包括正常工作酬金、附加工作酬金、合理化建议奖励金额及费用。</w:t>
      </w:r>
    </w:p>
    <w:p w14:paraId="1F0352E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0" w:name="_Toc76398666"/>
      <w:r>
        <w:rPr>
          <w:rFonts w:hint="eastAsia" w:asciiTheme="minorEastAsia" w:hAnsiTheme="minorEastAsia"/>
          <w:color w:val="000000" w:themeColor="text1"/>
          <w:sz w:val="24"/>
          <w:szCs w:val="24"/>
          <w:highlight w:val="none"/>
          <w14:textFill>
            <w14:solidFill>
              <w14:schemeClr w14:val="tx1"/>
            </w14:solidFill>
          </w14:textFill>
        </w:rPr>
        <w:t>5.4 有异议部分的支付</w:t>
      </w:r>
      <w:bookmarkEnd w:id="690"/>
    </w:p>
    <w:p w14:paraId="54DDC6B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5A05AC8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1" w:name="_Toc76398667"/>
      <w:r>
        <w:rPr>
          <w:rFonts w:hint="eastAsia" w:asciiTheme="minorEastAsia" w:hAnsiTheme="minorEastAsia"/>
          <w:color w:val="000000" w:themeColor="text1"/>
          <w:sz w:val="24"/>
          <w:szCs w:val="24"/>
          <w:highlight w:val="none"/>
          <w14:textFill>
            <w14:solidFill>
              <w14:schemeClr w14:val="tx1"/>
            </w14:solidFill>
          </w14:textFill>
        </w:rPr>
        <w:t>6.合同变更、解除与终止</w:t>
      </w:r>
      <w:bookmarkEnd w:id="691"/>
    </w:p>
    <w:p w14:paraId="1CD0890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2" w:name="_Toc76398668"/>
      <w:r>
        <w:rPr>
          <w:rFonts w:hint="eastAsia" w:asciiTheme="minorEastAsia" w:hAnsiTheme="minorEastAsia"/>
          <w:color w:val="000000" w:themeColor="text1"/>
          <w:sz w:val="24"/>
          <w:szCs w:val="24"/>
          <w:highlight w:val="none"/>
          <w14:textFill>
            <w14:solidFill>
              <w14:schemeClr w14:val="tx1"/>
            </w14:solidFill>
          </w14:textFill>
        </w:rPr>
        <w:t>6.1 合同变更</w:t>
      </w:r>
      <w:bookmarkEnd w:id="692"/>
    </w:p>
    <w:p w14:paraId="6902E24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6.1.1 任何一方以书面形式提出变更请求时，双方经协商一致后可进行变更。</w:t>
      </w:r>
    </w:p>
    <w:p w14:paraId="3974FE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30C54F7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6A16964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因工程规模、服务范围及工作内容的变化等导致咨询人的工作量增减时，服务酬金应作相应调整，调整方法由双方在专用条件中约定。</w:t>
      </w:r>
    </w:p>
    <w:p w14:paraId="1762622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3" w:name="_Toc76398669"/>
      <w:r>
        <w:rPr>
          <w:rFonts w:hint="eastAsia" w:asciiTheme="minorEastAsia" w:hAnsiTheme="minorEastAsia"/>
          <w:color w:val="000000" w:themeColor="text1"/>
          <w:sz w:val="24"/>
          <w:szCs w:val="24"/>
          <w:highlight w:val="none"/>
          <w14:textFill>
            <w14:solidFill>
              <w14:schemeClr w14:val="tx1"/>
            </w14:solidFill>
          </w14:textFill>
        </w:rPr>
        <w:t>6.2 合同解除</w:t>
      </w:r>
      <w:bookmarkEnd w:id="693"/>
    </w:p>
    <w:p w14:paraId="4BD5E6D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6.2.1 委托人与咨询人协商一致，可以解除合同。</w:t>
      </w:r>
    </w:p>
    <w:p w14:paraId="225E4BB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6.2.2 有下列情形之一的，合同当事人一方或双方可以解除合同：</w:t>
      </w:r>
    </w:p>
    <w:p w14:paraId="17D6D32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（1）咨询人将本合同约定的工程造价咨询服务工作全部或部分转包给他人，委托人可以解除合同；</w:t>
      </w:r>
    </w:p>
    <w:p w14:paraId="2B24A8F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（2）咨询人提供的造价咨询服务不符合合同约定的要求，经委托人催告仍不能达到合同约定要求的，委托人可以解除合同；</w:t>
      </w:r>
    </w:p>
    <w:p w14:paraId="444BEC1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（3）因不可抗力致使合同无法履行；</w:t>
      </w:r>
    </w:p>
    <w:p w14:paraId="5C7505A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（4）因一方违约致使合同无法实际履行或实际履行已无必要。</w:t>
      </w:r>
    </w:p>
    <w:p w14:paraId="50481F0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除上述情形外，双方可以根据委托的服务范围及工作内容，在专用条件中约定解除合同的其他条件。</w:t>
      </w:r>
    </w:p>
    <w:p w14:paraId="46E097E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6.2.3 任何一方提出解除合同的，应提前 30 天书面通知对方，无法提前通知解除的情形除外。</w:t>
      </w:r>
    </w:p>
    <w:p w14:paraId="28B4336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29CC69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6.2.5 本合同解除后，本合同约定的有关结算、争议解决方式的条款仍然有效。</w:t>
      </w:r>
    </w:p>
    <w:p w14:paraId="137F380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4" w:name="_Toc76398670"/>
      <w:r>
        <w:rPr>
          <w:rFonts w:hint="eastAsia" w:asciiTheme="minorEastAsia" w:hAnsiTheme="minorEastAsia"/>
          <w:color w:val="000000" w:themeColor="text1"/>
          <w:sz w:val="24"/>
          <w:szCs w:val="24"/>
          <w:highlight w:val="none"/>
          <w14:textFill>
            <w14:solidFill>
              <w14:schemeClr w14:val="tx1"/>
            </w14:solidFill>
          </w14:textFill>
        </w:rPr>
        <w:t>6.3 合同终止</w:t>
      </w:r>
      <w:bookmarkEnd w:id="694"/>
    </w:p>
    <w:p w14:paraId="18B6362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除合同解除外，以下条件全部满足时，本合同终止：</w:t>
      </w:r>
    </w:p>
    <w:p w14:paraId="4B63F7E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（1）咨询人完成本合同约定的全部工作；</w:t>
      </w:r>
    </w:p>
    <w:p w14:paraId="7E377E4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（2）委托人与咨询人结清并支付酬金；</w:t>
      </w:r>
    </w:p>
    <w:p w14:paraId="0AB29A2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（3）咨询人将委托人提供的资料交还。</w:t>
      </w:r>
    </w:p>
    <w:p w14:paraId="52046C5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5" w:name="_Toc76398671"/>
      <w:r>
        <w:rPr>
          <w:rFonts w:hint="eastAsia" w:asciiTheme="minorEastAsia" w:hAnsiTheme="minorEastAsia"/>
          <w:color w:val="000000" w:themeColor="text1"/>
          <w:sz w:val="24"/>
          <w:szCs w:val="24"/>
          <w:highlight w:val="none"/>
          <w14:textFill>
            <w14:solidFill>
              <w14:schemeClr w14:val="tx1"/>
            </w14:solidFill>
          </w14:textFill>
        </w:rPr>
        <w:t>7.争议解决</w:t>
      </w:r>
      <w:bookmarkEnd w:id="695"/>
    </w:p>
    <w:p w14:paraId="0A6D8F2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6" w:name="_Toc76398672"/>
      <w:r>
        <w:rPr>
          <w:rFonts w:hint="eastAsia" w:asciiTheme="minorEastAsia" w:hAnsiTheme="minorEastAsia"/>
          <w:color w:val="000000" w:themeColor="text1"/>
          <w:sz w:val="24"/>
          <w:szCs w:val="24"/>
          <w:highlight w:val="none"/>
          <w14:textFill>
            <w14:solidFill>
              <w14:schemeClr w14:val="tx1"/>
            </w14:solidFill>
          </w14:textFill>
        </w:rPr>
        <w:t>7.1 协商</w:t>
      </w:r>
      <w:bookmarkEnd w:id="696"/>
    </w:p>
    <w:p w14:paraId="220CB70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双方应本着诚实信用的原则协商解决本合同履行过程中发生的争议。</w:t>
      </w:r>
    </w:p>
    <w:p w14:paraId="6BC5599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7" w:name="_Toc76398673"/>
      <w:r>
        <w:rPr>
          <w:rFonts w:hint="eastAsia" w:asciiTheme="minorEastAsia" w:hAnsiTheme="minorEastAsia"/>
          <w:color w:val="000000" w:themeColor="text1"/>
          <w:sz w:val="24"/>
          <w:szCs w:val="24"/>
          <w:highlight w:val="none"/>
          <w14:textFill>
            <w14:solidFill>
              <w14:schemeClr w14:val="tx1"/>
            </w14:solidFill>
          </w14:textFill>
        </w:rPr>
        <w:t>7.2 调解</w:t>
      </w:r>
      <w:bookmarkEnd w:id="697"/>
    </w:p>
    <w:p w14:paraId="7B0259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 14 日内或双方商定的其他时间内解决本合同争议，可以将其提交给专用条件约定的或事后达成协议的调解人进行调解。</w:t>
      </w:r>
    </w:p>
    <w:p w14:paraId="79E183D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8" w:name="_Toc76398674"/>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698"/>
    </w:p>
    <w:p w14:paraId="198E176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双方均有权不经调解直接向专用条件约定的仲裁机构申请仲裁或向有管辖权的人民法院提起诉讼。</w:t>
      </w:r>
    </w:p>
    <w:p w14:paraId="3A4F445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9" w:name="_Toc76398675"/>
      <w:r>
        <w:rPr>
          <w:rFonts w:hint="eastAsia" w:asciiTheme="minorEastAsia" w:hAnsiTheme="minorEastAsia"/>
          <w:color w:val="000000" w:themeColor="text1"/>
          <w:sz w:val="24"/>
          <w:szCs w:val="24"/>
          <w:highlight w:val="none"/>
          <w14:textFill>
            <w14:solidFill>
              <w14:schemeClr w14:val="tx1"/>
            </w14:solidFill>
          </w14:textFill>
        </w:rPr>
        <w:t>8.其他</w:t>
      </w:r>
      <w:bookmarkEnd w:id="699"/>
    </w:p>
    <w:p w14:paraId="20F7D34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0" w:name="_Toc76398676"/>
      <w:r>
        <w:rPr>
          <w:rFonts w:hint="eastAsia" w:asciiTheme="minorEastAsia" w:hAnsiTheme="minorEastAsia"/>
          <w:color w:val="000000" w:themeColor="text1"/>
          <w:sz w:val="24"/>
          <w:szCs w:val="24"/>
          <w:highlight w:val="none"/>
          <w14:textFill>
            <w14:solidFill>
              <w14:schemeClr w14:val="tx1"/>
            </w14:solidFill>
          </w14:textFill>
        </w:rPr>
        <w:t>8.1 考察及相关费用</w:t>
      </w:r>
      <w:bookmarkEnd w:id="700"/>
    </w:p>
    <w:p w14:paraId="0C35B4B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0EDACDA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1" w:name="_Toc76398677"/>
      <w:r>
        <w:rPr>
          <w:rFonts w:hint="eastAsia" w:asciiTheme="minorEastAsia" w:hAnsiTheme="minorEastAsia"/>
          <w:color w:val="000000" w:themeColor="text1"/>
          <w:sz w:val="24"/>
          <w:szCs w:val="24"/>
          <w:highlight w:val="none"/>
          <w14:textFill>
            <w14:solidFill>
              <w14:schemeClr w14:val="tx1"/>
            </w14:solidFill>
          </w14:textFill>
        </w:rPr>
        <w:t>8.2 奖励</w:t>
      </w:r>
      <w:bookmarkEnd w:id="701"/>
    </w:p>
    <w:p w14:paraId="54AB68A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5520204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2" w:name="_Toc76398678"/>
      <w:r>
        <w:rPr>
          <w:rFonts w:hint="eastAsia" w:asciiTheme="minorEastAsia" w:hAnsiTheme="minorEastAsia"/>
          <w:color w:val="000000" w:themeColor="text1"/>
          <w:sz w:val="24"/>
          <w:szCs w:val="24"/>
          <w:highlight w:val="none"/>
          <w14:textFill>
            <w14:solidFill>
              <w14:schemeClr w14:val="tx1"/>
            </w14:solidFill>
          </w14:textFill>
        </w:rPr>
        <w:t>8.3 保密</w:t>
      </w:r>
      <w:bookmarkEnd w:id="702"/>
    </w:p>
    <w:p w14:paraId="7E66F53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7CA5E61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3" w:name="_Toc76398679"/>
      <w:r>
        <w:rPr>
          <w:rFonts w:hint="eastAsia" w:asciiTheme="minorEastAsia" w:hAnsiTheme="minorEastAsia"/>
          <w:color w:val="000000" w:themeColor="text1"/>
          <w:sz w:val="24"/>
          <w:szCs w:val="24"/>
          <w:highlight w:val="none"/>
          <w14:textFill>
            <w14:solidFill>
              <w14:schemeClr w14:val="tx1"/>
            </w14:solidFill>
          </w14:textFill>
        </w:rPr>
        <w:t>8.4 联络</w:t>
      </w:r>
      <w:bookmarkEnd w:id="703"/>
    </w:p>
    <w:p w14:paraId="24FFC84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与合同有关的通知、指示、要求、决定等，均应采用书面形式，并应在专用条件约定的期限内送达接收人和送达地点。</w:t>
      </w:r>
    </w:p>
    <w:p w14:paraId="01A2D16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66EC6A2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14F872E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4" w:name="_Toc76398680"/>
      <w:r>
        <w:rPr>
          <w:rFonts w:hint="eastAsia" w:asciiTheme="minorEastAsia" w:hAnsiTheme="minorEastAsia"/>
          <w:color w:val="000000" w:themeColor="text1"/>
          <w:sz w:val="24"/>
          <w:szCs w:val="24"/>
          <w:highlight w:val="none"/>
          <w14:textFill>
            <w14:solidFill>
              <w14:schemeClr w14:val="tx1"/>
            </w14:solidFill>
          </w14:textFill>
        </w:rPr>
        <w:t>8.5 知识产权</w:t>
      </w:r>
      <w:bookmarkEnd w:id="704"/>
    </w:p>
    <w:p w14:paraId="7C2070F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31AB7AA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A34443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5A025F9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6AF7C6CA">
      <w:pPr>
        <w:widowControl/>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br w:type="page"/>
      </w:r>
    </w:p>
    <w:p w14:paraId="33994860">
      <w:pPr>
        <w:spacing w:line="360" w:lineRule="auto"/>
        <w:ind w:firstLine="643"/>
        <w:jc w:val="center"/>
        <w:outlineLvl w:val="0"/>
        <w:rPr>
          <w:rFonts w:asciiTheme="minorEastAsia" w:hAnsiTheme="minorEastAsia"/>
          <w:b/>
          <w:color w:val="000000" w:themeColor="text1"/>
          <w:sz w:val="32"/>
          <w:szCs w:val="32"/>
          <w:highlight w:val="none"/>
          <w14:textFill>
            <w14:solidFill>
              <w14:schemeClr w14:val="tx1"/>
            </w14:solidFill>
          </w14:textFill>
        </w:rPr>
      </w:pPr>
      <w:bookmarkStart w:id="705" w:name="_Toc76398681"/>
      <w:r>
        <w:rPr>
          <w:rFonts w:hint="eastAsia" w:asciiTheme="minorEastAsia" w:hAnsiTheme="minorEastAsia"/>
          <w:b/>
          <w:color w:val="000000" w:themeColor="text1"/>
          <w:sz w:val="32"/>
          <w:szCs w:val="32"/>
          <w:highlight w:val="none"/>
          <w14:textFill>
            <w14:solidFill>
              <w14:schemeClr w14:val="tx1"/>
            </w14:solidFill>
          </w14:textFill>
        </w:rPr>
        <w:t>第三部分专用条件</w:t>
      </w:r>
      <w:bookmarkEnd w:id="705"/>
    </w:p>
    <w:p w14:paraId="527D6224">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06" w:name="_Toc7639868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706"/>
    </w:p>
    <w:p w14:paraId="5157ADA3">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7" w:name="_Toc76398683"/>
      <w:r>
        <w:rPr>
          <w:rFonts w:hint="eastAsia" w:asciiTheme="minorEastAsia" w:hAnsiTheme="minorEastAsia"/>
          <w:color w:val="000000" w:themeColor="text1"/>
          <w:sz w:val="24"/>
          <w:szCs w:val="24"/>
          <w:highlight w:val="none"/>
          <w14:textFill>
            <w14:solidFill>
              <w14:schemeClr w14:val="tx1"/>
            </w14:solidFill>
          </w14:textFill>
        </w:rPr>
        <w:t>1.2 语言</w:t>
      </w:r>
      <w:bookmarkEnd w:id="707"/>
    </w:p>
    <w:p w14:paraId="51E7F7F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本合同文件除使用中文外，还可用</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25F9D2B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8" w:name="_Toc76398684"/>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708"/>
    </w:p>
    <w:p w14:paraId="6178C4F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本合同文件的解释顺序为：</w:t>
      </w:r>
    </w:p>
    <w:p w14:paraId="21FFFBF9">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1.3.1.协议书；</w:t>
      </w:r>
    </w:p>
    <w:p w14:paraId="2BD586B1">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1.3.2. 招标文件或比选文件（包括但不限于本工程的招标或比选文件、图纸、其他技术资料及招标人发出的对招标或比选文件所作的澄清、修改、补遗等资料）（若有）；</w:t>
      </w:r>
    </w:p>
    <w:p w14:paraId="1902362E">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1.3.3.中标通知书或委托书（如果有）；</w:t>
      </w:r>
    </w:p>
    <w:p w14:paraId="58E027EE">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1.3.3.专用条件及附录；</w:t>
      </w:r>
    </w:p>
    <w:p w14:paraId="7BAE3ED5">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1.3.4.通用条件；</w:t>
      </w:r>
    </w:p>
    <w:p w14:paraId="2179A2F3">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1.3.6.投标函及投标函附录或造价咨询服务建议书（如果有）；</w:t>
      </w:r>
    </w:p>
    <w:p w14:paraId="423DDD1F">
      <w:pPr>
        <w:pStyle w:val="69"/>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1.3.7.其他合同文件。</w:t>
      </w:r>
    </w:p>
    <w:p w14:paraId="6E2F756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9" w:name="_Toc76398685"/>
      <w:r>
        <w:rPr>
          <w:rFonts w:hint="eastAsia" w:asciiTheme="minorEastAsia" w:hAnsiTheme="minorEastAsia"/>
          <w:color w:val="000000" w:themeColor="text1"/>
          <w:sz w:val="24"/>
          <w:szCs w:val="24"/>
          <w:highlight w:val="none"/>
          <w14:textFill>
            <w14:solidFill>
              <w14:schemeClr w14:val="tx1"/>
            </w14:solidFill>
          </w14:textFill>
        </w:rPr>
        <w:t>1.4 适用法律</w:t>
      </w:r>
      <w:bookmarkEnd w:id="709"/>
    </w:p>
    <w:p w14:paraId="27C3FBD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本合同适用的其他规范性文件包括: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重庆市现行的工程量清单计算规则、定额、规程、技术标准等规范性文件</w:t>
      </w:r>
      <w:r>
        <w:rPr>
          <w:rFonts w:hint="eastAsia" w:asciiTheme="minorEastAsia" w:hAnsiTheme="minorEastAsia"/>
          <w:color w:val="000000" w:themeColor="text1"/>
          <w:sz w:val="24"/>
          <w:szCs w:val="24"/>
          <w:highlight w:val="none"/>
          <w14:textFill>
            <w14:solidFill>
              <w14:schemeClr w14:val="tx1"/>
            </w14:solidFill>
          </w14:textFill>
        </w:rPr>
        <w:t>。</w:t>
      </w:r>
    </w:p>
    <w:p w14:paraId="32143CA6">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0" w:name="_Toc76398686"/>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710"/>
    </w:p>
    <w:p w14:paraId="06074ED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1" w:name="_Toc76398687"/>
      <w:r>
        <w:rPr>
          <w:rFonts w:hint="eastAsia" w:asciiTheme="minorEastAsia" w:hAnsiTheme="minorEastAsia"/>
          <w:color w:val="000000" w:themeColor="text1"/>
          <w:sz w:val="24"/>
          <w:szCs w:val="24"/>
          <w:highlight w:val="none"/>
          <w14:textFill>
            <w14:solidFill>
              <w14:schemeClr w14:val="tx1"/>
            </w14:solidFill>
          </w14:textFill>
        </w:rPr>
        <w:t>2.1 提供资料</w:t>
      </w:r>
      <w:bookmarkEnd w:id="711"/>
    </w:p>
    <w:p w14:paraId="7D54A2E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委托人按照附录 C 约定无偿向咨询人提供与本合同咨询业务有关资料的时间为：</w:t>
      </w:r>
      <w:r>
        <w:rPr>
          <w:rFonts w:hint="eastAsia" w:asciiTheme="minorEastAsia" w:hAnsiTheme="minorEastAsia"/>
          <w:color w:val="000000" w:themeColor="text1"/>
          <w:sz w:val="24"/>
          <w:szCs w:val="24"/>
          <w:highlight w:val="none"/>
          <w:u w:val="single"/>
          <w14:textFill>
            <w14:solidFill>
              <w14:schemeClr w14:val="tx1"/>
            </w14:solidFill>
          </w14:textFill>
        </w:rPr>
        <w:t>签订合同后7日内</w:t>
      </w:r>
      <w:r>
        <w:rPr>
          <w:rFonts w:hint="eastAsia" w:asciiTheme="minorEastAsia" w:hAnsiTheme="minorEastAsia"/>
          <w:color w:val="000000" w:themeColor="text1"/>
          <w:sz w:val="24"/>
          <w:szCs w:val="24"/>
          <w:highlight w:val="none"/>
          <w14:textFill>
            <w14:solidFill>
              <w14:schemeClr w14:val="tx1"/>
            </w14:solidFill>
          </w14:textFill>
        </w:rPr>
        <w:t>。</w:t>
      </w:r>
    </w:p>
    <w:p w14:paraId="504D999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2" w:name="_Toc76398688"/>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712"/>
    </w:p>
    <w:p w14:paraId="14CE0B1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本合同履行中，委托人不需要向项目咨询人员提供的房屋及设备。</w:t>
      </w:r>
    </w:p>
    <w:p w14:paraId="3019300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3" w:name="_Toc76398689"/>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713"/>
    </w:p>
    <w:p w14:paraId="69AADB1F">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项目管理代表为：</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w:t>
      </w:r>
    </w:p>
    <w:p w14:paraId="522079B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成本控制代表：</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w:t>
      </w:r>
    </w:p>
    <w:p w14:paraId="6FF1A883">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4" w:name="_Toc76398690"/>
      <w:r>
        <w:rPr>
          <w:rFonts w:hint="eastAsia" w:asciiTheme="minorEastAsia" w:hAnsiTheme="minorEastAsia"/>
          <w:color w:val="000000" w:themeColor="text1"/>
          <w:sz w:val="24"/>
          <w:szCs w:val="24"/>
          <w:highlight w:val="none"/>
          <w14:textFill>
            <w14:solidFill>
              <w14:schemeClr w14:val="tx1"/>
            </w14:solidFill>
          </w14:textFill>
        </w:rPr>
        <w:t>2.5 答复</w:t>
      </w:r>
      <w:bookmarkEnd w:id="714"/>
    </w:p>
    <w:p w14:paraId="05666A6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委托人同意在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7 </w:t>
      </w:r>
      <w:r>
        <w:rPr>
          <w:rFonts w:hint="eastAsia" w:asciiTheme="minorEastAsia" w:hAnsiTheme="minorEastAsia"/>
          <w:color w:val="000000" w:themeColor="text1"/>
          <w:sz w:val="24"/>
          <w:szCs w:val="24"/>
          <w:highlight w:val="none"/>
          <w14:textFill>
            <w14:solidFill>
              <w14:schemeClr w14:val="tx1"/>
            </w14:solidFill>
          </w14:textFill>
        </w:rPr>
        <w:t>日内，对咨询人书面提交并要求做出决定的事宜给予书面答复。</w:t>
      </w:r>
    </w:p>
    <w:p w14:paraId="16A2F34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5" w:name="_Toc76398691"/>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715"/>
    </w:p>
    <w:p w14:paraId="2CEE011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6" w:name="_Toc76398692"/>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716"/>
    </w:p>
    <w:p w14:paraId="493EC64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项目咨询团队的主要人员应具有资格条件，团队人员的数量为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人，具体见附录A。</w:t>
      </w:r>
    </w:p>
    <w:p w14:paraId="2CD40FD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3EA44AB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咨询人更换项目咨询团队其他咨询人员的约定：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未经委托人同意，咨询人不得擅自更换人员，否则，视为咨询人违约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14:paraId="1095D64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委托人要求更换咨询人员的情形还包括：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委托人要求更换时，咨询人应当无条件更换，否则，视为咨询人违约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14:paraId="64C4178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施工阶段工程造价全过程控制补充3.1.5条</w:t>
      </w:r>
    </w:p>
    <w:p w14:paraId="70B858B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14:paraId="273DB50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本合同中约定的拟派人员无法满足现场管理的实际需要，特别是在抢工期间时段，咨询人必须按委托人要求无条件增加驻场人员，且不调整合同价。</w:t>
      </w:r>
    </w:p>
    <w:p w14:paraId="2F14B87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咨询人擅自更换人员，视为咨询人违约，委托人有权解除本合同，且咨询人按照本合同约定总服务费用的30%向委托人承担违约金。</w:t>
      </w:r>
    </w:p>
    <w:p w14:paraId="3846B41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咨询人未按照本协议约定更换人员，视为咨询人违约，委托人有权解除本合同，且咨询人按照本合同约定总服务费用的30%向委托人承担违约金。</w:t>
      </w:r>
    </w:p>
    <w:p w14:paraId="07AF168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7" w:name="_Toc76398693"/>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717"/>
    </w:p>
    <w:p w14:paraId="36DCF16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3.2.1 咨询人向委托人提供有关资料的时间：</w:t>
      </w:r>
    </w:p>
    <w:p w14:paraId="5217AD12">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A:工程量清单</w:t>
      </w:r>
      <w:r>
        <w:rPr>
          <w:rFonts w:hint="eastAsia" w:asciiTheme="minorEastAsia" w:hAnsiTheme="minorEastAsia"/>
          <w:color w:val="000000" w:themeColor="text1"/>
          <w:sz w:val="24"/>
          <w:szCs w:val="24"/>
          <w:highlight w:val="none"/>
          <w14:textFill>
            <w14:solidFill>
              <w14:schemeClr w14:val="tx1"/>
            </w14:solidFill>
          </w14:textFill>
        </w:rPr>
        <w:t>及组价编制（审核）或招标控制价编制（审核）：</w:t>
      </w:r>
      <w:r>
        <w:rPr>
          <w:rFonts w:asciiTheme="minorEastAsia" w:hAnsiTheme="minorEastAsia"/>
          <w:color w:val="000000" w:themeColor="text1"/>
          <w:sz w:val="24"/>
          <w:szCs w:val="24"/>
          <w:highlight w:val="none"/>
          <w14:textFill>
            <w14:solidFill>
              <w14:schemeClr w14:val="tx1"/>
            </w14:solidFill>
          </w14:textFill>
        </w:rPr>
        <w:t xml:space="preserve">    年   月  日前提交</w:t>
      </w:r>
      <w:r>
        <w:rPr>
          <w:rFonts w:hint="eastAsia" w:asciiTheme="minorEastAsia" w:hAnsiTheme="minorEastAsia"/>
          <w:color w:val="000000" w:themeColor="text1"/>
          <w:sz w:val="24"/>
          <w:szCs w:val="24"/>
          <w:highlight w:val="none"/>
          <w14:textFill>
            <w14:solidFill>
              <w14:schemeClr w14:val="tx1"/>
            </w14:solidFill>
          </w14:textFill>
        </w:rPr>
        <w:t>编制成果资料；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日前完成工程量清单及组价核对并提交最终报告。</w:t>
      </w:r>
    </w:p>
    <w:p w14:paraId="40909FCD">
      <w:pPr>
        <w:pStyle w:val="4"/>
        <w:ind w:firstLine="480"/>
        <w:jc w:val="left"/>
        <w:rPr>
          <w:color w:val="000000" w:themeColor="text1"/>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B：施工阶段工程造价全过程控制：</w:t>
      </w:r>
      <w:r>
        <w:rPr>
          <w:color w:val="000000" w:themeColor="text1"/>
          <w:highlight w:val="none"/>
          <w14:textFill>
            <w14:solidFill>
              <w14:schemeClr w14:val="tx1"/>
            </w14:solidFill>
          </w14:textFill>
        </w:rPr>
        <w:t xml:space="preserve"> </w:t>
      </w:r>
    </w:p>
    <w:p w14:paraId="2635D51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及时完成工程造价过程控制并提交成果资料不影响工程进度，按照施工合同条款，在约定的时间内完成工程进度报表审核。按照施工合同条款，在约定的时间内提交相关报告及结算审核报告。</w:t>
      </w:r>
    </w:p>
    <w:p w14:paraId="1823724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14:paraId="6D1C97A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逾期提供前述书面资料，每逾期一日向委托人承担违约金</w:t>
      </w:r>
      <w:r>
        <w:rPr>
          <w:rFonts w:asciiTheme="minorEastAsia" w:hAnsiTheme="minorEastAsia"/>
          <w:color w:val="000000" w:themeColor="text1"/>
          <w:sz w:val="24"/>
          <w:szCs w:val="24"/>
          <w:highlight w:val="none"/>
          <w:u w:val="single"/>
          <w14:textFill>
            <w14:solidFill>
              <w14:schemeClr w14:val="tx1"/>
            </w14:solidFill>
          </w14:textFill>
        </w:rPr>
        <w:t xml:space="preserve"> 1000-10000 </w:t>
      </w:r>
      <w:r>
        <w:rPr>
          <w:rFonts w:hint="eastAsia" w:asciiTheme="minorEastAsia" w:hAnsiTheme="minorEastAsia"/>
          <w:color w:val="000000" w:themeColor="text1"/>
          <w:sz w:val="24"/>
          <w:szCs w:val="24"/>
          <w:highlight w:val="none"/>
          <w14:textFill>
            <w14:solidFill>
              <w14:schemeClr w14:val="tx1"/>
            </w14:solidFill>
          </w14:textFill>
        </w:rPr>
        <w:t>元，逾期</w:t>
      </w:r>
      <w:r>
        <w:rPr>
          <w:rFonts w:asciiTheme="minorEastAsia" w:hAnsiTheme="minorEastAsia"/>
          <w:color w:val="000000" w:themeColor="text1"/>
          <w:sz w:val="24"/>
          <w:szCs w:val="24"/>
          <w:highlight w:val="none"/>
          <w14:textFill>
            <w14:solidFill>
              <w14:schemeClr w14:val="tx1"/>
            </w14:solidFill>
          </w14:textFill>
        </w:rPr>
        <w:t>10</w:t>
      </w:r>
      <w:r>
        <w:rPr>
          <w:rFonts w:hint="eastAsia" w:asciiTheme="minorEastAsia" w:hAnsiTheme="minorEastAsia"/>
          <w:color w:val="000000" w:themeColor="text1"/>
          <w:sz w:val="24"/>
          <w:szCs w:val="24"/>
          <w:highlight w:val="none"/>
          <w14:textFill>
            <w14:solidFill>
              <w14:schemeClr w14:val="tx1"/>
            </w14:solidFill>
          </w14:textFill>
        </w:rPr>
        <w:t>日未提交，委托人有权解除本合同，咨询人按照本合同约定金额的30%委托人承担违约金，同时，咨询人承担给委托人造成的一切损失。</w:t>
      </w:r>
    </w:p>
    <w:p w14:paraId="5D9C32E0">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咨询人向委托人提供的资料还包括：</w:t>
      </w:r>
      <w:r>
        <w:rPr>
          <w:rFonts w:hint="eastAsia" w:asciiTheme="minorEastAsia" w:hAnsiTheme="minorEastAsia"/>
          <w:color w:val="000000" w:themeColor="text1"/>
          <w:sz w:val="24"/>
          <w:szCs w:val="24"/>
          <w:highlight w:val="none"/>
          <w:u w:val="single"/>
          <w14:textFill>
            <w14:solidFill>
              <w14:schemeClr w14:val="tx1"/>
            </w14:solidFill>
          </w14:textFill>
        </w:rPr>
        <w:t>详见</w:t>
      </w:r>
      <w:r>
        <w:rPr>
          <w:rFonts w:asciiTheme="minorEastAsia" w:hAnsiTheme="minorEastAsia"/>
          <w:color w:val="000000" w:themeColor="text1"/>
          <w:sz w:val="24"/>
          <w:szCs w:val="24"/>
          <w:highlight w:val="none"/>
          <w:u w:val="single"/>
          <w14:textFill>
            <w14:solidFill>
              <w14:schemeClr w14:val="tx1"/>
            </w14:solidFill>
          </w14:textFill>
        </w:rPr>
        <w:t>附</w:t>
      </w:r>
      <w:r>
        <w:rPr>
          <w:rFonts w:hint="eastAsia" w:asciiTheme="minorEastAsia" w:hAnsiTheme="minorEastAsia"/>
          <w:color w:val="000000" w:themeColor="text1"/>
          <w:sz w:val="24"/>
          <w:szCs w:val="24"/>
          <w:highlight w:val="none"/>
          <w:u w:val="single"/>
          <w14:textFill>
            <w14:solidFill>
              <w14:schemeClr w14:val="tx1"/>
            </w14:solidFill>
          </w14:textFill>
        </w:rPr>
        <w:t>录B</w:t>
      </w:r>
      <w:r>
        <w:rPr>
          <w:rFonts w:asciiTheme="minorEastAsia" w:hAnsiTheme="minorEastAsia"/>
          <w:color w:val="000000" w:themeColor="text1"/>
          <w:sz w:val="24"/>
          <w:szCs w:val="24"/>
          <w:highlight w:val="none"/>
          <w:u w:val="single"/>
          <w14:textFill>
            <w14:solidFill>
              <w14:schemeClr w14:val="tx1"/>
            </w14:solidFill>
          </w14:textFill>
        </w:rPr>
        <w:t>。</w:t>
      </w:r>
    </w:p>
    <w:p w14:paraId="411EA22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咨询人向委托人提供咨询成果文件的名称、组成、时间、份数及质量标准：</w:t>
      </w:r>
      <w:r>
        <w:rPr>
          <w:rFonts w:hint="eastAsia" w:asciiTheme="minorEastAsia" w:hAnsiTheme="minorEastAsia"/>
          <w:color w:val="000000" w:themeColor="text1"/>
          <w:sz w:val="24"/>
          <w:szCs w:val="24"/>
          <w:highlight w:val="none"/>
          <w:u w:val="single"/>
          <w14:textFill>
            <w14:solidFill>
              <w14:schemeClr w14:val="tx1"/>
            </w14:solidFill>
          </w14:textFill>
        </w:rPr>
        <w:t>相关报告纸质档和电子档各一式贰份，具体见附录B。</w:t>
      </w:r>
      <w:r>
        <w:rPr>
          <w:rFonts w:hint="eastAsia" w:ascii="宋体" w:hAnsi="宋体"/>
          <w:color w:val="000000" w:themeColor="text1"/>
          <w:sz w:val="24"/>
          <w:szCs w:val="24"/>
          <w:highlight w:val="none"/>
          <w:u w:val="single"/>
          <w14:textFill>
            <w14:solidFill>
              <w14:schemeClr w14:val="tx1"/>
            </w14:solidFill>
          </w14:textFill>
        </w:rPr>
        <w:t>若委托人要求额外提供时，咨询人免费提供</w:t>
      </w:r>
      <w:r>
        <w:rPr>
          <w:rFonts w:hint="eastAsia" w:asciiTheme="minorEastAsia" w:hAnsiTheme="minorEastAsia"/>
          <w:color w:val="000000" w:themeColor="text1"/>
          <w:sz w:val="24"/>
          <w:szCs w:val="24"/>
          <w:highlight w:val="none"/>
          <w14:textFill>
            <w14:solidFill>
              <w14:schemeClr w14:val="tx1"/>
            </w14:solidFill>
          </w14:textFill>
        </w:rPr>
        <w:t>。</w:t>
      </w:r>
    </w:p>
    <w:p w14:paraId="01CADA7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咨询人应在收到委托人提出的建议或者异议后</w:t>
      </w:r>
      <w:r>
        <w:rPr>
          <w:rFonts w:hint="eastAsia" w:asciiTheme="minorEastAsia" w:hAnsiTheme="minorEastAsia"/>
          <w:color w:val="000000" w:themeColor="text1"/>
          <w:sz w:val="24"/>
          <w:szCs w:val="24"/>
          <w:highlight w:val="none"/>
          <w:u w:val="single"/>
          <w14:textFill>
            <w14:solidFill>
              <w14:schemeClr w14:val="tx1"/>
            </w14:solidFill>
          </w14:textFill>
        </w:rPr>
        <w:t xml:space="preserve">  3  </w:t>
      </w:r>
      <w:r>
        <w:rPr>
          <w:rFonts w:hint="eastAsia" w:asciiTheme="minorEastAsia" w:hAnsiTheme="minorEastAsia"/>
          <w:color w:val="000000" w:themeColor="text1"/>
          <w:sz w:val="24"/>
          <w:szCs w:val="24"/>
          <w:highlight w:val="none"/>
          <w14:textFill>
            <w14:solidFill>
              <w14:schemeClr w14:val="tx1"/>
            </w14:solidFill>
          </w14:textFill>
        </w:rPr>
        <w:t>日内给予书面答复和（或）修改。</w:t>
      </w:r>
    </w:p>
    <w:p w14:paraId="127BFA8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8" w:name="_Toc76398694"/>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718"/>
    </w:p>
    <w:p w14:paraId="73D4F81B">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经双方协商，本合同约定的造价咨询服务适用的技术标准、规范、定额等工作依据为：</w:t>
      </w:r>
      <w:r>
        <w:rPr>
          <w:rFonts w:hint="eastAsia" w:asciiTheme="minorEastAsia" w:hAnsiTheme="minorEastAsia"/>
          <w:color w:val="000000" w:themeColor="text1"/>
          <w:sz w:val="24"/>
          <w:szCs w:val="24"/>
          <w:highlight w:val="none"/>
          <w:u w:val="single"/>
          <w14:textFill>
            <w14:solidFill>
              <w14:schemeClr w14:val="tx1"/>
            </w14:solidFill>
          </w14:textFill>
        </w:rPr>
        <w:t>《建设工程工程量清单计价规范》（GB50500-2013）、现行重庆市工程量计算规则、计价定额及相关配套定额、施工合同文件、造价信息、市场询价信息等</w:t>
      </w:r>
      <w:r>
        <w:rPr>
          <w:rFonts w:hint="eastAsia" w:asciiTheme="minorEastAsia" w:hAnsiTheme="minorEastAsia"/>
          <w:color w:val="000000" w:themeColor="text1"/>
          <w:sz w:val="24"/>
          <w:szCs w:val="24"/>
          <w:highlight w:val="none"/>
          <w14:textFill>
            <w14:solidFill>
              <w14:schemeClr w14:val="tx1"/>
            </w14:solidFill>
          </w14:textFill>
        </w:rPr>
        <w:t>。</w:t>
      </w:r>
    </w:p>
    <w:p w14:paraId="19AFBA9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9" w:name="_Toc76398695"/>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719"/>
      <w:r>
        <w:rPr>
          <w:rFonts w:hint="eastAsia" w:asciiTheme="minorEastAsia" w:hAnsiTheme="minorEastAsia"/>
          <w:color w:val="000000" w:themeColor="text1"/>
          <w:sz w:val="24"/>
          <w:szCs w:val="24"/>
          <w:highlight w:val="none"/>
          <w14:textFill>
            <w14:solidFill>
              <w14:schemeClr w14:val="tx1"/>
            </w14:solidFill>
          </w14:textFill>
        </w:rPr>
        <w:t>。</w:t>
      </w:r>
    </w:p>
    <w:p w14:paraId="4A01BAC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委托人不提供房屋及设备，因进度需要或咨询人不能满足进度要求时，在委托人指定地点办公，结束后</w:t>
      </w:r>
      <w:r>
        <w:rPr>
          <w:rFonts w:asciiTheme="minorEastAsia" w:hAnsiTheme="minorEastAsia"/>
          <w:color w:val="000000" w:themeColor="text1"/>
          <w:sz w:val="24"/>
          <w:szCs w:val="24"/>
          <w:highlight w:val="none"/>
          <w14:textFill>
            <w14:solidFill>
              <w14:schemeClr w14:val="tx1"/>
            </w14:solidFill>
          </w14:textFill>
        </w:rPr>
        <w:t>3日内</w:t>
      </w:r>
      <w:r>
        <w:rPr>
          <w:rFonts w:hint="eastAsia" w:asciiTheme="minorEastAsia" w:hAnsiTheme="minorEastAsia"/>
          <w:color w:val="000000" w:themeColor="text1"/>
          <w:sz w:val="24"/>
          <w:szCs w:val="24"/>
          <w:highlight w:val="none"/>
          <w14:textFill>
            <w14:solidFill>
              <w14:schemeClr w14:val="tx1"/>
            </w14:solidFill>
          </w14:textFill>
        </w:rPr>
        <w:t>返还，逾期返还，委托人有权强制返还，场地内留有咨询人的物品视为遗弃物，委托人有权任意处置。</w:t>
      </w:r>
    </w:p>
    <w:p w14:paraId="07AB195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20" w:name="_Toc76398696"/>
      <w:r>
        <w:rPr>
          <w:rFonts w:hint="eastAsia" w:asciiTheme="minorEastAsia" w:hAnsiTheme="minorEastAsia"/>
          <w:color w:val="000000" w:themeColor="text1"/>
          <w:sz w:val="24"/>
          <w:szCs w:val="24"/>
          <w:highlight w:val="none"/>
          <w14:textFill>
            <w14:solidFill>
              <w14:schemeClr w14:val="tx1"/>
            </w14:solidFill>
          </w14:textFill>
        </w:rPr>
        <w:t>4. 违约责任</w:t>
      </w:r>
      <w:bookmarkEnd w:id="720"/>
    </w:p>
    <w:p w14:paraId="744301D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1" w:name="_Toc76398697"/>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721"/>
    </w:p>
    <w:p w14:paraId="3B8ED9A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1D5DF4C4">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委托人赔偿金额按下列方法确定并支付：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614E4F1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委托人逾期付款利息按下列方法计算并支付：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逾期付款利息=当期应付款总额×中国人民银行公布的同期活期存款利率/365×逾期支付天数（自逾期之日起计算）</w:t>
      </w:r>
      <w:r>
        <w:rPr>
          <w:rFonts w:hint="eastAsia" w:asciiTheme="minorEastAsia" w:hAnsiTheme="minorEastAsia"/>
          <w:color w:val="000000" w:themeColor="text1"/>
          <w:sz w:val="24"/>
          <w:szCs w:val="24"/>
          <w:highlight w:val="none"/>
          <w14:textFill>
            <w14:solidFill>
              <w14:schemeClr w14:val="tx1"/>
            </w14:solidFill>
          </w14:textFill>
        </w:rPr>
        <w:t>。</w:t>
      </w:r>
    </w:p>
    <w:p w14:paraId="0770A22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2" w:name="_Toc76398698"/>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722"/>
    </w:p>
    <w:p w14:paraId="79E3DA4F">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：除本合同其他条款约定外，若咨询人违约，咨询人按酬金的30%向委托人承担违约金。未履行协议书规定的服务范围及工作内容，咨询人按（酬金的30%）/每项向委托人承担违约金。</w:t>
      </w:r>
    </w:p>
    <w:p w14:paraId="70A09478">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咨询人成果误差赔偿金额按下列方法确定并支付：</w:t>
      </w:r>
    </w:p>
    <w:p w14:paraId="7B56C15E">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①</w:t>
      </w:r>
      <w:r>
        <w:rPr>
          <w:rFonts w:hint="eastAsia" w:asciiTheme="minorEastAsia" w:hAnsiTheme="minorEastAsia"/>
          <w:color w:val="000000" w:themeColor="text1"/>
          <w:sz w:val="24"/>
          <w:szCs w:val="24"/>
          <w:highlight w:val="none"/>
          <w:u w:val="single"/>
          <w14:textFill>
            <w14:solidFill>
              <w14:schemeClr w14:val="tx1"/>
            </w14:solidFill>
          </w14:textFill>
        </w:rPr>
        <w:t>材料、设备等的市场询价充分、定价或核价合理、符合市场行情、证明资料齐全、定价或核价超过国家审计或委托人抽查了解的同规格、同档次材料或设备市场价格的 5 % 的误差,视情节轻重每发生一次处 2000元的违约金。</w:t>
      </w:r>
    </w:p>
    <w:p w14:paraId="3C680B13">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②</w:t>
      </w:r>
      <w:r>
        <w:rPr>
          <w:rFonts w:hint="eastAsia" w:asciiTheme="minorEastAsia" w:hAnsiTheme="minorEastAsia"/>
          <w:color w:val="000000" w:themeColor="text1"/>
          <w:sz w:val="24"/>
          <w:szCs w:val="24"/>
          <w:highlight w:val="none"/>
          <w:u w:val="single"/>
          <w14:textFill>
            <w14:solidFill>
              <w14:schemeClr w14:val="tx1"/>
            </w14:solidFill>
          </w14:textFill>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14:paraId="05D7F32B">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③在项目结算评审阶段，相关部门提出招标清单不合理，要求修改中标清单单价而导致审减率提高的，由招标清单评审单位负责向相关部门解释并承担相应的后果。</w:t>
      </w:r>
    </w:p>
    <w:p w14:paraId="248BD63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w:t>
      </w:r>
      <w:r>
        <w:rPr>
          <w:rFonts w:hint="eastAsia" w:asciiTheme="minorEastAsia" w:hAnsiTheme="minorEastAsia"/>
          <w:color w:val="000000" w:themeColor="text1"/>
          <w:sz w:val="24"/>
          <w:szCs w:val="24"/>
          <w:highlight w:val="none"/>
          <w14:textFill>
            <w14:solidFill>
              <w14:schemeClr w14:val="tx1"/>
            </w14:solidFill>
          </w14:textFill>
        </w:rPr>
        <w:t xml:space="preserve"> 经济责任</w:t>
      </w:r>
    </w:p>
    <w:p w14:paraId="157BFC38">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4.2.3.1</w:t>
      </w:r>
      <w:r>
        <w:rPr>
          <w:rFonts w:hint="eastAsia" w:asciiTheme="minorEastAsia" w:hAnsiTheme="minorEastAsia"/>
          <w:color w:val="000000" w:themeColor="text1"/>
          <w:sz w:val="24"/>
          <w:szCs w:val="24"/>
          <w:highlight w:val="none"/>
          <w:u w:val="single"/>
          <w14:textFill>
            <w14:solidFill>
              <w14:schemeClr w14:val="tx1"/>
            </w14:solidFill>
          </w14:textFill>
        </w:rPr>
        <w:t>咨询人未提供完成的工程量清单、工程量计算过程的计算式给委托人，则扣减咨询费用的20% 。</w:t>
      </w:r>
    </w:p>
    <w:p w14:paraId="1DD439C7">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4.2.3.2</w:t>
      </w:r>
      <w:r>
        <w:rPr>
          <w:rFonts w:hint="eastAsia" w:asciiTheme="minorEastAsia" w:hAnsiTheme="minorEastAsia"/>
          <w:color w:val="000000" w:themeColor="text1"/>
          <w:sz w:val="24"/>
          <w:szCs w:val="24"/>
          <w:highlight w:val="none"/>
          <w:u w:val="single"/>
          <w14:textFill>
            <w14:solidFill>
              <w14:schemeClr w14:val="tx1"/>
            </w14:solidFill>
          </w14:textFill>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14:paraId="59BFBA9D">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4.2.3.3</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未经委托人同意咨询人擅自变更委派的人员（委托人要求或经委托人书面同意更换的除外），委托人扣减咨询人不低于咨询费用的20%，其他条款另有约定同时适用。</w:t>
      </w:r>
    </w:p>
    <w:p w14:paraId="54A7A0D2">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4.2.4 </w:t>
      </w:r>
      <w:r>
        <w:rPr>
          <w:rFonts w:hint="eastAsia" w:asciiTheme="minorEastAsia" w:hAnsiTheme="minorEastAsia"/>
          <w:color w:val="000000" w:themeColor="text1"/>
          <w:sz w:val="24"/>
          <w:szCs w:val="24"/>
          <w:highlight w:val="none"/>
          <w14:textFill>
            <w14:solidFill>
              <w14:schemeClr w14:val="tx1"/>
            </w14:solidFill>
          </w14:textFill>
        </w:rPr>
        <w:t>法律责任：咨询人有下列情形之一的，委托人不予支付咨询费用，给委托人造成的损失，委托人保留向咨询人索赔的权利，触犯法律的将追究法律责任。</w:t>
      </w:r>
    </w:p>
    <w:p w14:paraId="75AEA7D2">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4.2.4.1</w:t>
      </w:r>
      <w:r>
        <w:rPr>
          <w:rFonts w:hint="eastAsia" w:asciiTheme="minorEastAsia" w:hAnsiTheme="minorEastAsia"/>
          <w:color w:val="000000" w:themeColor="text1"/>
          <w:sz w:val="24"/>
          <w:szCs w:val="24"/>
          <w:highlight w:val="none"/>
          <w:u w:val="single"/>
          <w14:textFill>
            <w14:solidFill>
              <w14:schemeClr w14:val="tx1"/>
            </w14:solidFill>
          </w14:textFill>
        </w:rPr>
        <w:t>咨询人未执行相关法律、法规和执业规范；</w:t>
      </w:r>
    </w:p>
    <w:p w14:paraId="755E2D5A">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4.2.4.2</w:t>
      </w:r>
      <w:r>
        <w:rPr>
          <w:rFonts w:hint="eastAsia" w:asciiTheme="minorEastAsia" w:hAnsiTheme="minorEastAsia"/>
          <w:color w:val="000000" w:themeColor="text1"/>
          <w:sz w:val="24"/>
          <w:szCs w:val="24"/>
          <w:highlight w:val="none"/>
          <w:u w:val="single"/>
          <w14:textFill>
            <w14:solidFill>
              <w14:schemeClr w14:val="tx1"/>
            </w14:solidFill>
          </w14:textFill>
        </w:rPr>
        <w:t>咨询人或咨询人委派的人员与投标单位有串通行为；</w:t>
      </w:r>
    </w:p>
    <w:p w14:paraId="5039FA6F">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4.2.4.3</w:t>
      </w:r>
      <w:r>
        <w:rPr>
          <w:rFonts w:hint="eastAsia" w:asciiTheme="minorEastAsia" w:hAnsiTheme="minorEastAsia"/>
          <w:color w:val="000000" w:themeColor="text1"/>
          <w:sz w:val="24"/>
          <w:szCs w:val="24"/>
          <w:highlight w:val="none"/>
          <w:u w:val="single"/>
          <w14:textFill>
            <w14:solidFill>
              <w14:schemeClr w14:val="tx1"/>
            </w14:solidFill>
          </w14:textFill>
        </w:rPr>
        <w:t>咨询人有法律法规规定的其他违法、违规的情形；</w:t>
      </w:r>
    </w:p>
    <w:p w14:paraId="355022A4">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4.2.4.4</w:t>
      </w:r>
      <w:r>
        <w:rPr>
          <w:rFonts w:hint="eastAsia" w:asciiTheme="minorEastAsia" w:hAnsiTheme="minorEastAsia"/>
          <w:color w:val="000000" w:themeColor="text1"/>
          <w:sz w:val="24"/>
          <w:szCs w:val="24"/>
          <w:highlight w:val="none"/>
          <w:u w:val="single"/>
          <w14:textFill>
            <w14:solidFill>
              <w14:schemeClr w14:val="tx1"/>
            </w14:solidFill>
          </w14:textFill>
        </w:rPr>
        <w:t>咨询人不按合同履行责任单方面违约。</w:t>
      </w:r>
    </w:p>
    <w:p w14:paraId="2FFFED30">
      <w:pPr>
        <w:pStyle w:val="4"/>
        <w:ind w:firstLine="480" w:firstLineChars="200"/>
        <w:jc w:val="left"/>
        <w:rPr>
          <w:rFonts w:asciiTheme="minorEastAsia" w:hAnsiTheme="minorEastAsia"/>
          <w:b w:val="0"/>
          <w:bCs w:val="0"/>
          <w:color w:val="000000" w:themeColor="text1"/>
          <w:sz w:val="24"/>
          <w:szCs w:val="24"/>
          <w:highlight w:val="none"/>
          <w14:textFill>
            <w14:solidFill>
              <w14:schemeClr w14:val="tx1"/>
            </w14:solidFill>
          </w14:textFill>
        </w:rPr>
      </w:pPr>
      <w:r>
        <w:rPr>
          <w:rFonts w:asciiTheme="minorEastAsia" w:hAnsiTheme="minorEastAsia"/>
          <w:b w:val="0"/>
          <w:bCs w:val="0"/>
          <w:color w:val="000000" w:themeColor="text1"/>
          <w:sz w:val="24"/>
          <w:szCs w:val="24"/>
          <w:highlight w:val="none"/>
          <w14:textFill>
            <w14:solidFill>
              <w14:schemeClr w14:val="tx1"/>
            </w14:solidFill>
          </w14:textFill>
        </w:rPr>
        <w:t>4.2.</w:t>
      </w:r>
      <w:r>
        <w:rPr>
          <w:rFonts w:hint="eastAsia" w:asciiTheme="minorEastAsia" w:hAnsiTheme="minorEastAsia"/>
          <w:b w:val="0"/>
          <w:bCs w:val="0"/>
          <w:color w:val="000000" w:themeColor="text1"/>
          <w:sz w:val="24"/>
          <w:szCs w:val="24"/>
          <w:highlight w:val="none"/>
          <w14:textFill>
            <w14:solidFill>
              <w14:schemeClr w14:val="tx1"/>
            </w14:solidFill>
          </w14:textFill>
        </w:rPr>
        <w:t>5</w:t>
      </w:r>
      <w:r>
        <w:rPr>
          <w:rFonts w:asciiTheme="minorEastAsia" w:hAnsi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b w:val="0"/>
          <w:bCs w:val="0"/>
          <w:color w:val="000000" w:themeColor="text1"/>
          <w:sz w:val="24"/>
          <w:szCs w:val="24"/>
          <w:highlight w:val="none"/>
          <w14:textFill>
            <w14:solidFill>
              <w14:schemeClr w14:val="tx1"/>
            </w14:solidFill>
          </w14:textFill>
        </w:rPr>
        <w:t>组织责任：</w:t>
      </w:r>
    </w:p>
    <w:p w14:paraId="3AF1C14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5.1</w:t>
      </w:r>
      <w:r>
        <w:rPr>
          <w:rFonts w:hint="eastAsia" w:asciiTheme="minorEastAsia" w:hAnsiTheme="minorEastAsia"/>
          <w:color w:val="000000" w:themeColor="text1"/>
          <w:sz w:val="24"/>
          <w:szCs w:val="24"/>
          <w:highlight w:val="none"/>
          <w14:textFill>
            <w14:solidFill>
              <w14:schemeClr w14:val="tx1"/>
            </w14:solidFill>
          </w14:textFill>
        </w:rPr>
        <w:t xml:space="preserve">未取得委托人同意咨询人项目人员缺席现场收方、验收、例会等，每出现一次处1000元违约金，累计发生3次时（含本数），视为咨询人违约。 </w:t>
      </w:r>
    </w:p>
    <w:p w14:paraId="3F7D8B6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5.2</w:t>
      </w:r>
      <w:r>
        <w:rPr>
          <w:rFonts w:hint="eastAsia" w:asciiTheme="minorEastAsia" w:hAnsiTheme="minorEastAsia"/>
          <w:color w:val="000000" w:themeColor="text1"/>
          <w:sz w:val="24"/>
          <w:szCs w:val="24"/>
          <w:highlight w:val="none"/>
          <w14:textFill>
            <w14:solidFill>
              <w14:schemeClr w14:val="tx1"/>
            </w14:solidFill>
          </w14:textFill>
        </w:rPr>
        <w:t>咨询人项目负责人一周至少到现场办公一天（当委托人另有安排时，须按时到场办公）；如未经委托人事先同意缺席现场办公，每出现一次处2000元违约金</w:t>
      </w:r>
      <w:r>
        <w:rPr>
          <w:rFonts w:hint="eastAsia" w:ascii="宋体" w:hAnsi="宋体"/>
          <w:color w:val="000000" w:themeColor="text1"/>
          <w:sz w:val="24"/>
          <w:szCs w:val="24"/>
          <w:highlight w:val="none"/>
          <w14:textFill>
            <w14:solidFill>
              <w14:schemeClr w14:val="tx1"/>
            </w14:solidFill>
          </w14:textFill>
        </w:rPr>
        <w:t>，累计发生3次时（含本数），视为咨询人违约</w:t>
      </w:r>
      <w:r>
        <w:rPr>
          <w:rFonts w:hint="eastAsia" w:asciiTheme="minorEastAsia" w:hAnsiTheme="minorEastAsia"/>
          <w:color w:val="000000" w:themeColor="text1"/>
          <w:sz w:val="24"/>
          <w:szCs w:val="24"/>
          <w:highlight w:val="none"/>
          <w14:textFill>
            <w14:solidFill>
              <w14:schemeClr w14:val="tx1"/>
            </w14:solidFill>
          </w14:textFill>
        </w:rPr>
        <w:t xml:space="preserve">。 </w:t>
      </w:r>
    </w:p>
    <w:p w14:paraId="5FBC41CF">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5.3</w:t>
      </w:r>
      <w:r>
        <w:rPr>
          <w:rFonts w:hint="eastAsia" w:asciiTheme="minorEastAsia" w:hAnsiTheme="minorEastAsia"/>
          <w:color w:val="000000" w:themeColor="text1"/>
          <w:sz w:val="24"/>
          <w:szCs w:val="24"/>
          <w:highlight w:val="none"/>
          <w14:textFill>
            <w14:solidFill>
              <w14:schemeClr w14:val="tx1"/>
            </w14:solidFill>
          </w14:textFill>
        </w:rPr>
        <w:t xml:space="preserve">咨询人驻场办公人员须按时接受委托人考勤监督，每发生一次旷工处 1000 元/人次违约金，每发生一次迟到或早退处 200 元/人次违约金，前述任一情形累计发生3次时（含本数），视为咨询人违约。 </w:t>
      </w:r>
    </w:p>
    <w:p w14:paraId="71DD67A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5.4</w:t>
      </w:r>
      <w:r>
        <w:rPr>
          <w:rFonts w:hint="eastAsia" w:asciiTheme="minorEastAsia" w:hAnsiTheme="minorEastAsia"/>
          <w:color w:val="000000" w:themeColor="text1"/>
          <w:sz w:val="24"/>
          <w:szCs w:val="24"/>
          <w:highlight w:val="none"/>
          <w14:textFill>
            <w14:solidFill>
              <w14:schemeClr w14:val="tx1"/>
            </w14:solidFill>
          </w14:textFill>
        </w:rPr>
        <w:t xml:space="preserve">审核变更造价：咨询人收到完整资料后，5 个工作日内向委托人书面提交审核结果，每延迟 1 日处 1000 元违约金以后依次按前次违约金双倍递增，逾期5日未交付，则视为咨询人违约。 </w:t>
      </w:r>
    </w:p>
    <w:p w14:paraId="73C9C4A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5.5</w:t>
      </w:r>
      <w:r>
        <w:rPr>
          <w:rFonts w:hint="eastAsia" w:asciiTheme="minorEastAsia" w:hAnsiTheme="minorEastAsia"/>
          <w:color w:val="000000" w:themeColor="text1"/>
          <w:sz w:val="24"/>
          <w:szCs w:val="24"/>
          <w:highlight w:val="none"/>
          <w14:textFill>
            <w14:solidFill>
              <w14:schemeClr w14:val="tx1"/>
            </w14:solidFill>
          </w14:textFill>
        </w:rPr>
        <w:t xml:space="preserve">材料核价：咨询人收到完整资料后，5 个工作日内向委托人提交书面审核结果至委托人，每延迟 1 日处 1000 元违约金以后依次按前次违约金双倍递增，逾期5日未交付，则视为咨询人违约。 </w:t>
      </w:r>
    </w:p>
    <w:p w14:paraId="68940236">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5.6</w:t>
      </w:r>
      <w:r>
        <w:rPr>
          <w:rFonts w:hint="eastAsia" w:asciiTheme="minorEastAsia" w:hAnsiTheme="minorEastAsia"/>
          <w:color w:val="000000" w:themeColor="text1"/>
          <w:sz w:val="24"/>
          <w:szCs w:val="24"/>
          <w:highlight w:val="none"/>
          <w14:textFill>
            <w14:solidFill>
              <w14:schemeClr w14:val="tx1"/>
            </w14:solidFill>
          </w14:textFill>
        </w:rPr>
        <w:t xml:space="preserve">工程往来函件：咨询人收到交办的函件后，5 个工作日内向委托人书面回复，每延迟 1 日处 1000 元违约金以后依次按前次违约金双倍递增，逾期5日未交付，则视为咨询人违约。 </w:t>
      </w:r>
    </w:p>
    <w:p w14:paraId="30B181D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5.7</w:t>
      </w:r>
      <w:r>
        <w:rPr>
          <w:rFonts w:hint="eastAsia" w:asciiTheme="minorEastAsia" w:hAnsiTheme="minorEastAsia"/>
          <w:color w:val="000000" w:themeColor="text1"/>
          <w:sz w:val="24"/>
          <w:szCs w:val="24"/>
          <w:highlight w:val="none"/>
          <w14:textFill>
            <w14:solidFill>
              <w14:schemeClr w14:val="tx1"/>
            </w14:solidFill>
          </w14:textFill>
        </w:rPr>
        <w:t>工程进度审核：咨询人收到完整资料后，约定的时间内完成审核并交委托人，每延迟 1 日处 1000 元违约金以后依次按前次违约金双倍递增，逾期5日未交付，则视为咨询人违约。</w:t>
      </w:r>
    </w:p>
    <w:p w14:paraId="41A5F1A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4.2.5.8因咨询人交付的成果资料存在遗漏或错误，咨询人有义务进行修改，并承担给委托人造成的一切损失。若咨询人拒绝修改，则委托人有权委托第三方履行本合同义务，产生的费用由咨询人承担。</w:t>
      </w:r>
      <w:bookmarkStart w:id="723" w:name="_Toc76398699"/>
    </w:p>
    <w:p w14:paraId="15566A5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4.3若出现咨询人员工因欠付工资向委托人讨薪或信访、上访情形的，视为咨询人违约，同时，委托人有权选择将咨询人欠付的工资支付并有权从应支付给设咨询人的费用中扣除。</w:t>
      </w:r>
    </w:p>
    <w:p w14:paraId="1133030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 支付</w:t>
      </w:r>
      <w:bookmarkEnd w:id="723"/>
    </w:p>
    <w:p w14:paraId="27647A8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4" w:name="_Toc76398700"/>
      <w:r>
        <w:rPr>
          <w:rFonts w:hint="eastAsia" w:asciiTheme="minorEastAsia" w:hAnsiTheme="minorEastAsia"/>
          <w:color w:val="000000" w:themeColor="text1"/>
          <w:sz w:val="24"/>
          <w:szCs w:val="24"/>
          <w:highlight w:val="none"/>
          <w14:textFill>
            <w14:solidFill>
              <w14:schemeClr w14:val="tx1"/>
            </w14:solidFill>
          </w14:textFill>
        </w:rPr>
        <w:t>5.1 支付货币</w:t>
      </w:r>
      <w:bookmarkEnd w:id="724"/>
    </w:p>
    <w:p w14:paraId="387F31C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币种为：</w:t>
      </w:r>
      <w:r>
        <w:rPr>
          <w:rFonts w:hint="eastAsia" w:asciiTheme="minorEastAsia" w:hAnsiTheme="minorEastAsia"/>
          <w:color w:val="000000" w:themeColor="text1"/>
          <w:sz w:val="24"/>
          <w:szCs w:val="24"/>
          <w:highlight w:val="none"/>
          <w:u w:val="single"/>
          <w14:textFill>
            <w14:solidFill>
              <w14:schemeClr w14:val="tx1"/>
            </w14:solidFill>
          </w14:textFill>
        </w:rPr>
        <w:t>人民币</w:t>
      </w:r>
      <w:r>
        <w:rPr>
          <w:rFonts w:hint="eastAsia" w:asciiTheme="minorEastAsia" w:hAnsiTheme="minorEastAsia"/>
          <w:color w:val="000000" w:themeColor="text1"/>
          <w:sz w:val="24"/>
          <w:szCs w:val="24"/>
          <w:highlight w:val="none"/>
          <w14:textFill>
            <w14:solidFill>
              <w14:schemeClr w14:val="tx1"/>
            </w14:solidFill>
          </w14:textFill>
        </w:rPr>
        <w:t>，汇率为：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，其他约定：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7BD2A03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5" w:name="_Toc76398701"/>
      <w:r>
        <w:rPr>
          <w:rFonts w:hint="eastAsia" w:asciiTheme="minorEastAsia" w:hAnsiTheme="minorEastAsia"/>
          <w:color w:val="000000" w:themeColor="text1"/>
          <w:sz w:val="24"/>
          <w:szCs w:val="24"/>
          <w:highlight w:val="none"/>
          <w14:textFill>
            <w14:solidFill>
              <w14:schemeClr w14:val="tx1"/>
            </w14:solidFill>
          </w14:textFill>
        </w:rPr>
        <w:t>5.2 支付申请</w:t>
      </w:r>
      <w:bookmarkEnd w:id="725"/>
    </w:p>
    <w:p w14:paraId="14962B5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w:t>
      </w:r>
      <w:r>
        <w:rPr>
          <w:rFonts w:hint="eastAsia" w:cs="Times New Roman" w:asciiTheme="minorEastAsia" w:hAnsiTheme="minorEastAsia"/>
          <w:color w:val="000000" w:themeColor="text1"/>
          <w:sz w:val="24"/>
          <w:szCs w:val="24"/>
          <w:highlight w:val="none"/>
          <w14:textFill>
            <w14:solidFill>
              <w14:schemeClr w14:val="tx1"/>
            </w14:solidFill>
          </w14:textFill>
        </w:rPr>
        <w:t>提交正式报告7天后</w:t>
      </w:r>
      <w:r>
        <w:rPr>
          <w:rFonts w:hint="eastAsia" w:asciiTheme="minorEastAsia" w:hAnsiTheme="minorEastAsia"/>
          <w:color w:val="000000" w:themeColor="text1"/>
          <w:sz w:val="24"/>
          <w:szCs w:val="24"/>
          <w:highlight w:val="none"/>
          <w14:textFill>
            <w14:solidFill>
              <w14:schemeClr w14:val="tx1"/>
            </w14:solidFill>
          </w14:textFill>
        </w:rPr>
        <w:t>，向委托人提交支付申请书。</w:t>
      </w:r>
    </w:p>
    <w:p w14:paraId="3E24536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6" w:name="_Toc76398702"/>
      <w:r>
        <w:rPr>
          <w:rFonts w:hint="eastAsia" w:asciiTheme="minorEastAsia" w:hAnsiTheme="minorEastAsia"/>
          <w:color w:val="000000" w:themeColor="text1"/>
          <w:sz w:val="24"/>
          <w:szCs w:val="24"/>
          <w:highlight w:val="none"/>
          <w14:textFill>
            <w14:solidFill>
              <w14:schemeClr w14:val="tx1"/>
            </w14:solidFill>
          </w14:textFill>
        </w:rPr>
        <w:t>5.3 支付酬金</w:t>
      </w:r>
      <w:bookmarkEnd w:id="726"/>
    </w:p>
    <w:p w14:paraId="2A8CD06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5.3.1正常工作酬金的支付：本委托合同无预付款。</w:t>
      </w:r>
    </w:p>
    <w:p w14:paraId="1CC0C8F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5.3.2付款参考：工程量清单及组价审核（或审核）：工程合同范围内的工程量清单及组价编制（或审核）在完成报告且委托人收到咨询人开具的等额增值税发票后60日内支付该工程量清单及组价编制（或审核）酬金的80%，剩余20%待相关部门评审完成后无息支付。</w:t>
      </w:r>
    </w:p>
    <w:p w14:paraId="5E246DF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5.3.3双方确认付款按照下列【     】方式付款。</w:t>
      </w:r>
    </w:p>
    <w:p w14:paraId="022263E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付款参考①：施工阶段工程造价全过程控制：工程完工通过验收后，咨询人交付成果报告、项目完成项目结算审计、咨询人提交付款申请且委托人收到咨询人开具的等额增值税专用发票后30日内一次性结清。</w:t>
      </w:r>
    </w:p>
    <w:p w14:paraId="6766D68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14:paraId="31F1761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5.3.4委托人支付任何款项前，咨询人应先行开具符合财务会计要求的增值税专用发票并提交支付申请，否则委托人有权拒绝付款，且不承担任何逾期付款的责任。由此产生的责任由咨询人自行承担。</w:t>
      </w:r>
    </w:p>
    <w:p w14:paraId="7C0A021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注：若存在下列情形时，下列情形作为付款条件之一，同时适用，若涉及进度款则不包括下列情形第3种：</w:t>
      </w:r>
    </w:p>
    <w:p w14:paraId="7E673559">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（1）若合同计算酬金在支付款项时尚无法确定，则以         标准计算酬金；</w:t>
      </w:r>
    </w:p>
    <w:p w14:paraId="32E9910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（2）若本合同涉及财政资金或专项资金支持，在委托人未收到财政资金或专项资金的情形下，委托人有权迟延付款且不承担违约责任，在符合其他付款条件且收到财政资金或专项资金后付款；</w:t>
      </w:r>
    </w:p>
    <w:p w14:paraId="68078DBD">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（3）若需对工程进行审计或财评，则在审计或财评结果未出之前，委托人有权迟延付款且不承担违约责任。</w:t>
      </w:r>
    </w:p>
    <w:p w14:paraId="45D3AE89">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27" w:name="_Toc76398703"/>
    </w:p>
    <w:p w14:paraId="2AE791F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 合同变更、解除与终止</w:t>
      </w:r>
      <w:bookmarkEnd w:id="727"/>
    </w:p>
    <w:p w14:paraId="5DC8467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8" w:name="_Toc76398704"/>
      <w:r>
        <w:rPr>
          <w:rFonts w:hint="eastAsia" w:asciiTheme="minorEastAsia" w:hAnsiTheme="minorEastAsia"/>
          <w:color w:val="000000" w:themeColor="text1"/>
          <w:sz w:val="24"/>
          <w:szCs w:val="24"/>
          <w:highlight w:val="none"/>
          <w14:textFill>
            <w14:solidFill>
              <w14:schemeClr w14:val="tx1"/>
            </w14:solidFill>
          </w14:textFill>
        </w:rPr>
        <w:t>6.1 合同变更</w:t>
      </w:r>
      <w:bookmarkEnd w:id="728"/>
    </w:p>
    <w:p w14:paraId="2275769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除不可抗力外，因非咨询人原因导致本合同履行期限延长、内容增加时，附加工作酬金按下列方法确定：</w:t>
      </w:r>
      <w:r>
        <w:rPr>
          <w:rFonts w:hint="eastAsia" w:ascii="宋体" w:hAnsi="宋体" w:cs="宋体"/>
          <w:color w:val="000000" w:themeColor="text1"/>
          <w:kern w:val="0"/>
          <w:sz w:val="24"/>
          <w:highlight w:val="none"/>
          <w:u w:val="single"/>
          <w14:textFill>
            <w14:solidFill>
              <w14:schemeClr w14:val="tx1"/>
            </w14:solidFill>
          </w14:textFill>
        </w:rPr>
        <w:t>无</w:t>
      </w:r>
      <w:r>
        <w:rPr>
          <w:rFonts w:hint="eastAsia" w:asciiTheme="minorEastAsia" w:hAnsiTheme="minorEastAsia"/>
          <w:color w:val="000000" w:themeColor="text1"/>
          <w:sz w:val="24"/>
          <w:szCs w:val="24"/>
          <w:highlight w:val="none"/>
          <w14:textFill>
            <w14:solidFill>
              <w14:schemeClr w14:val="tx1"/>
            </w14:solidFill>
          </w14:textFill>
        </w:rPr>
        <w:t>。且在前述情形下，委托人不因此另行向咨询人支付任何补偿或赔偿。</w:t>
      </w:r>
    </w:p>
    <w:p w14:paraId="11BAA2A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因工程规模、服务范围及内容的变化等导致咨询人的工作量增减时，服务酬金的调整方法：</w:t>
      </w:r>
      <w:r>
        <w:rPr>
          <w:rFonts w:hint="eastAsia" w:ascii="宋体" w:hAnsi="宋体" w:cs="宋体"/>
          <w:color w:val="000000" w:themeColor="text1"/>
          <w:kern w:val="0"/>
          <w:sz w:val="24"/>
          <w:highlight w:val="none"/>
          <w:u w:val="single"/>
          <w14:textFill>
            <w14:solidFill>
              <w14:schemeClr w14:val="tx1"/>
            </w14:solidFill>
          </w14:textFill>
        </w:rPr>
        <w:t xml:space="preserve">   固定费率不调整  </w:t>
      </w:r>
      <w:r>
        <w:rPr>
          <w:rFonts w:hint="eastAsia" w:asciiTheme="minorEastAsia" w:hAnsiTheme="minorEastAsia"/>
          <w:color w:val="000000" w:themeColor="text1"/>
          <w:sz w:val="24"/>
          <w:szCs w:val="24"/>
          <w:highlight w:val="none"/>
          <w14:textFill>
            <w14:solidFill>
              <w14:schemeClr w14:val="tx1"/>
            </w14:solidFill>
          </w14:textFill>
        </w:rPr>
        <w:t>。</w:t>
      </w:r>
    </w:p>
    <w:p w14:paraId="47B30E0E">
      <w:pPr>
        <w:spacing w:line="360" w:lineRule="auto"/>
        <w:ind w:firstLine="480" w:firstLineChars="200"/>
        <w:outlineLvl w:val="1"/>
        <w:rPr>
          <w:rFonts w:ascii="宋体" w:hAnsi="宋体"/>
          <w:color w:val="000000" w:themeColor="text1"/>
          <w:sz w:val="24"/>
          <w:szCs w:val="24"/>
          <w:highlight w:val="none"/>
          <w14:textFill>
            <w14:solidFill>
              <w14:schemeClr w14:val="tx1"/>
            </w14:solidFill>
          </w14:textFill>
        </w:rPr>
      </w:pPr>
      <w:bookmarkStart w:id="729" w:name="_Toc76398705"/>
      <w:r>
        <w:rPr>
          <w:rFonts w:hint="eastAsia" w:ascii="宋体" w:hAnsi="宋体"/>
          <w:color w:val="000000" w:themeColor="text1"/>
          <w:sz w:val="24"/>
          <w:szCs w:val="24"/>
          <w:highlight w:val="none"/>
          <w14:textFill>
            <w14:solidFill>
              <w14:schemeClr w14:val="tx1"/>
            </w14:solidFill>
          </w14:textFill>
        </w:rPr>
        <w:t>6.2 合同解除</w:t>
      </w:r>
    </w:p>
    <w:p w14:paraId="44AB81F2">
      <w:pPr>
        <w:spacing w:line="360" w:lineRule="auto"/>
        <w:ind w:firstLine="480" w:firstLineChars="2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 除其他条款约定外，如出现下列情形时，委托人有权单方解除本合同，且视为咨询人违约，咨询人按照本合同约定酬金的30%向委托人承担违约金，并承担给委托人造成的一切损失（该损失包括但不限于委托人另行委托第三方履行义务产生的费用、委托人给第三方造成的损失、给委托人造成实际损失、委托人的可期待利益损失等）：</w:t>
      </w:r>
    </w:p>
    <w:p w14:paraId="1770FEAA">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6.2.2.1咨询人擅自将本合同约定事项转委托或再次分包；</w:t>
      </w:r>
    </w:p>
    <w:p w14:paraId="413E75CE">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6.2.2.2委托人提出整改意见，咨询人拒不履行的；</w:t>
      </w:r>
    </w:p>
    <w:p w14:paraId="016037AF">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6.2.2.3咨询人的员工到委托人处投诉咨询人拖欠工资的；</w:t>
      </w:r>
    </w:p>
    <w:p w14:paraId="130FD215">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6.2.2.4咨询人员工因咨询人拖欠工资上访、信访的；</w:t>
      </w:r>
    </w:p>
    <w:p w14:paraId="38B30135">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6.2.2.5咨询人应免费向委托人提供口头或现场咨询服务，咨询人未履行咨询服务的；</w:t>
      </w:r>
    </w:p>
    <w:p w14:paraId="63331188">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6.2.2.6咨询人未按照合同约定履行其他义务的。</w:t>
      </w:r>
    </w:p>
    <w:p w14:paraId="7C3B136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14:paraId="5D8F38D4">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6.2.4 因不可抗力导致的合同解除，双方约定损失的分担如下：</w:t>
      </w:r>
      <w:r>
        <w:rPr>
          <w:rFonts w:hint="eastAsia" w:ascii="宋体" w:hAnsi="宋体" w:cs="宋体"/>
          <w:color w:val="000000" w:themeColor="text1"/>
          <w:kern w:val="0"/>
          <w:sz w:val="24"/>
          <w:highlight w:val="none"/>
          <w:u w:val="single"/>
          <w14:textFill>
            <w14:solidFill>
              <w14:schemeClr w14:val="tx1"/>
            </w14:solidFill>
          </w14:textFill>
        </w:rPr>
        <w:t xml:space="preserve">  自行承担各自损失  。</w:t>
      </w:r>
    </w:p>
    <w:p w14:paraId="7594BCC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29"/>
    <w:p w14:paraId="14B149C7">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0" w:name="_Toc76398706"/>
      <w:r>
        <w:rPr>
          <w:rFonts w:hint="eastAsia" w:asciiTheme="minorEastAsia" w:hAnsiTheme="minorEastAsia"/>
          <w:color w:val="000000" w:themeColor="text1"/>
          <w:sz w:val="24"/>
          <w:szCs w:val="24"/>
          <w:highlight w:val="none"/>
          <w14:textFill>
            <w14:solidFill>
              <w14:schemeClr w14:val="tx1"/>
            </w14:solidFill>
          </w14:textFill>
        </w:rPr>
        <w:t>7. 争议解决</w:t>
      </w:r>
      <w:bookmarkEnd w:id="730"/>
    </w:p>
    <w:p w14:paraId="78024D7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1" w:name="_Toc76398707"/>
      <w:r>
        <w:rPr>
          <w:rFonts w:hint="eastAsia" w:asciiTheme="minorEastAsia" w:hAnsiTheme="minorEastAsia"/>
          <w:color w:val="000000" w:themeColor="text1"/>
          <w:sz w:val="24"/>
          <w:szCs w:val="24"/>
          <w:highlight w:val="none"/>
          <w14:textFill>
            <w14:solidFill>
              <w14:schemeClr w14:val="tx1"/>
            </w14:solidFill>
          </w14:textFill>
        </w:rPr>
        <w:t>7.2 调解</w:t>
      </w:r>
      <w:bookmarkEnd w:id="731"/>
    </w:p>
    <w:p w14:paraId="4E187164">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30  </w:t>
      </w:r>
      <w:r>
        <w:rPr>
          <w:rFonts w:hint="eastAsia" w:asciiTheme="minorEastAsia" w:hAnsiTheme="minorEastAsia"/>
          <w:color w:val="000000" w:themeColor="text1"/>
          <w:sz w:val="24"/>
          <w:szCs w:val="24"/>
          <w:highlight w:val="none"/>
          <w14:textFill>
            <w14:solidFill>
              <w14:schemeClr w14:val="tx1"/>
            </w14:solidFill>
          </w14:textFill>
        </w:rPr>
        <w:t>日内解决本合同争议，可以将其提交</w:t>
      </w:r>
      <w:r>
        <w:rPr>
          <w:rFonts w:hint="eastAsia" w:asciiTheme="minorEastAsia" w:hAnsiTheme="minorEastAsia"/>
          <w:color w:val="000000" w:themeColor="text1"/>
          <w:sz w:val="24"/>
          <w:szCs w:val="24"/>
          <w:highlight w:val="none"/>
          <w:u w:val="single"/>
          <w14:textFill>
            <w14:solidFill>
              <w14:schemeClr w14:val="tx1"/>
            </w14:solidFill>
          </w14:textFill>
        </w:rPr>
        <w:t>有关主管部门</w:t>
      </w:r>
      <w:r>
        <w:rPr>
          <w:rFonts w:hint="eastAsia" w:asciiTheme="minorEastAsia" w:hAnsiTheme="minorEastAsia"/>
          <w:color w:val="000000" w:themeColor="text1"/>
          <w:sz w:val="24"/>
          <w:szCs w:val="24"/>
          <w:highlight w:val="none"/>
          <w14:textFill>
            <w14:solidFill>
              <w14:schemeClr w14:val="tx1"/>
            </w14:solidFill>
          </w14:textFill>
        </w:rPr>
        <w:t>进行调解。双方确认，调解并非诉讼的前置程序。</w:t>
      </w:r>
    </w:p>
    <w:p w14:paraId="7519599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2" w:name="_Toc76398708"/>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732"/>
    </w:p>
    <w:p w14:paraId="3E7667F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合同争议的最终解决方式为下列第</w:t>
      </w:r>
      <w:r>
        <w:rPr>
          <w:rFonts w:hint="eastAsia" w:asciiTheme="minorEastAsia" w:hAnsiTheme="minorEastAsia"/>
          <w:color w:val="000000" w:themeColor="text1"/>
          <w:sz w:val="24"/>
          <w:szCs w:val="24"/>
          <w:highlight w:val="none"/>
          <w:u w:val="single"/>
          <w14:textFill>
            <w14:solidFill>
              <w14:schemeClr w14:val="tx1"/>
            </w14:solidFill>
          </w14:textFill>
        </w:rPr>
        <w:t>（2）</w:t>
      </w:r>
      <w:r>
        <w:rPr>
          <w:rFonts w:hint="eastAsia" w:asciiTheme="minorEastAsia" w:hAnsiTheme="minorEastAsia"/>
          <w:color w:val="000000" w:themeColor="text1"/>
          <w:sz w:val="24"/>
          <w:szCs w:val="24"/>
          <w:highlight w:val="none"/>
          <w14:textFill>
            <w14:solidFill>
              <w14:schemeClr w14:val="tx1"/>
            </w14:solidFill>
          </w14:textFill>
        </w:rPr>
        <w:t>种方式：</w:t>
      </w:r>
    </w:p>
    <w:p w14:paraId="2DC67BF8">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（1）提请</w:t>
      </w:r>
      <w:r>
        <w:rPr>
          <w:rFonts w:ascii="宋体" w:hAnsi="宋体" w:cs="宋体"/>
          <w:color w:val="000000" w:themeColor="text1"/>
          <w:kern w:val="0"/>
          <w:sz w:val="24"/>
          <w:highlight w:val="none"/>
          <w:u w:val="single"/>
          <w14:textFill>
            <w14:solidFill>
              <w14:schemeClr w14:val="tx1"/>
            </w14:solidFill>
          </w14:textFill>
        </w:rPr>
        <w:t>重庆</w:t>
      </w:r>
      <w:r>
        <w:rPr>
          <w:rFonts w:hint="eastAsia" w:asciiTheme="minorEastAsia" w:hAnsiTheme="minorEastAsia"/>
          <w:color w:val="000000" w:themeColor="text1"/>
          <w:sz w:val="24"/>
          <w:szCs w:val="24"/>
          <w:highlight w:val="none"/>
          <w:u w:val="single"/>
          <w14:textFill>
            <w14:solidFill>
              <w14:schemeClr w14:val="tx1"/>
            </w14:solidFill>
          </w14:textFill>
        </w:rPr>
        <w:t>仲裁委员会进行仲裁。</w:t>
      </w:r>
    </w:p>
    <w:p w14:paraId="03BB21C1">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（2）</w:t>
      </w:r>
      <w:r>
        <w:rPr>
          <w:rFonts w:ascii="宋体" w:hAnsi="宋体" w:cs="宋体"/>
          <w:color w:val="000000" w:themeColor="text1"/>
          <w:kern w:val="0"/>
          <w:sz w:val="24"/>
          <w:highlight w:val="none"/>
          <w:u w:val="single"/>
          <w14:textFill>
            <w14:solidFill>
              <w14:schemeClr w14:val="tx1"/>
            </w14:solidFill>
          </w14:textFill>
        </w:rPr>
        <w:t>依法向</w:t>
      </w:r>
      <w:r>
        <w:rPr>
          <w:rFonts w:hint="eastAsia" w:ascii="宋体" w:hAnsi="宋体" w:cs="宋体"/>
          <w:color w:val="000000" w:themeColor="text1"/>
          <w:kern w:val="0"/>
          <w:sz w:val="24"/>
          <w:highlight w:val="none"/>
          <w:u w:val="single"/>
          <w14:textFill>
            <w14:solidFill>
              <w14:schemeClr w14:val="tx1"/>
            </w14:solidFill>
          </w14:textFill>
        </w:rPr>
        <w:t>工程所在地</w:t>
      </w:r>
      <w:r>
        <w:rPr>
          <w:rFonts w:ascii="宋体" w:hAnsi="宋体" w:cs="宋体"/>
          <w:color w:val="000000" w:themeColor="text1"/>
          <w:kern w:val="0"/>
          <w:sz w:val="24"/>
          <w:highlight w:val="none"/>
          <w:u w:val="single"/>
          <w14:textFill>
            <w14:solidFill>
              <w14:schemeClr w14:val="tx1"/>
            </w14:solidFill>
          </w14:textFill>
        </w:rPr>
        <w:t>人民法院起诉</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3C1F452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3" w:name="_Toc76398709"/>
      <w:r>
        <w:rPr>
          <w:rFonts w:hint="eastAsia" w:asciiTheme="minorEastAsia" w:hAnsiTheme="minorEastAsia"/>
          <w:color w:val="000000" w:themeColor="text1"/>
          <w:sz w:val="24"/>
          <w:szCs w:val="24"/>
          <w:highlight w:val="none"/>
          <w14:textFill>
            <w14:solidFill>
              <w14:schemeClr w14:val="tx1"/>
            </w14:solidFill>
          </w14:textFill>
        </w:rPr>
        <w:t>8. 其他</w:t>
      </w:r>
      <w:bookmarkEnd w:id="733"/>
    </w:p>
    <w:p w14:paraId="3342BA30">
      <w:pPr>
        <w:spacing w:line="360" w:lineRule="auto"/>
        <w:ind w:firstLine="480" w:firstLineChars="200"/>
        <w:jc w:val="left"/>
        <w:outlineLvl w:val="1"/>
        <w:rPr>
          <w:rFonts w:asciiTheme="minorEastAsia" w:hAnsiTheme="minorEastAsia"/>
          <w:color w:val="000000" w:themeColor="text1"/>
          <w:sz w:val="24"/>
          <w:szCs w:val="24"/>
          <w:highlight w:val="none"/>
          <w14:textFill>
            <w14:solidFill>
              <w14:schemeClr w14:val="tx1"/>
            </w14:solidFill>
          </w14:textFill>
        </w:rPr>
      </w:pPr>
      <w:bookmarkStart w:id="734" w:name="_Toc76398710"/>
      <w:r>
        <w:rPr>
          <w:rFonts w:hint="eastAsia" w:asciiTheme="minorEastAsia" w:hAnsiTheme="minorEastAsia"/>
          <w:color w:val="000000" w:themeColor="text1"/>
          <w:sz w:val="24"/>
          <w:szCs w:val="24"/>
          <w:highlight w:val="none"/>
          <w14:textFill>
            <w14:solidFill>
              <w14:schemeClr w14:val="tx1"/>
            </w14:solidFill>
          </w14:textFill>
        </w:rPr>
        <w:t>8.1 考察及相关费用咨询人经委托人同意进行考察发生的费用在</w:t>
      </w:r>
      <w:r>
        <w:rPr>
          <w:rFonts w:hint="eastAsia" w:asciiTheme="minorEastAsia" w:hAnsiTheme="minorEastAsia"/>
          <w:color w:val="000000" w:themeColor="text1"/>
          <w:sz w:val="24"/>
          <w:szCs w:val="24"/>
          <w:highlight w:val="none"/>
          <w:u w:val="single"/>
          <w14:textFill>
            <w14:solidFill>
              <w14:schemeClr w14:val="tx1"/>
            </w14:solidFill>
          </w14:textFill>
        </w:rPr>
        <w:t xml:space="preserve">重庆市范围内由咨询人  </w:t>
      </w:r>
      <w:r>
        <w:rPr>
          <w:rFonts w:hint="eastAsia" w:asciiTheme="minorEastAsia" w:hAnsiTheme="minorEastAsia"/>
          <w:color w:val="000000" w:themeColor="text1"/>
          <w:sz w:val="24"/>
          <w:szCs w:val="24"/>
          <w:highlight w:val="none"/>
          <w14:textFill>
            <w14:solidFill>
              <w14:schemeClr w14:val="tx1"/>
            </w14:solidFill>
          </w14:textFill>
        </w:rPr>
        <w:t>支付，相关费用已包含在合同费用中，委托人不另行支付。</w:t>
      </w:r>
    </w:p>
    <w:p w14:paraId="78D8063B">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差旅费及相关费用的支付：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重庆市范围内由咨询人自行解决  ，相关费用已包含在合同费用中，委托人不另行支付</w:t>
      </w:r>
      <w:r>
        <w:rPr>
          <w:rFonts w:hint="eastAsia" w:asciiTheme="minorEastAsia" w:hAnsiTheme="minorEastAsia"/>
          <w:color w:val="000000" w:themeColor="text1"/>
          <w:sz w:val="24"/>
          <w:szCs w:val="24"/>
          <w:highlight w:val="none"/>
          <w14:textFill>
            <w14:solidFill>
              <w14:schemeClr w14:val="tx1"/>
            </w14:solidFill>
          </w14:textFill>
        </w:rPr>
        <w:t>。</w:t>
      </w:r>
    </w:p>
    <w:bookmarkEnd w:id="734"/>
    <w:p w14:paraId="3736902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5" w:name="_Toc76398711"/>
      <w:r>
        <w:rPr>
          <w:rFonts w:hint="eastAsia" w:asciiTheme="minorEastAsia" w:hAnsiTheme="minorEastAsia"/>
          <w:color w:val="000000" w:themeColor="text1"/>
          <w:sz w:val="24"/>
          <w:szCs w:val="24"/>
          <w:highlight w:val="none"/>
          <w14:textFill>
            <w14:solidFill>
              <w14:schemeClr w14:val="tx1"/>
            </w14:solidFill>
          </w14:textFill>
        </w:rPr>
        <w:t>8.2奖励</w:t>
      </w:r>
      <w:bookmarkEnd w:id="735"/>
    </w:p>
    <w:p w14:paraId="5BDF973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合理化建议的奖励金额按下列方法确定：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38AAB597">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6" w:name="_Toc76398712"/>
      <w:r>
        <w:rPr>
          <w:rFonts w:hint="eastAsia" w:asciiTheme="minorEastAsia" w:hAnsiTheme="minorEastAsia"/>
          <w:color w:val="000000" w:themeColor="text1"/>
          <w:sz w:val="24"/>
          <w:szCs w:val="24"/>
          <w:highlight w:val="none"/>
          <w14:textFill>
            <w14:solidFill>
              <w14:schemeClr w14:val="tx1"/>
            </w14:solidFill>
          </w14:textFill>
        </w:rPr>
        <w:t>8.3 保密</w:t>
      </w:r>
      <w:bookmarkEnd w:id="736"/>
    </w:p>
    <w:p w14:paraId="52598BE7">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（本项目的所有资料长期保密）  </w:t>
      </w:r>
      <w:r>
        <w:rPr>
          <w:rFonts w:hint="eastAsia" w:asciiTheme="minorEastAsia" w:hAnsiTheme="minorEastAsia"/>
          <w:color w:val="000000" w:themeColor="text1"/>
          <w:sz w:val="24"/>
          <w:szCs w:val="24"/>
          <w:highlight w:val="none"/>
          <w14:textFill>
            <w14:solidFill>
              <w14:schemeClr w14:val="tx1"/>
            </w14:solidFill>
          </w14:textFill>
        </w:rPr>
        <w:t>。未经委托人事先书面同意，咨询人不得对外透露本项目的任何信息，否则咨询人应赔偿委托人的一切损失。</w:t>
      </w:r>
    </w:p>
    <w:p w14:paraId="2DA97F3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7599344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0DC40D1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7" w:name="_Toc76398713"/>
      <w:r>
        <w:rPr>
          <w:rFonts w:hint="eastAsia" w:asciiTheme="minorEastAsia" w:hAnsiTheme="minorEastAsia"/>
          <w:color w:val="000000" w:themeColor="text1"/>
          <w:sz w:val="24"/>
          <w:szCs w:val="24"/>
          <w:highlight w:val="none"/>
          <w14:textFill>
            <w14:solidFill>
              <w14:schemeClr w14:val="tx1"/>
            </w14:solidFill>
          </w14:textFill>
        </w:rPr>
        <w:t>8.4 联络</w:t>
      </w:r>
      <w:bookmarkEnd w:id="737"/>
    </w:p>
    <w:p w14:paraId="5DD232B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任何一方与合同有关的通知、指示、要求、决定等，均应在日内送达对方指定的接收人和送达地点。</w:t>
      </w:r>
    </w:p>
    <w:p w14:paraId="2B810BA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olor w:val="000000" w:themeColor="text1"/>
          <w:sz w:val="24"/>
          <w:szCs w:val="24"/>
          <w:highlight w:val="none"/>
          <w:u w:val="single"/>
          <w14:textFill>
            <w14:solidFill>
              <w14:schemeClr w14:val="tx1"/>
            </w14:solidFill>
          </w14:textFill>
        </w:rPr>
        <w:t>__   _</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w:t>
      </w:r>
    </w:p>
    <w:p w14:paraId="491E18C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4EEB200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38" w:name="_Toc76398714"/>
      <w:r>
        <w:rPr>
          <w:rFonts w:hint="eastAsia" w:asciiTheme="minorEastAsia" w:hAnsiTheme="minorEastAsia"/>
          <w:color w:val="000000" w:themeColor="text1"/>
          <w:sz w:val="24"/>
          <w:szCs w:val="24"/>
          <w:highlight w:val="none"/>
          <w14:textFill>
            <w14:solidFill>
              <w14:schemeClr w14:val="tx1"/>
            </w14:solidFill>
          </w14:textFill>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仲裁的情形下，上述约定的各方通信地址，同时作为各方的诉讼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仲裁文书送达地址，该通信地址用于接收诉讼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仲裁文书（包括但不限于传票、判决书、裁决书、权利义务告知书等法律文书）；法院</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仲裁机构按该地址送达的法律文书（包括但不限于传票、判决书、裁决书、权利义务告知书等法律文书），即视为当事人签收，受送达人拒收或无法送达的，不影响送达的效力。</w:t>
      </w:r>
    </w:p>
    <w:p w14:paraId="62E75E4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8.4.3若地址为空白，则以国家企业信用信息公示系统查询的住所作为通讯地址。。</w:t>
      </w:r>
    </w:p>
    <w:p w14:paraId="5C2B431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8.5 知识产权</w:t>
      </w:r>
      <w:bookmarkEnd w:id="738"/>
    </w:p>
    <w:p w14:paraId="54A3327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332CC19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咨询人为履行本合同约定而编制的成果文件，其著作权属于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1D82361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双方将履行本合同形成的有关成果文件用于企业宣传、申报奖项以及接受上级主管部门的检查须遵守以下约定：</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未经委托人同意，咨询人不得将与本合同履行有关的知识成果擅自使用或泄露</w:t>
      </w:r>
      <w:r>
        <w:rPr>
          <w:rFonts w:hint="eastAsia" w:asciiTheme="minorEastAsia" w:hAnsiTheme="minorEastAsia"/>
          <w:color w:val="000000" w:themeColor="text1"/>
          <w:sz w:val="24"/>
          <w:szCs w:val="24"/>
          <w:highlight w:val="none"/>
          <w14:textFill>
            <w14:solidFill>
              <w14:schemeClr w14:val="tx1"/>
            </w14:solidFill>
          </w14:textFill>
        </w:rPr>
        <w:t>。</w:t>
      </w:r>
    </w:p>
    <w:p w14:paraId="70FF2EC3">
      <w:pPr>
        <w:numPr>
          <w:ilvl w:val="255"/>
          <w:numId w:val="0"/>
        </w:num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9" w:name="_Toc76398715"/>
      <w:r>
        <w:rPr>
          <w:rFonts w:hint="eastAsia" w:asciiTheme="minorEastAsia" w:hAnsiTheme="minorEastAsia"/>
          <w:color w:val="000000" w:themeColor="text1"/>
          <w:sz w:val="24"/>
          <w:szCs w:val="24"/>
          <w:highlight w:val="none"/>
          <w14:textFill>
            <w14:solidFill>
              <w14:schemeClr w14:val="tx1"/>
            </w14:solidFill>
          </w14:textFill>
        </w:rPr>
        <w:t>9.补充条款</w:t>
      </w:r>
      <w:bookmarkEnd w:id="739"/>
    </w:p>
    <w:p w14:paraId="35C92A4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14:paraId="7E8C639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9.2咨询人向委托人提出赔偿要求不能成立时，则应补偿由于该赔偿或其他要求所导致委托人的各种费用的支出。</w:t>
      </w:r>
    </w:p>
    <w:p w14:paraId="3D9E11E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9.3对从委托人处获取的资料予以保密。为履行本合同义务的工作人员办理社会保险，承担一切安全责任。若其工作人员给委托人或第三人造成损失，责任由咨询人承担。</w:t>
      </w:r>
    </w:p>
    <w:p w14:paraId="712E40C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9.4</w:t>
      </w:r>
      <w:r>
        <w:rPr>
          <w:rFonts w:hint="eastAsia" w:asciiTheme="minorEastAsia" w:hAnsiTheme="minorEastAsia"/>
          <w:color w:val="000000" w:themeColor="text1"/>
          <w:sz w:val="24"/>
          <w:szCs w:val="24"/>
          <w:highlight w:val="none"/>
          <w14:textFill>
            <w14:solidFill>
              <w14:schemeClr w14:val="tx1"/>
            </w14:solidFill>
          </w14:textFill>
        </w:rPr>
        <w:t>咨询人免费为委托人提供口头或现场咨询</w:t>
      </w:r>
      <w:r>
        <w:rPr>
          <w:rFonts w:hint="eastAsia" w:ascii="宋体" w:hAnsi="宋体"/>
          <w:color w:val="000000" w:themeColor="text1"/>
          <w:sz w:val="24"/>
          <w:szCs w:val="24"/>
          <w:highlight w:val="none"/>
          <w14:textFill>
            <w14:solidFill>
              <w14:schemeClr w14:val="tx1"/>
            </w14:solidFill>
          </w14:textFill>
        </w:rPr>
        <w:t>，否则视为咨询人违约</w:t>
      </w:r>
      <w:r>
        <w:rPr>
          <w:rFonts w:hint="eastAsia" w:asciiTheme="minorEastAsia" w:hAnsiTheme="minorEastAsia"/>
          <w:color w:val="000000" w:themeColor="text1"/>
          <w:sz w:val="24"/>
          <w:szCs w:val="24"/>
          <w:highlight w:val="none"/>
          <w14:textFill>
            <w14:solidFill>
              <w14:schemeClr w14:val="tx1"/>
            </w14:solidFill>
          </w14:textFill>
        </w:rPr>
        <w:t>。</w:t>
      </w:r>
    </w:p>
    <w:p w14:paraId="2581AE3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9.5咨询人未按照本合同约定履行义务时，视为咨询人违约，</w:t>
      </w:r>
      <w:r>
        <w:rPr>
          <w:rFonts w:hint="eastAsia" w:ascii="宋体" w:hAnsi="宋体"/>
          <w:color w:val="000000" w:themeColor="text1"/>
          <w:sz w:val="24"/>
          <w:szCs w:val="24"/>
          <w:highlight w:val="none"/>
          <w14:textFill>
            <w14:solidFill>
              <w14:schemeClr w14:val="tx1"/>
            </w14:solidFill>
          </w14:textFill>
        </w:rPr>
        <w:t>咨询人违约时，</w:t>
      </w:r>
      <w:r>
        <w:rPr>
          <w:rFonts w:hint="eastAsia" w:asciiTheme="minorEastAsia" w:hAnsiTheme="minorEastAsia"/>
          <w:color w:val="000000" w:themeColor="text1"/>
          <w:sz w:val="24"/>
          <w:szCs w:val="24"/>
          <w:highlight w:val="none"/>
          <w14:textFill>
            <w14:solidFill>
              <w14:schemeClr w14:val="tx1"/>
            </w14:solidFill>
          </w14:textFill>
        </w:rPr>
        <w:t>委托人有权解除本合同</w:t>
      </w:r>
      <w:r>
        <w:rPr>
          <w:rFonts w:hint="eastAsia" w:ascii="宋体" w:hAnsi="宋体"/>
          <w:color w:val="000000" w:themeColor="text1"/>
          <w:sz w:val="24"/>
          <w:szCs w:val="24"/>
          <w:highlight w:val="none"/>
          <w14:textFill>
            <w14:solidFill>
              <w14:schemeClr w14:val="tx1"/>
            </w14:solidFill>
          </w14:textFill>
        </w:rPr>
        <w:t>，不予支付任何费用，除其他条款约定外，咨询人按照合同约定总金额的30%向委托人承担违约金</w:t>
      </w:r>
      <w:r>
        <w:rPr>
          <w:rFonts w:hint="eastAsia" w:asciiTheme="minorEastAsia" w:hAnsiTheme="minorEastAsia"/>
          <w:color w:val="000000" w:themeColor="text1"/>
          <w:sz w:val="24"/>
          <w:szCs w:val="24"/>
          <w:highlight w:val="none"/>
          <w14:textFill>
            <w14:solidFill>
              <w14:schemeClr w14:val="tx1"/>
            </w14:solidFill>
          </w14:textFill>
        </w:rPr>
        <w:t>。咨询人承担给委托人造成的一切损失。</w:t>
      </w:r>
    </w:p>
    <w:p w14:paraId="560021F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9.6</w:t>
      </w:r>
      <w:r>
        <w:rPr>
          <w:rFonts w:hint="eastAsia" w:asciiTheme="minorEastAsia" w:hAnsiTheme="minorEastAsia"/>
          <w:color w:val="000000" w:themeColor="text1"/>
          <w:sz w:val="24"/>
          <w:szCs w:val="24"/>
          <w:highlight w:val="none"/>
          <w14:textFill>
            <w14:solidFill>
              <w14:schemeClr w14:val="tx1"/>
            </w14:solidFill>
          </w14:textFill>
        </w:rPr>
        <w:t>咨询人保证因履行本合同形成的知识成果，未侵害第三人权益，否则应赔偿给委托人造成的全部损失，若委托人因此对外承担责任，有权向咨询人进行全额追偿。</w:t>
      </w:r>
    </w:p>
    <w:p w14:paraId="4C5DC9C1">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9.7禁止咨询人将本合同约定事项再进行分包或转委托，否则，视为咨询人违约。</w:t>
      </w:r>
    </w:p>
    <w:p w14:paraId="2B77644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10如有时，咨询人承担万分之二且不少于500元的建设智慧平台管理费。</w:t>
      </w:r>
    </w:p>
    <w:p w14:paraId="6B04B9E9">
      <w:pPr>
        <w:numPr>
          <w:ilvl w:val="255"/>
          <w:numId w:val="0"/>
        </w:num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40" w:name="_Toc76398716"/>
      <w:r>
        <w:rPr>
          <w:rFonts w:hint="eastAsia" w:asciiTheme="minorEastAsia" w:hAnsiTheme="minorEastAsia"/>
          <w:color w:val="000000" w:themeColor="text1"/>
          <w:sz w:val="24"/>
          <w:szCs w:val="24"/>
          <w:highlight w:val="none"/>
          <w14:textFill>
            <w14:solidFill>
              <w14:schemeClr w14:val="tx1"/>
            </w14:solidFill>
          </w14:textFill>
        </w:rPr>
        <w:t>11履约担保：</w:t>
      </w:r>
      <w:r>
        <w:rPr>
          <w:rFonts w:hint="eastAsia" w:asciiTheme="minorEastAsia" w:hAnsiTheme="minorEastAsia"/>
          <w:color w:val="000000" w:themeColor="text1"/>
          <w:sz w:val="24"/>
          <w:szCs w:val="24"/>
          <w:highlight w:val="none"/>
          <w:u w:val="single"/>
          <w14:textFill>
            <w14:solidFill>
              <w14:schemeClr w14:val="tx1"/>
            </w14:solidFill>
          </w14:textFill>
        </w:rPr>
        <w:t xml:space="preserve"> 中标金额10%  </w:t>
      </w:r>
      <w:r>
        <w:rPr>
          <w:rFonts w:hint="eastAsia" w:asciiTheme="minorEastAsia" w:hAnsiTheme="minorEastAsia"/>
          <w:color w:val="000000" w:themeColor="text1"/>
          <w:sz w:val="24"/>
          <w:szCs w:val="24"/>
          <w:highlight w:val="none"/>
          <w14:textFill>
            <w14:solidFill>
              <w14:schemeClr w14:val="tx1"/>
            </w14:solidFill>
          </w14:textFill>
        </w:rPr>
        <w:t>。（20万元以上的合同金额需要履约担保）</w:t>
      </w:r>
    </w:p>
    <w:p w14:paraId="41B7982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咨询人应按工程咨询合同约定向委托人提交履约担保，履约担保的提交形式、提交时间及退还约定为：现金或咨询人认可的单位出具的履约保函，中标通知书发出后10日内，签订合同之前，逾期未提供，委托人有权终止双方的合同关系，一切责任由咨询人承担；退还约定为工程办理完结算、且咨询人无违约的情形下60日内一次性解保或无息退还。</w:t>
      </w:r>
    </w:p>
    <w:p w14:paraId="51981DA4">
      <w:pPr>
        <w:pStyle w:val="4"/>
        <w:ind w:firstLine="723"/>
        <w:rPr>
          <w:color w:val="000000" w:themeColor="text1"/>
          <w:highlight w:val="none"/>
          <w14:textFill>
            <w14:solidFill>
              <w14:schemeClr w14:val="tx1"/>
            </w14:solidFill>
          </w14:textFill>
        </w:rPr>
      </w:pPr>
    </w:p>
    <w:p w14:paraId="59B75153">
      <w:pPr>
        <w:jc w:val="center"/>
        <w:outlineLvl w:val="0"/>
        <w:rPr>
          <w:color w:val="000000" w:themeColor="text1"/>
          <w:highlight w:val="none"/>
          <w14:textFill>
            <w14:solidFill>
              <w14:schemeClr w14:val="tx1"/>
            </w14:solidFill>
          </w14:textFill>
        </w:rPr>
      </w:pPr>
    </w:p>
    <w:p w14:paraId="48488ECD">
      <w:pPr>
        <w:jc w:val="center"/>
        <w:outlineLvl w:val="0"/>
        <w:rPr>
          <w:color w:val="000000" w:themeColor="text1"/>
          <w:highlight w:val="none"/>
          <w14:textFill>
            <w14:solidFill>
              <w14:schemeClr w14:val="tx1"/>
            </w14:solidFill>
          </w14:textFill>
        </w:rPr>
      </w:pPr>
    </w:p>
    <w:p w14:paraId="58CA1022">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D729C6D">
      <w:pPr>
        <w:jc w:val="center"/>
        <w:outlineLvl w:val="0"/>
        <w:rPr>
          <w:color w:val="000000" w:themeColor="text1"/>
          <w:highlight w:val="none"/>
          <w14:textFill>
            <w14:solidFill>
              <w14:schemeClr w14:val="tx1"/>
            </w14:solidFill>
          </w14:textFill>
        </w:rPr>
      </w:pPr>
    </w:p>
    <w:p w14:paraId="7D46D892">
      <w:pPr>
        <w:jc w:val="center"/>
        <w:outlineLvl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附录 A 咨询人人员配置一览表</w:t>
      </w:r>
      <w:bookmarkEnd w:id="740"/>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14:paraId="5C1F6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14:paraId="03C6F2E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525" w:type="dxa"/>
          </w:tcPr>
          <w:p w14:paraId="4EB5027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职务</w:t>
            </w:r>
          </w:p>
        </w:tc>
        <w:tc>
          <w:tcPr>
            <w:tcW w:w="1348" w:type="dxa"/>
          </w:tcPr>
          <w:p w14:paraId="5DB4EE1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专业</w:t>
            </w:r>
          </w:p>
        </w:tc>
        <w:tc>
          <w:tcPr>
            <w:tcW w:w="1359" w:type="dxa"/>
          </w:tcPr>
          <w:p w14:paraId="66A63DA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职业资格证</w:t>
            </w:r>
          </w:p>
        </w:tc>
        <w:tc>
          <w:tcPr>
            <w:tcW w:w="1623" w:type="dxa"/>
          </w:tcPr>
          <w:p w14:paraId="2024141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tc>
        <w:tc>
          <w:tcPr>
            <w:tcW w:w="1633" w:type="dxa"/>
          </w:tcPr>
          <w:p w14:paraId="3AC3FA2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14:paraId="1940AB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52142DAD">
            <w:pPr>
              <w:jc w:val="center"/>
              <w:rPr>
                <w:color w:val="000000" w:themeColor="text1"/>
                <w:sz w:val="24"/>
                <w:szCs w:val="24"/>
                <w:highlight w:val="none"/>
                <w14:textFill>
                  <w14:solidFill>
                    <w14:schemeClr w14:val="tx1"/>
                  </w14:solidFill>
                </w14:textFill>
              </w:rPr>
            </w:pPr>
          </w:p>
        </w:tc>
        <w:tc>
          <w:tcPr>
            <w:tcW w:w="1525" w:type="dxa"/>
            <w:vAlign w:val="center"/>
          </w:tcPr>
          <w:p w14:paraId="559A96B1">
            <w:pPr>
              <w:jc w:val="center"/>
              <w:rPr>
                <w:color w:val="000000" w:themeColor="text1"/>
                <w:highlight w:val="none"/>
                <w14:textFill>
                  <w14:solidFill>
                    <w14:schemeClr w14:val="tx1"/>
                  </w14:solidFill>
                </w14:textFill>
              </w:rPr>
            </w:pPr>
          </w:p>
        </w:tc>
        <w:tc>
          <w:tcPr>
            <w:tcW w:w="1348" w:type="dxa"/>
          </w:tcPr>
          <w:p w14:paraId="08DBB914">
            <w:pPr>
              <w:jc w:val="center"/>
              <w:rPr>
                <w:color w:val="000000" w:themeColor="text1"/>
                <w:highlight w:val="none"/>
                <w14:textFill>
                  <w14:solidFill>
                    <w14:schemeClr w14:val="tx1"/>
                  </w14:solidFill>
                </w14:textFill>
              </w:rPr>
            </w:pPr>
          </w:p>
        </w:tc>
        <w:tc>
          <w:tcPr>
            <w:tcW w:w="1359" w:type="dxa"/>
            <w:vAlign w:val="center"/>
          </w:tcPr>
          <w:p w14:paraId="0969C2F9">
            <w:pPr>
              <w:jc w:val="center"/>
              <w:rPr>
                <w:color w:val="000000" w:themeColor="text1"/>
                <w:sz w:val="24"/>
                <w:szCs w:val="24"/>
                <w:highlight w:val="none"/>
                <w14:textFill>
                  <w14:solidFill>
                    <w14:schemeClr w14:val="tx1"/>
                  </w14:solidFill>
                </w14:textFill>
              </w:rPr>
            </w:pPr>
          </w:p>
        </w:tc>
        <w:tc>
          <w:tcPr>
            <w:tcW w:w="1623" w:type="dxa"/>
            <w:vAlign w:val="center"/>
          </w:tcPr>
          <w:p w14:paraId="604209D5">
            <w:pPr>
              <w:jc w:val="center"/>
              <w:rPr>
                <w:color w:val="000000" w:themeColor="text1"/>
                <w:highlight w:val="none"/>
                <w14:textFill>
                  <w14:solidFill>
                    <w14:schemeClr w14:val="tx1"/>
                  </w14:solidFill>
                </w14:textFill>
              </w:rPr>
            </w:pPr>
          </w:p>
        </w:tc>
        <w:tc>
          <w:tcPr>
            <w:tcW w:w="1633" w:type="dxa"/>
          </w:tcPr>
          <w:p w14:paraId="4888DFCD">
            <w:pPr>
              <w:jc w:val="center"/>
              <w:rPr>
                <w:color w:val="000000" w:themeColor="text1"/>
                <w:highlight w:val="none"/>
                <w14:textFill>
                  <w14:solidFill>
                    <w14:schemeClr w14:val="tx1"/>
                  </w14:solidFill>
                </w14:textFill>
              </w:rPr>
            </w:pPr>
          </w:p>
        </w:tc>
      </w:tr>
      <w:tr w14:paraId="7E8A7B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3ED1FEED">
            <w:pPr>
              <w:jc w:val="center"/>
              <w:rPr>
                <w:color w:val="000000" w:themeColor="text1"/>
                <w:sz w:val="24"/>
                <w:szCs w:val="24"/>
                <w:highlight w:val="none"/>
                <w14:textFill>
                  <w14:solidFill>
                    <w14:schemeClr w14:val="tx1"/>
                  </w14:solidFill>
                </w14:textFill>
              </w:rPr>
            </w:pPr>
          </w:p>
        </w:tc>
        <w:tc>
          <w:tcPr>
            <w:tcW w:w="1525" w:type="dxa"/>
            <w:vAlign w:val="center"/>
          </w:tcPr>
          <w:p w14:paraId="32145918">
            <w:pPr>
              <w:jc w:val="center"/>
              <w:rPr>
                <w:color w:val="000000" w:themeColor="text1"/>
                <w:highlight w:val="none"/>
                <w14:textFill>
                  <w14:solidFill>
                    <w14:schemeClr w14:val="tx1"/>
                  </w14:solidFill>
                </w14:textFill>
              </w:rPr>
            </w:pPr>
          </w:p>
        </w:tc>
        <w:tc>
          <w:tcPr>
            <w:tcW w:w="1348" w:type="dxa"/>
          </w:tcPr>
          <w:p w14:paraId="09AA21BD">
            <w:pPr>
              <w:jc w:val="center"/>
              <w:rPr>
                <w:color w:val="000000" w:themeColor="text1"/>
                <w:highlight w:val="none"/>
                <w14:textFill>
                  <w14:solidFill>
                    <w14:schemeClr w14:val="tx1"/>
                  </w14:solidFill>
                </w14:textFill>
              </w:rPr>
            </w:pPr>
          </w:p>
        </w:tc>
        <w:tc>
          <w:tcPr>
            <w:tcW w:w="1359" w:type="dxa"/>
            <w:vAlign w:val="center"/>
          </w:tcPr>
          <w:p w14:paraId="44141D06">
            <w:pPr>
              <w:jc w:val="center"/>
              <w:rPr>
                <w:color w:val="000000" w:themeColor="text1"/>
                <w:sz w:val="24"/>
                <w:szCs w:val="24"/>
                <w:highlight w:val="none"/>
                <w14:textFill>
                  <w14:solidFill>
                    <w14:schemeClr w14:val="tx1"/>
                  </w14:solidFill>
                </w14:textFill>
              </w:rPr>
            </w:pPr>
          </w:p>
        </w:tc>
        <w:tc>
          <w:tcPr>
            <w:tcW w:w="1623" w:type="dxa"/>
            <w:vAlign w:val="center"/>
          </w:tcPr>
          <w:p w14:paraId="2F5DCA75">
            <w:pPr>
              <w:jc w:val="center"/>
              <w:rPr>
                <w:color w:val="000000" w:themeColor="text1"/>
                <w:highlight w:val="none"/>
                <w14:textFill>
                  <w14:solidFill>
                    <w14:schemeClr w14:val="tx1"/>
                  </w14:solidFill>
                </w14:textFill>
              </w:rPr>
            </w:pPr>
          </w:p>
        </w:tc>
        <w:tc>
          <w:tcPr>
            <w:tcW w:w="1633" w:type="dxa"/>
          </w:tcPr>
          <w:p w14:paraId="060F24B9">
            <w:pPr>
              <w:jc w:val="center"/>
              <w:rPr>
                <w:color w:val="000000" w:themeColor="text1"/>
                <w:highlight w:val="none"/>
                <w14:textFill>
                  <w14:solidFill>
                    <w14:schemeClr w14:val="tx1"/>
                  </w14:solidFill>
                </w14:textFill>
              </w:rPr>
            </w:pPr>
          </w:p>
        </w:tc>
      </w:tr>
      <w:tr w14:paraId="727BB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1D4C1D2A">
            <w:pPr>
              <w:jc w:val="center"/>
              <w:rPr>
                <w:color w:val="000000" w:themeColor="text1"/>
                <w:sz w:val="24"/>
                <w:szCs w:val="24"/>
                <w:highlight w:val="none"/>
                <w14:textFill>
                  <w14:solidFill>
                    <w14:schemeClr w14:val="tx1"/>
                  </w14:solidFill>
                </w14:textFill>
              </w:rPr>
            </w:pPr>
          </w:p>
        </w:tc>
        <w:tc>
          <w:tcPr>
            <w:tcW w:w="1525" w:type="dxa"/>
            <w:vAlign w:val="center"/>
          </w:tcPr>
          <w:p w14:paraId="4C0EAEF7">
            <w:pPr>
              <w:jc w:val="center"/>
              <w:rPr>
                <w:color w:val="000000" w:themeColor="text1"/>
                <w:highlight w:val="none"/>
                <w14:textFill>
                  <w14:solidFill>
                    <w14:schemeClr w14:val="tx1"/>
                  </w14:solidFill>
                </w14:textFill>
              </w:rPr>
            </w:pPr>
          </w:p>
        </w:tc>
        <w:tc>
          <w:tcPr>
            <w:tcW w:w="1348" w:type="dxa"/>
          </w:tcPr>
          <w:p w14:paraId="26C06366">
            <w:pPr>
              <w:jc w:val="center"/>
              <w:rPr>
                <w:color w:val="000000" w:themeColor="text1"/>
                <w:highlight w:val="none"/>
                <w14:textFill>
                  <w14:solidFill>
                    <w14:schemeClr w14:val="tx1"/>
                  </w14:solidFill>
                </w14:textFill>
              </w:rPr>
            </w:pPr>
          </w:p>
        </w:tc>
        <w:tc>
          <w:tcPr>
            <w:tcW w:w="1359" w:type="dxa"/>
            <w:vAlign w:val="center"/>
          </w:tcPr>
          <w:p w14:paraId="2C600FC0">
            <w:pPr>
              <w:jc w:val="center"/>
              <w:rPr>
                <w:color w:val="000000" w:themeColor="text1"/>
                <w:sz w:val="24"/>
                <w:szCs w:val="24"/>
                <w:highlight w:val="none"/>
                <w14:textFill>
                  <w14:solidFill>
                    <w14:schemeClr w14:val="tx1"/>
                  </w14:solidFill>
                </w14:textFill>
              </w:rPr>
            </w:pPr>
          </w:p>
        </w:tc>
        <w:tc>
          <w:tcPr>
            <w:tcW w:w="1623" w:type="dxa"/>
            <w:vAlign w:val="center"/>
          </w:tcPr>
          <w:p w14:paraId="7BF5B7D2">
            <w:pPr>
              <w:jc w:val="center"/>
              <w:rPr>
                <w:color w:val="000000" w:themeColor="text1"/>
                <w:highlight w:val="none"/>
                <w14:textFill>
                  <w14:solidFill>
                    <w14:schemeClr w14:val="tx1"/>
                  </w14:solidFill>
                </w14:textFill>
              </w:rPr>
            </w:pPr>
          </w:p>
        </w:tc>
        <w:tc>
          <w:tcPr>
            <w:tcW w:w="1633" w:type="dxa"/>
          </w:tcPr>
          <w:p w14:paraId="6EB0DE0D">
            <w:pPr>
              <w:jc w:val="center"/>
              <w:rPr>
                <w:color w:val="000000" w:themeColor="text1"/>
                <w:highlight w:val="none"/>
                <w14:textFill>
                  <w14:solidFill>
                    <w14:schemeClr w14:val="tx1"/>
                  </w14:solidFill>
                </w14:textFill>
              </w:rPr>
            </w:pPr>
          </w:p>
        </w:tc>
      </w:tr>
      <w:tr w14:paraId="441CCF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5741AADD">
            <w:pPr>
              <w:jc w:val="center"/>
              <w:rPr>
                <w:color w:val="000000" w:themeColor="text1"/>
                <w:highlight w:val="none"/>
                <w14:textFill>
                  <w14:solidFill>
                    <w14:schemeClr w14:val="tx1"/>
                  </w14:solidFill>
                </w14:textFill>
              </w:rPr>
            </w:pPr>
          </w:p>
        </w:tc>
        <w:tc>
          <w:tcPr>
            <w:tcW w:w="1525" w:type="dxa"/>
          </w:tcPr>
          <w:p w14:paraId="773791A1">
            <w:pPr>
              <w:jc w:val="center"/>
              <w:rPr>
                <w:color w:val="000000" w:themeColor="text1"/>
                <w:highlight w:val="none"/>
                <w14:textFill>
                  <w14:solidFill>
                    <w14:schemeClr w14:val="tx1"/>
                  </w14:solidFill>
                </w14:textFill>
              </w:rPr>
            </w:pPr>
          </w:p>
        </w:tc>
        <w:tc>
          <w:tcPr>
            <w:tcW w:w="1348" w:type="dxa"/>
          </w:tcPr>
          <w:p w14:paraId="65DBAB51">
            <w:pPr>
              <w:jc w:val="center"/>
              <w:rPr>
                <w:color w:val="000000" w:themeColor="text1"/>
                <w:highlight w:val="none"/>
                <w14:textFill>
                  <w14:solidFill>
                    <w14:schemeClr w14:val="tx1"/>
                  </w14:solidFill>
                </w14:textFill>
              </w:rPr>
            </w:pPr>
          </w:p>
        </w:tc>
        <w:tc>
          <w:tcPr>
            <w:tcW w:w="1359" w:type="dxa"/>
          </w:tcPr>
          <w:p w14:paraId="69D359FB">
            <w:pPr>
              <w:jc w:val="center"/>
              <w:rPr>
                <w:color w:val="000000" w:themeColor="text1"/>
                <w:highlight w:val="none"/>
                <w14:textFill>
                  <w14:solidFill>
                    <w14:schemeClr w14:val="tx1"/>
                  </w14:solidFill>
                </w14:textFill>
              </w:rPr>
            </w:pPr>
          </w:p>
        </w:tc>
        <w:tc>
          <w:tcPr>
            <w:tcW w:w="1623" w:type="dxa"/>
          </w:tcPr>
          <w:p w14:paraId="53479B89">
            <w:pPr>
              <w:jc w:val="center"/>
              <w:rPr>
                <w:color w:val="000000" w:themeColor="text1"/>
                <w:highlight w:val="none"/>
                <w14:textFill>
                  <w14:solidFill>
                    <w14:schemeClr w14:val="tx1"/>
                  </w14:solidFill>
                </w14:textFill>
              </w:rPr>
            </w:pPr>
          </w:p>
        </w:tc>
        <w:tc>
          <w:tcPr>
            <w:tcW w:w="1633" w:type="dxa"/>
          </w:tcPr>
          <w:p w14:paraId="456C0792">
            <w:pPr>
              <w:jc w:val="center"/>
              <w:rPr>
                <w:color w:val="000000" w:themeColor="text1"/>
                <w:highlight w:val="none"/>
                <w14:textFill>
                  <w14:solidFill>
                    <w14:schemeClr w14:val="tx1"/>
                  </w14:solidFill>
                </w14:textFill>
              </w:rPr>
            </w:pPr>
          </w:p>
        </w:tc>
      </w:tr>
      <w:tr w14:paraId="10539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3B00E85E">
            <w:pPr>
              <w:jc w:val="center"/>
              <w:rPr>
                <w:color w:val="000000" w:themeColor="text1"/>
                <w:highlight w:val="none"/>
                <w14:textFill>
                  <w14:solidFill>
                    <w14:schemeClr w14:val="tx1"/>
                  </w14:solidFill>
                </w14:textFill>
              </w:rPr>
            </w:pPr>
          </w:p>
        </w:tc>
        <w:tc>
          <w:tcPr>
            <w:tcW w:w="1525" w:type="dxa"/>
          </w:tcPr>
          <w:p w14:paraId="6C28B22A">
            <w:pPr>
              <w:jc w:val="center"/>
              <w:rPr>
                <w:color w:val="000000" w:themeColor="text1"/>
                <w:highlight w:val="none"/>
                <w14:textFill>
                  <w14:solidFill>
                    <w14:schemeClr w14:val="tx1"/>
                  </w14:solidFill>
                </w14:textFill>
              </w:rPr>
            </w:pPr>
          </w:p>
        </w:tc>
        <w:tc>
          <w:tcPr>
            <w:tcW w:w="1348" w:type="dxa"/>
          </w:tcPr>
          <w:p w14:paraId="1EBD5BFC">
            <w:pPr>
              <w:jc w:val="center"/>
              <w:rPr>
                <w:color w:val="000000" w:themeColor="text1"/>
                <w:highlight w:val="none"/>
                <w14:textFill>
                  <w14:solidFill>
                    <w14:schemeClr w14:val="tx1"/>
                  </w14:solidFill>
                </w14:textFill>
              </w:rPr>
            </w:pPr>
          </w:p>
        </w:tc>
        <w:tc>
          <w:tcPr>
            <w:tcW w:w="1359" w:type="dxa"/>
          </w:tcPr>
          <w:p w14:paraId="2D01000C">
            <w:pPr>
              <w:jc w:val="center"/>
              <w:rPr>
                <w:color w:val="000000" w:themeColor="text1"/>
                <w:highlight w:val="none"/>
                <w14:textFill>
                  <w14:solidFill>
                    <w14:schemeClr w14:val="tx1"/>
                  </w14:solidFill>
                </w14:textFill>
              </w:rPr>
            </w:pPr>
          </w:p>
        </w:tc>
        <w:tc>
          <w:tcPr>
            <w:tcW w:w="1623" w:type="dxa"/>
          </w:tcPr>
          <w:p w14:paraId="429AB2CD">
            <w:pPr>
              <w:jc w:val="center"/>
              <w:rPr>
                <w:color w:val="000000" w:themeColor="text1"/>
                <w:highlight w:val="none"/>
                <w14:textFill>
                  <w14:solidFill>
                    <w14:schemeClr w14:val="tx1"/>
                  </w14:solidFill>
                </w14:textFill>
              </w:rPr>
            </w:pPr>
          </w:p>
        </w:tc>
        <w:tc>
          <w:tcPr>
            <w:tcW w:w="1633" w:type="dxa"/>
          </w:tcPr>
          <w:p w14:paraId="7694DA42">
            <w:pPr>
              <w:jc w:val="center"/>
              <w:rPr>
                <w:color w:val="000000" w:themeColor="text1"/>
                <w:highlight w:val="none"/>
                <w14:textFill>
                  <w14:solidFill>
                    <w14:schemeClr w14:val="tx1"/>
                  </w14:solidFill>
                </w14:textFill>
              </w:rPr>
            </w:pPr>
          </w:p>
        </w:tc>
      </w:tr>
    </w:tbl>
    <w:p w14:paraId="47C79C7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注：1.合同签订时，出具以上人员任命书，并附身份证、职业资格证书等复印件（两套）。</w:t>
      </w:r>
    </w:p>
    <w:p w14:paraId="3B3ED9B1">
      <w:pPr>
        <w:jc w:val="center"/>
        <w:rPr>
          <w:color w:val="000000" w:themeColor="text1"/>
          <w:highlight w:val="none"/>
          <w14:textFill>
            <w14:solidFill>
              <w14:schemeClr w14:val="tx1"/>
            </w14:solidFill>
          </w14:textFill>
        </w:rPr>
      </w:pPr>
    </w:p>
    <w:p w14:paraId="28BC3E7C">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B219EC5">
      <w:pPr>
        <w:jc w:val="center"/>
        <w:rPr>
          <w:color w:val="000000" w:themeColor="text1"/>
          <w:highlight w:val="none"/>
          <w14:textFill>
            <w14:solidFill>
              <w14:schemeClr w14:val="tx1"/>
            </w14:solidFill>
          </w14:textFill>
        </w:rPr>
      </w:pPr>
    </w:p>
    <w:p w14:paraId="0C5BCEE3">
      <w:pPr>
        <w:jc w:val="center"/>
        <w:outlineLvl w:val="0"/>
        <w:rPr>
          <w:color w:val="000000" w:themeColor="text1"/>
          <w:highlight w:val="none"/>
          <w14:textFill>
            <w14:solidFill>
              <w14:schemeClr w14:val="tx1"/>
            </w14:solidFill>
          </w14:textFill>
        </w:rPr>
      </w:pPr>
      <w:bookmarkStart w:id="741" w:name="_Toc76398717"/>
      <w:r>
        <w:rPr>
          <w:rFonts w:hint="eastAsia"/>
          <w:color w:val="000000" w:themeColor="text1"/>
          <w:highlight w:val="none"/>
          <w14:textFill>
            <w14:solidFill>
              <w14:schemeClr w14:val="tx1"/>
            </w14:solidFill>
          </w14:textFill>
        </w:rPr>
        <w:t>附录 B 咨询人提交成果文件一览表</w:t>
      </w:r>
      <w:bookmarkEnd w:id="741"/>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14:paraId="001BA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14:paraId="535686D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服务阶段</w:t>
            </w:r>
          </w:p>
        </w:tc>
        <w:tc>
          <w:tcPr>
            <w:tcW w:w="1483" w:type="dxa"/>
          </w:tcPr>
          <w:p w14:paraId="6B3F5F1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成果文件名称</w:t>
            </w:r>
          </w:p>
        </w:tc>
        <w:tc>
          <w:tcPr>
            <w:tcW w:w="1483" w:type="dxa"/>
          </w:tcPr>
          <w:p w14:paraId="02069DF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1483" w:type="dxa"/>
          </w:tcPr>
          <w:p w14:paraId="352558B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1483" w:type="dxa"/>
          </w:tcPr>
          <w:p w14:paraId="19A2016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1483" w:type="dxa"/>
          </w:tcPr>
          <w:p w14:paraId="0AAC4EE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14:paraId="03C281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2869255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实施阶段</w:t>
            </w:r>
          </w:p>
        </w:tc>
        <w:tc>
          <w:tcPr>
            <w:tcW w:w="1483" w:type="dxa"/>
            <w:vAlign w:val="center"/>
          </w:tcPr>
          <w:p w14:paraId="4743CBD3">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14:paraId="3BDF43C6">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14:paraId="2DFEC1AF">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项目开工前</w:t>
            </w:r>
          </w:p>
        </w:tc>
        <w:tc>
          <w:tcPr>
            <w:tcW w:w="1483" w:type="dxa"/>
            <w:vAlign w:val="center"/>
          </w:tcPr>
          <w:p w14:paraId="76FA256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C647CCE">
            <w:pPr>
              <w:jc w:val="center"/>
              <w:rPr>
                <w:rFonts w:asciiTheme="minorEastAsia" w:hAnsiTheme="minorEastAsia"/>
                <w:color w:val="000000" w:themeColor="text1"/>
                <w:szCs w:val="21"/>
                <w:highlight w:val="none"/>
                <w14:textFill>
                  <w14:solidFill>
                    <w14:schemeClr w14:val="tx1"/>
                  </w14:solidFill>
                </w14:textFill>
              </w:rPr>
            </w:pPr>
          </w:p>
        </w:tc>
      </w:tr>
      <w:tr w14:paraId="0889C0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54AC9AE9">
            <w:pPr>
              <w:jc w:val="center"/>
              <w:rPr>
                <w:color w:val="000000" w:themeColor="text1"/>
                <w:highlight w:val="none"/>
                <w14:textFill>
                  <w14:solidFill>
                    <w14:schemeClr w14:val="tx1"/>
                  </w14:solidFill>
                </w14:textFill>
              </w:rPr>
            </w:pPr>
          </w:p>
        </w:tc>
        <w:tc>
          <w:tcPr>
            <w:tcW w:w="1483" w:type="dxa"/>
            <w:vAlign w:val="center"/>
          </w:tcPr>
          <w:p w14:paraId="2DDDDAF9">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收方签证单</w:t>
            </w:r>
          </w:p>
        </w:tc>
        <w:tc>
          <w:tcPr>
            <w:tcW w:w="1483" w:type="dxa"/>
            <w:vAlign w:val="center"/>
          </w:tcPr>
          <w:p w14:paraId="0AE5373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收方单、签证单</w:t>
            </w:r>
          </w:p>
        </w:tc>
        <w:tc>
          <w:tcPr>
            <w:tcW w:w="1483" w:type="dxa"/>
            <w:vAlign w:val="center"/>
          </w:tcPr>
          <w:p w14:paraId="27681E02">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施工单位提交收方签证单之日起三日内</w:t>
            </w:r>
          </w:p>
        </w:tc>
        <w:tc>
          <w:tcPr>
            <w:tcW w:w="1483" w:type="dxa"/>
            <w:vAlign w:val="center"/>
          </w:tcPr>
          <w:p w14:paraId="173FC57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899EE10">
            <w:pPr>
              <w:jc w:val="center"/>
              <w:rPr>
                <w:rFonts w:asciiTheme="minorEastAsia" w:hAnsiTheme="minorEastAsia"/>
                <w:color w:val="000000" w:themeColor="text1"/>
                <w:szCs w:val="21"/>
                <w:highlight w:val="none"/>
                <w14:textFill>
                  <w14:solidFill>
                    <w14:schemeClr w14:val="tx1"/>
                  </w14:solidFill>
                </w14:textFill>
              </w:rPr>
            </w:pPr>
          </w:p>
        </w:tc>
      </w:tr>
      <w:tr w14:paraId="02A281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68C64A5">
            <w:pPr>
              <w:jc w:val="center"/>
              <w:rPr>
                <w:color w:val="000000" w:themeColor="text1"/>
                <w:highlight w:val="none"/>
                <w14:textFill>
                  <w14:solidFill>
                    <w14:schemeClr w14:val="tx1"/>
                  </w14:solidFill>
                </w14:textFill>
              </w:rPr>
            </w:pPr>
          </w:p>
        </w:tc>
        <w:tc>
          <w:tcPr>
            <w:tcW w:w="1483" w:type="dxa"/>
            <w:vAlign w:val="center"/>
          </w:tcPr>
          <w:p w14:paraId="78D24D30">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14:paraId="4FA53471">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14:paraId="23B8472D">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施工单位提交认质核价单之日起七日内</w:t>
            </w:r>
          </w:p>
        </w:tc>
        <w:tc>
          <w:tcPr>
            <w:tcW w:w="1483" w:type="dxa"/>
            <w:vAlign w:val="center"/>
          </w:tcPr>
          <w:p w14:paraId="11CA2CC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A39FB4A">
            <w:pPr>
              <w:jc w:val="center"/>
              <w:rPr>
                <w:rFonts w:asciiTheme="minorEastAsia" w:hAnsiTheme="minorEastAsia"/>
                <w:color w:val="000000" w:themeColor="text1"/>
                <w:szCs w:val="21"/>
                <w:highlight w:val="none"/>
                <w14:textFill>
                  <w14:solidFill>
                    <w14:schemeClr w14:val="tx1"/>
                  </w14:solidFill>
                </w14:textFill>
              </w:rPr>
            </w:pPr>
          </w:p>
        </w:tc>
      </w:tr>
      <w:tr w14:paraId="6299DB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3DE6AF6D">
            <w:pPr>
              <w:jc w:val="center"/>
              <w:rPr>
                <w:color w:val="000000" w:themeColor="text1"/>
                <w:highlight w:val="none"/>
                <w14:textFill>
                  <w14:solidFill>
                    <w14:schemeClr w14:val="tx1"/>
                  </w14:solidFill>
                </w14:textFill>
              </w:rPr>
            </w:pPr>
          </w:p>
        </w:tc>
        <w:tc>
          <w:tcPr>
            <w:tcW w:w="1483" w:type="dxa"/>
            <w:vAlign w:val="center"/>
          </w:tcPr>
          <w:p w14:paraId="560AA215">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变更核算</w:t>
            </w:r>
          </w:p>
        </w:tc>
        <w:tc>
          <w:tcPr>
            <w:tcW w:w="1483" w:type="dxa"/>
            <w:vAlign w:val="center"/>
          </w:tcPr>
          <w:p w14:paraId="5FBF10E5">
            <w:pP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预算书</w:t>
            </w:r>
          </w:p>
        </w:tc>
        <w:tc>
          <w:tcPr>
            <w:tcW w:w="1483" w:type="dxa"/>
            <w:vAlign w:val="center"/>
          </w:tcPr>
          <w:p w14:paraId="24894337">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施工单位提交变更预算书之日起七日内</w:t>
            </w:r>
          </w:p>
        </w:tc>
        <w:tc>
          <w:tcPr>
            <w:tcW w:w="1483" w:type="dxa"/>
            <w:vAlign w:val="center"/>
          </w:tcPr>
          <w:p w14:paraId="735B2505">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27FB5AD">
            <w:pPr>
              <w:jc w:val="center"/>
              <w:rPr>
                <w:rFonts w:asciiTheme="minorEastAsia" w:hAnsiTheme="minorEastAsia"/>
                <w:color w:val="000000" w:themeColor="text1"/>
                <w:szCs w:val="21"/>
                <w:highlight w:val="none"/>
                <w14:textFill>
                  <w14:solidFill>
                    <w14:schemeClr w14:val="tx1"/>
                  </w14:solidFill>
                </w14:textFill>
              </w:rPr>
            </w:pPr>
          </w:p>
        </w:tc>
      </w:tr>
      <w:tr w14:paraId="398259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AEFB3F6">
            <w:pPr>
              <w:jc w:val="center"/>
              <w:rPr>
                <w:color w:val="000000" w:themeColor="text1"/>
                <w:highlight w:val="none"/>
                <w14:textFill>
                  <w14:solidFill>
                    <w14:schemeClr w14:val="tx1"/>
                  </w14:solidFill>
                </w14:textFill>
              </w:rPr>
            </w:pPr>
          </w:p>
        </w:tc>
        <w:tc>
          <w:tcPr>
            <w:tcW w:w="1483" w:type="dxa"/>
            <w:vAlign w:val="center"/>
          </w:tcPr>
          <w:p w14:paraId="79A2B7A1">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进度款支付情况表</w:t>
            </w:r>
          </w:p>
        </w:tc>
        <w:tc>
          <w:tcPr>
            <w:tcW w:w="1483" w:type="dxa"/>
            <w:vAlign w:val="center"/>
          </w:tcPr>
          <w:p w14:paraId="79E1C03B">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进度款审批表及附件</w:t>
            </w:r>
          </w:p>
        </w:tc>
        <w:tc>
          <w:tcPr>
            <w:tcW w:w="1483" w:type="dxa"/>
            <w:vAlign w:val="center"/>
          </w:tcPr>
          <w:p w14:paraId="6555CAF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施工单位提交进度款支付申请之日起七日内</w:t>
            </w:r>
          </w:p>
        </w:tc>
        <w:tc>
          <w:tcPr>
            <w:tcW w:w="1483" w:type="dxa"/>
            <w:vAlign w:val="center"/>
          </w:tcPr>
          <w:p w14:paraId="7BBBC07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6F3356C">
            <w:pPr>
              <w:jc w:val="center"/>
              <w:rPr>
                <w:rFonts w:asciiTheme="minorEastAsia" w:hAnsiTheme="minorEastAsia"/>
                <w:color w:val="000000" w:themeColor="text1"/>
                <w:szCs w:val="21"/>
                <w:highlight w:val="none"/>
                <w14:textFill>
                  <w14:solidFill>
                    <w14:schemeClr w14:val="tx1"/>
                  </w14:solidFill>
                </w14:textFill>
              </w:rPr>
            </w:pPr>
          </w:p>
        </w:tc>
      </w:tr>
      <w:tr w14:paraId="04286B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7AB554F">
            <w:pPr>
              <w:jc w:val="center"/>
              <w:rPr>
                <w:color w:val="000000" w:themeColor="text1"/>
                <w:highlight w:val="none"/>
                <w14:textFill>
                  <w14:solidFill>
                    <w14:schemeClr w14:val="tx1"/>
                  </w14:solidFill>
                </w14:textFill>
              </w:rPr>
            </w:pPr>
          </w:p>
        </w:tc>
        <w:tc>
          <w:tcPr>
            <w:tcW w:w="1483" w:type="dxa"/>
            <w:vAlign w:val="center"/>
          </w:tcPr>
          <w:p w14:paraId="719DB3A5">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14:paraId="412B5696">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14:paraId="25F8ED6B">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每月28号</w:t>
            </w:r>
          </w:p>
        </w:tc>
        <w:tc>
          <w:tcPr>
            <w:tcW w:w="1483" w:type="dxa"/>
            <w:vAlign w:val="center"/>
          </w:tcPr>
          <w:p w14:paraId="2A7C98D4">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41F9250">
            <w:pPr>
              <w:jc w:val="center"/>
              <w:rPr>
                <w:rFonts w:asciiTheme="minorEastAsia" w:hAnsiTheme="minorEastAsia"/>
                <w:color w:val="000000" w:themeColor="text1"/>
                <w:szCs w:val="21"/>
                <w:highlight w:val="none"/>
                <w14:textFill>
                  <w14:solidFill>
                    <w14:schemeClr w14:val="tx1"/>
                  </w14:solidFill>
                </w14:textFill>
              </w:rPr>
            </w:pPr>
          </w:p>
        </w:tc>
      </w:tr>
      <w:tr w14:paraId="6ACA2A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571FB22">
            <w:pPr>
              <w:jc w:val="center"/>
              <w:rPr>
                <w:color w:val="000000" w:themeColor="text1"/>
                <w:highlight w:val="none"/>
                <w14:textFill>
                  <w14:solidFill>
                    <w14:schemeClr w14:val="tx1"/>
                  </w14:solidFill>
                </w14:textFill>
              </w:rPr>
            </w:pPr>
          </w:p>
        </w:tc>
        <w:tc>
          <w:tcPr>
            <w:tcW w:w="1483" w:type="dxa"/>
            <w:vAlign w:val="center"/>
          </w:tcPr>
          <w:p w14:paraId="0C45AAD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364A1B1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61A3C9A6">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17D6491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3A4BE07">
            <w:pPr>
              <w:jc w:val="center"/>
              <w:rPr>
                <w:rFonts w:asciiTheme="minorEastAsia" w:hAnsiTheme="minorEastAsia"/>
                <w:color w:val="000000" w:themeColor="text1"/>
                <w:szCs w:val="21"/>
                <w:highlight w:val="none"/>
                <w14:textFill>
                  <w14:solidFill>
                    <w14:schemeClr w14:val="tx1"/>
                  </w14:solidFill>
                </w14:textFill>
              </w:rPr>
            </w:pPr>
          </w:p>
        </w:tc>
      </w:tr>
      <w:tr w14:paraId="72D26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CA1D013">
            <w:pPr>
              <w:jc w:val="center"/>
              <w:rPr>
                <w:color w:val="000000" w:themeColor="text1"/>
                <w:highlight w:val="none"/>
                <w14:textFill>
                  <w14:solidFill>
                    <w14:schemeClr w14:val="tx1"/>
                  </w14:solidFill>
                </w14:textFill>
              </w:rPr>
            </w:pPr>
          </w:p>
        </w:tc>
        <w:tc>
          <w:tcPr>
            <w:tcW w:w="1483" w:type="dxa"/>
            <w:vAlign w:val="center"/>
          </w:tcPr>
          <w:p w14:paraId="492A838F">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C8D31CC">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9DEB08B">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C684CB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C787316">
            <w:pPr>
              <w:jc w:val="center"/>
              <w:rPr>
                <w:rFonts w:asciiTheme="minorEastAsia" w:hAnsiTheme="minorEastAsia"/>
                <w:color w:val="000000" w:themeColor="text1"/>
                <w:szCs w:val="21"/>
                <w:highlight w:val="none"/>
                <w14:textFill>
                  <w14:solidFill>
                    <w14:schemeClr w14:val="tx1"/>
                  </w14:solidFill>
                </w14:textFill>
              </w:rPr>
            </w:pPr>
          </w:p>
        </w:tc>
      </w:tr>
      <w:tr w14:paraId="7DF7A6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37A7D80">
            <w:pPr>
              <w:jc w:val="center"/>
              <w:rPr>
                <w:color w:val="000000" w:themeColor="text1"/>
                <w:highlight w:val="none"/>
                <w14:textFill>
                  <w14:solidFill>
                    <w14:schemeClr w14:val="tx1"/>
                  </w14:solidFill>
                </w14:textFill>
              </w:rPr>
            </w:pPr>
          </w:p>
        </w:tc>
        <w:tc>
          <w:tcPr>
            <w:tcW w:w="1483" w:type="dxa"/>
            <w:vAlign w:val="center"/>
          </w:tcPr>
          <w:p w14:paraId="093DD21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4B114A2">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7B0B1C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9369E32">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45C6A414">
            <w:pPr>
              <w:jc w:val="center"/>
              <w:rPr>
                <w:rFonts w:asciiTheme="minorEastAsia" w:hAnsiTheme="minorEastAsia"/>
                <w:color w:val="000000" w:themeColor="text1"/>
                <w:szCs w:val="21"/>
                <w:highlight w:val="none"/>
                <w14:textFill>
                  <w14:solidFill>
                    <w14:schemeClr w14:val="tx1"/>
                  </w14:solidFill>
                </w14:textFill>
              </w:rPr>
            </w:pPr>
          </w:p>
        </w:tc>
      </w:tr>
      <w:tr w14:paraId="51598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C8C61C5">
            <w:pPr>
              <w:jc w:val="center"/>
              <w:rPr>
                <w:color w:val="000000" w:themeColor="text1"/>
                <w:highlight w:val="none"/>
                <w14:textFill>
                  <w14:solidFill>
                    <w14:schemeClr w14:val="tx1"/>
                  </w14:solidFill>
                </w14:textFill>
              </w:rPr>
            </w:pPr>
          </w:p>
        </w:tc>
        <w:tc>
          <w:tcPr>
            <w:tcW w:w="1483" w:type="dxa"/>
            <w:vAlign w:val="center"/>
          </w:tcPr>
          <w:p w14:paraId="1213055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11D7796B">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968836D">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B0236D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07A44B2">
            <w:pPr>
              <w:jc w:val="center"/>
              <w:rPr>
                <w:rFonts w:asciiTheme="minorEastAsia" w:hAnsiTheme="minorEastAsia"/>
                <w:color w:val="000000" w:themeColor="text1"/>
                <w:szCs w:val="21"/>
                <w:highlight w:val="none"/>
                <w14:textFill>
                  <w14:solidFill>
                    <w14:schemeClr w14:val="tx1"/>
                  </w14:solidFill>
                </w14:textFill>
              </w:rPr>
            </w:pPr>
          </w:p>
        </w:tc>
      </w:tr>
      <w:tr w14:paraId="7C842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27192A0C">
            <w:pPr>
              <w:jc w:val="center"/>
              <w:rPr>
                <w:color w:val="000000" w:themeColor="text1"/>
                <w:highlight w:val="none"/>
                <w14:textFill>
                  <w14:solidFill>
                    <w14:schemeClr w14:val="tx1"/>
                  </w14:solidFill>
                </w14:textFill>
              </w:rPr>
            </w:pPr>
          </w:p>
        </w:tc>
        <w:tc>
          <w:tcPr>
            <w:tcW w:w="1483" w:type="dxa"/>
            <w:vAlign w:val="center"/>
          </w:tcPr>
          <w:p w14:paraId="769D801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4368FC8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7F71DE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354487B1">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6CF5CB48">
            <w:pPr>
              <w:jc w:val="center"/>
              <w:rPr>
                <w:rFonts w:asciiTheme="minorEastAsia" w:hAnsiTheme="minorEastAsia"/>
                <w:color w:val="000000" w:themeColor="text1"/>
                <w:szCs w:val="21"/>
                <w:highlight w:val="none"/>
                <w14:textFill>
                  <w14:solidFill>
                    <w14:schemeClr w14:val="tx1"/>
                  </w14:solidFill>
                </w14:textFill>
              </w:rPr>
            </w:pPr>
          </w:p>
        </w:tc>
      </w:tr>
      <w:tr w14:paraId="40BD51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04167D6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竣工阶段</w:t>
            </w:r>
          </w:p>
        </w:tc>
        <w:tc>
          <w:tcPr>
            <w:tcW w:w="1483" w:type="dxa"/>
            <w:vAlign w:val="center"/>
          </w:tcPr>
          <w:p w14:paraId="1623DAC4">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w:t>
            </w:r>
          </w:p>
        </w:tc>
        <w:tc>
          <w:tcPr>
            <w:tcW w:w="1483" w:type="dxa"/>
            <w:vAlign w:val="center"/>
          </w:tcPr>
          <w:p w14:paraId="1F63CF1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竣工结算报告、结算书、营业执照、造价资质证书</w:t>
            </w:r>
          </w:p>
        </w:tc>
        <w:tc>
          <w:tcPr>
            <w:tcW w:w="1483" w:type="dxa"/>
            <w:vAlign w:val="center"/>
          </w:tcPr>
          <w:p w14:paraId="6081BC63">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施工单位提交竣工结算资料之日起14日内</w:t>
            </w:r>
          </w:p>
        </w:tc>
        <w:tc>
          <w:tcPr>
            <w:tcW w:w="1483" w:type="dxa"/>
            <w:vAlign w:val="center"/>
          </w:tcPr>
          <w:p w14:paraId="7E66ACB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65D9BE5">
            <w:pPr>
              <w:jc w:val="center"/>
              <w:rPr>
                <w:rFonts w:asciiTheme="minorEastAsia" w:hAnsiTheme="minorEastAsia"/>
                <w:color w:val="000000" w:themeColor="text1"/>
                <w:szCs w:val="21"/>
                <w:highlight w:val="none"/>
                <w14:textFill>
                  <w14:solidFill>
                    <w14:schemeClr w14:val="tx1"/>
                  </w14:solidFill>
                </w14:textFill>
              </w:rPr>
            </w:pPr>
          </w:p>
        </w:tc>
      </w:tr>
      <w:tr w14:paraId="59210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13764FC">
            <w:pPr>
              <w:jc w:val="center"/>
              <w:rPr>
                <w:color w:val="000000" w:themeColor="text1"/>
                <w:highlight w:val="none"/>
                <w14:textFill>
                  <w14:solidFill>
                    <w14:schemeClr w14:val="tx1"/>
                  </w14:solidFill>
                </w14:textFill>
              </w:rPr>
            </w:pPr>
          </w:p>
        </w:tc>
        <w:tc>
          <w:tcPr>
            <w:tcW w:w="1483" w:type="dxa"/>
          </w:tcPr>
          <w:p w14:paraId="416C64E6">
            <w:pPr>
              <w:jc w:val="center"/>
              <w:rPr>
                <w:color w:val="000000" w:themeColor="text1"/>
                <w:highlight w:val="none"/>
                <w14:textFill>
                  <w14:solidFill>
                    <w14:schemeClr w14:val="tx1"/>
                  </w14:solidFill>
                </w14:textFill>
              </w:rPr>
            </w:pPr>
          </w:p>
        </w:tc>
        <w:tc>
          <w:tcPr>
            <w:tcW w:w="1483" w:type="dxa"/>
          </w:tcPr>
          <w:p w14:paraId="465DBC23">
            <w:pPr>
              <w:jc w:val="center"/>
              <w:rPr>
                <w:color w:val="000000" w:themeColor="text1"/>
                <w:highlight w:val="none"/>
                <w14:textFill>
                  <w14:solidFill>
                    <w14:schemeClr w14:val="tx1"/>
                  </w14:solidFill>
                </w14:textFill>
              </w:rPr>
            </w:pPr>
          </w:p>
        </w:tc>
        <w:tc>
          <w:tcPr>
            <w:tcW w:w="1483" w:type="dxa"/>
          </w:tcPr>
          <w:p w14:paraId="74D82348">
            <w:pPr>
              <w:jc w:val="center"/>
              <w:rPr>
                <w:color w:val="000000" w:themeColor="text1"/>
                <w:highlight w:val="none"/>
                <w14:textFill>
                  <w14:solidFill>
                    <w14:schemeClr w14:val="tx1"/>
                  </w14:solidFill>
                </w14:textFill>
              </w:rPr>
            </w:pPr>
          </w:p>
        </w:tc>
        <w:tc>
          <w:tcPr>
            <w:tcW w:w="1483" w:type="dxa"/>
          </w:tcPr>
          <w:p w14:paraId="0237A77B">
            <w:pPr>
              <w:jc w:val="center"/>
              <w:rPr>
                <w:color w:val="000000" w:themeColor="text1"/>
                <w:highlight w:val="none"/>
                <w14:textFill>
                  <w14:solidFill>
                    <w14:schemeClr w14:val="tx1"/>
                  </w14:solidFill>
                </w14:textFill>
              </w:rPr>
            </w:pPr>
          </w:p>
        </w:tc>
        <w:tc>
          <w:tcPr>
            <w:tcW w:w="1483" w:type="dxa"/>
          </w:tcPr>
          <w:p w14:paraId="24097823">
            <w:pPr>
              <w:jc w:val="center"/>
              <w:rPr>
                <w:color w:val="000000" w:themeColor="text1"/>
                <w:highlight w:val="none"/>
                <w14:textFill>
                  <w14:solidFill>
                    <w14:schemeClr w14:val="tx1"/>
                  </w14:solidFill>
                </w14:textFill>
              </w:rPr>
            </w:pPr>
          </w:p>
        </w:tc>
      </w:tr>
      <w:tr w14:paraId="256366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4C608EC">
            <w:pPr>
              <w:jc w:val="center"/>
              <w:rPr>
                <w:color w:val="000000" w:themeColor="text1"/>
                <w:highlight w:val="none"/>
                <w14:textFill>
                  <w14:solidFill>
                    <w14:schemeClr w14:val="tx1"/>
                  </w14:solidFill>
                </w14:textFill>
              </w:rPr>
            </w:pPr>
          </w:p>
        </w:tc>
        <w:tc>
          <w:tcPr>
            <w:tcW w:w="1483" w:type="dxa"/>
          </w:tcPr>
          <w:p w14:paraId="3EE7ED61">
            <w:pPr>
              <w:jc w:val="center"/>
              <w:rPr>
                <w:color w:val="000000" w:themeColor="text1"/>
                <w:highlight w:val="none"/>
                <w14:textFill>
                  <w14:solidFill>
                    <w14:schemeClr w14:val="tx1"/>
                  </w14:solidFill>
                </w14:textFill>
              </w:rPr>
            </w:pPr>
          </w:p>
        </w:tc>
        <w:tc>
          <w:tcPr>
            <w:tcW w:w="1483" w:type="dxa"/>
          </w:tcPr>
          <w:p w14:paraId="15F553B4">
            <w:pPr>
              <w:jc w:val="center"/>
              <w:rPr>
                <w:color w:val="000000" w:themeColor="text1"/>
                <w:highlight w:val="none"/>
                <w14:textFill>
                  <w14:solidFill>
                    <w14:schemeClr w14:val="tx1"/>
                  </w14:solidFill>
                </w14:textFill>
              </w:rPr>
            </w:pPr>
          </w:p>
        </w:tc>
        <w:tc>
          <w:tcPr>
            <w:tcW w:w="1483" w:type="dxa"/>
          </w:tcPr>
          <w:p w14:paraId="05C12A9C">
            <w:pPr>
              <w:jc w:val="center"/>
              <w:rPr>
                <w:color w:val="000000" w:themeColor="text1"/>
                <w:highlight w:val="none"/>
                <w14:textFill>
                  <w14:solidFill>
                    <w14:schemeClr w14:val="tx1"/>
                  </w14:solidFill>
                </w14:textFill>
              </w:rPr>
            </w:pPr>
          </w:p>
        </w:tc>
        <w:tc>
          <w:tcPr>
            <w:tcW w:w="1483" w:type="dxa"/>
          </w:tcPr>
          <w:p w14:paraId="07C8A233">
            <w:pPr>
              <w:jc w:val="center"/>
              <w:rPr>
                <w:color w:val="000000" w:themeColor="text1"/>
                <w:highlight w:val="none"/>
                <w14:textFill>
                  <w14:solidFill>
                    <w14:schemeClr w14:val="tx1"/>
                  </w14:solidFill>
                </w14:textFill>
              </w:rPr>
            </w:pPr>
          </w:p>
        </w:tc>
        <w:tc>
          <w:tcPr>
            <w:tcW w:w="1483" w:type="dxa"/>
          </w:tcPr>
          <w:p w14:paraId="400DDA49">
            <w:pPr>
              <w:jc w:val="center"/>
              <w:rPr>
                <w:color w:val="000000" w:themeColor="text1"/>
                <w:highlight w:val="none"/>
                <w14:textFill>
                  <w14:solidFill>
                    <w14:schemeClr w14:val="tx1"/>
                  </w14:solidFill>
                </w14:textFill>
              </w:rPr>
            </w:pPr>
          </w:p>
        </w:tc>
      </w:tr>
      <w:tr w14:paraId="52895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14:paraId="5BDA058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其他服务</w:t>
            </w:r>
          </w:p>
        </w:tc>
        <w:tc>
          <w:tcPr>
            <w:tcW w:w="1483" w:type="dxa"/>
          </w:tcPr>
          <w:p w14:paraId="16E82AFF">
            <w:pPr>
              <w:jc w:val="center"/>
              <w:rPr>
                <w:color w:val="000000" w:themeColor="text1"/>
                <w:highlight w:val="none"/>
                <w14:textFill>
                  <w14:solidFill>
                    <w14:schemeClr w14:val="tx1"/>
                  </w14:solidFill>
                </w14:textFill>
              </w:rPr>
            </w:pPr>
          </w:p>
        </w:tc>
        <w:tc>
          <w:tcPr>
            <w:tcW w:w="1483" w:type="dxa"/>
          </w:tcPr>
          <w:p w14:paraId="43397F45">
            <w:pPr>
              <w:jc w:val="center"/>
              <w:rPr>
                <w:color w:val="000000" w:themeColor="text1"/>
                <w:highlight w:val="none"/>
                <w14:textFill>
                  <w14:solidFill>
                    <w14:schemeClr w14:val="tx1"/>
                  </w14:solidFill>
                </w14:textFill>
              </w:rPr>
            </w:pPr>
          </w:p>
        </w:tc>
        <w:tc>
          <w:tcPr>
            <w:tcW w:w="1483" w:type="dxa"/>
          </w:tcPr>
          <w:p w14:paraId="4E8F020F">
            <w:pPr>
              <w:jc w:val="center"/>
              <w:rPr>
                <w:color w:val="000000" w:themeColor="text1"/>
                <w:highlight w:val="none"/>
                <w14:textFill>
                  <w14:solidFill>
                    <w14:schemeClr w14:val="tx1"/>
                  </w14:solidFill>
                </w14:textFill>
              </w:rPr>
            </w:pPr>
          </w:p>
        </w:tc>
        <w:tc>
          <w:tcPr>
            <w:tcW w:w="1483" w:type="dxa"/>
          </w:tcPr>
          <w:p w14:paraId="4EED3CB4">
            <w:pPr>
              <w:jc w:val="center"/>
              <w:rPr>
                <w:color w:val="000000" w:themeColor="text1"/>
                <w:highlight w:val="none"/>
                <w14:textFill>
                  <w14:solidFill>
                    <w14:schemeClr w14:val="tx1"/>
                  </w14:solidFill>
                </w14:textFill>
              </w:rPr>
            </w:pPr>
          </w:p>
        </w:tc>
        <w:tc>
          <w:tcPr>
            <w:tcW w:w="1483" w:type="dxa"/>
          </w:tcPr>
          <w:p w14:paraId="7BB5564D">
            <w:pPr>
              <w:jc w:val="center"/>
              <w:rPr>
                <w:color w:val="000000" w:themeColor="text1"/>
                <w:highlight w:val="none"/>
                <w14:textFill>
                  <w14:solidFill>
                    <w14:schemeClr w14:val="tx1"/>
                  </w14:solidFill>
                </w14:textFill>
              </w:rPr>
            </w:pPr>
          </w:p>
        </w:tc>
      </w:tr>
    </w:tbl>
    <w:p w14:paraId="1E58B930">
      <w:pPr>
        <w:jc w:val="center"/>
        <w:rPr>
          <w:color w:val="000000" w:themeColor="text1"/>
          <w:highlight w:val="none"/>
          <w14:textFill>
            <w14:solidFill>
              <w14:schemeClr w14:val="tx1"/>
            </w14:solidFill>
          </w14:textFill>
        </w:rPr>
      </w:pPr>
    </w:p>
    <w:p w14:paraId="30DC18CA">
      <w:pPr>
        <w:jc w:val="center"/>
        <w:rPr>
          <w:color w:val="000000" w:themeColor="text1"/>
          <w:highlight w:val="none"/>
          <w14:textFill>
            <w14:solidFill>
              <w14:schemeClr w14:val="tx1"/>
            </w14:solidFill>
          </w14:textFill>
        </w:rPr>
      </w:pPr>
    </w:p>
    <w:p w14:paraId="21344EC8">
      <w:pPr>
        <w:jc w:val="center"/>
        <w:rPr>
          <w:color w:val="000000" w:themeColor="text1"/>
          <w:highlight w:val="none"/>
          <w14:textFill>
            <w14:solidFill>
              <w14:schemeClr w14:val="tx1"/>
            </w14:solidFill>
          </w14:textFill>
        </w:rPr>
      </w:pPr>
    </w:p>
    <w:p w14:paraId="5CC8F6EE">
      <w:pPr>
        <w:jc w:val="center"/>
        <w:rPr>
          <w:color w:val="000000" w:themeColor="text1"/>
          <w:highlight w:val="none"/>
          <w14:textFill>
            <w14:solidFill>
              <w14:schemeClr w14:val="tx1"/>
            </w14:solidFill>
          </w14:textFill>
        </w:rPr>
      </w:pPr>
    </w:p>
    <w:p w14:paraId="6AD3409B">
      <w:pPr>
        <w:jc w:val="center"/>
        <w:rPr>
          <w:color w:val="000000" w:themeColor="text1"/>
          <w:highlight w:val="none"/>
          <w14:textFill>
            <w14:solidFill>
              <w14:schemeClr w14:val="tx1"/>
            </w14:solidFill>
          </w14:textFill>
        </w:rPr>
      </w:pPr>
    </w:p>
    <w:p w14:paraId="40268C4E">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66D8B71">
      <w:pPr>
        <w:jc w:val="center"/>
        <w:rPr>
          <w:color w:val="000000" w:themeColor="text1"/>
          <w:highlight w:val="none"/>
          <w14:textFill>
            <w14:solidFill>
              <w14:schemeClr w14:val="tx1"/>
            </w14:solidFill>
          </w14:textFill>
        </w:rPr>
      </w:pPr>
    </w:p>
    <w:p w14:paraId="0BDA1535">
      <w:pPr>
        <w:jc w:val="center"/>
        <w:outlineLvl w:val="0"/>
        <w:rPr>
          <w:color w:val="000000" w:themeColor="text1"/>
          <w:highlight w:val="none"/>
          <w14:textFill>
            <w14:solidFill>
              <w14:schemeClr w14:val="tx1"/>
            </w14:solidFill>
          </w14:textFill>
        </w:rPr>
      </w:pPr>
      <w:bookmarkStart w:id="742" w:name="_Toc76398718"/>
      <w:r>
        <w:rPr>
          <w:rFonts w:hint="eastAsia"/>
          <w:color w:val="000000" w:themeColor="text1"/>
          <w:highlight w:val="none"/>
          <w14:textFill>
            <w14:solidFill>
              <w14:schemeClr w14:val="tx1"/>
            </w14:solidFill>
          </w14:textFill>
        </w:rPr>
        <w:t>附录 C委托人提供资料一览表</w:t>
      </w:r>
      <w:bookmarkEnd w:id="742"/>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14:paraId="7466F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3B8BF2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2189" w:type="dxa"/>
          </w:tcPr>
          <w:p w14:paraId="5B79E39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2189" w:type="dxa"/>
          </w:tcPr>
          <w:p w14:paraId="32EEA33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2189" w:type="dxa"/>
          </w:tcPr>
          <w:p w14:paraId="650791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14:paraId="274BF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C6F1BB8">
            <w:pPr>
              <w:jc w:val="center"/>
              <w:rPr>
                <w:color w:val="000000" w:themeColor="text1"/>
                <w:highlight w:val="none"/>
                <w14:textFill>
                  <w14:solidFill>
                    <w14:schemeClr w14:val="tx1"/>
                  </w14:solidFill>
                </w14:textFill>
              </w:rPr>
            </w:pPr>
          </w:p>
        </w:tc>
        <w:tc>
          <w:tcPr>
            <w:tcW w:w="2189" w:type="dxa"/>
          </w:tcPr>
          <w:p w14:paraId="1C8347E4">
            <w:pPr>
              <w:jc w:val="center"/>
              <w:rPr>
                <w:color w:val="000000" w:themeColor="text1"/>
                <w:highlight w:val="none"/>
                <w14:textFill>
                  <w14:solidFill>
                    <w14:schemeClr w14:val="tx1"/>
                  </w14:solidFill>
                </w14:textFill>
              </w:rPr>
            </w:pPr>
          </w:p>
        </w:tc>
        <w:tc>
          <w:tcPr>
            <w:tcW w:w="2189" w:type="dxa"/>
          </w:tcPr>
          <w:p w14:paraId="5C82905B">
            <w:pPr>
              <w:jc w:val="center"/>
              <w:rPr>
                <w:color w:val="000000" w:themeColor="text1"/>
                <w:highlight w:val="none"/>
                <w14:textFill>
                  <w14:solidFill>
                    <w14:schemeClr w14:val="tx1"/>
                  </w14:solidFill>
                </w14:textFill>
              </w:rPr>
            </w:pPr>
          </w:p>
        </w:tc>
        <w:tc>
          <w:tcPr>
            <w:tcW w:w="2189" w:type="dxa"/>
            <w:vAlign w:val="center"/>
          </w:tcPr>
          <w:p w14:paraId="20C4AD65">
            <w:pPr>
              <w:jc w:val="center"/>
              <w:rPr>
                <w:color w:val="000000" w:themeColor="text1"/>
                <w:highlight w:val="none"/>
                <w14:textFill>
                  <w14:solidFill>
                    <w14:schemeClr w14:val="tx1"/>
                  </w14:solidFill>
                </w14:textFill>
              </w:rPr>
            </w:pPr>
          </w:p>
        </w:tc>
      </w:tr>
      <w:tr w14:paraId="5712F0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E682287">
            <w:pPr>
              <w:jc w:val="center"/>
              <w:rPr>
                <w:color w:val="000000" w:themeColor="text1"/>
                <w:highlight w:val="none"/>
                <w14:textFill>
                  <w14:solidFill>
                    <w14:schemeClr w14:val="tx1"/>
                  </w14:solidFill>
                </w14:textFill>
              </w:rPr>
            </w:pPr>
          </w:p>
        </w:tc>
        <w:tc>
          <w:tcPr>
            <w:tcW w:w="2189" w:type="dxa"/>
          </w:tcPr>
          <w:p w14:paraId="3871196F">
            <w:pPr>
              <w:jc w:val="center"/>
              <w:rPr>
                <w:color w:val="000000" w:themeColor="text1"/>
                <w:highlight w:val="none"/>
                <w14:textFill>
                  <w14:solidFill>
                    <w14:schemeClr w14:val="tx1"/>
                  </w14:solidFill>
                </w14:textFill>
              </w:rPr>
            </w:pPr>
          </w:p>
        </w:tc>
        <w:tc>
          <w:tcPr>
            <w:tcW w:w="2189" w:type="dxa"/>
          </w:tcPr>
          <w:p w14:paraId="34583392">
            <w:pPr>
              <w:jc w:val="center"/>
              <w:rPr>
                <w:color w:val="000000" w:themeColor="text1"/>
                <w:highlight w:val="none"/>
                <w14:textFill>
                  <w14:solidFill>
                    <w14:schemeClr w14:val="tx1"/>
                  </w14:solidFill>
                </w14:textFill>
              </w:rPr>
            </w:pPr>
          </w:p>
        </w:tc>
        <w:tc>
          <w:tcPr>
            <w:tcW w:w="2189" w:type="dxa"/>
            <w:vAlign w:val="center"/>
          </w:tcPr>
          <w:p w14:paraId="56143F67">
            <w:pPr>
              <w:jc w:val="center"/>
              <w:rPr>
                <w:color w:val="000000" w:themeColor="text1"/>
                <w:highlight w:val="none"/>
                <w14:textFill>
                  <w14:solidFill>
                    <w14:schemeClr w14:val="tx1"/>
                  </w14:solidFill>
                </w14:textFill>
              </w:rPr>
            </w:pPr>
          </w:p>
        </w:tc>
      </w:tr>
      <w:tr w14:paraId="11FCBA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E828A7E">
            <w:pPr>
              <w:jc w:val="center"/>
              <w:rPr>
                <w:color w:val="000000" w:themeColor="text1"/>
                <w:highlight w:val="none"/>
                <w14:textFill>
                  <w14:solidFill>
                    <w14:schemeClr w14:val="tx1"/>
                  </w14:solidFill>
                </w14:textFill>
              </w:rPr>
            </w:pPr>
          </w:p>
        </w:tc>
        <w:tc>
          <w:tcPr>
            <w:tcW w:w="2189" w:type="dxa"/>
          </w:tcPr>
          <w:p w14:paraId="7AF54971">
            <w:pPr>
              <w:jc w:val="center"/>
              <w:rPr>
                <w:color w:val="000000" w:themeColor="text1"/>
                <w:highlight w:val="none"/>
                <w14:textFill>
                  <w14:solidFill>
                    <w14:schemeClr w14:val="tx1"/>
                  </w14:solidFill>
                </w14:textFill>
              </w:rPr>
            </w:pPr>
          </w:p>
        </w:tc>
        <w:tc>
          <w:tcPr>
            <w:tcW w:w="2189" w:type="dxa"/>
          </w:tcPr>
          <w:p w14:paraId="10FD996A">
            <w:pPr>
              <w:jc w:val="center"/>
              <w:rPr>
                <w:color w:val="000000" w:themeColor="text1"/>
                <w:highlight w:val="none"/>
                <w14:textFill>
                  <w14:solidFill>
                    <w14:schemeClr w14:val="tx1"/>
                  </w14:solidFill>
                </w14:textFill>
              </w:rPr>
            </w:pPr>
          </w:p>
        </w:tc>
        <w:tc>
          <w:tcPr>
            <w:tcW w:w="2189" w:type="dxa"/>
            <w:vAlign w:val="center"/>
          </w:tcPr>
          <w:p w14:paraId="56C4FAC8">
            <w:pPr>
              <w:jc w:val="center"/>
              <w:rPr>
                <w:color w:val="000000" w:themeColor="text1"/>
                <w:highlight w:val="none"/>
                <w14:textFill>
                  <w14:solidFill>
                    <w14:schemeClr w14:val="tx1"/>
                  </w14:solidFill>
                </w14:textFill>
              </w:rPr>
            </w:pPr>
          </w:p>
        </w:tc>
      </w:tr>
      <w:tr w14:paraId="7C451A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7854769">
            <w:pPr>
              <w:jc w:val="center"/>
              <w:rPr>
                <w:color w:val="000000" w:themeColor="text1"/>
                <w:highlight w:val="none"/>
                <w14:textFill>
                  <w14:solidFill>
                    <w14:schemeClr w14:val="tx1"/>
                  </w14:solidFill>
                </w14:textFill>
              </w:rPr>
            </w:pPr>
          </w:p>
        </w:tc>
        <w:tc>
          <w:tcPr>
            <w:tcW w:w="2189" w:type="dxa"/>
          </w:tcPr>
          <w:p w14:paraId="20121CD2">
            <w:pPr>
              <w:jc w:val="center"/>
              <w:rPr>
                <w:color w:val="000000" w:themeColor="text1"/>
                <w:highlight w:val="none"/>
                <w14:textFill>
                  <w14:solidFill>
                    <w14:schemeClr w14:val="tx1"/>
                  </w14:solidFill>
                </w14:textFill>
              </w:rPr>
            </w:pPr>
          </w:p>
        </w:tc>
        <w:tc>
          <w:tcPr>
            <w:tcW w:w="2189" w:type="dxa"/>
          </w:tcPr>
          <w:p w14:paraId="6CAE6DAA">
            <w:pPr>
              <w:jc w:val="center"/>
              <w:rPr>
                <w:color w:val="000000" w:themeColor="text1"/>
                <w:highlight w:val="none"/>
                <w14:textFill>
                  <w14:solidFill>
                    <w14:schemeClr w14:val="tx1"/>
                  </w14:solidFill>
                </w14:textFill>
              </w:rPr>
            </w:pPr>
          </w:p>
        </w:tc>
        <w:tc>
          <w:tcPr>
            <w:tcW w:w="2189" w:type="dxa"/>
            <w:vAlign w:val="center"/>
          </w:tcPr>
          <w:p w14:paraId="00DDD870">
            <w:pPr>
              <w:jc w:val="center"/>
              <w:rPr>
                <w:color w:val="000000" w:themeColor="text1"/>
                <w:highlight w:val="none"/>
                <w14:textFill>
                  <w14:solidFill>
                    <w14:schemeClr w14:val="tx1"/>
                  </w14:solidFill>
                </w14:textFill>
              </w:rPr>
            </w:pPr>
          </w:p>
        </w:tc>
      </w:tr>
      <w:tr w14:paraId="067E1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B144EB8">
            <w:pPr>
              <w:jc w:val="center"/>
              <w:rPr>
                <w:color w:val="000000" w:themeColor="text1"/>
                <w:highlight w:val="none"/>
                <w14:textFill>
                  <w14:solidFill>
                    <w14:schemeClr w14:val="tx1"/>
                  </w14:solidFill>
                </w14:textFill>
              </w:rPr>
            </w:pPr>
          </w:p>
        </w:tc>
        <w:tc>
          <w:tcPr>
            <w:tcW w:w="2189" w:type="dxa"/>
          </w:tcPr>
          <w:p w14:paraId="4502B6E7">
            <w:pPr>
              <w:jc w:val="center"/>
              <w:rPr>
                <w:color w:val="000000" w:themeColor="text1"/>
                <w:highlight w:val="none"/>
                <w14:textFill>
                  <w14:solidFill>
                    <w14:schemeClr w14:val="tx1"/>
                  </w14:solidFill>
                </w14:textFill>
              </w:rPr>
            </w:pPr>
          </w:p>
        </w:tc>
        <w:tc>
          <w:tcPr>
            <w:tcW w:w="2189" w:type="dxa"/>
          </w:tcPr>
          <w:p w14:paraId="18DFAE46">
            <w:pPr>
              <w:jc w:val="center"/>
              <w:rPr>
                <w:color w:val="000000" w:themeColor="text1"/>
                <w:highlight w:val="none"/>
                <w14:textFill>
                  <w14:solidFill>
                    <w14:schemeClr w14:val="tx1"/>
                  </w14:solidFill>
                </w14:textFill>
              </w:rPr>
            </w:pPr>
          </w:p>
        </w:tc>
        <w:tc>
          <w:tcPr>
            <w:tcW w:w="2189" w:type="dxa"/>
            <w:vAlign w:val="center"/>
          </w:tcPr>
          <w:p w14:paraId="7A1881EB">
            <w:pPr>
              <w:jc w:val="center"/>
              <w:rPr>
                <w:color w:val="000000" w:themeColor="text1"/>
                <w:highlight w:val="none"/>
                <w14:textFill>
                  <w14:solidFill>
                    <w14:schemeClr w14:val="tx1"/>
                  </w14:solidFill>
                </w14:textFill>
              </w:rPr>
            </w:pPr>
          </w:p>
        </w:tc>
      </w:tr>
      <w:tr w14:paraId="52D46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188" w:type="dxa"/>
          </w:tcPr>
          <w:p w14:paraId="20297F24">
            <w:pPr>
              <w:jc w:val="center"/>
              <w:rPr>
                <w:color w:val="000000" w:themeColor="text1"/>
                <w:highlight w:val="none"/>
                <w14:textFill>
                  <w14:solidFill>
                    <w14:schemeClr w14:val="tx1"/>
                  </w14:solidFill>
                </w14:textFill>
              </w:rPr>
            </w:pPr>
          </w:p>
        </w:tc>
        <w:tc>
          <w:tcPr>
            <w:tcW w:w="2189" w:type="dxa"/>
          </w:tcPr>
          <w:p w14:paraId="285E035B">
            <w:pPr>
              <w:jc w:val="center"/>
              <w:rPr>
                <w:color w:val="000000" w:themeColor="text1"/>
                <w:highlight w:val="none"/>
                <w14:textFill>
                  <w14:solidFill>
                    <w14:schemeClr w14:val="tx1"/>
                  </w14:solidFill>
                </w14:textFill>
              </w:rPr>
            </w:pPr>
          </w:p>
        </w:tc>
        <w:tc>
          <w:tcPr>
            <w:tcW w:w="2189" w:type="dxa"/>
          </w:tcPr>
          <w:p w14:paraId="533C37CE">
            <w:pPr>
              <w:jc w:val="center"/>
              <w:rPr>
                <w:color w:val="000000" w:themeColor="text1"/>
                <w:highlight w:val="none"/>
                <w14:textFill>
                  <w14:solidFill>
                    <w14:schemeClr w14:val="tx1"/>
                  </w14:solidFill>
                </w14:textFill>
              </w:rPr>
            </w:pPr>
          </w:p>
        </w:tc>
        <w:tc>
          <w:tcPr>
            <w:tcW w:w="2189" w:type="dxa"/>
            <w:vAlign w:val="center"/>
          </w:tcPr>
          <w:p w14:paraId="534CE7C1">
            <w:pPr>
              <w:jc w:val="center"/>
              <w:rPr>
                <w:color w:val="000000" w:themeColor="text1"/>
                <w:highlight w:val="none"/>
                <w14:textFill>
                  <w14:solidFill>
                    <w14:schemeClr w14:val="tx1"/>
                  </w14:solidFill>
                </w14:textFill>
              </w:rPr>
            </w:pPr>
          </w:p>
        </w:tc>
      </w:tr>
      <w:tr w14:paraId="579F0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A2619C4">
            <w:pPr>
              <w:jc w:val="center"/>
              <w:rPr>
                <w:color w:val="000000" w:themeColor="text1"/>
                <w:highlight w:val="none"/>
                <w14:textFill>
                  <w14:solidFill>
                    <w14:schemeClr w14:val="tx1"/>
                  </w14:solidFill>
                </w14:textFill>
              </w:rPr>
            </w:pPr>
          </w:p>
        </w:tc>
        <w:tc>
          <w:tcPr>
            <w:tcW w:w="2189" w:type="dxa"/>
          </w:tcPr>
          <w:p w14:paraId="69B878CA">
            <w:pPr>
              <w:jc w:val="center"/>
              <w:rPr>
                <w:color w:val="000000" w:themeColor="text1"/>
                <w:highlight w:val="none"/>
                <w14:textFill>
                  <w14:solidFill>
                    <w14:schemeClr w14:val="tx1"/>
                  </w14:solidFill>
                </w14:textFill>
              </w:rPr>
            </w:pPr>
          </w:p>
        </w:tc>
        <w:tc>
          <w:tcPr>
            <w:tcW w:w="2189" w:type="dxa"/>
          </w:tcPr>
          <w:p w14:paraId="144F360B">
            <w:pPr>
              <w:jc w:val="center"/>
              <w:rPr>
                <w:color w:val="000000" w:themeColor="text1"/>
                <w:highlight w:val="none"/>
                <w14:textFill>
                  <w14:solidFill>
                    <w14:schemeClr w14:val="tx1"/>
                  </w14:solidFill>
                </w14:textFill>
              </w:rPr>
            </w:pPr>
          </w:p>
        </w:tc>
        <w:tc>
          <w:tcPr>
            <w:tcW w:w="2189" w:type="dxa"/>
          </w:tcPr>
          <w:p w14:paraId="4F6C2381">
            <w:pPr>
              <w:jc w:val="center"/>
              <w:rPr>
                <w:color w:val="000000" w:themeColor="text1"/>
                <w:highlight w:val="none"/>
                <w14:textFill>
                  <w14:solidFill>
                    <w14:schemeClr w14:val="tx1"/>
                  </w14:solidFill>
                </w14:textFill>
              </w:rPr>
            </w:pPr>
          </w:p>
        </w:tc>
      </w:tr>
      <w:tr w14:paraId="605746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D3D69BA">
            <w:pPr>
              <w:jc w:val="center"/>
              <w:rPr>
                <w:color w:val="000000" w:themeColor="text1"/>
                <w:highlight w:val="none"/>
                <w14:textFill>
                  <w14:solidFill>
                    <w14:schemeClr w14:val="tx1"/>
                  </w14:solidFill>
                </w14:textFill>
              </w:rPr>
            </w:pPr>
          </w:p>
        </w:tc>
        <w:tc>
          <w:tcPr>
            <w:tcW w:w="2189" w:type="dxa"/>
          </w:tcPr>
          <w:p w14:paraId="0ED72574">
            <w:pPr>
              <w:jc w:val="center"/>
              <w:rPr>
                <w:color w:val="000000" w:themeColor="text1"/>
                <w:highlight w:val="none"/>
                <w14:textFill>
                  <w14:solidFill>
                    <w14:schemeClr w14:val="tx1"/>
                  </w14:solidFill>
                </w14:textFill>
              </w:rPr>
            </w:pPr>
          </w:p>
        </w:tc>
        <w:tc>
          <w:tcPr>
            <w:tcW w:w="2189" w:type="dxa"/>
          </w:tcPr>
          <w:p w14:paraId="00A33B9E">
            <w:pPr>
              <w:jc w:val="center"/>
              <w:rPr>
                <w:color w:val="000000" w:themeColor="text1"/>
                <w:highlight w:val="none"/>
                <w14:textFill>
                  <w14:solidFill>
                    <w14:schemeClr w14:val="tx1"/>
                  </w14:solidFill>
                </w14:textFill>
              </w:rPr>
            </w:pPr>
          </w:p>
        </w:tc>
        <w:tc>
          <w:tcPr>
            <w:tcW w:w="2189" w:type="dxa"/>
          </w:tcPr>
          <w:p w14:paraId="09B0E167">
            <w:pPr>
              <w:jc w:val="center"/>
              <w:rPr>
                <w:color w:val="000000" w:themeColor="text1"/>
                <w:highlight w:val="none"/>
                <w14:textFill>
                  <w14:solidFill>
                    <w14:schemeClr w14:val="tx1"/>
                  </w14:solidFill>
                </w14:textFill>
              </w:rPr>
            </w:pPr>
          </w:p>
        </w:tc>
      </w:tr>
      <w:tr w14:paraId="49726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9A7726C">
            <w:pPr>
              <w:jc w:val="center"/>
              <w:rPr>
                <w:color w:val="000000" w:themeColor="text1"/>
                <w:highlight w:val="none"/>
                <w14:textFill>
                  <w14:solidFill>
                    <w14:schemeClr w14:val="tx1"/>
                  </w14:solidFill>
                </w14:textFill>
              </w:rPr>
            </w:pPr>
          </w:p>
        </w:tc>
        <w:tc>
          <w:tcPr>
            <w:tcW w:w="2189" w:type="dxa"/>
          </w:tcPr>
          <w:p w14:paraId="07FD9650">
            <w:pPr>
              <w:jc w:val="center"/>
              <w:rPr>
                <w:color w:val="000000" w:themeColor="text1"/>
                <w:highlight w:val="none"/>
                <w14:textFill>
                  <w14:solidFill>
                    <w14:schemeClr w14:val="tx1"/>
                  </w14:solidFill>
                </w14:textFill>
              </w:rPr>
            </w:pPr>
          </w:p>
        </w:tc>
        <w:tc>
          <w:tcPr>
            <w:tcW w:w="2189" w:type="dxa"/>
          </w:tcPr>
          <w:p w14:paraId="226141EE">
            <w:pPr>
              <w:jc w:val="center"/>
              <w:rPr>
                <w:color w:val="000000" w:themeColor="text1"/>
                <w:highlight w:val="none"/>
                <w14:textFill>
                  <w14:solidFill>
                    <w14:schemeClr w14:val="tx1"/>
                  </w14:solidFill>
                </w14:textFill>
              </w:rPr>
            </w:pPr>
          </w:p>
        </w:tc>
        <w:tc>
          <w:tcPr>
            <w:tcW w:w="2189" w:type="dxa"/>
          </w:tcPr>
          <w:p w14:paraId="4D403297">
            <w:pPr>
              <w:jc w:val="center"/>
              <w:rPr>
                <w:color w:val="000000" w:themeColor="text1"/>
                <w:highlight w:val="none"/>
                <w14:textFill>
                  <w14:solidFill>
                    <w14:schemeClr w14:val="tx1"/>
                  </w14:solidFill>
                </w14:textFill>
              </w:rPr>
            </w:pPr>
          </w:p>
        </w:tc>
      </w:tr>
      <w:tr w14:paraId="73798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8A942E4">
            <w:pPr>
              <w:jc w:val="center"/>
              <w:rPr>
                <w:color w:val="000000" w:themeColor="text1"/>
                <w:highlight w:val="none"/>
                <w14:textFill>
                  <w14:solidFill>
                    <w14:schemeClr w14:val="tx1"/>
                  </w14:solidFill>
                </w14:textFill>
              </w:rPr>
            </w:pPr>
          </w:p>
        </w:tc>
        <w:tc>
          <w:tcPr>
            <w:tcW w:w="2189" w:type="dxa"/>
          </w:tcPr>
          <w:p w14:paraId="46D7131F">
            <w:pPr>
              <w:jc w:val="center"/>
              <w:rPr>
                <w:color w:val="000000" w:themeColor="text1"/>
                <w:highlight w:val="none"/>
                <w14:textFill>
                  <w14:solidFill>
                    <w14:schemeClr w14:val="tx1"/>
                  </w14:solidFill>
                </w14:textFill>
              </w:rPr>
            </w:pPr>
          </w:p>
        </w:tc>
        <w:tc>
          <w:tcPr>
            <w:tcW w:w="2189" w:type="dxa"/>
          </w:tcPr>
          <w:p w14:paraId="539AA709">
            <w:pPr>
              <w:jc w:val="center"/>
              <w:rPr>
                <w:color w:val="000000" w:themeColor="text1"/>
                <w:highlight w:val="none"/>
                <w14:textFill>
                  <w14:solidFill>
                    <w14:schemeClr w14:val="tx1"/>
                  </w14:solidFill>
                </w14:textFill>
              </w:rPr>
            </w:pPr>
          </w:p>
        </w:tc>
        <w:tc>
          <w:tcPr>
            <w:tcW w:w="2189" w:type="dxa"/>
          </w:tcPr>
          <w:p w14:paraId="129DDFEF">
            <w:pPr>
              <w:jc w:val="center"/>
              <w:rPr>
                <w:color w:val="000000" w:themeColor="text1"/>
                <w:highlight w:val="none"/>
                <w14:textFill>
                  <w14:solidFill>
                    <w14:schemeClr w14:val="tx1"/>
                  </w14:solidFill>
                </w14:textFill>
              </w:rPr>
            </w:pPr>
          </w:p>
        </w:tc>
      </w:tr>
      <w:tr w14:paraId="593C32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4E409D2">
            <w:pPr>
              <w:jc w:val="center"/>
              <w:rPr>
                <w:color w:val="000000" w:themeColor="text1"/>
                <w:highlight w:val="none"/>
                <w14:textFill>
                  <w14:solidFill>
                    <w14:schemeClr w14:val="tx1"/>
                  </w14:solidFill>
                </w14:textFill>
              </w:rPr>
            </w:pPr>
          </w:p>
        </w:tc>
        <w:tc>
          <w:tcPr>
            <w:tcW w:w="2189" w:type="dxa"/>
          </w:tcPr>
          <w:p w14:paraId="248CEA13">
            <w:pPr>
              <w:jc w:val="center"/>
              <w:rPr>
                <w:color w:val="000000" w:themeColor="text1"/>
                <w:highlight w:val="none"/>
                <w14:textFill>
                  <w14:solidFill>
                    <w14:schemeClr w14:val="tx1"/>
                  </w14:solidFill>
                </w14:textFill>
              </w:rPr>
            </w:pPr>
          </w:p>
        </w:tc>
        <w:tc>
          <w:tcPr>
            <w:tcW w:w="2189" w:type="dxa"/>
          </w:tcPr>
          <w:p w14:paraId="3D4EEF28">
            <w:pPr>
              <w:jc w:val="center"/>
              <w:rPr>
                <w:color w:val="000000" w:themeColor="text1"/>
                <w:highlight w:val="none"/>
                <w14:textFill>
                  <w14:solidFill>
                    <w14:schemeClr w14:val="tx1"/>
                  </w14:solidFill>
                </w14:textFill>
              </w:rPr>
            </w:pPr>
          </w:p>
        </w:tc>
        <w:tc>
          <w:tcPr>
            <w:tcW w:w="2189" w:type="dxa"/>
          </w:tcPr>
          <w:p w14:paraId="03D1059A">
            <w:pPr>
              <w:jc w:val="center"/>
              <w:rPr>
                <w:color w:val="000000" w:themeColor="text1"/>
                <w:highlight w:val="none"/>
                <w14:textFill>
                  <w14:solidFill>
                    <w14:schemeClr w14:val="tx1"/>
                  </w14:solidFill>
                </w14:textFill>
              </w:rPr>
            </w:pPr>
          </w:p>
        </w:tc>
      </w:tr>
      <w:tr w14:paraId="1D560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44097C4">
            <w:pPr>
              <w:jc w:val="center"/>
              <w:rPr>
                <w:color w:val="000000" w:themeColor="text1"/>
                <w:highlight w:val="none"/>
                <w14:textFill>
                  <w14:solidFill>
                    <w14:schemeClr w14:val="tx1"/>
                  </w14:solidFill>
                </w14:textFill>
              </w:rPr>
            </w:pPr>
          </w:p>
        </w:tc>
        <w:tc>
          <w:tcPr>
            <w:tcW w:w="2189" w:type="dxa"/>
          </w:tcPr>
          <w:p w14:paraId="78CC699C">
            <w:pPr>
              <w:jc w:val="center"/>
              <w:rPr>
                <w:color w:val="000000" w:themeColor="text1"/>
                <w:highlight w:val="none"/>
                <w14:textFill>
                  <w14:solidFill>
                    <w14:schemeClr w14:val="tx1"/>
                  </w14:solidFill>
                </w14:textFill>
              </w:rPr>
            </w:pPr>
          </w:p>
        </w:tc>
        <w:tc>
          <w:tcPr>
            <w:tcW w:w="2189" w:type="dxa"/>
          </w:tcPr>
          <w:p w14:paraId="5C91F6B4">
            <w:pPr>
              <w:jc w:val="center"/>
              <w:rPr>
                <w:color w:val="000000" w:themeColor="text1"/>
                <w:highlight w:val="none"/>
                <w14:textFill>
                  <w14:solidFill>
                    <w14:schemeClr w14:val="tx1"/>
                  </w14:solidFill>
                </w14:textFill>
              </w:rPr>
            </w:pPr>
          </w:p>
        </w:tc>
        <w:tc>
          <w:tcPr>
            <w:tcW w:w="2189" w:type="dxa"/>
          </w:tcPr>
          <w:p w14:paraId="172D3E47">
            <w:pPr>
              <w:jc w:val="center"/>
              <w:rPr>
                <w:color w:val="000000" w:themeColor="text1"/>
                <w:highlight w:val="none"/>
                <w14:textFill>
                  <w14:solidFill>
                    <w14:schemeClr w14:val="tx1"/>
                  </w14:solidFill>
                </w14:textFill>
              </w:rPr>
            </w:pPr>
          </w:p>
        </w:tc>
      </w:tr>
      <w:tr w14:paraId="63182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12DB1B7">
            <w:pPr>
              <w:jc w:val="center"/>
              <w:rPr>
                <w:color w:val="000000" w:themeColor="text1"/>
                <w:highlight w:val="none"/>
                <w14:textFill>
                  <w14:solidFill>
                    <w14:schemeClr w14:val="tx1"/>
                  </w14:solidFill>
                </w14:textFill>
              </w:rPr>
            </w:pPr>
          </w:p>
        </w:tc>
        <w:tc>
          <w:tcPr>
            <w:tcW w:w="2189" w:type="dxa"/>
          </w:tcPr>
          <w:p w14:paraId="7E77ABCF">
            <w:pPr>
              <w:jc w:val="center"/>
              <w:rPr>
                <w:color w:val="000000" w:themeColor="text1"/>
                <w:highlight w:val="none"/>
                <w14:textFill>
                  <w14:solidFill>
                    <w14:schemeClr w14:val="tx1"/>
                  </w14:solidFill>
                </w14:textFill>
              </w:rPr>
            </w:pPr>
          </w:p>
        </w:tc>
        <w:tc>
          <w:tcPr>
            <w:tcW w:w="2189" w:type="dxa"/>
          </w:tcPr>
          <w:p w14:paraId="4EDADD01">
            <w:pPr>
              <w:jc w:val="center"/>
              <w:rPr>
                <w:color w:val="000000" w:themeColor="text1"/>
                <w:highlight w:val="none"/>
                <w14:textFill>
                  <w14:solidFill>
                    <w14:schemeClr w14:val="tx1"/>
                  </w14:solidFill>
                </w14:textFill>
              </w:rPr>
            </w:pPr>
          </w:p>
        </w:tc>
        <w:tc>
          <w:tcPr>
            <w:tcW w:w="2189" w:type="dxa"/>
          </w:tcPr>
          <w:p w14:paraId="2E099601">
            <w:pPr>
              <w:jc w:val="center"/>
              <w:rPr>
                <w:color w:val="000000" w:themeColor="text1"/>
                <w:highlight w:val="none"/>
                <w14:textFill>
                  <w14:solidFill>
                    <w14:schemeClr w14:val="tx1"/>
                  </w14:solidFill>
                </w14:textFill>
              </w:rPr>
            </w:pPr>
          </w:p>
        </w:tc>
      </w:tr>
      <w:tr w14:paraId="5C078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F33970F">
            <w:pPr>
              <w:jc w:val="center"/>
              <w:rPr>
                <w:color w:val="000000" w:themeColor="text1"/>
                <w:highlight w:val="none"/>
                <w14:textFill>
                  <w14:solidFill>
                    <w14:schemeClr w14:val="tx1"/>
                  </w14:solidFill>
                </w14:textFill>
              </w:rPr>
            </w:pPr>
          </w:p>
        </w:tc>
        <w:tc>
          <w:tcPr>
            <w:tcW w:w="2189" w:type="dxa"/>
          </w:tcPr>
          <w:p w14:paraId="2F0D1837">
            <w:pPr>
              <w:jc w:val="center"/>
              <w:rPr>
                <w:color w:val="000000" w:themeColor="text1"/>
                <w:highlight w:val="none"/>
                <w14:textFill>
                  <w14:solidFill>
                    <w14:schemeClr w14:val="tx1"/>
                  </w14:solidFill>
                </w14:textFill>
              </w:rPr>
            </w:pPr>
          </w:p>
        </w:tc>
        <w:tc>
          <w:tcPr>
            <w:tcW w:w="2189" w:type="dxa"/>
          </w:tcPr>
          <w:p w14:paraId="41930C4F">
            <w:pPr>
              <w:jc w:val="center"/>
              <w:rPr>
                <w:color w:val="000000" w:themeColor="text1"/>
                <w:highlight w:val="none"/>
                <w14:textFill>
                  <w14:solidFill>
                    <w14:schemeClr w14:val="tx1"/>
                  </w14:solidFill>
                </w14:textFill>
              </w:rPr>
            </w:pPr>
          </w:p>
        </w:tc>
        <w:tc>
          <w:tcPr>
            <w:tcW w:w="2189" w:type="dxa"/>
          </w:tcPr>
          <w:p w14:paraId="0DD6ED06">
            <w:pPr>
              <w:jc w:val="center"/>
              <w:rPr>
                <w:color w:val="000000" w:themeColor="text1"/>
                <w:highlight w:val="none"/>
                <w14:textFill>
                  <w14:solidFill>
                    <w14:schemeClr w14:val="tx1"/>
                  </w14:solidFill>
                </w14:textFill>
              </w:rPr>
            </w:pPr>
          </w:p>
        </w:tc>
      </w:tr>
      <w:tr w14:paraId="633CFD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2162453">
            <w:pPr>
              <w:jc w:val="center"/>
              <w:rPr>
                <w:color w:val="000000" w:themeColor="text1"/>
                <w:highlight w:val="none"/>
                <w14:textFill>
                  <w14:solidFill>
                    <w14:schemeClr w14:val="tx1"/>
                  </w14:solidFill>
                </w14:textFill>
              </w:rPr>
            </w:pPr>
          </w:p>
        </w:tc>
        <w:tc>
          <w:tcPr>
            <w:tcW w:w="2189" w:type="dxa"/>
          </w:tcPr>
          <w:p w14:paraId="37D18CCE">
            <w:pPr>
              <w:jc w:val="center"/>
              <w:rPr>
                <w:color w:val="000000" w:themeColor="text1"/>
                <w:highlight w:val="none"/>
                <w14:textFill>
                  <w14:solidFill>
                    <w14:schemeClr w14:val="tx1"/>
                  </w14:solidFill>
                </w14:textFill>
              </w:rPr>
            </w:pPr>
          </w:p>
        </w:tc>
        <w:tc>
          <w:tcPr>
            <w:tcW w:w="2189" w:type="dxa"/>
          </w:tcPr>
          <w:p w14:paraId="7514CBC0">
            <w:pPr>
              <w:jc w:val="center"/>
              <w:rPr>
                <w:color w:val="000000" w:themeColor="text1"/>
                <w:highlight w:val="none"/>
                <w14:textFill>
                  <w14:solidFill>
                    <w14:schemeClr w14:val="tx1"/>
                  </w14:solidFill>
                </w14:textFill>
              </w:rPr>
            </w:pPr>
          </w:p>
        </w:tc>
        <w:tc>
          <w:tcPr>
            <w:tcW w:w="2189" w:type="dxa"/>
          </w:tcPr>
          <w:p w14:paraId="652D59D1">
            <w:pPr>
              <w:jc w:val="center"/>
              <w:rPr>
                <w:color w:val="000000" w:themeColor="text1"/>
                <w:highlight w:val="none"/>
                <w14:textFill>
                  <w14:solidFill>
                    <w14:schemeClr w14:val="tx1"/>
                  </w14:solidFill>
                </w14:textFill>
              </w:rPr>
            </w:pPr>
          </w:p>
        </w:tc>
      </w:tr>
      <w:tr w14:paraId="43A590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87CA2E9">
            <w:pPr>
              <w:jc w:val="center"/>
              <w:rPr>
                <w:color w:val="000000" w:themeColor="text1"/>
                <w:highlight w:val="none"/>
                <w14:textFill>
                  <w14:solidFill>
                    <w14:schemeClr w14:val="tx1"/>
                  </w14:solidFill>
                </w14:textFill>
              </w:rPr>
            </w:pPr>
          </w:p>
        </w:tc>
        <w:tc>
          <w:tcPr>
            <w:tcW w:w="2189" w:type="dxa"/>
          </w:tcPr>
          <w:p w14:paraId="2EC8CD3F">
            <w:pPr>
              <w:jc w:val="center"/>
              <w:rPr>
                <w:color w:val="000000" w:themeColor="text1"/>
                <w:highlight w:val="none"/>
                <w14:textFill>
                  <w14:solidFill>
                    <w14:schemeClr w14:val="tx1"/>
                  </w14:solidFill>
                </w14:textFill>
              </w:rPr>
            </w:pPr>
          </w:p>
        </w:tc>
        <w:tc>
          <w:tcPr>
            <w:tcW w:w="2189" w:type="dxa"/>
          </w:tcPr>
          <w:p w14:paraId="4D41ADF0">
            <w:pPr>
              <w:jc w:val="center"/>
              <w:rPr>
                <w:color w:val="000000" w:themeColor="text1"/>
                <w:highlight w:val="none"/>
                <w14:textFill>
                  <w14:solidFill>
                    <w14:schemeClr w14:val="tx1"/>
                  </w14:solidFill>
                </w14:textFill>
              </w:rPr>
            </w:pPr>
          </w:p>
        </w:tc>
        <w:tc>
          <w:tcPr>
            <w:tcW w:w="2189" w:type="dxa"/>
          </w:tcPr>
          <w:p w14:paraId="5C715851">
            <w:pPr>
              <w:jc w:val="center"/>
              <w:rPr>
                <w:color w:val="000000" w:themeColor="text1"/>
                <w:highlight w:val="none"/>
                <w14:textFill>
                  <w14:solidFill>
                    <w14:schemeClr w14:val="tx1"/>
                  </w14:solidFill>
                </w14:textFill>
              </w:rPr>
            </w:pPr>
          </w:p>
        </w:tc>
      </w:tr>
      <w:tr w14:paraId="1CB27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5C21F24">
            <w:pPr>
              <w:jc w:val="center"/>
              <w:rPr>
                <w:color w:val="000000" w:themeColor="text1"/>
                <w:highlight w:val="none"/>
                <w14:textFill>
                  <w14:solidFill>
                    <w14:schemeClr w14:val="tx1"/>
                  </w14:solidFill>
                </w14:textFill>
              </w:rPr>
            </w:pPr>
          </w:p>
        </w:tc>
        <w:tc>
          <w:tcPr>
            <w:tcW w:w="2189" w:type="dxa"/>
          </w:tcPr>
          <w:p w14:paraId="67EB2D6B">
            <w:pPr>
              <w:jc w:val="center"/>
              <w:rPr>
                <w:color w:val="000000" w:themeColor="text1"/>
                <w:highlight w:val="none"/>
                <w14:textFill>
                  <w14:solidFill>
                    <w14:schemeClr w14:val="tx1"/>
                  </w14:solidFill>
                </w14:textFill>
              </w:rPr>
            </w:pPr>
          </w:p>
        </w:tc>
        <w:tc>
          <w:tcPr>
            <w:tcW w:w="2189" w:type="dxa"/>
          </w:tcPr>
          <w:p w14:paraId="41DB03A5">
            <w:pPr>
              <w:jc w:val="center"/>
              <w:rPr>
                <w:color w:val="000000" w:themeColor="text1"/>
                <w:highlight w:val="none"/>
                <w14:textFill>
                  <w14:solidFill>
                    <w14:schemeClr w14:val="tx1"/>
                  </w14:solidFill>
                </w14:textFill>
              </w:rPr>
            </w:pPr>
          </w:p>
        </w:tc>
        <w:tc>
          <w:tcPr>
            <w:tcW w:w="2189" w:type="dxa"/>
          </w:tcPr>
          <w:p w14:paraId="1515E42F">
            <w:pPr>
              <w:jc w:val="center"/>
              <w:rPr>
                <w:color w:val="000000" w:themeColor="text1"/>
                <w:highlight w:val="none"/>
                <w14:textFill>
                  <w14:solidFill>
                    <w14:schemeClr w14:val="tx1"/>
                  </w14:solidFill>
                </w14:textFill>
              </w:rPr>
            </w:pPr>
          </w:p>
        </w:tc>
      </w:tr>
      <w:tr w14:paraId="13F9FF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EA16ED5">
            <w:pPr>
              <w:jc w:val="center"/>
              <w:rPr>
                <w:color w:val="000000" w:themeColor="text1"/>
                <w:highlight w:val="none"/>
                <w14:textFill>
                  <w14:solidFill>
                    <w14:schemeClr w14:val="tx1"/>
                  </w14:solidFill>
                </w14:textFill>
              </w:rPr>
            </w:pPr>
          </w:p>
        </w:tc>
        <w:tc>
          <w:tcPr>
            <w:tcW w:w="2189" w:type="dxa"/>
          </w:tcPr>
          <w:p w14:paraId="5F832CAA">
            <w:pPr>
              <w:jc w:val="center"/>
              <w:rPr>
                <w:color w:val="000000" w:themeColor="text1"/>
                <w:highlight w:val="none"/>
                <w14:textFill>
                  <w14:solidFill>
                    <w14:schemeClr w14:val="tx1"/>
                  </w14:solidFill>
                </w14:textFill>
              </w:rPr>
            </w:pPr>
          </w:p>
        </w:tc>
        <w:tc>
          <w:tcPr>
            <w:tcW w:w="2189" w:type="dxa"/>
          </w:tcPr>
          <w:p w14:paraId="2A8CA2FF">
            <w:pPr>
              <w:jc w:val="center"/>
              <w:rPr>
                <w:color w:val="000000" w:themeColor="text1"/>
                <w:highlight w:val="none"/>
                <w14:textFill>
                  <w14:solidFill>
                    <w14:schemeClr w14:val="tx1"/>
                  </w14:solidFill>
                </w14:textFill>
              </w:rPr>
            </w:pPr>
          </w:p>
        </w:tc>
        <w:tc>
          <w:tcPr>
            <w:tcW w:w="2189" w:type="dxa"/>
          </w:tcPr>
          <w:p w14:paraId="789A652A">
            <w:pPr>
              <w:jc w:val="center"/>
              <w:rPr>
                <w:color w:val="000000" w:themeColor="text1"/>
                <w:highlight w:val="none"/>
                <w14:textFill>
                  <w14:solidFill>
                    <w14:schemeClr w14:val="tx1"/>
                  </w14:solidFill>
                </w14:textFill>
              </w:rPr>
            </w:pPr>
          </w:p>
        </w:tc>
      </w:tr>
      <w:tr w14:paraId="7775F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3B674339">
            <w:pPr>
              <w:jc w:val="center"/>
              <w:rPr>
                <w:color w:val="000000" w:themeColor="text1"/>
                <w:highlight w:val="none"/>
                <w14:textFill>
                  <w14:solidFill>
                    <w14:schemeClr w14:val="tx1"/>
                  </w14:solidFill>
                </w14:textFill>
              </w:rPr>
            </w:pPr>
          </w:p>
        </w:tc>
        <w:tc>
          <w:tcPr>
            <w:tcW w:w="2189" w:type="dxa"/>
          </w:tcPr>
          <w:p w14:paraId="77EC7C97">
            <w:pPr>
              <w:jc w:val="center"/>
              <w:rPr>
                <w:color w:val="000000" w:themeColor="text1"/>
                <w:highlight w:val="none"/>
                <w14:textFill>
                  <w14:solidFill>
                    <w14:schemeClr w14:val="tx1"/>
                  </w14:solidFill>
                </w14:textFill>
              </w:rPr>
            </w:pPr>
          </w:p>
        </w:tc>
        <w:tc>
          <w:tcPr>
            <w:tcW w:w="2189" w:type="dxa"/>
          </w:tcPr>
          <w:p w14:paraId="18410C75">
            <w:pPr>
              <w:jc w:val="center"/>
              <w:rPr>
                <w:color w:val="000000" w:themeColor="text1"/>
                <w:highlight w:val="none"/>
                <w14:textFill>
                  <w14:solidFill>
                    <w14:schemeClr w14:val="tx1"/>
                  </w14:solidFill>
                </w14:textFill>
              </w:rPr>
            </w:pPr>
          </w:p>
        </w:tc>
        <w:tc>
          <w:tcPr>
            <w:tcW w:w="2189" w:type="dxa"/>
          </w:tcPr>
          <w:p w14:paraId="0817458F">
            <w:pPr>
              <w:jc w:val="center"/>
              <w:rPr>
                <w:color w:val="000000" w:themeColor="text1"/>
                <w:highlight w:val="none"/>
                <w14:textFill>
                  <w14:solidFill>
                    <w14:schemeClr w14:val="tx1"/>
                  </w14:solidFill>
                </w14:textFill>
              </w:rPr>
            </w:pPr>
          </w:p>
        </w:tc>
      </w:tr>
      <w:tr w14:paraId="0C0E70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6807022">
            <w:pPr>
              <w:jc w:val="center"/>
              <w:rPr>
                <w:color w:val="000000" w:themeColor="text1"/>
                <w:highlight w:val="none"/>
                <w14:textFill>
                  <w14:solidFill>
                    <w14:schemeClr w14:val="tx1"/>
                  </w14:solidFill>
                </w14:textFill>
              </w:rPr>
            </w:pPr>
          </w:p>
        </w:tc>
        <w:tc>
          <w:tcPr>
            <w:tcW w:w="2189" w:type="dxa"/>
          </w:tcPr>
          <w:p w14:paraId="4E682DE4">
            <w:pPr>
              <w:jc w:val="center"/>
              <w:rPr>
                <w:color w:val="000000" w:themeColor="text1"/>
                <w:highlight w:val="none"/>
                <w14:textFill>
                  <w14:solidFill>
                    <w14:schemeClr w14:val="tx1"/>
                  </w14:solidFill>
                </w14:textFill>
              </w:rPr>
            </w:pPr>
          </w:p>
        </w:tc>
        <w:tc>
          <w:tcPr>
            <w:tcW w:w="2189" w:type="dxa"/>
          </w:tcPr>
          <w:p w14:paraId="5FCEC64E">
            <w:pPr>
              <w:jc w:val="center"/>
              <w:rPr>
                <w:color w:val="000000" w:themeColor="text1"/>
                <w:highlight w:val="none"/>
                <w14:textFill>
                  <w14:solidFill>
                    <w14:schemeClr w14:val="tx1"/>
                  </w14:solidFill>
                </w14:textFill>
              </w:rPr>
            </w:pPr>
          </w:p>
        </w:tc>
        <w:tc>
          <w:tcPr>
            <w:tcW w:w="2189" w:type="dxa"/>
          </w:tcPr>
          <w:p w14:paraId="2C440560">
            <w:pPr>
              <w:jc w:val="center"/>
              <w:rPr>
                <w:color w:val="000000" w:themeColor="text1"/>
                <w:highlight w:val="none"/>
                <w14:textFill>
                  <w14:solidFill>
                    <w14:schemeClr w14:val="tx1"/>
                  </w14:solidFill>
                </w14:textFill>
              </w:rPr>
            </w:pPr>
          </w:p>
        </w:tc>
      </w:tr>
    </w:tbl>
    <w:p w14:paraId="7CCC708E">
      <w:pPr>
        <w:jc w:val="center"/>
        <w:rPr>
          <w:color w:val="000000" w:themeColor="text1"/>
          <w:highlight w:val="none"/>
          <w14:textFill>
            <w14:solidFill>
              <w14:schemeClr w14:val="tx1"/>
            </w14:solidFill>
          </w14:textFill>
        </w:rPr>
      </w:pPr>
    </w:p>
    <w:p w14:paraId="43B8DBA8">
      <w:pPr>
        <w:jc w:val="center"/>
        <w:rPr>
          <w:color w:val="000000" w:themeColor="text1"/>
          <w:highlight w:val="none"/>
          <w14:textFill>
            <w14:solidFill>
              <w14:schemeClr w14:val="tx1"/>
            </w14:solidFill>
          </w14:textFill>
        </w:rPr>
      </w:pPr>
    </w:p>
    <w:p w14:paraId="33D51C41">
      <w:pPr>
        <w:jc w:val="center"/>
        <w:rPr>
          <w:color w:val="000000" w:themeColor="text1"/>
          <w:highlight w:val="none"/>
          <w14:textFill>
            <w14:solidFill>
              <w14:schemeClr w14:val="tx1"/>
            </w14:solidFill>
          </w14:textFill>
        </w:rPr>
      </w:pPr>
    </w:p>
    <w:p w14:paraId="3C0F0CAB">
      <w:pPr>
        <w:jc w:val="center"/>
        <w:rPr>
          <w:color w:val="000000" w:themeColor="text1"/>
          <w:highlight w:val="none"/>
          <w14:textFill>
            <w14:solidFill>
              <w14:schemeClr w14:val="tx1"/>
            </w14:solidFill>
          </w14:textFill>
        </w:rPr>
      </w:pPr>
    </w:p>
    <w:p w14:paraId="0D256296">
      <w:pPr>
        <w:jc w:val="center"/>
        <w:rPr>
          <w:color w:val="000000" w:themeColor="text1"/>
          <w:highlight w:val="none"/>
          <w14:textFill>
            <w14:solidFill>
              <w14:schemeClr w14:val="tx1"/>
            </w14:solidFill>
          </w14:textFill>
        </w:rPr>
      </w:pPr>
    </w:p>
    <w:p w14:paraId="3EDD59BB">
      <w:pPr>
        <w:jc w:val="center"/>
        <w:rPr>
          <w:color w:val="000000" w:themeColor="text1"/>
          <w:highlight w:val="none"/>
          <w14:textFill>
            <w14:solidFill>
              <w14:schemeClr w14:val="tx1"/>
            </w14:solidFill>
          </w14:textFill>
        </w:rPr>
      </w:pPr>
    </w:p>
    <w:p w14:paraId="7F093C94">
      <w:pPr>
        <w:jc w:val="center"/>
        <w:rPr>
          <w:color w:val="000000" w:themeColor="text1"/>
          <w:highlight w:val="none"/>
          <w14:textFill>
            <w14:solidFill>
              <w14:schemeClr w14:val="tx1"/>
            </w14:solidFill>
          </w14:textFill>
        </w:rPr>
      </w:pPr>
    </w:p>
    <w:p w14:paraId="2DD2F032">
      <w:pPr>
        <w:jc w:val="center"/>
        <w:rPr>
          <w:color w:val="000000" w:themeColor="text1"/>
          <w:highlight w:val="none"/>
          <w14:textFill>
            <w14:solidFill>
              <w14:schemeClr w14:val="tx1"/>
            </w14:solidFill>
          </w14:textFill>
        </w:rPr>
      </w:pPr>
    </w:p>
    <w:p w14:paraId="111A8A40">
      <w:pPr>
        <w:jc w:val="center"/>
        <w:rPr>
          <w:color w:val="000000" w:themeColor="text1"/>
          <w:highlight w:val="none"/>
          <w14:textFill>
            <w14:solidFill>
              <w14:schemeClr w14:val="tx1"/>
            </w14:solidFill>
          </w14:textFill>
        </w:rPr>
      </w:pPr>
    </w:p>
    <w:p w14:paraId="64D36469">
      <w:pPr>
        <w:jc w:val="center"/>
        <w:rPr>
          <w:color w:val="000000" w:themeColor="text1"/>
          <w:highlight w:val="none"/>
          <w14:textFill>
            <w14:solidFill>
              <w14:schemeClr w14:val="tx1"/>
            </w14:solidFill>
          </w14:textFill>
        </w:rPr>
      </w:pPr>
    </w:p>
    <w:p w14:paraId="132186E3">
      <w:pPr>
        <w:jc w:val="center"/>
        <w:rPr>
          <w:color w:val="000000" w:themeColor="text1"/>
          <w:highlight w:val="none"/>
          <w14:textFill>
            <w14:solidFill>
              <w14:schemeClr w14:val="tx1"/>
            </w14:solidFill>
          </w14:textFill>
        </w:rPr>
      </w:pPr>
    </w:p>
    <w:p w14:paraId="62804811">
      <w:pPr>
        <w:jc w:val="center"/>
        <w:rPr>
          <w:color w:val="000000" w:themeColor="text1"/>
          <w:highlight w:val="none"/>
          <w14:textFill>
            <w14:solidFill>
              <w14:schemeClr w14:val="tx1"/>
            </w14:solidFill>
          </w14:textFill>
        </w:rPr>
      </w:pPr>
    </w:p>
    <w:p w14:paraId="77AD936F">
      <w:pPr>
        <w:jc w:val="center"/>
        <w:rPr>
          <w:color w:val="000000" w:themeColor="text1"/>
          <w:highlight w:val="none"/>
          <w14:textFill>
            <w14:solidFill>
              <w14:schemeClr w14:val="tx1"/>
            </w14:solidFill>
          </w14:textFill>
        </w:rPr>
      </w:pPr>
    </w:p>
    <w:p w14:paraId="02852F0E">
      <w:pPr>
        <w:jc w:val="center"/>
        <w:rPr>
          <w:color w:val="000000" w:themeColor="text1"/>
          <w:highlight w:val="none"/>
          <w14:textFill>
            <w14:solidFill>
              <w14:schemeClr w14:val="tx1"/>
            </w14:solidFill>
          </w14:textFill>
        </w:rPr>
      </w:pPr>
    </w:p>
    <w:p w14:paraId="3D0765A1">
      <w:pPr>
        <w:jc w:val="center"/>
        <w:rPr>
          <w:color w:val="000000" w:themeColor="text1"/>
          <w:highlight w:val="none"/>
          <w14:textFill>
            <w14:solidFill>
              <w14:schemeClr w14:val="tx1"/>
            </w14:solidFill>
          </w14:textFill>
        </w:rPr>
      </w:pPr>
    </w:p>
    <w:p w14:paraId="26941E1E">
      <w:pPr>
        <w:jc w:val="center"/>
        <w:rPr>
          <w:color w:val="000000" w:themeColor="text1"/>
          <w:highlight w:val="none"/>
          <w14:textFill>
            <w14:solidFill>
              <w14:schemeClr w14:val="tx1"/>
            </w14:solidFill>
          </w14:textFill>
        </w:rPr>
      </w:pPr>
    </w:p>
    <w:p w14:paraId="4B535F84">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EE2CD27">
      <w:pPr>
        <w:widowControl/>
        <w:spacing w:line="360" w:lineRule="auto"/>
        <w:ind w:firstLine="643"/>
        <w:jc w:val="center"/>
        <w:rPr>
          <w:rFonts w:asciiTheme="minorEastAsia" w:hAnsiTheme="minorEastAsia"/>
          <w:b/>
          <w:bCs/>
          <w:color w:val="000000" w:themeColor="text1"/>
          <w:sz w:val="32"/>
          <w:szCs w:val="32"/>
          <w:highlight w:val="none"/>
          <w14:textFill>
            <w14:solidFill>
              <w14:schemeClr w14:val="tx1"/>
            </w14:solidFill>
          </w14:textFill>
        </w:rPr>
      </w:pPr>
      <w:r>
        <w:rPr>
          <w:rFonts w:hint="eastAsia" w:asciiTheme="minorEastAsia" w:hAnsiTheme="minorEastAsia"/>
          <w:b/>
          <w:bCs/>
          <w:color w:val="000000" w:themeColor="text1"/>
          <w:sz w:val="32"/>
          <w:szCs w:val="32"/>
          <w:highlight w:val="none"/>
          <w14:textFill>
            <w14:solidFill>
              <w14:schemeClr w14:val="tx1"/>
            </w14:solidFill>
          </w14:textFill>
        </w:rPr>
        <w:t>廉政合同</w:t>
      </w:r>
    </w:p>
    <w:p w14:paraId="239C6663">
      <w:pPr>
        <w:pStyle w:val="4"/>
        <w:ind w:firstLine="723"/>
        <w:rPr>
          <w:color w:val="000000" w:themeColor="text1"/>
          <w:highlight w:val="none"/>
          <w14:textFill>
            <w14:solidFill>
              <w14:schemeClr w14:val="tx1"/>
            </w14:solidFill>
          </w14:textFill>
        </w:rPr>
      </w:pPr>
    </w:p>
    <w:p w14:paraId="4D7A776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为保证工程质量及进度，顺利完成合作项目，维护廉洁、高效、和谐、公正的工作机制，双方将严格遵照执行，共同监督以下的内容：</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4F482A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一、甲、乙双方均应对本单位工作人员及工程项目管理人员进行廉洁从业教育，双方必须自觉遵守法律、法规及企业廉政建设相关规定。</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69487CE">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二、委托人在廉政建设方面的责任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5EEBBB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14:paraId="398C259A">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3857EF81">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ED6328D">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584B05A8">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三、咨询人在廉政建设方面的责任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414DE4B">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、咨询人不得以任何理由向委托人及委托人总部所属相关单位工作人员赠送礼金、有价证券和贵重物品等。</w:t>
      </w:r>
    </w:p>
    <w:p w14:paraId="0E7C93D8">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5862482">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8BF5F8D">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、咨询人不得为委托人及委托人总部所属相关单位工作人员购置或者提供通讯工具、交通工具、家电、高档办公用品等物品。</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8D7954E">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5</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、咨询人不得以任何理由为委托人及委托人总部所属相关单位工作人员报销任何应由委托人或个人支付的费用。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91A8EBF">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四、相关责任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59F412FC">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、咨询人如发现委托人及委托人总部所属相关单位工作人员有违反上述协议者，应及时向审计</w:t>
      </w:r>
      <w:r>
        <w:rPr>
          <w:rFonts w:asciiTheme="minorEastAsia" w:hAnsiTheme="minorEastAsia" w:cstheme="minorEastAsia"/>
          <w:color w:val="000000" w:themeColor="text1"/>
          <w:sz w:val="24"/>
          <w:highlight w:val="none"/>
          <w14:textFill>
            <w14:solidFill>
              <w14:schemeClr w14:val="tx1"/>
            </w14:solidFill>
          </w14:textFill>
        </w:rPr>
        <w:t>法务部</w:t>
      </w:r>
      <w:r>
        <w:rPr>
          <w:rFonts w:hint="eastAsia" w:asciiTheme="minorEastAsia" w:hAnsiTheme="minorEastAsia" w:cstheme="minorEastAsia"/>
          <w:color w:val="000000" w:themeColor="text1"/>
          <w:sz w:val="24"/>
          <w:highlight w:val="none"/>
          <w14:textFill>
            <w14:solidFill>
              <w14:schemeClr w14:val="tx1"/>
            </w14:solidFill>
          </w14:textFill>
        </w:rPr>
        <w:t>反映情况，监督投诉电话：</w:t>
      </w:r>
      <w:r>
        <w:rPr>
          <w:rFonts w:asciiTheme="minorEastAsia" w:hAnsiTheme="minorEastAsia" w:cstheme="minorEastAsia"/>
          <w:color w:val="000000" w:themeColor="text1"/>
          <w:sz w:val="24"/>
          <w:highlight w:val="none"/>
          <w14:textFill>
            <w14:solidFill>
              <w14:schemeClr w14:val="tx1"/>
            </w14:solidFill>
          </w14:textFill>
        </w:rPr>
        <w:t>02362795377</w:t>
      </w:r>
      <w:r>
        <w:rPr>
          <w:rFonts w:hint="eastAsia" w:asciiTheme="minorEastAsia" w:hAnsiTheme="minorEastAsia" w:cstheme="minorEastAsia"/>
          <w:color w:val="000000" w:themeColor="text1"/>
          <w:sz w:val="24"/>
          <w:highlight w:val="none"/>
          <w14:textFill>
            <w14:solidFill>
              <w14:schemeClr w14:val="tx1"/>
            </w14:solidFill>
          </w14:textFill>
        </w:rPr>
        <w:t>；地址：重庆市</w:t>
      </w:r>
      <w:r>
        <w:rPr>
          <w:rFonts w:asciiTheme="minorEastAsia" w:hAnsiTheme="minorEastAsia" w:cstheme="minorEastAsia"/>
          <w:color w:val="000000" w:themeColor="text1"/>
          <w:sz w:val="24"/>
          <w:highlight w:val="none"/>
          <w14:textFill>
            <w14:solidFill>
              <w14:schemeClr w14:val="tx1"/>
            </w14:solidFill>
          </w14:textFill>
        </w:rPr>
        <w:t>南岸区行政服务中心B区3号楼1812法</w:t>
      </w:r>
      <w:r>
        <w:rPr>
          <w:rFonts w:hint="eastAsia" w:asciiTheme="minorEastAsia" w:hAnsiTheme="minorEastAsia" w:cstheme="minorEastAsia"/>
          <w:color w:val="000000" w:themeColor="text1"/>
          <w:sz w:val="24"/>
          <w:highlight w:val="none"/>
          <w14:textFill>
            <w14:solidFill>
              <w14:schemeClr w14:val="tx1"/>
            </w14:solidFill>
          </w14:textFill>
        </w:rPr>
        <w:t>务审计部。</w:t>
      </w:r>
    </w:p>
    <w:p w14:paraId="7791B6B1">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、委托人发现咨询人有违反本协议行为的，将对咨询人处以涉及金额</w:t>
      </w:r>
      <w:r>
        <w:rPr>
          <w:rFonts w:asciiTheme="minorEastAsia" w:hAnsiTheme="minorEastAsia" w:cstheme="minorEastAsia"/>
          <w:color w:val="000000" w:themeColor="text1"/>
          <w:sz w:val="24"/>
          <w:highlight w:val="none"/>
          <w14:textFill>
            <w14:solidFill>
              <w14:schemeClr w14:val="tx1"/>
            </w14:solidFill>
          </w14:textFill>
        </w:rPr>
        <w:t xml:space="preserve"> 10 </w:t>
      </w:r>
      <w:r>
        <w:rPr>
          <w:rFonts w:hint="eastAsia" w:asciiTheme="minorEastAsia" w:hAnsiTheme="minorEastAsia" w:cstheme="minorEastAsia"/>
          <w:color w:val="000000" w:themeColor="text1"/>
          <w:sz w:val="24"/>
          <w:highlight w:val="none"/>
          <w14:textFill>
            <w14:solidFill>
              <w14:schemeClr w14:val="tx1"/>
            </w14:solidFill>
          </w14:textFill>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64750F3">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、委托人对举报属实和严格遵守廉洁协议的咨询人，在同等条件下承接委托人其他工程项目予以优先考虑。</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4512E10">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五、本协议未尽事项，可在实际操作中，经双方协商予以完善。</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AC6DCCF">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六、本协议在甲乙双方合作的协议、合同或其他具有约束力的文件成立时，自动成为该文件的组成部分。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C0A5CF7">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七、本合同签订份数同主合同份数；</w:t>
      </w:r>
      <w:r>
        <w:rPr>
          <w:rFonts w:asciiTheme="minorEastAsia" w:hAnsiTheme="minorEastAsia" w:cstheme="minorEastAsia"/>
          <w:color w:val="000000" w:themeColor="text1"/>
          <w:sz w:val="24"/>
          <w:highlight w:val="none"/>
          <w14:textFill>
            <w14:solidFill>
              <w14:schemeClr w14:val="tx1"/>
            </w14:solidFill>
          </w14:textFill>
        </w:rPr>
        <w:t>本合同</w:t>
      </w:r>
      <w:r>
        <w:rPr>
          <w:rFonts w:hint="eastAsia" w:asciiTheme="minorEastAsia" w:hAnsiTheme="minorEastAsia" w:cstheme="minorEastAsia"/>
          <w:color w:val="000000" w:themeColor="text1"/>
          <w:sz w:val="24"/>
          <w:highlight w:val="none"/>
          <w14:textFill>
            <w14:solidFill>
              <w14:schemeClr w14:val="tx1"/>
            </w14:solidFill>
          </w14:textFill>
        </w:rPr>
        <w:t>与</w:t>
      </w:r>
      <w:r>
        <w:rPr>
          <w:rFonts w:asciiTheme="minorEastAsia" w:hAnsiTheme="minorEastAsia" w:cstheme="minorEastAsia"/>
          <w:color w:val="000000" w:themeColor="text1"/>
          <w:sz w:val="24"/>
          <w:highlight w:val="none"/>
          <w14:textFill>
            <w14:solidFill>
              <w14:schemeClr w14:val="tx1"/>
            </w14:solidFill>
          </w14:textFill>
        </w:rPr>
        <w:t>主合同同时签订。</w:t>
      </w:r>
    </w:p>
    <w:p w14:paraId="447EE91C">
      <w:pPr>
        <w:pStyle w:val="4"/>
        <w:ind w:firstLine="723"/>
        <w:rPr>
          <w:color w:val="000000" w:themeColor="text1"/>
          <w:highlight w:val="none"/>
          <w14:textFill>
            <w14:solidFill>
              <w14:schemeClr w14:val="tx1"/>
            </w14:solidFill>
          </w14:textFill>
        </w:rPr>
      </w:pPr>
    </w:p>
    <w:p w14:paraId="52B64BB8">
      <w:pPr>
        <w:rPr>
          <w:color w:val="000000" w:themeColor="text1"/>
          <w:highlight w:val="none"/>
          <w14:textFill>
            <w14:solidFill>
              <w14:schemeClr w14:val="tx1"/>
            </w14:solidFill>
          </w14:textFill>
        </w:rPr>
      </w:pPr>
    </w:p>
    <w:p w14:paraId="2A0EEA5B">
      <w:pPr>
        <w:rPr>
          <w:color w:val="000000" w:themeColor="text1"/>
          <w:highlight w:val="none"/>
          <w14:textFill>
            <w14:solidFill>
              <w14:schemeClr w14:val="tx1"/>
            </w14:solidFill>
          </w14:textFill>
        </w:rPr>
      </w:pPr>
    </w:p>
    <w:p w14:paraId="4DF0051E">
      <w:pPr>
        <w:widowControl/>
        <w:spacing w:line="360" w:lineRule="auto"/>
        <w:ind w:left="6564" w:leftChars="200" w:hanging="6144" w:hangingChars="25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委托人（盖章）：</w:t>
      </w:r>
      <w:r>
        <w:rPr>
          <w:rFonts w:asciiTheme="minorEastAsia" w:hAnsiTheme="minorEastAsia"/>
          <w:b/>
          <w:bCs/>
          <w:color w:val="000000" w:themeColor="text1"/>
          <w:sz w:val="24"/>
          <w:highlight w:val="none"/>
          <w14:textFill>
            <w14:solidFill>
              <w14:schemeClr w14:val="tx1"/>
            </w14:solidFill>
          </w14:textFill>
        </w:rPr>
        <w:t xml:space="preserve">                         </w:t>
      </w:r>
      <w:r>
        <w:rPr>
          <w:rFonts w:hint="eastAsia" w:asciiTheme="minorEastAsia" w:hAnsiTheme="minorEastAsia"/>
          <w:b/>
          <w:bCs/>
          <w:color w:val="000000" w:themeColor="text1"/>
          <w:sz w:val="24"/>
          <w:highlight w:val="none"/>
          <w14:textFill>
            <w14:solidFill>
              <w14:schemeClr w14:val="tx1"/>
            </w14:solidFill>
          </w14:textFill>
        </w:rPr>
        <w:t>咨询人（盖章）：</w:t>
      </w:r>
    </w:p>
    <w:p w14:paraId="19A3223A">
      <w:pPr>
        <w:jc w:val="center"/>
        <w:rPr>
          <w:color w:val="000000" w:themeColor="text1"/>
          <w:highlight w:val="none"/>
          <w14:textFill>
            <w14:solidFill>
              <w14:schemeClr w14:val="tx1"/>
            </w14:solidFill>
          </w14:textFill>
        </w:rPr>
      </w:pPr>
    </w:p>
    <w:p w14:paraId="10A11F31">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 xml:space="preserve"> </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法定代表人：</w:t>
      </w:r>
    </w:p>
    <w:p w14:paraId="580F3676">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p>
    <w:p w14:paraId="4DBC3BC1">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或委托代理人：                        或委托代理人：</w:t>
      </w:r>
    </w:p>
    <w:p w14:paraId="03AC434B">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91B2AA9">
      <w:pPr>
        <w:widowControl/>
        <w:ind w:firstLine="720"/>
        <w:jc w:val="center"/>
        <w:rPr>
          <w:rFonts w:asciiTheme="minorEastAsia" w:hAnsiTheme="minorEastAsia"/>
          <w:color w:val="000000" w:themeColor="text1"/>
          <w:sz w:val="36"/>
          <w:szCs w:val="36"/>
          <w:highlight w:val="none"/>
          <w14:textFill>
            <w14:solidFill>
              <w14:schemeClr w14:val="tx1"/>
            </w14:solidFill>
          </w14:textFill>
        </w:rPr>
      </w:pPr>
      <w:r>
        <w:rPr>
          <w:rFonts w:hint="eastAsia" w:asciiTheme="minorEastAsia" w:hAnsiTheme="minorEastAsia"/>
          <w:color w:val="000000" w:themeColor="text1"/>
          <w:sz w:val="36"/>
          <w:szCs w:val="36"/>
          <w:highlight w:val="none"/>
          <w14:textFill>
            <w14:solidFill>
              <w14:schemeClr w14:val="tx1"/>
            </w14:solidFill>
          </w14:textFill>
        </w:rPr>
        <w:t>质量标准</w:t>
      </w:r>
    </w:p>
    <w:p w14:paraId="433AA7EC">
      <w:pPr>
        <w:widowControl/>
        <w:jc w:val="left"/>
        <w:rPr>
          <w:rFonts w:asciiTheme="minorEastAsia" w:hAnsiTheme="minorEastAsia"/>
          <w:color w:val="000000" w:themeColor="text1"/>
          <w:szCs w:val="21"/>
          <w:highlight w:val="none"/>
          <w14:textFill>
            <w14:solidFill>
              <w14:schemeClr w14:val="tx1"/>
            </w14:solidFill>
          </w14:textFill>
        </w:rPr>
      </w:pPr>
    </w:p>
    <w:p w14:paraId="1522AA95">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14:paraId="51383103">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5ABB26C1">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《建设工程造价鉴定规程》CECA/GC 8-2012</w:t>
      </w:r>
    </w:p>
    <w:p w14:paraId="28A2D179">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6A11ABC0">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7D932CF4">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14:paraId="54F828B7">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4-2009）实施手册2021-12-11</w:t>
      </w:r>
    </w:p>
    <w:p w14:paraId="256750EE">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《建设项目工程结算编审规程》CECA/GC3-2007</w:t>
      </w:r>
    </w:p>
    <w:p w14:paraId="5F61DB67">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14:paraId="184E96DB">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14:paraId="102EBD89">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5AB5EECD">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1AD837E6">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14:paraId="6315D283">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w:t>
      </w:r>
      <w:r>
        <w:rPr>
          <w:color w:val="000000" w:themeColor="text1"/>
          <w:highlight w:val="none"/>
          <w14:textFill>
            <w14:solidFill>
              <w14:schemeClr w14:val="tx1"/>
            </w14:solidFill>
          </w14:textFill>
        </w:rPr>
        <w:t xml:space="preserve"> </w:t>
      </w:r>
      <w:r>
        <w:rPr>
          <w:rFonts w:asciiTheme="minorEastAsia" w:hAnsiTheme="minorEastAsia"/>
          <w:color w:val="000000" w:themeColor="text1"/>
          <w:szCs w:val="21"/>
          <w:highlight w:val="none"/>
          <w14:textFill>
            <w14:solidFill>
              <w14:schemeClr w14:val="tx1"/>
            </w14:solidFill>
          </w14:textFill>
        </w:rPr>
        <w:t>3-2010</w:t>
      </w:r>
    </w:p>
    <w:p w14:paraId="64E95B40">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14:paraId="5EBE7B95">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《建设工程造价咨询成果文件质量标准》CECA/GC7-2012</w:t>
      </w:r>
    </w:p>
    <w:p w14:paraId="3E2FFDA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建设项目投资估算编审规程CECA/GC1-2007</w:t>
      </w:r>
    </w:p>
    <w:p w14:paraId="4FB7EDB1">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14:paraId="78103EB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14:paraId="7CE9A196">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372A328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4-2009）实施手册《建设项目工程结算编审规程》CECA/GC3-20072021-12-11</w:t>
      </w:r>
    </w:p>
    <w:p w14:paraId="65B07C53">
      <w:pPr>
        <w:widowControl/>
        <w:ind w:firstLine="720"/>
        <w:jc w:val="left"/>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bookmarkEnd w:id="620"/>
    <w:bookmarkEnd w:id="621"/>
    <w:p w14:paraId="434CA73A">
      <w:pPr>
        <w:pStyle w:val="2"/>
        <w:numPr>
          <w:ilvl w:val="0"/>
          <w:numId w:val="1"/>
        </w:numPr>
        <w:spacing w:line="360" w:lineRule="auto"/>
        <w:jc w:val="center"/>
        <w:rPr>
          <w:rFonts w:hint="eastAsia" w:ascii="宋体" w:hAnsi="宋体"/>
          <w:color w:val="000000" w:themeColor="text1"/>
          <w:highlight w:val="none"/>
          <w14:textFill>
            <w14:solidFill>
              <w14:schemeClr w14:val="tx1"/>
            </w14:solidFill>
          </w14:textFill>
        </w:rPr>
      </w:pPr>
      <w:bookmarkStart w:id="743" w:name="baidusnap7"/>
      <w:bookmarkEnd w:id="743"/>
      <w:bookmarkStart w:id="744" w:name="baidusnap3"/>
      <w:bookmarkEnd w:id="744"/>
      <w:bookmarkStart w:id="745" w:name="_Toc30057"/>
      <w:bookmarkEnd w:id="745"/>
      <w:bookmarkStart w:id="746" w:name="招标文件06章图纸01"/>
      <w:bookmarkEnd w:id="746"/>
      <w:bookmarkStart w:id="747" w:name="招标文件06章图纸"/>
      <w:bookmarkEnd w:id="747"/>
      <w:bookmarkStart w:id="748" w:name="_Toc7551"/>
      <w:bookmarkStart w:id="749" w:name="_Toc6677"/>
      <w:bookmarkStart w:id="750" w:name="_Toc30930"/>
      <w:bookmarkStart w:id="751" w:name="_Toc430530520"/>
      <w:bookmarkStart w:id="752" w:name="_Toc287620804"/>
      <w:bookmarkStart w:id="753" w:name="_Toc351203480"/>
      <w:bookmarkStart w:id="754" w:name="_Toc296890982"/>
      <w:bookmarkStart w:id="755" w:name="_Toc296503025"/>
      <w:r>
        <w:rPr>
          <w:rFonts w:hint="eastAsia" w:ascii="宋体" w:hAnsi="宋体"/>
          <w:color w:val="000000" w:themeColor="text1"/>
          <w:highlight w:val="none"/>
          <w14:textFill>
            <w14:solidFill>
              <w14:schemeClr w14:val="tx1"/>
            </w14:solidFill>
          </w14:textFill>
        </w:rPr>
        <w:t>发包人要求</w:t>
      </w:r>
      <w:bookmarkEnd w:id="748"/>
      <w:bookmarkEnd w:id="749"/>
      <w:bookmarkEnd w:id="750"/>
    </w:p>
    <w:p w14:paraId="6EB83B9A">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按现行技术标准和规范执行，</w:t>
      </w:r>
      <w:r>
        <w:rPr>
          <w:rFonts w:hint="eastAsia" w:ascii="宋体" w:hAnsi="宋体"/>
          <w:color w:val="000000" w:themeColor="text1"/>
          <w:szCs w:val="21"/>
          <w:highlight w:val="none"/>
          <w14:textFill>
            <w14:solidFill>
              <w14:schemeClr w14:val="tx1"/>
            </w14:solidFill>
          </w14:textFill>
        </w:rPr>
        <w:t>达到国家现行有关服务质量及技术的要求。</w:t>
      </w:r>
    </w:p>
    <w:p w14:paraId="2CD3737D">
      <w:pPr>
        <w:pStyle w:val="8"/>
        <w:rPr>
          <w:rFonts w:hint="eastAsia" w:ascii="宋体" w:hAnsi="宋体"/>
          <w:color w:val="000000" w:themeColor="text1"/>
          <w:szCs w:val="21"/>
          <w:highlight w:val="none"/>
          <w14:textFill>
            <w14:solidFill>
              <w14:schemeClr w14:val="tx1"/>
            </w14:solidFill>
          </w14:textFill>
        </w:rPr>
      </w:pPr>
    </w:p>
    <w:p w14:paraId="470255A8">
      <w:pPr>
        <w:rPr>
          <w:rFonts w:hint="eastAsia" w:ascii="宋体" w:hAnsi="宋体"/>
          <w:color w:val="000000" w:themeColor="text1"/>
          <w:szCs w:val="21"/>
          <w:highlight w:val="none"/>
          <w14:textFill>
            <w14:solidFill>
              <w14:schemeClr w14:val="tx1"/>
            </w14:solidFill>
          </w14:textFill>
        </w:rPr>
      </w:pPr>
    </w:p>
    <w:p w14:paraId="3F9CE04E">
      <w:pPr>
        <w:pStyle w:val="8"/>
        <w:rPr>
          <w:rFonts w:hint="eastAsia" w:ascii="宋体" w:hAnsi="宋体"/>
          <w:color w:val="000000" w:themeColor="text1"/>
          <w:szCs w:val="21"/>
          <w:highlight w:val="none"/>
          <w14:textFill>
            <w14:solidFill>
              <w14:schemeClr w14:val="tx1"/>
            </w14:solidFill>
          </w14:textFill>
        </w:rPr>
      </w:pPr>
    </w:p>
    <w:p w14:paraId="0055D4C0">
      <w:pPr>
        <w:rPr>
          <w:rFonts w:hint="eastAsia" w:ascii="宋体" w:hAnsi="宋体"/>
          <w:color w:val="000000" w:themeColor="text1"/>
          <w:szCs w:val="21"/>
          <w:highlight w:val="none"/>
          <w14:textFill>
            <w14:solidFill>
              <w14:schemeClr w14:val="tx1"/>
            </w14:solidFill>
          </w14:textFill>
        </w:rPr>
      </w:pPr>
    </w:p>
    <w:p w14:paraId="77CF7701">
      <w:pPr>
        <w:pStyle w:val="8"/>
        <w:rPr>
          <w:rFonts w:hint="eastAsia" w:ascii="宋体" w:hAnsi="宋体"/>
          <w:color w:val="000000" w:themeColor="text1"/>
          <w:szCs w:val="21"/>
          <w:highlight w:val="none"/>
          <w14:textFill>
            <w14:solidFill>
              <w14:schemeClr w14:val="tx1"/>
            </w14:solidFill>
          </w14:textFill>
        </w:rPr>
      </w:pPr>
    </w:p>
    <w:p w14:paraId="6D15567A">
      <w:pPr>
        <w:rPr>
          <w:rFonts w:hint="eastAsia" w:ascii="宋体" w:hAnsi="宋体"/>
          <w:color w:val="000000" w:themeColor="text1"/>
          <w:szCs w:val="21"/>
          <w:highlight w:val="none"/>
          <w14:textFill>
            <w14:solidFill>
              <w14:schemeClr w14:val="tx1"/>
            </w14:solidFill>
          </w14:textFill>
        </w:rPr>
      </w:pPr>
    </w:p>
    <w:p w14:paraId="66A36AF2">
      <w:pPr>
        <w:pStyle w:val="8"/>
        <w:rPr>
          <w:rFonts w:hint="eastAsia" w:ascii="宋体" w:hAnsi="宋体"/>
          <w:color w:val="000000" w:themeColor="text1"/>
          <w:szCs w:val="21"/>
          <w:highlight w:val="none"/>
          <w14:textFill>
            <w14:solidFill>
              <w14:schemeClr w14:val="tx1"/>
            </w14:solidFill>
          </w14:textFill>
        </w:rPr>
      </w:pPr>
    </w:p>
    <w:p w14:paraId="264AC405">
      <w:pPr>
        <w:rPr>
          <w:rFonts w:hint="eastAsia" w:ascii="宋体" w:hAnsi="宋体"/>
          <w:color w:val="000000" w:themeColor="text1"/>
          <w:szCs w:val="21"/>
          <w:highlight w:val="none"/>
          <w14:textFill>
            <w14:solidFill>
              <w14:schemeClr w14:val="tx1"/>
            </w14:solidFill>
          </w14:textFill>
        </w:rPr>
      </w:pPr>
    </w:p>
    <w:p w14:paraId="1D4EC232">
      <w:pPr>
        <w:pStyle w:val="8"/>
        <w:rPr>
          <w:rFonts w:hint="eastAsia" w:ascii="宋体" w:hAnsi="宋体"/>
          <w:color w:val="000000" w:themeColor="text1"/>
          <w:szCs w:val="21"/>
          <w:highlight w:val="none"/>
          <w14:textFill>
            <w14:solidFill>
              <w14:schemeClr w14:val="tx1"/>
            </w14:solidFill>
          </w14:textFill>
        </w:rPr>
      </w:pPr>
    </w:p>
    <w:p w14:paraId="717CAB7D">
      <w:pPr>
        <w:rPr>
          <w:rFonts w:hint="eastAsia" w:ascii="宋体" w:hAnsi="宋体"/>
          <w:color w:val="000000" w:themeColor="text1"/>
          <w:szCs w:val="21"/>
          <w:highlight w:val="none"/>
          <w14:textFill>
            <w14:solidFill>
              <w14:schemeClr w14:val="tx1"/>
            </w14:solidFill>
          </w14:textFill>
        </w:rPr>
      </w:pPr>
    </w:p>
    <w:p w14:paraId="56CBC482">
      <w:pPr>
        <w:pStyle w:val="8"/>
        <w:rPr>
          <w:rFonts w:hint="eastAsia" w:ascii="宋体" w:hAnsi="宋体"/>
          <w:color w:val="000000" w:themeColor="text1"/>
          <w:szCs w:val="21"/>
          <w:highlight w:val="none"/>
          <w14:textFill>
            <w14:solidFill>
              <w14:schemeClr w14:val="tx1"/>
            </w14:solidFill>
          </w14:textFill>
        </w:rPr>
      </w:pPr>
    </w:p>
    <w:p w14:paraId="623E90DB">
      <w:pPr>
        <w:rPr>
          <w:rFonts w:hint="eastAsia" w:ascii="宋体" w:hAnsi="宋体"/>
          <w:color w:val="000000" w:themeColor="text1"/>
          <w:szCs w:val="21"/>
          <w:highlight w:val="none"/>
          <w14:textFill>
            <w14:solidFill>
              <w14:schemeClr w14:val="tx1"/>
            </w14:solidFill>
          </w14:textFill>
        </w:rPr>
      </w:pPr>
    </w:p>
    <w:p w14:paraId="15481567">
      <w:pPr>
        <w:pStyle w:val="8"/>
        <w:rPr>
          <w:rFonts w:hint="eastAsia" w:ascii="宋体" w:hAnsi="宋体"/>
          <w:color w:val="000000" w:themeColor="text1"/>
          <w:szCs w:val="21"/>
          <w:highlight w:val="none"/>
          <w14:textFill>
            <w14:solidFill>
              <w14:schemeClr w14:val="tx1"/>
            </w14:solidFill>
          </w14:textFill>
        </w:rPr>
      </w:pPr>
    </w:p>
    <w:p w14:paraId="0969BCDB">
      <w:pPr>
        <w:rPr>
          <w:rFonts w:hint="eastAsia" w:ascii="宋体" w:hAnsi="宋体"/>
          <w:color w:val="000000" w:themeColor="text1"/>
          <w:szCs w:val="21"/>
          <w:highlight w:val="none"/>
          <w14:textFill>
            <w14:solidFill>
              <w14:schemeClr w14:val="tx1"/>
            </w14:solidFill>
          </w14:textFill>
        </w:rPr>
      </w:pPr>
    </w:p>
    <w:p w14:paraId="387EC605">
      <w:pPr>
        <w:pStyle w:val="8"/>
        <w:rPr>
          <w:rFonts w:hint="eastAsia" w:ascii="宋体" w:hAnsi="宋体"/>
          <w:color w:val="000000" w:themeColor="text1"/>
          <w:szCs w:val="21"/>
          <w:highlight w:val="none"/>
          <w14:textFill>
            <w14:solidFill>
              <w14:schemeClr w14:val="tx1"/>
            </w14:solidFill>
          </w14:textFill>
        </w:rPr>
      </w:pPr>
    </w:p>
    <w:p w14:paraId="727F8AF3">
      <w:pPr>
        <w:rPr>
          <w:rFonts w:hint="eastAsia" w:ascii="宋体" w:hAnsi="宋体"/>
          <w:color w:val="000000" w:themeColor="text1"/>
          <w:szCs w:val="21"/>
          <w:highlight w:val="none"/>
          <w14:textFill>
            <w14:solidFill>
              <w14:schemeClr w14:val="tx1"/>
            </w14:solidFill>
          </w14:textFill>
        </w:rPr>
      </w:pPr>
    </w:p>
    <w:p w14:paraId="22028404">
      <w:pPr>
        <w:pStyle w:val="8"/>
        <w:rPr>
          <w:rFonts w:hint="eastAsia" w:ascii="宋体" w:hAnsi="宋体"/>
          <w:color w:val="000000" w:themeColor="text1"/>
          <w:szCs w:val="21"/>
          <w:highlight w:val="none"/>
          <w14:textFill>
            <w14:solidFill>
              <w14:schemeClr w14:val="tx1"/>
            </w14:solidFill>
          </w14:textFill>
        </w:rPr>
      </w:pPr>
    </w:p>
    <w:p w14:paraId="558F4B1E">
      <w:pPr>
        <w:rPr>
          <w:rFonts w:hint="eastAsia" w:ascii="宋体" w:hAnsi="宋体"/>
          <w:color w:val="000000" w:themeColor="text1"/>
          <w:szCs w:val="21"/>
          <w:highlight w:val="none"/>
          <w14:textFill>
            <w14:solidFill>
              <w14:schemeClr w14:val="tx1"/>
            </w14:solidFill>
          </w14:textFill>
        </w:rPr>
      </w:pPr>
    </w:p>
    <w:p w14:paraId="7541AA8B">
      <w:pPr>
        <w:pStyle w:val="8"/>
        <w:rPr>
          <w:rFonts w:hint="eastAsia" w:ascii="宋体" w:hAnsi="宋体"/>
          <w:color w:val="000000" w:themeColor="text1"/>
          <w:szCs w:val="21"/>
          <w:highlight w:val="none"/>
          <w14:textFill>
            <w14:solidFill>
              <w14:schemeClr w14:val="tx1"/>
            </w14:solidFill>
          </w14:textFill>
        </w:rPr>
      </w:pPr>
    </w:p>
    <w:p w14:paraId="73387EDE">
      <w:pPr>
        <w:rPr>
          <w:rFonts w:hint="eastAsia" w:ascii="宋体" w:hAnsi="宋体"/>
          <w:color w:val="000000" w:themeColor="text1"/>
          <w:szCs w:val="21"/>
          <w:highlight w:val="none"/>
          <w14:textFill>
            <w14:solidFill>
              <w14:schemeClr w14:val="tx1"/>
            </w14:solidFill>
          </w14:textFill>
        </w:rPr>
      </w:pPr>
    </w:p>
    <w:p w14:paraId="59680BE6">
      <w:pPr>
        <w:pStyle w:val="8"/>
        <w:rPr>
          <w:rFonts w:hint="eastAsia" w:ascii="宋体" w:hAnsi="宋体"/>
          <w:color w:val="000000" w:themeColor="text1"/>
          <w:highlight w:val="none"/>
          <w14:textFill>
            <w14:solidFill>
              <w14:schemeClr w14:val="tx1"/>
            </w14:solidFill>
          </w14:textFill>
        </w:rPr>
      </w:pPr>
    </w:p>
    <w:p w14:paraId="079D5D23">
      <w:pPr>
        <w:rPr>
          <w:rFonts w:hint="eastAsia" w:ascii="宋体" w:hAnsi="宋体"/>
          <w:color w:val="000000" w:themeColor="text1"/>
          <w:szCs w:val="21"/>
          <w:highlight w:val="none"/>
          <w14:textFill>
            <w14:solidFill>
              <w14:schemeClr w14:val="tx1"/>
            </w14:solidFill>
          </w14:textFill>
        </w:rPr>
      </w:pPr>
    </w:p>
    <w:p w14:paraId="3B0AAE61">
      <w:pPr>
        <w:pStyle w:val="8"/>
        <w:rPr>
          <w:rFonts w:hint="eastAsia" w:ascii="宋体" w:hAnsi="宋体"/>
          <w:color w:val="000000" w:themeColor="text1"/>
          <w:szCs w:val="21"/>
          <w:highlight w:val="none"/>
          <w14:textFill>
            <w14:solidFill>
              <w14:schemeClr w14:val="tx1"/>
            </w14:solidFill>
          </w14:textFill>
        </w:rPr>
      </w:pPr>
    </w:p>
    <w:p w14:paraId="23D08E97">
      <w:pPr>
        <w:rPr>
          <w:rFonts w:hint="eastAsia" w:ascii="宋体" w:hAnsi="宋体"/>
          <w:color w:val="000000" w:themeColor="text1"/>
          <w:szCs w:val="21"/>
          <w:highlight w:val="none"/>
          <w14:textFill>
            <w14:solidFill>
              <w14:schemeClr w14:val="tx1"/>
            </w14:solidFill>
          </w14:textFill>
        </w:rPr>
      </w:pPr>
    </w:p>
    <w:p w14:paraId="12FAF80C">
      <w:pPr>
        <w:pStyle w:val="8"/>
        <w:rPr>
          <w:rFonts w:hint="eastAsia" w:ascii="宋体" w:hAnsi="宋体"/>
          <w:color w:val="000000" w:themeColor="text1"/>
          <w:szCs w:val="21"/>
          <w:highlight w:val="none"/>
          <w14:textFill>
            <w14:solidFill>
              <w14:schemeClr w14:val="tx1"/>
            </w14:solidFill>
          </w14:textFill>
        </w:rPr>
      </w:pPr>
    </w:p>
    <w:p w14:paraId="410A98E2">
      <w:pPr>
        <w:rPr>
          <w:rFonts w:hint="eastAsia" w:ascii="宋体" w:hAnsi="宋体"/>
          <w:color w:val="000000" w:themeColor="text1"/>
          <w:szCs w:val="21"/>
          <w:highlight w:val="none"/>
          <w14:textFill>
            <w14:solidFill>
              <w14:schemeClr w14:val="tx1"/>
            </w14:solidFill>
          </w14:textFill>
        </w:rPr>
      </w:pPr>
    </w:p>
    <w:p w14:paraId="4E97FC9A">
      <w:pPr>
        <w:pStyle w:val="8"/>
        <w:rPr>
          <w:rFonts w:hint="eastAsia" w:ascii="宋体" w:hAnsi="宋体"/>
          <w:color w:val="000000" w:themeColor="text1"/>
          <w:szCs w:val="21"/>
          <w:highlight w:val="none"/>
          <w14:textFill>
            <w14:solidFill>
              <w14:schemeClr w14:val="tx1"/>
            </w14:solidFill>
          </w14:textFill>
        </w:rPr>
      </w:pPr>
    </w:p>
    <w:p w14:paraId="37C28C5E">
      <w:pPr>
        <w:rPr>
          <w:rFonts w:hint="eastAsia" w:ascii="宋体" w:hAnsi="宋体"/>
          <w:color w:val="000000" w:themeColor="text1"/>
          <w:szCs w:val="21"/>
          <w:highlight w:val="none"/>
          <w14:textFill>
            <w14:solidFill>
              <w14:schemeClr w14:val="tx1"/>
            </w14:solidFill>
          </w14:textFill>
        </w:rPr>
      </w:pPr>
    </w:p>
    <w:p w14:paraId="3D8FC59E">
      <w:pPr>
        <w:pStyle w:val="8"/>
        <w:rPr>
          <w:rFonts w:hint="eastAsia" w:ascii="宋体" w:hAnsi="宋体"/>
          <w:color w:val="000000" w:themeColor="text1"/>
          <w:szCs w:val="21"/>
          <w:highlight w:val="none"/>
          <w14:textFill>
            <w14:solidFill>
              <w14:schemeClr w14:val="tx1"/>
            </w14:solidFill>
          </w14:textFill>
        </w:rPr>
      </w:pPr>
    </w:p>
    <w:p w14:paraId="4F9D2593">
      <w:pPr>
        <w:rPr>
          <w:rFonts w:hint="eastAsia" w:ascii="宋体" w:hAnsi="宋体"/>
          <w:color w:val="000000" w:themeColor="text1"/>
          <w:szCs w:val="21"/>
          <w:highlight w:val="none"/>
          <w14:textFill>
            <w14:solidFill>
              <w14:schemeClr w14:val="tx1"/>
            </w14:solidFill>
          </w14:textFill>
        </w:rPr>
      </w:pPr>
    </w:p>
    <w:bookmarkEnd w:id="751"/>
    <w:bookmarkEnd w:id="752"/>
    <w:p w14:paraId="5AB756D0">
      <w:pPr>
        <w:spacing w:line="360" w:lineRule="auto"/>
        <w:ind w:firstLine="1050" w:firstLineChars="500"/>
        <w:rPr>
          <w:rFonts w:hint="eastAsia" w:ascii="宋体" w:hAnsi="宋体" w:cs="宋体"/>
          <w:color w:val="000000" w:themeColor="text1"/>
          <w:highlight w:val="none"/>
          <w14:textFill>
            <w14:solidFill>
              <w14:schemeClr w14:val="tx1"/>
            </w14:solidFill>
          </w14:textFill>
        </w:rPr>
      </w:pPr>
      <w:bookmarkStart w:id="756" w:name="_Toc14772"/>
      <w:bookmarkStart w:id="757" w:name="_Toc5129"/>
      <w:bookmarkStart w:id="758" w:name="_Toc287620812"/>
      <w:bookmarkStart w:id="759" w:name="_Toc430530528"/>
      <w:bookmarkStart w:id="760" w:name="_Toc287607865"/>
      <w:bookmarkStart w:id="761" w:name="_Toc534185829"/>
      <w:bookmarkStart w:id="762" w:name="_Toc509218852"/>
    </w:p>
    <w:p w14:paraId="468A3E4E">
      <w:pPr>
        <w:pStyle w:val="2"/>
        <w:spacing w:line="360" w:lineRule="auto"/>
        <w:ind w:firstLine="2209" w:firstLineChars="5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竞选文件格式</w:t>
      </w:r>
      <w:bookmarkEnd w:id="756"/>
      <w:bookmarkEnd w:id="757"/>
      <w:bookmarkEnd w:id="758"/>
      <w:bookmarkEnd w:id="759"/>
      <w:bookmarkEnd w:id="760"/>
      <w:bookmarkEnd w:id="761"/>
      <w:bookmarkEnd w:id="762"/>
    </w:p>
    <w:p w14:paraId="408520E2">
      <w:pPr>
        <w:spacing w:line="360" w:lineRule="auto"/>
        <w:rPr>
          <w:rFonts w:hint="eastAsia" w:ascii="宋体" w:hAnsi="宋体" w:cs="宋体"/>
          <w:color w:val="000000" w:themeColor="text1"/>
          <w:sz w:val="32"/>
          <w:szCs w:val="32"/>
          <w:highlight w:val="none"/>
          <w14:textFill>
            <w14:solidFill>
              <w14:schemeClr w14:val="tx1"/>
            </w14:solidFill>
          </w14:textFill>
        </w:rPr>
      </w:pPr>
    </w:p>
    <w:p w14:paraId="4E4B632E">
      <w:pPr>
        <w:rPr>
          <w:rFonts w:hint="eastAsia" w:ascii="宋体" w:hAnsi="宋体" w:cs="宋体"/>
          <w:color w:val="000000" w:themeColor="text1"/>
          <w:sz w:val="36"/>
          <w:szCs w:val="36"/>
          <w:highlight w:val="none"/>
          <w14:textFill>
            <w14:solidFill>
              <w14:schemeClr w14:val="tx1"/>
            </w14:solidFill>
          </w14:textFill>
        </w:rPr>
      </w:pPr>
    </w:p>
    <w:p w14:paraId="3D28B6D3">
      <w:pPr>
        <w:pStyle w:val="19"/>
        <w:rPr>
          <w:rFonts w:hint="eastAsia" w:ascii="宋体" w:hAnsi="宋体" w:cs="宋体"/>
          <w:color w:val="000000" w:themeColor="text1"/>
          <w:sz w:val="36"/>
          <w:szCs w:val="36"/>
          <w:highlight w:val="none"/>
          <w14:textFill>
            <w14:solidFill>
              <w14:schemeClr w14:val="tx1"/>
            </w14:solidFill>
          </w14:textFill>
        </w:rPr>
      </w:pPr>
    </w:p>
    <w:p w14:paraId="5DFA91B2">
      <w:pPr>
        <w:rPr>
          <w:rFonts w:hint="eastAsia" w:ascii="宋体" w:hAnsi="宋体" w:cs="宋体"/>
          <w:color w:val="000000" w:themeColor="text1"/>
          <w:sz w:val="36"/>
          <w:szCs w:val="36"/>
          <w:highlight w:val="none"/>
          <w14:textFill>
            <w14:solidFill>
              <w14:schemeClr w14:val="tx1"/>
            </w14:solidFill>
          </w14:textFill>
        </w:rPr>
      </w:pPr>
    </w:p>
    <w:p w14:paraId="70B439B8">
      <w:pPr>
        <w:pStyle w:val="8"/>
        <w:rPr>
          <w:rFonts w:hint="eastAsia" w:ascii="宋体" w:hAnsi="宋体" w:cs="宋体"/>
          <w:color w:val="000000" w:themeColor="text1"/>
          <w:sz w:val="36"/>
          <w:szCs w:val="36"/>
          <w:highlight w:val="none"/>
          <w14:textFill>
            <w14:solidFill>
              <w14:schemeClr w14:val="tx1"/>
            </w14:solidFill>
          </w14:textFill>
        </w:rPr>
      </w:pPr>
    </w:p>
    <w:p w14:paraId="4D1742CD">
      <w:pPr>
        <w:rPr>
          <w:rFonts w:hint="eastAsia" w:ascii="宋体" w:hAnsi="宋体" w:cs="宋体"/>
          <w:color w:val="000000" w:themeColor="text1"/>
          <w:sz w:val="36"/>
          <w:szCs w:val="36"/>
          <w:highlight w:val="none"/>
          <w14:textFill>
            <w14:solidFill>
              <w14:schemeClr w14:val="tx1"/>
            </w14:solidFill>
          </w14:textFill>
        </w:rPr>
      </w:pPr>
    </w:p>
    <w:p w14:paraId="106A8F2A">
      <w:pPr>
        <w:pStyle w:val="8"/>
        <w:rPr>
          <w:rFonts w:hint="eastAsia" w:ascii="宋体" w:hAnsi="宋体"/>
          <w:color w:val="000000" w:themeColor="text1"/>
          <w:highlight w:val="none"/>
          <w14:textFill>
            <w14:solidFill>
              <w14:schemeClr w14:val="tx1"/>
            </w14:solidFill>
          </w14:textFill>
        </w:rPr>
      </w:pPr>
    </w:p>
    <w:p w14:paraId="6302E5D1">
      <w:pPr>
        <w:rPr>
          <w:rFonts w:hint="eastAsia" w:ascii="宋体" w:hAnsi="宋体" w:cs="宋体"/>
          <w:color w:val="000000" w:themeColor="text1"/>
          <w:sz w:val="36"/>
          <w:szCs w:val="36"/>
          <w:highlight w:val="none"/>
          <w14:textFill>
            <w14:solidFill>
              <w14:schemeClr w14:val="tx1"/>
            </w14:solidFill>
          </w14:textFill>
        </w:rPr>
      </w:pPr>
    </w:p>
    <w:p w14:paraId="01377F89">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p>
    <w:p w14:paraId="492460DE">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p>
    <w:p w14:paraId="13A50409">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sectPr>
          <w:headerReference r:id="rId4" w:type="default"/>
          <w:footerReference r:id="rId5" w:type="default"/>
          <w:pgSz w:w="11905" w:h="16838"/>
          <w:pgMar w:top="1134" w:right="1134" w:bottom="1134" w:left="1134" w:header="0" w:footer="0" w:gutter="0"/>
          <w:cols w:space="0" w:num="1"/>
          <w:docGrid w:type="lines" w:linePitch="317" w:charSpace="0"/>
        </w:sectPr>
      </w:pPr>
    </w:p>
    <w:p w14:paraId="3C9894FA">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0"/>
                <wp:wrapNone/>
                <wp:docPr id="118" name="矩形 12"/>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0EFA9139"/>
                        </w:txbxContent>
                      </wps:txbx>
                      <wps:bodyPr rot="0" vert="horz" wrap="square" lIns="91440" tIns="45720" rIns="91440" bIns="45720" anchor="t" anchorCtr="0" upright="1">
                        <a:noAutofit/>
                      </wps:bodyPr>
                    </wps:wsp>
                  </a:graphicData>
                </a:graphic>
              </wp:anchor>
            </w:drawing>
          </mc:Choice>
          <mc:Fallback>
            <w:pict>
              <v:rect id="矩形 12"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G51YNUjAgAAQQQAAA4AAAAAAAAAAQAgAAAAKQEAAGRycy9lMm9Eb2MueG1sUEsFBgAAAAAG&#10;AAYAWQEAAL4FAAAAAA==&#10;">
                <v:fill on="t" focussize="0,0"/>
                <v:stroke on="f"/>
                <v:imagedata o:title=""/>
                <o:lock v:ext="edit" aspectratio="f"/>
                <v:textbox>
                  <w:txbxContent>
                    <w:p w14:paraId="0EFA9139"/>
                  </w:txbxContent>
                </v:textbox>
              </v:rect>
            </w:pict>
          </mc:Fallback>
        </mc:AlternateContent>
      </w:r>
      <w:bookmarkStart w:id="763" w:name="_Toc224103493"/>
      <w:r>
        <w:rPr>
          <w:rFonts w:hint="eastAsia" w:ascii="宋体" w:hAnsi="宋体" w:cs="宋体"/>
          <w:color w:val="000000" w:themeColor="text1"/>
          <w:sz w:val="36"/>
          <w:szCs w:val="36"/>
          <w:highlight w:val="none"/>
          <w14:textFill>
            <w14:solidFill>
              <w14:schemeClr w14:val="tx1"/>
            </w14:solidFill>
          </w14:textFill>
        </w:rPr>
        <w:t>目  录</w:t>
      </w:r>
      <w:bookmarkEnd w:id="763"/>
    </w:p>
    <w:p w14:paraId="44980E24">
      <w:pPr>
        <w:pStyle w:val="8"/>
        <w:rPr>
          <w:rFonts w:hint="eastAsia" w:ascii="宋体" w:hAnsi="宋体"/>
          <w:color w:val="000000" w:themeColor="text1"/>
          <w:highlight w:val="none"/>
          <w14:textFill>
            <w14:solidFill>
              <w14:schemeClr w14:val="tx1"/>
            </w14:solidFill>
          </w14:textFill>
        </w:rPr>
      </w:pPr>
    </w:p>
    <w:p w14:paraId="18635452">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14:paraId="35A68E14">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竞选</w:t>
      </w:r>
      <w:r>
        <w:rPr>
          <w:rFonts w:ascii="宋体" w:hAnsi="宋体"/>
          <w:color w:val="000000" w:themeColor="text1"/>
          <w:highlight w:val="none"/>
          <w14:textFill>
            <w14:solidFill>
              <w14:schemeClr w14:val="tx1"/>
            </w14:solidFill>
          </w14:textFill>
        </w:rPr>
        <w:t>函</w:t>
      </w:r>
    </w:p>
    <w:p w14:paraId="51A56942">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51C3FA9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ascii="宋体" w:hAnsi="宋体"/>
          <w:b/>
          <w:color w:val="000000" w:themeColor="text1"/>
          <w:highlight w:val="none"/>
          <w14:textFill>
            <w14:solidFill>
              <w14:schemeClr w14:val="tx1"/>
            </w14:solidFill>
          </w14:textFill>
        </w:rPr>
        <w:t>、技术部分</w:t>
      </w:r>
    </w:p>
    <w:p w14:paraId="66707499">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服务方案</w:t>
      </w:r>
    </w:p>
    <w:p w14:paraId="03360F5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4BF641F5">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414D424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4BF55CD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（三）项目管理机构</w:t>
      </w:r>
    </w:p>
    <w:p w14:paraId="1EF767EB">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（四）近年财务状况表</w:t>
      </w:r>
    </w:p>
    <w:p w14:paraId="6AD27E0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2839A5B7">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）其他资料</w:t>
      </w:r>
    </w:p>
    <w:p w14:paraId="469728EF">
      <w:pPr>
        <w:spacing w:line="360" w:lineRule="auto"/>
        <w:rPr>
          <w:rFonts w:hint="eastAsia" w:ascii="宋体" w:hAnsi="宋体" w:cs="宋体"/>
          <w:b/>
          <w:color w:val="000000" w:themeColor="text1"/>
          <w:highlight w:val="none"/>
          <w14:textFill>
            <w14:solidFill>
              <w14:schemeClr w14:val="tx1"/>
            </w14:solidFill>
          </w14:textFill>
        </w:rPr>
      </w:pPr>
    </w:p>
    <w:p w14:paraId="300A2F4B">
      <w:pPr>
        <w:spacing w:line="360" w:lineRule="auto"/>
        <w:jc w:val="center"/>
        <w:rPr>
          <w:rFonts w:hint="eastAsia" w:ascii="宋体" w:hAnsi="宋体" w:cs="宋体"/>
          <w:color w:val="000000" w:themeColor="text1"/>
          <w:kern w:val="0"/>
          <w:sz w:val="24"/>
          <w:highlight w:val="none"/>
          <w14:textFill>
            <w14:solidFill>
              <w14:schemeClr w14:val="tx1"/>
            </w14:solidFill>
          </w14:textFill>
        </w:rPr>
      </w:pPr>
      <w:bookmarkStart w:id="764" w:name="_Toc534185830"/>
      <w:bookmarkStart w:id="765" w:name="_Toc6306"/>
      <w:bookmarkStart w:id="766" w:name="_Toc15801"/>
      <w:bookmarkStart w:id="767" w:name="_Toc27983320"/>
      <w:bookmarkStart w:id="768" w:name="_Toc509218853"/>
    </w:p>
    <w:p w14:paraId="11C51B41">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51B33945">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63A8EFCB">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630435E1">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3393F199">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4DA853E5">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4DA765D0">
      <w:pPr>
        <w:spacing w:line="360" w:lineRule="auto"/>
        <w:jc w:val="center"/>
        <w:rPr>
          <w:rFonts w:hint="eastAsia" w:ascii="宋体" w:hAnsi="宋体"/>
          <w:color w:val="000000" w:themeColor="text1"/>
          <w:sz w:val="44"/>
          <w:szCs w:val="44"/>
          <w:highlight w:val="none"/>
          <w14:textFill>
            <w14:solidFill>
              <w14:schemeClr w14:val="tx1"/>
            </w14:solidFill>
          </w14:textFill>
        </w:rPr>
      </w:pPr>
    </w:p>
    <w:bookmarkEnd w:id="764"/>
    <w:bookmarkEnd w:id="765"/>
    <w:bookmarkEnd w:id="766"/>
    <w:bookmarkEnd w:id="767"/>
    <w:bookmarkEnd w:id="768"/>
    <w:p w14:paraId="29F9AC70">
      <w:pPr>
        <w:spacing w:line="360" w:lineRule="auto"/>
        <w:jc w:val="center"/>
        <w:rPr>
          <w:rFonts w:hint="eastAsia" w:ascii="宋体" w:hAnsi="宋体" w:cs="宋体"/>
          <w:color w:val="000000" w:themeColor="text1"/>
          <w:sz w:val="44"/>
          <w:szCs w:val="44"/>
          <w:highlight w:val="none"/>
          <w14:textFill>
            <w14:solidFill>
              <w14:schemeClr w14:val="tx1"/>
            </w14:solidFill>
          </w14:textFill>
        </w:rPr>
      </w:pPr>
      <w:bookmarkStart w:id="769" w:name="_Toc224103502"/>
      <w:bookmarkStart w:id="770" w:name="_Toc287620821"/>
      <w:bookmarkStart w:id="771" w:name="_Toc430530536"/>
      <w:bookmarkStart w:id="772" w:name="_Toc3391"/>
      <w:bookmarkStart w:id="773" w:name="_Toc15678"/>
      <w:bookmarkStart w:id="774" w:name="_Toc28457"/>
      <w:bookmarkStart w:id="775" w:name="_Toc287607874"/>
    </w:p>
    <w:p w14:paraId="6A59104A">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p>
    <w:bookmarkEnd w:id="753"/>
    <w:bookmarkEnd w:id="754"/>
    <w:bookmarkEnd w:id="755"/>
    <w:bookmarkEnd w:id="769"/>
    <w:bookmarkEnd w:id="770"/>
    <w:bookmarkEnd w:id="771"/>
    <w:bookmarkEnd w:id="772"/>
    <w:bookmarkEnd w:id="773"/>
    <w:bookmarkEnd w:id="774"/>
    <w:bookmarkEnd w:id="775"/>
    <w:p w14:paraId="75D2CB49">
      <w:pPr>
        <w:jc w:val="center"/>
        <w:outlineLvl w:val="1"/>
        <w:rPr>
          <w:rFonts w:hint="eastAsia" w:ascii="宋体" w:hAnsi="宋体"/>
          <w:b/>
          <w:color w:val="000000" w:themeColor="text1"/>
          <w:sz w:val="44"/>
          <w:szCs w:val="44"/>
          <w:highlight w:val="none"/>
          <w14:textFill>
            <w14:solidFill>
              <w14:schemeClr w14:val="tx1"/>
            </w14:solidFill>
          </w14:textFill>
        </w:rPr>
      </w:pPr>
      <w:bookmarkStart w:id="776" w:name="_Toc27983321"/>
    </w:p>
    <w:p w14:paraId="32CD98A5">
      <w:pPr>
        <w:jc w:val="center"/>
        <w:outlineLvl w:val="1"/>
        <w:rPr>
          <w:rFonts w:hint="eastAsia" w:ascii="宋体" w:hAnsi="宋体"/>
          <w:b/>
          <w:color w:val="000000" w:themeColor="text1"/>
          <w:sz w:val="44"/>
          <w:szCs w:val="44"/>
          <w:highlight w:val="none"/>
          <w14:textFill>
            <w14:solidFill>
              <w14:schemeClr w14:val="tx1"/>
            </w14:solidFill>
          </w14:textFill>
        </w:rPr>
      </w:pPr>
    </w:p>
    <w:p w14:paraId="1465C5CA">
      <w:pPr>
        <w:jc w:val="center"/>
        <w:outlineLvl w:val="1"/>
        <w:rPr>
          <w:rFonts w:hint="eastAsia" w:ascii="宋体" w:hAnsi="宋体"/>
          <w:color w:val="000000" w:themeColor="text1"/>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一、竞选函部分</w:t>
      </w:r>
      <w:bookmarkEnd w:id="776"/>
    </w:p>
    <w:p w14:paraId="1F6193AD">
      <w:pPr>
        <w:pStyle w:val="8"/>
        <w:rPr>
          <w:rFonts w:hint="eastAsia" w:ascii="宋体" w:hAnsi="宋体"/>
          <w:color w:val="000000" w:themeColor="text1"/>
          <w:highlight w:val="none"/>
          <w14:textFill>
            <w14:solidFill>
              <w14:schemeClr w14:val="tx1"/>
            </w14:solidFill>
          </w14:textFill>
        </w:rPr>
      </w:pPr>
    </w:p>
    <w:p w14:paraId="7D6B1DA6">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r>
        <w:rPr>
          <w:rFonts w:ascii="宋体" w:hAnsi="宋体" w:cs="宋体"/>
          <w:b/>
          <w:color w:val="000000" w:themeColor="text1"/>
          <w:sz w:val="52"/>
          <w:szCs w:val="72"/>
          <w:highlight w:val="none"/>
          <w14:textFill>
            <w14:solidFill>
              <w14:schemeClr w14:val="tx1"/>
            </w14:solidFill>
          </w14:textFill>
        </w:rPr>
        <w:br w:type="page"/>
      </w:r>
    </w:p>
    <w:p w14:paraId="115D664A">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4729D77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B3B94A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7C2626C">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674692F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1980DD62">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7FB9AF4C">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1186E761">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7F6735F2">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竞选函部分</w:t>
      </w:r>
    </w:p>
    <w:p w14:paraId="358D909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2F06DC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CB080B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A46343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424DC5A6">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CA4367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CA3FD0">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3FEB41B">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7D50235C">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669701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5FD0888">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73D0068">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6A4555B1">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00F5652F">
      <w:pPr>
        <w:autoSpaceDE w:val="0"/>
        <w:autoSpaceDN w:val="0"/>
        <w:adjustRightInd w:val="0"/>
        <w:snapToGrid w:val="0"/>
        <w:spacing w:line="360" w:lineRule="auto"/>
        <w:ind w:firstLine="554"/>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14:paraId="6137758B">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27A53B8D">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08EA5E4D">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22306DCA">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6F0B29A">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函</w:t>
      </w:r>
    </w:p>
    <w:p w14:paraId="4B009E14">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二</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14:paraId="71BD40D3">
      <w:pPr>
        <w:autoSpaceDE w:val="0"/>
        <w:autoSpaceDN w:val="0"/>
        <w:adjustRightInd w:val="0"/>
        <w:snapToGrid w:val="0"/>
        <w:spacing w:line="360" w:lineRule="auto"/>
        <w:ind w:firstLine="554"/>
        <w:rPr>
          <w:rFonts w:hint="eastAsia" w:ascii="宋体" w:hAnsi="宋体"/>
          <w:color w:val="000000" w:themeColor="text1"/>
          <w:kern w:val="0"/>
          <w:sz w:val="24"/>
          <w:szCs w:val="21"/>
          <w:highlight w:val="none"/>
          <w14:textFill>
            <w14:solidFill>
              <w14:schemeClr w14:val="tx1"/>
            </w14:solidFill>
          </w14:textFill>
        </w:rPr>
      </w:pPr>
      <w:r>
        <w:rPr>
          <w:rFonts w:ascii="宋体" w:hAnsi="宋体"/>
          <w:color w:val="000000" w:themeColor="text1"/>
          <w:kern w:val="0"/>
          <w:sz w:val="24"/>
          <w:szCs w:val="21"/>
          <w:highlight w:val="none"/>
          <w14:textFill>
            <w14:solidFill>
              <w14:schemeClr w14:val="tx1"/>
            </w14:solidFill>
          </w14:textFill>
        </w:rPr>
        <w:br w:type="page"/>
      </w:r>
    </w:p>
    <w:p w14:paraId="046CDD83">
      <w:pPr>
        <w:autoSpaceDE w:val="0"/>
        <w:autoSpaceDN w:val="0"/>
        <w:adjustRightInd w:val="0"/>
        <w:snapToGrid w:val="0"/>
        <w:spacing w:line="480" w:lineRule="auto"/>
        <w:jc w:val="center"/>
        <w:rPr>
          <w:rFonts w:hint="eastAsia" w:ascii="宋体" w:hAnsi="宋体" w:cs="宋体"/>
          <w:b/>
          <w:color w:val="000000" w:themeColor="text1"/>
          <w:w w:val="99"/>
          <w:kern w:val="0"/>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竞选函</w:t>
      </w:r>
    </w:p>
    <w:p w14:paraId="5F7A8BA2">
      <w:pPr>
        <w:tabs>
          <w:tab w:val="left" w:pos="2640"/>
        </w:tabs>
        <w:autoSpaceDE w:val="0"/>
        <w:autoSpaceDN w:val="0"/>
        <w:adjustRightIn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（比选人名称）：</w:t>
      </w:r>
    </w:p>
    <w:p w14:paraId="7B4BA3A9">
      <w:pPr>
        <w:tabs>
          <w:tab w:val="left" w:pos="3495"/>
          <w:tab w:val="left" w:pos="4920"/>
          <w:tab w:val="left" w:pos="5715"/>
          <w:tab w:val="left" w:pos="6945"/>
          <w:tab w:val="left" w:pos="7980"/>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我方已仔细研究了（项目名称）比选文件的全部内容，</w:t>
      </w:r>
      <w:r>
        <w:rPr>
          <w:rFonts w:hint="eastAsia" w:ascii="宋体" w:hAnsi="宋体" w:cs="宋体"/>
          <w:color w:val="000000" w:themeColor="text1"/>
          <w:spacing w:val="20"/>
          <w:szCs w:val="21"/>
          <w:highlight w:val="none"/>
          <w14:textFill>
            <w14:solidFill>
              <w14:schemeClr w14:val="tx1"/>
            </w14:solidFill>
          </w14:textFill>
        </w:rPr>
        <w:t>竞选总报价为：</w:t>
      </w:r>
      <w:r>
        <w:rPr>
          <w:rFonts w:hint="eastAsia" w:ascii="宋体" w:hAnsi="宋体" w:cs="宋体"/>
          <w:color w:val="000000" w:themeColor="text1"/>
          <w:szCs w:val="21"/>
          <w:highlight w:val="none"/>
          <w:u w:val="none"/>
          <w:lang w:val="en-US" w:eastAsia="zh-CN"/>
          <w14:textFill>
            <w14:solidFill>
              <w14:schemeClr w14:val="tx1"/>
            </w14:solidFill>
          </w14:textFill>
        </w:rPr>
        <w:t>预算编制费固定费率最高限价为暂估工程费的</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%，暂定预算编制费为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元，</w:t>
      </w:r>
      <w:r>
        <w:rPr>
          <w:rFonts w:hint="eastAsia" w:ascii="宋体" w:hAnsi="宋体"/>
          <w:snapToGrid w:val="0"/>
          <w:color w:val="000000" w:themeColor="text1"/>
          <w:kern w:val="0"/>
          <w:szCs w:val="21"/>
          <w:highlight w:val="none"/>
          <w14:textFill>
            <w14:solidFill>
              <w14:schemeClr w14:val="tx1"/>
            </w14:solidFill>
          </w14:textFill>
        </w:rPr>
        <w:t>项目负责人为</w:t>
      </w:r>
      <w:r>
        <w:rPr>
          <w:rFonts w:hint="eastAsia" w:ascii="宋体" w:hAnsi="宋体"/>
          <w:snapToGrid w:val="0"/>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服务期限</w:t>
      </w:r>
      <w:r>
        <w:rPr>
          <w:rFonts w:hint="eastAsia" w:ascii="宋体" w:hAnsi="宋体" w:cs="MingLiU"/>
          <w:snapToGrid w:val="0"/>
          <w:color w:val="000000" w:themeColor="text1"/>
          <w:kern w:val="0"/>
          <w:szCs w:val="21"/>
          <w:highlight w:val="none"/>
          <w:u w:val="single"/>
          <w14:textFill>
            <w14:solidFill>
              <w14:schemeClr w14:val="tx1"/>
            </w14:solidFill>
          </w14:textFill>
        </w:rPr>
        <w:t>满足比选文件要求</w:t>
      </w:r>
      <w:r>
        <w:rPr>
          <w:rFonts w:hint="eastAsia" w:ascii="宋体" w:hAnsi="宋体" w:cs="MingLiU"/>
          <w:snapToGrid w:val="0"/>
          <w:color w:val="000000" w:themeColor="text1"/>
          <w:kern w:val="0"/>
          <w:szCs w:val="21"/>
          <w:highlight w:val="none"/>
          <w14:textFill>
            <w14:solidFill>
              <w14:schemeClr w14:val="tx1"/>
            </w14:solidFill>
          </w14:textFill>
        </w:rPr>
        <w:t>，完成比选文件规定的所有规定任务，质量要求达到比选文件要求。</w:t>
      </w:r>
    </w:p>
    <w:p w14:paraId="1FD2741F">
      <w:pPr>
        <w:tabs>
          <w:tab w:val="left" w:pos="2445"/>
          <w:tab w:val="left" w:pos="3520"/>
          <w:tab w:val="left" w:pos="4920"/>
          <w:tab w:val="left" w:pos="6105"/>
          <w:tab w:val="left" w:pos="7980"/>
        </w:tabs>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 本次竞选有效期为90日历天，我方承诺在本次有效期内不修改、撤销竞选文件。</w:t>
      </w:r>
    </w:p>
    <w:p w14:paraId="67BD8820">
      <w:pPr>
        <w:tabs>
          <w:tab w:val="left" w:pos="2730"/>
          <w:tab w:val="left" w:pos="7350"/>
        </w:tabs>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随同本竞选函提交比选保证金一份，金额为人民币（大写）</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元（¥</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）。比选保证金有限期与比选有限期一致，在此期间，若我方违反比选有关法律、法规及本比选文件的相关规定，比选保证金的受益人为比选人。</w:t>
      </w:r>
    </w:p>
    <w:p w14:paraId="6D1C1CAC">
      <w:pPr>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 如我方中选：</w:t>
      </w:r>
    </w:p>
    <w:p w14:paraId="6A84E5A6">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（1）我方承诺在收到中选通知书后，在中选通知书规定的期限内与你方签订合同。</w:t>
      </w:r>
    </w:p>
    <w:p w14:paraId="076AF231">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（2）我方承诺按照比选文件规定向你方递交履约担保（如比选人要求）。</w:t>
      </w:r>
    </w:p>
    <w:p w14:paraId="2CD9EFF5">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我方承诺在合同约定的期限内完成并</w:t>
      </w:r>
      <w:r>
        <w:rPr>
          <w:rFonts w:hint="eastAsia" w:ascii="宋体" w:hAnsi="宋体"/>
          <w:snapToGrid w:val="0"/>
          <w:color w:val="000000" w:themeColor="text1"/>
          <w:kern w:val="0"/>
          <w:szCs w:val="21"/>
          <w:highlight w:val="none"/>
          <w14:textFill>
            <w14:solidFill>
              <w14:schemeClr w14:val="tx1"/>
            </w14:solidFill>
          </w14:textFill>
        </w:rPr>
        <w:t>出具成果文件</w:t>
      </w:r>
      <w:r>
        <w:rPr>
          <w:rFonts w:hint="eastAsia" w:ascii="宋体" w:hAnsi="宋体" w:cs="宋体"/>
          <w:snapToGrid w:val="0"/>
          <w:color w:val="000000" w:themeColor="text1"/>
          <w:kern w:val="0"/>
          <w:szCs w:val="21"/>
          <w:highlight w:val="none"/>
          <w14:textFill>
            <w14:solidFill>
              <w14:schemeClr w14:val="tx1"/>
            </w14:solidFill>
          </w14:textFill>
        </w:rPr>
        <w:t>。</w:t>
      </w:r>
    </w:p>
    <w:p w14:paraId="3FD75FA6">
      <w:pPr>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 我方</w:t>
      </w:r>
      <w:r>
        <w:rPr>
          <w:rFonts w:hint="eastAsia" w:ascii="宋体" w:hAnsi="宋体" w:cs="宋体"/>
          <w:snapToGrid w:val="0"/>
          <w:color w:val="000000" w:themeColor="text1"/>
          <w:spacing w:val="-2"/>
          <w:kern w:val="0"/>
          <w:szCs w:val="21"/>
          <w:highlight w:val="none"/>
          <w14:textFill>
            <w14:solidFill>
              <w14:schemeClr w14:val="tx1"/>
            </w14:solidFill>
          </w14:textFill>
        </w:rPr>
        <w:t>在此声明，所递交的竞选文件及有关资料内容完整、真实和准确，且不存在第二章“竞选人</w:t>
      </w:r>
      <w:r>
        <w:rPr>
          <w:rFonts w:hint="eastAsia" w:ascii="宋体" w:hAnsi="宋体" w:cs="宋体"/>
          <w:snapToGrid w:val="0"/>
          <w:color w:val="000000" w:themeColor="text1"/>
          <w:kern w:val="0"/>
          <w:szCs w:val="21"/>
          <w:highlight w:val="none"/>
          <w14:textFill>
            <w14:solidFill>
              <w14:schemeClr w14:val="tx1"/>
            </w14:solidFill>
          </w14:textFill>
        </w:rPr>
        <w:t>须知”第 1.4.3 项规定的任何一种情形。同时我方承诺接受比选文件及附件、答疑及补遗通知中所有的内容。</w:t>
      </w:r>
    </w:p>
    <w:p w14:paraId="447D2E62">
      <w:pPr>
        <w:tabs>
          <w:tab w:val="left" w:pos="5985"/>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6.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（其他补充说明）。</w:t>
      </w:r>
    </w:p>
    <w:p w14:paraId="11693F98">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p>
    <w:p w14:paraId="0DB96378">
      <w:pPr>
        <w:tabs>
          <w:tab w:val="left" w:pos="7140"/>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  选 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（盖单位法人章） </w:t>
      </w:r>
    </w:p>
    <w:p w14:paraId="1C299D61">
      <w:pPr>
        <w:tabs>
          <w:tab w:val="left" w:pos="7140"/>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法定代表人或其委托代理人：（签字或盖章）</w:t>
      </w:r>
    </w:p>
    <w:p w14:paraId="03876137">
      <w:pPr>
        <w:tabs>
          <w:tab w:val="left" w:pos="7035"/>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    址：</w:t>
      </w:r>
    </w:p>
    <w:p w14:paraId="7BA93FB0">
      <w:pPr>
        <w:tabs>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p>
    <w:p w14:paraId="26FD326F">
      <w:pPr>
        <w:tabs>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    真：</w:t>
      </w:r>
    </w:p>
    <w:p w14:paraId="5A848A97">
      <w:pPr>
        <w:spacing w:line="360" w:lineRule="auto"/>
        <w:jc w:val="right"/>
        <w:rPr>
          <w:rFonts w:hint="eastAsia" w:ascii="宋体" w:hAnsi="宋体" w:cs="宋体"/>
          <w:snapToGrid w:val="0"/>
          <w:color w:val="000000" w:themeColor="text1"/>
          <w:w w:val="99"/>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年月日</w:t>
      </w:r>
    </w:p>
    <w:p w14:paraId="29C59A86">
      <w:pPr>
        <w:jc w:val="center"/>
        <w:rPr>
          <w:rFonts w:hint="eastAsia" w:ascii="宋体" w:hAnsi="宋体" w:cs="宋体"/>
          <w:b/>
          <w:snapToGrid w:val="0"/>
          <w:color w:val="000000" w:themeColor="text1"/>
          <w:w w:val="99"/>
          <w:sz w:val="36"/>
          <w:szCs w:val="32"/>
          <w:highlight w:val="none"/>
          <w14:textFill>
            <w14:solidFill>
              <w14:schemeClr w14:val="tx1"/>
            </w14:solidFill>
          </w14:textFill>
        </w:rPr>
      </w:pPr>
    </w:p>
    <w:p w14:paraId="1CC5CE17">
      <w:pPr>
        <w:spacing w:line="360" w:lineRule="auto"/>
        <w:jc w:val="center"/>
        <w:rPr>
          <w:rFonts w:hint="eastAsia" w:ascii="宋体" w:hAnsi="宋体" w:cs="宋体"/>
          <w:b/>
          <w:snapToGrid w:val="0"/>
          <w:color w:val="000000" w:themeColor="text1"/>
          <w:w w:val="99"/>
          <w:sz w:val="36"/>
          <w:szCs w:val="32"/>
          <w:highlight w:val="none"/>
          <w14:textFill>
            <w14:solidFill>
              <w14:schemeClr w14:val="tx1"/>
            </w14:solidFill>
          </w14:textFill>
        </w:rPr>
      </w:pPr>
      <w:r>
        <w:rPr>
          <w:rFonts w:hint="eastAsia" w:ascii="宋体" w:hAnsi="宋体" w:cs="宋体"/>
          <w:b/>
          <w:snapToGrid w:val="0"/>
          <w:color w:val="000000" w:themeColor="text1"/>
          <w:w w:val="99"/>
          <w:sz w:val="36"/>
          <w:szCs w:val="32"/>
          <w:highlight w:val="none"/>
          <w14:textFill>
            <w14:solidFill>
              <w14:schemeClr w14:val="tx1"/>
            </w14:solidFill>
          </w14:textFill>
        </w:rPr>
        <w:br w:type="page"/>
      </w:r>
    </w:p>
    <w:p w14:paraId="6B7FFFCD">
      <w:pPr>
        <w:pStyle w:val="4"/>
        <w:jc w:val="center"/>
        <w:rPr>
          <w:rFonts w:hint="eastAsia" w:ascii="宋体" w:hAnsi="宋体"/>
          <w:b w:val="0"/>
          <w:snapToGrid w:val="0"/>
          <w:color w:val="000000" w:themeColor="text1"/>
          <w:kern w:val="0"/>
          <w:sz w:val="30"/>
          <w:szCs w:val="30"/>
          <w:highlight w:val="none"/>
          <w14:textFill>
            <w14:solidFill>
              <w14:schemeClr w14:val="tx1"/>
            </w14:solidFill>
          </w14:textFill>
        </w:rPr>
      </w:pPr>
      <w:bookmarkStart w:id="777" w:name="_Toc8650"/>
      <w:bookmarkStart w:id="778" w:name="_Toc287607869"/>
      <w:bookmarkStart w:id="779" w:name="_Toc224103497"/>
      <w:bookmarkStart w:id="780" w:name="_Toc430530532"/>
      <w:bookmarkStart w:id="781" w:name="_Toc277082645"/>
      <w:bookmarkStart w:id="782" w:name="_Toc57905921"/>
      <w:bookmarkStart w:id="783" w:name="_Toc287620816"/>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二</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77"/>
      <w:bookmarkEnd w:id="778"/>
      <w:bookmarkEnd w:id="779"/>
      <w:bookmarkEnd w:id="780"/>
      <w:bookmarkEnd w:id="781"/>
      <w:bookmarkEnd w:id="782"/>
      <w:bookmarkEnd w:id="783"/>
    </w:p>
    <w:p w14:paraId="28854533">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BBC7465">
      <w:pPr>
        <w:spacing w:line="480" w:lineRule="auto"/>
        <w:jc w:val="center"/>
        <w:rPr>
          <w:rFonts w:hint="eastAsia" w:ascii="宋体" w:hAnsi="宋体"/>
          <w:color w:val="000000" w:themeColor="text1"/>
          <w:highlight w:val="none"/>
          <w14:textFill>
            <w14:solidFill>
              <w14:schemeClr w14:val="tx1"/>
            </w14:solidFill>
          </w14:textFill>
        </w:rPr>
      </w:pPr>
    </w:p>
    <w:p w14:paraId="27CA0961">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14:paraId="0CD69B0B">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14:paraId="2006AF71">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14:paraId="3B854F9A">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14:paraId="044BA0B7">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14:paraId="646130D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14:paraId="7F9AC5CC">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6FA31752">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5EC29A80">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6AAE0820">
      <w:pPr>
        <w:pStyle w:val="8"/>
        <w:spacing w:after="0" w:line="360" w:lineRule="auto"/>
        <w:rPr>
          <w:rFonts w:hint="eastAsia" w:ascii="宋体" w:hAnsi="宋体"/>
          <w:color w:val="000000" w:themeColor="text1"/>
          <w:szCs w:val="21"/>
          <w:highlight w:val="none"/>
          <w14:textFill>
            <w14:solidFill>
              <w14:schemeClr w14:val="tx1"/>
            </w14:solidFill>
          </w14:textFill>
        </w:rPr>
      </w:pPr>
    </w:p>
    <w:p w14:paraId="317A957C">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6C57210">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FB5BC9C">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A117C9F">
      <w:pPr>
        <w:pStyle w:val="8"/>
        <w:spacing w:after="0" w:line="360" w:lineRule="auto"/>
        <w:rPr>
          <w:rFonts w:hint="eastAsia" w:ascii="宋体" w:hAnsi="宋体"/>
          <w:color w:val="000000" w:themeColor="text1"/>
          <w:szCs w:val="21"/>
          <w:highlight w:val="none"/>
          <w14:textFill>
            <w14:solidFill>
              <w14:schemeClr w14:val="tx1"/>
            </w14:solidFill>
          </w14:textFill>
        </w:rPr>
      </w:pPr>
    </w:p>
    <w:p w14:paraId="2BE6B256">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C544729">
      <w:pPr>
        <w:autoSpaceDE w:val="0"/>
        <w:autoSpaceDN w:val="0"/>
        <w:adjustRightInd w:val="0"/>
        <w:snapToGrid w:val="0"/>
        <w:spacing w:line="480" w:lineRule="auto"/>
        <w:ind w:firstLine="420" w:firstLineChars="20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583AD964">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64B2C7F0">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39AD30A2">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442F86A6">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6E4D794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2D336780">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28165BF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CD2CAA0">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3DB4494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14:paraId="486CB51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D6CDE7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249F7FA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15F01BC2">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376593E7">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4EE7E81F">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31C0D9FC">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4E776187">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54E54EBC">
      <w:pPr>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7C0A6234">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356651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1613C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A5DA0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4E62B0C">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D0E711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E15FB7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5C5DCCB7">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5836E5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6E2BA0C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1AC377C4">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57D657B8">
      <w:pPr>
        <w:tabs>
          <w:tab w:val="left" w:pos="5760"/>
        </w:tabs>
        <w:autoSpaceDE w:val="0"/>
        <w:autoSpaceDN w:val="0"/>
        <w:adjustRightIn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54F00C8D">
      <w:pPr>
        <w:spacing w:line="360" w:lineRule="auto"/>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81E6DD8">
      <w:pPr>
        <w:jc w:val="center"/>
        <w:outlineLvl w:val="1"/>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二、</w:t>
      </w:r>
      <w:r>
        <w:rPr>
          <w:rFonts w:hint="eastAsia" w:ascii="宋体" w:hAnsi="宋体"/>
          <w:color w:val="000000" w:themeColor="text1"/>
          <w:sz w:val="44"/>
          <w:szCs w:val="44"/>
          <w:highlight w:val="none"/>
          <w14:textFill>
            <w14:solidFill>
              <w14:schemeClr w14:val="tx1"/>
            </w14:solidFill>
          </w14:textFill>
        </w:rPr>
        <w:t>技术部分</w:t>
      </w:r>
    </w:p>
    <w:p w14:paraId="6268AB2B">
      <w:pPr>
        <w:pStyle w:val="8"/>
        <w:rPr>
          <w:rFonts w:hint="eastAsia" w:ascii="宋体" w:hAnsi="宋体"/>
          <w:b/>
          <w:color w:val="000000" w:themeColor="text1"/>
          <w:sz w:val="44"/>
          <w:szCs w:val="44"/>
          <w:highlight w:val="none"/>
          <w14:textFill>
            <w14:solidFill>
              <w14:schemeClr w14:val="tx1"/>
            </w14:solidFill>
          </w14:textFill>
        </w:rPr>
      </w:pPr>
    </w:p>
    <w:p w14:paraId="647B7732">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6F98AC8D">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4F2092EF">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FB1C274">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517D97A2">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5A2F043B">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8C2383A">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2DF3FF62">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技术部分</w:t>
      </w:r>
    </w:p>
    <w:p w14:paraId="0499252D">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33E94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C88BF3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451BFE2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DF18A2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64E33FE">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12D5CBB">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44B5A6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9D74361">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40E20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E2B7E03">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58DE24E">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1F2F9112">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7EDD24FE">
      <w:pPr>
        <w:autoSpaceDE w:val="0"/>
        <w:autoSpaceDN w:val="0"/>
        <w:adjustRightInd w:val="0"/>
        <w:snapToGrid w:val="0"/>
        <w:spacing w:line="360" w:lineRule="auto"/>
        <w:ind w:firstLine="554"/>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14:paraId="04E13317">
      <w:pPr>
        <w:pStyle w:val="8"/>
        <w:rPr>
          <w:rFonts w:hint="eastAsia" w:ascii="宋体" w:hAnsi="宋体"/>
          <w:b/>
          <w:color w:val="000000" w:themeColor="text1"/>
          <w:sz w:val="44"/>
          <w:szCs w:val="44"/>
          <w:highlight w:val="none"/>
          <w14:textFill>
            <w14:solidFill>
              <w14:schemeClr w14:val="tx1"/>
            </w14:solidFill>
          </w14:textFill>
        </w:rPr>
      </w:pPr>
    </w:p>
    <w:p w14:paraId="4E71B4EC">
      <w:pPr>
        <w:autoSpaceDE w:val="0"/>
        <w:autoSpaceDN w:val="0"/>
        <w:adjustRightInd w:val="0"/>
        <w:snapToGrid w:val="0"/>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B36AB15">
      <w:pPr>
        <w:autoSpaceDE w:val="0"/>
        <w:autoSpaceDN w:val="0"/>
        <w:adjustRightInd w:val="0"/>
        <w:snapToGrid w:val="0"/>
        <w:spacing w:line="360" w:lineRule="auto"/>
        <w:jc w:val="left"/>
        <w:rPr>
          <w:rFonts w:hint="eastAsia" w:ascii="宋体" w:hAnsi="宋体"/>
          <w:color w:val="000000" w:themeColor="text1"/>
          <w:kern w:val="0"/>
          <w:sz w:val="32"/>
          <w:szCs w:val="32"/>
          <w:highlight w:val="none"/>
          <w14:textFill>
            <w14:solidFill>
              <w14:schemeClr w14:val="tx1"/>
            </w14:solidFill>
          </w14:textFill>
        </w:rPr>
      </w:pPr>
    </w:p>
    <w:p w14:paraId="7B4E2D4D">
      <w:pPr>
        <w:autoSpaceDE w:val="0"/>
        <w:autoSpaceDN w:val="0"/>
        <w:adjustRightInd w:val="0"/>
        <w:snapToGrid w:val="0"/>
        <w:spacing w:line="360" w:lineRule="auto"/>
        <w:jc w:val="center"/>
        <w:rPr>
          <w:rFonts w:hint="eastAsia" w:ascii="宋体" w:hAnsi="宋体"/>
          <w:i/>
          <w:iCs/>
          <w:color w:val="000000" w:themeColor="text1"/>
          <w:kern w:val="0"/>
          <w:szCs w:val="21"/>
          <w:highlight w:val="none"/>
          <w14:textFill>
            <w14:solidFill>
              <w14:schemeClr w14:val="tx1"/>
            </w14:solidFill>
          </w14:textFill>
        </w:rPr>
      </w:pPr>
      <w:r>
        <w:rPr>
          <w:rFonts w:ascii="宋体" w:hAnsi="宋体"/>
          <w:i/>
          <w:iCs/>
          <w:color w:val="000000" w:themeColor="text1"/>
          <w:kern w:val="0"/>
          <w:szCs w:val="21"/>
          <w:highlight w:val="none"/>
          <w14:textFill>
            <w14:solidFill>
              <w14:schemeClr w14:val="tx1"/>
            </w14:solidFill>
          </w14:textFill>
        </w:rPr>
        <w:t>[</w:t>
      </w:r>
      <w:r>
        <w:rPr>
          <w:rFonts w:hint="eastAsia" w:ascii="宋体" w:hAnsi="宋体"/>
          <w:i/>
          <w:iCs/>
          <w:color w:val="000000" w:themeColor="text1"/>
          <w:kern w:val="0"/>
          <w:szCs w:val="21"/>
          <w:highlight w:val="none"/>
          <w14:textFill>
            <w14:solidFill>
              <w14:schemeClr w14:val="tx1"/>
            </w14:solidFill>
          </w14:textFill>
        </w:rPr>
        <w:t>提示：</w:t>
      </w:r>
      <w:r>
        <w:rPr>
          <w:rFonts w:ascii="宋体" w:hAnsi="宋体"/>
          <w:i/>
          <w:iCs/>
          <w:color w:val="000000" w:themeColor="text1"/>
          <w:kern w:val="0"/>
          <w:szCs w:val="21"/>
          <w:highlight w:val="none"/>
          <w14:textFill>
            <w14:solidFill>
              <w14:schemeClr w14:val="tx1"/>
            </w14:solidFill>
          </w14:textFill>
        </w:rPr>
        <w:t>目录由</w:t>
      </w:r>
      <w:r>
        <w:rPr>
          <w:rFonts w:hint="eastAsia" w:ascii="宋体" w:hAnsi="宋体"/>
          <w:i/>
          <w:iCs/>
          <w:color w:val="000000" w:themeColor="text1"/>
          <w:kern w:val="0"/>
          <w:szCs w:val="21"/>
          <w:highlight w:val="none"/>
          <w14:textFill>
            <w14:solidFill>
              <w14:schemeClr w14:val="tx1"/>
            </w14:solidFill>
          </w14:textFill>
        </w:rPr>
        <w:t>竞选人</w:t>
      </w:r>
      <w:r>
        <w:rPr>
          <w:rFonts w:ascii="宋体" w:hAnsi="宋体"/>
          <w:i/>
          <w:iCs/>
          <w:color w:val="000000" w:themeColor="text1"/>
          <w:kern w:val="0"/>
          <w:szCs w:val="21"/>
          <w:highlight w:val="none"/>
          <w14:textFill>
            <w14:solidFill>
              <w14:schemeClr w14:val="tx1"/>
            </w14:solidFill>
          </w14:textFill>
        </w:rPr>
        <w:t>自行编制]</w:t>
      </w:r>
    </w:p>
    <w:p w14:paraId="012CD9BD">
      <w:pPr>
        <w:autoSpaceDE w:val="0"/>
        <w:autoSpaceDN w:val="0"/>
        <w:adjustRightInd w:val="0"/>
        <w:snapToGrid w:val="0"/>
        <w:spacing w:line="360" w:lineRule="auto"/>
        <w:jc w:val="left"/>
        <w:rPr>
          <w:rFonts w:hint="eastAsia" w:ascii="宋体" w:hAnsi="宋体"/>
          <w:color w:val="000000" w:themeColor="text1"/>
          <w:w w:val="99"/>
          <w:kern w:val="0"/>
          <w:sz w:val="28"/>
          <w:szCs w:val="28"/>
          <w:highlight w:val="none"/>
          <w14:textFill>
            <w14:solidFill>
              <w14:schemeClr w14:val="tx1"/>
            </w14:solidFill>
          </w14:textFill>
        </w:rPr>
      </w:pPr>
    </w:p>
    <w:p w14:paraId="30A9D764">
      <w:pPr>
        <w:rPr>
          <w:rFonts w:hint="eastAsia" w:ascii="宋体" w:hAnsi="宋体"/>
          <w:color w:val="000000" w:themeColor="text1"/>
          <w:highlight w:val="none"/>
          <w14:textFill>
            <w14:solidFill>
              <w14:schemeClr w14:val="tx1"/>
            </w14:solidFill>
          </w14:textFill>
        </w:rPr>
      </w:pPr>
    </w:p>
    <w:p w14:paraId="7EB8E5DA">
      <w:pPr>
        <w:pStyle w:val="8"/>
        <w:rPr>
          <w:rFonts w:hint="eastAsia" w:ascii="宋体" w:hAnsi="宋体"/>
          <w:color w:val="000000" w:themeColor="text1"/>
          <w:highlight w:val="none"/>
          <w14:textFill>
            <w14:solidFill>
              <w14:schemeClr w14:val="tx1"/>
            </w14:solidFill>
          </w14:textFill>
        </w:rPr>
      </w:pPr>
    </w:p>
    <w:p w14:paraId="1656CF53">
      <w:pPr>
        <w:rPr>
          <w:rFonts w:hint="eastAsia" w:ascii="宋体" w:hAnsi="宋体"/>
          <w:color w:val="000000" w:themeColor="text1"/>
          <w:highlight w:val="none"/>
          <w14:textFill>
            <w14:solidFill>
              <w14:schemeClr w14:val="tx1"/>
            </w14:solidFill>
          </w14:textFill>
        </w:rPr>
      </w:pPr>
    </w:p>
    <w:p w14:paraId="1B5C6D69">
      <w:pPr>
        <w:pStyle w:val="8"/>
        <w:rPr>
          <w:rFonts w:hint="eastAsia" w:ascii="宋体" w:hAnsi="宋体"/>
          <w:color w:val="000000" w:themeColor="text1"/>
          <w:highlight w:val="none"/>
          <w14:textFill>
            <w14:solidFill>
              <w14:schemeClr w14:val="tx1"/>
            </w14:solidFill>
          </w14:textFill>
        </w:rPr>
      </w:pPr>
    </w:p>
    <w:p w14:paraId="43DE08D8">
      <w:pPr>
        <w:rPr>
          <w:rFonts w:hint="eastAsia" w:ascii="宋体" w:hAnsi="宋体"/>
          <w:color w:val="000000" w:themeColor="text1"/>
          <w:highlight w:val="none"/>
          <w14:textFill>
            <w14:solidFill>
              <w14:schemeClr w14:val="tx1"/>
            </w14:solidFill>
          </w14:textFill>
        </w:rPr>
      </w:pPr>
    </w:p>
    <w:p w14:paraId="38062D0C">
      <w:pPr>
        <w:pStyle w:val="8"/>
        <w:rPr>
          <w:rFonts w:hint="eastAsia" w:ascii="宋体" w:hAnsi="宋体"/>
          <w:color w:val="000000" w:themeColor="text1"/>
          <w:highlight w:val="none"/>
          <w14:textFill>
            <w14:solidFill>
              <w14:schemeClr w14:val="tx1"/>
            </w14:solidFill>
          </w14:textFill>
        </w:rPr>
      </w:pPr>
    </w:p>
    <w:p w14:paraId="5FFAF262">
      <w:pPr>
        <w:rPr>
          <w:rFonts w:hint="eastAsia" w:ascii="宋体" w:hAnsi="宋体"/>
          <w:color w:val="000000" w:themeColor="text1"/>
          <w:highlight w:val="none"/>
          <w14:textFill>
            <w14:solidFill>
              <w14:schemeClr w14:val="tx1"/>
            </w14:solidFill>
          </w14:textFill>
        </w:rPr>
      </w:pPr>
    </w:p>
    <w:p w14:paraId="39318F51">
      <w:pPr>
        <w:pStyle w:val="8"/>
        <w:rPr>
          <w:rFonts w:hint="eastAsia" w:ascii="宋体" w:hAnsi="宋体"/>
          <w:color w:val="000000" w:themeColor="text1"/>
          <w:highlight w:val="none"/>
          <w14:textFill>
            <w14:solidFill>
              <w14:schemeClr w14:val="tx1"/>
            </w14:solidFill>
          </w14:textFill>
        </w:rPr>
      </w:pPr>
    </w:p>
    <w:p w14:paraId="3D53D79D">
      <w:pPr>
        <w:rPr>
          <w:rFonts w:hint="eastAsia" w:ascii="宋体" w:hAnsi="宋体"/>
          <w:color w:val="000000" w:themeColor="text1"/>
          <w:highlight w:val="none"/>
          <w14:textFill>
            <w14:solidFill>
              <w14:schemeClr w14:val="tx1"/>
            </w14:solidFill>
          </w14:textFill>
        </w:rPr>
      </w:pPr>
    </w:p>
    <w:p w14:paraId="54837CEC">
      <w:pPr>
        <w:pStyle w:val="8"/>
        <w:rPr>
          <w:rFonts w:hint="eastAsia" w:ascii="宋体" w:hAnsi="宋体"/>
          <w:color w:val="000000" w:themeColor="text1"/>
          <w:highlight w:val="none"/>
          <w14:textFill>
            <w14:solidFill>
              <w14:schemeClr w14:val="tx1"/>
            </w14:solidFill>
          </w14:textFill>
        </w:rPr>
      </w:pPr>
    </w:p>
    <w:p w14:paraId="535C503C">
      <w:pPr>
        <w:rPr>
          <w:rFonts w:hint="eastAsia" w:ascii="宋体" w:hAnsi="宋体"/>
          <w:color w:val="000000" w:themeColor="text1"/>
          <w:highlight w:val="none"/>
          <w14:textFill>
            <w14:solidFill>
              <w14:schemeClr w14:val="tx1"/>
            </w14:solidFill>
          </w14:textFill>
        </w:rPr>
      </w:pPr>
    </w:p>
    <w:p w14:paraId="177EFA39">
      <w:pPr>
        <w:pStyle w:val="8"/>
        <w:rPr>
          <w:rFonts w:hint="eastAsia" w:ascii="宋体" w:hAnsi="宋体"/>
          <w:color w:val="000000" w:themeColor="text1"/>
          <w:highlight w:val="none"/>
          <w14:textFill>
            <w14:solidFill>
              <w14:schemeClr w14:val="tx1"/>
            </w14:solidFill>
          </w14:textFill>
        </w:rPr>
      </w:pPr>
    </w:p>
    <w:p w14:paraId="7D5209CF">
      <w:pPr>
        <w:rPr>
          <w:rFonts w:hint="eastAsia" w:ascii="宋体" w:hAnsi="宋体"/>
          <w:color w:val="000000" w:themeColor="text1"/>
          <w:highlight w:val="none"/>
          <w14:textFill>
            <w14:solidFill>
              <w14:schemeClr w14:val="tx1"/>
            </w14:solidFill>
          </w14:textFill>
        </w:rPr>
      </w:pPr>
    </w:p>
    <w:p w14:paraId="4F4F57BD">
      <w:pPr>
        <w:pStyle w:val="8"/>
        <w:rPr>
          <w:rFonts w:hint="eastAsia" w:ascii="宋体" w:hAnsi="宋体"/>
          <w:color w:val="000000" w:themeColor="text1"/>
          <w:highlight w:val="none"/>
          <w14:textFill>
            <w14:solidFill>
              <w14:schemeClr w14:val="tx1"/>
            </w14:solidFill>
          </w14:textFill>
        </w:rPr>
      </w:pPr>
    </w:p>
    <w:p w14:paraId="31E5CC25">
      <w:pPr>
        <w:rPr>
          <w:rFonts w:hint="eastAsia" w:ascii="宋体" w:hAnsi="宋体"/>
          <w:color w:val="000000" w:themeColor="text1"/>
          <w:highlight w:val="none"/>
          <w14:textFill>
            <w14:solidFill>
              <w14:schemeClr w14:val="tx1"/>
            </w14:solidFill>
          </w14:textFill>
        </w:rPr>
      </w:pPr>
    </w:p>
    <w:p w14:paraId="57D58327">
      <w:pPr>
        <w:pStyle w:val="8"/>
        <w:rPr>
          <w:rFonts w:hint="eastAsia" w:ascii="宋体" w:hAnsi="宋体"/>
          <w:color w:val="000000" w:themeColor="text1"/>
          <w:highlight w:val="none"/>
          <w14:textFill>
            <w14:solidFill>
              <w14:schemeClr w14:val="tx1"/>
            </w14:solidFill>
          </w14:textFill>
        </w:rPr>
      </w:pPr>
    </w:p>
    <w:p w14:paraId="35155599">
      <w:pPr>
        <w:rPr>
          <w:rFonts w:hint="eastAsia" w:ascii="宋体" w:hAnsi="宋体"/>
          <w:color w:val="000000" w:themeColor="text1"/>
          <w:highlight w:val="none"/>
          <w14:textFill>
            <w14:solidFill>
              <w14:schemeClr w14:val="tx1"/>
            </w14:solidFill>
          </w14:textFill>
        </w:rPr>
      </w:pPr>
    </w:p>
    <w:p w14:paraId="0E818DAD">
      <w:pPr>
        <w:pStyle w:val="8"/>
        <w:rPr>
          <w:rFonts w:hint="eastAsia" w:ascii="宋体" w:hAnsi="宋体"/>
          <w:color w:val="000000" w:themeColor="text1"/>
          <w:highlight w:val="none"/>
          <w14:textFill>
            <w14:solidFill>
              <w14:schemeClr w14:val="tx1"/>
            </w14:solidFill>
          </w14:textFill>
        </w:rPr>
      </w:pPr>
    </w:p>
    <w:p w14:paraId="1B24D714">
      <w:pPr>
        <w:rPr>
          <w:rFonts w:hint="eastAsia" w:ascii="宋体" w:hAnsi="宋体"/>
          <w:color w:val="000000" w:themeColor="text1"/>
          <w:highlight w:val="none"/>
          <w14:textFill>
            <w14:solidFill>
              <w14:schemeClr w14:val="tx1"/>
            </w14:solidFill>
          </w14:textFill>
        </w:rPr>
      </w:pPr>
    </w:p>
    <w:p w14:paraId="6F5BDAB4">
      <w:pPr>
        <w:pStyle w:val="8"/>
        <w:rPr>
          <w:rFonts w:hint="eastAsia" w:ascii="宋体" w:hAnsi="宋体"/>
          <w:color w:val="000000" w:themeColor="text1"/>
          <w:highlight w:val="none"/>
          <w14:textFill>
            <w14:solidFill>
              <w14:schemeClr w14:val="tx1"/>
            </w14:solidFill>
          </w14:textFill>
        </w:rPr>
      </w:pPr>
    </w:p>
    <w:p w14:paraId="31E20D53">
      <w:pPr>
        <w:rPr>
          <w:rFonts w:hint="eastAsia" w:ascii="宋体" w:hAnsi="宋体"/>
          <w:color w:val="000000" w:themeColor="text1"/>
          <w:highlight w:val="none"/>
          <w14:textFill>
            <w14:solidFill>
              <w14:schemeClr w14:val="tx1"/>
            </w14:solidFill>
          </w14:textFill>
        </w:rPr>
      </w:pPr>
    </w:p>
    <w:p w14:paraId="4825EC37">
      <w:pPr>
        <w:rPr>
          <w:rFonts w:hint="eastAsia" w:ascii="宋体" w:hAnsi="宋体"/>
          <w:color w:val="000000" w:themeColor="text1"/>
          <w:highlight w:val="none"/>
          <w14:textFill>
            <w14:solidFill>
              <w14:schemeClr w14:val="tx1"/>
            </w14:solidFill>
          </w14:textFill>
        </w:rPr>
      </w:pPr>
    </w:p>
    <w:p w14:paraId="71E3C342">
      <w:pPr>
        <w:pStyle w:val="8"/>
        <w:rPr>
          <w:rFonts w:hint="eastAsia" w:ascii="宋体" w:hAnsi="宋体"/>
          <w:color w:val="000000" w:themeColor="text1"/>
          <w:highlight w:val="none"/>
          <w14:textFill>
            <w14:solidFill>
              <w14:schemeClr w14:val="tx1"/>
            </w14:solidFill>
          </w14:textFill>
        </w:rPr>
      </w:pPr>
    </w:p>
    <w:p w14:paraId="49C6AD8B">
      <w:pPr>
        <w:rPr>
          <w:rFonts w:hint="eastAsia" w:ascii="宋体" w:hAnsi="宋体"/>
          <w:color w:val="000000" w:themeColor="text1"/>
          <w:highlight w:val="none"/>
          <w14:textFill>
            <w14:solidFill>
              <w14:schemeClr w14:val="tx1"/>
            </w14:solidFill>
          </w14:textFill>
        </w:rPr>
      </w:pPr>
    </w:p>
    <w:p w14:paraId="65FC7CFE">
      <w:pPr>
        <w:pStyle w:val="8"/>
        <w:rPr>
          <w:rFonts w:hint="eastAsia" w:ascii="宋体" w:hAnsi="宋体"/>
          <w:color w:val="000000" w:themeColor="text1"/>
          <w:highlight w:val="none"/>
          <w14:textFill>
            <w14:solidFill>
              <w14:schemeClr w14:val="tx1"/>
            </w14:solidFill>
          </w14:textFill>
        </w:rPr>
      </w:pPr>
    </w:p>
    <w:p w14:paraId="225411C3">
      <w:pPr>
        <w:rPr>
          <w:rFonts w:hint="eastAsia" w:ascii="宋体" w:hAnsi="宋体"/>
          <w:color w:val="000000" w:themeColor="text1"/>
          <w:highlight w:val="none"/>
          <w14:textFill>
            <w14:solidFill>
              <w14:schemeClr w14:val="tx1"/>
            </w14:solidFill>
          </w14:textFill>
        </w:rPr>
      </w:pPr>
    </w:p>
    <w:p w14:paraId="0E3A387D">
      <w:pPr>
        <w:pStyle w:val="8"/>
        <w:rPr>
          <w:rFonts w:hint="eastAsia" w:ascii="宋体" w:hAnsi="宋体"/>
          <w:color w:val="000000" w:themeColor="text1"/>
          <w:highlight w:val="none"/>
          <w14:textFill>
            <w14:solidFill>
              <w14:schemeClr w14:val="tx1"/>
            </w14:solidFill>
          </w14:textFill>
        </w:rPr>
      </w:pPr>
    </w:p>
    <w:p w14:paraId="6A95D44C">
      <w:pPr>
        <w:rPr>
          <w:rFonts w:hint="eastAsia" w:ascii="宋体" w:hAnsi="宋体"/>
          <w:color w:val="000000" w:themeColor="text1"/>
          <w:highlight w:val="none"/>
          <w14:textFill>
            <w14:solidFill>
              <w14:schemeClr w14:val="tx1"/>
            </w14:solidFill>
          </w14:textFill>
        </w:rPr>
      </w:pPr>
    </w:p>
    <w:p w14:paraId="10FE4CFE">
      <w:pPr>
        <w:pStyle w:val="8"/>
        <w:rPr>
          <w:rFonts w:hint="eastAsia" w:ascii="宋体" w:hAnsi="宋体"/>
          <w:color w:val="000000" w:themeColor="text1"/>
          <w:highlight w:val="none"/>
          <w14:textFill>
            <w14:solidFill>
              <w14:schemeClr w14:val="tx1"/>
            </w14:solidFill>
          </w14:textFill>
        </w:rPr>
      </w:pPr>
    </w:p>
    <w:p w14:paraId="06DC5689">
      <w:pPr>
        <w:pStyle w:val="8"/>
        <w:rPr>
          <w:rFonts w:hint="eastAsia" w:ascii="宋体" w:hAnsi="宋体"/>
          <w:color w:val="000000" w:themeColor="text1"/>
          <w:highlight w:val="none"/>
          <w14:textFill>
            <w14:solidFill>
              <w14:schemeClr w14:val="tx1"/>
            </w14:solidFill>
          </w14:textFill>
        </w:rPr>
      </w:pPr>
    </w:p>
    <w:p w14:paraId="4DF08A54">
      <w:pPr>
        <w:jc w:val="center"/>
        <w:outlineLvl w:val="1"/>
        <w:rPr>
          <w:rFonts w:hint="eastAsia" w:ascii="宋体" w:hAnsi="宋体"/>
          <w:b/>
          <w:color w:val="000000" w:themeColor="text1"/>
          <w:sz w:val="44"/>
          <w:szCs w:val="44"/>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14:paraId="1FF79A13">
      <w:pPr>
        <w:jc w:val="center"/>
        <w:outlineLvl w:val="1"/>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三、资格审查部分</w:t>
      </w:r>
    </w:p>
    <w:p w14:paraId="78DE9168">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0D7D4011">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190F7444">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0EC0F00">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7B08329C">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48A930C">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337E27D">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21F8B8EB">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5DDACB3D">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DB3C205">
      <w:pPr>
        <w:adjustRightInd w:val="0"/>
        <w:snapToGrid w:val="0"/>
        <w:spacing w:line="264" w:lineRule="auto"/>
        <w:rPr>
          <w:rFonts w:hint="eastAsia" w:ascii="宋体" w:hAnsi="宋体"/>
          <w:color w:val="000000" w:themeColor="text1"/>
          <w:szCs w:val="21"/>
          <w:highlight w:val="none"/>
          <w14:textFill>
            <w14:solidFill>
              <w14:schemeClr w14:val="tx1"/>
            </w14:solidFill>
          </w14:textFill>
        </w:rPr>
      </w:pPr>
    </w:p>
    <w:p w14:paraId="64271201">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9EAA88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A50EA2F">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D34F96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45170BD">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35EC799">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61BF041">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8DCC5E0">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78A02186">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2331B40">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DA92C9B">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0E2125A8">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8AE4E83">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206BF12">
      <w:pPr>
        <w:tabs>
          <w:tab w:val="left" w:pos="6080"/>
          <w:tab w:val="left" w:pos="6640"/>
        </w:tabs>
        <w:autoSpaceDE w:val="0"/>
        <w:autoSpaceDN w:val="0"/>
        <w:adjustRightInd w:val="0"/>
        <w:snapToGrid w:val="0"/>
        <w:spacing w:line="48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17DCFA52">
      <w:pPr>
        <w:tabs>
          <w:tab w:val="left" w:pos="6080"/>
          <w:tab w:val="left" w:pos="6640"/>
        </w:tabs>
        <w:autoSpaceDE w:val="0"/>
        <w:autoSpaceDN w:val="0"/>
        <w:adjustRightInd w:val="0"/>
        <w:snapToGrid w:val="0"/>
        <w:spacing w:line="48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137BDB08">
      <w:pPr>
        <w:tabs>
          <w:tab w:val="left" w:pos="3280"/>
          <w:tab w:val="left" w:pos="4680"/>
          <w:tab w:val="left" w:pos="6080"/>
        </w:tabs>
        <w:autoSpaceDE w:val="0"/>
        <w:autoSpaceDN w:val="0"/>
        <w:adjustRightInd w:val="0"/>
        <w:snapToGrid w:val="0"/>
        <w:spacing w:line="480" w:lineRule="auto"/>
        <w:jc w:val="center"/>
        <w:rPr>
          <w:rFonts w:hint="eastAsia"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年月日</w:t>
      </w:r>
    </w:p>
    <w:p w14:paraId="118E8113">
      <w:pPr>
        <w:jc w:val="center"/>
        <w:rPr>
          <w:rFonts w:hint="eastAsia" w:ascii="宋体" w:hAnsi="宋体" w:cs="宋体"/>
          <w:b/>
          <w:color w:val="000000" w:themeColor="text1"/>
          <w:kern w:val="0"/>
          <w:sz w:val="48"/>
          <w:szCs w:val="48"/>
          <w:highlight w:val="none"/>
          <w14:textFill>
            <w14:solidFill>
              <w14:schemeClr w14:val="tx1"/>
            </w14:solidFill>
          </w14:textFill>
        </w:rPr>
      </w:pPr>
    </w:p>
    <w:p w14:paraId="22FA6E1A">
      <w:pPr>
        <w:autoSpaceDE w:val="0"/>
        <w:autoSpaceDN w:val="0"/>
        <w:adjustRightInd w:val="0"/>
        <w:snapToGrid w:val="0"/>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C5E97C2">
      <w:pPr>
        <w:spacing w:line="360" w:lineRule="auto"/>
        <w:jc w:val="center"/>
        <w:rPr>
          <w:rFonts w:hint="eastAsia" w:ascii="宋体" w:hAnsi="宋体"/>
          <w:b/>
          <w:color w:val="000000" w:themeColor="text1"/>
          <w:kern w:val="0"/>
          <w:sz w:val="32"/>
          <w:szCs w:val="32"/>
          <w:highlight w:val="none"/>
          <w14:textFill>
            <w14:solidFill>
              <w14:schemeClr w14:val="tx1"/>
            </w14:solidFill>
          </w14:textFill>
        </w:rPr>
      </w:pPr>
    </w:p>
    <w:p w14:paraId="53F0F62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14:paraId="5E1FCF4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基本情况表</w:t>
      </w:r>
    </w:p>
    <w:p w14:paraId="055F5E2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（三）项目管理机构</w:t>
      </w:r>
    </w:p>
    <w:p w14:paraId="36AB36E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（四）近年财务状况表</w:t>
      </w:r>
    </w:p>
    <w:p w14:paraId="315B4F8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五</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承诺</w:t>
      </w:r>
    </w:p>
    <w:p w14:paraId="17066FB2">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）其他资料</w:t>
      </w:r>
    </w:p>
    <w:p w14:paraId="6CF7B2FD">
      <w:pPr>
        <w:pStyle w:val="8"/>
        <w:rPr>
          <w:rFonts w:hint="eastAsia" w:ascii="宋体" w:hAnsi="宋体"/>
          <w:color w:val="000000" w:themeColor="text1"/>
          <w:highlight w:val="none"/>
          <w14:textFill>
            <w14:solidFill>
              <w14:schemeClr w14:val="tx1"/>
            </w14:solidFill>
          </w14:textFill>
        </w:rPr>
      </w:pPr>
    </w:p>
    <w:p w14:paraId="759A7E01">
      <w:pPr>
        <w:pStyle w:val="4"/>
        <w:jc w:val="center"/>
        <w:rPr>
          <w:rFonts w:hint="eastAsia" w:ascii="宋体" w:hAnsi="宋体"/>
          <w:snapToGrid w:val="0"/>
          <w:color w:val="000000" w:themeColor="text1"/>
          <w:kern w:val="0"/>
          <w:sz w:val="30"/>
          <w:szCs w:val="30"/>
          <w:highlight w:val="none"/>
          <w14:textFill>
            <w14:solidFill>
              <w14:schemeClr w14:val="tx1"/>
            </w14:solidFill>
          </w14:textFill>
        </w:rPr>
      </w:pPr>
      <w:r>
        <w:rPr>
          <w:rFonts w:ascii="宋体" w:hAnsi="宋体" w:cs="宋体"/>
          <w:color w:val="000000" w:themeColor="text1"/>
          <w:sz w:val="44"/>
          <w:highlight w:val="none"/>
          <w14:textFill>
            <w14:solidFill>
              <w14:schemeClr w14:val="tx1"/>
            </w14:solidFill>
          </w14:textFill>
        </w:rPr>
        <w:br w:type="page"/>
      </w:r>
      <w:bookmarkStart w:id="784" w:name="_Toc5633"/>
      <w:bookmarkStart w:id="785" w:name="_Toc57905929"/>
      <w:bookmarkStart w:id="786" w:name="_Toc430530546"/>
      <w:bookmarkStart w:id="787" w:name="_Toc287607883"/>
      <w:bookmarkStart w:id="788" w:name="_Toc287620830"/>
      <w:bookmarkStart w:id="789" w:name="_Toc224103511"/>
      <w:bookmarkStart w:id="790" w:name="_Toc277082657"/>
      <w:r>
        <w:rPr>
          <w:rFonts w:ascii="宋体" w:hAnsi="宋体"/>
          <w:color w:val="000000" w:themeColor="text1"/>
          <w:sz w:val="30"/>
          <w:szCs w:val="30"/>
          <w:highlight w:val="none"/>
          <w14:textFill>
            <w14:solidFill>
              <w14:schemeClr w14:val="tx1"/>
            </w14:solidFill>
          </w14:textFill>
        </w:rPr>
        <w:t>（一）</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84"/>
      <w:bookmarkEnd w:id="785"/>
    </w:p>
    <w:p w14:paraId="42E0F45C">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4B0B3AF9">
      <w:pPr>
        <w:spacing w:line="480" w:lineRule="auto"/>
        <w:jc w:val="center"/>
        <w:rPr>
          <w:rFonts w:hint="eastAsia" w:ascii="宋体" w:hAnsi="宋体"/>
          <w:color w:val="000000" w:themeColor="text1"/>
          <w:highlight w:val="none"/>
          <w14:textFill>
            <w14:solidFill>
              <w14:schemeClr w14:val="tx1"/>
            </w14:solidFill>
          </w14:textFill>
        </w:rPr>
      </w:pPr>
    </w:p>
    <w:p w14:paraId="08E23C3A">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14:paraId="6A2D2169">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14:paraId="606796A7">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14:paraId="010B78E3">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14:paraId="30294561">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14:paraId="3A57547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14:paraId="434FF704">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6DC422D3">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1878F8B5">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73E9FB90">
      <w:pPr>
        <w:autoSpaceDE w:val="0"/>
        <w:autoSpaceDN w:val="0"/>
        <w:adjustRightInd w:val="0"/>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7264ABE9">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B23F95D">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E223808">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1CC5D2E">
      <w:pPr>
        <w:pStyle w:val="8"/>
        <w:spacing w:after="0" w:line="360" w:lineRule="auto"/>
        <w:rPr>
          <w:rFonts w:hint="eastAsia" w:ascii="宋体" w:hAnsi="宋体"/>
          <w:color w:val="000000" w:themeColor="text1"/>
          <w:szCs w:val="21"/>
          <w:highlight w:val="none"/>
          <w14:textFill>
            <w14:solidFill>
              <w14:schemeClr w14:val="tx1"/>
            </w14:solidFill>
          </w14:textFill>
        </w:rPr>
      </w:pPr>
    </w:p>
    <w:p w14:paraId="681F721E">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969E2E2">
      <w:pPr>
        <w:autoSpaceDE w:val="0"/>
        <w:autoSpaceDN w:val="0"/>
        <w:adjustRightInd w:val="0"/>
        <w:snapToGrid w:val="0"/>
        <w:spacing w:line="480" w:lineRule="auto"/>
        <w:ind w:firstLine="810" w:firstLineChars="386"/>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0E31C6DB">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26A66F5D">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5A0B1847">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76AF3F4B">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3C1C28D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786"/>
      <w:bookmarkEnd w:id="787"/>
      <w:bookmarkEnd w:id="788"/>
      <w:bookmarkEnd w:id="789"/>
      <w:bookmarkEnd w:id="790"/>
      <w:r>
        <w:rPr>
          <w:rFonts w:hint="eastAsia" w:ascii="宋体" w:hAnsi="宋体"/>
          <w:color w:val="000000" w:themeColor="text1"/>
          <w:kern w:val="0"/>
          <w:szCs w:val="21"/>
          <w:highlight w:val="none"/>
          <w14:textFill>
            <w14:solidFill>
              <w14:schemeClr w14:val="tx1"/>
            </w14:solidFill>
          </w14:textFill>
        </w:rPr>
        <w:t>。</w:t>
      </w:r>
    </w:p>
    <w:p w14:paraId="1F579F0B">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F7D21CA">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7E86367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14:paraId="7DE39B30">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1FC5704F">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74724184">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5E485558">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7FEFC7E">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2C293A5A">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44B05A99">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3C90797F">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0D91D5C8">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2EC30890">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0B2C4A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D42BB3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415F0E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8C763F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4522430">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E432725">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01418AE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4A79F52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43BE3547">
      <w:pPr>
        <w:tabs>
          <w:tab w:val="left" w:pos="5760"/>
        </w:tabs>
        <w:autoSpaceDE w:val="0"/>
        <w:autoSpaceDN w:val="0"/>
        <w:adjustRightIn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730EC9DE">
      <w:pPr>
        <w:tabs>
          <w:tab w:val="left" w:pos="5760"/>
        </w:tabs>
        <w:autoSpaceDE w:val="0"/>
        <w:autoSpaceDN w:val="0"/>
        <w:adjustRightIn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19634B21">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145DFAC">
      <w:pPr>
        <w:pStyle w:val="4"/>
        <w:spacing w:before="0" w:after="0" w:line="240" w:lineRule="auto"/>
        <w:jc w:val="center"/>
        <w:rPr>
          <w:rFonts w:hint="eastAsia" w:ascii="宋体" w:hAnsi="宋体"/>
          <w:color w:val="000000" w:themeColor="text1"/>
          <w:highlight w:val="none"/>
          <w14:textFill>
            <w14:solidFill>
              <w14:schemeClr w14:val="tx1"/>
            </w14:solidFill>
          </w14:textFill>
        </w:rPr>
      </w:pPr>
      <w:bookmarkStart w:id="791" w:name="_Toc57905931"/>
      <w:r>
        <w:rPr>
          <w:rFonts w:hint="eastAsia" w:ascii="宋体" w:hAnsi="宋体"/>
          <w:color w:val="000000" w:themeColor="text1"/>
          <w:highlight w:val="none"/>
          <w14:textFill>
            <w14:solidFill>
              <w14:schemeClr w14:val="tx1"/>
            </w14:solidFill>
          </w14:textFill>
        </w:rPr>
        <w:t>（二）竞选人基本情况表</w:t>
      </w:r>
      <w:bookmarkEnd w:id="791"/>
    </w:p>
    <w:tbl>
      <w:tblPr>
        <w:tblStyle w:val="29"/>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6089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A2832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竞选人名称</w:t>
            </w:r>
          </w:p>
        </w:tc>
        <w:tc>
          <w:tcPr>
            <w:tcW w:w="7607" w:type="dxa"/>
            <w:gridSpan w:val="9"/>
            <w:vAlign w:val="center"/>
          </w:tcPr>
          <w:p w14:paraId="358F504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2E96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79DD3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50" w:type="dxa"/>
            <w:gridSpan w:val="5"/>
            <w:vAlign w:val="center"/>
          </w:tcPr>
          <w:p w14:paraId="1529212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65E9FDF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65" w:type="dxa"/>
            <w:gridSpan w:val="3"/>
            <w:vAlign w:val="center"/>
          </w:tcPr>
          <w:p w14:paraId="5CC1691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5BD1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F4F6C5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7" w:type="dxa"/>
            <w:vAlign w:val="center"/>
          </w:tcPr>
          <w:p w14:paraId="34FCB4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83" w:type="dxa"/>
            <w:gridSpan w:val="4"/>
            <w:vAlign w:val="center"/>
          </w:tcPr>
          <w:p w14:paraId="5D9C003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44C25A8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65" w:type="dxa"/>
            <w:gridSpan w:val="3"/>
            <w:vAlign w:val="center"/>
          </w:tcPr>
          <w:p w14:paraId="6F1817F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71CBB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F8E1C0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67" w:type="dxa"/>
            <w:vAlign w:val="center"/>
          </w:tcPr>
          <w:p w14:paraId="09D5A969">
            <w:pPr>
              <w:tabs>
                <w:tab w:val="left" w:pos="5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  真</w:t>
            </w:r>
          </w:p>
        </w:tc>
        <w:tc>
          <w:tcPr>
            <w:tcW w:w="2483" w:type="dxa"/>
            <w:gridSpan w:val="4"/>
            <w:vAlign w:val="center"/>
          </w:tcPr>
          <w:p w14:paraId="64D0E09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3C4594B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65" w:type="dxa"/>
            <w:gridSpan w:val="3"/>
            <w:vAlign w:val="center"/>
          </w:tcPr>
          <w:p w14:paraId="54680F3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88C14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44788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607" w:type="dxa"/>
            <w:gridSpan w:val="9"/>
            <w:vAlign w:val="center"/>
          </w:tcPr>
          <w:p w14:paraId="31D1613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5C02A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FAC32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7" w:type="dxa"/>
            <w:vAlign w:val="center"/>
          </w:tcPr>
          <w:p w14:paraId="6F1D441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50C95A6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579D0E2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3F35FDD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1557CFA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64C5725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1323D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1B1D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7" w:type="dxa"/>
            <w:vAlign w:val="center"/>
          </w:tcPr>
          <w:p w14:paraId="033948F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47B1EF1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102F509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02341AB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23F167C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7F26DE7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CD65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F79939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91" w:type="dxa"/>
            <w:gridSpan w:val="2"/>
            <w:vAlign w:val="center"/>
          </w:tcPr>
          <w:p w14:paraId="0620424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5616" w:type="dxa"/>
            <w:gridSpan w:val="7"/>
            <w:vAlign w:val="center"/>
          </w:tcPr>
          <w:p w14:paraId="1E9B74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14:paraId="5F28F6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15897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91" w:type="dxa"/>
            <w:gridSpan w:val="2"/>
            <w:vAlign w:val="center"/>
          </w:tcPr>
          <w:p w14:paraId="134699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restart"/>
            <w:vAlign w:val="center"/>
          </w:tcPr>
          <w:p w14:paraId="1681813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76" w:type="dxa"/>
            <w:gridSpan w:val="4"/>
            <w:vAlign w:val="center"/>
          </w:tcPr>
          <w:p w14:paraId="014639B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2236" w:type="dxa"/>
            <w:gridSpan w:val="2"/>
            <w:vAlign w:val="center"/>
          </w:tcPr>
          <w:p w14:paraId="7E2150E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0A4B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8FD4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统一社会信用代码</w:t>
            </w:r>
          </w:p>
        </w:tc>
        <w:tc>
          <w:tcPr>
            <w:tcW w:w="1991" w:type="dxa"/>
            <w:gridSpan w:val="2"/>
            <w:vAlign w:val="center"/>
          </w:tcPr>
          <w:p w14:paraId="45E8A7D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097BED3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72478E4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6" w:type="dxa"/>
            <w:gridSpan w:val="2"/>
            <w:vAlign w:val="center"/>
          </w:tcPr>
          <w:p w14:paraId="3E2AF27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2F3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3F97C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91" w:type="dxa"/>
            <w:gridSpan w:val="2"/>
            <w:vAlign w:val="center"/>
          </w:tcPr>
          <w:p w14:paraId="71AE52A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47A6CF8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657535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6" w:type="dxa"/>
            <w:gridSpan w:val="2"/>
            <w:vAlign w:val="center"/>
          </w:tcPr>
          <w:p w14:paraId="5C88E11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20069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41B56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91" w:type="dxa"/>
            <w:gridSpan w:val="2"/>
            <w:vAlign w:val="center"/>
          </w:tcPr>
          <w:p w14:paraId="60D81D2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5DE470D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1FC996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6" w:type="dxa"/>
            <w:gridSpan w:val="2"/>
            <w:vAlign w:val="center"/>
          </w:tcPr>
          <w:p w14:paraId="13A4BD5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0F51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CC002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91" w:type="dxa"/>
            <w:gridSpan w:val="2"/>
            <w:vAlign w:val="center"/>
          </w:tcPr>
          <w:p w14:paraId="312DBFF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432B2A1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69FBBF9A">
            <w:pPr>
              <w:tabs>
                <w:tab w:val="left" w:pos="12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2236" w:type="dxa"/>
            <w:gridSpan w:val="2"/>
            <w:vAlign w:val="center"/>
          </w:tcPr>
          <w:p w14:paraId="79F256B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D3201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6C0D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607" w:type="dxa"/>
            <w:gridSpan w:val="9"/>
            <w:vAlign w:val="center"/>
          </w:tcPr>
          <w:p w14:paraId="0D40776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981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7D50E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607" w:type="dxa"/>
            <w:gridSpan w:val="9"/>
            <w:vAlign w:val="center"/>
          </w:tcPr>
          <w:p w14:paraId="1C955F9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5CC6BFCD">
      <w:pPr>
        <w:spacing w:line="340" w:lineRule="exact"/>
        <w:rPr>
          <w:rFonts w:hint="eastAsia" w:ascii="宋体" w:hAnsi="宋体"/>
          <w:color w:val="000000" w:themeColor="text1"/>
          <w:szCs w:val="21"/>
          <w:highlight w:val="none"/>
          <w14:textFill>
            <w14:solidFill>
              <w14:schemeClr w14:val="tx1"/>
            </w14:solidFill>
          </w14:textFill>
        </w:rPr>
      </w:pPr>
    </w:p>
    <w:p w14:paraId="4FB8FE01">
      <w:pPr>
        <w:pStyle w:val="4"/>
        <w:spacing w:before="0" w:after="0" w:line="240" w:lineRule="auto"/>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792" w:name="_Toc509218863"/>
      <w:bookmarkStart w:id="793" w:name="_Toc534185840"/>
      <w:bookmarkStart w:id="794" w:name="_Toc57905932"/>
      <w:r>
        <w:rPr>
          <w:rFonts w:hint="eastAsia" w:ascii="宋体" w:hAnsi="宋体"/>
          <w:color w:val="000000" w:themeColor="text1"/>
          <w:highlight w:val="none"/>
          <w14:textFill>
            <w14:solidFill>
              <w14:schemeClr w14:val="tx1"/>
            </w14:solidFill>
          </w14:textFill>
        </w:rPr>
        <w:t>（三）项目管理机构</w:t>
      </w:r>
      <w:bookmarkEnd w:id="792"/>
      <w:bookmarkEnd w:id="793"/>
      <w:bookmarkEnd w:id="794"/>
    </w:p>
    <w:p w14:paraId="06F540BD">
      <w:pPr>
        <w:spacing w:line="360" w:lineRule="auto"/>
        <w:rPr>
          <w:rFonts w:hint="eastAsia" w:ascii="宋体" w:hAnsi="宋体"/>
          <w:color w:val="000000" w:themeColor="text1"/>
          <w:highlight w:val="none"/>
          <w14:textFill>
            <w14:solidFill>
              <w14:schemeClr w14:val="tx1"/>
            </w14:solidFill>
          </w14:textFill>
        </w:rPr>
      </w:pPr>
    </w:p>
    <w:p w14:paraId="09C13402">
      <w:pPr>
        <w:autoSpaceDE w:val="0"/>
        <w:autoSpaceDN w:val="0"/>
        <w:adjustRightInd w:val="0"/>
        <w:snapToGrid w:val="0"/>
        <w:spacing w:line="360" w:lineRule="auto"/>
        <w:jc w:val="center"/>
        <w:rPr>
          <w:rFonts w:hint="eastAsia" w:ascii="宋体" w:hAnsi="宋体" w:cs="MingLiU"/>
          <w:color w:val="000000" w:themeColor="text1"/>
          <w:kern w:val="0"/>
          <w:sz w:val="28"/>
          <w:szCs w:val="28"/>
          <w:highlight w:val="none"/>
          <w14:textFill>
            <w14:solidFill>
              <w14:schemeClr w14:val="tx1"/>
            </w14:solidFill>
          </w14:textFill>
        </w:rPr>
      </w:pPr>
      <w:r>
        <w:rPr>
          <w:rFonts w:hint="eastAsia" w:ascii="宋体" w:hAnsi="宋体" w:cs="MingLiU"/>
          <w:color w:val="000000" w:themeColor="text1"/>
          <w:kern w:val="0"/>
          <w:sz w:val="28"/>
          <w:szCs w:val="28"/>
          <w:highlight w:val="none"/>
          <w14:textFill>
            <w14:solidFill>
              <w14:schemeClr w14:val="tx1"/>
            </w14:solidFill>
          </w14:textFill>
        </w:rPr>
        <w:t>项目管理机构组成表</w:t>
      </w:r>
    </w:p>
    <w:tbl>
      <w:tblPr>
        <w:tblStyle w:val="2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14:paraId="7FCD80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14:paraId="53F4DD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627" w:type="dxa"/>
            <w:vMerge w:val="restart"/>
            <w:vAlign w:val="center"/>
          </w:tcPr>
          <w:p w14:paraId="73E95BD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851" w:type="dxa"/>
            <w:vMerge w:val="restart"/>
            <w:vAlign w:val="center"/>
          </w:tcPr>
          <w:p w14:paraId="5A74213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职称</w:t>
            </w:r>
          </w:p>
        </w:tc>
        <w:tc>
          <w:tcPr>
            <w:tcW w:w="5887" w:type="dxa"/>
            <w:gridSpan w:val="5"/>
            <w:vAlign w:val="center"/>
          </w:tcPr>
          <w:p w14:paraId="342B0F2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896" w:type="dxa"/>
            <w:vAlign w:val="center"/>
          </w:tcPr>
          <w:p w14:paraId="72F017C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14:paraId="51A457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14:paraId="09B6E45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627" w:type="dxa"/>
            <w:vMerge w:val="continue"/>
          </w:tcPr>
          <w:p w14:paraId="4863BC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vMerge w:val="continue"/>
          </w:tcPr>
          <w:p w14:paraId="3531E04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vAlign w:val="center"/>
          </w:tcPr>
          <w:p w14:paraId="55765F1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992" w:type="dxa"/>
            <w:vAlign w:val="center"/>
          </w:tcPr>
          <w:p w14:paraId="392B820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992" w:type="dxa"/>
            <w:vAlign w:val="center"/>
          </w:tcPr>
          <w:p w14:paraId="5528EE2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992" w:type="dxa"/>
            <w:vAlign w:val="center"/>
          </w:tcPr>
          <w:p w14:paraId="1E447E2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1777" w:type="dxa"/>
            <w:vAlign w:val="center"/>
          </w:tcPr>
          <w:p w14:paraId="44A82B9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896" w:type="dxa"/>
          </w:tcPr>
          <w:p w14:paraId="029CBA5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6EE097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14:paraId="28CF94D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项目负责人</w:t>
            </w:r>
          </w:p>
        </w:tc>
        <w:tc>
          <w:tcPr>
            <w:tcW w:w="627" w:type="dxa"/>
          </w:tcPr>
          <w:p w14:paraId="3E8D10F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44D06A9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0A95BF5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2DD9D44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8B09A2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A17A50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082236D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239D916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E704F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14:paraId="39129DF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土建专业负责人</w:t>
            </w:r>
          </w:p>
        </w:tc>
        <w:tc>
          <w:tcPr>
            <w:tcW w:w="627" w:type="dxa"/>
          </w:tcPr>
          <w:p w14:paraId="1A43B40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25E1E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5FB58FB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5356D87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5BA17A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F2B43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09CE540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B7A508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842D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14:paraId="25B5B98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安装专业负责人</w:t>
            </w:r>
          </w:p>
        </w:tc>
        <w:tc>
          <w:tcPr>
            <w:tcW w:w="627" w:type="dxa"/>
          </w:tcPr>
          <w:p w14:paraId="479BC98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E90586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429C3F0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7F2A16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CAF1AF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4AAABE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1290C66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571769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7F7733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76AF797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14:paraId="44D4D3E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3D22BF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20ECB36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3AAB9F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7AC891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71138A0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15A2E62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2563C48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93ADB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1B009C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14:paraId="0185BD8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02C5CE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798062E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D60459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15AD6E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4F3FB7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6F03EFD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05159D2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FE07B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14:paraId="520A550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627" w:type="dxa"/>
          </w:tcPr>
          <w:p w14:paraId="716C33C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5F0B0B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45B3963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596811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9E22EC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529A50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29AD708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7DC313E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F099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21E85F0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627" w:type="dxa"/>
          </w:tcPr>
          <w:p w14:paraId="6A9309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25EBF16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67983CB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565E9CA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6ABF6B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E250B6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3E33FD8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6B9144C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bl>
    <w:p w14:paraId="6E210F61">
      <w:pPr>
        <w:spacing w:line="20" w:lineRule="exact"/>
        <w:jc w:val="center"/>
        <w:rPr>
          <w:rFonts w:hint="eastAsia" w:ascii="宋体" w:hAnsi="宋体"/>
          <w:color w:val="000000" w:themeColor="text1"/>
          <w:szCs w:val="21"/>
          <w:highlight w:val="none"/>
          <w14:textFill>
            <w14:solidFill>
              <w14:schemeClr w14:val="tx1"/>
            </w14:solidFill>
          </w14:textFill>
        </w:rPr>
      </w:pPr>
    </w:p>
    <w:p w14:paraId="0557EC2F">
      <w:pPr>
        <w:spacing w:line="48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备注：本表按“第二篇 竞选人须知前附表  1.4.1”规定的“拟派项目人员”要求列明人员信息</w:t>
      </w:r>
    </w:p>
    <w:p w14:paraId="190C88F0">
      <w:pPr>
        <w:autoSpaceDE w:val="0"/>
        <w:autoSpaceDN w:val="0"/>
        <w:adjustRightInd w:val="0"/>
        <w:snapToGrid w:val="0"/>
        <w:spacing w:line="360" w:lineRule="auto"/>
        <w:jc w:val="center"/>
        <w:rPr>
          <w:rFonts w:hint="eastAsia" w:ascii="宋体" w:hAnsi="宋体"/>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主要人员简历表</w:t>
      </w:r>
    </w:p>
    <w:tbl>
      <w:tblPr>
        <w:tblStyle w:val="29"/>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69096F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EE2C11">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14:paraId="1C1D499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2A9CEF4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14:paraId="61949D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1D71239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528" w:type="dxa"/>
            <w:vAlign w:val="center"/>
          </w:tcPr>
          <w:p w14:paraId="186EADA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3638D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FC2849">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14:paraId="49A23EC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705026D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175" w:type="dxa"/>
            <w:vAlign w:val="center"/>
          </w:tcPr>
          <w:p w14:paraId="4DEF2D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6BB6F27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528" w:type="dxa"/>
            <w:vAlign w:val="center"/>
          </w:tcPr>
          <w:p w14:paraId="6480FC7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87C87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D41AA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14:paraId="3B3CD9CE">
            <w:pPr>
              <w:tabs>
                <w:tab w:val="left" w:pos="2820"/>
                <w:tab w:val="left" w:pos="408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68772D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C6562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514B1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242726">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14:paraId="68FEC04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14:paraId="102478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14:paraId="6240215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2183A6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F0550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3F9EEB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4646C24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398370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C9AD9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288849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A52AD4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30CF62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EF448D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97928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B9FF0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1DF9A4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3A2E290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7E9A5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1CA6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802DAC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08F228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6E2BD3D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26B51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5F82B4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30A25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CD18E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1E5A270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397541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CF654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64B50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680C25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64ABD79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F7BD71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C8D9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1A94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3C6EDB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019B68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420A348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E412F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D091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F70E87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299328F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D97A92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6A672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5B72FE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FB4DE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28C2CFE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4ADB28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5A87796D">
      <w:pPr>
        <w:spacing w:line="360" w:lineRule="auto"/>
        <w:rPr>
          <w:rFonts w:hint="eastAsia"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highlight w:val="none"/>
          <w14:textFill>
            <w14:solidFill>
              <w14:schemeClr w14:val="tx1"/>
            </w14:solidFill>
          </w14:textFill>
        </w:rPr>
        <w:t>注：本表格式用于填写</w:t>
      </w:r>
      <w:r>
        <w:rPr>
          <w:rFonts w:hint="eastAsia" w:ascii="宋体" w:hAnsi="宋体"/>
          <w:color w:val="000000" w:themeColor="text1"/>
          <w:szCs w:val="21"/>
          <w:highlight w:val="none"/>
          <w14:textFill>
            <w14:solidFill>
              <w14:schemeClr w14:val="tx1"/>
            </w14:solidFill>
          </w14:textFill>
        </w:rPr>
        <w:t>“第二篇 竞选人须知前附表  1.4.1”规定的“拟派项目人员”详细情况</w:t>
      </w:r>
      <w:r>
        <w:rPr>
          <w:rFonts w:hint="eastAsia" w:ascii="宋体" w:hAnsi="宋体" w:cs="仿宋_GB2312"/>
          <w:color w:val="000000" w:themeColor="text1"/>
          <w:kern w:val="0"/>
          <w:szCs w:val="21"/>
          <w:highlight w:val="none"/>
          <w14:textFill>
            <w14:solidFill>
              <w14:schemeClr w14:val="tx1"/>
            </w14:solidFill>
          </w14:textFill>
        </w:rPr>
        <w:t>，每名人员单独填写一张表格，并按竞选人须知前附表1.4.1条规定提供相关证明资料复印件附在表后。</w:t>
      </w:r>
    </w:p>
    <w:p w14:paraId="1A4A31A0">
      <w:pPr>
        <w:spacing w:line="360" w:lineRule="auto"/>
        <w:rPr>
          <w:rFonts w:hint="eastAsia" w:ascii="宋体" w:hAnsi="宋体" w:cs="仿宋_GB2312"/>
          <w:color w:val="000000" w:themeColor="text1"/>
          <w:kern w:val="0"/>
          <w:szCs w:val="21"/>
          <w:highlight w:val="none"/>
          <w14:textFill>
            <w14:solidFill>
              <w14:schemeClr w14:val="tx1"/>
            </w14:solidFill>
          </w14:textFill>
        </w:rPr>
      </w:pPr>
    </w:p>
    <w:p w14:paraId="2B5E9799">
      <w:pPr>
        <w:spacing w:line="360" w:lineRule="exact"/>
        <w:ind w:firstLine="8312" w:firstLineChars="2300"/>
        <w:rPr>
          <w:rFonts w:hint="eastAsia" w:ascii="宋体" w:hAnsi="宋体" w:cs="宋体"/>
          <w:color w:val="000000" w:themeColor="text1"/>
          <w:szCs w:val="21"/>
          <w:highlight w:val="none"/>
          <w:u w:val="single"/>
          <w14:textFill>
            <w14:solidFill>
              <w14:schemeClr w14:val="tx1"/>
            </w14:solidFill>
          </w14:textFill>
        </w:rPr>
      </w:pPr>
      <w:r>
        <w:rPr>
          <w:rFonts w:ascii="宋体" w:hAnsi="宋体"/>
          <w:b/>
          <w:snapToGrid w:val="0"/>
          <w:color w:val="000000" w:themeColor="text1"/>
          <w:kern w:val="0"/>
          <w:sz w:val="36"/>
          <w:szCs w:val="32"/>
          <w:highlight w:val="none"/>
          <w14:textFill>
            <w14:solidFill>
              <w14:schemeClr w14:val="tx1"/>
            </w14:solidFill>
          </w14:textFill>
        </w:rPr>
        <w:br w:type="page"/>
      </w:r>
    </w:p>
    <w:p w14:paraId="66EAA591">
      <w:pPr>
        <w:pStyle w:val="8"/>
        <w:spacing w:after="0" w:line="360" w:lineRule="auto"/>
        <w:jc w:val="center"/>
        <w:rPr>
          <w:rFonts w:hint="eastAsia" w:ascii="宋体" w:hAnsi="宋体" w:cs="宋体"/>
          <w:b/>
          <w:bCs/>
          <w:color w:val="000000" w:themeColor="text1"/>
          <w:sz w:val="32"/>
          <w:szCs w:val="32"/>
          <w:highlight w:val="none"/>
          <w14:textFill>
            <w14:solidFill>
              <w14:schemeClr w14:val="tx1"/>
            </w14:solidFill>
          </w14:textFill>
        </w:rPr>
      </w:pPr>
      <w:bookmarkStart w:id="795" w:name="_Toc277082660"/>
      <w:bookmarkStart w:id="796" w:name="_Toc509218864"/>
      <w:bookmarkStart w:id="797" w:name="_Toc534185841"/>
      <w:bookmarkStart w:id="798" w:name="_Toc287620834"/>
      <w:bookmarkStart w:id="799" w:name="_Toc287607888"/>
      <w:bookmarkStart w:id="800" w:name="_Toc57905933"/>
      <w:bookmarkStart w:id="801" w:name="_Toc430530550"/>
      <w:r>
        <w:rPr>
          <w:rFonts w:hint="eastAsia" w:ascii="宋体" w:hAnsi="宋体"/>
          <w:b/>
          <w:bCs/>
          <w:color w:val="000000" w:themeColor="text1"/>
          <w:sz w:val="32"/>
          <w:szCs w:val="32"/>
          <w:highlight w:val="none"/>
          <w14:textFill>
            <w14:solidFill>
              <w14:schemeClr w14:val="tx1"/>
            </w14:solidFill>
          </w14:textFill>
        </w:rPr>
        <w:t>（四）近年财务状况表</w:t>
      </w:r>
      <w:bookmarkEnd w:id="795"/>
      <w:bookmarkEnd w:id="796"/>
      <w:bookmarkEnd w:id="797"/>
      <w:bookmarkEnd w:id="798"/>
      <w:bookmarkEnd w:id="799"/>
      <w:bookmarkEnd w:id="800"/>
      <w:bookmarkEnd w:id="801"/>
    </w:p>
    <w:p w14:paraId="52DE9579">
      <w:pPr>
        <w:pStyle w:val="8"/>
        <w:spacing w:after="0" w:line="360" w:lineRule="auto"/>
        <w:ind w:firstLine="5783" w:firstLineChars="1600"/>
        <w:jc w:val="center"/>
        <w:outlineLvl w:val="2"/>
        <w:rPr>
          <w:rFonts w:hint="eastAsia" w:ascii="宋体" w:hAnsi="宋体" w:cs="宋体"/>
          <w:b/>
          <w:bCs/>
          <w:color w:val="000000" w:themeColor="text1"/>
          <w:sz w:val="36"/>
          <w:szCs w:val="36"/>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14:paraId="00382B49">
      <w:pPr>
        <w:pStyle w:val="8"/>
        <w:spacing w:after="0"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val="en-US" w:eastAsia="zh-CN"/>
          <w14:textFill>
            <w14:solidFill>
              <w14:schemeClr w14:val="tx1"/>
            </w14:solidFill>
          </w14:textFill>
        </w:rPr>
        <w:t>五</w:t>
      </w:r>
      <w:r>
        <w:rPr>
          <w:rFonts w:hint="eastAsia" w:ascii="宋体" w:hAnsi="宋体" w:cs="宋体"/>
          <w:b/>
          <w:bCs/>
          <w:color w:val="000000" w:themeColor="text1"/>
          <w:sz w:val="36"/>
          <w:szCs w:val="36"/>
          <w:highlight w:val="none"/>
          <w14:textFill>
            <w14:solidFill>
              <w14:schemeClr w14:val="tx1"/>
            </w14:solidFill>
          </w14:textFill>
        </w:rPr>
        <w:t>）承诺</w:t>
      </w:r>
    </w:p>
    <w:p w14:paraId="05E1330A">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（比选人名称）</w:t>
      </w:r>
      <w:r>
        <w:rPr>
          <w:rFonts w:hint="eastAsia" w:ascii="宋体" w:hAnsi="宋体"/>
          <w:color w:val="000000" w:themeColor="text1"/>
          <w:szCs w:val="21"/>
          <w:highlight w:val="none"/>
          <w14:textFill>
            <w14:solidFill>
              <w14:schemeClr w14:val="tx1"/>
            </w14:solidFill>
          </w14:textFill>
        </w:rPr>
        <w:t>：</w:t>
      </w:r>
    </w:p>
    <w:p w14:paraId="2B6FBDDC">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（竞选人名称）  </w:t>
      </w:r>
      <w:r>
        <w:rPr>
          <w:rFonts w:hint="eastAsia" w:ascii="宋体" w:hAnsi="宋体"/>
          <w:color w:val="000000" w:themeColor="text1"/>
          <w:szCs w:val="21"/>
          <w:highlight w:val="none"/>
          <w14:textFill>
            <w14:solidFill>
              <w14:schemeClr w14:val="tx1"/>
            </w14:solidFill>
          </w14:textFill>
        </w:rPr>
        <w:t>申请了贵单位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的比选，自愿作出以下承诺：</w:t>
      </w:r>
    </w:p>
    <w:p w14:paraId="78D35DBF">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1、我公司比选截止日比选资格情况不存在下列情形之一：</w:t>
      </w:r>
    </w:p>
    <w:p w14:paraId="5FC06494">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72DF717B">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1117539">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15CAB0C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BED5895">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7B6BFC44">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2、我公司不存在第二章 竞选人须知第 1.4.3 项规定的任何一种情形。</w:t>
      </w:r>
    </w:p>
    <w:p w14:paraId="78B9C4B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3、我公司的竞选文件符合第四章 合同条款及格式规定，竞选文件中没有贵单位不能接受的条件。</w:t>
      </w:r>
    </w:p>
    <w:p w14:paraId="09BD447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4、我公司的竞选文件符合第二章 竞选人须知第 1.3.1 项的规定。</w:t>
      </w:r>
    </w:p>
    <w:p w14:paraId="3CF8D09D">
      <w:pPr>
        <w:pStyle w:val="8"/>
        <w:rPr>
          <w:rFonts w:hint="eastAsia" w:ascii="宋体" w:hAnsi="宋体"/>
          <w:color w:val="000000" w:themeColor="text1"/>
          <w:highlight w:val="none"/>
          <w14:textFill>
            <w14:solidFill>
              <w14:schemeClr w14:val="tx1"/>
            </w14:solidFill>
          </w14:textFill>
        </w:rPr>
      </w:pPr>
    </w:p>
    <w:p w14:paraId="3067FE23">
      <w:pPr>
        <w:tabs>
          <w:tab w:val="left" w:pos="4200"/>
          <w:tab w:val="left" w:pos="462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14:paraId="208D5C29">
      <w:pPr>
        <w:tabs>
          <w:tab w:val="left" w:pos="630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6A154365">
      <w:pPr>
        <w:tabs>
          <w:tab w:val="left" w:pos="630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或委托代理人</w:t>
      </w:r>
      <w:r>
        <w:rPr>
          <w:rFonts w:ascii="宋体" w:hAnsi="宋体"/>
          <w:color w:val="000000" w:themeColor="text1"/>
          <w:kern w:val="0"/>
          <w:szCs w:val="21"/>
          <w:highlight w:val="none"/>
          <w14:textFill>
            <w14:solidFill>
              <w14:schemeClr w14:val="tx1"/>
            </w14:solidFill>
          </w14:textFill>
        </w:rPr>
        <w:t>：（签字或盖章）</w:t>
      </w:r>
    </w:p>
    <w:p w14:paraId="4CC763DD">
      <w:pPr>
        <w:pStyle w:val="8"/>
        <w:spacing w:after="0" w:line="360" w:lineRule="exact"/>
        <w:jc w:val="right"/>
        <w:rPr>
          <w:rFonts w:hint="eastAsia" w:ascii="宋体" w:hAnsi="宋体"/>
          <w:color w:val="000000" w:themeColor="text1"/>
          <w:kern w:val="0"/>
          <w:szCs w:val="21"/>
          <w:highlight w:val="none"/>
          <w:u w:val="single"/>
          <w14:textFill>
            <w14:solidFill>
              <w14:schemeClr w14:val="tx1"/>
            </w14:solidFill>
          </w14:textFill>
        </w:rPr>
      </w:pPr>
    </w:p>
    <w:p w14:paraId="184EFDE3">
      <w:pPr>
        <w:pStyle w:val="8"/>
        <w:spacing w:after="0" w:line="360" w:lineRule="exact"/>
        <w:jc w:val="right"/>
        <w:rPr>
          <w:rFonts w:hint="eastAsia" w:ascii="宋体" w:hAnsi="宋体" w:cs="宋体"/>
          <w:b/>
          <w:bCs/>
          <w:color w:val="000000" w:themeColor="text1"/>
          <w:sz w:val="36"/>
          <w:szCs w:val="36"/>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w:t>
      </w:r>
      <w:r>
        <w:rPr>
          <w:rFonts w:hint="eastAsia" w:ascii="宋体" w:hAnsi="宋体"/>
          <w:color w:val="000000" w:themeColor="text1"/>
          <w:kern w:val="0"/>
          <w:szCs w:val="21"/>
          <w:highlight w:val="none"/>
          <w:u w:val="single"/>
          <w14:textFill>
            <w14:solidFill>
              <w14:schemeClr w14:val="tx1"/>
            </w14:solidFill>
          </w14:textFill>
        </w:rPr>
        <w:t xml:space="preserve">    日</w:t>
      </w:r>
    </w:p>
    <w:p w14:paraId="296EB6D2">
      <w:pP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17686976">
      <w:pPr>
        <w:pStyle w:val="8"/>
        <w:rPr>
          <w:rFonts w:hint="eastAsia" w:ascii="宋体" w:hAnsi="宋体"/>
          <w:color w:val="000000" w:themeColor="text1"/>
          <w:highlight w:val="none"/>
          <w14:textFill>
            <w14:solidFill>
              <w14:schemeClr w14:val="tx1"/>
            </w14:solidFill>
          </w14:textFill>
        </w:rPr>
      </w:pPr>
    </w:p>
    <w:p w14:paraId="1BA29F2C">
      <w:pPr>
        <w:pStyle w:val="8"/>
        <w:numPr>
          <w:ilvl w:val="0"/>
          <w:numId w:val="2"/>
        </w:numPr>
        <w:spacing w:after="0" w:line="360" w:lineRule="auto"/>
        <w:jc w:val="center"/>
        <w:rPr>
          <w:rFonts w:hint="eastAsia" w:ascii="宋体" w:hAnsi="宋体"/>
          <w:b/>
          <w:bCs/>
          <w:color w:val="000000" w:themeColor="text1"/>
          <w:sz w:val="32"/>
          <w:szCs w:val="32"/>
          <w:highlight w:val="none"/>
          <w14:textFill>
            <w14:solidFill>
              <w14:schemeClr w14:val="tx1"/>
            </w14:solidFill>
          </w14:textFill>
        </w:rPr>
      </w:pPr>
      <w:bookmarkStart w:id="802" w:name="_Toc57905936"/>
      <w:r>
        <w:rPr>
          <w:rFonts w:hint="eastAsia" w:ascii="宋体" w:hAnsi="宋体"/>
          <w:b/>
          <w:bCs/>
          <w:color w:val="000000" w:themeColor="text1"/>
          <w:sz w:val="32"/>
          <w:szCs w:val="32"/>
          <w:highlight w:val="none"/>
          <w14:textFill>
            <w14:solidFill>
              <w14:schemeClr w14:val="tx1"/>
            </w14:solidFill>
          </w14:textFill>
        </w:rPr>
        <w:t>其他资料</w:t>
      </w:r>
      <w:bookmarkEnd w:id="802"/>
    </w:p>
    <w:p w14:paraId="48C12384">
      <w:pPr>
        <w:rPr>
          <w:rFonts w:hint="eastAsia" w:ascii="宋体" w:hAnsi="宋体"/>
          <w:color w:val="000000" w:themeColor="text1"/>
          <w:highlight w:val="none"/>
          <w14:textFill>
            <w14:solidFill>
              <w14:schemeClr w14:val="tx1"/>
            </w14:solidFill>
          </w14:textFill>
        </w:rPr>
      </w:pPr>
    </w:p>
    <w:p w14:paraId="347C5233">
      <w:pPr>
        <w:pStyle w:val="8"/>
        <w:rPr>
          <w:rFonts w:hint="eastAsia" w:ascii="宋体" w:hAnsi="宋体"/>
          <w:color w:val="000000" w:themeColor="text1"/>
          <w:highlight w:val="none"/>
          <w14:textFill>
            <w14:solidFill>
              <w14:schemeClr w14:val="tx1"/>
            </w14:solidFill>
          </w14:textFill>
        </w:rPr>
      </w:pPr>
    </w:p>
    <w:p w14:paraId="206A40CD">
      <w:pPr>
        <w:rPr>
          <w:rFonts w:hint="eastAsia" w:ascii="宋体" w:hAnsi="宋体"/>
          <w:color w:val="000000" w:themeColor="text1"/>
          <w:highlight w:val="none"/>
          <w14:textFill>
            <w14:solidFill>
              <w14:schemeClr w14:val="tx1"/>
            </w14:solidFill>
          </w14:textFill>
        </w:rPr>
      </w:pPr>
    </w:p>
    <w:p w14:paraId="2744BCE2">
      <w:pPr>
        <w:pStyle w:val="8"/>
        <w:rPr>
          <w:rFonts w:hint="eastAsia" w:ascii="宋体" w:hAnsi="宋体"/>
          <w:color w:val="000000" w:themeColor="text1"/>
          <w:highlight w:val="none"/>
          <w14:textFill>
            <w14:solidFill>
              <w14:schemeClr w14:val="tx1"/>
            </w14:solidFill>
          </w14:textFill>
        </w:rPr>
      </w:pPr>
    </w:p>
    <w:p w14:paraId="130EFDB9">
      <w:pPr>
        <w:rPr>
          <w:rFonts w:hint="eastAsia" w:ascii="宋体" w:hAnsi="宋体"/>
          <w:color w:val="000000" w:themeColor="text1"/>
          <w:highlight w:val="none"/>
          <w14:textFill>
            <w14:solidFill>
              <w14:schemeClr w14:val="tx1"/>
            </w14:solidFill>
          </w14:textFill>
        </w:rPr>
      </w:pPr>
    </w:p>
    <w:p w14:paraId="412870F5">
      <w:pPr>
        <w:pStyle w:val="8"/>
        <w:rPr>
          <w:rFonts w:hint="eastAsia" w:ascii="宋体" w:hAnsi="宋体"/>
          <w:color w:val="000000" w:themeColor="text1"/>
          <w:highlight w:val="none"/>
          <w14:textFill>
            <w14:solidFill>
              <w14:schemeClr w14:val="tx1"/>
            </w14:solidFill>
          </w14:textFill>
        </w:rPr>
      </w:pPr>
    </w:p>
    <w:p w14:paraId="47823D2C">
      <w:pPr>
        <w:rPr>
          <w:rFonts w:hint="eastAsia" w:ascii="宋体" w:hAnsi="宋体"/>
          <w:color w:val="000000" w:themeColor="text1"/>
          <w:highlight w:val="none"/>
          <w14:textFill>
            <w14:solidFill>
              <w14:schemeClr w14:val="tx1"/>
            </w14:solidFill>
          </w14:textFill>
        </w:rPr>
      </w:pPr>
    </w:p>
    <w:p w14:paraId="6A71967A">
      <w:pPr>
        <w:pStyle w:val="8"/>
        <w:rPr>
          <w:rFonts w:hint="eastAsia" w:ascii="宋体" w:hAnsi="宋体"/>
          <w:color w:val="000000" w:themeColor="text1"/>
          <w:highlight w:val="none"/>
          <w14:textFill>
            <w14:solidFill>
              <w14:schemeClr w14:val="tx1"/>
            </w14:solidFill>
          </w14:textFill>
        </w:rPr>
      </w:pPr>
    </w:p>
    <w:p w14:paraId="22A6A9D4">
      <w:pPr>
        <w:rPr>
          <w:rFonts w:hint="eastAsia" w:ascii="宋体" w:hAnsi="宋体"/>
          <w:color w:val="000000" w:themeColor="text1"/>
          <w:highlight w:val="none"/>
          <w14:textFill>
            <w14:solidFill>
              <w14:schemeClr w14:val="tx1"/>
            </w14:solidFill>
          </w14:textFill>
        </w:rPr>
      </w:pPr>
    </w:p>
    <w:p w14:paraId="6ECDE5E1">
      <w:pPr>
        <w:pStyle w:val="8"/>
        <w:rPr>
          <w:rFonts w:hint="eastAsia" w:ascii="宋体" w:hAnsi="宋体"/>
          <w:color w:val="000000" w:themeColor="text1"/>
          <w:highlight w:val="none"/>
          <w14:textFill>
            <w14:solidFill>
              <w14:schemeClr w14:val="tx1"/>
            </w14:solidFill>
          </w14:textFill>
        </w:rPr>
      </w:pPr>
    </w:p>
    <w:p w14:paraId="6BF8EDF5">
      <w:pPr>
        <w:rPr>
          <w:rFonts w:hint="eastAsia" w:ascii="宋体" w:hAnsi="宋体"/>
          <w:color w:val="000000" w:themeColor="text1"/>
          <w:highlight w:val="none"/>
          <w14:textFill>
            <w14:solidFill>
              <w14:schemeClr w14:val="tx1"/>
            </w14:solidFill>
          </w14:textFill>
        </w:rPr>
      </w:pPr>
    </w:p>
    <w:p w14:paraId="47CDCEB5">
      <w:pPr>
        <w:pStyle w:val="8"/>
        <w:rPr>
          <w:rFonts w:hint="eastAsia" w:ascii="宋体" w:hAnsi="宋体"/>
          <w:color w:val="000000" w:themeColor="text1"/>
          <w:highlight w:val="none"/>
          <w14:textFill>
            <w14:solidFill>
              <w14:schemeClr w14:val="tx1"/>
            </w14:solidFill>
          </w14:textFill>
        </w:rPr>
      </w:pPr>
    </w:p>
    <w:p w14:paraId="3D7FD596">
      <w:pPr>
        <w:rPr>
          <w:rFonts w:hint="eastAsia" w:ascii="宋体" w:hAnsi="宋体"/>
          <w:color w:val="000000" w:themeColor="text1"/>
          <w:highlight w:val="none"/>
          <w14:textFill>
            <w14:solidFill>
              <w14:schemeClr w14:val="tx1"/>
            </w14:solidFill>
          </w14:textFill>
        </w:rPr>
      </w:pPr>
    </w:p>
    <w:p w14:paraId="6C31C18B">
      <w:pPr>
        <w:pStyle w:val="8"/>
        <w:rPr>
          <w:rFonts w:hint="eastAsia" w:ascii="宋体" w:hAnsi="宋体"/>
          <w:color w:val="000000" w:themeColor="text1"/>
          <w:highlight w:val="none"/>
          <w14:textFill>
            <w14:solidFill>
              <w14:schemeClr w14:val="tx1"/>
            </w14:solidFill>
          </w14:textFill>
        </w:rPr>
      </w:pPr>
    </w:p>
    <w:p w14:paraId="4BDADA78">
      <w:pPr>
        <w:rPr>
          <w:rFonts w:hint="eastAsia" w:ascii="宋体" w:hAnsi="宋体"/>
          <w:color w:val="000000" w:themeColor="text1"/>
          <w:highlight w:val="none"/>
          <w14:textFill>
            <w14:solidFill>
              <w14:schemeClr w14:val="tx1"/>
            </w14:solidFill>
          </w14:textFill>
        </w:rPr>
      </w:pPr>
    </w:p>
    <w:p w14:paraId="25FC19DE">
      <w:pPr>
        <w:pStyle w:val="8"/>
        <w:rPr>
          <w:rFonts w:hint="eastAsia" w:ascii="宋体" w:hAnsi="宋体"/>
          <w:color w:val="000000" w:themeColor="text1"/>
          <w:highlight w:val="none"/>
          <w14:textFill>
            <w14:solidFill>
              <w14:schemeClr w14:val="tx1"/>
            </w14:solidFill>
          </w14:textFill>
        </w:rPr>
      </w:pPr>
    </w:p>
    <w:p w14:paraId="53791F2E">
      <w:pPr>
        <w:rPr>
          <w:rFonts w:hint="eastAsia" w:ascii="宋体" w:hAnsi="宋体"/>
          <w:color w:val="000000" w:themeColor="text1"/>
          <w:highlight w:val="none"/>
          <w14:textFill>
            <w14:solidFill>
              <w14:schemeClr w14:val="tx1"/>
            </w14:solidFill>
          </w14:textFill>
        </w:rPr>
      </w:pPr>
    </w:p>
    <w:p w14:paraId="68AE1721">
      <w:pPr>
        <w:pStyle w:val="8"/>
        <w:rPr>
          <w:rFonts w:hint="eastAsia" w:ascii="宋体" w:hAnsi="宋体"/>
          <w:color w:val="000000" w:themeColor="text1"/>
          <w:highlight w:val="none"/>
          <w14:textFill>
            <w14:solidFill>
              <w14:schemeClr w14:val="tx1"/>
            </w14:solidFill>
          </w14:textFill>
        </w:rPr>
      </w:pPr>
    </w:p>
    <w:p w14:paraId="79BA2AA5">
      <w:pPr>
        <w:rPr>
          <w:rFonts w:hint="eastAsia" w:ascii="宋体" w:hAnsi="宋体"/>
          <w:color w:val="000000" w:themeColor="text1"/>
          <w:highlight w:val="none"/>
          <w14:textFill>
            <w14:solidFill>
              <w14:schemeClr w14:val="tx1"/>
            </w14:solidFill>
          </w14:textFill>
        </w:rPr>
      </w:pPr>
    </w:p>
    <w:p w14:paraId="7602FE17">
      <w:pPr>
        <w:pStyle w:val="8"/>
        <w:rPr>
          <w:rFonts w:hint="eastAsia" w:ascii="宋体" w:hAnsi="宋体"/>
          <w:color w:val="000000" w:themeColor="text1"/>
          <w:highlight w:val="none"/>
          <w14:textFill>
            <w14:solidFill>
              <w14:schemeClr w14:val="tx1"/>
            </w14:solidFill>
          </w14:textFill>
        </w:rPr>
      </w:pPr>
    </w:p>
    <w:p w14:paraId="6BDAA5D3">
      <w:pPr>
        <w:rPr>
          <w:rFonts w:hint="eastAsia" w:ascii="宋体" w:hAnsi="宋体"/>
          <w:color w:val="000000" w:themeColor="text1"/>
          <w:highlight w:val="none"/>
          <w14:textFill>
            <w14:solidFill>
              <w14:schemeClr w14:val="tx1"/>
            </w14:solidFill>
          </w14:textFill>
        </w:rPr>
      </w:pPr>
    </w:p>
    <w:p w14:paraId="3E187807">
      <w:pPr>
        <w:pStyle w:val="8"/>
        <w:rPr>
          <w:rFonts w:hint="eastAsia" w:ascii="宋体" w:hAnsi="宋体"/>
          <w:color w:val="000000" w:themeColor="text1"/>
          <w:highlight w:val="none"/>
          <w14:textFill>
            <w14:solidFill>
              <w14:schemeClr w14:val="tx1"/>
            </w14:solidFill>
          </w14:textFill>
        </w:rPr>
      </w:pPr>
    </w:p>
    <w:p w14:paraId="4BC17F6E">
      <w:pPr>
        <w:rPr>
          <w:rFonts w:hint="eastAsia" w:ascii="宋体" w:hAnsi="宋体"/>
          <w:color w:val="000000" w:themeColor="text1"/>
          <w:highlight w:val="none"/>
          <w14:textFill>
            <w14:solidFill>
              <w14:schemeClr w14:val="tx1"/>
            </w14:solidFill>
          </w14:textFill>
        </w:rPr>
      </w:pPr>
    </w:p>
    <w:p w14:paraId="59428576">
      <w:pPr>
        <w:pStyle w:val="8"/>
        <w:rPr>
          <w:rFonts w:hint="eastAsia" w:ascii="宋体" w:hAnsi="宋体"/>
          <w:color w:val="000000" w:themeColor="text1"/>
          <w:highlight w:val="none"/>
          <w14:textFill>
            <w14:solidFill>
              <w14:schemeClr w14:val="tx1"/>
            </w14:solidFill>
          </w14:textFill>
        </w:rPr>
      </w:pPr>
    </w:p>
    <w:p w14:paraId="6806EC49">
      <w:pPr>
        <w:rPr>
          <w:rFonts w:hint="eastAsia" w:ascii="宋体" w:hAnsi="宋体"/>
          <w:color w:val="000000" w:themeColor="text1"/>
          <w:highlight w:val="none"/>
          <w14:textFill>
            <w14:solidFill>
              <w14:schemeClr w14:val="tx1"/>
            </w14:solidFill>
          </w14:textFill>
        </w:rPr>
      </w:pPr>
    </w:p>
    <w:p w14:paraId="6CA3A65A">
      <w:pPr>
        <w:pStyle w:val="8"/>
        <w:rPr>
          <w:rFonts w:hint="eastAsia" w:ascii="宋体" w:hAnsi="宋体"/>
          <w:color w:val="000000" w:themeColor="text1"/>
          <w:highlight w:val="none"/>
          <w14:textFill>
            <w14:solidFill>
              <w14:schemeClr w14:val="tx1"/>
            </w14:solidFill>
          </w14:textFill>
        </w:rPr>
      </w:pPr>
    </w:p>
    <w:p w14:paraId="5D31B1DF">
      <w:pPr>
        <w:rPr>
          <w:rFonts w:hint="eastAsia" w:ascii="宋体" w:hAnsi="宋体"/>
          <w:color w:val="000000" w:themeColor="text1"/>
          <w:highlight w:val="none"/>
          <w14:textFill>
            <w14:solidFill>
              <w14:schemeClr w14:val="tx1"/>
            </w14:solidFill>
          </w14:textFill>
        </w:rPr>
      </w:pPr>
    </w:p>
    <w:p w14:paraId="5681967F">
      <w:pPr>
        <w:pStyle w:val="8"/>
        <w:rPr>
          <w:rFonts w:hint="eastAsia" w:ascii="宋体" w:hAnsi="宋体"/>
          <w:color w:val="000000" w:themeColor="text1"/>
          <w:highlight w:val="none"/>
          <w14:textFill>
            <w14:solidFill>
              <w14:schemeClr w14:val="tx1"/>
            </w14:solidFill>
          </w14:textFill>
        </w:rPr>
      </w:pPr>
    </w:p>
    <w:p w14:paraId="447761D9">
      <w:pPr>
        <w:rPr>
          <w:rFonts w:hint="eastAsia" w:ascii="宋体" w:hAnsi="宋体"/>
          <w:color w:val="000000" w:themeColor="text1"/>
          <w:highlight w:val="none"/>
          <w14:textFill>
            <w14:solidFill>
              <w14:schemeClr w14:val="tx1"/>
            </w14:solidFill>
          </w14:textFill>
        </w:rPr>
      </w:pPr>
    </w:p>
    <w:p w14:paraId="32F1A843">
      <w:pPr>
        <w:pStyle w:val="8"/>
        <w:rPr>
          <w:rFonts w:hint="eastAsia" w:ascii="宋体" w:hAnsi="宋体"/>
          <w:color w:val="000000" w:themeColor="text1"/>
          <w:highlight w:val="none"/>
          <w14:textFill>
            <w14:solidFill>
              <w14:schemeClr w14:val="tx1"/>
            </w14:solidFill>
          </w14:textFill>
        </w:rPr>
      </w:pPr>
    </w:p>
    <w:p w14:paraId="7BD0D16D">
      <w:pPr>
        <w:rPr>
          <w:rFonts w:hint="eastAsia" w:ascii="宋体" w:hAnsi="宋体"/>
          <w:color w:val="000000" w:themeColor="text1"/>
          <w:highlight w:val="none"/>
          <w14:textFill>
            <w14:solidFill>
              <w14:schemeClr w14:val="tx1"/>
            </w14:solidFill>
          </w14:textFill>
        </w:rPr>
      </w:pPr>
    </w:p>
    <w:p w14:paraId="14FF408E">
      <w:pPr>
        <w:pStyle w:val="8"/>
        <w:rPr>
          <w:rFonts w:hint="eastAsia" w:ascii="宋体" w:hAnsi="宋体"/>
          <w:color w:val="000000" w:themeColor="text1"/>
          <w:highlight w:val="none"/>
          <w14:textFill>
            <w14:solidFill>
              <w14:schemeClr w14:val="tx1"/>
            </w14:solidFill>
          </w14:textFill>
        </w:rPr>
      </w:pPr>
    </w:p>
    <w:p w14:paraId="1F5C481A">
      <w:pPr>
        <w:rPr>
          <w:rFonts w:hint="eastAsia" w:ascii="宋体" w:hAnsi="宋体"/>
          <w:color w:val="000000" w:themeColor="text1"/>
          <w:highlight w:val="none"/>
          <w14:textFill>
            <w14:solidFill>
              <w14:schemeClr w14:val="tx1"/>
            </w14:solidFill>
          </w14:textFill>
        </w:rPr>
      </w:pPr>
    </w:p>
    <w:p w14:paraId="3246CFFC">
      <w:pPr>
        <w:pStyle w:val="8"/>
        <w:rPr>
          <w:rFonts w:hint="eastAsia" w:ascii="宋体" w:hAnsi="宋体"/>
          <w:color w:val="000000" w:themeColor="text1"/>
          <w:highlight w:val="none"/>
          <w14:textFill>
            <w14:solidFill>
              <w14:schemeClr w14:val="tx1"/>
            </w14:solidFill>
          </w14:textFill>
        </w:rPr>
      </w:pPr>
    </w:p>
    <w:p w14:paraId="61A5B569">
      <w:pPr>
        <w:rPr>
          <w:rFonts w:hint="eastAsia" w:ascii="宋体" w:hAnsi="宋体"/>
          <w:color w:val="000000" w:themeColor="text1"/>
          <w:highlight w:val="none"/>
          <w14:textFill>
            <w14:solidFill>
              <w14:schemeClr w14:val="tx1"/>
            </w14:solidFill>
          </w14:textFill>
        </w:rPr>
      </w:pPr>
    </w:p>
    <w:p w14:paraId="2D2D6632">
      <w:pPr>
        <w:pStyle w:val="8"/>
        <w:rPr>
          <w:rFonts w:hint="eastAsia" w:ascii="宋体" w:hAnsi="宋体"/>
          <w:color w:val="000000" w:themeColor="text1"/>
          <w:highlight w:val="none"/>
          <w14:textFill>
            <w14:solidFill>
              <w14:schemeClr w14:val="tx1"/>
            </w14:solidFill>
          </w14:textFill>
        </w:rPr>
      </w:pPr>
    </w:p>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848"/>
    </w:sdtPr>
    <w:sdtContent>
      <w:sdt>
        <w:sdtPr>
          <w:id w:val="147477533"/>
        </w:sdtPr>
        <w:sdtContent>
          <w:p w14:paraId="1C567FA9">
            <w:pPr>
              <w:pStyle w:val="17"/>
              <w:jc w:val="center"/>
            </w:pPr>
          </w:p>
        </w:sdtContent>
      </w:sdt>
    </w:sdtContent>
  </w:sdt>
  <w:p w14:paraId="6D212BB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770350"/>
      <w:docPartObj>
        <w:docPartGallery w:val="autotext"/>
      </w:docPartObj>
    </w:sdtPr>
    <w:sdtContent>
      <w:p w14:paraId="6258B71E">
        <w:pPr>
          <w:pStyle w:val="17"/>
          <w:jc w:val="center"/>
        </w:pPr>
        <w:r>
          <w:fldChar w:fldCharType="begin"/>
        </w:r>
        <w:r>
          <w:instrText xml:space="preserve">PAGE   \* MERGEFORMAT</w:instrText>
        </w:r>
        <w:r>
          <w:fldChar w:fldCharType="separate"/>
        </w:r>
        <w:r>
          <w:rPr>
            <w:lang w:val="zh-CN"/>
          </w:rPr>
          <w:t>2</w:t>
        </w:r>
        <w:r>
          <w:fldChar w:fldCharType="end"/>
        </w:r>
      </w:p>
    </w:sdtContent>
  </w:sdt>
  <w:p w14:paraId="2852BE23">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906C">
    <w:pPr>
      <w:pStyle w:val="18"/>
      <w:pBdr>
        <w:bottom w:val="none" w:color="auto" w:sz="0" w:space="1"/>
      </w:pBdr>
      <w:ind w:firstLine="540" w:firstLineChars="300"/>
      <w:jc w:val="both"/>
    </w:pPr>
  </w:p>
  <w:p w14:paraId="710F522D">
    <w:pPr>
      <w:pStyle w:val="18"/>
      <w:pBdr>
        <w:bottom w:val="none" w:color="auto" w:sz="0" w:space="1"/>
      </w:pBdr>
      <w:ind w:firstLine="540" w:firstLineChars="300"/>
      <w:jc w:val="both"/>
    </w:pPr>
  </w:p>
  <w:p w14:paraId="73D08B78">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HorizontalSpacing w:val="21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YTgyNTUwMDQyOGMxMTc1ZjVlNDhjMDBhZjU5NWYifQ=="/>
    <w:docVar w:name="KSO_WPS_MARK_KEY" w:val="09899503-0025-4136-af5e-479c82b28b39"/>
  </w:docVars>
  <w:rsids>
    <w:rsidRoot w:val="2FFE23A7"/>
    <w:rsid w:val="0001767F"/>
    <w:rsid w:val="000224CD"/>
    <w:rsid w:val="0003799F"/>
    <w:rsid w:val="000421DD"/>
    <w:rsid w:val="0004282F"/>
    <w:rsid w:val="00044E68"/>
    <w:rsid w:val="000515B5"/>
    <w:rsid w:val="00056E14"/>
    <w:rsid w:val="00062AC5"/>
    <w:rsid w:val="00080CD0"/>
    <w:rsid w:val="00091411"/>
    <w:rsid w:val="00091CB6"/>
    <w:rsid w:val="00094DA2"/>
    <w:rsid w:val="000A5C0C"/>
    <w:rsid w:val="000B6D5C"/>
    <w:rsid w:val="000E44F5"/>
    <w:rsid w:val="00107DE6"/>
    <w:rsid w:val="00113131"/>
    <w:rsid w:val="00116630"/>
    <w:rsid w:val="00154A7F"/>
    <w:rsid w:val="001562F1"/>
    <w:rsid w:val="00186E45"/>
    <w:rsid w:val="001902BC"/>
    <w:rsid w:val="001A1BD6"/>
    <w:rsid w:val="001A2968"/>
    <w:rsid w:val="001B39C5"/>
    <w:rsid w:val="001F2DA7"/>
    <w:rsid w:val="00225681"/>
    <w:rsid w:val="00226DC7"/>
    <w:rsid w:val="0023478A"/>
    <w:rsid w:val="002459F3"/>
    <w:rsid w:val="00254177"/>
    <w:rsid w:val="002618E7"/>
    <w:rsid w:val="002633B0"/>
    <w:rsid w:val="00276E0E"/>
    <w:rsid w:val="002A3A7D"/>
    <w:rsid w:val="002B22D5"/>
    <w:rsid w:val="002B7C23"/>
    <w:rsid w:val="00301316"/>
    <w:rsid w:val="0032001C"/>
    <w:rsid w:val="00332741"/>
    <w:rsid w:val="00354E7C"/>
    <w:rsid w:val="003641D9"/>
    <w:rsid w:val="00365053"/>
    <w:rsid w:val="0037633D"/>
    <w:rsid w:val="003801B1"/>
    <w:rsid w:val="00391004"/>
    <w:rsid w:val="00392B56"/>
    <w:rsid w:val="003A23F6"/>
    <w:rsid w:val="003A34F3"/>
    <w:rsid w:val="003A62AA"/>
    <w:rsid w:val="003B122F"/>
    <w:rsid w:val="003B3F98"/>
    <w:rsid w:val="003C10B7"/>
    <w:rsid w:val="003C4D49"/>
    <w:rsid w:val="003D422B"/>
    <w:rsid w:val="003E41B6"/>
    <w:rsid w:val="003F3A4C"/>
    <w:rsid w:val="00406CBA"/>
    <w:rsid w:val="0041262C"/>
    <w:rsid w:val="00450422"/>
    <w:rsid w:val="00454216"/>
    <w:rsid w:val="004543A3"/>
    <w:rsid w:val="00454E2A"/>
    <w:rsid w:val="00455D59"/>
    <w:rsid w:val="004A135E"/>
    <w:rsid w:val="004A59DB"/>
    <w:rsid w:val="004A6BFB"/>
    <w:rsid w:val="004B24CA"/>
    <w:rsid w:val="004B5BB2"/>
    <w:rsid w:val="004C1AFA"/>
    <w:rsid w:val="004C4B4A"/>
    <w:rsid w:val="004C60C1"/>
    <w:rsid w:val="004D1994"/>
    <w:rsid w:val="004E58BD"/>
    <w:rsid w:val="004E7CD8"/>
    <w:rsid w:val="004F3C69"/>
    <w:rsid w:val="005136E6"/>
    <w:rsid w:val="005341EF"/>
    <w:rsid w:val="005370DE"/>
    <w:rsid w:val="00546F21"/>
    <w:rsid w:val="00555E15"/>
    <w:rsid w:val="005604C1"/>
    <w:rsid w:val="005604FD"/>
    <w:rsid w:val="00561144"/>
    <w:rsid w:val="00565F90"/>
    <w:rsid w:val="00582C8E"/>
    <w:rsid w:val="005E50E8"/>
    <w:rsid w:val="005E6CE6"/>
    <w:rsid w:val="006153FB"/>
    <w:rsid w:val="00637EEC"/>
    <w:rsid w:val="006735BE"/>
    <w:rsid w:val="0068429D"/>
    <w:rsid w:val="0069078B"/>
    <w:rsid w:val="006D6CFC"/>
    <w:rsid w:val="006E69D2"/>
    <w:rsid w:val="006F5DF0"/>
    <w:rsid w:val="007105B3"/>
    <w:rsid w:val="007153F7"/>
    <w:rsid w:val="00721D8D"/>
    <w:rsid w:val="007271B2"/>
    <w:rsid w:val="00734A25"/>
    <w:rsid w:val="007358D2"/>
    <w:rsid w:val="00742C6F"/>
    <w:rsid w:val="0075411B"/>
    <w:rsid w:val="007557EE"/>
    <w:rsid w:val="00791957"/>
    <w:rsid w:val="007959FF"/>
    <w:rsid w:val="007C259C"/>
    <w:rsid w:val="007D58BC"/>
    <w:rsid w:val="007F07F1"/>
    <w:rsid w:val="007F6088"/>
    <w:rsid w:val="00805EDB"/>
    <w:rsid w:val="00813FC0"/>
    <w:rsid w:val="00821ED9"/>
    <w:rsid w:val="00832F7A"/>
    <w:rsid w:val="008505EF"/>
    <w:rsid w:val="0086345E"/>
    <w:rsid w:val="008662D6"/>
    <w:rsid w:val="00872210"/>
    <w:rsid w:val="008765C2"/>
    <w:rsid w:val="008966EC"/>
    <w:rsid w:val="008A28FC"/>
    <w:rsid w:val="008B5AE2"/>
    <w:rsid w:val="008D15DD"/>
    <w:rsid w:val="008E33F2"/>
    <w:rsid w:val="008F69C9"/>
    <w:rsid w:val="009300F6"/>
    <w:rsid w:val="00935703"/>
    <w:rsid w:val="00952502"/>
    <w:rsid w:val="00955378"/>
    <w:rsid w:val="0097095A"/>
    <w:rsid w:val="009710CF"/>
    <w:rsid w:val="00982DEC"/>
    <w:rsid w:val="009939D7"/>
    <w:rsid w:val="009A13B3"/>
    <w:rsid w:val="009A6726"/>
    <w:rsid w:val="009B5687"/>
    <w:rsid w:val="009C2597"/>
    <w:rsid w:val="009C4AFC"/>
    <w:rsid w:val="009C6155"/>
    <w:rsid w:val="009D5E22"/>
    <w:rsid w:val="009F0667"/>
    <w:rsid w:val="00A45DFE"/>
    <w:rsid w:val="00A53423"/>
    <w:rsid w:val="00A90B04"/>
    <w:rsid w:val="00A95561"/>
    <w:rsid w:val="00AA21E7"/>
    <w:rsid w:val="00AA2FF5"/>
    <w:rsid w:val="00AB2B47"/>
    <w:rsid w:val="00AE4E5E"/>
    <w:rsid w:val="00AF48AF"/>
    <w:rsid w:val="00B02662"/>
    <w:rsid w:val="00B06D1B"/>
    <w:rsid w:val="00B142BD"/>
    <w:rsid w:val="00B263E7"/>
    <w:rsid w:val="00B26438"/>
    <w:rsid w:val="00B27631"/>
    <w:rsid w:val="00B62430"/>
    <w:rsid w:val="00B62DBC"/>
    <w:rsid w:val="00B67F69"/>
    <w:rsid w:val="00B8215B"/>
    <w:rsid w:val="00BA3127"/>
    <w:rsid w:val="00BC59F0"/>
    <w:rsid w:val="00BF09F6"/>
    <w:rsid w:val="00BF6F24"/>
    <w:rsid w:val="00C01B0B"/>
    <w:rsid w:val="00C02039"/>
    <w:rsid w:val="00C07ABF"/>
    <w:rsid w:val="00C229CA"/>
    <w:rsid w:val="00C230E6"/>
    <w:rsid w:val="00C36E0D"/>
    <w:rsid w:val="00C62A5E"/>
    <w:rsid w:val="00C66302"/>
    <w:rsid w:val="00C67720"/>
    <w:rsid w:val="00C842C7"/>
    <w:rsid w:val="00C863A0"/>
    <w:rsid w:val="00C9616F"/>
    <w:rsid w:val="00CA6FBD"/>
    <w:rsid w:val="00CA7F37"/>
    <w:rsid w:val="00CB163C"/>
    <w:rsid w:val="00CD79DA"/>
    <w:rsid w:val="00CD7A52"/>
    <w:rsid w:val="00CF57A1"/>
    <w:rsid w:val="00D10D1D"/>
    <w:rsid w:val="00D15BBE"/>
    <w:rsid w:val="00D321AA"/>
    <w:rsid w:val="00D5140C"/>
    <w:rsid w:val="00D737A6"/>
    <w:rsid w:val="00D85AC0"/>
    <w:rsid w:val="00D85D2C"/>
    <w:rsid w:val="00D94FBE"/>
    <w:rsid w:val="00DA5888"/>
    <w:rsid w:val="00DC2694"/>
    <w:rsid w:val="00DD7B4B"/>
    <w:rsid w:val="00E003C8"/>
    <w:rsid w:val="00E22DB4"/>
    <w:rsid w:val="00E271C9"/>
    <w:rsid w:val="00E33062"/>
    <w:rsid w:val="00E47489"/>
    <w:rsid w:val="00E764AF"/>
    <w:rsid w:val="00EB26BB"/>
    <w:rsid w:val="00EB564C"/>
    <w:rsid w:val="00ED3BD8"/>
    <w:rsid w:val="00ED6BDB"/>
    <w:rsid w:val="00EE0BD9"/>
    <w:rsid w:val="00EE5AAE"/>
    <w:rsid w:val="00EF11C2"/>
    <w:rsid w:val="00F21C9B"/>
    <w:rsid w:val="00F2301B"/>
    <w:rsid w:val="00F258BC"/>
    <w:rsid w:val="00F26BE2"/>
    <w:rsid w:val="00F33064"/>
    <w:rsid w:val="00F46D17"/>
    <w:rsid w:val="00F51F87"/>
    <w:rsid w:val="00F742B7"/>
    <w:rsid w:val="00F82A0C"/>
    <w:rsid w:val="00F95EE5"/>
    <w:rsid w:val="00FC38F2"/>
    <w:rsid w:val="00FD6160"/>
    <w:rsid w:val="00FE2F8B"/>
    <w:rsid w:val="00FF0BC9"/>
    <w:rsid w:val="0101295B"/>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34789D"/>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A00C18"/>
    <w:rsid w:val="04B1084F"/>
    <w:rsid w:val="04B2316F"/>
    <w:rsid w:val="04E40345"/>
    <w:rsid w:val="050829F7"/>
    <w:rsid w:val="051200B1"/>
    <w:rsid w:val="05243941"/>
    <w:rsid w:val="052E1B4C"/>
    <w:rsid w:val="05324F15"/>
    <w:rsid w:val="053F6F8A"/>
    <w:rsid w:val="05455E06"/>
    <w:rsid w:val="05492C0D"/>
    <w:rsid w:val="055A7363"/>
    <w:rsid w:val="0562046B"/>
    <w:rsid w:val="056B0B53"/>
    <w:rsid w:val="058E3945"/>
    <w:rsid w:val="058E3AD8"/>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C6923"/>
    <w:rsid w:val="06FE70E5"/>
    <w:rsid w:val="0706182A"/>
    <w:rsid w:val="071A27E2"/>
    <w:rsid w:val="07230354"/>
    <w:rsid w:val="07263260"/>
    <w:rsid w:val="072B7208"/>
    <w:rsid w:val="0730382D"/>
    <w:rsid w:val="073B7D2E"/>
    <w:rsid w:val="07444A05"/>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986734"/>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77248"/>
    <w:rsid w:val="0ACB616E"/>
    <w:rsid w:val="0ACC27E4"/>
    <w:rsid w:val="0ACF3A80"/>
    <w:rsid w:val="0AD23916"/>
    <w:rsid w:val="0AD35BED"/>
    <w:rsid w:val="0AD656DD"/>
    <w:rsid w:val="0ADE5E64"/>
    <w:rsid w:val="0AF22B35"/>
    <w:rsid w:val="0AFA34B1"/>
    <w:rsid w:val="0B106CAC"/>
    <w:rsid w:val="0B1A5CD3"/>
    <w:rsid w:val="0B220922"/>
    <w:rsid w:val="0B2823DD"/>
    <w:rsid w:val="0B2E4A56"/>
    <w:rsid w:val="0B307789"/>
    <w:rsid w:val="0B460AB5"/>
    <w:rsid w:val="0B4D7E8E"/>
    <w:rsid w:val="0B50723E"/>
    <w:rsid w:val="0B6308E9"/>
    <w:rsid w:val="0B705B32"/>
    <w:rsid w:val="0B7145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F0B75"/>
    <w:rsid w:val="0D336E17"/>
    <w:rsid w:val="0D470B14"/>
    <w:rsid w:val="0D4C22C8"/>
    <w:rsid w:val="0D57447A"/>
    <w:rsid w:val="0D584ACF"/>
    <w:rsid w:val="0D5A25F6"/>
    <w:rsid w:val="0D8608DB"/>
    <w:rsid w:val="0D9961D1"/>
    <w:rsid w:val="0DA9532B"/>
    <w:rsid w:val="0DA97B2E"/>
    <w:rsid w:val="0DC4745D"/>
    <w:rsid w:val="0DCB16CB"/>
    <w:rsid w:val="0DCC0A89"/>
    <w:rsid w:val="0DCF5CF9"/>
    <w:rsid w:val="0DEC1F6C"/>
    <w:rsid w:val="0E0235FA"/>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587009"/>
    <w:rsid w:val="0F627C4F"/>
    <w:rsid w:val="0F821F29"/>
    <w:rsid w:val="0F844322"/>
    <w:rsid w:val="0F852E27"/>
    <w:rsid w:val="0F951311"/>
    <w:rsid w:val="0F986B8D"/>
    <w:rsid w:val="0F9A17A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4B5127"/>
    <w:rsid w:val="104E0165"/>
    <w:rsid w:val="10521CAA"/>
    <w:rsid w:val="10604498"/>
    <w:rsid w:val="106A794E"/>
    <w:rsid w:val="106D12E6"/>
    <w:rsid w:val="10A76C83"/>
    <w:rsid w:val="10B24586"/>
    <w:rsid w:val="10CC559A"/>
    <w:rsid w:val="10D562A1"/>
    <w:rsid w:val="10DE52EC"/>
    <w:rsid w:val="10E3528B"/>
    <w:rsid w:val="10E87F18"/>
    <w:rsid w:val="10F40931"/>
    <w:rsid w:val="10F96D68"/>
    <w:rsid w:val="10FB17CA"/>
    <w:rsid w:val="10FD46D7"/>
    <w:rsid w:val="10FE14EA"/>
    <w:rsid w:val="10FE598E"/>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3F625E"/>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3123B4"/>
    <w:rsid w:val="144F242A"/>
    <w:rsid w:val="14506500"/>
    <w:rsid w:val="145A616C"/>
    <w:rsid w:val="145A79EE"/>
    <w:rsid w:val="145D5680"/>
    <w:rsid w:val="147A1C07"/>
    <w:rsid w:val="147A7952"/>
    <w:rsid w:val="148F7029"/>
    <w:rsid w:val="14A20FD8"/>
    <w:rsid w:val="14AF0A9E"/>
    <w:rsid w:val="14C052F1"/>
    <w:rsid w:val="14C21B6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84456"/>
    <w:rsid w:val="15AD5A96"/>
    <w:rsid w:val="15B12FCF"/>
    <w:rsid w:val="15CB06E2"/>
    <w:rsid w:val="15D41132"/>
    <w:rsid w:val="15D564C4"/>
    <w:rsid w:val="15DD5B72"/>
    <w:rsid w:val="15DE44D2"/>
    <w:rsid w:val="15E77AEE"/>
    <w:rsid w:val="15EB6829"/>
    <w:rsid w:val="15F2470E"/>
    <w:rsid w:val="15F5735F"/>
    <w:rsid w:val="15F64E85"/>
    <w:rsid w:val="15F7061B"/>
    <w:rsid w:val="15F829AC"/>
    <w:rsid w:val="16175528"/>
    <w:rsid w:val="162923AE"/>
    <w:rsid w:val="16452C82"/>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F71BF"/>
    <w:rsid w:val="17426B8D"/>
    <w:rsid w:val="17555615"/>
    <w:rsid w:val="1779404E"/>
    <w:rsid w:val="17804C49"/>
    <w:rsid w:val="178070FD"/>
    <w:rsid w:val="17955DED"/>
    <w:rsid w:val="179A111C"/>
    <w:rsid w:val="179A5FEC"/>
    <w:rsid w:val="179E59B5"/>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DD4E57"/>
    <w:rsid w:val="18EF45F9"/>
    <w:rsid w:val="18FD277E"/>
    <w:rsid w:val="192A24B1"/>
    <w:rsid w:val="194817FC"/>
    <w:rsid w:val="194B0481"/>
    <w:rsid w:val="194F38AF"/>
    <w:rsid w:val="195720DF"/>
    <w:rsid w:val="19735F7B"/>
    <w:rsid w:val="19805192"/>
    <w:rsid w:val="198124BA"/>
    <w:rsid w:val="19892807"/>
    <w:rsid w:val="19A215AC"/>
    <w:rsid w:val="19B65058"/>
    <w:rsid w:val="19B678E2"/>
    <w:rsid w:val="19C24C2F"/>
    <w:rsid w:val="19C5298C"/>
    <w:rsid w:val="1A0A6E6B"/>
    <w:rsid w:val="1A115BD9"/>
    <w:rsid w:val="1A13070C"/>
    <w:rsid w:val="1A270452"/>
    <w:rsid w:val="1A2B6E03"/>
    <w:rsid w:val="1A2D15F7"/>
    <w:rsid w:val="1A330C7D"/>
    <w:rsid w:val="1A3438DD"/>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C62263"/>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E0F6B52"/>
    <w:rsid w:val="1E18679A"/>
    <w:rsid w:val="1E1E141D"/>
    <w:rsid w:val="1E3824DF"/>
    <w:rsid w:val="1E567BD3"/>
    <w:rsid w:val="1E5E31B8"/>
    <w:rsid w:val="1E6731D5"/>
    <w:rsid w:val="1E7320C1"/>
    <w:rsid w:val="1E8C5541"/>
    <w:rsid w:val="1E9320FC"/>
    <w:rsid w:val="1EAC7E0A"/>
    <w:rsid w:val="1EAF2075"/>
    <w:rsid w:val="1EC42614"/>
    <w:rsid w:val="1ED80344"/>
    <w:rsid w:val="1EEA1677"/>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B3CBD"/>
    <w:rsid w:val="1FF115A0"/>
    <w:rsid w:val="1FF36207"/>
    <w:rsid w:val="1FF75D21"/>
    <w:rsid w:val="1FFC6307"/>
    <w:rsid w:val="20104D96"/>
    <w:rsid w:val="20135C1B"/>
    <w:rsid w:val="20237641"/>
    <w:rsid w:val="202730EF"/>
    <w:rsid w:val="20370574"/>
    <w:rsid w:val="203942EC"/>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34741"/>
    <w:rsid w:val="20DA783F"/>
    <w:rsid w:val="2107263D"/>
    <w:rsid w:val="21082D78"/>
    <w:rsid w:val="210A0830"/>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53F30"/>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941570"/>
    <w:rsid w:val="25A312AB"/>
    <w:rsid w:val="25B74631"/>
    <w:rsid w:val="25D56542"/>
    <w:rsid w:val="25E1345C"/>
    <w:rsid w:val="25E14A26"/>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600EFE"/>
    <w:rsid w:val="26751DF6"/>
    <w:rsid w:val="26830A83"/>
    <w:rsid w:val="268F7F2A"/>
    <w:rsid w:val="26960004"/>
    <w:rsid w:val="269A185A"/>
    <w:rsid w:val="269C2FFA"/>
    <w:rsid w:val="26BB3CAD"/>
    <w:rsid w:val="26CF7759"/>
    <w:rsid w:val="26DA7746"/>
    <w:rsid w:val="26E013F5"/>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CF1CA7"/>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52D01"/>
    <w:rsid w:val="2907582C"/>
    <w:rsid w:val="29086F52"/>
    <w:rsid w:val="29237B49"/>
    <w:rsid w:val="292756D2"/>
    <w:rsid w:val="29290FE4"/>
    <w:rsid w:val="293C1946"/>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D119E6"/>
    <w:rsid w:val="2AD4237F"/>
    <w:rsid w:val="2ADE7F6A"/>
    <w:rsid w:val="2AEB2687"/>
    <w:rsid w:val="2AF73315"/>
    <w:rsid w:val="2B053749"/>
    <w:rsid w:val="2B0A5203"/>
    <w:rsid w:val="2B3719D8"/>
    <w:rsid w:val="2B382E7E"/>
    <w:rsid w:val="2B3E4634"/>
    <w:rsid w:val="2B4E6910"/>
    <w:rsid w:val="2B516104"/>
    <w:rsid w:val="2B58149E"/>
    <w:rsid w:val="2B5F76F3"/>
    <w:rsid w:val="2B612949"/>
    <w:rsid w:val="2B7733E2"/>
    <w:rsid w:val="2B7A3236"/>
    <w:rsid w:val="2B940F71"/>
    <w:rsid w:val="2BAD443E"/>
    <w:rsid w:val="2BC77C2C"/>
    <w:rsid w:val="2C161CE8"/>
    <w:rsid w:val="2C1E25F3"/>
    <w:rsid w:val="2C2600D1"/>
    <w:rsid w:val="2C275941"/>
    <w:rsid w:val="2C2E0A7D"/>
    <w:rsid w:val="2C332538"/>
    <w:rsid w:val="2C3712E3"/>
    <w:rsid w:val="2C504D9D"/>
    <w:rsid w:val="2C5D65F6"/>
    <w:rsid w:val="2C623180"/>
    <w:rsid w:val="2C6D7E6F"/>
    <w:rsid w:val="2C6E531E"/>
    <w:rsid w:val="2C78619D"/>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732009"/>
    <w:rsid w:val="2D7626DC"/>
    <w:rsid w:val="2D806F7B"/>
    <w:rsid w:val="2D880661"/>
    <w:rsid w:val="2D9000E0"/>
    <w:rsid w:val="2D905B14"/>
    <w:rsid w:val="2DA43325"/>
    <w:rsid w:val="2DAC5BF8"/>
    <w:rsid w:val="2DB66F7C"/>
    <w:rsid w:val="2DCA22A1"/>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EFE507F"/>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62166C"/>
    <w:rsid w:val="30640F12"/>
    <w:rsid w:val="306554F5"/>
    <w:rsid w:val="307750E9"/>
    <w:rsid w:val="30A60B13"/>
    <w:rsid w:val="30B56118"/>
    <w:rsid w:val="30D96CC6"/>
    <w:rsid w:val="30E80016"/>
    <w:rsid w:val="30F37C1F"/>
    <w:rsid w:val="31092C45"/>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D3845"/>
    <w:rsid w:val="33E97C32"/>
    <w:rsid w:val="33EA23A5"/>
    <w:rsid w:val="33EB36B7"/>
    <w:rsid w:val="33EE0FFB"/>
    <w:rsid w:val="34117602"/>
    <w:rsid w:val="341B3FDD"/>
    <w:rsid w:val="34286628"/>
    <w:rsid w:val="342C61EA"/>
    <w:rsid w:val="343E1A7A"/>
    <w:rsid w:val="344D358E"/>
    <w:rsid w:val="344D77BF"/>
    <w:rsid w:val="346C2BB5"/>
    <w:rsid w:val="347D0BB7"/>
    <w:rsid w:val="348F2F0F"/>
    <w:rsid w:val="34BC3B37"/>
    <w:rsid w:val="34BD5094"/>
    <w:rsid w:val="34D50630"/>
    <w:rsid w:val="34D843EB"/>
    <w:rsid w:val="34D90BF1"/>
    <w:rsid w:val="34D94A8F"/>
    <w:rsid w:val="34F729B7"/>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CB11EA"/>
    <w:rsid w:val="36E0506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7D1E2F"/>
    <w:rsid w:val="379F1476"/>
    <w:rsid w:val="37A140C3"/>
    <w:rsid w:val="37C24A54"/>
    <w:rsid w:val="37DE5A4E"/>
    <w:rsid w:val="37ED3EE3"/>
    <w:rsid w:val="37F9735D"/>
    <w:rsid w:val="37FF4CEF"/>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C22C79"/>
    <w:rsid w:val="38C34C43"/>
    <w:rsid w:val="38C728D0"/>
    <w:rsid w:val="38C74734"/>
    <w:rsid w:val="38C9721B"/>
    <w:rsid w:val="38E70932"/>
    <w:rsid w:val="38F5268D"/>
    <w:rsid w:val="390220DA"/>
    <w:rsid w:val="39055318"/>
    <w:rsid w:val="39116746"/>
    <w:rsid w:val="391D359F"/>
    <w:rsid w:val="392022AF"/>
    <w:rsid w:val="394311D0"/>
    <w:rsid w:val="394D1BA4"/>
    <w:rsid w:val="39525EAF"/>
    <w:rsid w:val="39536350"/>
    <w:rsid w:val="397B454D"/>
    <w:rsid w:val="3986069A"/>
    <w:rsid w:val="39A9208B"/>
    <w:rsid w:val="39AC3A04"/>
    <w:rsid w:val="39B00ABA"/>
    <w:rsid w:val="39BE36C4"/>
    <w:rsid w:val="39C40C73"/>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A36ADA"/>
    <w:rsid w:val="3AD1769C"/>
    <w:rsid w:val="3AEE222D"/>
    <w:rsid w:val="3AFB171C"/>
    <w:rsid w:val="3B0D5ACF"/>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A41F9"/>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AD3C40"/>
    <w:rsid w:val="3CAE403E"/>
    <w:rsid w:val="3CB56D79"/>
    <w:rsid w:val="3CB73432"/>
    <w:rsid w:val="3CBD5E00"/>
    <w:rsid w:val="3CBE6E54"/>
    <w:rsid w:val="3CC13A13"/>
    <w:rsid w:val="3CDC6557"/>
    <w:rsid w:val="3CF81D1D"/>
    <w:rsid w:val="3D016EA4"/>
    <w:rsid w:val="3D157F9D"/>
    <w:rsid w:val="3D1D5906"/>
    <w:rsid w:val="3D207C68"/>
    <w:rsid w:val="3D296F62"/>
    <w:rsid w:val="3D31229A"/>
    <w:rsid w:val="3D387FE4"/>
    <w:rsid w:val="3D3B408D"/>
    <w:rsid w:val="3D3B56F0"/>
    <w:rsid w:val="3D4139CE"/>
    <w:rsid w:val="3D491BBB"/>
    <w:rsid w:val="3D5200E0"/>
    <w:rsid w:val="3D5347E8"/>
    <w:rsid w:val="3D580050"/>
    <w:rsid w:val="3D622FB8"/>
    <w:rsid w:val="3D6267D9"/>
    <w:rsid w:val="3D65609E"/>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D07E4"/>
    <w:rsid w:val="40037546"/>
    <w:rsid w:val="400C350F"/>
    <w:rsid w:val="401A20DF"/>
    <w:rsid w:val="40311450"/>
    <w:rsid w:val="403F3D64"/>
    <w:rsid w:val="40490124"/>
    <w:rsid w:val="404E15E0"/>
    <w:rsid w:val="40634359"/>
    <w:rsid w:val="407D63D8"/>
    <w:rsid w:val="408D0011"/>
    <w:rsid w:val="409649A1"/>
    <w:rsid w:val="409F3A5B"/>
    <w:rsid w:val="40B01F51"/>
    <w:rsid w:val="40B52255"/>
    <w:rsid w:val="40B96025"/>
    <w:rsid w:val="40BB6C9A"/>
    <w:rsid w:val="40C12CBE"/>
    <w:rsid w:val="40C40EA7"/>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65345"/>
    <w:rsid w:val="41BE71A9"/>
    <w:rsid w:val="41C3319D"/>
    <w:rsid w:val="41CC1514"/>
    <w:rsid w:val="41CF6407"/>
    <w:rsid w:val="41D13F2D"/>
    <w:rsid w:val="41D34149"/>
    <w:rsid w:val="41F6270F"/>
    <w:rsid w:val="41FE4B63"/>
    <w:rsid w:val="4205007B"/>
    <w:rsid w:val="421856C2"/>
    <w:rsid w:val="421D0400"/>
    <w:rsid w:val="42410916"/>
    <w:rsid w:val="424A1FDF"/>
    <w:rsid w:val="426D00FA"/>
    <w:rsid w:val="42777DEC"/>
    <w:rsid w:val="427A320B"/>
    <w:rsid w:val="42911696"/>
    <w:rsid w:val="4294615F"/>
    <w:rsid w:val="42A81132"/>
    <w:rsid w:val="42B765BA"/>
    <w:rsid w:val="42C60127"/>
    <w:rsid w:val="42CB12D6"/>
    <w:rsid w:val="42CF7A53"/>
    <w:rsid w:val="42D05017"/>
    <w:rsid w:val="42D737C5"/>
    <w:rsid w:val="42DD6902"/>
    <w:rsid w:val="42EA799C"/>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D45DE8"/>
    <w:rsid w:val="43F3462F"/>
    <w:rsid w:val="440214C7"/>
    <w:rsid w:val="44124799"/>
    <w:rsid w:val="442212E6"/>
    <w:rsid w:val="442D3EBD"/>
    <w:rsid w:val="44307C27"/>
    <w:rsid w:val="443268BF"/>
    <w:rsid w:val="443B7D84"/>
    <w:rsid w:val="44433E7C"/>
    <w:rsid w:val="444924DF"/>
    <w:rsid w:val="444B65C3"/>
    <w:rsid w:val="444B685F"/>
    <w:rsid w:val="444F55DD"/>
    <w:rsid w:val="44616DE6"/>
    <w:rsid w:val="44654E01"/>
    <w:rsid w:val="446E05EA"/>
    <w:rsid w:val="447115C6"/>
    <w:rsid w:val="44827C1E"/>
    <w:rsid w:val="44897EF7"/>
    <w:rsid w:val="448B66CE"/>
    <w:rsid w:val="449E2B67"/>
    <w:rsid w:val="44A70245"/>
    <w:rsid w:val="44A90864"/>
    <w:rsid w:val="44BD4C3D"/>
    <w:rsid w:val="44C23F10"/>
    <w:rsid w:val="44D06BB2"/>
    <w:rsid w:val="44D53D34"/>
    <w:rsid w:val="44D95BAD"/>
    <w:rsid w:val="44E330C9"/>
    <w:rsid w:val="44EC6F5A"/>
    <w:rsid w:val="450150F5"/>
    <w:rsid w:val="45123BB5"/>
    <w:rsid w:val="452B293F"/>
    <w:rsid w:val="45380234"/>
    <w:rsid w:val="453F772D"/>
    <w:rsid w:val="454027D1"/>
    <w:rsid w:val="4541547F"/>
    <w:rsid w:val="45533857"/>
    <w:rsid w:val="455D6C5E"/>
    <w:rsid w:val="45673672"/>
    <w:rsid w:val="456E5A7F"/>
    <w:rsid w:val="45813EBC"/>
    <w:rsid w:val="458B0E76"/>
    <w:rsid w:val="459745C2"/>
    <w:rsid w:val="45AC2850"/>
    <w:rsid w:val="45B5598A"/>
    <w:rsid w:val="45B778DE"/>
    <w:rsid w:val="45C12DB2"/>
    <w:rsid w:val="45EA00DF"/>
    <w:rsid w:val="460344F5"/>
    <w:rsid w:val="460B6100"/>
    <w:rsid w:val="46177EB4"/>
    <w:rsid w:val="462B4361"/>
    <w:rsid w:val="4642189D"/>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B9571B"/>
    <w:rsid w:val="48C51A56"/>
    <w:rsid w:val="48D03950"/>
    <w:rsid w:val="48F61E83"/>
    <w:rsid w:val="49211C3E"/>
    <w:rsid w:val="49215AD9"/>
    <w:rsid w:val="492301FF"/>
    <w:rsid w:val="492573E6"/>
    <w:rsid w:val="492F498D"/>
    <w:rsid w:val="492F5A35"/>
    <w:rsid w:val="493150F6"/>
    <w:rsid w:val="49363A71"/>
    <w:rsid w:val="49385DD0"/>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337A4"/>
    <w:rsid w:val="4C053B3E"/>
    <w:rsid w:val="4C256776"/>
    <w:rsid w:val="4C26756B"/>
    <w:rsid w:val="4C2745BE"/>
    <w:rsid w:val="4C6E1633"/>
    <w:rsid w:val="4C716A38"/>
    <w:rsid w:val="4C792A51"/>
    <w:rsid w:val="4CA17BB8"/>
    <w:rsid w:val="4CBB5434"/>
    <w:rsid w:val="4CC743C2"/>
    <w:rsid w:val="4CD46968"/>
    <w:rsid w:val="4CE0596C"/>
    <w:rsid w:val="4CFA1B21"/>
    <w:rsid w:val="4CFD2D0A"/>
    <w:rsid w:val="4D0A5D2E"/>
    <w:rsid w:val="4D0B530A"/>
    <w:rsid w:val="4D1B0752"/>
    <w:rsid w:val="4D3161C8"/>
    <w:rsid w:val="4D41465D"/>
    <w:rsid w:val="4D4E0C74"/>
    <w:rsid w:val="4D526945"/>
    <w:rsid w:val="4D73764A"/>
    <w:rsid w:val="4D956577"/>
    <w:rsid w:val="4DA16EA9"/>
    <w:rsid w:val="4DAE7D3B"/>
    <w:rsid w:val="4DB10EE0"/>
    <w:rsid w:val="4DE1374A"/>
    <w:rsid w:val="4DE3193D"/>
    <w:rsid w:val="4DE5696E"/>
    <w:rsid w:val="4DE8094E"/>
    <w:rsid w:val="4DEB5302"/>
    <w:rsid w:val="4DFF382E"/>
    <w:rsid w:val="4E143B1F"/>
    <w:rsid w:val="4E165694"/>
    <w:rsid w:val="4E17716C"/>
    <w:rsid w:val="4E1C29D4"/>
    <w:rsid w:val="4E2D6F9C"/>
    <w:rsid w:val="4E340E16"/>
    <w:rsid w:val="4E3A0E53"/>
    <w:rsid w:val="4E4D0AC1"/>
    <w:rsid w:val="4E5B174E"/>
    <w:rsid w:val="4E752EF3"/>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F1986"/>
    <w:rsid w:val="4F5D5865"/>
    <w:rsid w:val="4F645A57"/>
    <w:rsid w:val="4F6463E1"/>
    <w:rsid w:val="4F7C7BCE"/>
    <w:rsid w:val="4F845801"/>
    <w:rsid w:val="4F9076EA"/>
    <w:rsid w:val="4F93316A"/>
    <w:rsid w:val="4F952A4C"/>
    <w:rsid w:val="4FB05ACA"/>
    <w:rsid w:val="4FB84E80"/>
    <w:rsid w:val="4FC450D1"/>
    <w:rsid w:val="4FC60F8B"/>
    <w:rsid w:val="4FC6467C"/>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970A38"/>
    <w:rsid w:val="509E6E33"/>
    <w:rsid w:val="50AB1563"/>
    <w:rsid w:val="50BB4726"/>
    <w:rsid w:val="50C14189"/>
    <w:rsid w:val="50CE050E"/>
    <w:rsid w:val="50DD58C1"/>
    <w:rsid w:val="50E109B3"/>
    <w:rsid w:val="50FA2286"/>
    <w:rsid w:val="511278B0"/>
    <w:rsid w:val="5134684C"/>
    <w:rsid w:val="513D42F6"/>
    <w:rsid w:val="515348AE"/>
    <w:rsid w:val="51621462"/>
    <w:rsid w:val="5162632D"/>
    <w:rsid w:val="51652001"/>
    <w:rsid w:val="516923D4"/>
    <w:rsid w:val="516A768B"/>
    <w:rsid w:val="516F7FCA"/>
    <w:rsid w:val="517E442B"/>
    <w:rsid w:val="51A60F32"/>
    <w:rsid w:val="51C06B27"/>
    <w:rsid w:val="51C5706A"/>
    <w:rsid w:val="51CC6A9E"/>
    <w:rsid w:val="51F76393"/>
    <w:rsid w:val="51F83758"/>
    <w:rsid w:val="52097713"/>
    <w:rsid w:val="52157E66"/>
    <w:rsid w:val="521B28B9"/>
    <w:rsid w:val="522E04F4"/>
    <w:rsid w:val="522E717A"/>
    <w:rsid w:val="52354064"/>
    <w:rsid w:val="52397FF8"/>
    <w:rsid w:val="525C5A95"/>
    <w:rsid w:val="525F6E60"/>
    <w:rsid w:val="5261208C"/>
    <w:rsid w:val="52796647"/>
    <w:rsid w:val="52873552"/>
    <w:rsid w:val="52B92EE7"/>
    <w:rsid w:val="52BC3484"/>
    <w:rsid w:val="52BE677D"/>
    <w:rsid w:val="52C13B4A"/>
    <w:rsid w:val="52C22C4B"/>
    <w:rsid w:val="52CB68A8"/>
    <w:rsid w:val="52DC5CD4"/>
    <w:rsid w:val="52E866AE"/>
    <w:rsid w:val="530750B7"/>
    <w:rsid w:val="53200C5D"/>
    <w:rsid w:val="534832EF"/>
    <w:rsid w:val="535B7AFB"/>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E7D01"/>
    <w:rsid w:val="54826A6F"/>
    <w:rsid w:val="548A7D0C"/>
    <w:rsid w:val="548D63DA"/>
    <w:rsid w:val="549652A5"/>
    <w:rsid w:val="5499691E"/>
    <w:rsid w:val="54A75974"/>
    <w:rsid w:val="54AD4386"/>
    <w:rsid w:val="54BC082D"/>
    <w:rsid w:val="54C857C3"/>
    <w:rsid w:val="54EA55DA"/>
    <w:rsid w:val="54FA7F82"/>
    <w:rsid w:val="54FC530D"/>
    <w:rsid w:val="551E08BC"/>
    <w:rsid w:val="55307A0C"/>
    <w:rsid w:val="553A7B7B"/>
    <w:rsid w:val="55665755"/>
    <w:rsid w:val="556665E0"/>
    <w:rsid w:val="558E68EA"/>
    <w:rsid w:val="5590733F"/>
    <w:rsid w:val="55910A92"/>
    <w:rsid w:val="559757D0"/>
    <w:rsid w:val="55975BA7"/>
    <w:rsid w:val="55A506DF"/>
    <w:rsid w:val="55AE4F5C"/>
    <w:rsid w:val="55AE6607"/>
    <w:rsid w:val="55BB2AD2"/>
    <w:rsid w:val="55BB5576"/>
    <w:rsid w:val="56002A66"/>
    <w:rsid w:val="5604091D"/>
    <w:rsid w:val="56054571"/>
    <w:rsid w:val="560B1D82"/>
    <w:rsid w:val="561048D4"/>
    <w:rsid w:val="5632621B"/>
    <w:rsid w:val="5645325F"/>
    <w:rsid w:val="564E6B95"/>
    <w:rsid w:val="56562848"/>
    <w:rsid w:val="566F311B"/>
    <w:rsid w:val="56781FA5"/>
    <w:rsid w:val="569154CE"/>
    <w:rsid w:val="56995180"/>
    <w:rsid w:val="56A11917"/>
    <w:rsid w:val="56AD5CE8"/>
    <w:rsid w:val="56BD031C"/>
    <w:rsid w:val="56BF20BE"/>
    <w:rsid w:val="56BF6D5B"/>
    <w:rsid w:val="56DB7934"/>
    <w:rsid w:val="56E7079F"/>
    <w:rsid w:val="56E73D89"/>
    <w:rsid w:val="57007337"/>
    <w:rsid w:val="57031F7F"/>
    <w:rsid w:val="572570B3"/>
    <w:rsid w:val="573B07A2"/>
    <w:rsid w:val="573E6B31"/>
    <w:rsid w:val="575603AD"/>
    <w:rsid w:val="5770255E"/>
    <w:rsid w:val="57750ADF"/>
    <w:rsid w:val="57811AFA"/>
    <w:rsid w:val="57B341DC"/>
    <w:rsid w:val="57B51F24"/>
    <w:rsid w:val="57C73676"/>
    <w:rsid w:val="57C87CAB"/>
    <w:rsid w:val="57F60509"/>
    <w:rsid w:val="57FB6145"/>
    <w:rsid w:val="57FC328C"/>
    <w:rsid w:val="57FF145C"/>
    <w:rsid w:val="58033991"/>
    <w:rsid w:val="581214E9"/>
    <w:rsid w:val="583019E9"/>
    <w:rsid w:val="58374890"/>
    <w:rsid w:val="583921D7"/>
    <w:rsid w:val="5847689F"/>
    <w:rsid w:val="584B538A"/>
    <w:rsid w:val="584E7AA5"/>
    <w:rsid w:val="5853780C"/>
    <w:rsid w:val="585D2567"/>
    <w:rsid w:val="5866181E"/>
    <w:rsid w:val="58726012"/>
    <w:rsid w:val="58AC4CBD"/>
    <w:rsid w:val="58C058EB"/>
    <w:rsid w:val="58CD28A0"/>
    <w:rsid w:val="58D228D1"/>
    <w:rsid w:val="58D3388C"/>
    <w:rsid w:val="58D82D25"/>
    <w:rsid w:val="58E050FF"/>
    <w:rsid w:val="58EB1FE8"/>
    <w:rsid w:val="58F92290"/>
    <w:rsid w:val="590A19FE"/>
    <w:rsid w:val="590B2E55"/>
    <w:rsid w:val="591E1CF6"/>
    <w:rsid w:val="592B3B37"/>
    <w:rsid w:val="593E3679"/>
    <w:rsid w:val="59463EAD"/>
    <w:rsid w:val="594A0F21"/>
    <w:rsid w:val="595600CF"/>
    <w:rsid w:val="59570C09"/>
    <w:rsid w:val="595A535A"/>
    <w:rsid w:val="595A5BCE"/>
    <w:rsid w:val="596C5157"/>
    <w:rsid w:val="59814033"/>
    <w:rsid w:val="599C2C1B"/>
    <w:rsid w:val="599C6916"/>
    <w:rsid w:val="59A24A11"/>
    <w:rsid w:val="59A93DB0"/>
    <w:rsid w:val="59AD337E"/>
    <w:rsid w:val="59B85EB7"/>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F99"/>
    <w:rsid w:val="5B3220B7"/>
    <w:rsid w:val="5B322BEC"/>
    <w:rsid w:val="5B5F03A4"/>
    <w:rsid w:val="5B602550"/>
    <w:rsid w:val="5B684D9D"/>
    <w:rsid w:val="5B6D7F8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E7F25"/>
    <w:rsid w:val="5C5477DD"/>
    <w:rsid w:val="5C5E240A"/>
    <w:rsid w:val="5C6E212C"/>
    <w:rsid w:val="5C73096B"/>
    <w:rsid w:val="5C7376E4"/>
    <w:rsid w:val="5C797243"/>
    <w:rsid w:val="5C9A1694"/>
    <w:rsid w:val="5CA03123"/>
    <w:rsid w:val="5CAA564F"/>
    <w:rsid w:val="5CC11F40"/>
    <w:rsid w:val="5CDA3F46"/>
    <w:rsid w:val="5CF85EE2"/>
    <w:rsid w:val="5D192F00"/>
    <w:rsid w:val="5D1D22C5"/>
    <w:rsid w:val="5D1F7DEB"/>
    <w:rsid w:val="5D2F3C01"/>
    <w:rsid w:val="5D3874C9"/>
    <w:rsid w:val="5D4A3E3F"/>
    <w:rsid w:val="5D4F0E61"/>
    <w:rsid w:val="5D673093"/>
    <w:rsid w:val="5D675B54"/>
    <w:rsid w:val="5D977AC6"/>
    <w:rsid w:val="5D9B52A7"/>
    <w:rsid w:val="5D9F5DAC"/>
    <w:rsid w:val="5DA30A1C"/>
    <w:rsid w:val="5DD15589"/>
    <w:rsid w:val="5DEC23C3"/>
    <w:rsid w:val="5DEF3C61"/>
    <w:rsid w:val="5DFE3466"/>
    <w:rsid w:val="5E032122"/>
    <w:rsid w:val="5E344177"/>
    <w:rsid w:val="5E4529B2"/>
    <w:rsid w:val="5E6F4DA2"/>
    <w:rsid w:val="5E920F46"/>
    <w:rsid w:val="5E954808"/>
    <w:rsid w:val="5E9842F9"/>
    <w:rsid w:val="5E9C5CCD"/>
    <w:rsid w:val="5EA207F7"/>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941C25"/>
    <w:rsid w:val="5FA04873"/>
    <w:rsid w:val="5FB143B2"/>
    <w:rsid w:val="5FCA04E2"/>
    <w:rsid w:val="5FD255E8"/>
    <w:rsid w:val="5FD86DED"/>
    <w:rsid w:val="5FE2350C"/>
    <w:rsid w:val="5FE666BB"/>
    <w:rsid w:val="5FF2020B"/>
    <w:rsid w:val="600C592F"/>
    <w:rsid w:val="600D6E2B"/>
    <w:rsid w:val="60116111"/>
    <w:rsid w:val="60133D7D"/>
    <w:rsid w:val="601B52DF"/>
    <w:rsid w:val="602164FD"/>
    <w:rsid w:val="60367925"/>
    <w:rsid w:val="60395667"/>
    <w:rsid w:val="60410240"/>
    <w:rsid w:val="604604FA"/>
    <w:rsid w:val="604C0EF7"/>
    <w:rsid w:val="604F4E8B"/>
    <w:rsid w:val="60667166"/>
    <w:rsid w:val="60724006"/>
    <w:rsid w:val="6086012E"/>
    <w:rsid w:val="608C65AA"/>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721A4"/>
    <w:rsid w:val="6148335E"/>
    <w:rsid w:val="61545484"/>
    <w:rsid w:val="615C4C67"/>
    <w:rsid w:val="615C785F"/>
    <w:rsid w:val="616C4315"/>
    <w:rsid w:val="61785D1C"/>
    <w:rsid w:val="61882668"/>
    <w:rsid w:val="618E6E5E"/>
    <w:rsid w:val="61A06C8C"/>
    <w:rsid w:val="61A06F88"/>
    <w:rsid w:val="61A35C11"/>
    <w:rsid w:val="61AF1358"/>
    <w:rsid w:val="61B25B61"/>
    <w:rsid w:val="61C277CE"/>
    <w:rsid w:val="61DC274E"/>
    <w:rsid w:val="61E248A8"/>
    <w:rsid w:val="61E73D9A"/>
    <w:rsid w:val="61EC1462"/>
    <w:rsid w:val="61EC3930"/>
    <w:rsid w:val="61F30221"/>
    <w:rsid w:val="61FB5718"/>
    <w:rsid w:val="622C1C5B"/>
    <w:rsid w:val="62426A55"/>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350368"/>
    <w:rsid w:val="63455E77"/>
    <w:rsid w:val="63473FE4"/>
    <w:rsid w:val="63503AD3"/>
    <w:rsid w:val="63543CFC"/>
    <w:rsid w:val="635F7193"/>
    <w:rsid w:val="63696264"/>
    <w:rsid w:val="637137DA"/>
    <w:rsid w:val="63877E58"/>
    <w:rsid w:val="63A17834"/>
    <w:rsid w:val="63A23C32"/>
    <w:rsid w:val="63A97528"/>
    <w:rsid w:val="63AB6153"/>
    <w:rsid w:val="63C82F8A"/>
    <w:rsid w:val="63D36B90"/>
    <w:rsid w:val="63F024E1"/>
    <w:rsid w:val="640C709A"/>
    <w:rsid w:val="642F1EE3"/>
    <w:rsid w:val="64340620"/>
    <w:rsid w:val="64380936"/>
    <w:rsid w:val="64466BF9"/>
    <w:rsid w:val="644D348F"/>
    <w:rsid w:val="646157CA"/>
    <w:rsid w:val="646A5DEF"/>
    <w:rsid w:val="647749B0"/>
    <w:rsid w:val="64984C1A"/>
    <w:rsid w:val="649C61C5"/>
    <w:rsid w:val="649E7F9E"/>
    <w:rsid w:val="64A15589"/>
    <w:rsid w:val="64AF7CA6"/>
    <w:rsid w:val="64C03C61"/>
    <w:rsid w:val="64D9638C"/>
    <w:rsid w:val="64DE2339"/>
    <w:rsid w:val="64E02555"/>
    <w:rsid w:val="64E13C6F"/>
    <w:rsid w:val="64EF072B"/>
    <w:rsid w:val="64FD5934"/>
    <w:rsid w:val="65051B7F"/>
    <w:rsid w:val="65384669"/>
    <w:rsid w:val="653B3873"/>
    <w:rsid w:val="654C11BD"/>
    <w:rsid w:val="6557447D"/>
    <w:rsid w:val="655D5589"/>
    <w:rsid w:val="65622F6B"/>
    <w:rsid w:val="65643203"/>
    <w:rsid w:val="65794991"/>
    <w:rsid w:val="65887501"/>
    <w:rsid w:val="658E1B4A"/>
    <w:rsid w:val="65915FCB"/>
    <w:rsid w:val="659D0447"/>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7A7554"/>
    <w:rsid w:val="667E6DAD"/>
    <w:rsid w:val="668F0F17"/>
    <w:rsid w:val="66A11D0C"/>
    <w:rsid w:val="66CC2D91"/>
    <w:rsid w:val="66E101FB"/>
    <w:rsid w:val="66E31E33"/>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D87B11"/>
    <w:rsid w:val="68DA5BAB"/>
    <w:rsid w:val="68DC7647"/>
    <w:rsid w:val="68DD019B"/>
    <w:rsid w:val="68E65F5E"/>
    <w:rsid w:val="68EC147D"/>
    <w:rsid w:val="68F3077A"/>
    <w:rsid w:val="69280027"/>
    <w:rsid w:val="69286EE4"/>
    <w:rsid w:val="692C1018"/>
    <w:rsid w:val="693410C2"/>
    <w:rsid w:val="69377A2E"/>
    <w:rsid w:val="69567CE1"/>
    <w:rsid w:val="69610AF4"/>
    <w:rsid w:val="69711181"/>
    <w:rsid w:val="69724F1B"/>
    <w:rsid w:val="697C45DD"/>
    <w:rsid w:val="6980390A"/>
    <w:rsid w:val="69A00347"/>
    <w:rsid w:val="69A377E4"/>
    <w:rsid w:val="69A60D09"/>
    <w:rsid w:val="69C451FB"/>
    <w:rsid w:val="69C67F6C"/>
    <w:rsid w:val="69D00BC4"/>
    <w:rsid w:val="69DB32EB"/>
    <w:rsid w:val="69DF6640"/>
    <w:rsid w:val="69EB1780"/>
    <w:rsid w:val="69EB79D2"/>
    <w:rsid w:val="6A1011E7"/>
    <w:rsid w:val="6A311E94"/>
    <w:rsid w:val="6A61482D"/>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6151E"/>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26189"/>
    <w:rsid w:val="6C786C1F"/>
    <w:rsid w:val="6C8A4985"/>
    <w:rsid w:val="6C9500C9"/>
    <w:rsid w:val="6C963F34"/>
    <w:rsid w:val="6CCA7D73"/>
    <w:rsid w:val="6CD04C5E"/>
    <w:rsid w:val="6CD7713F"/>
    <w:rsid w:val="6CD81D64"/>
    <w:rsid w:val="6CF277BB"/>
    <w:rsid w:val="6CF67414"/>
    <w:rsid w:val="6D1949E6"/>
    <w:rsid w:val="6D301BA0"/>
    <w:rsid w:val="6D40341E"/>
    <w:rsid w:val="6D413222"/>
    <w:rsid w:val="6D4C69DA"/>
    <w:rsid w:val="6D527D69"/>
    <w:rsid w:val="6D582FC7"/>
    <w:rsid w:val="6D594C5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407BC1"/>
    <w:rsid w:val="6E437238"/>
    <w:rsid w:val="6E46551E"/>
    <w:rsid w:val="6E48779E"/>
    <w:rsid w:val="6E4B6C92"/>
    <w:rsid w:val="6E557B10"/>
    <w:rsid w:val="6E5830D8"/>
    <w:rsid w:val="6E723EE7"/>
    <w:rsid w:val="6E7C3A60"/>
    <w:rsid w:val="6E906D9A"/>
    <w:rsid w:val="6E934195"/>
    <w:rsid w:val="6E9C7DB8"/>
    <w:rsid w:val="6E9E63AA"/>
    <w:rsid w:val="6EBB19BE"/>
    <w:rsid w:val="6EBE21B5"/>
    <w:rsid w:val="6EF26375"/>
    <w:rsid w:val="6EFA027F"/>
    <w:rsid w:val="6F0D0A9A"/>
    <w:rsid w:val="6F1329A4"/>
    <w:rsid w:val="6F1E43A6"/>
    <w:rsid w:val="6F235C72"/>
    <w:rsid w:val="6F3026C9"/>
    <w:rsid w:val="6F331FED"/>
    <w:rsid w:val="6F3B6D06"/>
    <w:rsid w:val="6F4653F3"/>
    <w:rsid w:val="6F4A65BA"/>
    <w:rsid w:val="6F502086"/>
    <w:rsid w:val="6F510FBE"/>
    <w:rsid w:val="6F536D49"/>
    <w:rsid w:val="6F5873A6"/>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E7D34"/>
    <w:rsid w:val="70097E37"/>
    <w:rsid w:val="7012732D"/>
    <w:rsid w:val="701337DF"/>
    <w:rsid w:val="70251764"/>
    <w:rsid w:val="702B3CFA"/>
    <w:rsid w:val="702D3080"/>
    <w:rsid w:val="702F3D23"/>
    <w:rsid w:val="704C0A9F"/>
    <w:rsid w:val="7073057A"/>
    <w:rsid w:val="70746685"/>
    <w:rsid w:val="707A385E"/>
    <w:rsid w:val="708741CD"/>
    <w:rsid w:val="708B2763"/>
    <w:rsid w:val="708C0DAF"/>
    <w:rsid w:val="709A3F00"/>
    <w:rsid w:val="70AC7790"/>
    <w:rsid w:val="70BE04C1"/>
    <w:rsid w:val="70C1323B"/>
    <w:rsid w:val="70D25E29"/>
    <w:rsid w:val="70D96C86"/>
    <w:rsid w:val="70DC1223"/>
    <w:rsid w:val="70DF24FE"/>
    <w:rsid w:val="70E231B1"/>
    <w:rsid w:val="70E7213F"/>
    <w:rsid w:val="70E86455"/>
    <w:rsid w:val="70EB475C"/>
    <w:rsid w:val="70F37652"/>
    <w:rsid w:val="70F44F02"/>
    <w:rsid w:val="71002BCF"/>
    <w:rsid w:val="71030281"/>
    <w:rsid w:val="71097386"/>
    <w:rsid w:val="710A3200"/>
    <w:rsid w:val="71186BD3"/>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430D8D"/>
    <w:rsid w:val="724931F0"/>
    <w:rsid w:val="7254179F"/>
    <w:rsid w:val="726E11B5"/>
    <w:rsid w:val="72825C56"/>
    <w:rsid w:val="729C5585"/>
    <w:rsid w:val="72A76461"/>
    <w:rsid w:val="72A82F68"/>
    <w:rsid w:val="72AD502B"/>
    <w:rsid w:val="72B312A9"/>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631D"/>
    <w:rsid w:val="742C0EB1"/>
    <w:rsid w:val="74405851"/>
    <w:rsid w:val="74512C62"/>
    <w:rsid w:val="74553AD1"/>
    <w:rsid w:val="745D7CFB"/>
    <w:rsid w:val="74614968"/>
    <w:rsid w:val="74623E8C"/>
    <w:rsid w:val="747F1ECC"/>
    <w:rsid w:val="749F50D2"/>
    <w:rsid w:val="74AF051B"/>
    <w:rsid w:val="74C76EB4"/>
    <w:rsid w:val="74D24DF2"/>
    <w:rsid w:val="74FC0CE6"/>
    <w:rsid w:val="74FF6B82"/>
    <w:rsid w:val="751A116C"/>
    <w:rsid w:val="751B30C5"/>
    <w:rsid w:val="75265F5C"/>
    <w:rsid w:val="752E4063"/>
    <w:rsid w:val="754206C3"/>
    <w:rsid w:val="75717D36"/>
    <w:rsid w:val="75764E9E"/>
    <w:rsid w:val="757D0E15"/>
    <w:rsid w:val="75935F7B"/>
    <w:rsid w:val="759D5513"/>
    <w:rsid w:val="75BF1D13"/>
    <w:rsid w:val="75C643F3"/>
    <w:rsid w:val="75EB48B6"/>
    <w:rsid w:val="75F12173"/>
    <w:rsid w:val="76097038"/>
    <w:rsid w:val="760A6649"/>
    <w:rsid w:val="762A1F2B"/>
    <w:rsid w:val="7648529B"/>
    <w:rsid w:val="76494A96"/>
    <w:rsid w:val="764B59A7"/>
    <w:rsid w:val="764D2AF5"/>
    <w:rsid w:val="76522B87"/>
    <w:rsid w:val="765E708E"/>
    <w:rsid w:val="76642751"/>
    <w:rsid w:val="767331A5"/>
    <w:rsid w:val="76A07890"/>
    <w:rsid w:val="76A421E3"/>
    <w:rsid w:val="76A927F4"/>
    <w:rsid w:val="76B828EB"/>
    <w:rsid w:val="76DD0A99"/>
    <w:rsid w:val="76DD68F5"/>
    <w:rsid w:val="76E732D0"/>
    <w:rsid w:val="77083097"/>
    <w:rsid w:val="770E2F52"/>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110AD8"/>
    <w:rsid w:val="79246A5D"/>
    <w:rsid w:val="79273E57"/>
    <w:rsid w:val="792F1AEF"/>
    <w:rsid w:val="792F20B5"/>
    <w:rsid w:val="79390854"/>
    <w:rsid w:val="79425135"/>
    <w:rsid w:val="795E1E90"/>
    <w:rsid w:val="796270F7"/>
    <w:rsid w:val="79667547"/>
    <w:rsid w:val="79752E15"/>
    <w:rsid w:val="798139A7"/>
    <w:rsid w:val="79A0658C"/>
    <w:rsid w:val="79A344F3"/>
    <w:rsid w:val="79C66DEF"/>
    <w:rsid w:val="79DF5C9D"/>
    <w:rsid w:val="79E162E5"/>
    <w:rsid w:val="79ED77A5"/>
    <w:rsid w:val="7A044DC4"/>
    <w:rsid w:val="7A0E6035"/>
    <w:rsid w:val="7A17211E"/>
    <w:rsid w:val="7A212F9C"/>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3C2310"/>
    <w:rsid w:val="7C4D5B3E"/>
    <w:rsid w:val="7C5133FE"/>
    <w:rsid w:val="7C6D3C66"/>
    <w:rsid w:val="7C7575D0"/>
    <w:rsid w:val="7C86358B"/>
    <w:rsid w:val="7CAA04DB"/>
    <w:rsid w:val="7CB4634A"/>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1502D6"/>
    <w:rsid w:val="7E1650E1"/>
    <w:rsid w:val="7E176585"/>
    <w:rsid w:val="7E1F3157"/>
    <w:rsid w:val="7E201B39"/>
    <w:rsid w:val="7E2240DE"/>
    <w:rsid w:val="7E2429CB"/>
    <w:rsid w:val="7E2708C5"/>
    <w:rsid w:val="7E4576F9"/>
    <w:rsid w:val="7E4B683A"/>
    <w:rsid w:val="7E4E2D56"/>
    <w:rsid w:val="7E5833BE"/>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2F3506"/>
    <w:rsid w:val="7F33236A"/>
    <w:rsid w:val="7F4B19C8"/>
    <w:rsid w:val="7F531E4A"/>
    <w:rsid w:val="7F5325AB"/>
    <w:rsid w:val="7F601E71"/>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3"/>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cs="黑体"/>
      <w:szCs w:val="22"/>
    </w:rPr>
  </w:style>
  <w:style w:type="paragraph" w:styleId="7">
    <w:name w:val="annotation text"/>
    <w:basedOn w:val="1"/>
    <w:link w:val="75"/>
    <w:qFormat/>
    <w:uiPriority w:val="99"/>
    <w:pPr>
      <w:jc w:val="left"/>
    </w:pPr>
  </w:style>
  <w:style w:type="paragraph" w:styleId="8">
    <w:name w:val="Body Text"/>
    <w:basedOn w:val="1"/>
    <w:link w:val="52"/>
    <w:qFormat/>
    <w:uiPriority w:val="99"/>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39"/>
    <w:pPr>
      <w:ind w:left="1680" w:leftChars="800"/>
    </w:pPr>
    <w:rPr>
      <w:rFonts w:ascii="Calibri" w:hAnsi="Calibri" w:cs="黑体"/>
      <w:szCs w:val="22"/>
    </w:rPr>
  </w:style>
  <w:style w:type="paragraph" w:styleId="12">
    <w:name w:val="toc 3"/>
    <w:basedOn w:val="1"/>
    <w:next w:val="1"/>
    <w:qFormat/>
    <w:uiPriority w:val="39"/>
    <w:pPr>
      <w:ind w:left="840" w:leftChars="400"/>
    </w:pPr>
    <w:rPr>
      <w:rFonts w:ascii="Calibri" w:hAnsi="Calibri" w:cs="黑体"/>
      <w:szCs w:val="22"/>
    </w:rPr>
  </w:style>
  <w:style w:type="paragraph" w:styleId="13">
    <w:name w:val="Plain Text"/>
    <w:basedOn w:val="1"/>
    <w:link w:val="78"/>
    <w:unhideWhenUsed/>
    <w:qFormat/>
    <w:uiPriority w:val="0"/>
    <w:rPr>
      <w:rFonts w:ascii="宋体" w:hAnsi="Courier New" w:cs="Courier New"/>
      <w:szCs w:val="21"/>
    </w:rPr>
  </w:style>
  <w:style w:type="paragraph" w:styleId="14">
    <w:name w:val="toc 8"/>
    <w:basedOn w:val="1"/>
    <w:next w:val="1"/>
    <w:qFormat/>
    <w:uiPriority w:val="39"/>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60"/>
    <w:qFormat/>
    <w:uiPriority w:val="99"/>
    <w:rPr>
      <w:sz w:val="18"/>
      <w:szCs w:val="18"/>
    </w:rPr>
  </w:style>
  <w:style w:type="paragraph" w:styleId="17">
    <w:name w:val="footer"/>
    <w:basedOn w:val="1"/>
    <w:link w:val="65"/>
    <w:qFormat/>
    <w:uiPriority w:val="99"/>
    <w:pPr>
      <w:tabs>
        <w:tab w:val="center" w:pos="4153"/>
        <w:tab w:val="right" w:pos="8306"/>
      </w:tabs>
      <w:snapToGrid w:val="0"/>
      <w:jc w:val="left"/>
    </w:pPr>
    <w:rPr>
      <w:sz w:val="18"/>
      <w:szCs w:val="18"/>
    </w:rPr>
  </w:style>
  <w:style w:type="paragraph" w:styleId="1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caps/>
      <w:sz w:val="20"/>
      <w:szCs w:val="20"/>
    </w:rPr>
  </w:style>
  <w:style w:type="paragraph" w:styleId="20">
    <w:name w:val="toc 4"/>
    <w:basedOn w:val="1"/>
    <w:next w:val="1"/>
    <w:qFormat/>
    <w:uiPriority w:val="39"/>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39"/>
    <w:pPr>
      <w:ind w:left="2100" w:leftChars="1000"/>
    </w:pPr>
    <w:rPr>
      <w:rFonts w:ascii="Calibri" w:hAnsi="Calibri" w:cs="黑体"/>
      <w:szCs w:val="22"/>
    </w:rPr>
  </w:style>
  <w:style w:type="paragraph" w:styleId="23">
    <w:name w:val="toc 2"/>
    <w:basedOn w:val="1"/>
    <w:next w:val="1"/>
    <w:qFormat/>
    <w:uiPriority w:val="39"/>
    <w:pPr>
      <w:ind w:left="210"/>
      <w:jc w:val="left"/>
    </w:pPr>
    <w:rPr>
      <w:smallCaps/>
      <w:sz w:val="20"/>
      <w:szCs w:val="20"/>
    </w:rPr>
  </w:style>
  <w:style w:type="paragraph" w:styleId="24">
    <w:name w:val="toc 9"/>
    <w:basedOn w:val="1"/>
    <w:next w:val="1"/>
    <w:qFormat/>
    <w:uiPriority w:val="39"/>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annotation subject"/>
    <w:basedOn w:val="7"/>
    <w:next w:val="7"/>
    <w:link w:val="77"/>
    <w:qFormat/>
    <w:uiPriority w:val="0"/>
    <w:rPr>
      <w:b/>
      <w:bCs/>
    </w:rPr>
  </w:style>
  <w:style w:type="paragraph" w:styleId="28">
    <w:name w:val="Body Text First Indent"/>
    <w:basedOn w:val="8"/>
    <w:next w:val="1"/>
    <w:qFormat/>
    <w:uiPriority w:val="0"/>
    <w:pPr>
      <w:spacing w:line="275" w:lineRule="atLeast"/>
      <w:ind w:firstLine="420"/>
    </w:pPr>
    <w:rPr>
      <w:rFonts w:eastAsia="楷体"/>
      <w:kern w:val="1"/>
      <w:sz w:val="26"/>
      <w:szCs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hint="default"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99"/>
    <w:rPr>
      <w:color w:val="0000FF"/>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basedOn w:val="31"/>
    <w:qFormat/>
    <w:uiPriority w:val="99"/>
    <w:rPr>
      <w:sz w:val="21"/>
      <w:szCs w:val="21"/>
    </w:rPr>
  </w:style>
  <w:style w:type="character" w:styleId="42">
    <w:name w:val="HTML Cite"/>
    <w:basedOn w:val="31"/>
    <w:qFormat/>
    <w:uiPriority w:val="0"/>
  </w:style>
  <w:style w:type="character" w:styleId="43">
    <w:name w:val="HTML Keyboard"/>
    <w:basedOn w:val="31"/>
    <w:qFormat/>
    <w:uiPriority w:val="0"/>
    <w:rPr>
      <w:rFonts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6">
    <w:name w:val="BodyText"/>
    <w:basedOn w:val="1"/>
    <w:next w:val="1"/>
    <w:qFormat/>
    <w:uiPriority w:val="0"/>
    <w:pPr>
      <w:spacing w:after="120"/>
    </w:pPr>
  </w:style>
  <w:style w:type="paragraph" w:customStyle="1" w:styleId="4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
    <w:name w:val="Table Paragraph"/>
    <w:basedOn w:val="1"/>
    <w:qFormat/>
    <w:uiPriority w:val="1"/>
  </w:style>
  <w:style w:type="character" w:customStyle="1" w:styleId="49">
    <w:name w:val="正文文本 (2)_"/>
    <w:link w:val="50"/>
    <w:qFormat/>
    <w:uiPriority w:val="0"/>
    <w:rPr>
      <w:rFonts w:ascii="宋体" w:hAnsi="宋体"/>
      <w:kern w:val="0"/>
      <w:sz w:val="20"/>
      <w:szCs w:val="20"/>
    </w:rPr>
  </w:style>
  <w:style w:type="paragraph" w:customStyle="1" w:styleId="50">
    <w:name w:val="正文文本 (2)1"/>
    <w:basedOn w:val="1"/>
    <w:link w:val="49"/>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1">
    <w:name w:val="无间隔2"/>
    <w:basedOn w:val="1"/>
    <w:qFormat/>
    <w:uiPriority w:val="0"/>
    <w:pPr>
      <w:spacing w:line="400" w:lineRule="exact"/>
    </w:pPr>
    <w:rPr>
      <w:sz w:val="24"/>
    </w:rPr>
  </w:style>
  <w:style w:type="character" w:customStyle="1" w:styleId="52">
    <w:name w:val="正文文本 字符"/>
    <w:basedOn w:val="31"/>
    <w:link w:val="8"/>
    <w:qFormat/>
    <w:uiPriority w:val="99"/>
    <w:rPr>
      <w:kern w:val="2"/>
      <w:sz w:val="21"/>
      <w:szCs w:val="24"/>
    </w:rPr>
  </w:style>
  <w:style w:type="paragraph" w:customStyle="1" w:styleId="53">
    <w:name w:val="无间隔1"/>
    <w:basedOn w:val="1"/>
    <w:qFormat/>
    <w:uiPriority w:val="0"/>
    <w:pPr>
      <w:spacing w:line="400" w:lineRule="exact"/>
    </w:pPr>
    <w:rPr>
      <w:sz w:val="24"/>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UserStyle_186"/>
    <w:basedOn w:val="1"/>
    <w:qFormat/>
    <w:uiPriority w:val="0"/>
    <w:rPr>
      <w:rFonts w:ascii="宋体" w:hAnsi="宋体"/>
      <w:lang w:val="zh-CN" w:bidi="zh-CN"/>
    </w:rPr>
  </w:style>
  <w:style w:type="character" w:customStyle="1" w:styleId="56">
    <w:name w:val="NormalCharacter"/>
    <w:semiHidden/>
    <w:qFormat/>
    <w:uiPriority w:val="0"/>
  </w:style>
  <w:style w:type="paragraph" w:customStyle="1" w:styleId="57">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
    <w:name w:val="列表段落1"/>
    <w:basedOn w:val="1"/>
    <w:qFormat/>
    <w:uiPriority w:val="0"/>
    <w:pPr>
      <w:ind w:firstLine="420" w:firstLineChars="200"/>
    </w:pPr>
    <w:rPr>
      <w:sz w:val="28"/>
      <w:szCs w:val="28"/>
    </w:rPr>
  </w:style>
  <w:style w:type="paragraph" w:customStyle="1" w:styleId="59">
    <w:name w:val="招标正文"/>
    <w:basedOn w:val="1"/>
    <w:qFormat/>
    <w:uiPriority w:val="0"/>
    <w:pPr>
      <w:spacing w:line="300" w:lineRule="auto"/>
      <w:ind w:firstLine="420" w:firstLineChars="200"/>
    </w:pPr>
    <w:rPr>
      <w:rFonts w:ascii="Calibri" w:hAnsi="Calibri"/>
      <w:szCs w:val="18"/>
    </w:rPr>
  </w:style>
  <w:style w:type="character" w:customStyle="1" w:styleId="60">
    <w:name w:val="批注框文本 字符"/>
    <w:basedOn w:val="31"/>
    <w:link w:val="16"/>
    <w:qFormat/>
    <w:uiPriority w:val="99"/>
    <w:rPr>
      <w:kern w:val="2"/>
      <w:sz w:val="18"/>
      <w:szCs w:val="18"/>
    </w:rPr>
  </w:style>
  <w:style w:type="paragraph" w:customStyle="1" w:styleId="61">
    <w:name w:val="UserStyle_348"/>
    <w:basedOn w:val="1"/>
    <w:qFormat/>
    <w:uiPriority w:val="0"/>
    <w:pPr>
      <w:spacing w:line="288" w:lineRule="auto"/>
      <w:ind w:left="200" w:hanging="20"/>
      <w:textAlignment w:val="baseline"/>
    </w:pPr>
    <w:rPr>
      <w:color w:val="000000"/>
      <w:sz w:val="24"/>
    </w:rPr>
  </w:style>
  <w:style w:type="paragraph" w:styleId="62">
    <w:name w:val="List Paragraph"/>
    <w:basedOn w:val="1"/>
    <w:unhideWhenUsed/>
    <w:qFormat/>
    <w:uiPriority w:val="99"/>
    <w:pPr>
      <w:ind w:firstLine="420" w:firstLineChars="200"/>
    </w:pPr>
  </w:style>
  <w:style w:type="character" w:customStyle="1" w:styleId="63">
    <w:name w:val="标题 3 字符"/>
    <w:link w:val="4"/>
    <w:qFormat/>
    <w:uiPriority w:val="9"/>
    <w:rPr>
      <w:b/>
      <w:bCs/>
      <w:kern w:val="2"/>
      <w:sz w:val="32"/>
      <w:szCs w:val="32"/>
    </w:rPr>
  </w:style>
  <w:style w:type="character" w:customStyle="1" w:styleId="64">
    <w:name w:val="页眉 字符"/>
    <w:link w:val="18"/>
    <w:qFormat/>
    <w:uiPriority w:val="99"/>
    <w:rPr>
      <w:kern w:val="2"/>
      <w:sz w:val="18"/>
      <w:szCs w:val="18"/>
    </w:rPr>
  </w:style>
  <w:style w:type="character" w:customStyle="1" w:styleId="65">
    <w:name w:val="页脚 字符"/>
    <w:link w:val="17"/>
    <w:qFormat/>
    <w:uiPriority w:val="99"/>
    <w:rPr>
      <w:kern w:val="2"/>
      <w:sz w:val="18"/>
      <w:szCs w:val="18"/>
    </w:rPr>
  </w:style>
  <w:style w:type="character" w:customStyle="1" w:styleId="66">
    <w:name w:val="纯文本 Char"/>
    <w:link w:val="67"/>
    <w:qFormat/>
    <w:uiPriority w:val="0"/>
    <w:rPr>
      <w:rFonts w:ascii="黑体" w:eastAsia="黑体"/>
      <w:sz w:val="28"/>
      <w:lang w:eastAsia="en-US"/>
    </w:rPr>
  </w:style>
  <w:style w:type="paragraph" w:customStyle="1" w:styleId="67">
    <w:name w:val="纯文本1"/>
    <w:basedOn w:val="1"/>
    <w:link w:val="66"/>
    <w:qFormat/>
    <w:uiPriority w:val="0"/>
    <w:pPr>
      <w:spacing w:line="580" w:lineRule="exact"/>
      <w:ind w:right="-197" w:firstLine="200" w:firstLineChars="200"/>
    </w:pPr>
    <w:rPr>
      <w:rFonts w:ascii="黑体" w:eastAsia="黑体"/>
      <w:kern w:val="0"/>
      <w:sz w:val="28"/>
      <w:szCs w:val="20"/>
      <w:lang w:eastAsia="en-US"/>
    </w:rPr>
  </w:style>
  <w:style w:type="character" w:customStyle="1" w:styleId="68">
    <w:name w:val="批注引用1"/>
    <w:qFormat/>
    <w:uiPriority w:val="0"/>
    <w:rPr>
      <w:sz w:val="21"/>
      <w:szCs w:val="21"/>
    </w:rPr>
  </w:style>
  <w:style w:type="paragraph" w:customStyle="1" w:styleId="69">
    <w:name w:val="p0"/>
    <w:basedOn w:val="1"/>
    <w:qFormat/>
    <w:uiPriority w:val="0"/>
    <w:rPr>
      <w:szCs w:val="21"/>
    </w:rPr>
  </w:style>
  <w:style w:type="paragraph" w:customStyle="1" w:styleId="70">
    <w:name w:val="修订1"/>
    <w:qFormat/>
    <w:uiPriority w:val="99"/>
    <w:rPr>
      <w:rFonts w:ascii="Calibri" w:hAnsi="Calibri" w:eastAsia="宋体" w:cs="黑体"/>
      <w:kern w:val="2"/>
      <w:sz w:val="21"/>
      <w:szCs w:val="22"/>
      <w:lang w:val="en-US" w:eastAsia="zh-CN" w:bidi="ar-SA"/>
    </w:rPr>
  </w:style>
  <w:style w:type="paragraph" w:customStyle="1" w:styleId="7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2">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3">
    <w:name w:val="表体"/>
    <w:basedOn w:val="1"/>
    <w:next w:val="1"/>
    <w:qFormat/>
    <w:uiPriority w:val="0"/>
    <w:pPr>
      <w:spacing w:line="0" w:lineRule="atLeast"/>
    </w:pPr>
    <w:rPr>
      <w:b/>
      <w:snapToGrid w:val="0"/>
      <w:szCs w:val="20"/>
    </w:rPr>
  </w:style>
  <w:style w:type="paragraph" w:customStyle="1" w:styleId="74">
    <w:name w:val="pa-34"/>
    <w:basedOn w:val="1"/>
    <w:qFormat/>
    <w:uiPriority w:val="0"/>
    <w:pPr>
      <w:widowControl/>
      <w:spacing w:line="360" w:lineRule="atLeast"/>
      <w:ind w:firstLine="420"/>
      <w:jc w:val="left"/>
    </w:pPr>
    <w:rPr>
      <w:rFonts w:ascii="宋体" w:hAnsi="宋体" w:cs="宋体"/>
      <w:kern w:val="0"/>
      <w:sz w:val="24"/>
    </w:rPr>
  </w:style>
  <w:style w:type="character" w:customStyle="1" w:styleId="75">
    <w:name w:val="批注文字 字符"/>
    <w:basedOn w:val="31"/>
    <w:link w:val="7"/>
    <w:qFormat/>
    <w:uiPriority w:val="99"/>
    <w:rPr>
      <w:kern w:val="2"/>
      <w:sz w:val="21"/>
      <w:szCs w:val="24"/>
    </w:rPr>
  </w:style>
  <w:style w:type="paragraph" w:customStyle="1" w:styleId="7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77">
    <w:name w:val="批注主题 字符"/>
    <w:basedOn w:val="75"/>
    <w:link w:val="27"/>
    <w:qFormat/>
    <w:uiPriority w:val="0"/>
    <w:rPr>
      <w:b/>
      <w:bCs/>
      <w:kern w:val="2"/>
      <w:sz w:val="21"/>
      <w:szCs w:val="24"/>
    </w:rPr>
  </w:style>
  <w:style w:type="character" w:customStyle="1" w:styleId="78">
    <w:name w:val="纯文本 字符"/>
    <w:basedOn w:val="31"/>
    <w:link w:val="13"/>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3396</Words>
  <Characters>3850</Characters>
  <Lines>360</Lines>
  <Paragraphs>101</Paragraphs>
  <TotalTime>20</TotalTime>
  <ScaleCrop>false</ScaleCrop>
  <LinksUpToDate>false</LinksUpToDate>
  <CharactersWithSpaces>3943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2024-07-17T23:47:00Z</dcterms:created>
  <dc:creator>xiaomi</dc:creator>
  <cp:lastModifiedBy>You-JW</cp:lastModifiedBy>
  <cp:lastPrinted>2023-08-04T09:00:00Z</cp:lastPrinted>
  <dcterms:modified xsi:type="dcterms:W3CDTF">2025-09-05T10:24:23Z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3E71866377744DCD950C26389015FC04_13</vt:lpwstr>
  </property>
  <property fmtid="{D5CDD505-2E9C-101B-9397-08002B2CF9AE}" pid="4" name="KSOTemplateDocerSaveRecord">
    <vt:lpwstr>eyJoZGlkIjoiODgxOWZkNGMyYThlMDYxNjI3NTA5MjhmZDhkOTdjMjEiLCJ1c2VySWQiOiI1OTEzMzMwMzgifQ==</vt:lpwstr>
  </property>
</Properties>
</file>