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D459B">
      <w:pPr>
        <w:pageBreakBefore w:val="0"/>
        <w:kinsoku/>
        <w:overflowPunct/>
        <w:topLinePunct w:val="0"/>
        <w:bidi w:val="0"/>
        <w:spacing w:line="336" w:lineRule="auto"/>
        <w:jc w:val="both"/>
        <w:textAlignment w:val="auto"/>
        <w:outlineLvl w:val="0"/>
        <w:rPr>
          <w:rFonts w:hint="eastAsia" w:ascii="宋体" w:hAnsi="宋体" w:eastAsia="宋体" w:cs="宋体"/>
          <w:b/>
          <w:bCs/>
          <w:color w:val="auto"/>
          <w:spacing w:val="80"/>
          <w:sz w:val="96"/>
          <w:szCs w:val="96"/>
        </w:rPr>
      </w:pPr>
      <w:bookmarkStart w:id="0" w:name="_Toc108545948"/>
      <w:bookmarkStart w:id="1" w:name="_Toc19609"/>
      <w:bookmarkStart w:id="2" w:name="_Toc16779"/>
      <w:bookmarkStart w:id="3" w:name="_Toc17591"/>
      <w:bookmarkStart w:id="4" w:name="_Toc7408"/>
      <w:bookmarkStart w:id="238" w:name="_GoBack"/>
      <w:bookmarkEnd w:id="238"/>
    </w:p>
    <w:p w14:paraId="4397DF14">
      <w:pPr>
        <w:pageBreakBefore w:val="0"/>
        <w:kinsoku/>
        <w:overflowPunct/>
        <w:topLinePunct w:val="0"/>
        <w:bidi w:val="0"/>
        <w:spacing w:line="336" w:lineRule="auto"/>
        <w:jc w:val="center"/>
        <w:textAlignment w:val="auto"/>
        <w:outlineLvl w:val="0"/>
        <w:rPr>
          <w:rFonts w:hint="eastAsia" w:ascii="宋体" w:hAnsi="宋体" w:eastAsia="宋体" w:cs="宋体"/>
          <w:b/>
          <w:bCs/>
          <w:color w:val="auto"/>
          <w:spacing w:val="80"/>
          <w:sz w:val="96"/>
          <w:szCs w:val="96"/>
        </w:rPr>
      </w:pPr>
      <w:bookmarkStart w:id="5" w:name="_Toc15370"/>
      <w:bookmarkStart w:id="6" w:name="_Toc3706"/>
      <w:bookmarkStart w:id="7" w:name="_Toc3011"/>
      <w:r>
        <w:rPr>
          <w:rFonts w:hint="eastAsia" w:ascii="宋体" w:hAnsi="宋体" w:eastAsia="宋体" w:cs="宋体"/>
          <w:b/>
          <w:bCs/>
          <w:color w:val="auto"/>
          <w:spacing w:val="80"/>
          <w:sz w:val="96"/>
          <w:szCs w:val="96"/>
        </w:rPr>
        <w:t>竞争性比选</w:t>
      </w:r>
      <w:bookmarkEnd w:id="0"/>
      <w:bookmarkStart w:id="8" w:name="_Toc108545949"/>
      <w:r>
        <w:rPr>
          <w:rFonts w:hint="eastAsia" w:ascii="宋体" w:hAnsi="宋体" w:eastAsia="宋体" w:cs="宋体"/>
          <w:b/>
          <w:bCs/>
          <w:color w:val="auto"/>
          <w:spacing w:val="80"/>
          <w:sz w:val="96"/>
          <w:szCs w:val="96"/>
        </w:rPr>
        <w:t>文件</w:t>
      </w:r>
      <w:bookmarkEnd w:id="1"/>
      <w:bookmarkEnd w:id="2"/>
      <w:bookmarkEnd w:id="3"/>
      <w:bookmarkEnd w:id="4"/>
      <w:bookmarkEnd w:id="5"/>
      <w:bookmarkEnd w:id="6"/>
      <w:bookmarkEnd w:id="7"/>
      <w:bookmarkEnd w:id="8"/>
    </w:p>
    <w:p w14:paraId="68CEB88F">
      <w:pPr>
        <w:pageBreakBefore w:val="0"/>
        <w:kinsoku/>
        <w:overflowPunct/>
        <w:topLinePunct w:val="0"/>
        <w:bidi w:val="0"/>
        <w:spacing w:line="336" w:lineRule="auto"/>
        <w:jc w:val="center"/>
        <w:textAlignment w:val="auto"/>
        <w:rPr>
          <w:rFonts w:hint="eastAsia" w:ascii="宋体" w:hAnsi="宋体" w:eastAsia="宋体" w:cs="宋体"/>
          <w:b/>
          <w:bCs/>
          <w:color w:val="auto"/>
          <w:spacing w:val="80"/>
          <w:sz w:val="44"/>
          <w:szCs w:val="44"/>
        </w:rPr>
      </w:pPr>
    </w:p>
    <w:p w14:paraId="7997C6DB">
      <w:pPr>
        <w:pageBreakBefore w:val="0"/>
        <w:kinsoku/>
        <w:overflowPunct/>
        <w:topLinePunct w:val="0"/>
        <w:bidi w:val="0"/>
        <w:spacing w:line="336" w:lineRule="auto"/>
        <w:jc w:val="center"/>
        <w:textAlignment w:val="auto"/>
        <w:rPr>
          <w:rFonts w:hint="eastAsia" w:ascii="宋体" w:hAnsi="宋体" w:eastAsia="宋体" w:cs="宋体"/>
          <w:b/>
          <w:bCs/>
          <w:color w:val="auto"/>
          <w:spacing w:val="80"/>
          <w:sz w:val="44"/>
          <w:szCs w:val="44"/>
        </w:rPr>
      </w:pPr>
    </w:p>
    <w:p w14:paraId="23E45016">
      <w:pPr>
        <w:pageBreakBefore w:val="0"/>
        <w:kinsoku/>
        <w:overflowPunct/>
        <w:topLinePunct w:val="0"/>
        <w:bidi w:val="0"/>
        <w:spacing w:line="336" w:lineRule="auto"/>
        <w:jc w:val="center"/>
        <w:textAlignment w:val="auto"/>
        <w:rPr>
          <w:rFonts w:hint="eastAsia" w:ascii="宋体" w:hAnsi="宋体" w:eastAsia="宋体" w:cs="宋体"/>
          <w:color w:val="auto"/>
          <w:sz w:val="22"/>
          <w:szCs w:val="22"/>
        </w:rPr>
      </w:pPr>
      <w:r>
        <w:rPr>
          <w:rFonts w:hint="eastAsia" w:ascii="宋体" w:hAnsi="宋体" w:eastAsia="宋体" w:cs="宋体"/>
          <w:b/>
          <w:bCs/>
          <w:color w:val="auto"/>
          <w:spacing w:val="80"/>
          <w:sz w:val="44"/>
          <w:szCs w:val="44"/>
        </w:rPr>
        <w:t>（综合评分法）</w:t>
      </w:r>
    </w:p>
    <w:p w14:paraId="4D309AC4">
      <w:pPr>
        <w:pageBreakBefore w:val="0"/>
        <w:kinsoku/>
        <w:overflowPunct/>
        <w:topLinePunct w:val="0"/>
        <w:bidi w:val="0"/>
        <w:spacing w:line="336" w:lineRule="auto"/>
        <w:textAlignment w:val="auto"/>
        <w:rPr>
          <w:rFonts w:hint="eastAsia" w:ascii="宋体" w:hAnsi="宋体" w:eastAsia="宋体" w:cs="宋体"/>
          <w:color w:val="auto"/>
          <w:sz w:val="28"/>
          <w:szCs w:val="22"/>
        </w:rPr>
      </w:pPr>
    </w:p>
    <w:p w14:paraId="7EC63EAA">
      <w:pPr>
        <w:pageBreakBefore w:val="0"/>
        <w:kinsoku/>
        <w:overflowPunct/>
        <w:topLinePunct w:val="0"/>
        <w:bidi w:val="0"/>
        <w:spacing w:line="336" w:lineRule="auto"/>
        <w:textAlignment w:val="auto"/>
        <w:rPr>
          <w:rFonts w:hint="eastAsia" w:ascii="宋体" w:hAnsi="宋体" w:eastAsia="宋体" w:cs="宋体"/>
          <w:b/>
          <w:color w:val="auto"/>
          <w:sz w:val="32"/>
          <w:szCs w:val="22"/>
        </w:rPr>
      </w:pPr>
    </w:p>
    <w:p w14:paraId="6244FE12">
      <w:pPr>
        <w:pageBreakBefore w:val="0"/>
        <w:kinsoku/>
        <w:overflowPunct/>
        <w:topLinePunct w:val="0"/>
        <w:bidi w:val="0"/>
        <w:spacing w:line="336" w:lineRule="auto"/>
        <w:textAlignment w:val="auto"/>
        <w:rPr>
          <w:rFonts w:hint="default" w:ascii="宋体" w:hAnsi="宋体" w:eastAsia="宋体" w:cs="宋体"/>
          <w:b/>
          <w:color w:val="auto"/>
          <w:sz w:val="30"/>
          <w:szCs w:val="30"/>
          <w:lang w:val="en-US" w:eastAsia="zh-CN"/>
        </w:rPr>
      </w:pPr>
      <w:r>
        <w:rPr>
          <w:rFonts w:hint="eastAsia" w:cs="宋体"/>
          <w:b/>
          <w:color w:val="auto"/>
          <w:sz w:val="30"/>
          <w:szCs w:val="30"/>
          <w:lang w:val="en-US" w:eastAsia="zh-CN"/>
        </w:rPr>
        <w:t xml:space="preserve">项目编号： CQCLZ250821 </w:t>
      </w:r>
    </w:p>
    <w:p w14:paraId="05EE5330">
      <w:pPr>
        <w:pageBreakBefore w:val="0"/>
        <w:kinsoku/>
        <w:overflowPunct/>
        <w:topLinePunct w:val="0"/>
        <w:bidi w:val="0"/>
        <w:spacing w:line="336" w:lineRule="auto"/>
        <w:jc w:val="both"/>
        <w:textAlignment w:val="auto"/>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rPr>
        <w:t>项目名称：</w:t>
      </w:r>
      <w:r>
        <w:rPr>
          <w:rFonts w:hint="eastAsia" w:cs="宋体"/>
          <w:b/>
          <w:color w:val="auto"/>
          <w:sz w:val="30"/>
          <w:szCs w:val="30"/>
          <w:lang w:eastAsia="zh-CN"/>
        </w:rPr>
        <w:t>重庆市龙门浩职业中学校教学楼采购安装电梯项目</w:t>
      </w:r>
    </w:p>
    <w:p w14:paraId="4FBC924E">
      <w:pPr>
        <w:pageBreakBefore w:val="0"/>
        <w:kinsoku/>
        <w:overflowPunct/>
        <w:topLinePunct w:val="0"/>
        <w:bidi w:val="0"/>
        <w:spacing w:line="336" w:lineRule="auto"/>
        <w:textAlignment w:val="auto"/>
        <w:rPr>
          <w:rFonts w:hint="eastAsia" w:ascii="宋体" w:hAnsi="宋体" w:eastAsia="宋体" w:cs="宋体"/>
          <w:color w:val="auto"/>
          <w:sz w:val="22"/>
          <w:szCs w:val="22"/>
        </w:rPr>
      </w:pPr>
    </w:p>
    <w:p w14:paraId="4E5D949E">
      <w:pPr>
        <w:pageBreakBefore w:val="0"/>
        <w:kinsoku/>
        <w:overflowPunct/>
        <w:topLinePunct w:val="0"/>
        <w:bidi w:val="0"/>
        <w:spacing w:line="336" w:lineRule="auto"/>
        <w:textAlignment w:val="auto"/>
        <w:rPr>
          <w:rFonts w:hint="eastAsia" w:ascii="宋体" w:hAnsi="宋体" w:eastAsia="宋体" w:cs="宋体"/>
          <w:color w:val="auto"/>
          <w:sz w:val="22"/>
          <w:szCs w:val="22"/>
        </w:rPr>
      </w:pPr>
    </w:p>
    <w:p w14:paraId="64030F94">
      <w:pPr>
        <w:pageBreakBefore w:val="0"/>
        <w:kinsoku/>
        <w:overflowPunct/>
        <w:topLinePunct w:val="0"/>
        <w:bidi w:val="0"/>
        <w:spacing w:line="336" w:lineRule="auto"/>
        <w:jc w:val="both"/>
        <w:textAlignment w:val="auto"/>
        <w:rPr>
          <w:rFonts w:hint="eastAsia" w:ascii="宋体" w:hAnsi="宋体" w:eastAsia="宋体" w:cs="宋体"/>
          <w:b/>
          <w:color w:val="auto"/>
          <w:kern w:val="2"/>
          <w:sz w:val="32"/>
          <w:szCs w:val="22"/>
        </w:rPr>
      </w:pPr>
    </w:p>
    <w:p w14:paraId="53E37A4F">
      <w:pPr>
        <w:pageBreakBefore w:val="0"/>
        <w:kinsoku/>
        <w:overflowPunct/>
        <w:topLinePunct w:val="0"/>
        <w:bidi w:val="0"/>
        <w:spacing w:line="336" w:lineRule="auto"/>
        <w:jc w:val="center"/>
        <w:textAlignment w:val="auto"/>
        <w:rPr>
          <w:rFonts w:hint="eastAsia" w:ascii="宋体" w:hAnsi="宋体" w:eastAsia="宋体" w:cs="宋体"/>
          <w:b/>
          <w:color w:val="auto"/>
          <w:kern w:val="2"/>
          <w:sz w:val="32"/>
          <w:szCs w:val="22"/>
        </w:rPr>
      </w:pPr>
    </w:p>
    <w:p w14:paraId="4EFE14EC">
      <w:pPr>
        <w:pageBreakBefore w:val="0"/>
        <w:kinsoku/>
        <w:overflowPunct/>
        <w:topLinePunct w:val="0"/>
        <w:bidi w:val="0"/>
        <w:spacing w:line="336" w:lineRule="auto"/>
        <w:jc w:val="center"/>
        <w:textAlignment w:val="auto"/>
        <w:rPr>
          <w:rFonts w:hint="eastAsia" w:ascii="宋体" w:hAnsi="宋体" w:eastAsia="宋体" w:cs="宋体"/>
          <w:b/>
          <w:color w:val="auto"/>
          <w:kern w:val="2"/>
          <w:sz w:val="32"/>
          <w:szCs w:val="24"/>
          <w:lang w:val="en-US" w:eastAsia="zh-CN"/>
        </w:rPr>
      </w:pPr>
      <w:r>
        <w:rPr>
          <w:rFonts w:hint="eastAsia" w:ascii="宋体" w:hAnsi="宋体" w:eastAsia="宋体" w:cs="宋体"/>
          <w:b/>
          <w:color w:val="auto"/>
          <w:kern w:val="2"/>
          <w:sz w:val="32"/>
          <w:szCs w:val="22"/>
        </w:rPr>
        <w:t>采购人：</w:t>
      </w:r>
      <w:r>
        <w:rPr>
          <w:rFonts w:hint="eastAsia" w:cs="宋体"/>
          <w:b/>
          <w:color w:val="auto"/>
          <w:sz w:val="32"/>
          <w:szCs w:val="22"/>
          <w:lang w:eastAsia="zh-CN"/>
        </w:rPr>
        <w:t>重庆市龙门浩职业中学校</w:t>
      </w:r>
    </w:p>
    <w:p w14:paraId="0BEFC8DA">
      <w:pPr>
        <w:pageBreakBefore w:val="0"/>
        <w:kinsoku/>
        <w:overflowPunct/>
        <w:topLinePunct w:val="0"/>
        <w:bidi w:val="0"/>
        <w:spacing w:line="336" w:lineRule="auto"/>
        <w:jc w:val="center"/>
        <w:textAlignment w:val="auto"/>
        <w:rPr>
          <w:rFonts w:hint="default" w:ascii="宋体" w:hAnsi="宋体" w:eastAsia="宋体" w:cs="宋体"/>
          <w:color w:val="auto"/>
          <w:sz w:val="28"/>
          <w:szCs w:val="28"/>
          <w:lang w:val="en-US" w:eastAsia="zh-CN"/>
        </w:rPr>
      </w:pPr>
      <w:r>
        <w:rPr>
          <w:rFonts w:hint="eastAsia" w:ascii="宋体" w:hAnsi="宋体" w:eastAsia="宋体" w:cs="宋体"/>
          <w:b/>
          <w:color w:val="auto"/>
          <w:sz w:val="32"/>
          <w:szCs w:val="22"/>
        </w:rPr>
        <w:t>采购代理机构：</w:t>
      </w:r>
      <w:r>
        <w:rPr>
          <w:rFonts w:hint="eastAsia" w:cs="宋体"/>
          <w:b/>
          <w:color w:val="auto"/>
          <w:sz w:val="32"/>
          <w:szCs w:val="22"/>
          <w:lang w:val="en-US" w:eastAsia="zh-CN"/>
        </w:rPr>
        <w:t>重庆车厘子建设工程咨询有限公司</w:t>
      </w:r>
    </w:p>
    <w:p w14:paraId="41718135">
      <w:pPr>
        <w:pageBreakBefore w:val="0"/>
        <w:kinsoku/>
        <w:overflowPunct/>
        <w:topLinePunct w:val="0"/>
        <w:bidi w:val="0"/>
        <w:spacing w:line="336" w:lineRule="auto"/>
        <w:jc w:val="center"/>
        <w:textAlignment w:val="auto"/>
        <w:rPr>
          <w:rFonts w:hint="eastAsia" w:ascii="宋体" w:hAnsi="宋体" w:eastAsia="宋体" w:cs="宋体"/>
          <w:b/>
          <w:color w:val="auto"/>
          <w:sz w:val="32"/>
          <w:szCs w:val="22"/>
          <w:lang w:eastAsia="zh-CN"/>
        </w:rPr>
      </w:pPr>
      <w:r>
        <w:rPr>
          <w:rFonts w:hint="eastAsia" w:ascii="宋体" w:hAnsi="宋体" w:eastAsia="宋体" w:cs="宋体"/>
          <w:b/>
          <w:color w:val="auto"/>
          <w:sz w:val="32"/>
          <w:szCs w:val="22"/>
          <w:lang w:eastAsia="zh-CN"/>
        </w:rPr>
        <w:t>二〇二</w:t>
      </w:r>
      <w:r>
        <w:rPr>
          <w:rFonts w:hint="eastAsia" w:cs="宋体"/>
          <w:b/>
          <w:color w:val="auto"/>
          <w:sz w:val="32"/>
          <w:szCs w:val="22"/>
          <w:lang w:val="en-US" w:eastAsia="zh-CN"/>
        </w:rPr>
        <w:t>五</w:t>
      </w:r>
      <w:r>
        <w:rPr>
          <w:rFonts w:hint="eastAsia" w:ascii="宋体" w:hAnsi="宋体" w:eastAsia="宋体" w:cs="宋体"/>
          <w:b/>
          <w:color w:val="auto"/>
          <w:sz w:val="32"/>
          <w:szCs w:val="22"/>
          <w:lang w:eastAsia="zh-CN"/>
        </w:rPr>
        <w:t>年</w:t>
      </w:r>
      <w:r>
        <w:rPr>
          <w:rFonts w:hint="eastAsia" w:cs="宋体"/>
          <w:b/>
          <w:color w:val="auto"/>
          <w:sz w:val="32"/>
          <w:szCs w:val="22"/>
          <w:lang w:val="en-US" w:eastAsia="zh-CN"/>
        </w:rPr>
        <w:t>八</w:t>
      </w:r>
      <w:r>
        <w:rPr>
          <w:rFonts w:hint="eastAsia" w:ascii="宋体" w:hAnsi="宋体" w:eastAsia="宋体" w:cs="宋体"/>
          <w:b/>
          <w:color w:val="auto"/>
          <w:sz w:val="32"/>
          <w:szCs w:val="22"/>
          <w:lang w:eastAsia="zh-CN"/>
        </w:rPr>
        <w:t>月</w:t>
      </w:r>
    </w:p>
    <w:p w14:paraId="0CFE994C">
      <w:pPr>
        <w:pageBreakBefore w:val="0"/>
        <w:tabs>
          <w:tab w:val="left" w:pos="1185"/>
          <w:tab w:val="center" w:pos="4156"/>
          <w:tab w:val="left" w:pos="7095"/>
        </w:tabs>
        <w:kinsoku/>
        <w:overflowPunct/>
        <w:topLinePunct w:val="0"/>
        <w:bidi w:val="0"/>
        <w:spacing w:line="336" w:lineRule="auto"/>
        <w:textAlignment w:val="auto"/>
        <w:rPr>
          <w:rFonts w:hint="eastAsia" w:ascii="宋体" w:hAnsi="宋体" w:eastAsia="宋体" w:cs="宋体"/>
          <w:color w:val="auto"/>
          <w:sz w:val="22"/>
          <w:szCs w:val="22"/>
        </w:rPr>
        <w:sectPr>
          <w:headerReference r:id="rId5" w:type="first"/>
          <w:headerReference r:id="rId3" w:type="default"/>
          <w:footerReference r:id="rId6" w:type="default"/>
          <w:headerReference r:id="rId4" w:type="even"/>
          <w:footerReference r:id="rId7" w:type="even"/>
          <w:pgSz w:w="11907" w:h="16840"/>
          <w:pgMar w:top="1440" w:right="1080" w:bottom="1440" w:left="1080" w:header="454" w:footer="567" w:gutter="0"/>
          <w:pgNumType w:fmt="numberInDash" w:start="1"/>
          <w:cols w:space="720" w:num="1"/>
          <w:titlePg/>
          <w:docGrid w:type="lines" w:linePitch="381" w:charSpace="-5735"/>
        </w:sectPr>
      </w:pPr>
    </w:p>
    <w:p w14:paraId="4B130A85">
      <w:pPr>
        <w:keepNext w:val="0"/>
        <w:keepLines w:val="0"/>
        <w:pageBreakBefore w:val="0"/>
        <w:widowControl/>
        <w:tabs>
          <w:tab w:val="left" w:pos="1185"/>
          <w:tab w:val="center" w:pos="4156"/>
          <w:tab w:val="left" w:pos="7095"/>
        </w:tabs>
        <w:kinsoku/>
        <w:wordWrap/>
        <w:overflowPunct/>
        <w:topLinePunct w:val="0"/>
        <w:autoSpaceDE/>
        <w:autoSpaceDN/>
        <w:bidi w:val="0"/>
        <w:adjustRightInd/>
        <w:snapToGrid w:val="0"/>
        <w:spacing w:line="336" w:lineRule="auto"/>
        <w:jc w:val="center"/>
        <w:textAlignment w:val="auto"/>
        <w:rPr>
          <w:rFonts w:hint="eastAsia" w:ascii="宋体" w:hAnsi="宋体" w:eastAsia="宋体" w:cs="宋体"/>
          <w:b/>
          <w:bCs/>
          <w:color w:val="auto"/>
          <w:sz w:val="40"/>
          <w:szCs w:val="40"/>
        </w:rPr>
      </w:pPr>
      <w:r>
        <w:rPr>
          <w:rFonts w:hint="eastAsia" w:ascii="宋体" w:hAnsi="宋体" w:eastAsia="宋体" w:cs="宋体"/>
          <w:b/>
          <w:bCs/>
          <w:color w:val="auto"/>
          <w:sz w:val="40"/>
          <w:szCs w:val="40"/>
        </w:rPr>
        <w:t>目  录</w:t>
      </w:r>
    </w:p>
    <w:p w14:paraId="5E4B7873">
      <w:pPr>
        <w:pStyle w:val="18"/>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color w:val="auto"/>
        </w:rPr>
        <w:instrText xml:space="preserve">TOC \o "1-2" \h \u </w:instrText>
      </w:r>
      <w:r>
        <w:rPr>
          <w:rFonts w:hint="eastAsia" w:ascii="宋体" w:hAnsi="宋体" w:eastAsia="宋体" w:cs="宋体"/>
          <w:color w:val="auto"/>
        </w:rPr>
        <w:fldChar w:fldCharType="separate"/>
      </w:r>
      <w:r>
        <w:rPr>
          <w:rFonts w:hint="eastAsia" w:ascii="宋体" w:hAnsi="宋体" w:eastAsia="宋体" w:cs="宋体"/>
          <w:color w:val="auto"/>
        </w:rPr>
        <w:fldChar w:fldCharType="begin"/>
      </w:r>
      <w:r>
        <w:rPr>
          <w:rFonts w:hint="eastAsia" w:ascii="宋体" w:hAnsi="宋体" w:eastAsia="宋体" w:cs="宋体"/>
        </w:rPr>
        <w:instrText xml:space="preserve"> HYPERLINK \l _Toc1524 </w:instrText>
      </w:r>
      <w:r>
        <w:rPr>
          <w:rFonts w:hint="eastAsia" w:ascii="宋体" w:hAnsi="宋体" w:eastAsia="宋体" w:cs="宋体"/>
        </w:rPr>
        <w:fldChar w:fldCharType="separate"/>
      </w:r>
      <w:r>
        <w:rPr>
          <w:rFonts w:hint="eastAsia" w:ascii="宋体" w:hAnsi="宋体" w:eastAsia="宋体" w:cs="宋体"/>
          <w:szCs w:val="36"/>
        </w:rPr>
        <w:t>第一篇  比选邀请书</w:t>
      </w:r>
      <w:r>
        <w:tab/>
      </w:r>
      <w:r>
        <w:fldChar w:fldCharType="begin"/>
      </w:r>
      <w:r>
        <w:instrText xml:space="preserve"> PAGEREF _Toc1524 \h </w:instrText>
      </w:r>
      <w:r>
        <w:fldChar w:fldCharType="separate"/>
      </w:r>
      <w:r>
        <w:t>- 1 -</w:t>
      </w:r>
      <w:r>
        <w:fldChar w:fldCharType="end"/>
      </w:r>
      <w:r>
        <w:rPr>
          <w:rFonts w:hint="eastAsia" w:ascii="宋体" w:hAnsi="宋体" w:eastAsia="宋体" w:cs="宋体"/>
          <w:color w:val="auto"/>
        </w:rPr>
        <w:fldChar w:fldCharType="end"/>
      </w:r>
    </w:p>
    <w:p w14:paraId="5938BF17">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_Toc14536 </w:instrText>
      </w:r>
      <w:r>
        <w:rPr>
          <w:rFonts w:hint="eastAsia" w:ascii="宋体" w:hAnsi="宋体" w:eastAsia="宋体" w:cs="宋体"/>
        </w:rPr>
        <w:fldChar w:fldCharType="separate"/>
      </w:r>
      <w:r>
        <w:rPr>
          <w:rFonts w:hint="eastAsia" w:ascii="宋体" w:hAnsi="宋体" w:eastAsia="宋体" w:cs="宋体"/>
          <w:szCs w:val="24"/>
        </w:rPr>
        <w:t>一、比选项目内容</w:t>
      </w:r>
      <w:r>
        <w:tab/>
      </w:r>
      <w:r>
        <w:fldChar w:fldCharType="begin"/>
      </w:r>
      <w:r>
        <w:instrText xml:space="preserve"> PAGEREF _Toc14536 \h </w:instrText>
      </w:r>
      <w:r>
        <w:fldChar w:fldCharType="separate"/>
      </w:r>
      <w:r>
        <w:t>- 1 -</w:t>
      </w:r>
      <w:r>
        <w:fldChar w:fldCharType="end"/>
      </w:r>
      <w:r>
        <w:rPr>
          <w:rFonts w:hint="eastAsia" w:ascii="宋体" w:hAnsi="宋体" w:eastAsia="宋体" w:cs="宋体"/>
          <w:color w:val="auto"/>
        </w:rPr>
        <w:fldChar w:fldCharType="end"/>
      </w:r>
    </w:p>
    <w:p w14:paraId="4531D14D">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_Toc12673 </w:instrText>
      </w:r>
      <w:r>
        <w:rPr>
          <w:rFonts w:hint="eastAsia" w:ascii="宋体" w:hAnsi="宋体" w:eastAsia="宋体" w:cs="宋体"/>
        </w:rPr>
        <w:fldChar w:fldCharType="separate"/>
      </w:r>
      <w:r>
        <w:rPr>
          <w:rFonts w:hint="eastAsia" w:ascii="宋体" w:hAnsi="宋体" w:eastAsia="宋体" w:cs="宋体"/>
          <w:szCs w:val="24"/>
        </w:rPr>
        <w:t>二、</w:t>
      </w:r>
      <w:r>
        <w:rPr>
          <w:rFonts w:hint="eastAsia" w:ascii="宋体" w:hAnsi="宋体" w:eastAsia="宋体" w:cs="宋体"/>
          <w:szCs w:val="24"/>
          <w:highlight w:val="none"/>
        </w:rPr>
        <w:t>资金来源</w:t>
      </w:r>
      <w:r>
        <w:tab/>
      </w:r>
      <w:r>
        <w:fldChar w:fldCharType="begin"/>
      </w:r>
      <w:r>
        <w:instrText xml:space="preserve"> PAGEREF _Toc12673 \h </w:instrText>
      </w:r>
      <w:r>
        <w:fldChar w:fldCharType="separate"/>
      </w:r>
      <w:r>
        <w:t>- 1 -</w:t>
      </w:r>
      <w:r>
        <w:fldChar w:fldCharType="end"/>
      </w:r>
      <w:r>
        <w:rPr>
          <w:rFonts w:hint="eastAsia" w:ascii="宋体" w:hAnsi="宋体" w:eastAsia="宋体" w:cs="宋体"/>
          <w:color w:val="auto"/>
        </w:rPr>
        <w:fldChar w:fldCharType="end"/>
      </w:r>
    </w:p>
    <w:p w14:paraId="76E3FE48">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_Toc2794 </w:instrText>
      </w:r>
      <w:r>
        <w:rPr>
          <w:rFonts w:hint="eastAsia" w:ascii="宋体" w:hAnsi="宋体" w:eastAsia="宋体" w:cs="宋体"/>
        </w:rPr>
        <w:fldChar w:fldCharType="separate"/>
      </w:r>
      <w:r>
        <w:rPr>
          <w:rFonts w:hint="eastAsia" w:ascii="宋体" w:hAnsi="宋体" w:eastAsia="宋体" w:cs="宋体"/>
          <w:szCs w:val="24"/>
        </w:rPr>
        <w:t>三、资格要求</w:t>
      </w:r>
      <w:r>
        <w:tab/>
      </w:r>
      <w:r>
        <w:fldChar w:fldCharType="begin"/>
      </w:r>
      <w:r>
        <w:instrText xml:space="preserve"> PAGEREF _Toc2794 \h </w:instrText>
      </w:r>
      <w:r>
        <w:fldChar w:fldCharType="separate"/>
      </w:r>
      <w:r>
        <w:t>- 1 -</w:t>
      </w:r>
      <w:r>
        <w:fldChar w:fldCharType="end"/>
      </w:r>
      <w:r>
        <w:rPr>
          <w:rFonts w:hint="eastAsia" w:ascii="宋体" w:hAnsi="宋体" w:eastAsia="宋体" w:cs="宋体"/>
          <w:color w:val="auto"/>
        </w:rPr>
        <w:fldChar w:fldCharType="end"/>
      </w:r>
    </w:p>
    <w:p w14:paraId="744190D0">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_Toc3682 </w:instrText>
      </w:r>
      <w:r>
        <w:rPr>
          <w:rFonts w:hint="eastAsia" w:ascii="宋体" w:hAnsi="宋体" w:eastAsia="宋体" w:cs="宋体"/>
        </w:rPr>
        <w:fldChar w:fldCharType="separate"/>
      </w:r>
      <w:r>
        <w:rPr>
          <w:rFonts w:hint="eastAsia" w:ascii="宋体" w:hAnsi="宋体" w:eastAsia="宋体" w:cs="宋体"/>
          <w:szCs w:val="24"/>
        </w:rPr>
        <w:t>四、比选有关说明</w:t>
      </w:r>
      <w:r>
        <w:tab/>
      </w:r>
      <w:r>
        <w:fldChar w:fldCharType="begin"/>
      </w:r>
      <w:r>
        <w:instrText xml:space="preserve"> PAGEREF _Toc3682 \h </w:instrText>
      </w:r>
      <w:r>
        <w:fldChar w:fldCharType="separate"/>
      </w:r>
      <w:r>
        <w:t>- 2 -</w:t>
      </w:r>
      <w:r>
        <w:fldChar w:fldCharType="end"/>
      </w:r>
      <w:r>
        <w:rPr>
          <w:rFonts w:hint="eastAsia" w:ascii="宋体" w:hAnsi="宋体" w:eastAsia="宋体" w:cs="宋体"/>
          <w:color w:val="auto"/>
        </w:rPr>
        <w:fldChar w:fldCharType="end"/>
      </w:r>
    </w:p>
    <w:p w14:paraId="394CCAB4">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_Toc1422 </w:instrText>
      </w:r>
      <w:r>
        <w:rPr>
          <w:rFonts w:hint="eastAsia" w:ascii="宋体" w:hAnsi="宋体" w:eastAsia="宋体" w:cs="宋体"/>
        </w:rPr>
        <w:fldChar w:fldCharType="separate"/>
      </w:r>
      <w:r>
        <w:rPr>
          <w:rFonts w:hint="eastAsia" w:ascii="宋体" w:hAnsi="宋体" w:eastAsia="宋体" w:cs="宋体"/>
          <w:szCs w:val="24"/>
          <w:highlight w:val="none"/>
        </w:rPr>
        <w:t>五、比选保证金</w:t>
      </w:r>
      <w:r>
        <w:tab/>
      </w:r>
      <w:r>
        <w:fldChar w:fldCharType="begin"/>
      </w:r>
      <w:r>
        <w:instrText xml:space="preserve"> PAGEREF _Toc1422 \h </w:instrText>
      </w:r>
      <w:r>
        <w:fldChar w:fldCharType="separate"/>
      </w:r>
      <w:r>
        <w:t>- 3 -</w:t>
      </w:r>
      <w:r>
        <w:fldChar w:fldCharType="end"/>
      </w:r>
      <w:r>
        <w:rPr>
          <w:rFonts w:hint="eastAsia" w:ascii="宋体" w:hAnsi="宋体" w:eastAsia="宋体" w:cs="宋体"/>
          <w:color w:val="auto"/>
        </w:rPr>
        <w:fldChar w:fldCharType="end"/>
      </w:r>
    </w:p>
    <w:p w14:paraId="331456F6">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_Toc18753 </w:instrText>
      </w:r>
      <w:r>
        <w:rPr>
          <w:rFonts w:hint="eastAsia" w:ascii="宋体" w:hAnsi="宋体" w:eastAsia="宋体" w:cs="宋体"/>
        </w:rPr>
        <w:fldChar w:fldCharType="separate"/>
      </w:r>
      <w:r>
        <w:rPr>
          <w:rFonts w:hint="eastAsia" w:ascii="宋体" w:hAnsi="宋体" w:eastAsia="宋体" w:cs="宋体"/>
          <w:szCs w:val="24"/>
        </w:rPr>
        <w:t>六、比选有关规定</w:t>
      </w:r>
      <w:r>
        <w:tab/>
      </w:r>
      <w:r>
        <w:fldChar w:fldCharType="begin"/>
      </w:r>
      <w:r>
        <w:instrText xml:space="preserve"> PAGEREF _Toc18753 \h </w:instrText>
      </w:r>
      <w:r>
        <w:fldChar w:fldCharType="separate"/>
      </w:r>
      <w:r>
        <w:t>- 4 -</w:t>
      </w:r>
      <w:r>
        <w:fldChar w:fldCharType="end"/>
      </w:r>
      <w:r>
        <w:rPr>
          <w:rFonts w:hint="eastAsia" w:ascii="宋体" w:hAnsi="宋体" w:eastAsia="宋体" w:cs="宋体"/>
          <w:color w:val="auto"/>
        </w:rPr>
        <w:fldChar w:fldCharType="end"/>
      </w:r>
    </w:p>
    <w:p w14:paraId="7BDD8536">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_Toc14514 </w:instrText>
      </w:r>
      <w:r>
        <w:rPr>
          <w:rFonts w:hint="eastAsia" w:ascii="宋体" w:hAnsi="宋体" w:eastAsia="宋体" w:cs="宋体"/>
        </w:rPr>
        <w:fldChar w:fldCharType="separate"/>
      </w:r>
      <w:r>
        <w:rPr>
          <w:rFonts w:hint="eastAsia" w:ascii="宋体" w:hAnsi="宋体" w:eastAsia="宋体" w:cs="宋体"/>
          <w:szCs w:val="24"/>
        </w:rPr>
        <w:t>七、联系方式</w:t>
      </w:r>
      <w:r>
        <w:tab/>
      </w:r>
      <w:r>
        <w:fldChar w:fldCharType="begin"/>
      </w:r>
      <w:r>
        <w:instrText xml:space="preserve"> PAGEREF _Toc14514 \h </w:instrText>
      </w:r>
      <w:r>
        <w:fldChar w:fldCharType="separate"/>
      </w:r>
      <w:r>
        <w:t>- 4 -</w:t>
      </w:r>
      <w:r>
        <w:fldChar w:fldCharType="end"/>
      </w:r>
      <w:r>
        <w:rPr>
          <w:rFonts w:hint="eastAsia" w:ascii="宋体" w:hAnsi="宋体" w:eastAsia="宋体" w:cs="宋体"/>
          <w:color w:val="auto"/>
        </w:rPr>
        <w:fldChar w:fldCharType="end"/>
      </w:r>
    </w:p>
    <w:p w14:paraId="7A708980">
      <w:pPr>
        <w:pStyle w:val="18"/>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_Toc22580 </w:instrText>
      </w:r>
      <w:r>
        <w:rPr>
          <w:rFonts w:hint="eastAsia" w:ascii="宋体" w:hAnsi="宋体" w:eastAsia="宋体" w:cs="宋体"/>
        </w:rPr>
        <w:fldChar w:fldCharType="separate"/>
      </w:r>
      <w:r>
        <w:rPr>
          <w:rFonts w:hint="eastAsia" w:ascii="宋体" w:hAnsi="宋体" w:eastAsia="宋体" w:cs="宋体"/>
          <w:bCs w:val="0"/>
        </w:rPr>
        <w:t>第</w:t>
      </w:r>
      <w:r>
        <w:rPr>
          <w:rFonts w:hint="eastAsia" w:ascii="宋体" w:hAnsi="宋体" w:cs="宋体"/>
          <w:bCs w:val="0"/>
          <w:lang w:val="en-US"/>
        </w:rPr>
        <w:t>二</w:t>
      </w:r>
      <w:r>
        <w:rPr>
          <w:rFonts w:hint="eastAsia" w:ascii="宋体" w:hAnsi="宋体" w:eastAsia="宋体" w:cs="宋体"/>
          <w:bCs w:val="0"/>
        </w:rPr>
        <w:t>篇  项目</w:t>
      </w:r>
      <w:r>
        <w:rPr>
          <w:rFonts w:hint="eastAsia" w:ascii="宋体" w:hAnsi="宋体" w:cs="宋体"/>
          <w:bCs w:val="0"/>
          <w:lang w:val="en-US"/>
        </w:rPr>
        <w:t>技术</w:t>
      </w:r>
      <w:r>
        <w:rPr>
          <w:rFonts w:hint="eastAsia" w:ascii="宋体" w:hAnsi="宋体" w:eastAsia="宋体" w:cs="宋体"/>
          <w:bCs w:val="0"/>
        </w:rPr>
        <w:t>需求</w:t>
      </w:r>
      <w:r>
        <w:tab/>
      </w:r>
      <w:r>
        <w:fldChar w:fldCharType="begin"/>
      </w:r>
      <w:r>
        <w:instrText xml:space="preserve"> PAGEREF _Toc22580 \h </w:instrText>
      </w:r>
      <w:r>
        <w:fldChar w:fldCharType="separate"/>
      </w:r>
      <w:r>
        <w:t>- 6 -</w:t>
      </w:r>
      <w:r>
        <w:fldChar w:fldCharType="end"/>
      </w:r>
      <w:r>
        <w:rPr>
          <w:rFonts w:hint="eastAsia" w:ascii="宋体" w:hAnsi="宋体" w:eastAsia="宋体" w:cs="宋体"/>
          <w:color w:val="auto"/>
        </w:rPr>
        <w:fldChar w:fldCharType="end"/>
      </w:r>
    </w:p>
    <w:p w14:paraId="488F9F4E">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_Toc6107 </w:instrText>
      </w:r>
      <w:r>
        <w:rPr>
          <w:rFonts w:hint="eastAsia" w:ascii="宋体" w:hAnsi="宋体" w:eastAsia="宋体" w:cs="宋体"/>
        </w:rPr>
        <w:fldChar w:fldCharType="separate"/>
      </w:r>
      <w:r>
        <w:rPr>
          <w:rFonts w:hint="eastAsia" w:ascii="宋体" w:hAnsi="宋体" w:eastAsia="宋体" w:cs="宋体"/>
          <w:szCs w:val="24"/>
        </w:rPr>
        <w:t>一</w:t>
      </w:r>
      <w:r>
        <w:rPr>
          <w:rFonts w:hint="eastAsia" w:ascii="宋体" w:hAnsi="宋体" w:eastAsia="宋体" w:cs="宋体"/>
          <w:szCs w:val="24"/>
          <w:highlight w:val="none"/>
        </w:rPr>
        <w:t>、项目基本概况介绍</w:t>
      </w:r>
      <w:r>
        <w:tab/>
      </w:r>
      <w:r>
        <w:fldChar w:fldCharType="begin"/>
      </w:r>
      <w:r>
        <w:instrText xml:space="preserve"> PAGEREF _Toc6107 \h </w:instrText>
      </w:r>
      <w:r>
        <w:fldChar w:fldCharType="separate"/>
      </w:r>
      <w:r>
        <w:t>- 6 -</w:t>
      </w:r>
      <w:r>
        <w:fldChar w:fldCharType="end"/>
      </w:r>
      <w:r>
        <w:rPr>
          <w:rFonts w:hint="eastAsia" w:ascii="宋体" w:hAnsi="宋体" w:eastAsia="宋体" w:cs="宋体"/>
          <w:color w:val="auto"/>
        </w:rPr>
        <w:fldChar w:fldCharType="end"/>
      </w:r>
    </w:p>
    <w:p w14:paraId="4E9AD21F">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_Toc1871 </w:instrText>
      </w:r>
      <w:r>
        <w:rPr>
          <w:rFonts w:hint="eastAsia" w:ascii="宋体" w:hAnsi="宋体" w:eastAsia="宋体" w:cs="宋体"/>
        </w:rPr>
        <w:fldChar w:fldCharType="separate"/>
      </w:r>
      <w:r>
        <w:rPr>
          <w:rFonts w:hint="eastAsia" w:ascii="宋体" w:hAnsi="宋体" w:eastAsia="宋体" w:cs="宋体"/>
          <w:szCs w:val="24"/>
          <w:lang w:eastAsia="zh-CN"/>
        </w:rPr>
        <w:t>二、信誉要求</w:t>
      </w:r>
      <w:r>
        <w:tab/>
      </w:r>
      <w:r>
        <w:fldChar w:fldCharType="begin"/>
      </w:r>
      <w:r>
        <w:instrText xml:space="preserve"> PAGEREF _Toc1871 \h </w:instrText>
      </w:r>
      <w:r>
        <w:fldChar w:fldCharType="separate"/>
      </w:r>
      <w:r>
        <w:t>- 6 -</w:t>
      </w:r>
      <w:r>
        <w:fldChar w:fldCharType="end"/>
      </w:r>
      <w:r>
        <w:rPr>
          <w:rFonts w:hint="eastAsia" w:ascii="宋体" w:hAnsi="宋体" w:eastAsia="宋体" w:cs="宋体"/>
          <w:color w:val="auto"/>
        </w:rPr>
        <w:fldChar w:fldCharType="end"/>
      </w:r>
    </w:p>
    <w:p w14:paraId="7CF9FB47">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_Toc21228 </w:instrText>
      </w:r>
      <w:r>
        <w:rPr>
          <w:rFonts w:hint="eastAsia" w:ascii="宋体" w:hAnsi="宋体" w:eastAsia="宋体" w:cs="宋体"/>
        </w:rPr>
        <w:fldChar w:fldCharType="separate"/>
      </w:r>
      <w:r>
        <w:rPr>
          <w:rFonts w:hint="eastAsia" w:ascii="宋体" w:hAnsi="宋体" w:eastAsia="宋体" w:cs="宋体"/>
          <w:bCs/>
          <w:lang w:eastAsia="zh-CN"/>
        </w:rPr>
        <w:t>三、</w:t>
      </w:r>
      <w:r>
        <w:rPr>
          <w:rFonts w:hint="eastAsia" w:cs="宋体"/>
          <w:bCs/>
          <w:lang w:val="en-US" w:eastAsia="zh-CN"/>
        </w:rPr>
        <w:t>安全生产</w:t>
      </w:r>
      <w:r>
        <w:tab/>
      </w:r>
      <w:r>
        <w:fldChar w:fldCharType="begin"/>
      </w:r>
      <w:r>
        <w:instrText xml:space="preserve"> PAGEREF _Toc21228 \h </w:instrText>
      </w:r>
      <w:r>
        <w:fldChar w:fldCharType="separate"/>
      </w:r>
      <w:r>
        <w:t>- 6 -</w:t>
      </w:r>
      <w:r>
        <w:fldChar w:fldCharType="end"/>
      </w:r>
      <w:r>
        <w:rPr>
          <w:rFonts w:hint="eastAsia" w:ascii="宋体" w:hAnsi="宋体" w:eastAsia="宋体" w:cs="宋体"/>
          <w:color w:val="auto"/>
        </w:rPr>
        <w:fldChar w:fldCharType="end"/>
      </w:r>
    </w:p>
    <w:p w14:paraId="528268CE">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_Toc29337 </w:instrText>
      </w:r>
      <w:r>
        <w:rPr>
          <w:rFonts w:hint="eastAsia" w:ascii="宋体" w:hAnsi="宋体" w:eastAsia="宋体" w:cs="宋体"/>
        </w:rPr>
        <w:fldChar w:fldCharType="separate"/>
      </w:r>
      <w:r>
        <w:rPr>
          <w:rFonts w:hint="eastAsia" w:cs="宋体"/>
          <w:bCs/>
          <w:lang w:val="en-US" w:eastAsia="zh-CN"/>
        </w:rPr>
        <w:t>四、安全措施</w:t>
      </w:r>
      <w:r>
        <w:tab/>
      </w:r>
      <w:r>
        <w:fldChar w:fldCharType="begin"/>
      </w:r>
      <w:r>
        <w:instrText xml:space="preserve"> PAGEREF _Toc29337 \h </w:instrText>
      </w:r>
      <w:r>
        <w:fldChar w:fldCharType="separate"/>
      </w:r>
      <w:r>
        <w:t>- 6 -</w:t>
      </w:r>
      <w:r>
        <w:fldChar w:fldCharType="end"/>
      </w:r>
      <w:r>
        <w:rPr>
          <w:rFonts w:hint="eastAsia" w:ascii="宋体" w:hAnsi="宋体" w:eastAsia="宋体" w:cs="宋体"/>
          <w:color w:val="auto"/>
        </w:rPr>
        <w:fldChar w:fldCharType="end"/>
      </w:r>
    </w:p>
    <w:p w14:paraId="314B1B21">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_Toc23223 </w:instrText>
      </w:r>
      <w:r>
        <w:rPr>
          <w:rFonts w:hint="eastAsia" w:ascii="宋体" w:hAnsi="宋体" w:eastAsia="宋体" w:cs="宋体"/>
        </w:rPr>
        <w:fldChar w:fldCharType="separate"/>
      </w:r>
      <w:r>
        <w:rPr>
          <w:rFonts w:hint="eastAsia" w:cs="宋体"/>
          <w:bCs/>
          <w:lang w:val="en-US" w:eastAsia="zh-CN"/>
        </w:rPr>
        <w:t>五、关于转、分包</w:t>
      </w:r>
      <w:r>
        <w:tab/>
      </w:r>
      <w:r>
        <w:fldChar w:fldCharType="begin"/>
      </w:r>
      <w:r>
        <w:instrText xml:space="preserve"> PAGEREF _Toc23223 \h </w:instrText>
      </w:r>
      <w:r>
        <w:fldChar w:fldCharType="separate"/>
      </w:r>
      <w:r>
        <w:t>- 6 -</w:t>
      </w:r>
      <w:r>
        <w:fldChar w:fldCharType="end"/>
      </w:r>
      <w:r>
        <w:rPr>
          <w:rFonts w:hint="eastAsia" w:ascii="宋体" w:hAnsi="宋体" w:eastAsia="宋体" w:cs="宋体"/>
          <w:color w:val="auto"/>
        </w:rPr>
        <w:fldChar w:fldCharType="end"/>
      </w:r>
    </w:p>
    <w:p w14:paraId="1296D301">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_Toc8415 </w:instrText>
      </w:r>
      <w:r>
        <w:rPr>
          <w:rFonts w:hint="eastAsia" w:ascii="宋体" w:hAnsi="宋体" w:eastAsia="宋体" w:cs="宋体"/>
        </w:rPr>
        <w:fldChar w:fldCharType="separate"/>
      </w:r>
      <w:r>
        <w:rPr>
          <w:rFonts w:hint="eastAsia" w:cs="宋体"/>
          <w:bCs/>
          <w:lang w:val="en-US" w:eastAsia="zh-CN"/>
        </w:rPr>
        <w:t>六、其他要求</w:t>
      </w:r>
      <w:r>
        <w:tab/>
      </w:r>
      <w:r>
        <w:fldChar w:fldCharType="begin"/>
      </w:r>
      <w:r>
        <w:instrText xml:space="preserve"> PAGEREF _Toc8415 \h </w:instrText>
      </w:r>
      <w:r>
        <w:fldChar w:fldCharType="separate"/>
      </w:r>
      <w:r>
        <w:t>- 6 -</w:t>
      </w:r>
      <w:r>
        <w:fldChar w:fldCharType="end"/>
      </w:r>
      <w:r>
        <w:rPr>
          <w:rFonts w:hint="eastAsia" w:ascii="宋体" w:hAnsi="宋体" w:eastAsia="宋体" w:cs="宋体"/>
          <w:color w:val="auto"/>
        </w:rPr>
        <w:fldChar w:fldCharType="end"/>
      </w:r>
    </w:p>
    <w:p w14:paraId="2F1B5DF4">
      <w:pPr>
        <w:pStyle w:val="18"/>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_Toc5900 </w:instrText>
      </w:r>
      <w:r>
        <w:rPr>
          <w:rFonts w:hint="eastAsia" w:ascii="宋体" w:hAnsi="宋体" w:eastAsia="宋体" w:cs="宋体"/>
        </w:rPr>
        <w:fldChar w:fldCharType="separate"/>
      </w:r>
      <w:r>
        <w:rPr>
          <w:rFonts w:hint="eastAsia" w:ascii="宋体" w:hAnsi="宋体" w:eastAsia="宋体" w:cs="宋体"/>
          <w:bCs/>
        </w:rPr>
        <w:t>第</w:t>
      </w:r>
      <w:r>
        <w:rPr>
          <w:rFonts w:hint="eastAsia" w:ascii="宋体" w:hAnsi="宋体" w:cs="宋体"/>
          <w:bCs/>
          <w:lang w:val="en-US"/>
        </w:rPr>
        <w:t>三</w:t>
      </w:r>
      <w:r>
        <w:rPr>
          <w:rFonts w:hint="eastAsia" w:ascii="宋体" w:hAnsi="宋体" w:eastAsia="宋体" w:cs="宋体"/>
          <w:bCs/>
        </w:rPr>
        <w:t>篇  项目商务需求</w:t>
      </w:r>
      <w:r>
        <w:tab/>
      </w:r>
      <w:r>
        <w:fldChar w:fldCharType="begin"/>
      </w:r>
      <w:r>
        <w:instrText xml:space="preserve"> PAGEREF _Toc5900 \h </w:instrText>
      </w:r>
      <w:r>
        <w:fldChar w:fldCharType="separate"/>
      </w:r>
      <w:r>
        <w:t>- 8 -</w:t>
      </w:r>
      <w:r>
        <w:fldChar w:fldCharType="end"/>
      </w:r>
      <w:r>
        <w:rPr>
          <w:rFonts w:hint="eastAsia" w:ascii="宋体" w:hAnsi="宋体" w:eastAsia="宋体" w:cs="宋体"/>
          <w:color w:val="auto"/>
        </w:rPr>
        <w:fldChar w:fldCharType="end"/>
      </w:r>
    </w:p>
    <w:p w14:paraId="799758A7">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_Toc19971 </w:instrText>
      </w:r>
      <w:r>
        <w:rPr>
          <w:rFonts w:hint="eastAsia" w:ascii="宋体" w:hAnsi="宋体" w:eastAsia="宋体" w:cs="宋体"/>
        </w:rPr>
        <w:fldChar w:fldCharType="separate"/>
      </w:r>
      <w:r>
        <w:rPr>
          <w:rFonts w:hint="eastAsia" w:ascii="宋体" w:hAnsi="宋体" w:eastAsia="宋体" w:cs="宋体"/>
          <w:bCs/>
        </w:rPr>
        <w:t>一、工期及建设地点</w:t>
      </w:r>
      <w:r>
        <w:tab/>
      </w:r>
      <w:r>
        <w:fldChar w:fldCharType="begin"/>
      </w:r>
      <w:r>
        <w:instrText xml:space="preserve"> PAGEREF _Toc19971 \h </w:instrText>
      </w:r>
      <w:r>
        <w:fldChar w:fldCharType="separate"/>
      </w:r>
      <w:r>
        <w:t>- 8 -</w:t>
      </w:r>
      <w:r>
        <w:fldChar w:fldCharType="end"/>
      </w:r>
      <w:r>
        <w:rPr>
          <w:rFonts w:hint="eastAsia" w:ascii="宋体" w:hAnsi="宋体" w:eastAsia="宋体" w:cs="宋体"/>
          <w:color w:val="auto"/>
        </w:rPr>
        <w:fldChar w:fldCharType="end"/>
      </w:r>
    </w:p>
    <w:p w14:paraId="77364A84">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_Toc16982 </w:instrText>
      </w:r>
      <w:r>
        <w:rPr>
          <w:rFonts w:hint="eastAsia" w:ascii="宋体" w:hAnsi="宋体" w:eastAsia="宋体" w:cs="宋体"/>
        </w:rPr>
        <w:fldChar w:fldCharType="separate"/>
      </w:r>
      <w:r>
        <w:rPr>
          <w:rFonts w:hint="eastAsia" w:ascii="宋体" w:hAnsi="宋体" w:eastAsia="宋体" w:cs="宋体"/>
          <w:bCs/>
        </w:rPr>
        <w:t>二、工程质量和验收方式</w:t>
      </w:r>
      <w:r>
        <w:tab/>
      </w:r>
      <w:r>
        <w:fldChar w:fldCharType="begin"/>
      </w:r>
      <w:r>
        <w:instrText xml:space="preserve"> PAGEREF _Toc16982 \h </w:instrText>
      </w:r>
      <w:r>
        <w:fldChar w:fldCharType="separate"/>
      </w:r>
      <w:r>
        <w:t>- 8 -</w:t>
      </w:r>
      <w:r>
        <w:fldChar w:fldCharType="end"/>
      </w:r>
      <w:r>
        <w:rPr>
          <w:rFonts w:hint="eastAsia" w:ascii="宋体" w:hAnsi="宋体" w:eastAsia="宋体" w:cs="宋体"/>
          <w:color w:val="auto"/>
        </w:rPr>
        <w:fldChar w:fldCharType="end"/>
      </w:r>
    </w:p>
    <w:p w14:paraId="5B982C3C">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_Toc10407 </w:instrText>
      </w:r>
      <w:r>
        <w:rPr>
          <w:rFonts w:hint="eastAsia" w:ascii="宋体" w:hAnsi="宋体" w:eastAsia="宋体" w:cs="宋体"/>
        </w:rPr>
        <w:fldChar w:fldCharType="separate"/>
      </w:r>
      <w:r>
        <w:rPr>
          <w:rFonts w:hint="eastAsia" w:ascii="宋体" w:hAnsi="宋体" w:eastAsia="宋体" w:cs="宋体"/>
          <w:bCs/>
        </w:rPr>
        <w:t>三、报价原则</w:t>
      </w:r>
      <w:r>
        <w:tab/>
      </w:r>
      <w:r>
        <w:fldChar w:fldCharType="begin"/>
      </w:r>
      <w:r>
        <w:instrText xml:space="preserve"> PAGEREF _Toc10407 \h </w:instrText>
      </w:r>
      <w:r>
        <w:fldChar w:fldCharType="separate"/>
      </w:r>
      <w:r>
        <w:t>- 8 -</w:t>
      </w:r>
      <w:r>
        <w:fldChar w:fldCharType="end"/>
      </w:r>
      <w:r>
        <w:rPr>
          <w:rFonts w:hint="eastAsia" w:ascii="宋体" w:hAnsi="宋体" w:eastAsia="宋体" w:cs="宋体"/>
          <w:color w:val="auto"/>
        </w:rPr>
        <w:fldChar w:fldCharType="end"/>
      </w:r>
    </w:p>
    <w:p w14:paraId="445777CE">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_Toc16131 </w:instrText>
      </w:r>
      <w:r>
        <w:rPr>
          <w:rFonts w:hint="eastAsia" w:ascii="宋体" w:hAnsi="宋体" w:eastAsia="宋体" w:cs="宋体"/>
        </w:rPr>
        <w:fldChar w:fldCharType="separate"/>
      </w:r>
      <w:r>
        <w:rPr>
          <w:rFonts w:hint="eastAsia" w:ascii="宋体" w:hAnsi="宋体" w:eastAsia="宋体" w:cs="宋体"/>
          <w:bCs/>
        </w:rPr>
        <w:t>四、结算原则</w:t>
      </w:r>
      <w:r>
        <w:tab/>
      </w:r>
      <w:r>
        <w:fldChar w:fldCharType="begin"/>
      </w:r>
      <w:r>
        <w:instrText xml:space="preserve"> PAGEREF _Toc16131 \h </w:instrText>
      </w:r>
      <w:r>
        <w:fldChar w:fldCharType="separate"/>
      </w:r>
      <w:r>
        <w:t>- 13 -</w:t>
      </w:r>
      <w:r>
        <w:fldChar w:fldCharType="end"/>
      </w:r>
      <w:r>
        <w:rPr>
          <w:rFonts w:hint="eastAsia" w:ascii="宋体" w:hAnsi="宋体" w:eastAsia="宋体" w:cs="宋体"/>
          <w:color w:val="auto"/>
        </w:rPr>
        <w:fldChar w:fldCharType="end"/>
      </w:r>
    </w:p>
    <w:p w14:paraId="053CACEC">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_Toc9843 </w:instrText>
      </w:r>
      <w:r>
        <w:rPr>
          <w:rFonts w:hint="eastAsia" w:ascii="宋体" w:hAnsi="宋体" w:eastAsia="宋体" w:cs="宋体"/>
        </w:rPr>
        <w:fldChar w:fldCharType="separate"/>
      </w:r>
      <w:r>
        <w:rPr>
          <w:rFonts w:hint="eastAsia" w:ascii="宋体" w:hAnsi="宋体" w:eastAsia="宋体" w:cs="宋体"/>
          <w:bCs/>
        </w:rPr>
        <w:t>五、质量保证及施工要求</w:t>
      </w:r>
      <w:r>
        <w:tab/>
      </w:r>
      <w:r>
        <w:fldChar w:fldCharType="begin"/>
      </w:r>
      <w:r>
        <w:instrText xml:space="preserve"> PAGEREF _Toc9843 \h </w:instrText>
      </w:r>
      <w:r>
        <w:fldChar w:fldCharType="separate"/>
      </w:r>
      <w:r>
        <w:t>- 13 -</w:t>
      </w:r>
      <w:r>
        <w:fldChar w:fldCharType="end"/>
      </w:r>
      <w:r>
        <w:rPr>
          <w:rFonts w:hint="eastAsia" w:ascii="宋体" w:hAnsi="宋体" w:eastAsia="宋体" w:cs="宋体"/>
          <w:color w:val="auto"/>
        </w:rPr>
        <w:fldChar w:fldCharType="end"/>
      </w:r>
    </w:p>
    <w:p w14:paraId="7F40F53D">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_Toc7499 </w:instrText>
      </w:r>
      <w:r>
        <w:rPr>
          <w:rFonts w:hint="eastAsia" w:ascii="宋体" w:hAnsi="宋体" w:eastAsia="宋体" w:cs="宋体"/>
        </w:rPr>
        <w:fldChar w:fldCharType="separate"/>
      </w:r>
      <w:r>
        <w:rPr>
          <w:rFonts w:hint="eastAsia" w:ascii="宋体" w:hAnsi="宋体" w:eastAsia="宋体" w:cs="宋体"/>
          <w:bCs/>
        </w:rPr>
        <w:t>六、履约保证金及付款方式</w:t>
      </w:r>
      <w:r>
        <w:tab/>
      </w:r>
      <w:r>
        <w:fldChar w:fldCharType="begin"/>
      </w:r>
      <w:r>
        <w:instrText xml:space="preserve"> PAGEREF _Toc7499 \h </w:instrText>
      </w:r>
      <w:r>
        <w:fldChar w:fldCharType="separate"/>
      </w:r>
      <w:r>
        <w:t>- 14 -</w:t>
      </w:r>
      <w:r>
        <w:fldChar w:fldCharType="end"/>
      </w:r>
      <w:r>
        <w:rPr>
          <w:rFonts w:hint="eastAsia" w:ascii="宋体" w:hAnsi="宋体" w:eastAsia="宋体" w:cs="宋体"/>
          <w:color w:val="auto"/>
        </w:rPr>
        <w:fldChar w:fldCharType="end"/>
      </w:r>
    </w:p>
    <w:p w14:paraId="3BB9E34F">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_Toc27457 </w:instrText>
      </w:r>
      <w:r>
        <w:rPr>
          <w:rFonts w:hint="eastAsia" w:ascii="宋体" w:hAnsi="宋体" w:eastAsia="宋体" w:cs="宋体"/>
        </w:rPr>
        <w:fldChar w:fldCharType="separate"/>
      </w:r>
      <w:r>
        <w:rPr>
          <w:rFonts w:hint="eastAsia" w:ascii="宋体" w:hAnsi="宋体" w:eastAsia="宋体" w:cs="宋体"/>
          <w:bCs/>
        </w:rPr>
        <w:t>七、其他</w:t>
      </w:r>
      <w:r>
        <w:tab/>
      </w:r>
      <w:r>
        <w:fldChar w:fldCharType="begin"/>
      </w:r>
      <w:r>
        <w:instrText xml:space="preserve"> PAGEREF _Toc27457 \h </w:instrText>
      </w:r>
      <w:r>
        <w:fldChar w:fldCharType="separate"/>
      </w:r>
      <w:r>
        <w:t>- 14 -</w:t>
      </w:r>
      <w:r>
        <w:fldChar w:fldCharType="end"/>
      </w:r>
      <w:r>
        <w:rPr>
          <w:rFonts w:hint="eastAsia" w:ascii="宋体" w:hAnsi="宋体" w:eastAsia="宋体" w:cs="宋体"/>
          <w:color w:val="auto"/>
        </w:rPr>
        <w:fldChar w:fldCharType="end"/>
      </w:r>
    </w:p>
    <w:p w14:paraId="071C55C6">
      <w:pPr>
        <w:pStyle w:val="18"/>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_Toc31761 </w:instrText>
      </w:r>
      <w:r>
        <w:rPr>
          <w:rFonts w:hint="eastAsia" w:ascii="宋体" w:hAnsi="宋体" w:eastAsia="宋体" w:cs="宋体"/>
        </w:rPr>
        <w:fldChar w:fldCharType="separate"/>
      </w:r>
      <w:r>
        <w:rPr>
          <w:rFonts w:hint="eastAsia" w:ascii="宋体" w:hAnsi="宋体" w:eastAsia="宋体" w:cs="宋体"/>
          <w:bCs w:val="0"/>
          <w:szCs w:val="30"/>
        </w:rPr>
        <w:t>第四篇  竞选程序及方法、评审标准、无效响应和</w:t>
      </w:r>
      <w:r>
        <w:rPr>
          <w:rFonts w:hint="eastAsia" w:ascii="宋体" w:hAnsi="宋体" w:eastAsia="宋体" w:cs="宋体"/>
          <w:bCs w:val="0"/>
          <w:szCs w:val="36"/>
        </w:rPr>
        <w:t>采购终止</w:t>
      </w:r>
      <w:r>
        <w:tab/>
      </w:r>
      <w:r>
        <w:fldChar w:fldCharType="begin"/>
      </w:r>
      <w:r>
        <w:instrText xml:space="preserve"> PAGEREF _Toc31761 \h </w:instrText>
      </w:r>
      <w:r>
        <w:fldChar w:fldCharType="separate"/>
      </w:r>
      <w:r>
        <w:t>- 16 -</w:t>
      </w:r>
      <w:r>
        <w:fldChar w:fldCharType="end"/>
      </w:r>
      <w:r>
        <w:rPr>
          <w:rFonts w:hint="eastAsia" w:ascii="宋体" w:hAnsi="宋体" w:eastAsia="宋体" w:cs="宋体"/>
          <w:color w:val="auto"/>
        </w:rPr>
        <w:fldChar w:fldCharType="end"/>
      </w:r>
    </w:p>
    <w:p w14:paraId="58858B76">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_Toc25334 </w:instrText>
      </w:r>
      <w:r>
        <w:rPr>
          <w:rFonts w:hint="eastAsia" w:ascii="宋体" w:hAnsi="宋体" w:eastAsia="宋体" w:cs="宋体"/>
        </w:rPr>
        <w:fldChar w:fldCharType="separate"/>
      </w:r>
      <w:r>
        <w:rPr>
          <w:rFonts w:hint="eastAsia" w:ascii="宋体" w:hAnsi="宋体" w:eastAsia="宋体" w:cs="宋体"/>
          <w:szCs w:val="28"/>
        </w:rPr>
        <w:t>一、竞选程序及方法</w:t>
      </w:r>
      <w:r>
        <w:tab/>
      </w:r>
      <w:r>
        <w:fldChar w:fldCharType="begin"/>
      </w:r>
      <w:r>
        <w:instrText xml:space="preserve"> PAGEREF _Toc25334 \h </w:instrText>
      </w:r>
      <w:r>
        <w:fldChar w:fldCharType="separate"/>
      </w:r>
      <w:r>
        <w:t>- 16 -</w:t>
      </w:r>
      <w:r>
        <w:fldChar w:fldCharType="end"/>
      </w:r>
      <w:r>
        <w:rPr>
          <w:rFonts w:hint="eastAsia" w:ascii="宋体" w:hAnsi="宋体" w:eastAsia="宋体" w:cs="宋体"/>
          <w:color w:val="auto"/>
        </w:rPr>
        <w:fldChar w:fldCharType="end"/>
      </w:r>
    </w:p>
    <w:p w14:paraId="19049FFC">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_Toc1528 </w:instrText>
      </w:r>
      <w:r>
        <w:rPr>
          <w:rFonts w:hint="eastAsia" w:ascii="宋体" w:hAnsi="宋体" w:eastAsia="宋体" w:cs="宋体"/>
        </w:rPr>
        <w:fldChar w:fldCharType="separate"/>
      </w:r>
      <w:r>
        <w:rPr>
          <w:rFonts w:hint="eastAsia" w:ascii="宋体" w:hAnsi="宋体" w:eastAsia="宋体" w:cs="宋体"/>
          <w:szCs w:val="28"/>
        </w:rPr>
        <w:t>二、评审标准</w:t>
      </w:r>
      <w:r>
        <w:tab/>
      </w:r>
      <w:r>
        <w:fldChar w:fldCharType="begin"/>
      </w:r>
      <w:r>
        <w:instrText xml:space="preserve"> PAGEREF _Toc1528 \h </w:instrText>
      </w:r>
      <w:r>
        <w:fldChar w:fldCharType="separate"/>
      </w:r>
      <w:r>
        <w:t>- 18 -</w:t>
      </w:r>
      <w:r>
        <w:fldChar w:fldCharType="end"/>
      </w:r>
      <w:r>
        <w:rPr>
          <w:rFonts w:hint="eastAsia" w:ascii="宋体" w:hAnsi="宋体" w:eastAsia="宋体" w:cs="宋体"/>
          <w:color w:val="auto"/>
        </w:rPr>
        <w:fldChar w:fldCharType="end"/>
      </w:r>
    </w:p>
    <w:p w14:paraId="0BEDF0DA">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_Toc27345 </w:instrText>
      </w:r>
      <w:r>
        <w:rPr>
          <w:rFonts w:hint="eastAsia" w:ascii="宋体" w:hAnsi="宋体" w:eastAsia="宋体" w:cs="宋体"/>
        </w:rPr>
        <w:fldChar w:fldCharType="separate"/>
      </w:r>
      <w:r>
        <w:rPr>
          <w:rFonts w:hint="eastAsia" w:ascii="宋体" w:hAnsi="宋体" w:eastAsia="宋体" w:cs="宋体"/>
          <w:szCs w:val="28"/>
        </w:rPr>
        <w:t>三、无效竞标</w:t>
      </w:r>
      <w:r>
        <w:tab/>
      </w:r>
      <w:r>
        <w:fldChar w:fldCharType="begin"/>
      </w:r>
      <w:r>
        <w:instrText xml:space="preserve"> PAGEREF _Toc27345 \h </w:instrText>
      </w:r>
      <w:r>
        <w:fldChar w:fldCharType="separate"/>
      </w:r>
      <w:r>
        <w:t>- 20 -</w:t>
      </w:r>
      <w:r>
        <w:fldChar w:fldCharType="end"/>
      </w:r>
      <w:r>
        <w:rPr>
          <w:rFonts w:hint="eastAsia" w:ascii="宋体" w:hAnsi="宋体" w:eastAsia="宋体" w:cs="宋体"/>
          <w:color w:val="auto"/>
        </w:rPr>
        <w:fldChar w:fldCharType="end"/>
      </w:r>
    </w:p>
    <w:p w14:paraId="0B10ABE9">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_Toc5083 </w:instrText>
      </w:r>
      <w:r>
        <w:rPr>
          <w:rFonts w:hint="eastAsia" w:ascii="宋体" w:hAnsi="宋体" w:eastAsia="宋体" w:cs="宋体"/>
        </w:rPr>
        <w:fldChar w:fldCharType="separate"/>
      </w:r>
      <w:r>
        <w:rPr>
          <w:rFonts w:hint="eastAsia" w:ascii="宋体" w:hAnsi="宋体" w:eastAsia="宋体" w:cs="宋体"/>
          <w:szCs w:val="28"/>
        </w:rPr>
        <w:t>四、比选终止</w:t>
      </w:r>
      <w:r>
        <w:tab/>
      </w:r>
      <w:r>
        <w:fldChar w:fldCharType="begin"/>
      </w:r>
      <w:r>
        <w:instrText xml:space="preserve"> PAGEREF _Toc5083 \h </w:instrText>
      </w:r>
      <w:r>
        <w:fldChar w:fldCharType="separate"/>
      </w:r>
      <w:r>
        <w:t>- 21 -</w:t>
      </w:r>
      <w:r>
        <w:fldChar w:fldCharType="end"/>
      </w:r>
      <w:r>
        <w:rPr>
          <w:rFonts w:hint="eastAsia" w:ascii="宋体" w:hAnsi="宋体" w:eastAsia="宋体" w:cs="宋体"/>
          <w:color w:val="auto"/>
        </w:rPr>
        <w:fldChar w:fldCharType="end"/>
      </w:r>
    </w:p>
    <w:p w14:paraId="4465FC9A">
      <w:pPr>
        <w:pStyle w:val="18"/>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_Toc3695 </w:instrText>
      </w:r>
      <w:r>
        <w:rPr>
          <w:rFonts w:hint="eastAsia" w:ascii="宋体" w:hAnsi="宋体" w:eastAsia="宋体" w:cs="宋体"/>
        </w:rPr>
        <w:fldChar w:fldCharType="separate"/>
      </w:r>
      <w:r>
        <w:rPr>
          <w:rFonts w:hint="eastAsia" w:ascii="宋体" w:hAnsi="宋体" w:eastAsia="宋体" w:cs="宋体"/>
          <w:bCs/>
        </w:rPr>
        <w:t>第</w:t>
      </w:r>
      <w:r>
        <w:rPr>
          <w:rFonts w:hint="eastAsia" w:ascii="宋体" w:hAnsi="宋体" w:cs="宋体"/>
          <w:bCs/>
          <w:lang w:val="en-US"/>
        </w:rPr>
        <w:t>五</w:t>
      </w:r>
      <w:r>
        <w:rPr>
          <w:rFonts w:hint="eastAsia" w:ascii="宋体" w:hAnsi="宋体" w:eastAsia="宋体" w:cs="宋体"/>
          <w:bCs/>
        </w:rPr>
        <w:t>篇  供应商须知</w:t>
      </w:r>
      <w:r>
        <w:tab/>
      </w:r>
      <w:r>
        <w:fldChar w:fldCharType="begin"/>
      </w:r>
      <w:r>
        <w:instrText xml:space="preserve"> PAGEREF _Toc3695 \h </w:instrText>
      </w:r>
      <w:r>
        <w:fldChar w:fldCharType="separate"/>
      </w:r>
      <w:r>
        <w:t>- 22 -</w:t>
      </w:r>
      <w:r>
        <w:fldChar w:fldCharType="end"/>
      </w:r>
      <w:r>
        <w:rPr>
          <w:rFonts w:hint="eastAsia" w:ascii="宋体" w:hAnsi="宋体" w:eastAsia="宋体" w:cs="宋体"/>
          <w:color w:val="auto"/>
        </w:rPr>
        <w:fldChar w:fldCharType="end"/>
      </w:r>
    </w:p>
    <w:p w14:paraId="2CEFB649">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_Toc2121 </w:instrText>
      </w:r>
      <w:r>
        <w:rPr>
          <w:rFonts w:hint="eastAsia" w:ascii="宋体" w:hAnsi="宋体" w:eastAsia="宋体" w:cs="宋体"/>
        </w:rPr>
        <w:fldChar w:fldCharType="separate"/>
      </w:r>
      <w:r>
        <w:rPr>
          <w:rFonts w:hint="eastAsia" w:ascii="宋体" w:hAnsi="宋体" w:eastAsia="宋体" w:cs="宋体"/>
          <w:szCs w:val="24"/>
        </w:rPr>
        <w:t>一、比选费用</w:t>
      </w:r>
      <w:r>
        <w:tab/>
      </w:r>
      <w:r>
        <w:fldChar w:fldCharType="begin"/>
      </w:r>
      <w:r>
        <w:instrText xml:space="preserve"> PAGEREF _Toc2121 \h </w:instrText>
      </w:r>
      <w:r>
        <w:fldChar w:fldCharType="separate"/>
      </w:r>
      <w:r>
        <w:t>- 22 -</w:t>
      </w:r>
      <w:r>
        <w:fldChar w:fldCharType="end"/>
      </w:r>
      <w:r>
        <w:rPr>
          <w:rFonts w:hint="eastAsia" w:ascii="宋体" w:hAnsi="宋体" w:eastAsia="宋体" w:cs="宋体"/>
          <w:color w:val="auto"/>
        </w:rPr>
        <w:fldChar w:fldCharType="end"/>
      </w:r>
    </w:p>
    <w:p w14:paraId="3CE9F187">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_Toc15847 </w:instrText>
      </w:r>
      <w:r>
        <w:rPr>
          <w:rFonts w:hint="eastAsia" w:ascii="宋体" w:hAnsi="宋体" w:eastAsia="宋体" w:cs="宋体"/>
        </w:rPr>
        <w:fldChar w:fldCharType="separate"/>
      </w:r>
      <w:r>
        <w:rPr>
          <w:rFonts w:hint="eastAsia" w:ascii="宋体" w:hAnsi="宋体" w:eastAsia="宋体" w:cs="宋体"/>
          <w:bCs/>
          <w:kern w:val="0"/>
          <w:szCs w:val="24"/>
          <w:lang w:val="zh-CN" w:eastAsia="zh-CN" w:bidi="ar-SA"/>
        </w:rPr>
        <w:t>二、竞争性比选文件</w:t>
      </w:r>
      <w:r>
        <w:tab/>
      </w:r>
      <w:r>
        <w:fldChar w:fldCharType="begin"/>
      </w:r>
      <w:r>
        <w:instrText xml:space="preserve"> PAGEREF _Toc15847 \h </w:instrText>
      </w:r>
      <w:r>
        <w:fldChar w:fldCharType="separate"/>
      </w:r>
      <w:r>
        <w:t>- 22 -</w:t>
      </w:r>
      <w:r>
        <w:fldChar w:fldCharType="end"/>
      </w:r>
      <w:r>
        <w:rPr>
          <w:rFonts w:hint="eastAsia" w:ascii="宋体" w:hAnsi="宋体" w:eastAsia="宋体" w:cs="宋体"/>
          <w:color w:val="auto"/>
        </w:rPr>
        <w:fldChar w:fldCharType="end"/>
      </w:r>
    </w:p>
    <w:p w14:paraId="5FF06732">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_Toc21437 </w:instrText>
      </w:r>
      <w:r>
        <w:rPr>
          <w:rFonts w:hint="eastAsia" w:ascii="宋体" w:hAnsi="宋体" w:eastAsia="宋体" w:cs="宋体"/>
        </w:rPr>
        <w:fldChar w:fldCharType="separate"/>
      </w:r>
      <w:r>
        <w:rPr>
          <w:rFonts w:hint="eastAsia" w:ascii="宋体" w:hAnsi="宋体" w:eastAsia="宋体" w:cs="宋体"/>
          <w:szCs w:val="24"/>
        </w:rPr>
        <w:t>三、比选要求</w:t>
      </w:r>
      <w:r>
        <w:tab/>
      </w:r>
      <w:r>
        <w:fldChar w:fldCharType="begin"/>
      </w:r>
      <w:r>
        <w:instrText xml:space="preserve"> PAGEREF _Toc21437 \h </w:instrText>
      </w:r>
      <w:r>
        <w:fldChar w:fldCharType="separate"/>
      </w:r>
      <w:r>
        <w:t>- 22 -</w:t>
      </w:r>
      <w:r>
        <w:fldChar w:fldCharType="end"/>
      </w:r>
      <w:r>
        <w:rPr>
          <w:rFonts w:hint="eastAsia" w:ascii="宋体" w:hAnsi="宋体" w:eastAsia="宋体" w:cs="宋体"/>
          <w:color w:val="auto"/>
        </w:rPr>
        <w:fldChar w:fldCharType="end"/>
      </w:r>
    </w:p>
    <w:p w14:paraId="7F2916F3">
      <w:pPr>
        <w:pStyle w:val="18"/>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_Toc19864 </w:instrText>
      </w:r>
      <w:r>
        <w:rPr>
          <w:rFonts w:hint="eastAsia" w:ascii="宋体" w:hAnsi="宋体" w:eastAsia="宋体" w:cs="宋体"/>
        </w:rPr>
        <w:fldChar w:fldCharType="separate"/>
      </w:r>
      <w:r>
        <w:rPr>
          <w:rFonts w:hint="eastAsia" w:ascii="宋体" w:hAnsi="宋体" w:eastAsia="宋体" w:cs="宋体"/>
          <w:bCs w:val="0"/>
          <w:szCs w:val="36"/>
        </w:rPr>
        <w:t>第</w:t>
      </w:r>
      <w:r>
        <w:rPr>
          <w:rFonts w:hint="eastAsia" w:ascii="宋体" w:hAnsi="宋体" w:cs="宋体"/>
          <w:bCs w:val="0"/>
          <w:szCs w:val="36"/>
          <w:lang w:val="en-US" w:eastAsia="zh-CN"/>
        </w:rPr>
        <w:t>六</w:t>
      </w:r>
      <w:r>
        <w:rPr>
          <w:rFonts w:hint="eastAsia" w:ascii="宋体" w:hAnsi="宋体" w:eastAsia="宋体" w:cs="宋体"/>
          <w:bCs w:val="0"/>
          <w:szCs w:val="36"/>
        </w:rPr>
        <w:t xml:space="preserve">篇  </w:t>
      </w:r>
      <w:r>
        <w:rPr>
          <w:rFonts w:hint="eastAsia" w:ascii="宋体" w:hAnsi="宋体" w:eastAsia="宋体" w:cs="宋体"/>
          <w:bCs/>
          <w:kern w:val="2"/>
          <w:szCs w:val="36"/>
        </w:rPr>
        <w:t>合同主要条款和格式合同</w:t>
      </w:r>
      <w:r>
        <w:tab/>
      </w:r>
      <w:r>
        <w:fldChar w:fldCharType="begin"/>
      </w:r>
      <w:r>
        <w:instrText xml:space="preserve"> PAGEREF _Toc19864 \h </w:instrText>
      </w:r>
      <w:r>
        <w:fldChar w:fldCharType="separate"/>
      </w:r>
      <w:r>
        <w:t>- 25 -</w:t>
      </w:r>
      <w:r>
        <w:fldChar w:fldCharType="end"/>
      </w:r>
      <w:r>
        <w:rPr>
          <w:rFonts w:hint="eastAsia" w:ascii="宋体" w:hAnsi="宋体" w:eastAsia="宋体" w:cs="宋体"/>
          <w:color w:val="auto"/>
        </w:rPr>
        <w:fldChar w:fldCharType="end"/>
      </w:r>
    </w:p>
    <w:p w14:paraId="24518199">
      <w:pPr>
        <w:pStyle w:val="18"/>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_Toc20386 </w:instrText>
      </w:r>
      <w:r>
        <w:rPr>
          <w:rFonts w:hint="eastAsia" w:ascii="宋体" w:hAnsi="宋体" w:eastAsia="宋体" w:cs="宋体"/>
        </w:rPr>
        <w:fldChar w:fldCharType="separate"/>
      </w:r>
      <w:r>
        <w:rPr>
          <w:rFonts w:hint="eastAsia" w:ascii="宋体" w:hAnsi="宋体" w:eastAsia="宋体" w:cs="宋体"/>
          <w:bCs w:val="0"/>
        </w:rPr>
        <w:t>第</w:t>
      </w:r>
      <w:r>
        <w:rPr>
          <w:rFonts w:hint="eastAsia" w:ascii="宋体" w:hAnsi="宋体" w:cs="宋体"/>
          <w:bCs w:val="0"/>
          <w:lang w:val="en-US" w:eastAsia="zh-CN"/>
        </w:rPr>
        <w:t>七</w:t>
      </w:r>
      <w:r>
        <w:rPr>
          <w:rFonts w:hint="eastAsia" w:ascii="宋体" w:hAnsi="宋体" w:eastAsia="宋体" w:cs="宋体"/>
          <w:bCs w:val="0"/>
        </w:rPr>
        <w:t>篇  响应文件格式要求</w:t>
      </w:r>
      <w:r>
        <w:tab/>
      </w:r>
      <w:r>
        <w:fldChar w:fldCharType="begin"/>
      </w:r>
      <w:r>
        <w:instrText xml:space="preserve"> PAGEREF _Toc20386 \h </w:instrText>
      </w:r>
      <w:r>
        <w:fldChar w:fldCharType="separate"/>
      </w:r>
      <w:r>
        <w:t>- 36 -</w:t>
      </w:r>
      <w:r>
        <w:fldChar w:fldCharType="end"/>
      </w:r>
      <w:r>
        <w:rPr>
          <w:rFonts w:hint="eastAsia" w:ascii="宋体" w:hAnsi="宋体" w:eastAsia="宋体" w:cs="宋体"/>
          <w:color w:val="auto"/>
        </w:rPr>
        <w:fldChar w:fldCharType="end"/>
      </w:r>
    </w:p>
    <w:p w14:paraId="5E45A729">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_Toc21927 </w:instrText>
      </w:r>
      <w:r>
        <w:rPr>
          <w:rFonts w:hint="eastAsia" w:ascii="宋体" w:hAnsi="宋体" w:eastAsia="宋体" w:cs="宋体"/>
        </w:rPr>
        <w:fldChar w:fldCharType="separate"/>
      </w:r>
      <w:r>
        <w:rPr>
          <w:rFonts w:hint="eastAsia" w:ascii="宋体" w:hAnsi="宋体" w:eastAsia="宋体" w:cs="宋体"/>
          <w:szCs w:val="24"/>
        </w:rPr>
        <w:t>一、经济部分</w:t>
      </w:r>
      <w:r>
        <w:tab/>
      </w:r>
      <w:r>
        <w:fldChar w:fldCharType="begin"/>
      </w:r>
      <w:r>
        <w:instrText xml:space="preserve"> PAGEREF _Toc21927 \h </w:instrText>
      </w:r>
      <w:r>
        <w:fldChar w:fldCharType="separate"/>
      </w:r>
      <w:r>
        <w:t>- 37 -</w:t>
      </w:r>
      <w:r>
        <w:fldChar w:fldCharType="end"/>
      </w:r>
      <w:r>
        <w:rPr>
          <w:rFonts w:hint="eastAsia" w:ascii="宋体" w:hAnsi="宋体" w:eastAsia="宋体" w:cs="宋体"/>
          <w:color w:val="auto"/>
        </w:rPr>
        <w:fldChar w:fldCharType="end"/>
      </w:r>
    </w:p>
    <w:p w14:paraId="492F2224">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_Toc20065 </w:instrText>
      </w:r>
      <w:r>
        <w:rPr>
          <w:rFonts w:hint="eastAsia" w:ascii="宋体" w:hAnsi="宋体" w:eastAsia="宋体" w:cs="宋体"/>
        </w:rPr>
        <w:fldChar w:fldCharType="separate"/>
      </w:r>
      <w:r>
        <w:rPr>
          <w:rFonts w:hint="eastAsia" w:ascii="宋体" w:hAnsi="宋体" w:eastAsia="宋体" w:cs="宋体"/>
          <w:szCs w:val="24"/>
        </w:rPr>
        <w:t>二、技术部分</w:t>
      </w:r>
      <w:r>
        <w:tab/>
      </w:r>
      <w:r>
        <w:fldChar w:fldCharType="begin"/>
      </w:r>
      <w:r>
        <w:instrText xml:space="preserve"> PAGEREF _Toc20065 \h </w:instrText>
      </w:r>
      <w:r>
        <w:fldChar w:fldCharType="separate"/>
      </w:r>
      <w:r>
        <w:t>- 39 -</w:t>
      </w:r>
      <w:r>
        <w:fldChar w:fldCharType="end"/>
      </w:r>
      <w:r>
        <w:rPr>
          <w:rFonts w:hint="eastAsia" w:ascii="宋体" w:hAnsi="宋体" w:eastAsia="宋体" w:cs="宋体"/>
          <w:color w:val="auto"/>
        </w:rPr>
        <w:fldChar w:fldCharType="end"/>
      </w:r>
    </w:p>
    <w:p w14:paraId="61E3F418">
      <w:pPr>
        <w:pStyle w:val="19"/>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_Toc30276 </w:instrText>
      </w:r>
      <w:r>
        <w:rPr>
          <w:rFonts w:hint="eastAsia" w:ascii="宋体" w:hAnsi="宋体" w:eastAsia="宋体" w:cs="宋体"/>
        </w:rPr>
        <w:fldChar w:fldCharType="separate"/>
      </w:r>
      <w:r>
        <w:rPr>
          <w:rFonts w:hint="eastAsia" w:ascii="宋体" w:hAnsi="宋体" w:eastAsia="宋体" w:cs="宋体"/>
          <w:szCs w:val="24"/>
        </w:rPr>
        <w:t>三、商务部分</w:t>
      </w:r>
      <w:r>
        <w:tab/>
      </w:r>
      <w:r>
        <w:fldChar w:fldCharType="begin"/>
      </w:r>
      <w:r>
        <w:instrText xml:space="preserve"> PAGEREF _Toc30276 \h </w:instrText>
      </w:r>
      <w:r>
        <w:fldChar w:fldCharType="separate"/>
      </w:r>
      <w:r>
        <w:t>- 41 -</w:t>
      </w:r>
      <w:r>
        <w:fldChar w:fldCharType="end"/>
      </w:r>
      <w:r>
        <w:rPr>
          <w:rFonts w:hint="eastAsia" w:ascii="宋体" w:hAnsi="宋体" w:eastAsia="宋体" w:cs="宋体"/>
          <w:color w:val="auto"/>
        </w:rPr>
        <w:fldChar w:fldCharType="end"/>
      </w:r>
    </w:p>
    <w:p w14:paraId="4BA10A31">
      <w:pPr>
        <w:pStyle w:val="18"/>
        <w:tabs>
          <w:tab w:val="right" w:leader="dot" w:pos="9747"/>
          <w:tab w:val="clear" w:pos="8303"/>
        </w:tabs>
      </w:pPr>
      <w:r>
        <w:rPr>
          <w:rFonts w:hint="eastAsia" w:ascii="宋体" w:hAnsi="宋体" w:eastAsia="宋体" w:cs="宋体"/>
          <w:color w:val="auto"/>
        </w:rPr>
        <w:fldChar w:fldCharType="begin"/>
      </w:r>
      <w:r>
        <w:rPr>
          <w:rFonts w:hint="eastAsia" w:ascii="宋体" w:hAnsi="宋体" w:eastAsia="宋体" w:cs="宋体"/>
        </w:rPr>
        <w:instrText xml:space="preserve"> HYPERLINK \l _Toc28949 </w:instrText>
      </w:r>
      <w:r>
        <w:rPr>
          <w:rFonts w:hint="eastAsia" w:ascii="宋体" w:hAnsi="宋体" w:eastAsia="宋体" w:cs="宋体"/>
        </w:rPr>
        <w:fldChar w:fldCharType="separate"/>
      </w:r>
      <w:r>
        <w:rPr>
          <w:rFonts w:hint="eastAsia" w:ascii="宋体" w:hAnsi="宋体" w:eastAsia="宋体" w:cs="宋体"/>
          <w:szCs w:val="36"/>
        </w:rPr>
        <w:t>附件1：</w:t>
      </w:r>
      <w:r>
        <w:tab/>
      </w:r>
      <w:r>
        <w:fldChar w:fldCharType="begin"/>
      </w:r>
      <w:r>
        <w:instrText xml:space="preserve"> PAGEREF _Toc28949 \h </w:instrText>
      </w:r>
      <w:r>
        <w:fldChar w:fldCharType="separate"/>
      </w:r>
      <w:r>
        <w:t>- 48 -</w:t>
      </w:r>
      <w:r>
        <w:fldChar w:fldCharType="end"/>
      </w:r>
      <w:r>
        <w:rPr>
          <w:rFonts w:hint="eastAsia" w:ascii="宋体" w:hAnsi="宋体" w:eastAsia="宋体" w:cs="宋体"/>
          <w:color w:val="auto"/>
        </w:rPr>
        <w:fldChar w:fldCharType="end"/>
      </w:r>
    </w:p>
    <w:p w14:paraId="6EC7455C">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宋体" w:hAnsi="宋体" w:eastAsia="宋体" w:cs="宋体"/>
          <w:color w:val="auto"/>
        </w:rPr>
        <w:sectPr>
          <w:footerReference r:id="rId10" w:type="first"/>
          <w:headerReference r:id="rId8" w:type="default"/>
          <w:footerReference r:id="rId9" w:type="default"/>
          <w:pgSz w:w="11907" w:h="16840"/>
          <w:pgMar w:top="1440" w:right="1080" w:bottom="1440" w:left="1080" w:header="454" w:footer="567" w:gutter="0"/>
          <w:pgNumType w:fmt="numberInDash" w:start="1"/>
          <w:cols w:space="720" w:num="1"/>
          <w:titlePg/>
          <w:docGrid w:type="lines" w:linePitch="381" w:charSpace="-5735"/>
        </w:sectPr>
      </w:pPr>
      <w:r>
        <w:rPr>
          <w:rFonts w:hint="eastAsia" w:ascii="宋体" w:hAnsi="宋体" w:eastAsia="宋体" w:cs="宋体"/>
          <w:color w:val="auto"/>
        </w:rPr>
        <w:fldChar w:fldCharType="end"/>
      </w:r>
    </w:p>
    <w:p w14:paraId="7E0EE588">
      <w:pPr>
        <w:pStyle w:val="2"/>
        <w:pageBreakBefore w:val="0"/>
        <w:kinsoku/>
        <w:overflowPunct/>
        <w:topLinePunct w:val="0"/>
        <w:bidi w:val="0"/>
        <w:spacing w:line="336" w:lineRule="auto"/>
        <w:jc w:val="center"/>
        <w:textAlignment w:val="auto"/>
        <w:rPr>
          <w:rFonts w:hint="eastAsia" w:ascii="宋体" w:hAnsi="宋体" w:eastAsia="宋体" w:cs="宋体"/>
          <w:color w:val="auto"/>
          <w:sz w:val="36"/>
          <w:szCs w:val="36"/>
        </w:rPr>
      </w:pPr>
      <w:bookmarkStart w:id="9" w:name="_Toc152480139"/>
      <w:bookmarkStart w:id="10" w:name="_Toc108545950"/>
      <w:bookmarkStart w:id="11" w:name="_Toc1524"/>
      <w:bookmarkStart w:id="12" w:name="_Toc128744981"/>
      <w:bookmarkStart w:id="13" w:name="_Toc11641050"/>
      <w:bookmarkStart w:id="14" w:name="_Toc12789052"/>
      <w:r>
        <w:rPr>
          <w:rFonts w:hint="eastAsia" w:ascii="宋体" w:hAnsi="宋体" w:eastAsia="宋体" w:cs="宋体"/>
          <w:color w:val="auto"/>
          <w:sz w:val="36"/>
          <w:szCs w:val="36"/>
        </w:rPr>
        <w:t>第一篇  比选邀请书</w:t>
      </w:r>
      <w:bookmarkEnd w:id="9"/>
      <w:bookmarkEnd w:id="10"/>
      <w:bookmarkEnd w:id="11"/>
    </w:p>
    <w:p w14:paraId="134ABD66">
      <w:pPr>
        <w:pageBreakBefore w:val="0"/>
        <w:kinsoku/>
        <w:overflowPunct/>
        <w:topLinePunct w:val="0"/>
        <w:bidi w:val="0"/>
        <w:snapToGrid w:val="0"/>
        <w:spacing w:line="336" w:lineRule="auto"/>
        <w:textAlignment w:val="auto"/>
        <w:rPr>
          <w:rFonts w:hint="eastAsia" w:ascii="宋体" w:hAnsi="宋体" w:eastAsia="宋体" w:cs="宋体"/>
          <w:color w:val="auto"/>
        </w:rPr>
      </w:pPr>
    </w:p>
    <w:p w14:paraId="15DB9F50">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bookmarkStart w:id="15" w:name="_Toc379619850"/>
      <w:r>
        <w:rPr>
          <w:rFonts w:hint="eastAsia" w:ascii="宋体" w:hAnsi="宋体" w:eastAsia="宋体" w:cs="宋体"/>
          <w:color w:val="auto"/>
        </w:rPr>
        <w:t>受</w:t>
      </w:r>
      <w:r>
        <w:rPr>
          <w:rFonts w:hint="eastAsia" w:cs="宋体"/>
          <w:color w:val="auto"/>
          <w:u w:val="single"/>
          <w:lang w:eastAsia="zh-CN"/>
        </w:rPr>
        <w:t>重庆市龙门浩职业中学校</w:t>
      </w:r>
      <w:r>
        <w:rPr>
          <w:rFonts w:hint="eastAsia" w:ascii="宋体" w:hAnsi="宋体" w:eastAsia="宋体" w:cs="宋体"/>
          <w:color w:val="auto"/>
        </w:rPr>
        <w:t>的委托，我公司组织对</w:t>
      </w:r>
      <w:r>
        <w:rPr>
          <w:rFonts w:hint="eastAsia" w:ascii="宋体" w:hAnsi="宋体" w:eastAsia="宋体" w:cs="宋体"/>
          <w:color w:val="auto"/>
          <w:u w:val="single"/>
          <w:lang w:val="en-US" w:eastAsia="zh-CN"/>
        </w:rPr>
        <w:t xml:space="preserve"> </w:t>
      </w:r>
      <w:r>
        <w:rPr>
          <w:rFonts w:hint="eastAsia" w:cs="宋体"/>
          <w:color w:val="auto"/>
          <w:u w:val="single"/>
          <w:lang w:val="en-US" w:eastAsia="zh-CN"/>
        </w:rPr>
        <w:t>重庆市龙门浩职业中学校教学楼采购安装电梯项目项目</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进行比选采购。欢迎具备相关资质的供应商参加。</w:t>
      </w:r>
    </w:p>
    <w:p w14:paraId="6865F795">
      <w:pPr>
        <w:pStyle w:val="3"/>
        <w:keepNext/>
        <w:keepLines/>
        <w:pageBreakBefore w:val="0"/>
        <w:widowControl/>
        <w:kinsoku/>
        <w:wordWrap/>
        <w:overflowPunct/>
        <w:topLinePunct w:val="0"/>
        <w:autoSpaceDE/>
        <w:autoSpaceDN/>
        <w:bidi w:val="0"/>
        <w:adjustRightInd/>
        <w:snapToGrid/>
        <w:spacing w:before="0" w:after="0" w:line="336" w:lineRule="auto"/>
        <w:textAlignment w:val="auto"/>
        <w:outlineLvl w:val="1"/>
        <w:rPr>
          <w:rFonts w:hint="eastAsia" w:ascii="宋体" w:hAnsi="宋体" w:eastAsia="宋体" w:cs="宋体"/>
          <w:color w:val="auto"/>
          <w:sz w:val="24"/>
          <w:szCs w:val="24"/>
        </w:rPr>
      </w:pPr>
      <w:bookmarkStart w:id="16" w:name="_Toc14536"/>
      <w:bookmarkStart w:id="17" w:name="_Toc108545951"/>
      <w:r>
        <w:rPr>
          <w:rFonts w:hint="eastAsia" w:ascii="宋体" w:hAnsi="宋体" w:eastAsia="宋体" w:cs="宋体"/>
          <w:color w:val="auto"/>
          <w:sz w:val="24"/>
          <w:szCs w:val="24"/>
        </w:rPr>
        <w:t>一、比选项目内容</w:t>
      </w:r>
      <w:bookmarkEnd w:id="15"/>
      <w:bookmarkEnd w:id="16"/>
      <w:bookmarkEnd w:id="17"/>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9"/>
        <w:gridCol w:w="3049"/>
        <w:gridCol w:w="1644"/>
        <w:gridCol w:w="1437"/>
      </w:tblGrid>
      <w:tr w14:paraId="0BFE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922" w:type="pct"/>
            <w:vAlign w:val="center"/>
          </w:tcPr>
          <w:p w14:paraId="0F94F24F">
            <w:pPr>
              <w:pageBreakBefore w:val="0"/>
              <w:kinsoku/>
              <w:overflowPunct/>
              <w:topLinePunct w:val="0"/>
              <w:bidi w:val="0"/>
              <w:spacing w:line="336" w:lineRule="auto"/>
              <w:jc w:val="center"/>
              <w:textAlignment w:val="auto"/>
              <w:rPr>
                <w:rFonts w:hint="eastAsia" w:ascii="宋体" w:hAnsi="宋体" w:eastAsia="宋体" w:cs="宋体"/>
                <w:b/>
                <w:bCs/>
                <w:color w:val="auto"/>
              </w:rPr>
            </w:pPr>
            <w:bookmarkStart w:id="18" w:name="_Toc378251877"/>
            <w:bookmarkStart w:id="19" w:name="_Toc152480140"/>
            <w:r>
              <w:rPr>
                <w:rFonts w:hint="eastAsia" w:ascii="宋体" w:hAnsi="宋体" w:eastAsia="宋体" w:cs="宋体"/>
                <w:b/>
                <w:bCs/>
                <w:color w:val="auto"/>
              </w:rPr>
              <w:t>项目名称</w:t>
            </w:r>
          </w:p>
        </w:tc>
        <w:tc>
          <w:tcPr>
            <w:tcW w:w="1530" w:type="pct"/>
            <w:vAlign w:val="center"/>
          </w:tcPr>
          <w:p w14:paraId="396A4704">
            <w:pPr>
              <w:pageBreakBefore w:val="0"/>
              <w:kinsoku/>
              <w:overflowPunct/>
              <w:topLinePunct w:val="0"/>
              <w:bidi w:val="0"/>
              <w:spacing w:line="336"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最高限价</w:t>
            </w:r>
          </w:p>
          <w:p w14:paraId="2C0002D0">
            <w:pPr>
              <w:pageBreakBefore w:val="0"/>
              <w:kinsoku/>
              <w:overflowPunct/>
              <w:topLinePunct w:val="0"/>
              <w:bidi w:val="0"/>
              <w:spacing w:line="336" w:lineRule="auto"/>
              <w:jc w:val="center"/>
              <w:textAlignment w:val="auto"/>
              <w:rPr>
                <w:rFonts w:hint="eastAsia" w:ascii="宋体" w:hAnsi="宋体" w:eastAsia="宋体" w:cs="宋体"/>
                <w:b/>
                <w:bCs/>
                <w:color w:val="auto"/>
              </w:rPr>
            </w:pPr>
            <w:r>
              <w:rPr>
                <w:rFonts w:hint="eastAsia" w:ascii="宋体" w:hAnsi="宋体" w:eastAsia="宋体" w:cs="宋体"/>
                <w:b/>
                <w:bCs/>
                <w:color w:val="auto"/>
                <w:highlight w:val="none"/>
              </w:rPr>
              <w:t>（元）</w:t>
            </w:r>
          </w:p>
        </w:tc>
        <w:tc>
          <w:tcPr>
            <w:tcW w:w="825" w:type="pct"/>
            <w:vAlign w:val="center"/>
          </w:tcPr>
          <w:p w14:paraId="7DE01C39">
            <w:pPr>
              <w:pageBreakBefore w:val="0"/>
              <w:kinsoku/>
              <w:overflowPunct/>
              <w:topLinePunct w:val="0"/>
              <w:bidi w:val="0"/>
              <w:spacing w:line="336" w:lineRule="auto"/>
              <w:jc w:val="center"/>
              <w:textAlignment w:val="auto"/>
              <w:rPr>
                <w:rFonts w:hint="eastAsia" w:ascii="宋体" w:hAnsi="宋体" w:eastAsia="宋体" w:cs="宋体"/>
                <w:b/>
                <w:bCs/>
                <w:color w:val="auto"/>
                <w:lang w:eastAsia="zh-CN"/>
              </w:rPr>
            </w:pPr>
            <w:r>
              <w:rPr>
                <w:rFonts w:hint="eastAsia" w:cs="宋体"/>
                <w:b/>
                <w:bCs/>
                <w:color w:val="auto"/>
                <w:lang w:val="en-US" w:eastAsia="zh-CN"/>
              </w:rPr>
              <w:t>比选</w:t>
            </w:r>
            <w:r>
              <w:rPr>
                <w:rFonts w:hint="eastAsia" w:ascii="宋体" w:hAnsi="宋体" w:eastAsia="宋体" w:cs="宋体"/>
                <w:b/>
                <w:bCs/>
                <w:color w:val="auto"/>
                <w:lang w:eastAsia="zh-CN"/>
              </w:rPr>
              <w:t>保证金（元）</w:t>
            </w:r>
          </w:p>
        </w:tc>
        <w:tc>
          <w:tcPr>
            <w:tcW w:w="721" w:type="pct"/>
            <w:vAlign w:val="center"/>
          </w:tcPr>
          <w:p w14:paraId="39335012">
            <w:pPr>
              <w:pageBreakBefore w:val="0"/>
              <w:kinsoku/>
              <w:overflowPunct/>
              <w:topLinePunct w:val="0"/>
              <w:bidi w:val="0"/>
              <w:spacing w:line="336" w:lineRule="auto"/>
              <w:jc w:val="center"/>
              <w:textAlignment w:val="auto"/>
              <w:rPr>
                <w:rFonts w:hint="eastAsia" w:ascii="宋体" w:hAnsi="宋体" w:eastAsia="宋体" w:cs="宋体"/>
                <w:b/>
                <w:bCs/>
                <w:color w:val="auto"/>
              </w:rPr>
            </w:pPr>
            <w:r>
              <w:rPr>
                <w:rFonts w:hint="eastAsia" w:ascii="宋体" w:hAnsi="宋体" w:eastAsia="宋体" w:cs="宋体"/>
                <w:b/>
                <w:bCs/>
                <w:color w:val="auto"/>
              </w:rPr>
              <w:t>成交供应商数量（名）</w:t>
            </w:r>
          </w:p>
        </w:tc>
      </w:tr>
      <w:tr w14:paraId="5118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922" w:type="pct"/>
            <w:vAlign w:val="center"/>
          </w:tcPr>
          <w:p w14:paraId="480ACFC6">
            <w:pPr>
              <w:pageBreakBefore w:val="0"/>
              <w:kinsoku/>
              <w:overflowPunct/>
              <w:topLinePunct w:val="0"/>
              <w:bidi w:val="0"/>
              <w:spacing w:line="336" w:lineRule="auto"/>
              <w:jc w:val="center"/>
              <w:textAlignment w:val="auto"/>
              <w:rPr>
                <w:rFonts w:hint="eastAsia" w:ascii="宋体" w:hAnsi="宋体" w:eastAsia="宋体" w:cs="宋体"/>
                <w:color w:val="auto"/>
                <w:lang w:eastAsia="zh-CN"/>
              </w:rPr>
            </w:pPr>
            <w:r>
              <w:rPr>
                <w:rFonts w:hint="eastAsia" w:cs="宋体"/>
                <w:color w:val="auto"/>
                <w:u w:val="none"/>
                <w:lang w:val="en-US" w:eastAsia="zh-CN"/>
              </w:rPr>
              <w:t>重庆市龙门浩职业中学校教学楼采购安装电梯项目</w:t>
            </w:r>
          </w:p>
        </w:tc>
        <w:tc>
          <w:tcPr>
            <w:tcW w:w="1530" w:type="pct"/>
            <w:vAlign w:val="center"/>
          </w:tcPr>
          <w:p w14:paraId="4433581C">
            <w:pPr>
              <w:pageBreakBefore w:val="0"/>
              <w:kinsoku/>
              <w:overflowPunct/>
              <w:topLinePunct w:val="0"/>
              <w:bidi w:val="0"/>
              <w:spacing w:line="336" w:lineRule="auto"/>
              <w:jc w:val="center"/>
              <w:textAlignment w:val="auto"/>
              <w:rPr>
                <w:rFonts w:hint="eastAsia" w:ascii="宋体" w:hAnsi="宋体" w:eastAsia="宋体" w:cs="宋体"/>
                <w:color w:val="auto"/>
                <w:lang w:eastAsia="zh-CN"/>
              </w:rPr>
            </w:pPr>
            <w:r>
              <w:rPr>
                <w:rFonts w:hint="eastAsia" w:ascii="宋体" w:hAnsi="宋体" w:eastAsia="宋体" w:cs="宋体"/>
                <w:color w:val="auto"/>
                <w:lang w:eastAsia="zh-CN"/>
              </w:rPr>
              <w:t>358072.71</w:t>
            </w:r>
          </w:p>
        </w:tc>
        <w:tc>
          <w:tcPr>
            <w:tcW w:w="825" w:type="pct"/>
            <w:vAlign w:val="center"/>
          </w:tcPr>
          <w:p w14:paraId="2C9C6B88">
            <w:pPr>
              <w:pageBreakBefore w:val="0"/>
              <w:kinsoku/>
              <w:overflowPunct/>
              <w:topLinePunct w:val="0"/>
              <w:bidi w:val="0"/>
              <w:spacing w:line="336" w:lineRule="auto"/>
              <w:jc w:val="center"/>
              <w:textAlignment w:val="auto"/>
              <w:rPr>
                <w:rFonts w:hint="eastAsia" w:ascii="宋体" w:hAnsi="宋体" w:eastAsia="宋体" w:cs="宋体"/>
                <w:color w:val="auto"/>
                <w:lang w:val="en-US" w:eastAsia="zh-CN"/>
              </w:rPr>
            </w:pPr>
            <w:r>
              <w:rPr>
                <w:rFonts w:hint="eastAsia" w:cs="宋体"/>
                <w:color w:val="auto"/>
                <w:lang w:val="en-US" w:eastAsia="zh-CN"/>
              </w:rPr>
              <w:t>5</w:t>
            </w:r>
            <w:r>
              <w:rPr>
                <w:rFonts w:hint="eastAsia" w:ascii="宋体" w:hAnsi="宋体" w:eastAsia="宋体" w:cs="宋体"/>
                <w:color w:val="auto"/>
                <w:lang w:val="en-US" w:eastAsia="zh-CN"/>
              </w:rPr>
              <w:t>000.00</w:t>
            </w:r>
          </w:p>
        </w:tc>
        <w:tc>
          <w:tcPr>
            <w:tcW w:w="721" w:type="pct"/>
            <w:vAlign w:val="center"/>
          </w:tcPr>
          <w:p w14:paraId="06F2FAC8">
            <w:pPr>
              <w:pageBreakBefore w:val="0"/>
              <w:kinsoku/>
              <w:overflowPunct/>
              <w:topLinePunct w:val="0"/>
              <w:bidi w:val="0"/>
              <w:spacing w:line="336" w:lineRule="auto"/>
              <w:jc w:val="center"/>
              <w:textAlignment w:val="auto"/>
              <w:rPr>
                <w:rFonts w:hint="eastAsia" w:ascii="宋体" w:hAnsi="宋体" w:eastAsia="宋体" w:cs="宋体"/>
                <w:color w:val="auto"/>
              </w:rPr>
            </w:pPr>
            <w:r>
              <w:rPr>
                <w:rFonts w:hint="eastAsia" w:ascii="宋体" w:hAnsi="宋体" w:eastAsia="宋体" w:cs="宋体"/>
                <w:color w:val="auto"/>
              </w:rPr>
              <w:t>1</w:t>
            </w:r>
          </w:p>
        </w:tc>
      </w:tr>
    </w:tbl>
    <w:p w14:paraId="3DC4C82E">
      <w:pPr>
        <w:pStyle w:val="3"/>
        <w:keepNext/>
        <w:keepLines/>
        <w:pageBreakBefore w:val="0"/>
        <w:widowControl/>
        <w:kinsoku/>
        <w:wordWrap/>
        <w:overflowPunct/>
        <w:topLinePunct w:val="0"/>
        <w:autoSpaceDE/>
        <w:autoSpaceDN/>
        <w:bidi w:val="0"/>
        <w:adjustRightInd/>
        <w:snapToGrid/>
        <w:spacing w:before="0" w:after="0" w:line="336" w:lineRule="auto"/>
        <w:textAlignment w:val="auto"/>
        <w:outlineLvl w:val="1"/>
        <w:rPr>
          <w:rFonts w:hint="eastAsia" w:ascii="宋体" w:hAnsi="宋体" w:eastAsia="宋体" w:cs="宋体"/>
          <w:color w:val="auto"/>
          <w:sz w:val="24"/>
          <w:szCs w:val="24"/>
          <w:highlight w:val="none"/>
        </w:rPr>
      </w:pPr>
      <w:bookmarkStart w:id="20" w:name="_Toc12673"/>
      <w:bookmarkStart w:id="21" w:name="_Toc108545952"/>
      <w:r>
        <w:rPr>
          <w:rFonts w:hint="eastAsia" w:ascii="宋体" w:hAnsi="宋体" w:eastAsia="宋体" w:cs="宋体"/>
          <w:color w:val="auto"/>
          <w:sz w:val="24"/>
          <w:szCs w:val="24"/>
        </w:rPr>
        <w:t>二、</w:t>
      </w:r>
      <w:r>
        <w:rPr>
          <w:rFonts w:hint="eastAsia" w:ascii="宋体" w:hAnsi="宋体" w:eastAsia="宋体" w:cs="宋体"/>
          <w:color w:val="auto"/>
          <w:sz w:val="24"/>
          <w:szCs w:val="24"/>
          <w:highlight w:val="none"/>
        </w:rPr>
        <w:t>资金来源</w:t>
      </w:r>
      <w:bookmarkEnd w:id="18"/>
      <w:bookmarkEnd w:id="20"/>
      <w:bookmarkEnd w:id="21"/>
    </w:p>
    <w:p w14:paraId="6F1D15DB">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cs="宋体"/>
          <w:color w:val="auto"/>
          <w:lang w:val="en-US" w:eastAsia="zh-CN"/>
        </w:rPr>
        <w:t>财政资金</w:t>
      </w:r>
      <w:r>
        <w:rPr>
          <w:rFonts w:hint="eastAsia" w:ascii="宋体" w:hAnsi="宋体" w:eastAsia="宋体" w:cs="宋体"/>
          <w:color w:val="auto"/>
        </w:rPr>
        <w:t>。</w:t>
      </w:r>
    </w:p>
    <w:p w14:paraId="1F1FAC56">
      <w:pPr>
        <w:pStyle w:val="3"/>
        <w:keepNext/>
        <w:keepLines/>
        <w:pageBreakBefore w:val="0"/>
        <w:widowControl/>
        <w:kinsoku/>
        <w:wordWrap/>
        <w:overflowPunct/>
        <w:topLinePunct w:val="0"/>
        <w:autoSpaceDE/>
        <w:autoSpaceDN/>
        <w:bidi w:val="0"/>
        <w:adjustRightInd/>
        <w:snapToGrid/>
        <w:spacing w:before="0" w:after="0" w:line="336" w:lineRule="auto"/>
        <w:textAlignment w:val="auto"/>
        <w:outlineLvl w:val="1"/>
        <w:rPr>
          <w:rFonts w:hint="eastAsia" w:ascii="宋体" w:hAnsi="宋体" w:eastAsia="宋体" w:cs="宋体"/>
          <w:color w:val="auto"/>
          <w:sz w:val="24"/>
          <w:szCs w:val="24"/>
        </w:rPr>
      </w:pPr>
      <w:bookmarkStart w:id="22" w:name="_Toc108545953"/>
      <w:bookmarkStart w:id="23" w:name="_Toc2794"/>
      <w:r>
        <w:rPr>
          <w:rFonts w:hint="eastAsia" w:ascii="宋体" w:hAnsi="宋体" w:eastAsia="宋体" w:cs="宋体"/>
          <w:color w:val="auto"/>
          <w:sz w:val="24"/>
          <w:szCs w:val="24"/>
        </w:rPr>
        <w:t>三、资格要求</w:t>
      </w:r>
      <w:bookmarkEnd w:id="22"/>
      <w:bookmarkEnd w:id="23"/>
    </w:p>
    <w:p w14:paraId="54D2E7C3">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比选供应商是指向采购人提供货物、工程或者服务的法人、其他组织或者自然人。以下简称供应商。</w:t>
      </w:r>
    </w:p>
    <w:p w14:paraId="39164C44">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合格的供应商应符合下列条件：</w:t>
      </w:r>
    </w:p>
    <w:p w14:paraId="380AF042">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bookmarkStart w:id="24" w:name="_Toc1359"/>
      <w:bookmarkStart w:id="25" w:name="_Toc487204774"/>
      <w:r>
        <w:rPr>
          <w:rFonts w:hint="eastAsia" w:ascii="宋体" w:hAnsi="宋体" w:eastAsia="宋体" w:cs="宋体"/>
          <w:color w:val="auto"/>
        </w:rPr>
        <w:t>（一）基本条件</w:t>
      </w:r>
    </w:p>
    <w:p w14:paraId="4D336F87">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1、具有独立承担民事责任的能力；</w:t>
      </w:r>
    </w:p>
    <w:p w14:paraId="372FE102">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2、具有良好的商业信誉和健全的财务会计制度；</w:t>
      </w:r>
    </w:p>
    <w:p w14:paraId="0BA064DD">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3、具有履行合同所必需的设备和专业技术能力；</w:t>
      </w:r>
    </w:p>
    <w:p w14:paraId="532FE058">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4、有依法缴纳税收和社会保障资金的良好记录；</w:t>
      </w:r>
    </w:p>
    <w:p w14:paraId="0B8CB0E8">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5、参加政府采购活动前三年内，在经营活动中没有重大违法记录。</w:t>
      </w:r>
    </w:p>
    <w:p w14:paraId="6B311976">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（二）特定资格条件</w:t>
      </w:r>
    </w:p>
    <w:p w14:paraId="601C6D1F">
      <w:pPr>
        <w:pageBreakBefore w:val="0"/>
        <w:kinsoku/>
        <w:overflowPunct/>
        <w:topLinePunct w:val="0"/>
        <w:bidi w:val="0"/>
        <w:snapToGrid w:val="0"/>
        <w:spacing w:line="336" w:lineRule="auto"/>
        <w:ind w:firstLine="480" w:firstLineChars="200"/>
        <w:textAlignment w:val="auto"/>
        <w:rPr>
          <w:rFonts w:hint="eastAsia" w:ascii="宋体" w:hAnsi="宋体" w:eastAsia="宋体" w:cs="宋体"/>
          <w:b/>
          <w:bCs/>
          <w:color w:val="auto"/>
          <w:highlight w:val="none"/>
        </w:rPr>
      </w:pPr>
      <w:bookmarkStart w:id="26" w:name="_Toc108545954"/>
      <w:r>
        <w:rPr>
          <w:rFonts w:hint="eastAsia" w:ascii="宋体" w:hAnsi="宋体" w:eastAsia="宋体" w:cs="宋体"/>
          <w:b/>
          <w:bCs/>
          <w:color w:val="auto"/>
          <w:highlight w:val="none"/>
        </w:rPr>
        <w:t>1.电梯制造商资格要求：</w:t>
      </w:r>
    </w:p>
    <w:p w14:paraId="2372F769">
      <w:pPr>
        <w:pageBreakBefore w:val="0"/>
        <w:kinsoku/>
        <w:overflowPunct/>
        <w:topLinePunct w:val="0"/>
        <w:bidi w:val="0"/>
        <w:snapToGrid w:val="0"/>
        <w:spacing w:line="336" w:lineRule="auto"/>
        <w:ind w:firstLine="480"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①具有行政主管部门颁发有效的《中华人民共和国特种设备制造许可证》或新版《中华人民共和国特种设备生产许可证》。</w:t>
      </w:r>
    </w:p>
    <w:p w14:paraId="03D79EEC">
      <w:pPr>
        <w:pageBreakBefore w:val="0"/>
        <w:kinsoku/>
        <w:overflowPunct/>
        <w:topLinePunct w:val="0"/>
        <w:bidi w:val="0"/>
        <w:snapToGrid w:val="0"/>
        <w:spacing w:line="336" w:lineRule="auto"/>
        <w:ind w:firstLine="480"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②具有行政主管部门颁发有效的《中华人民共和国特种设备安装改造维修（或修理）许可证》（电梯）资质或新版《中华人民共和国特种设备生产许可证》。【若制造商的制造资质与安装资质已合并，则勿须提供】。</w:t>
      </w:r>
    </w:p>
    <w:p w14:paraId="42166A02">
      <w:pPr>
        <w:pageBreakBefore w:val="0"/>
        <w:kinsoku/>
        <w:overflowPunct/>
        <w:topLinePunct w:val="0"/>
        <w:bidi w:val="0"/>
        <w:snapToGrid w:val="0"/>
        <w:spacing w:line="336" w:lineRule="auto"/>
        <w:ind w:firstLine="480" w:firstLineChars="200"/>
        <w:textAlignment w:val="auto"/>
        <w:rPr>
          <w:rFonts w:hint="eastAsia" w:ascii="宋体" w:hAnsi="宋体" w:eastAsia="宋体" w:cs="宋体"/>
          <w:b/>
          <w:bCs/>
          <w:color w:val="auto"/>
          <w:highlight w:val="none"/>
        </w:rPr>
      </w:pPr>
      <w:r>
        <w:rPr>
          <w:rFonts w:hint="eastAsia" w:cs="宋体"/>
          <w:b/>
          <w:bCs/>
          <w:color w:val="auto"/>
          <w:highlight w:val="none"/>
          <w:lang w:val="en-US" w:eastAsia="zh-CN"/>
        </w:rPr>
        <w:t>2.</w:t>
      </w:r>
      <w:r>
        <w:rPr>
          <w:rFonts w:hint="eastAsia" w:ascii="宋体" w:hAnsi="宋体" w:eastAsia="宋体" w:cs="宋体"/>
          <w:b/>
          <w:bCs/>
          <w:color w:val="auto"/>
          <w:highlight w:val="none"/>
        </w:rPr>
        <w:t>电梯代理商资格要求：</w:t>
      </w:r>
    </w:p>
    <w:p w14:paraId="54DF5D2C">
      <w:pPr>
        <w:pageBreakBefore w:val="0"/>
        <w:kinsoku/>
        <w:overflowPunct/>
        <w:topLinePunct w:val="0"/>
        <w:bidi w:val="0"/>
        <w:snapToGrid w:val="0"/>
        <w:spacing w:line="336" w:lineRule="auto"/>
        <w:ind w:firstLine="480"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①产品的制造商必须满足上述对电梯制造商的要求。</w:t>
      </w:r>
    </w:p>
    <w:p w14:paraId="2DA79E99">
      <w:pPr>
        <w:pageBreakBefore w:val="0"/>
        <w:kinsoku/>
        <w:overflowPunct/>
        <w:topLinePunct w:val="0"/>
        <w:bidi w:val="0"/>
        <w:snapToGrid w:val="0"/>
        <w:spacing w:line="336" w:lineRule="auto"/>
        <w:ind w:firstLine="480"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②具有行政主管部门颁发的有效的《中华人民共和国特种设备安装改造维修（或修理）许可证》（电梯）资质或新版《中华人民共和国特种设备生产许可证》。</w:t>
      </w:r>
    </w:p>
    <w:p w14:paraId="13D3DC50">
      <w:pPr>
        <w:pageBreakBefore w:val="0"/>
        <w:kinsoku/>
        <w:overflowPunct/>
        <w:topLinePunct w:val="0"/>
        <w:bidi w:val="0"/>
        <w:snapToGrid w:val="0"/>
        <w:spacing w:line="336" w:lineRule="auto"/>
        <w:ind w:firstLine="480"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③提供所投品牌制造商关于本项目的唯一销售授权书原件加盖制造商公章。</w:t>
      </w:r>
    </w:p>
    <w:p w14:paraId="4D0245AE">
      <w:pPr>
        <w:pStyle w:val="3"/>
        <w:keepNext/>
        <w:keepLines/>
        <w:pageBreakBefore w:val="0"/>
        <w:widowControl/>
        <w:kinsoku/>
        <w:wordWrap/>
        <w:overflowPunct/>
        <w:topLinePunct w:val="0"/>
        <w:autoSpaceDE/>
        <w:autoSpaceDN/>
        <w:bidi w:val="0"/>
        <w:adjustRightInd/>
        <w:snapToGrid/>
        <w:spacing w:before="0" w:after="0" w:line="336" w:lineRule="auto"/>
        <w:textAlignment w:val="auto"/>
        <w:outlineLvl w:val="1"/>
        <w:rPr>
          <w:rFonts w:hint="eastAsia" w:ascii="宋体" w:hAnsi="宋体" w:eastAsia="宋体" w:cs="宋体"/>
          <w:color w:val="auto"/>
          <w:sz w:val="24"/>
          <w:szCs w:val="24"/>
        </w:rPr>
      </w:pPr>
      <w:bookmarkStart w:id="27" w:name="_Toc3682"/>
      <w:r>
        <w:rPr>
          <w:rFonts w:hint="eastAsia" w:ascii="宋体" w:hAnsi="宋体" w:eastAsia="宋体" w:cs="宋体"/>
          <w:color w:val="auto"/>
          <w:sz w:val="24"/>
          <w:szCs w:val="24"/>
        </w:rPr>
        <w:t>四、比选有关说明</w:t>
      </w:r>
      <w:bookmarkEnd w:id="24"/>
      <w:bookmarkEnd w:id="25"/>
      <w:bookmarkEnd w:id="26"/>
      <w:bookmarkEnd w:id="27"/>
    </w:p>
    <w:p w14:paraId="1820501C">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（一）凡有意参加比选的供应商，请于公告发布之日起至提交响应文件截止时间之前，在“行采家(</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"https://www.gec123.com/" </w:instrText>
      </w:r>
      <w:r>
        <w:rPr>
          <w:rFonts w:hint="eastAsia" w:ascii="宋体" w:hAnsi="宋体" w:eastAsia="宋体" w:cs="宋体"/>
          <w:color w:val="auto"/>
        </w:rPr>
        <w:fldChar w:fldCharType="separate"/>
      </w:r>
      <w:r>
        <w:rPr>
          <w:rFonts w:hint="eastAsia" w:ascii="宋体" w:hAnsi="宋体" w:eastAsia="宋体" w:cs="宋体"/>
          <w:color w:val="auto"/>
        </w:rPr>
        <w:t>https://www.gec123.com</w:t>
      </w:r>
      <w:r>
        <w:rPr>
          <w:rFonts w:hint="eastAsia" w:ascii="宋体" w:hAnsi="宋体" w:eastAsia="宋体" w:cs="宋体"/>
          <w:color w:val="auto"/>
        </w:rPr>
        <w:fldChar w:fldCharType="end"/>
      </w:r>
      <w:r>
        <w:rPr>
          <w:rFonts w:hint="eastAsia" w:ascii="宋体" w:hAnsi="宋体" w:eastAsia="宋体" w:cs="宋体"/>
          <w:color w:val="auto"/>
        </w:rPr>
        <w:t>）”上下载或到采购代理机构领取本项目比选文件以及图纸、补遗等比选前公布的所有项目资料，无论供应商下载或领取与否，均视为已知晓所有比选实质性要求内容。</w:t>
      </w:r>
    </w:p>
    <w:p w14:paraId="3C86F721">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（二）比选文件公告期限：</w:t>
      </w:r>
      <w:r>
        <w:rPr>
          <w:rFonts w:hint="eastAsia" w:ascii="宋体" w:hAnsi="宋体" w:eastAsia="宋体" w:cs="宋体"/>
          <w:color w:val="auto"/>
          <w:lang w:val="en-US" w:eastAsia="zh-CN"/>
        </w:rPr>
        <w:t>自比选公告发布之日起三个工作日</w:t>
      </w:r>
      <w:r>
        <w:rPr>
          <w:rFonts w:hint="eastAsia" w:ascii="宋体" w:hAnsi="宋体" w:eastAsia="宋体" w:cs="宋体"/>
          <w:color w:val="auto"/>
        </w:rPr>
        <w:t>。</w:t>
      </w:r>
    </w:p>
    <w:p w14:paraId="0FD10A6E">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（三）竞争性比选文件发售期限及报名方式</w:t>
      </w:r>
    </w:p>
    <w:p w14:paraId="6FE72223">
      <w:pPr>
        <w:pageBreakBefore w:val="0"/>
        <w:kinsoku/>
        <w:overflowPunct/>
        <w:topLinePunct w:val="0"/>
        <w:bidi w:val="0"/>
        <w:snapToGrid w:val="0"/>
        <w:spacing w:line="336" w:lineRule="auto"/>
        <w:ind w:firstLine="480" w:firstLineChars="200"/>
        <w:textAlignment w:val="auto"/>
        <w:rPr>
          <w:rFonts w:hint="default" w:ascii="宋体" w:hAnsi="宋体" w:eastAsia="宋体" w:cs="宋体"/>
          <w:color w:val="auto"/>
          <w:lang w:val="en-US" w:eastAsia="zh-CN"/>
        </w:rPr>
      </w:pPr>
      <w:r>
        <w:rPr>
          <w:rFonts w:hint="eastAsia" w:ascii="宋体" w:hAnsi="宋体" w:eastAsia="宋体" w:cs="宋体"/>
          <w:color w:val="auto"/>
        </w:rPr>
        <w:t>1、竞争性比选文件发售期：2025年</w:t>
      </w:r>
      <w:r>
        <w:rPr>
          <w:rFonts w:hint="eastAsia" w:cs="宋体"/>
          <w:color w:val="auto"/>
          <w:lang w:val="en-US" w:eastAsia="zh-CN"/>
        </w:rPr>
        <w:t>8</w:t>
      </w:r>
      <w:r>
        <w:rPr>
          <w:rFonts w:hint="eastAsia" w:ascii="宋体" w:hAnsi="宋体" w:eastAsia="宋体" w:cs="宋体"/>
          <w:color w:val="auto"/>
        </w:rPr>
        <w:t>月</w:t>
      </w:r>
      <w:r>
        <w:rPr>
          <w:rFonts w:hint="eastAsia" w:cs="宋体"/>
          <w:color w:val="auto"/>
          <w:lang w:val="en-US" w:eastAsia="zh-CN"/>
        </w:rPr>
        <w:t>9</w:t>
      </w:r>
      <w:r>
        <w:rPr>
          <w:rFonts w:hint="eastAsia" w:ascii="宋体" w:hAnsi="宋体" w:eastAsia="宋体" w:cs="宋体"/>
          <w:color w:val="auto"/>
        </w:rPr>
        <w:t>日至2025年</w:t>
      </w:r>
      <w:r>
        <w:rPr>
          <w:rFonts w:hint="eastAsia" w:cs="宋体"/>
          <w:color w:val="auto"/>
          <w:lang w:val="en-US" w:eastAsia="zh-CN"/>
        </w:rPr>
        <w:t>8</w:t>
      </w:r>
      <w:r>
        <w:rPr>
          <w:rFonts w:hint="eastAsia" w:ascii="宋体" w:hAnsi="宋体" w:eastAsia="宋体" w:cs="宋体"/>
          <w:color w:val="auto"/>
        </w:rPr>
        <w:t>月</w:t>
      </w:r>
      <w:r>
        <w:rPr>
          <w:rFonts w:hint="eastAsia" w:cs="宋体"/>
          <w:color w:val="auto"/>
          <w:lang w:val="en-US" w:eastAsia="zh-CN"/>
        </w:rPr>
        <w:t>13</w:t>
      </w:r>
      <w:r>
        <w:rPr>
          <w:rFonts w:hint="eastAsia" w:ascii="宋体" w:hAnsi="宋体" w:eastAsia="宋体" w:cs="宋体"/>
          <w:color w:val="auto"/>
        </w:rPr>
        <w:t>日</w:t>
      </w:r>
      <w:r>
        <w:rPr>
          <w:rFonts w:hint="eastAsia" w:cs="宋体"/>
          <w:color w:val="auto"/>
          <w:lang w:val="en-US" w:eastAsia="zh-CN"/>
        </w:rPr>
        <w:t>17时00分</w:t>
      </w:r>
    </w:p>
    <w:p w14:paraId="4E703D7D">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2、报名方式：</w:t>
      </w:r>
    </w:p>
    <w:p w14:paraId="706D9249">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2.1现场报名方式：在竞争性比选文件发售期内，比选申请人到重庆市九龙坡区建设广场A座24-6（重庆车厘子建设工程咨询有限公司）递交《竞争性比选文件发售登记表》（填写完整并加盖比选申请人公章）进行报名。</w:t>
      </w:r>
    </w:p>
    <w:p w14:paraId="156AF920">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2.2非现场报名方式：在竞争性比选文件发售期内，比选申请人将《竞争性比选文件发售登记表》（填写完整并加盖比选申请人公章）扫描后发送至邮箱（276495813@qq.com）进行报名。</w:t>
      </w:r>
    </w:p>
    <w:p w14:paraId="5D80D49C">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2.3 在竞争性比选文件发售期内报名并购买了竞争性比选文件的</w:t>
      </w:r>
      <w:r>
        <w:rPr>
          <w:rFonts w:hint="eastAsia" w:cs="宋体"/>
          <w:color w:val="auto"/>
          <w:lang w:val="en-US" w:eastAsia="zh-CN"/>
        </w:rPr>
        <w:t>供应商</w:t>
      </w:r>
      <w:r>
        <w:rPr>
          <w:rFonts w:hint="eastAsia" w:ascii="宋体" w:hAnsi="宋体" w:eastAsia="宋体" w:cs="宋体"/>
          <w:color w:val="auto"/>
          <w:lang w:val="en-US" w:eastAsia="zh-CN"/>
        </w:rPr>
        <w:t>，其</w:t>
      </w:r>
      <w:r>
        <w:rPr>
          <w:rFonts w:hint="eastAsia" w:cs="宋体"/>
          <w:color w:val="auto"/>
          <w:lang w:val="en-US" w:eastAsia="zh-CN"/>
        </w:rPr>
        <w:t>响应文件</w:t>
      </w:r>
      <w:r>
        <w:rPr>
          <w:rFonts w:hint="eastAsia" w:ascii="宋体" w:hAnsi="宋体" w:eastAsia="宋体" w:cs="宋体"/>
          <w:color w:val="auto"/>
          <w:lang w:val="en-US" w:eastAsia="zh-CN"/>
        </w:rPr>
        <w:t>才被接收。</w:t>
      </w:r>
    </w:p>
    <w:p w14:paraId="6036F20D">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3、竞争性比选文件售价：人民币</w:t>
      </w:r>
      <w:r>
        <w:rPr>
          <w:rFonts w:hint="eastAsia" w:cs="宋体"/>
          <w:color w:val="auto"/>
          <w:lang w:val="en-US" w:eastAsia="zh-CN"/>
        </w:rPr>
        <w:t>3</w:t>
      </w:r>
      <w:r>
        <w:rPr>
          <w:rFonts w:hint="eastAsia" w:ascii="宋体" w:hAnsi="宋体" w:eastAsia="宋体" w:cs="宋体"/>
          <w:color w:val="auto"/>
          <w:lang w:val="en-US" w:eastAsia="zh-CN"/>
        </w:rPr>
        <w:t>00元/包，报名时缴纳。</w:t>
      </w:r>
    </w:p>
    <w:p w14:paraId="3AB9025F">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lang w:val="en-US" w:eastAsia="zh-CN"/>
        </w:rPr>
      </w:pPr>
      <w:r>
        <w:rPr>
          <w:rFonts w:hint="eastAsia" w:cs="宋体"/>
          <w:color w:val="auto"/>
          <w:lang w:val="en-US" w:eastAsia="zh-CN"/>
        </w:rPr>
        <w:t>4、</w:t>
      </w:r>
      <w:r>
        <w:rPr>
          <w:rFonts w:hint="eastAsia" w:ascii="宋体" w:hAnsi="宋体" w:eastAsia="宋体" w:cs="宋体"/>
          <w:color w:val="auto"/>
          <w:lang w:val="en-US" w:eastAsia="zh-CN"/>
        </w:rPr>
        <w:t>文件费缴纳账号：</w:t>
      </w:r>
    </w:p>
    <w:p w14:paraId="12317FA6">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账户名称：重庆车厘子建设工程咨询有限公司</w:t>
      </w:r>
    </w:p>
    <w:p w14:paraId="4549CC87">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开户行名称：中国民生银行股份有限公司重庆杨家坪支行</w:t>
      </w:r>
    </w:p>
    <w:p w14:paraId="4A673636">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账      号：644795926</w:t>
      </w:r>
    </w:p>
    <w:p w14:paraId="3D7A3556">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转账时请在备注栏备注：“</w:t>
      </w:r>
      <w:r>
        <w:rPr>
          <w:rFonts w:hint="eastAsia" w:cs="宋体"/>
          <w:color w:val="auto"/>
          <w:lang w:val="en-US" w:eastAsia="zh-CN"/>
        </w:rPr>
        <w:t>CQCLZ250821</w:t>
      </w:r>
      <w:r>
        <w:rPr>
          <w:rFonts w:hint="eastAsia" w:ascii="宋体" w:hAnsi="宋体" w:eastAsia="宋体" w:cs="宋体"/>
          <w:color w:val="auto"/>
          <w:lang w:val="en-US" w:eastAsia="zh-CN"/>
        </w:rPr>
        <w:t>”文件费。</w:t>
      </w:r>
    </w:p>
    <w:p w14:paraId="0BEB1B45">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（四）供应商须满足以下</w:t>
      </w:r>
      <w:r>
        <w:rPr>
          <w:rFonts w:hint="eastAsia" w:cs="宋体"/>
          <w:color w:val="auto"/>
          <w:lang w:val="en-US" w:eastAsia="zh-CN"/>
        </w:rPr>
        <w:t>四</w:t>
      </w:r>
      <w:r>
        <w:rPr>
          <w:rFonts w:hint="eastAsia" w:ascii="宋体" w:hAnsi="宋体" w:eastAsia="宋体" w:cs="宋体"/>
          <w:color w:val="auto"/>
        </w:rPr>
        <w:t>种要件，其响应文件才被接受：</w:t>
      </w:r>
    </w:p>
    <w:p w14:paraId="1A058C67">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1.按</w:t>
      </w:r>
      <w:r>
        <w:rPr>
          <w:rFonts w:hint="eastAsia" w:cs="宋体"/>
          <w:color w:val="auto"/>
          <w:lang w:val="en-US" w:eastAsia="zh-CN"/>
        </w:rPr>
        <w:t>比选文件递交要求</w:t>
      </w:r>
      <w:r>
        <w:rPr>
          <w:rFonts w:hint="eastAsia" w:ascii="宋体" w:hAnsi="宋体" w:eastAsia="宋体" w:cs="宋体"/>
          <w:color w:val="auto"/>
        </w:rPr>
        <w:t>递交了响应文件；</w:t>
      </w:r>
    </w:p>
    <w:p w14:paraId="7218A72B">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2.按时报名签到；</w:t>
      </w:r>
    </w:p>
    <w:p w14:paraId="7DEB065E">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3.缴纳了文件购买费并登记递交《采购文件发售登记表》加盖供应商公章（《采购文件发售登记表》见文件最后页附件）。</w:t>
      </w:r>
    </w:p>
    <w:p w14:paraId="148A9993">
      <w:pPr>
        <w:pageBreakBefore w:val="0"/>
        <w:kinsoku/>
        <w:overflowPunct/>
        <w:topLinePunct w:val="0"/>
        <w:bidi w:val="0"/>
        <w:snapToGrid w:val="0"/>
        <w:spacing w:line="336" w:lineRule="auto"/>
        <w:ind w:firstLine="480" w:firstLineChars="200"/>
        <w:textAlignment w:val="auto"/>
        <w:rPr>
          <w:rFonts w:hint="default" w:ascii="宋体" w:hAnsi="宋体" w:eastAsia="宋体" w:cs="宋体"/>
          <w:color w:val="auto"/>
          <w:lang w:val="en-US" w:eastAsia="zh-CN"/>
        </w:rPr>
      </w:pPr>
      <w:r>
        <w:rPr>
          <w:rFonts w:hint="eastAsia" w:cs="宋体"/>
          <w:color w:val="auto"/>
          <w:lang w:val="en-US" w:eastAsia="zh-CN"/>
        </w:rPr>
        <w:t>4.按比选文件要求按时足额缴纳了比选保证金。</w:t>
      </w:r>
    </w:p>
    <w:p w14:paraId="3D05AB23">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（五）</w:t>
      </w:r>
      <w:r>
        <w:rPr>
          <w:rFonts w:hint="eastAsia" w:cs="宋体"/>
          <w:color w:val="auto"/>
          <w:highlight w:val="none"/>
          <w:lang w:val="en-US" w:eastAsia="zh-CN"/>
        </w:rPr>
        <w:t>响应文件</w:t>
      </w:r>
      <w:r>
        <w:rPr>
          <w:rFonts w:hint="eastAsia" w:ascii="宋体" w:hAnsi="宋体" w:eastAsia="宋体" w:cs="宋体"/>
          <w:color w:val="auto"/>
          <w:highlight w:val="none"/>
        </w:rPr>
        <w:t>递交</w:t>
      </w:r>
    </w:p>
    <w:p w14:paraId="795DFB4A">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本项目采用线上+线下相结合的比选方式，请各</w:t>
      </w:r>
      <w:r>
        <w:rPr>
          <w:rFonts w:hint="eastAsia" w:cs="宋体"/>
          <w:color w:val="auto"/>
          <w:highlight w:val="none"/>
          <w:lang w:val="en-US" w:eastAsia="zh-CN"/>
        </w:rPr>
        <w:t>供应商</w:t>
      </w:r>
      <w:r>
        <w:rPr>
          <w:rFonts w:hint="eastAsia" w:ascii="宋体" w:hAnsi="宋体" w:eastAsia="宋体" w:cs="宋体"/>
          <w:color w:val="auto"/>
          <w:highlight w:val="none"/>
        </w:rPr>
        <w:t>按如下要求参与比选：</w:t>
      </w:r>
    </w:p>
    <w:p w14:paraId="569A2048">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1、线上报价及上传</w:t>
      </w:r>
      <w:r>
        <w:rPr>
          <w:rFonts w:hint="eastAsia" w:cs="宋体"/>
          <w:color w:val="auto"/>
          <w:highlight w:val="none"/>
          <w:lang w:eastAsia="zh-CN"/>
        </w:rPr>
        <w:t>响应文件</w:t>
      </w:r>
      <w:r>
        <w:rPr>
          <w:rFonts w:hint="eastAsia" w:ascii="宋体" w:hAnsi="宋体" w:eastAsia="宋体" w:cs="宋体"/>
          <w:color w:val="auto"/>
          <w:highlight w:val="none"/>
        </w:rPr>
        <w:t>电子文档</w:t>
      </w:r>
    </w:p>
    <w:p w14:paraId="087F3356">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线上报价时间：公告发布之日至2025年</w:t>
      </w:r>
      <w:r>
        <w:rPr>
          <w:rFonts w:hint="eastAsia" w:cs="宋体"/>
          <w:color w:val="auto"/>
          <w:highlight w:val="none"/>
          <w:lang w:val="en-US" w:eastAsia="zh-CN"/>
        </w:rPr>
        <w:t>8</w:t>
      </w:r>
      <w:r>
        <w:rPr>
          <w:rFonts w:hint="eastAsia" w:ascii="宋体" w:hAnsi="宋体" w:eastAsia="宋体" w:cs="宋体"/>
          <w:color w:val="auto"/>
          <w:highlight w:val="none"/>
        </w:rPr>
        <w:t>月</w:t>
      </w:r>
      <w:r>
        <w:rPr>
          <w:rFonts w:hint="eastAsia" w:cs="宋体"/>
          <w:color w:val="auto"/>
          <w:highlight w:val="none"/>
          <w:lang w:val="en-US" w:eastAsia="zh-CN"/>
        </w:rPr>
        <w:t>14</w:t>
      </w:r>
      <w:r>
        <w:rPr>
          <w:rFonts w:hint="eastAsia" w:ascii="宋体" w:hAnsi="宋体" w:eastAsia="宋体" w:cs="宋体"/>
          <w:color w:val="auto"/>
          <w:highlight w:val="none"/>
        </w:rPr>
        <w:t>日1</w:t>
      </w:r>
      <w:r>
        <w:rPr>
          <w:rFonts w:hint="eastAsia" w:cs="宋体"/>
          <w:color w:val="auto"/>
          <w:highlight w:val="none"/>
          <w:lang w:val="en-US" w:eastAsia="zh-CN"/>
        </w:rPr>
        <w:t>2</w:t>
      </w:r>
      <w:r>
        <w:rPr>
          <w:rFonts w:hint="eastAsia" w:ascii="宋体" w:hAnsi="宋体" w:eastAsia="宋体" w:cs="宋体"/>
          <w:color w:val="auto"/>
          <w:highlight w:val="none"/>
        </w:rPr>
        <w:t>时00分。</w:t>
      </w:r>
    </w:p>
    <w:p w14:paraId="75C18384">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线上报价要求：按本项目规定的线上报价时间内在行采家（https://www.gec123.com/）上进行线上报价，并在规定的时间内上传</w:t>
      </w:r>
      <w:r>
        <w:rPr>
          <w:rFonts w:hint="eastAsia" w:cs="宋体"/>
          <w:color w:val="auto"/>
          <w:highlight w:val="none"/>
          <w:lang w:val="en-US" w:eastAsia="zh-CN"/>
        </w:rPr>
        <w:t>响应</w:t>
      </w:r>
      <w:r>
        <w:rPr>
          <w:rFonts w:hint="eastAsia" w:ascii="宋体" w:hAnsi="宋体" w:eastAsia="宋体" w:cs="宋体"/>
          <w:color w:val="auto"/>
          <w:highlight w:val="none"/>
        </w:rPr>
        <w:t>文件电子文档。未在规定时间内报价和上传</w:t>
      </w:r>
      <w:r>
        <w:rPr>
          <w:rFonts w:hint="eastAsia" w:cs="宋体"/>
          <w:color w:val="auto"/>
          <w:highlight w:val="none"/>
          <w:lang w:val="en-US" w:eastAsia="zh-CN"/>
        </w:rPr>
        <w:t>响应文件</w:t>
      </w:r>
      <w:r>
        <w:rPr>
          <w:rFonts w:hint="eastAsia" w:ascii="宋体" w:hAnsi="宋体" w:eastAsia="宋体" w:cs="宋体"/>
          <w:color w:val="auto"/>
          <w:highlight w:val="none"/>
        </w:rPr>
        <w:t>的</w:t>
      </w:r>
      <w:r>
        <w:rPr>
          <w:rFonts w:hint="eastAsia" w:cs="宋体"/>
          <w:color w:val="auto"/>
          <w:highlight w:val="none"/>
          <w:lang w:val="en-US" w:eastAsia="zh-CN"/>
        </w:rPr>
        <w:t>供应商</w:t>
      </w:r>
      <w:r>
        <w:rPr>
          <w:rFonts w:hint="eastAsia" w:ascii="宋体" w:hAnsi="宋体" w:eastAsia="宋体" w:cs="宋体"/>
          <w:color w:val="auto"/>
          <w:highlight w:val="none"/>
        </w:rPr>
        <w:t>不具备比选资格。行采家上传的</w:t>
      </w:r>
      <w:r>
        <w:rPr>
          <w:rFonts w:hint="eastAsia" w:cs="宋体"/>
          <w:color w:val="auto"/>
          <w:highlight w:val="none"/>
          <w:lang w:val="en-US" w:eastAsia="zh-CN"/>
        </w:rPr>
        <w:t>响应</w:t>
      </w:r>
      <w:r>
        <w:rPr>
          <w:rFonts w:hint="eastAsia" w:ascii="宋体" w:hAnsi="宋体" w:eastAsia="宋体" w:cs="宋体"/>
          <w:color w:val="auto"/>
          <w:highlight w:val="none"/>
        </w:rPr>
        <w:t>文件电子文档应为签字盖章齐全的纸质</w:t>
      </w:r>
      <w:r>
        <w:rPr>
          <w:rFonts w:hint="eastAsia" w:cs="宋体"/>
          <w:color w:val="auto"/>
          <w:highlight w:val="none"/>
          <w:lang w:val="en-US" w:eastAsia="zh-CN"/>
        </w:rPr>
        <w:t>响应</w:t>
      </w:r>
      <w:r>
        <w:rPr>
          <w:rFonts w:hint="eastAsia" w:ascii="宋体" w:hAnsi="宋体" w:eastAsia="宋体" w:cs="宋体"/>
          <w:color w:val="auto"/>
          <w:highlight w:val="none"/>
        </w:rPr>
        <w:t>文件扫描件（PDF格式），若与纸质</w:t>
      </w:r>
      <w:r>
        <w:rPr>
          <w:rFonts w:hint="eastAsia" w:cs="宋体"/>
          <w:color w:val="auto"/>
          <w:highlight w:val="none"/>
          <w:lang w:val="en-US" w:eastAsia="zh-CN"/>
        </w:rPr>
        <w:t>响应</w:t>
      </w:r>
      <w:r>
        <w:rPr>
          <w:rFonts w:hint="eastAsia" w:ascii="宋体" w:hAnsi="宋体" w:eastAsia="宋体" w:cs="宋体"/>
          <w:color w:val="auto"/>
          <w:highlight w:val="none"/>
        </w:rPr>
        <w:t>文件不一致的，以纸质</w:t>
      </w:r>
      <w:r>
        <w:rPr>
          <w:rFonts w:hint="eastAsia" w:cs="宋体"/>
          <w:color w:val="auto"/>
          <w:highlight w:val="none"/>
          <w:lang w:eastAsia="zh-CN"/>
        </w:rPr>
        <w:t>响应文件</w:t>
      </w:r>
      <w:r>
        <w:rPr>
          <w:rFonts w:hint="eastAsia" w:ascii="宋体" w:hAnsi="宋体" w:eastAsia="宋体" w:cs="宋体"/>
          <w:color w:val="auto"/>
          <w:highlight w:val="none"/>
        </w:rPr>
        <w:t>正本为准。</w:t>
      </w:r>
    </w:p>
    <w:p w14:paraId="6169EA29">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2、线下递交纸质</w:t>
      </w:r>
      <w:r>
        <w:rPr>
          <w:rFonts w:hint="eastAsia" w:cs="宋体"/>
          <w:color w:val="auto"/>
          <w:highlight w:val="none"/>
          <w:lang w:val="en-US" w:eastAsia="zh-CN"/>
        </w:rPr>
        <w:t>响应</w:t>
      </w:r>
      <w:r>
        <w:rPr>
          <w:rFonts w:hint="eastAsia" w:ascii="宋体" w:hAnsi="宋体" w:eastAsia="宋体" w:cs="宋体"/>
          <w:color w:val="auto"/>
          <w:highlight w:val="none"/>
        </w:rPr>
        <w:t>文件</w:t>
      </w:r>
    </w:p>
    <w:p w14:paraId="0698C1D5">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线下递交纸质</w:t>
      </w:r>
      <w:r>
        <w:rPr>
          <w:rFonts w:hint="eastAsia" w:cs="宋体"/>
          <w:color w:val="auto"/>
          <w:highlight w:val="none"/>
          <w:lang w:val="en-US" w:eastAsia="zh-CN"/>
        </w:rPr>
        <w:t>响应</w:t>
      </w:r>
      <w:r>
        <w:rPr>
          <w:rFonts w:hint="eastAsia" w:ascii="宋体" w:hAnsi="宋体" w:eastAsia="宋体" w:cs="宋体"/>
          <w:color w:val="auto"/>
          <w:highlight w:val="none"/>
        </w:rPr>
        <w:t>文件开始时间：2025年</w:t>
      </w:r>
      <w:r>
        <w:rPr>
          <w:rFonts w:hint="eastAsia" w:cs="宋体"/>
          <w:color w:val="auto"/>
          <w:highlight w:val="none"/>
          <w:lang w:val="en-US" w:eastAsia="zh-CN"/>
        </w:rPr>
        <w:t>8</w:t>
      </w:r>
      <w:r>
        <w:rPr>
          <w:rFonts w:hint="eastAsia" w:ascii="宋体" w:hAnsi="宋体" w:eastAsia="宋体" w:cs="宋体"/>
          <w:color w:val="auto"/>
          <w:highlight w:val="none"/>
        </w:rPr>
        <w:t>月</w:t>
      </w:r>
      <w:r>
        <w:rPr>
          <w:rFonts w:hint="eastAsia" w:cs="宋体"/>
          <w:color w:val="auto"/>
          <w:highlight w:val="none"/>
          <w:lang w:val="en-US" w:eastAsia="zh-CN"/>
        </w:rPr>
        <w:t>14</w:t>
      </w:r>
      <w:r>
        <w:rPr>
          <w:rFonts w:hint="eastAsia" w:ascii="宋体" w:hAnsi="宋体" w:eastAsia="宋体" w:cs="宋体"/>
          <w:color w:val="auto"/>
          <w:highlight w:val="none"/>
        </w:rPr>
        <w:t>日</w:t>
      </w:r>
      <w:r>
        <w:rPr>
          <w:rFonts w:hint="eastAsia" w:cs="宋体"/>
          <w:color w:val="auto"/>
          <w:highlight w:val="none"/>
          <w:lang w:val="en-US" w:eastAsia="zh-CN"/>
        </w:rPr>
        <w:t>14</w:t>
      </w:r>
      <w:r>
        <w:rPr>
          <w:rFonts w:hint="eastAsia" w:ascii="宋体" w:hAnsi="宋体" w:eastAsia="宋体" w:cs="宋体"/>
          <w:color w:val="auto"/>
          <w:highlight w:val="none"/>
        </w:rPr>
        <w:t>时</w:t>
      </w:r>
      <w:r>
        <w:rPr>
          <w:rFonts w:hint="eastAsia" w:cs="宋体"/>
          <w:color w:val="auto"/>
          <w:highlight w:val="none"/>
          <w:lang w:val="en-US" w:eastAsia="zh-CN"/>
        </w:rPr>
        <w:t>3</w:t>
      </w:r>
      <w:r>
        <w:rPr>
          <w:rFonts w:hint="eastAsia" w:ascii="宋体" w:hAnsi="宋体" w:eastAsia="宋体" w:cs="宋体"/>
          <w:color w:val="auto"/>
          <w:highlight w:val="none"/>
        </w:rPr>
        <w:t>0分</w:t>
      </w:r>
    </w:p>
    <w:p w14:paraId="764C6F88">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线下递交纸质</w:t>
      </w:r>
      <w:r>
        <w:rPr>
          <w:rFonts w:hint="eastAsia" w:cs="宋体"/>
          <w:color w:val="auto"/>
          <w:highlight w:val="none"/>
          <w:lang w:val="en-US" w:eastAsia="zh-CN"/>
        </w:rPr>
        <w:t>响应</w:t>
      </w:r>
      <w:r>
        <w:rPr>
          <w:rFonts w:hint="eastAsia" w:ascii="宋体" w:hAnsi="宋体" w:eastAsia="宋体" w:cs="宋体"/>
          <w:color w:val="auto"/>
          <w:highlight w:val="none"/>
        </w:rPr>
        <w:t>文件截止时间：2025年</w:t>
      </w:r>
      <w:r>
        <w:rPr>
          <w:rFonts w:hint="eastAsia" w:cs="宋体"/>
          <w:color w:val="auto"/>
          <w:highlight w:val="none"/>
          <w:lang w:val="en-US" w:eastAsia="zh-CN"/>
        </w:rPr>
        <w:t>8</w:t>
      </w:r>
      <w:r>
        <w:rPr>
          <w:rFonts w:hint="eastAsia" w:ascii="宋体" w:hAnsi="宋体" w:eastAsia="宋体" w:cs="宋体"/>
          <w:color w:val="auto"/>
          <w:highlight w:val="none"/>
        </w:rPr>
        <w:t>月</w:t>
      </w:r>
      <w:r>
        <w:rPr>
          <w:rFonts w:hint="eastAsia" w:cs="宋体"/>
          <w:color w:val="auto"/>
          <w:highlight w:val="none"/>
          <w:lang w:val="en-US" w:eastAsia="zh-CN"/>
        </w:rPr>
        <w:t>14</w:t>
      </w:r>
      <w:r>
        <w:rPr>
          <w:rFonts w:hint="eastAsia" w:ascii="宋体" w:hAnsi="宋体" w:eastAsia="宋体" w:cs="宋体"/>
          <w:color w:val="auto"/>
          <w:highlight w:val="none"/>
        </w:rPr>
        <w:t>日1</w:t>
      </w:r>
      <w:r>
        <w:rPr>
          <w:rFonts w:hint="eastAsia" w:cs="宋体"/>
          <w:color w:val="auto"/>
          <w:highlight w:val="none"/>
          <w:lang w:val="en-US" w:eastAsia="zh-CN"/>
        </w:rPr>
        <w:t>5</w:t>
      </w:r>
      <w:r>
        <w:rPr>
          <w:rFonts w:hint="eastAsia" w:ascii="宋体" w:hAnsi="宋体" w:eastAsia="宋体" w:cs="宋体"/>
          <w:color w:val="auto"/>
          <w:highlight w:val="none"/>
        </w:rPr>
        <w:t>时00分。</w:t>
      </w:r>
    </w:p>
    <w:p w14:paraId="1657075F">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线下递交纸质</w:t>
      </w:r>
      <w:r>
        <w:rPr>
          <w:rFonts w:hint="eastAsia" w:cs="宋体"/>
          <w:color w:val="auto"/>
          <w:highlight w:val="none"/>
          <w:lang w:val="en-US" w:eastAsia="zh-CN"/>
        </w:rPr>
        <w:t>响应</w:t>
      </w:r>
      <w:r>
        <w:rPr>
          <w:rFonts w:hint="eastAsia" w:ascii="宋体" w:hAnsi="宋体" w:eastAsia="宋体" w:cs="宋体"/>
          <w:color w:val="auto"/>
          <w:highlight w:val="none"/>
        </w:rPr>
        <w:t>文件地点：重庆市龙门浩职业中学校行政楼</w:t>
      </w:r>
      <w:r>
        <w:rPr>
          <w:rFonts w:hint="eastAsia" w:cs="宋体"/>
          <w:color w:val="auto"/>
          <w:highlight w:val="none"/>
          <w:lang w:val="en-US" w:eastAsia="zh-CN"/>
        </w:rPr>
        <w:t>四</w:t>
      </w:r>
      <w:r>
        <w:rPr>
          <w:rFonts w:hint="eastAsia" w:ascii="宋体" w:hAnsi="宋体" w:eastAsia="宋体" w:cs="宋体"/>
          <w:color w:val="auto"/>
          <w:highlight w:val="none"/>
        </w:rPr>
        <w:t>楼</w:t>
      </w:r>
      <w:r>
        <w:rPr>
          <w:rFonts w:hint="eastAsia" w:cs="宋体"/>
          <w:color w:val="auto"/>
          <w:highlight w:val="none"/>
          <w:lang w:val="en-US" w:eastAsia="zh-CN"/>
        </w:rPr>
        <w:t>三</w:t>
      </w:r>
      <w:r>
        <w:rPr>
          <w:rFonts w:hint="eastAsia" w:ascii="宋体" w:hAnsi="宋体" w:eastAsia="宋体" w:cs="宋体"/>
          <w:color w:val="auto"/>
          <w:highlight w:val="none"/>
        </w:rPr>
        <w:t>会议室。</w:t>
      </w:r>
    </w:p>
    <w:p w14:paraId="49C2B738">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逾期送达的或者未送达指定地点的</w:t>
      </w:r>
      <w:r>
        <w:rPr>
          <w:rFonts w:hint="eastAsia" w:cs="宋体"/>
          <w:color w:val="auto"/>
          <w:highlight w:val="none"/>
          <w:lang w:val="en-US" w:eastAsia="zh-CN"/>
        </w:rPr>
        <w:t>响应</w:t>
      </w:r>
      <w:r>
        <w:rPr>
          <w:rFonts w:hint="eastAsia" w:ascii="宋体" w:hAnsi="宋体" w:eastAsia="宋体" w:cs="宋体"/>
          <w:color w:val="auto"/>
          <w:highlight w:val="none"/>
        </w:rPr>
        <w:t>文件，</w:t>
      </w:r>
      <w:r>
        <w:rPr>
          <w:rFonts w:hint="eastAsia" w:cs="宋体"/>
          <w:color w:val="auto"/>
          <w:highlight w:val="none"/>
          <w:lang w:val="en-US" w:eastAsia="zh-CN"/>
        </w:rPr>
        <w:t>采购人或采购代理机构</w:t>
      </w:r>
      <w:r>
        <w:rPr>
          <w:rFonts w:hint="eastAsia" w:ascii="宋体" w:hAnsi="宋体" w:eastAsia="宋体" w:cs="宋体"/>
          <w:color w:val="auto"/>
          <w:highlight w:val="none"/>
        </w:rPr>
        <w:t>不予受理。</w:t>
      </w:r>
    </w:p>
    <w:p w14:paraId="2C71682D">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3、比选时间：同线下递交纸质</w:t>
      </w:r>
      <w:r>
        <w:rPr>
          <w:rFonts w:hint="eastAsia" w:cs="宋体"/>
          <w:color w:val="auto"/>
          <w:highlight w:val="none"/>
          <w:lang w:val="en-US" w:eastAsia="zh-CN"/>
        </w:rPr>
        <w:t>响应</w:t>
      </w:r>
      <w:r>
        <w:rPr>
          <w:rFonts w:hint="eastAsia" w:ascii="宋体" w:hAnsi="宋体" w:eastAsia="宋体" w:cs="宋体"/>
          <w:color w:val="auto"/>
          <w:highlight w:val="none"/>
        </w:rPr>
        <w:t>文件截止时间。</w:t>
      </w:r>
    </w:p>
    <w:p w14:paraId="0406B59E">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4、比选地点：同线下递交纸质</w:t>
      </w:r>
      <w:r>
        <w:rPr>
          <w:rFonts w:hint="eastAsia" w:cs="宋体"/>
          <w:color w:val="auto"/>
          <w:highlight w:val="none"/>
          <w:lang w:val="en-US" w:eastAsia="zh-CN"/>
        </w:rPr>
        <w:t>响应</w:t>
      </w:r>
      <w:r>
        <w:rPr>
          <w:rFonts w:hint="eastAsia" w:ascii="宋体" w:hAnsi="宋体" w:eastAsia="宋体" w:cs="宋体"/>
          <w:color w:val="auto"/>
          <w:highlight w:val="none"/>
        </w:rPr>
        <w:t>文件地点。</w:t>
      </w:r>
    </w:p>
    <w:p w14:paraId="2DF47DCC">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cs="宋体"/>
          <w:color w:val="auto"/>
          <w:highlight w:val="none"/>
          <w:lang w:val="en-US" w:eastAsia="zh-CN"/>
        </w:rPr>
        <w:t>供应商</w:t>
      </w:r>
      <w:r>
        <w:rPr>
          <w:rFonts w:hint="eastAsia" w:ascii="宋体" w:hAnsi="宋体" w:eastAsia="宋体" w:cs="宋体"/>
          <w:color w:val="auto"/>
          <w:highlight w:val="none"/>
        </w:rPr>
        <w:t>须满足以下要件，其</w:t>
      </w:r>
      <w:r>
        <w:rPr>
          <w:rFonts w:hint="eastAsia" w:cs="宋体"/>
          <w:color w:val="auto"/>
          <w:highlight w:val="none"/>
          <w:lang w:val="en-US" w:eastAsia="zh-CN"/>
        </w:rPr>
        <w:t>响应</w:t>
      </w:r>
      <w:r>
        <w:rPr>
          <w:rFonts w:hint="eastAsia" w:ascii="宋体" w:hAnsi="宋体" w:eastAsia="宋体" w:cs="宋体"/>
          <w:color w:val="auto"/>
          <w:highlight w:val="none"/>
        </w:rPr>
        <w:t>文件才被接受：</w:t>
      </w:r>
    </w:p>
    <w:p w14:paraId="7297BF27">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①按时在行采家（https://www.gec123.com/）进行线上报价并上传签字盖章齐全的pdf格式的</w:t>
      </w:r>
      <w:r>
        <w:rPr>
          <w:rFonts w:hint="eastAsia" w:cs="宋体"/>
          <w:color w:val="auto"/>
          <w:highlight w:val="none"/>
          <w:lang w:val="en-US" w:eastAsia="zh-CN"/>
        </w:rPr>
        <w:t>响应</w:t>
      </w:r>
      <w:r>
        <w:rPr>
          <w:rFonts w:hint="eastAsia" w:ascii="宋体" w:hAnsi="宋体" w:eastAsia="宋体" w:cs="宋体"/>
          <w:color w:val="auto"/>
          <w:highlight w:val="none"/>
        </w:rPr>
        <w:t>文件电子文档。</w:t>
      </w:r>
    </w:p>
    <w:p w14:paraId="46A85308">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②按时线下递交纸质</w:t>
      </w:r>
      <w:r>
        <w:rPr>
          <w:rFonts w:hint="eastAsia" w:cs="宋体"/>
          <w:color w:val="auto"/>
          <w:highlight w:val="none"/>
          <w:lang w:val="en-US" w:eastAsia="zh-CN"/>
        </w:rPr>
        <w:t>响应</w:t>
      </w:r>
      <w:r>
        <w:rPr>
          <w:rFonts w:hint="eastAsia" w:ascii="宋体" w:hAnsi="宋体" w:eastAsia="宋体" w:cs="宋体"/>
          <w:color w:val="auto"/>
          <w:highlight w:val="none"/>
        </w:rPr>
        <w:t>文件。</w:t>
      </w:r>
    </w:p>
    <w:p w14:paraId="35693198">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③按时报名成功并签到。 </w:t>
      </w:r>
    </w:p>
    <w:p w14:paraId="1CF52049">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highlight w:val="none"/>
          <w:lang w:val="en-US" w:eastAsia="zh-CN"/>
        </w:rPr>
      </w:pPr>
      <w:r>
        <w:rPr>
          <w:rFonts w:hint="eastAsia" w:cs="宋体"/>
          <w:color w:val="auto"/>
          <w:highlight w:val="none"/>
          <w:lang w:val="en-US" w:eastAsia="zh-CN"/>
        </w:rPr>
        <w:t>④</w:t>
      </w:r>
      <w:r>
        <w:rPr>
          <w:rFonts w:hint="eastAsia" w:cs="宋体"/>
          <w:color w:val="auto"/>
          <w:lang w:val="en-US" w:eastAsia="zh-CN"/>
        </w:rPr>
        <w:t>按比选文件要求按时足额缴纳了比选保证金。</w:t>
      </w:r>
    </w:p>
    <w:p w14:paraId="0EC748E3">
      <w:pPr>
        <w:pStyle w:val="3"/>
        <w:keepNext/>
        <w:keepLines/>
        <w:pageBreakBefore w:val="0"/>
        <w:widowControl/>
        <w:kinsoku/>
        <w:wordWrap/>
        <w:overflowPunct/>
        <w:topLinePunct w:val="0"/>
        <w:autoSpaceDE/>
        <w:autoSpaceDN/>
        <w:bidi w:val="0"/>
        <w:adjustRightInd/>
        <w:snapToGrid/>
        <w:spacing w:before="0" w:after="0" w:line="336" w:lineRule="auto"/>
        <w:ind w:firstLine="480" w:firstLineChars="200"/>
        <w:textAlignment w:val="auto"/>
        <w:outlineLvl w:val="1"/>
        <w:rPr>
          <w:rFonts w:hint="eastAsia" w:ascii="宋体" w:hAnsi="宋体" w:eastAsia="宋体" w:cs="宋体"/>
          <w:color w:val="auto"/>
          <w:sz w:val="24"/>
          <w:szCs w:val="24"/>
          <w:highlight w:val="none"/>
        </w:rPr>
      </w:pPr>
      <w:bookmarkStart w:id="28" w:name="_Toc1422"/>
      <w:bookmarkStart w:id="29" w:name="_Toc22356"/>
      <w:bookmarkStart w:id="30" w:name="_Toc108545955"/>
      <w:bookmarkStart w:id="31" w:name="_Toc487204775"/>
      <w:r>
        <w:rPr>
          <w:rFonts w:hint="eastAsia" w:ascii="宋体" w:hAnsi="宋体" w:eastAsia="宋体" w:cs="宋体"/>
          <w:color w:val="auto"/>
          <w:sz w:val="24"/>
          <w:szCs w:val="24"/>
          <w:highlight w:val="none"/>
        </w:rPr>
        <w:t>五、比选保证金</w:t>
      </w:r>
      <w:bookmarkEnd w:id="28"/>
      <w:bookmarkEnd w:id="29"/>
      <w:bookmarkEnd w:id="30"/>
      <w:bookmarkEnd w:id="31"/>
    </w:p>
    <w:p w14:paraId="6CACFF67">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bookmarkStart w:id="32" w:name="_Toc24666"/>
      <w:bookmarkStart w:id="33" w:name="_Toc108545956"/>
      <w:bookmarkStart w:id="34" w:name="_Toc487204776"/>
      <w:r>
        <w:rPr>
          <w:rFonts w:hint="eastAsia" w:ascii="宋体" w:hAnsi="宋体" w:eastAsia="宋体" w:cs="宋体"/>
          <w:color w:val="auto"/>
        </w:rPr>
        <w:t>（一）</w:t>
      </w:r>
      <w:r>
        <w:rPr>
          <w:rFonts w:hint="eastAsia" w:cs="宋体"/>
          <w:color w:val="auto"/>
          <w:lang w:val="en-US" w:eastAsia="zh-CN"/>
        </w:rPr>
        <w:t>比选</w:t>
      </w:r>
      <w:r>
        <w:rPr>
          <w:rFonts w:hint="eastAsia" w:ascii="宋体" w:hAnsi="宋体" w:eastAsia="宋体" w:cs="宋体"/>
          <w:color w:val="auto"/>
        </w:rPr>
        <w:t>保证金递交</w:t>
      </w:r>
    </w:p>
    <w:p w14:paraId="06756C95">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w:t>
      </w:r>
      <w:r>
        <w:rPr>
          <w:rFonts w:hint="eastAsia" w:cs="宋体"/>
          <w:color w:val="auto"/>
          <w:lang w:val="en-US" w:eastAsia="zh-CN"/>
        </w:rPr>
        <w:t>比选</w:t>
      </w:r>
      <w:r>
        <w:rPr>
          <w:rFonts w:hint="eastAsia" w:ascii="宋体" w:hAnsi="宋体" w:eastAsia="宋体" w:cs="宋体"/>
          <w:color w:val="auto"/>
        </w:rPr>
        <w:t>保证金金额：¥</w:t>
      </w:r>
      <w:r>
        <w:rPr>
          <w:rFonts w:hint="eastAsia" w:cs="宋体"/>
          <w:color w:val="auto"/>
          <w:lang w:val="en-US" w:eastAsia="zh-CN"/>
        </w:rPr>
        <w:t>5</w:t>
      </w:r>
      <w:r>
        <w:rPr>
          <w:rFonts w:hint="eastAsia" w:ascii="宋体" w:hAnsi="宋体" w:eastAsia="宋体" w:cs="宋体"/>
          <w:color w:val="auto"/>
          <w:lang w:val="en-US" w:eastAsia="zh-CN"/>
        </w:rPr>
        <w:t>000.00</w:t>
      </w:r>
      <w:r>
        <w:rPr>
          <w:rFonts w:hint="eastAsia" w:ascii="宋体" w:hAnsi="宋体" w:eastAsia="宋体" w:cs="宋体"/>
          <w:color w:val="auto"/>
        </w:rPr>
        <w:t>元。</w:t>
      </w:r>
    </w:p>
    <w:p w14:paraId="72A65C08">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2.</w:t>
      </w:r>
      <w:r>
        <w:rPr>
          <w:rFonts w:hint="eastAsia" w:cs="宋体"/>
          <w:color w:val="auto"/>
          <w:lang w:val="en-US" w:eastAsia="zh-CN"/>
        </w:rPr>
        <w:t>比选</w:t>
      </w:r>
      <w:r>
        <w:rPr>
          <w:rFonts w:hint="eastAsia" w:ascii="宋体" w:hAnsi="宋体" w:eastAsia="宋体" w:cs="宋体"/>
          <w:color w:val="auto"/>
        </w:rPr>
        <w:t>保证金提交形式：采用转账、电汇形式支付</w:t>
      </w:r>
    </w:p>
    <w:p w14:paraId="67F4330D">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3.</w:t>
      </w:r>
      <w:r>
        <w:rPr>
          <w:rFonts w:hint="eastAsia" w:cs="宋体"/>
          <w:color w:val="auto"/>
          <w:lang w:val="en-US" w:eastAsia="zh-CN"/>
        </w:rPr>
        <w:t>比选</w:t>
      </w:r>
      <w:r>
        <w:rPr>
          <w:rFonts w:hint="eastAsia" w:ascii="宋体" w:hAnsi="宋体" w:eastAsia="宋体" w:cs="宋体"/>
          <w:color w:val="auto"/>
        </w:rPr>
        <w:t>保证金提交时间：</w:t>
      </w:r>
      <w:r>
        <w:rPr>
          <w:rFonts w:hint="eastAsia" w:ascii="宋体" w:hAnsi="宋体" w:eastAsia="宋体" w:cs="宋体"/>
          <w:color w:val="auto"/>
          <w:lang w:eastAsia="zh-CN"/>
        </w:rPr>
        <w:t>供应商</w:t>
      </w:r>
      <w:r>
        <w:rPr>
          <w:rFonts w:hint="eastAsia" w:ascii="宋体" w:hAnsi="宋体" w:eastAsia="宋体" w:cs="宋体"/>
          <w:color w:val="auto"/>
        </w:rPr>
        <w:t>须按本项目规定的</w:t>
      </w:r>
      <w:r>
        <w:rPr>
          <w:rFonts w:hint="eastAsia" w:cs="宋体"/>
          <w:color w:val="auto"/>
          <w:lang w:val="en-US" w:eastAsia="zh-CN"/>
        </w:rPr>
        <w:t>比选</w:t>
      </w:r>
      <w:r>
        <w:rPr>
          <w:rFonts w:hint="eastAsia" w:ascii="宋体" w:hAnsi="宋体" w:eastAsia="宋体" w:cs="宋体"/>
          <w:color w:val="auto"/>
        </w:rPr>
        <w:t>保证金金额进行缴纳，由</w:t>
      </w:r>
      <w:r>
        <w:rPr>
          <w:rFonts w:hint="eastAsia" w:ascii="宋体" w:hAnsi="宋体" w:eastAsia="宋体" w:cs="宋体"/>
          <w:color w:val="auto"/>
          <w:lang w:eastAsia="zh-CN"/>
        </w:rPr>
        <w:t>供应商</w:t>
      </w:r>
      <w:r>
        <w:rPr>
          <w:rFonts w:hint="eastAsia" w:ascii="宋体" w:hAnsi="宋体" w:eastAsia="宋体" w:cs="宋体"/>
          <w:color w:val="auto"/>
        </w:rPr>
        <w:t>从其基本账户通过银行转账直接</w:t>
      </w:r>
      <w:r>
        <w:rPr>
          <w:rFonts w:hint="eastAsia" w:cs="宋体"/>
          <w:color w:val="auto"/>
          <w:lang w:val="en-US" w:eastAsia="zh-CN"/>
        </w:rPr>
        <w:t>转账</w:t>
      </w:r>
      <w:r>
        <w:rPr>
          <w:rFonts w:hint="eastAsia" w:ascii="宋体" w:hAnsi="宋体" w:eastAsia="宋体" w:cs="宋体"/>
          <w:color w:val="auto"/>
        </w:rPr>
        <w:t>至下面指定的</w:t>
      </w:r>
      <w:r>
        <w:rPr>
          <w:rFonts w:hint="eastAsia" w:cs="宋体"/>
          <w:color w:val="auto"/>
          <w:lang w:val="en-US" w:eastAsia="zh-CN"/>
        </w:rPr>
        <w:t>比选</w:t>
      </w:r>
      <w:r>
        <w:rPr>
          <w:rFonts w:hint="eastAsia" w:ascii="宋体" w:hAnsi="宋体" w:eastAsia="宋体" w:cs="宋体"/>
          <w:color w:val="auto"/>
        </w:rPr>
        <w:t>保证金账户，</w:t>
      </w:r>
      <w:r>
        <w:rPr>
          <w:rFonts w:hint="eastAsia" w:cs="宋体"/>
          <w:color w:val="auto"/>
          <w:lang w:val="en-US" w:eastAsia="zh-CN"/>
        </w:rPr>
        <w:t>比选</w:t>
      </w:r>
      <w:r>
        <w:rPr>
          <w:rFonts w:hint="eastAsia" w:ascii="宋体" w:hAnsi="宋体" w:eastAsia="宋体" w:cs="宋体"/>
          <w:color w:val="auto"/>
        </w:rPr>
        <w:t>保证金的到账截止时间为</w:t>
      </w:r>
      <w:r>
        <w:rPr>
          <w:rFonts w:hint="eastAsia" w:ascii="宋体" w:hAnsi="宋体" w:eastAsia="宋体" w:cs="宋体"/>
          <w:color w:val="auto"/>
          <w:lang w:eastAsia="zh-CN"/>
        </w:rPr>
        <w:t>：</w:t>
      </w:r>
      <w:r>
        <w:rPr>
          <w:rFonts w:hint="eastAsia" w:cs="宋体"/>
          <w:color w:val="auto"/>
          <w:lang w:val="en-US" w:eastAsia="zh-CN"/>
        </w:rPr>
        <w:t>2025年8月14日12:00（北京时间）</w:t>
      </w:r>
      <w:r>
        <w:rPr>
          <w:rFonts w:hint="eastAsia" w:ascii="宋体" w:hAnsi="宋体" w:eastAsia="宋体" w:cs="宋体"/>
          <w:color w:val="auto"/>
        </w:rPr>
        <w:t>。</w:t>
      </w:r>
    </w:p>
    <w:p w14:paraId="3EA618E3">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cs="宋体"/>
          <w:color w:val="auto"/>
          <w:lang w:val="en-US" w:eastAsia="zh-CN"/>
        </w:rPr>
        <w:t>比选</w:t>
      </w:r>
      <w:r>
        <w:rPr>
          <w:rFonts w:hint="eastAsia" w:ascii="宋体" w:hAnsi="宋体" w:eastAsia="宋体" w:cs="宋体"/>
          <w:color w:val="auto"/>
          <w:highlight w:val="none"/>
        </w:rPr>
        <w:t>保证金账户及账号：</w:t>
      </w:r>
      <w:r>
        <w:rPr>
          <w:rFonts w:hint="eastAsia" w:ascii="宋体" w:hAnsi="宋体" w:eastAsia="宋体" w:cs="宋体"/>
          <w:color w:val="auto"/>
        </w:rPr>
        <w:t xml:space="preserve"> </w:t>
      </w:r>
    </w:p>
    <w:p w14:paraId="0364094D">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户  名：</w:t>
      </w:r>
      <w:r>
        <w:rPr>
          <w:rFonts w:hint="eastAsia" w:cs="宋体"/>
          <w:color w:val="auto"/>
          <w:lang w:eastAsia="zh-CN"/>
        </w:rPr>
        <w:t>重庆车厘子建设工程咨询有限公司</w:t>
      </w:r>
    </w:p>
    <w:p w14:paraId="3FEEE488">
      <w:pPr>
        <w:pageBreakBefore w:val="0"/>
        <w:kinsoku/>
        <w:overflowPunct/>
        <w:topLinePunct w:val="0"/>
        <w:bidi w:val="0"/>
        <w:snapToGrid w:val="0"/>
        <w:spacing w:line="336" w:lineRule="auto"/>
        <w:ind w:firstLine="480" w:firstLineChars="200"/>
        <w:textAlignment w:val="auto"/>
        <w:rPr>
          <w:rFonts w:hint="default" w:ascii="宋体" w:hAnsi="宋体" w:eastAsia="宋体" w:cs="宋体"/>
          <w:color w:val="auto"/>
          <w:lang w:val="en-US" w:eastAsia="zh-CN"/>
        </w:rPr>
      </w:pPr>
      <w:r>
        <w:rPr>
          <w:rFonts w:hint="eastAsia" w:ascii="宋体" w:hAnsi="宋体" w:eastAsia="宋体" w:cs="宋体"/>
          <w:color w:val="auto"/>
        </w:rPr>
        <w:t>开户行：</w:t>
      </w:r>
      <w:r>
        <w:rPr>
          <w:rFonts w:hint="eastAsia" w:ascii="宋体" w:hAnsi="宋体" w:eastAsia="宋体" w:cs="宋体"/>
          <w:color w:val="auto"/>
          <w:lang w:val="en-US" w:eastAsia="zh-CN"/>
        </w:rPr>
        <w:t>中国民生银行股份有限公司重庆杨家坪支</w:t>
      </w:r>
      <w:r>
        <w:rPr>
          <w:rFonts w:hint="eastAsia" w:cs="宋体"/>
          <w:color w:val="auto"/>
          <w:lang w:val="en-US" w:eastAsia="zh-CN"/>
        </w:rPr>
        <w:t>行</w:t>
      </w:r>
    </w:p>
    <w:p w14:paraId="64ED586E">
      <w:pPr>
        <w:pageBreakBefore w:val="0"/>
        <w:kinsoku/>
        <w:overflowPunct/>
        <w:topLinePunct w:val="0"/>
        <w:bidi w:val="0"/>
        <w:snapToGrid w:val="0"/>
        <w:spacing w:line="336" w:lineRule="auto"/>
        <w:ind w:firstLine="480" w:firstLineChars="200"/>
        <w:textAlignment w:val="auto"/>
        <w:rPr>
          <w:rFonts w:hint="default" w:ascii="宋体" w:hAnsi="宋体" w:eastAsia="宋体" w:cs="宋体"/>
          <w:color w:val="auto"/>
          <w:lang w:val="en-US" w:eastAsia="zh-CN"/>
        </w:rPr>
      </w:pPr>
      <w:r>
        <w:rPr>
          <w:rFonts w:hint="eastAsia" w:ascii="宋体" w:hAnsi="宋体" w:eastAsia="宋体" w:cs="宋体"/>
          <w:color w:val="auto"/>
        </w:rPr>
        <w:t>账  号：</w:t>
      </w:r>
      <w:r>
        <w:rPr>
          <w:rFonts w:hint="eastAsia" w:ascii="宋体" w:hAnsi="宋体" w:eastAsia="宋体" w:cs="宋体"/>
          <w:color w:val="auto"/>
          <w:lang w:val="en-US" w:eastAsia="zh-CN"/>
        </w:rPr>
        <w:t>644795926</w:t>
      </w:r>
    </w:p>
    <w:p w14:paraId="70365366">
      <w:pPr>
        <w:pageBreakBefore w:val="0"/>
        <w:kinsoku/>
        <w:overflowPunct/>
        <w:topLinePunct w:val="0"/>
        <w:bidi w:val="0"/>
        <w:snapToGrid w:val="0"/>
        <w:spacing w:line="336" w:lineRule="auto"/>
        <w:ind w:firstLine="480" w:firstLineChars="200"/>
        <w:textAlignment w:val="auto"/>
        <w:rPr>
          <w:rFonts w:hint="default" w:ascii="宋体" w:hAnsi="宋体" w:eastAsia="宋体" w:cs="宋体"/>
          <w:color w:val="auto"/>
          <w:lang w:val="en-US"/>
        </w:rPr>
      </w:pPr>
      <w:r>
        <w:rPr>
          <w:rFonts w:hint="eastAsia" w:ascii="宋体" w:hAnsi="宋体" w:eastAsia="宋体" w:cs="宋体"/>
          <w:color w:val="auto"/>
          <w:lang w:val="en-US" w:eastAsia="zh-CN"/>
        </w:rPr>
        <w:t>转账时请在备注栏备注：“</w:t>
      </w:r>
      <w:r>
        <w:rPr>
          <w:rFonts w:hint="eastAsia" w:cs="宋体"/>
          <w:color w:val="auto"/>
          <w:lang w:val="en-US" w:eastAsia="zh-CN"/>
        </w:rPr>
        <w:t>CQCLZ250821</w:t>
      </w:r>
      <w:r>
        <w:rPr>
          <w:rFonts w:hint="eastAsia" w:ascii="宋体" w:hAnsi="宋体" w:eastAsia="宋体" w:cs="宋体"/>
          <w:color w:val="auto"/>
          <w:lang w:val="en-US" w:eastAsia="zh-CN"/>
        </w:rPr>
        <w:t>”</w:t>
      </w:r>
      <w:r>
        <w:rPr>
          <w:rFonts w:hint="eastAsia" w:cs="宋体"/>
          <w:color w:val="auto"/>
          <w:lang w:val="en-US" w:eastAsia="zh-CN"/>
        </w:rPr>
        <w:t>比选保证金</w:t>
      </w:r>
    </w:p>
    <w:p w14:paraId="411FAE2A">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二</w:t>
      </w:r>
      <w:r>
        <w:rPr>
          <w:rFonts w:hint="eastAsia" w:ascii="宋体" w:hAnsi="宋体" w:eastAsia="宋体" w:cs="宋体"/>
          <w:color w:val="auto"/>
        </w:rPr>
        <w:t>）保证金递交注意事项：</w:t>
      </w:r>
    </w:p>
    <w:p w14:paraId="7E4E22D2">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①各</w:t>
      </w:r>
      <w:r>
        <w:rPr>
          <w:rFonts w:hint="eastAsia" w:ascii="宋体" w:hAnsi="宋体" w:eastAsia="宋体" w:cs="宋体"/>
          <w:color w:val="auto"/>
          <w:lang w:eastAsia="zh-CN"/>
        </w:rPr>
        <w:t>供应商</w:t>
      </w:r>
      <w:r>
        <w:rPr>
          <w:rFonts w:hint="eastAsia" w:ascii="宋体" w:hAnsi="宋体" w:eastAsia="宋体" w:cs="宋体"/>
          <w:color w:val="auto"/>
        </w:rPr>
        <w:t>在银行转账（电汇）时，须充分考虑银行转账（电汇）的时间差风险，如同城转账、异地转账或汇款、跨行转账或电汇的时间要求。</w:t>
      </w:r>
    </w:p>
    <w:p w14:paraId="38B6E774">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②各</w:t>
      </w:r>
      <w:r>
        <w:rPr>
          <w:rFonts w:hint="eastAsia" w:ascii="宋体" w:hAnsi="宋体" w:eastAsia="宋体" w:cs="宋体"/>
          <w:color w:val="auto"/>
          <w:lang w:eastAsia="zh-CN"/>
        </w:rPr>
        <w:t>供应商</w:t>
      </w:r>
      <w:r>
        <w:rPr>
          <w:rFonts w:hint="eastAsia" w:ascii="宋体" w:hAnsi="宋体" w:eastAsia="宋体" w:cs="宋体"/>
          <w:color w:val="auto"/>
        </w:rPr>
        <w:t>在递交保证金时，到款账户为上述指定的保证金专用账户，来款账户必须为本公司基本账户，</w:t>
      </w:r>
      <w:r>
        <w:rPr>
          <w:rFonts w:hint="eastAsia" w:ascii="宋体" w:hAnsi="宋体" w:eastAsia="宋体" w:cs="宋体"/>
          <w:color w:val="auto"/>
          <w:lang w:eastAsia="zh-CN"/>
        </w:rPr>
        <w:t>供应商</w:t>
      </w:r>
      <w:r>
        <w:rPr>
          <w:rFonts w:hint="eastAsia" w:ascii="宋体" w:hAnsi="宋体" w:eastAsia="宋体" w:cs="宋体"/>
          <w:color w:val="auto"/>
        </w:rPr>
        <w:t>从企业的其他账户划付或者未按时汇入投标保证金的将被否决其投标。</w:t>
      </w:r>
    </w:p>
    <w:p w14:paraId="0D34895E">
      <w:pPr>
        <w:pageBreakBefore w:val="0"/>
        <w:kinsoku/>
        <w:overflowPunct/>
        <w:topLinePunct w:val="0"/>
        <w:bidi w:val="0"/>
        <w:snapToGrid w:val="0"/>
        <w:spacing w:line="336" w:lineRule="auto"/>
        <w:ind w:firstLine="480" w:firstLineChars="200"/>
        <w:textAlignment w:val="auto"/>
        <w:rPr>
          <w:rFonts w:hint="eastAsia" w:ascii="宋体" w:hAnsi="宋体" w:eastAsia="宋体" w:cs="宋体"/>
          <w:b/>
          <w:bCs/>
          <w:color w:val="auto"/>
        </w:rPr>
      </w:pPr>
      <w:r>
        <w:rPr>
          <w:rFonts w:hint="eastAsia" w:ascii="宋体" w:hAnsi="宋体" w:eastAsia="宋体" w:cs="宋体"/>
          <w:b/>
          <w:bCs/>
          <w:color w:val="auto"/>
        </w:rPr>
        <w:t>注：未按上述要求提交</w:t>
      </w:r>
      <w:r>
        <w:rPr>
          <w:rFonts w:hint="eastAsia" w:ascii="宋体" w:hAnsi="宋体" w:eastAsia="宋体" w:cs="宋体"/>
          <w:b/>
          <w:bCs/>
          <w:color w:val="auto"/>
          <w:lang w:val="en-US" w:eastAsia="zh-CN"/>
        </w:rPr>
        <w:t>比选</w:t>
      </w:r>
      <w:r>
        <w:rPr>
          <w:rFonts w:hint="eastAsia" w:ascii="宋体" w:hAnsi="宋体" w:eastAsia="宋体" w:cs="宋体"/>
          <w:b/>
          <w:bCs/>
          <w:color w:val="auto"/>
        </w:rPr>
        <w:t>保证金的，其投标文件按无效投标处理。</w:t>
      </w:r>
    </w:p>
    <w:p w14:paraId="12FD64EF">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lang w:eastAsia="zh-CN"/>
        </w:rPr>
        <w:t>（三）</w:t>
      </w:r>
      <w:r>
        <w:rPr>
          <w:rFonts w:hint="eastAsia" w:cs="宋体"/>
          <w:color w:val="auto"/>
          <w:lang w:val="en-US" w:eastAsia="zh-CN"/>
        </w:rPr>
        <w:t>比选</w:t>
      </w:r>
      <w:r>
        <w:rPr>
          <w:rFonts w:hint="eastAsia" w:ascii="宋体" w:hAnsi="宋体" w:eastAsia="宋体" w:cs="宋体"/>
          <w:color w:val="auto"/>
        </w:rPr>
        <w:t>保证金的退还</w:t>
      </w:r>
    </w:p>
    <w:p w14:paraId="4B802A43">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本项目在中</w:t>
      </w:r>
      <w:r>
        <w:rPr>
          <w:rFonts w:hint="eastAsia" w:cs="宋体"/>
          <w:color w:val="auto"/>
          <w:lang w:val="en-US" w:eastAsia="zh-CN"/>
        </w:rPr>
        <w:t>选</w:t>
      </w:r>
      <w:r>
        <w:rPr>
          <w:rFonts w:hint="eastAsia" w:ascii="宋体" w:hAnsi="宋体" w:eastAsia="宋体" w:cs="宋体"/>
          <w:color w:val="auto"/>
        </w:rPr>
        <w:t>通知书发出后5个工作日内向除中标人和中标候选人以外的</w:t>
      </w:r>
      <w:r>
        <w:rPr>
          <w:rFonts w:hint="eastAsia" w:ascii="宋体" w:hAnsi="宋体" w:eastAsia="宋体" w:cs="宋体"/>
          <w:color w:val="auto"/>
          <w:lang w:eastAsia="zh-CN"/>
        </w:rPr>
        <w:t>供应商</w:t>
      </w:r>
      <w:r>
        <w:rPr>
          <w:rFonts w:hint="eastAsia" w:ascii="宋体" w:hAnsi="宋体" w:eastAsia="宋体" w:cs="宋体"/>
          <w:color w:val="auto"/>
        </w:rPr>
        <w:t>退还</w:t>
      </w:r>
      <w:r>
        <w:rPr>
          <w:rFonts w:hint="eastAsia" w:cs="宋体"/>
          <w:color w:val="auto"/>
          <w:lang w:val="en-US" w:eastAsia="zh-CN"/>
        </w:rPr>
        <w:t>比选</w:t>
      </w:r>
      <w:r>
        <w:rPr>
          <w:rFonts w:hint="eastAsia" w:ascii="宋体" w:hAnsi="宋体" w:eastAsia="宋体" w:cs="宋体"/>
          <w:color w:val="auto"/>
        </w:rPr>
        <w:t>保证金。</w:t>
      </w:r>
    </w:p>
    <w:p w14:paraId="1CDE0365">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rPr>
        <w:t>本项目在合同生效后5个工作日内向中标人和中标候选人退还投标保证金。</w:t>
      </w:r>
    </w:p>
    <w:p w14:paraId="580D4D07">
      <w:pPr>
        <w:pStyle w:val="3"/>
        <w:keepNext/>
        <w:keepLines/>
        <w:pageBreakBefore w:val="0"/>
        <w:widowControl/>
        <w:kinsoku/>
        <w:wordWrap/>
        <w:overflowPunct/>
        <w:topLinePunct w:val="0"/>
        <w:autoSpaceDE/>
        <w:autoSpaceDN/>
        <w:bidi w:val="0"/>
        <w:adjustRightInd/>
        <w:snapToGrid/>
        <w:spacing w:before="0" w:after="0" w:line="336" w:lineRule="auto"/>
        <w:ind w:firstLine="480" w:firstLineChars="200"/>
        <w:textAlignment w:val="auto"/>
        <w:outlineLvl w:val="1"/>
        <w:rPr>
          <w:rFonts w:hint="eastAsia" w:ascii="宋体" w:hAnsi="宋体" w:eastAsia="宋体" w:cs="宋体"/>
          <w:color w:val="auto"/>
          <w:sz w:val="24"/>
          <w:szCs w:val="24"/>
        </w:rPr>
      </w:pPr>
      <w:bookmarkStart w:id="35" w:name="_Toc18753"/>
      <w:r>
        <w:rPr>
          <w:rFonts w:hint="eastAsia" w:ascii="宋体" w:hAnsi="宋体" w:eastAsia="宋体" w:cs="宋体"/>
          <w:color w:val="auto"/>
          <w:sz w:val="24"/>
          <w:szCs w:val="24"/>
        </w:rPr>
        <w:t>六、比选有关规定</w:t>
      </w:r>
      <w:bookmarkEnd w:id="32"/>
      <w:bookmarkEnd w:id="33"/>
      <w:bookmarkEnd w:id="34"/>
      <w:bookmarkEnd w:id="35"/>
    </w:p>
    <w:p w14:paraId="41F551A8">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（一）单位负责人为同一人或者存在直接控股、管理关系的不同供应商，不得参加同一合同项下的采购活动，否则均为无效响应。</w:t>
      </w:r>
    </w:p>
    <w:p w14:paraId="1A5E0256">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（二）为采购项目提供整体设计、规范编制或者项目管理、监理、检测等服务的供应商，不得再参加该采购项目的其他采购活动，否则均为无效响应。</w:t>
      </w:r>
    </w:p>
    <w:p w14:paraId="23620EF9">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（三）同一项目的货物，制造商参与比选的，不得再委托代理商参与比选，否则均为无效响应。</w:t>
      </w:r>
    </w:p>
    <w:p w14:paraId="039ED37B">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（四）本项目的补遗文件（如果有）一律在“行采家(</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"https://www.gec123.com/" </w:instrText>
      </w:r>
      <w:r>
        <w:rPr>
          <w:rFonts w:hint="eastAsia" w:ascii="宋体" w:hAnsi="宋体" w:eastAsia="宋体" w:cs="宋体"/>
          <w:color w:val="auto"/>
        </w:rPr>
        <w:fldChar w:fldCharType="separate"/>
      </w:r>
      <w:r>
        <w:rPr>
          <w:rFonts w:hint="eastAsia" w:ascii="宋体" w:hAnsi="宋体" w:eastAsia="宋体" w:cs="宋体"/>
          <w:color w:val="auto"/>
        </w:rPr>
        <w:t>https://www.gec123.com</w:t>
      </w:r>
      <w:r>
        <w:rPr>
          <w:rFonts w:hint="eastAsia" w:ascii="宋体" w:hAnsi="宋体" w:eastAsia="宋体" w:cs="宋体"/>
          <w:color w:val="auto"/>
        </w:rPr>
        <w:fldChar w:fldCharType="end"/>
      </w:r>
      <w:r>
        <w:rPr>
          <w:rFonts w:hint="eastAsia" w:ascii="宋体" w:hAnsi="宋体" w:eastAsia="宋体" w:cs="宋体"/>
          <w:color w:val="auto"/>
        </w:rPr>
        <w:t>）”上发布，请各供应商注意下载或到代理机构处领取；无论供应商下载或领取与否，均视同供应商已知晓本项目补遗文件（如果有）的内容。</w:t>
      </w:r>
    </w:p>
    <w:p w14:paraId="0EEC5F35">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（五）超过响应文件截止时间递交的响应文件，恕不接收。</w:t>
      </w:r>
    </w:p>
    <w:p w14:paraId="4857E798">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（六）比选费用：无论比选结果如何，供应商参与本项目比选的所有费用均应由供应商自行承担。</w:t>
      </w:r>
    </w:p>
    <w:p w14:paraId="5B834147">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1FF50C87">
      <w:pPr>
        <w:pStyle w:val="3"/>
        <w:keepNext/>
        <w:keepLines/>
        <w:pageBreakBefore w:val="0"/>
        <w:widowControl/>
        <w:kinsoku/>
        <w:wordWrap/>
        <w:overflowPunct/>
        <w:topLinePunct w:val="0"/>
        <w:autoSpaceDE/>
        <w:autoSpaceDN/>
        <w:bidi w:val="0"/>
        <w:adjustRightInd/>
        <w:snapToGrid/>
        <w:spacing w:before="0" w:after="0" w:line="336" w:lineRule="auto"/>
        <w:textAlignment w:val="auto"/>
        <w:outlineLvl w:val="1"/>
        <w:rPr>
          <w:rFonts w:hint="eastAsia" w:ascii="宋体" w:hAnsi="宋体" w:eastAsia="宋体" w:cs="宋体"/>
          <w:color w:val="auto"/>
          <w:sz w:val="24"/>
          <w:szCs w:val="24"/>
        </w:rPr>
      </w:pPr>
      <w:bookmarkStart w:id="36" w:name="_Toc76462321"/>
      <w:bookmarkStart w:id="37" w:name="_Toc373860294"/>
      <w:bookmarkStart w:id="38" w:name="_Toc108545957"/>
      <w:bookmarkStart w:id="39" w:name="_Toc14514"/>
      <w:r>
        <w:rPr>
          <w:rFonts w:hint="eastAsia" w:ascii="宋体" w:hAnsi="宋体" w:eastAsia="宋体" w:cs="宋体"/>
          <w:color w:val="auto"/>
          <w:sz w:val="24"/>
          <w:szCs w:val="24"/>
        </w:rPr>
        <w:t>七</w:t>
      </w:r>
      <w:bookmarkEnd w:id="36"/>
      <w:bookmarkEnd w:id="37"/>
      <w:r>
        <w:rPr>
          <w:rFonts w:hint="eastAsia" w:ascii="宋体" w:hAnsi="宋体" w:eastAsia="宋体" w:cs="宋体"/>
          <w:color w:val="auto"/>
          <w:sz w:val="24"/>
          <w:szCs w:val="24"/>
        </w:rPr>
        <w:t>、联系方式</w:t>
      </w:r>
      <w:bookmarkEnd w:id="38"/>
      <w:bookmarkEnd w:id="39"/>
    </w:p>
    <w:p w14:paraId="695BE9B2">
      <w:pPr>
        <w:pageBreakBefore w:val="0"/>
        <w:tabs>
          <w:tab w:val="center" w:pos="4535"/>
        </w:tabs>
        <w:kinsoku/>
        <w:overflowPunct/>
        <w:topLinePunct w:val="0"/>
        <w:bidi w:val="0"/>
        <w:snapToGrid w:val="0"/>
        <w:spacing w:line="336" w:lineRule="auto"/>
        <w:ind w:firstLine="480" w:firstLineChars="200"/>
        <w:textAlignment w:val="auto"/>
        <w:rPr>
          <w:rFonts w:hint="eastAsia" w:ascii="宋体" w:hAnsi="宋体" w:eastAsia="宋体" w:cs="宋体"/>
          <w:highlight w:val="none"/>
          <w:lang w:eastAsia="zh-CN"/>
        </w:rPr>
      </w:pPr>
      <w:r>
        <w:rPr>
          <w:rFonts w:hint="eastAsia" w:ascii="宋体" w:hAnsi="宋体" w:eastAsia="宋体" w:cs="宋体"/>
          <w:color w:val="auto"/>
        </w:rPr>
        <w:t>（一）</w:t>
      </w:r>
      <w:r>
        <w:rPr>
          <w:rFonts w:hint="eastAsia" w:ascii="宋体" w:hAnsi="宋体" w:eastAsia="宋体" w:cs="宋体"/>
          <w:highlight w:val="none"/>
        </w:rPr>
        <w:t>采购人：</w:t>
      </w:r>
      <w:r>
        <w:rPr>
          <w:rFonts w:hint="eastAsia" w:cs="宋体"/>
          <w:highlight w:val="none"/>
          <w:lang w:eastAsia="zh-CN"/>
        </w:rPr>
        <w:t>重庆市龙门浩职业中学校</w:t>
      </w:r>
    </w:p>
    <w:p w14:paraId="342E1203">
      <w:pPr>
        <w:pageBreakBefore w:val="0"/>
        <w:tabs>
          <w:tab w:val="center" w:pos="4535"/>
        </w:tabs>
        <w:kinsoku/>
        <w:overflowPunct/>
        <w:topLinePunct w:val="0"/>
        <w:bidi w:val="0"/>
        <w:snapToGrid w:val="0"/>
        <w:spacing w:line="336"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联系人：</w:t>
      </w:r>
      <w:r>
        <w:rPr>
          <w:rFonts w:hint="eastAsia" w:cs="宋体"/>
          <w:highlight w:val="none"/>
          <w:lang w:val="en-US" w:eastAsia="zh-CN"/>
        </w:rPr>
        <w:t>廖</w:t>
      </w:r>
      <w:r>
        <w:rPr>
          <w:rFonts w:hint="eastAsia" w:ascii="宋体" w:hAnsi="宋体" w:eastAsia="宋体" w:cs="宋体"/>
          <w:highlight w:val="none"/>
          <w:lang w:val="en-US" w:eastAsia="zh-CN"/>
        </w:rPr>
        <w:t>老师</w:t>
      </w:r>
    </w:p>
    <w:p w14:paraId="51CE1AB2">
      <w:pPr>
        <w:pageBreakBefore w:val="0"/>
        <w:tabs>
          <w:tab w:val="center" w:pos="4535"/>
        </w:tabs>
        <w:kinsoku/>
        <w:overflowPunct/>
        <w:topLinePunct w:val="0"/>
        <w:bidi w:val="0"/>
        <w:snapToGrid w:val="0"/>
        <w:spacing w:line="336"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eastAsia="zh-CN"/>
        </w:rPr>
        <w:t>联系电话</w:t>
      </w:r>
      <w:r>
        <w:rPr>
          <w:rFonts w:hint="eastAsia" w:ascii="宋体" w:hAnsi="宋体" w:eastAsia="宋体" w:cs="宋体"/>
          <w:highlight w:val="none"/>
        </w:rPr>
        <w:t>：</w:t>
      </w:r>
      <w:r>
        <w:rPr>
          <w:rFonts w:hint="eastAsia" w:cs="宋体"/>
          <w:highlight w:val="none"/>
          <w:lang w:val="en-US" w:eastAsia="zh-CN"/>
        </w:rPr>
        <w:t>15213699020</w:t>
      </w:r>
    </w:p>
    <w:p w14:paraId="0EC74E93">
      <w:pPr>
        <w:tabs>
          <w:tab w:val="center" w:pos="4535"/>
        </w:tabs>
        <w:snapToGrid w:val="0"/>
        <w:spacing w:line="360" w:lineRule="auto"/>
        <w:ind w:firstLine="480" w:firstLineChars="200"/>
        <w:rPr>
          <w:rFonts w:hint="eastAsia" w:ascii="宋体" w:hAnsi="宋体" w:eastAsia="宋体" w:cs="宋体"/>
          <w:color w:val="auto"/>
        </w:rPr>
      </w:pPr>
      <w:r>
        <w:rPr>
          <w:rFonts w:hint="eastAsia" w:ascii="宋体" w:hAnsi="宋体" w:eastAsia="宋体" w:cs="宋体"/>
          <w:highlight w:val="none"/>
        </w:rPr>
        <w:t>地  址：</w:t>
      </w:r>
      <w:r>
        <w:rPr>
          <w:rFonts w:hint="eastAsia" w:ascii="宋体" w:hAnsi="宋体" w:eastAsia="宋体" w:cs="宋体"/>
          <w:highlight w:val="none"/>
          <w:lang w:val="en-US" w:eastAsia="zh-CN"/>
        </w:rPr>
        <w:t>重庆市南岸区长生桥镇茶园新区长庆路1号</w:t>
      </w:r>
    </w:p>
    <w:p w14:paraId="04FE17D7">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（二）采购代理机构：</w:t>
      </w:r>
      <w:r>
        <w:rPr>
          <w:rFonts w:hint="eastAsia" w:cs="宋体"/>
          <w:color w:val="auto"/>
          <w:lang w:eastAsia="zh-CN"/>
        </w:rPr>
        <w:t>重庆车厘子建设工程咨询有限公司</w:t>
      </w:r>
    </w:p>
    <w:p w14:paraId="4449CA57">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联系人：</w:t>
      </w:r>
      <w:r>
        <w:rPr>
          <w:rFonts w:hint="eastAsia" w:cs="宋体"/>
          <w:color w:val="auto"/>
          <w:lang w:val="en-US" w:eastAsia="zh-CN"/>
        </w:rPr>
        <w:t>何</w:t>
      </w:r>
      <w:r>
        <w:rPr>
          <w:rFonts w:hint="eastAsia" w:ascii="宋体" w:hAnsi="宋体" w:eastAsia="宋体" w:cs="宋体"/>
          <w:color w:val="auto"/>
          <w:lang w:eastAsia="zh-CN"/>
        </w:rPr>
        <w:t>老师</w:t>
      </w:r>
    </w:p>
    <w:p w14:paraId="101E95EE">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rPr>
        <w:t>电  话：</w:t>
      </w:r>
      <w:r>
        <w:rPr>
          <w:rFonts w:hint="eastAsia" w:cs="宋体"/>
          <w:color w:val="auto"/>
          <w:lang w:val="en-US" w:eastAsia="zh-CN"/>
        </w:rPr>
        <w:t>15320363729</w:t>
      </w:r>
    </w:p>
    <w:p w14:paraId="5550C724">
      <w:pPr>
        <w:pageBreakBefore w:val="0"/>
        <w:kinsoku/>
        <w:overflowPunct/>
        <w:topLinePunct w:val="0"/>
        <w:bidi w:val="0"/>
        <w:snapToGrid w:val="0"/>
        <w:spacing w:line="336" w:lineRule="auto"/>
        <w:ind w:firstLine="480" w:firstLineChars="200"/>
        <w:textAlignment w:val="auto"/>
        <w:rPr>
          <w:rFonts w:hint="eastAsia" w:ascii="宋体" w:hAnsi="宋体" w:eastAsia="宋体" w:cs="宋体"/>
          <w:b w:val="0"/>
          <w:bCs w:val="0"/>
          <w:color w:val="auto"/>
          <w:lang w:eastAsia="zh-CN"/>
        </w:rPr>
        <w:sectPr>
          <w:footerReference r:id="rId11" w:type="default"/>
          <w:pgSz w:w="11907" w:h="16840"/>
          <w:pgMar w:top="1440" w:right="1080" w:bottom="1440" w:left="1080" w:header="454" w:footer="567" w:gutter="0"/>
          <w:pgNumType w:fmt="numberInDash" w:start="1"/>
          <w:cols w:space="720" w:num="1"/>
          <w:docGrid w:type="linesAndChars" w:linePitch="381" w:charSpace="0"/>
        </w:sectPr>
      </w:pPr>
      <w:r>
        <w:rPr>
          <w:rFonts w:hint="eastAsia" w:ascii="宋体" w:hAnsi="宋体" w:eastAsia="宋体" w:cs="宋体"/>
          <w:color w:val="auto"/>
        </w:rPr>
        <w:t>地  址：</w:t>
      </w:r>
      <w:bookmarkEnd w:id="19"/>
      <w:bookmarkStart w:id="40" w:name="_Toc152480141"/>
      <w:bookmarkStart w:id="41" w:name="_Toc376349875"/>
      <w:bookmarkStart w:id="42" w:name="_Toc102227313"/>
      <w:r>
        <w:rPr>
          <w:rFonts w:hint="eastAsia" w:cs="宋体"/>
          <w:b w:val="0"/>
          <w:bCs w:val="0"/>
          <w:color w:val="auto"/>
          <w:lang w:eastAsia="zh-CN"/>
        </w:rPr>
        <w:t>重庆市九龙坡区建设广场A座24-6</w:t>
      </w:r>
    </w:p>
    <w:bookmarkEnd w:id="12"/>
    <w:bookmarkEnd w:id="13"/>
    <w:bookmarkEnd w:id="14"/>
    <w:bookmarkEnd w:id="40"/>
    <w:bookmarkEnd w:id="41"/>
    <w:bookmarkEnd w:id="42"/>
    <w:p w14:paraId="1EF2E6DE">
      <w:pPr>
        <w:pStyle w:val="2"/>
        <w:keepNext/>
        <w:keepLines/>
        <w:pageBreakBefore w:val="0"/>
        <w:widowControl/>
        <w:kinsoku/>
        <w:wordWrap/>
        <w:overflowPunct/>
        <w:topLinePunct w:val="0"/>
        <w:autoSpaceDE/>
        <w:autoSpaceDN/>
        <w:bidi w:val="0"/>
        <w:adjustRightInd/>
        <w:snapToGrid/>
        <w:spacing w:line="336" w:lineRule="auto"/>
        <w:jc w:val="center"/>
        <w:textAlignment w:val="auto"/>
        <w:outlineLvl w:val="0"/>
        <w:rPr>
          <w:rStyle w:val="39"/>
          <w:rFonts w:hint="eastAsia" w:ascii="宋体" w:hAnsi="宋体" w:eastAsia="宋体" w:cs="宋体"/>
          <w:b/>
          <w:bCs w:val="0"/>
          <w:color w:val="auto"/>
        </w:rPr>
      </w:pPr>
      <w:bookmarkStart w:id="43" w:name="_Toc128744991"/>
      <w:bookmarkStart w:id="44" w:name="_Toc108545968"/>
      <w:bookmarkStart w:id="45" w:name="_Toc22580"/>
      <w:r>
        <w:rPr>
          <w:rStyle w:val="39"/>
          <w:rFonts w:hint="eastAsia" w:ascii="宋体" w:hAnsi="宋体" w:eastAsia="宋体" w:cs="宋体"/>
          <w:b/>
          <w:bCs w:val="0"/>
          <w:color w:val="auto"/>
        </w:rPr>
        <w:t>第</w:t>
      </w:r>
      <w:r>
        <w:rPr>
          <w:rStyle w:val="39"/>
          <w:rFonts w:hint="eastAsia" w:ascii="宋体" w:hAnsi="宋体" w:cs="宋体"/>
          <w:b/>
          <w:bCs w:val="0"/>
          <w:color w:val="auto"/>
          <w:lang w:val="en-US"/>
        </w:rPr>
        <w:t>二</w:t>
      </w:r>
      <w:r>
        <w:rPr>
          <w:rStyle w:val="39"/>
          <w:rFonts w:hint="eastAsia" w:ascii="宋体" w:hAnsi="宋体" w:eastAsia="宋体" w:cs="宋体"/>
          <w:b/>
          <w:bCs w:val="0"/>
          <w:color w:val="auto"/>
        </w:rPr>
        <w:t xml:space="preserve">篇  </w:t>
      </w:r>
      <w:bookmarkEnd w:id="43"/>
      <w:r>
        <w:rPr>
          <w:rStyle w:val="39"/>
          <w:rFonts w:hint="eastAsia" w:ascii="宋体" w:hAnsi="宋体" w:eastAsia="宋体" w:cs="宋体"/>
          <w:b/>
          <w:bCs w:val="0"/>
          <w:color w:val="auto"/>
        </w:rPr>
        <w:t>项目</w:t>
      </w:r>
      <w:r>
        <w:rPr>
          <w:rStyle w:val="39"/>
          <w:rFonts w:hint="eastAsia" w:ascii="宋体" w:hAnsi="宋体" w:cs="宋体"/>
          <w:b/>
          <w:bCs w:val="0"/>
          <w:color w:val="auto"/>
          <w:lang w:val="en-US"/>
        </w:rPr>
        <w:t>技术</w:t>
      </w:r>
      <w:r>
        <w:rPr>
          <w:rStyle w:val="39"/>
          <w:rFonts w:hint="eastAsia" w:ascii="宋体" w:hAnsi="宋体" w:eastAsia="宋体" w:cs="宋体"/>
          <w:b/>
          <w:bCs w:val="0"/>
          <w:color w:val="auto"/>
        </w:rPr>
        <w:t>需求</w:t>
      </w:r>
      <w:bookmarkEnd w:id="44"/>
      <w:bookmarkEnd w:id="45"/>
    </w:p>
    <w:p w14:paraId="7B747295">
      <w:pPr>
        <w:pStyle w:val="3"/>
        <w:keepNext/>
        <w:keepLines/>
        <w:pageBreakBefore w:val="0"/>
        <w:widowControl/>
        <w:kinsoku/>
        <w:wordWrap/>
        <w:overflowPunct/>
        <w:topLinePunct w:val="0"/>
        <w:autoSpaceDE/>
        <w:autoSpaceDN/>
        <w:bidi w:val="0"/>
        <w:adjustRightInd/>
        <w:snapToGrid/>
        <w:spacing w:before="0" w:after="0" w:line="336" w:lineRule="auto"/>
        <w:textAlignment w:val="auto"/>
        <w:outlineLvl w:val="1"/>
        <w:rPr>
          <w:rFonts w:hint="eastAsia" w:ascii="宋体" w:hAnsi="宋体" w:eastAsia="宋体" w:cs="宋体"/>
          <w:color w:val="auto"/>
          <w:sz w:val="24"/>
          <w:szCs w:val="24"/>
        </w:rPr>
      </w:pPr>
      <w:bookmarkStart w:id="46" w:name="_Toc6107"/>
      <w:bookmarkStart w:id="47" w:name="_Toc108545969"/>
      <w:bookmarkStart w:id="48" w:name="_Toc55403965"/>
      <w:bookmarkStart w:id="49" w:name="_Toc91171606"/>
      <w:bookmarkStart w:id="50" w:name="_Toc83805584"/>
      <w:bookmarkStart w:id="51" w:name="_Toc9220"/>
      <w:bookmarkStart w:id="52" w:name="_Toc37860275"/>
      <w:bookmarkStart w:id="53" w:name="_Toc78793920"/>
      <w:bookmarkStart w:id="54" w:name="_Toc11115"/>
      <w:bookmarkStart w:id="55" w:name="_Toc12789058"/>
      <w:bookmarkStart w:id="56" w:name="_Toc128744993"/>
      <w:r>
        <w:rPr>
          <w:rFonts w:hint="eastAsia" w:ascii="宋体" w:hAnsi="宋体" w:eastAsia="宋体" w:cs="宋体"/>
          <w:color w:val="auto"/>
          <w:sz w:val="24"/>
          <w:szCs w:val="24"/>
        </w:rPr>
        <w:t>一</w:t>
      </w:r>
      <w:r>
        <w:rPr>
          <w:rFonts w:hint="eastAsia" w:ascii="宋体" w:hAnsi="宋体" w:eastAsia="宋体" w:cs="宋体"/>
          <w:color w:val="auto"/>
          <w:sz w:val="24"/>
          <w:szCs w:val="24"/>
          <w:highlight w:val="none"/>
        </w:rPr>
        <w:t>、项目基本概况介绍</w:t>
      </w:r>
      <w:bookmarkEnd w:id="46"/>
      <w:bookmarkEnd w:id="47"/>
      <w:bookmarkEnd w:id="48"/>
    </w:p>
    <w:p w14:paraId="5775EE58">
      <w:pPr>
        <w:pageBreakBefore w:val="0"/>
        <w:kinsoku/>
        <w:overflowPunct/>
        <w:topLinePunct w:val="0"/>
        <w:bidi w:val="0"/>
        <w:spacing w:line="336"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（一）工程名称：</w:t>
      </w:r>
      <w:r>
        <w:rPr>
          <w:rFonts w:hint="eastAsia" w:cs="宋体"/>
          <w:color w:val="auto"/>
          <w:highlight w:val="none"/>
          <w:lang w:val="en-US" w:eastAsia="zh-CN"/>
        </w:rPr>
        <w:t>重庆市龙门浩职业中学校教学楼采购安装电梯项目</w:t>
      </w:r>
    </w:p>
    <w:p w14:paraId="1EAED571">
      <w:pPr>
        <w:pageBreakBefore w:val="0"/>
        <w:kinsoku/>
        <w:overflowPunct/>
        <w:topLinePunct w:val="0"/>
        <w:bidi w:val="0"/>
        <w:spacing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（二）工程地址：</w:t>
      </w:r>
      <w:r>
        <w:rPr>
          <w:rFonts w:hint="eastAsia" w:cs="宋体"/>
          <w:color w:val="auto"/>
          <w:highlight w:val="none"/>
          <w:lang w:val="en-US" w:eastAsia="zh-CN"/>
        </w:rPr>
        <w:t>重庆市南岸区茶园新城长庆路1号</w:t>
      </w:r>
    </w:p>
    <w:p w14:paraId="60796E75">
      <w:pPr>
        <w:pageBreakBefore w:val="0"/>
        <w:kinsoku/>
        <w:overflowPunct/>
        <w:topLinePunct w:val="0"/>
        <w:bidi w:val="0"/>
        <w:spacing w:line="336" w:lineRule="auto"/>
        <w:ind w:firstLine="48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（三）</w:t>
      </w:r>
      <w:r>
        <w:rPr>
          <w:rFonts w:hint="eastAsia" w:ascii="宋体" w:hAnsi="宋体" w:eastAsia="宋体" w:cs="宋体"/>
          <w:color w:val="auto"/>
          <w:highlight w:val="none"/>
          <w:lang w:eastAsia="zh-CN"/>
        </w:rPr>
        <w:t>项目概况</w:t>
      </w:r>
      <w:r>
        <w:rPr>
          <w:rFonts w:hint="eastAsia" w:ascii="宋体" w:hAnsi="宋体" w:eastAsia="宋体" w:cs="宋体"/>
          <w:color w:val="auto"/>
          <w:highlight w:val="none"/>
        </w:rPr>
        <w:t>：</w:t>
      </w:r>
      <w:r>
        <w:rPr>
          <w:rFonts w:hint="eastAsia" w:cs="宋体"/>
          <w:color w:val="auto"/>
          <w:highlight w:val="none"/>
          <w:lang w:val="en-US" w:eastAsia="zh-CN"/>
        </w:rPr>
        <w:t>重庆市龙门浩职业中学1号楼建筑外增设电梯等。</w:t>
      </w:r>
    </w:p>
    <w:p w14:paraId="5D55E2E6">
      <w:pPr>
        <w:pageBreakBefore w:val="0"/>
        <w:kinsoku/>
        <w:overflowPunct/>
        <w:topLinePunct w:val="0"/>
        <w:bidi w:val="0"/>
        <w:spacing w:line="336" w:lineRule="auto"/>
        <w:ind w:firstLine="48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（四）计划工期：</w:t>
      </w:r>
      <w:r>
        <w:rPr>
          <w:rFonts w:hint="eastAsia" w:cs="宋体"/>
          <w:color w:val="auto"/>
          <w:highlight w:val="none"/>
          <w:u w:val="single"/>
          <w:lang w:val="en-US" w:eastAsia="zh-CN"/>
        </w:rPr>
        <w:t xml:space="preserve"> 45 </w:t>
      </w:r>
      <w:r>
        <w:rPr>
          <w:rFonts w:hint="eastAsia" w:ascii="宋体" w:hAnsi="宋体" w:eastAsia="宋体" w:cs="宋体"/>
          <w:color w:val="auto"/>
          <w:highlight w:val="none"/>
          <w:lang w:val="en-US" w:eastAsia="zh-CN"/>
        </w:rPr>
        <w:t>日历天</w:t>
      </w:r>
      <w:r>
        <w:rPr>
          <w:rFonts w:hint="eastAsia" w:ascii="宋体" w:hAnsi="宋体" w:eastAsia="宋体" w:cs="宋体"/>
          <w:color w:val="auto"/>
          <w:highlight w:val="none"/>
        </w:rPr>
        <w:t>。</w:t>
      </w:r>
    </w:p>
    <w:p w14:paraId="1B5D1DB6">
      <w:pPr>
        <w:pStyle w:val="3"/>
        <w:pageBreakBefore w:val="0"/>
        <w:widowControl/>
        <w:kinsoku/>
        <w:wordWrap/>
        <w:overflowPunct/>
        <w:topLinePunct w:val="0"/>
        <w:autoSpaceDE/>
        <w:autoSpaceDN/>
        <w:bidi w:val="0"/>
        <w:adjustRightInd/>
        <w:snapToGrid/>
        <w:spacing w:before="0" w:after="0" w:line="336" w:lineRule="auto"/>
        <w:textAlignment w:val="auto"/>
        <w:outlineLvl w:val="1"/>
        <w:rPr>
          <w:rFonts w:hint="eastAsia" w:ascii="宋体" w:hAnsi="宋体" w:eastAsia="宋体" w:cs="宋体"/>
          <w:color w:val="auto"/>
          <w:sz w:val="24"/>
          <w:szCs w:val="24"/>
          <w:lang w:eastAsia="zh-CN"/>
        </w:rPr>
      </w:pPr>
      <w:bookmarkStart w:id="57" w:name="_Toc1871"/>
      <w:r>
        <w:rPr>
          <w:rFonts w:hint="eastAsia" w:ascii="宋体" w:hAnsi="宋体" w:eastAsia="宋体" w:cs="宋体"/>
          <w:color w:val="auto"/>
          <w:sz w:val="24"/>
          <w:szCs w:val="24"/>
          <w:lang w:eastAsia="zh-CN"/>
        </w:rPr>
        <w:t>二、</w:t>
      </w:r>
      <w:bookmarkStart w:id="58" w:name="_Toc55403966"/>
      <w:bookmarkStart w:id="59" w:name="_Toc108545970"/>
      <w:bookmarkStart w:id="60" w:name="_Toc54879125"/>
      <w:r>
        <w:rPr>
          <w:rFonts w:hint="eastAsia" w:ascii="宋体" w:hAnsi="宋体" w:eastAsia="宋体" w:cs="宋体"/>
          <w:color w:val="auto"/>
          <w:sz w:val="24"/>
          <w:szCs w:val="24"/>
          <w:lang w:eastAsia="zh-CN"/>
        </w:rPr>
        <w:t>信誉要求</w:t>
      </w:r>
      <w:bookmarkEnd w:id="57"/>
    </w:p>
    <w:p w14:paraId="16690ACA">
      <w:pPr>
        <w:pageBreakBefore w:val="0"/>
        <w:kinsoku/>
        <w:overflowPunct/>
        <w:topLinePunct w:val="0"/>
        <w:bidi w:val="0"/>
        <w:spacing w:line="336" w:lineRule="auto"/>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供应商自行承诺不得存在下列情形之一：</w:t>
      </w:r>
    </w:p>
    <w:p w14:paraId="5002462E">
      <w:pPr>
        <w:pageBreakBefore w:val="0"/>
        <w:kinsoku/>
        <w:overflowPunct/>
        <w:topLinePunct w:val="0"/>
        <w:bidi w:val="0"/>
        <w:spacing w:line="336" w:lineRule="auto"/>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1.被人民法院列入失信被执行人名单且在被执行期内；</w:t>
      </w:r>
    </w:p>
    <w:p w14:paraId="29D4131A">
      <w:pPr>
        <w:pageBreakBefore w:val="0"/>
        <w:kinsoku/>
        <w:overflowPunct/>
        <w:topLinePunct w:val="0"/>
        <w:bidi w:val="0"/>
        <w:spacing w:line="336" w:lineRule="auto"/>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2.被列入《重庆市工程建设领域招标投标信用管理暂行办法》规定的重点关注名单且记分达到12分且在记分有效期内；</w:t>
      </w:r>
    </w:p>
    <w:p w14:paraId="36C593F2">
      <w:pPr>
        <w:pageBreakBefore w:val="0"/>
        <w:kinsoku/>
        <w:overflowPunct/>
        <w:topLinePunct w:val="0"/>
        <w:bidi w:val="0"/>
        <w:spacing w:line="336" w:lineRule="auto"/>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3.被列入《重庆市工程建设领域招标投标信用管理暂行办法》规定的重庆市工程建设领域招标投标失信惩戒对象名单（以下称黑名单）且在记分有效期内；</w:t>
      </w:r>
    </w:p>
    <w:p w14:paraId="140023A7">
      <w:pPr>
        <w:pageBreakBefore w:val="0"/>
        <w:kinsoku/>
        <w:overflowPunct/>
        <w:topLinePunct w:val="0"/>
        <w:bidi w:val="0"/>
        <w:spacing w:line="336" w:lineRule="auto"/>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4.被国家、重庆市（含市或任意区县）有关行政部门处以暂停投标资格行政处罚，且在处罚期限内；</w:t>
      </w:r>
    </w:p>
    <w:p w14:paraId="340E6C10">
      <w:pPr>
        <w:pageBreakBefore w:val="0"/>
        <w:kinsoku/>
        <w:overflowPunct/>
        <w:topLinePunct w:val="0"/>
        <w:bidi w:val="0"/>
        <w:spacing w:line="336" w:lineRule="auto"/>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5.被重庆市市级有关行业主管部门暂停在渝承揽新业务且在暂停期内。</w:t>
      </w:r>
    </w:p>
    <w:p w14:paraId="4E6B0834">
      <w:pPr>
        <w:pageBreakBefore w:val="0"/>
        <w:kinsoku/>
        <w:overflowPunct/>
        <w:topLinePunct w:val="0"/>
        <w:bidi w:val="0"/>
        <w:spacing w:line="336" w:lineRule="auto"/>
        <w:ind w:firstLine="482" w:firstLineChars="200"/>
        <w:textAlignment w:val="auto"/>
        <w:rPr>
          <w:rFonts w:hint="eastAsia" w:ascii="宋体" w:hAnsi="宋体" w:eastAsia="宋体" w:cs="宋体"/>
          <w:color w:val="auto"/>
          <w:lang w:eastAsia="zh-CN"/>
        </w:rPr>
      </w:pPr>
      <w:r>
        <w:rPr>
          <w:rFonts w:hint="eastAsia" w:ascii="宋体" w:hAnsi="宋体" w:eastAsia="宋体" w:cs="宋体"/>
          <w:b/>
          <w:bCs/>
          <w:color w:val="auto"/>
          <w:lang w:eastAsia="zh-CN"/>
        </w:rPr>
        <w:t>供应商须提供承诺书（格式自拟）并加盖供应商单位公章。</w:t>
      </w:r>
    </w:p>
    <w:p w14:paraId="4D89078C">
      <w:pPr>
        <w:keepNext w:val="0"/>
        <w:keepLines w:val="0"/>
        <w:pageBreakBefore w:val="0"/>
        <w:widowControl/>
        <w:kinsoku/>
        <w:wordWrap/>
        <w:overflowPunct/>
        <w:topLinePunct w:val="0"/>
        <w:autoSpaceDE/>
        <w:autoSpaceDN/>
        <w:bidi w:val="0"/>
        <w:adjustRightInd/>
        <w:snapToGrid/>
        <w:spacing w:line="336" w:lineRule="auto"/>
        <w:textAlignment w:val="auto"/>
        <w:outlineLvl w:val="1"/>
        <w:rPr>
          <w:rFonts w:hint="eastAsia" w:cs="宋体"/>
          <w:b/>
          <w:bCs/>
          <w:color w:val="auto"/>
          <w:lang w:val="en-US" w:eastAsia="zh-CN"/>
        </w:rPr>
      </w:pPr>
      <w:bookmarkStart w:id="61" w:name="_Toc21228"/>
      <w:r>
        <w:rPr>
          <w:rFonts w:hint="eastAsia" w:ascii="宋体" w:hAnsi="宋体" w:eastAsia="宋体" w:cs="宋体"/>
          <w:b/>
          <w:bCs/>
          <w:color w:val="auto"/>
          <w:lang w:eastAsia="zh-CN"/>
        </w:rPr>
        <w:t>三、</w:t>
      </w:r>
      <w:r>
        <w:rPr>
          <w:rFonts w:hint="eastAsia" w:cs="宋体"/>
          <w:b/>
          <w:bCs/>
          <w:color w:val="auto"/>
          <w:lang w:val="en-US" w:eastAsia="zh-CN"/>
        </w:rPr>
        <w:t>安全生产</w:t>
      </w:r>
      <w:bookmarkEnd w:id="61"/>
    </w:p>
    <w:p w14:paraId="094A984C">
      <w:pPr>
        <w:pageBreakBefore w:val="0"/>
        <w:kinsoku/>
        <w:overflowPunct/>
        <w:topLinePunct w:val="0"/>
        <w:bidi w:val="0"/>
        <w:spacing w:line="336" w:lineRule="auto"/>
        <w:ind w:firstLine="480" w:firstLineChars="200"/>
        <w:textAlignment w:val="auto"/>
        <w:rPr>
          <w:rFonts w:hint="default" w:ascii="宋体" w:hAnsi="宋体" w:eastAsia="宋体" w:cs="宋体"/>
          <w:color w:val="auto"/>
          <w:lang w:val="en-US" w:eastAsia="zh-CN"/>
        </w:rPr>
      </w:pPr>
      <w:r>
        <w:rPr>
          <w:rFonts w:hint="eastAsia" w:cs="宋体"/>
          <w:color w:val="auto"/>
          <w:lang w:val="en-US" w:eastAsia="zh-CN"/>
        </w:rPr>
        <w:t>供应商应负责施工安全（包含但不仅限于施工现场及施工周边的施工人身安全、行人安全等）。在施工过程中，供应商须做到安全施工、文明施工，并做好相应的施工安全公告及警戒标识，若发生一切安全事故和经济损失，责任均由供应商全部承担，采购人不承担任何责任。供应商应当与其施工人员建立劳动关系，承担全部用人用工主体责任。</w:t>
      </w:r>
    </w:p>
    <w:p w14:paraId="6747E16C">
      <w:pPr>
        <w:keepNext w:val="0"/>
        <w:keepLines w:val="0"/>
        <w:pageBreakBefore w:val="0"/>
        <w:widowControl/>
        <w:kinsoku/>
        <w:wordWrap/>
        <w:overflowPunct/>
        <w:topLinePunct w:val="0"/>
        <w:autoSpaceDE/>
        <w:autoSpaceDN/>
        <w:bidi w:val="0"/>
        <w:adjustRightInd/>
        <w:snapToGrid/>
        <w:spacing w:line="336" w:lineRule="auto"/>
        <w:textAlignment w:val="auto"/>
        <w:outlineLvl w:val="1"/>
        <w:rPr>
          <w:rFonts w:hint="eastAsia" w:cs="宋体"/>
          <w:b/>
          <w:bCs/>
          <w:color w:val="auto"/>
          <w:lang w:val="en-US" w:eastAsia="zh-CN"/>
        </w:rPr>
      </w:pPr>
      <w:bookmarkStart w:id="62" w:name="_Toc29337"/>
      <w:r>
        <w:rPr>
          <w:rFonts w:hint="eastAsia" w:cs="宋体"/>
          <w:b/>
          <w:bCs/>
          <w:color w:val="auto"/>
          <w:lang w:val="en-US" w:eastAsia="zh-CN"/>
        </w:rPr>
        <w:t>四、安全措施</w:t>
      </w:r>
      <w:bookmarkEnd w:id="62"/>
    </w:p>
    <w:p w14:paraId="4EA5B987">
      <w:pPr>
        <w:pageBreakBefore w:val="0"/>
        <w:kinsoku/>
        <w:overflowPunct/>
        <w:topLinePunct w:val="0"/>
        <w:bidi w:val="0"/>
        <w:spacing w:line="336" w:lineRule="auto"/>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（一）本项目施工需符合国家、地方、行业各项规范，且供应商需制定专门安全措施方案。</w:t>
      </w:r>
    </w:p>
    <w:p w14:paraId="36AF0159">
      <w:pPr>
        <w:pageBreakBefore w:val="0"/>
        <w:kinsoku/>
        <w:overflowPunct/>
        <w:topLinePunct w:val="0"/>
        <w:bidi w:val="0"/>
        <w:spacing w:line="336" w:lineRule="auto"/>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（二）建立定期的安全活动制度，班组每天进行班前、班后的安全检查及时清除不安全隐患，根据施工实际情况，提出安全生产措施，及时解决安全生产上存在的各种问题，协助解决安全生产中的疑难问题。</w:t>
      </w:r>
    </w:p>
    <w:p w14:paraId="01777BF0">
      <w:pPr>
        <w:keepNext w:val="0"/>
        <w:keepLines w:val="0"/>
        <w:pageBreakBefore w:val="0"/>
        <w:widowControl/>
        <w:kinsoku/>
        <w:wordWrap/>
        <w:overflowPunct/>
        <w:topLinePunct w:val="0"/>
        <w:autoSpaceDE/>
        <w:autoSpaceDN/>
        <w:bidi w:val="0"/>
        <w:adjustRightInd/>
        <w:snapToGrid/>
        <w:spacing w:line="336" w:lineRule="auto"/>
        <w:textAlignment w:val="auto"/>
        <w:outlineLvl w:val="1"/>
        <w:rPr>
          <w:rFonts w:hint="eastAsia" w:cs="宋体"/>
          <w:b/>
          <w:bCs/>
          <w:color w:val="auto"/>
          <w:lang w:val="en-US" w:eastAsia="zh-CN"/>
        </w:rPr>
      </w:pPr>
      <w:bookmarkStart w:id="63" w:name="_Toc23223"/>
      <w:r>
        <w:rPr>
          <w:rFonts w:hint="eastAsia" w:cs="宋体"/>
          <w:b/>
          <w:bCs/>
          <w:color w:val="auto"/>
          <w:lang w:val="en-US" w:eastAsia="zh-CN"/>
        </w:rPr>
        <w:t>五、关于转、分包</w:t>
      </w:r>
      <w:bookmarkEnd w:id="63"/>
    </w:p>
    <w:p w14:paraId="3099E787">
      <w:pPr>
        <w:pageBreakBefore w:val="0"/>
        <w:kinsoku/>
        <w:overflowPunct/>
        <w:topLinePunct w:val="0"/>
        <w:bidi w:val="0"/>
        <w:spacing w:line="336" w:lineRule="auto"/>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成交供应商不得私自将本工程项目转、分包给第三方，如成交供应商将本工程项目转、分包给第三方的，采购人按合同相关约定处理。</w:t>
      </w:r>
    </w:p>
    <w:p w14:paraId="279D1B8A">
      <w:pPr>
        <w:keepNext w:val="0"/>
        <w:keepLines w:val="0"/>
        <w:pageBreakBefore w:val="0"/>
        <w:widowControl/>
        <w:kinsoku/>
        <w:wordWrap/>
        <w:overflowPunct/>
        <w:topLinePunct w:val="0"/>
        <w:autoSpaceDE/>
        <w:autoSpaceDN/>
        <w:bidi w:val="0"/>
        <w:adjustRightInd/>
        <w:snapToGrid/>
        <w:spacing w:line="336" w:lineRule="auto"/>
        <w:textAlignment w:val="auto"/>
        <w:outlineLvl w:val="1"/>
        <w:rPr>
          <w:rFonts w:hint="eastAsia" w:cs="宋体"/>
          <w:b/>
          <w:bCs/>
          <w:color w:val="auto"/>
          <w:lang w:val="en-US" w:eastAsia="zh-CN"/>
        </w:rPr>
      </w:pPr>
      <w:bookmarkStart w:id="64" w:name="_Toc8415"/>
      <w:r>
        <w:rPr>
          <w:rFonts w:hint="eastAsia" w:cs="宋体"/>
          <w:b/>
          <w:bCs/>
          <w:color w:val="auto"/>
          <w:lang w:val="en-US" w:eastAsia="zh-CN"/>
        </w:rPr>
        <w:t>六、其他要求</w:t>
      </w:r>
      <w:bookmarkEnd w:id="64"/>
    </w:p>
    <w:p w14:paraId="14408892">
      <w:pPr>
        <w:pageBreakBefore w:val="0"/>
        <w:kinsoku/>
        <w:overflowPunct/>
        <w:topLinePunct w:val="0"/>
        <w:bidi w:val="0"/>
        <w:spacing w:line="336" w:lineRule="auto"/>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踏勘现场：本工程采购人不组织各供应商进行现场踏勘，由各供应商自行现场踏勘。由于现场施工条件及工作内容较为复杂，为保证工程进度的顺利实施，确保其按期完成，供应商踏勘现场时，必须充分考虑噪音、扬尘、交通运输、管网、装卸限制、场内材料的转运、堆码、施工通道、学校行课、安全等因素，并收集有关工程地点、工作内容等相关情况及成品保护所要求的措施、地质、水文、气象条件、风俗习惯、交通运输条件（包括采购人指定进入学校的出入口，及从出入口到施工地点的内部运输线路）、每天可施工时间段、施工工期要求、可提供的施工临时用地范围、施工中可能出现的对周边居民产生的影响（包含但不限于如施工扬尘、道路改道、噪音的影响等）、学校及周边学校各类考试造成的暂时停工、建筑垃圾和材料二次、多次或场内外转运等影响，以上各项可能导致费用增加的因素均应包含在综合单价中，供应商一旦成交，不得再以不完全了解施工现场情况或不了解现场为由提出额外赔偿或增加费用、延长工期的要求。踏勘现场所发生的一切费用由供应商承担，踏勘现场过程中供应商须负责自身及其他人员安全，承担一切安全责任。任何因忽视或误解工地情况而导致的索赔或工期延长申请将不获批准。</w:t>
      </w:r>
    </w:p>
    <w:p w14:paraId="69825348">
      <w:pPr>
        <w:pageBreakBefore w:val="0"/>
        <w:kinsoku/>
        <w:overflowPunct/>
        <w:topLinePunct w:val="0"/>
        <w:bidi w:val="0"/>
        <w:spacing w:line="336" w:lineRule="auto"/>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无论供应商是否踏勘过现场，均被认为在递交响应文件之前已经踏勘现场并对现场环境和地质条件已充分了解。</w:t>
      </w:r>
    </w:p>
    <w:bookmarkEnd w:id="49"/>
    <w:bookmarkEnd w:id="50"/>
    <w:bookmarkEnd w:id="51"/>
    <w:bookmarkEnd w:id="52"/>
    <w:bookmarkEnd w:id="53"/>
    <w:bookmarkEnd w:id="54"/>
    <w:bookmarkEnd w:id="58"/>
    <w:bookmarkEnd w:id="59"/>
    <w:bookmarkEnd w:id="60"/>
    <w:p w14:paraId="64BDA0CF">
      <w:pPr>
        <w:pStyle w:val="2"/>
        <w:keepNext/>
        <w:keepLines/>
        <w:pageBreakBefore w:val="0"/>
        <w:widowControl/>
        <w:kinsoku/>
        <w:wordWrap/>
        <w:overflowPunct/>
        <w:topLinePunct w:val="0"/>
        <w:autoSpaceDE/>
        <w:autoSpaceDN/>
        <w:bidi w:val="0"/>
        <w:adjustRightInd/>
        <w:snapToGrid/>
        <w:spacing w:line="336" w:lineRule="auto"/>
        <w:jc w:val="center"/>
        <w:textAlignment w:val="auto"/>
        <w:outlineLvl w:val="0"/>
        <w:rPr>
          <w:rStyle w:val="39"/>
          <w:rFonts w:hint="eastAsia" w:ascii="宋体" w:hAnsi="宋体" w:eastAsia="宋体" w:cs="宋体"/>
          <w:b/>
          <w:bCs/>
          <w:color w:val="auto"/>
        </w:rPr>
      </w:pPr>
      <w:r>
        <w:rPr>
          <w:rStyle w:val="39"/>
          <w:rFonts w:hint="eastAsia" w:ascii="宋体" w:hAnsi="宋体" w:eastAsia="宋体" w:cs="宋体"/>
          <w:b w:val="0"/>
          <w:bCs w:val="0"/>
          <w:color w:val="auto"/>
        </w:rPr>
        <w:br w:type="page"/>
      </w:r>
      <w:bookmarkStart w:id="65" w:name="_Toc108545974"/>
      <w:bookmarkStart w:id="66" w:name="_Toc5900"/>
      <w:r>
        <w:rPr>
          <w:rStyle w:val="39"/>
          <w:rFonts w:hint="eastAsia" w:ascii="宋体" w:hAnsi="宋体" w:eastAsia="宋体" w:cs="宋体"/>
          <w:b/>
          <w:bCs/>
          <w:color w:val="auto"/>
        </w:rPr>
        <w:t>第</w:t>
      </w:r>
      <w:r>
        <w:rPr>
          <w:rStyle w:val="39"/>
          <w:rFonts w:hint="eastAsia" w:ascii="宋体" w:hAnsi="宋体" w:cs="宋体"/>
          <w:b/>
          <w:bCs/>
          <w:color w:val="auto"/>
          <w:lang w:val="en-US"/>
        </w:rPr>
        <w:t>三</w:t>
      </w:r>
      <w:r>
        <w:rPr>
          <w:rStyle w:val="39"/>
          <w:rFonts w:hint="eastAsia" w:ascii="宋体" w:hAnsi="宋体" w:eastAsia="宋体" w:cs="宋体"/>
          <w:b/>
          <w:bCs/>
          <w:color w:val="auto"/>
        </w:rPr>
        <w:t xml:space="preserve">篇  </w:t>
      </w:r>
      <w:bookmarkEnd w:id="65"/>
      <w:r>
        <w:rPr>
          <w:rStyle w:val="39"/>
          <w:rFonts w:hint="eastAsia" w:ascii="宋体" w:hAnsi="宋体" w:eastAsia="宋体" w:cs="宋体"/>
          <w:b/>
          <w:bCs/>
          <w:color w:val="auto"/>
        </w:rPr>
        <w:t>项目商务需求</w:t>
      </w:r>
      <w:bookmarkEnd w:id="66"/>
    </w:p>
    <w:p w14:paraId="448A2AEC">
      <w:pPr>
        <w:keepNext w:val="0"/>
        <w:keepLines w:val="0"/>
        <w:pageBreakBefore w:val="0"/>
        <w:widowControl/>
        <w:kinsoku/>
        <w:wordWrap/>
        <w:overflowPunct/>
        <w:topLinePunct w:val="0"/>
        <w:autoSpaceDE/>
        <w:autoSpaceDN/>
        <w:bidi w:val="0"/>
        <w:adjustRightInd/>
        <w:snapToGrid/>
        <w:spacing w:line="336" w:lineRule="auto"/>
        <w:textAlignment w:val="auto"/>
        <w:outlineLvl w:val="1"/>
        <w:rPr>
          <w:rFonts w:hint="eastAsia" w:ascii="宋体" w:hAnsi="宋体" w:eastAsia="宋体" w:cs="宋体"/>
          <w:b/>
          <w:bCs/>
          <w:color w:val="auto"/>
        </w:rPr>
      </w:pPr>
      <w:bookmarkStart w:id="67" w:name="_Toc19971"/>
      <w:bookmarkStart w:id="68" w:name="_Toc194929822"/>
      <w:bookmarkStart w:id="69" w:name="_Toc190705771"/>
      <w:bookmarkStart w:id="70" w:name="_Toc76462329"/>
      <w:bookmarkStart w:id="71" w:name="_Toc108545975"/>
      <w:bookmarkStart w:id="72" w:name="_Toc62484881"/>
      <w:bookmarkStart w:id="73" w:name="_Toc344475120"/>
      <w:bookmarkStart w:id="74" w:name="_Toc22463"/>
      <w:bookmarkStart w:id="75" w:name="_Toc487204790"/>
      <w:bookmarkStart w:id="76" w:name="_Toc344475121"/>
      <w:r>
        <w:rPr>
          <w:rFonts w:hint="eastAsia" w:ascii="宋体" w:hAnsi="宋体" w:eastAsia="宋体" w:cs="宋体"/>
          <w:b/>
          <w:bCs/>
          <w:color w:val="auto"/>
        </w:rPr>
        <w:t>一、工期及建设地点</w:t>
      </w:r>
      <w:bookmarkEnd w:id="67"/>
      <w:bookmarkEnd w:id="68"/>
      <w:bookmarkEnd w:id="69"/>
    </w:p>
    <w:p w14:paraId="039D6B57">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（一）</w:t>
      </w:r>
      <w:r>
        <w:rPr>
          <w:rFonts w:hint="eastAsia" w:ascii="宋体" w:hAnsi="宋体" w:eastAsia="宋体" w:cs="宋体"/>
          <w:color w:val="auto"/>
          <w:highlight w:val="none"/>
        </w:rPr>
        <w:t>工期：</w:t>
      </w:r>
      <w:r>
        <w:rPr>
          <w:rFonts w:hint="eastAsia" w:cs="宋体"/>
          <w:color w:val="auto"/>
          <w:highlight w:val="none"/>
          <w:u w:val="single"/>
          <w:lang w:val="en-US" w:eastAsia="zh-CN"/>
        </w:rPr>
        <w:t xml:space="preserve"> 45 </w:t>
      </w:r>
      <w:r>
        <w:rPr>
          <w:rFonts w:hint="eastAsia" w:ascii="宋体" w:hAnsi="宋体" w:eastAsia="宋体" w:cs="宋体"/>
          <w:color w:val="auto"/>
          <w:highlight w:val="none"/>
        </w:rPr>
        <w:t>日历天</w:t>
      </w:r>
      <w:r>
        <w:rPr>
          <w:rFonts w:hint="eastAsia" w:ascii="宋体" w:hAnsi="宋体" w:eastAsia="宋体" w:cs="宋体"/>
          <w:color w:val="auto"/>
        </w:rPr>
        <w:t>。</w:t>
      </w:r>
    </w:p>
    <w:p w14:paraId="492BA6A5">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（二）建设地点：重庆市南岸区长生桥镇茶园新区长庆路1号。</w:t>
      </w:r>
    </w:p>
    <w:bookmarkEnd w:id="70"/>
    <w:p w14:paraId="2AA4F111">
      <w:pPr>
        <w:keepNext w:val="0"/>
        <w:keepLines w:val="0"/>
        <w:pageBreakBefore w:val="0"/>
        <w:widowControl/>
        <w:kinsoku/>
        <w:wordWrap/>
        <w:overflowPunct/>
        <w:topLinePunct w:val="0"/>
        <w:autoSpaceDE/>
        <w:autoSpaceDN/>
        <w:bidi w:val="0"/>
        <w:adjustRightInd/>
        <w:snapToGrid/>
        <w:spacing w:line="336" w:lineRule="auto"/>
        <w:textAlignment w:val="auto"/>
        <w:outlineLvl w:val="1"/>
        <w:rPr>
          <w:rFonts w:hint="eastAsia" w:ascii="宋体" w:hAnsi="宋体" w:eastAsia="宋体" w:cs="宋体"/>
          <w:b/>
          <w:bCs/>
          <w:color w:val="auto"/>
        </w:rPr>
      </w:pPr>
      <w:bookmarkStart w:id="77" w:name="_Toc194929823"/>
      <w:bookmarkStart w:id="78" w:name="_Toc16982"/>
      <w:r>
        <w:rPr>
          <w:rFonts w:hint="eastAsia" w:ascii="宋体" w:hAnsi="宋体" w:eastAsia="宋体" w:cs="宋体"/>
          <w:b/>
          <w:bCs/>
          <w:color w:val="auto"/>
        </w:rPr>
        <w:t>二、工程质量和验收方式</w:t>
      </w:r>
      <w:bookmarkEnd w:id="77"/>
      <w:bookmarkEnd w:id="78"/>
    </w:p>
    <w:p w14:paraId="14C0ECF3">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bookmarkStart w:id="79" w:name="_Toc194929824"/>
      <w:bookmarkStart w:id="80" w:name="_Toc187249064"/>
      <w:bookmarkStart w:id="81" w:name="_Toc190705772"/>
      <w:bookmarkStart w:id="82" w:name="_Toc194928395"/>
      <w:r>
        <w:rPr>
          <w:rFonts w:hint="eastAsia" w:ascii="宋体" w:hAnsi="宋体" w:eastAsia="宋体" w:cs="宋体"/>
          <w:color w:val="auto"/>
        </w:rPr>
        <w:t>（一）工程质量：符合强制性质量标准，符合国家和重庆市现行有关施工质量验收规范和标准要求，并达到合格标准。</w:t>
      </w:r>
      <w:bookmarkEnd w:id="79"/>
      <w:bookmarkEnd w:id="80"/>
      <w:bookmarkEnd w:id="81"/>
      <w:bookmarkEnd w:id="82"/>
    </w:p>
    <w:p w14:paraId="484EDC9A">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二）验收方式：工程完工后，按施工图、工程量清单及国家相关标准验收程序和规程进行验收。成交供应商应保证工程质量，工程用建筑材料须符合国家及行业标准，项目工程达到国家现行有关施工质量验收规范要求，并达到合格标准。</w:t>
      </w:r>
    </w:p>
    <w:p w14:paraId="1471CDE0">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（三）成交供应商未达到</w:t>
      </w:r>
      <w:r>
        <w:rPr>
          <w:rFonts w:hint="eastAsia" w:ascii="宋体" w:hAnsi="宋体" w:eastAsia="宋体" w:cs="宋体"/>
          <w:color w:val="auto"/>
          <w:lang w:val="en-US" w:eastAsia="zh-CN"/>
        </w:rPr>
        <w:t>比选</w:t>
      </w:r>
      <w:r>
        <w:rPr>
          <w:rFonts w:hint="eastAsia" w:ascii="宋体" w:hAnsi="宋体" w:eastAsia="宋体" w:cs="宋体"/>
          <w:color w:val="auto"/>
        </w:rPr>
        <w:t>文件的要求，且对采购人造成损失的，由成交供应商承担一切责任，并赔偿所造成的损失。</w:t>
      </w:r>
    </w:p>
    <w:p w14:paraId="6CF3BA40">
      <w:pPr>
        <w:keepNext w:val="0"/>
        <w:keepLines w:val="0"/>
        <w:pageBreakBefore w:val="0"/>
        <w:widowControl/>
        <w:kinsoku/>
        <w:wordWrap/>
        <w:overflowPunct/>
        <w:topLinePunct w:val="0"/>
        <w:autoSpaceDE/>
        <w:autoSpaceDN/>
        <w:bidi w:val="0"/>
        <w:adjustRightInd/>
        <w:snapToGrid/>
        <w:spacing w:line="336" w:lineRule="auto"/>
        <w:textAlignment w:val="auto"/>
        <w:outlineLvl w:val="1"/>
        <w:rPr>
          <w:rFonts w:hint="eastAsia" w:ascii="宋体" w:hAnsi="宋体" w:eastAsia="宋体" w:cs="宋体"/>
          <w:b/>
          <w:bCs/>
          <w:color w:val="auto"/>
        </w:rPr>
      </w:pPr>
      <w:bookmarkStart w:id="83" w:name="_Toc10407"/>
      <w:bookmarkStart w:id="84" w:name="_Toc190705773"/>
      <w:bookmarkStart w:id="85" w:name="_Toc194929825"/>
      <w:r>
        <w:rPr>
          <w:rFonts w:hint="eastAsia" w:ascii="宋体" w:hAnsi="宋体" w:eastAsia="宋体" w:cs="宋体"/>
          <w:b/>
          <w:bCs/>
          <w:color w:val="auto"/>
        </w:rPr>
        <w:t>三、报价原则</w:t>
      </w:r>
      <w:bookmarkEnd w:id="83"/>
      <w:bookmarkEnd w:id="84"/>
      <w:bookmarkEnd w:id="85"/>
    </w:p>
    <w:p w14:paraId="5D3D2C13">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（一）工程计价方式：本工程采用工程量清单计价。工程量清单应采用综合单价计价。</w:t>
      </w:r>
    </w:p>
    <w:p w14:paraId="0ED0B470">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二）供应商应按《建设工程工程量清单计价规范》（GB50500-2013）及重庆市相关工程量清单计价规则的要求填写相应清单表格。供应商应按《重庆市建设工程费用定额》（CQFYDE-2018）、《重庆市住房和城乡建设委员会关于适用增值税新税率调整建设工程计价依据的通知》（渝建〔2019〕143号）和本项目“工程量清单”的要求填写相应清单表格。供应商的报价应是本工程采购范围内的全部工程的总报价，并以供应商在工程量清单中提出的单价或总价为依据。</w:t>
      </w:r>
    </w:p>
    <w:p w14:paraId="77A6F6DD">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（三）供应商应认真填写工程量清单中所列的本</w:t>
      </w:r>
      <w:r>
        <w:rPr>
          <w:rFonts w:hint="eastAsia" w:cs="宋体"/>
          <w:color w:val="auto"/>
          <w:lang w:val="en-US" w:eastAsia="zh-CN"/>
        </w:rPr>
        <w:t>项目</w:t>
      </w:r>
      <w:r>
        <w:rPr>
          <w:rFonts w:hint="eastAsia" w:ascii="宋体" w:hAnsi="宋体" w:eastAsia="宋体" w:cs="宋体"/>
          <w:color w:val="auto"/>
        </w:rPr>
        <w:t>各工程子目的单价或总价。供应商没有填入单价或总价的工程子目，采购人将认为该子目的价款已包括在工程量清单其他子目的单价和总价中。供应商必须按采购工程量清单填报价格。项目编码、项目名称、项目特征、计量单位、工程量必须与采购工程量清单一致。否则由</w:t>
      </w:r>
      <w:r>
        <w:rPr>
          <w:rFonts w:hint="eastAsia" w:ascii="宋体" w:hAnsi="宋体" w:eastAsia="宋体" w:cs="宋体"/>
          <w:color w:val="auto"/>
          <w:lang w:val="en-US" w:eastAsia="zh-CN"/>
        </w:rPr>
        <w:t>评审</w:t>
      </w:r>
      <w:r>
        <w:rPr>
          <w:rFonts w:hint="eastAsia" w:ascii="宋体" w:hAnsi="宋体" w:eastAsia="宋体" w:cs="宋体"/>
          <w:color w:val="auto"/>
        </w:rPr>
        <w:t>小组作无效响应处理。</w:t>
      </w:r>
    </w:p>
    <w:p w14:paraId="5B5975BE">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（四）</w:t>
      </w:r>
      <w:r>
        <w:rPr>
          <w:rFonts w:hint="eastAsia" w:ascii="宋体" w:hAnsi="宋体" w:eastAsia="宋体" w:cs="宋体"/>
          <w:color w:val="auto"/>
          <w:lang w:val="en-US" w:eastAsia="zh-CN"/>
        </w:rPr>
        <w:t>比选</w:t>
      </w:r>
      <w:r>
        <w:rPr>
          <w:rFonts w:hint="eastAsia" w:ascii="宋体" w:hAnsi="宋体" w:eastAsia="宋体" w:cs="宋体"/>
          <w:color w:val="auto"/>
        </w:rPr>
        <w:t>报价函中的</w:t>
      </w:r>
      <w:r>
        <w:rPr>
          <w:rFonts w:hint="eastAsia" w:ascii="宋体" w:hAnsi="宋体" w:eastAsia="宋体" w:cs="宋体"/>
          <w:color w:val="auto"/>
          <w:lang w:val="en-US" w:eastAsia="zh-CN"/>
        </w:rPr>
        <w:t>总</w:t>
      </w:r>
      <w:r>
        <w:rPr>
          <w:rFonts w:hint="eastAsia" w:ascii="宋体" w:hAnsi="宋体" w:eastAsia="宋体" w:cs="宋体"/>
          <w:color w:val="auto"/>
        </w:rPr>
        <w:t>报价必须与已标价工程量清单总报价一致。否则由</w:t>
      </w:r>
      <w:r>
        <w:rPr>
          <w:rFonts w:hint="eastAsia" w:ascii="宋体" w:hAnsi="宋体" w:eastAsia="宋体" w:cs="宋体"/>
          <w:color w:val="auto"/>
          <w:lang w:val="en-US" w:eastAsia="zh-CN"/>
        </w:rPr>
        <w:t>评审</w:t>
      </w:r>
      <w:r>
        <w:rPr>
          <w:rFonts w:hint="eastAsia" w:ascii="宋体" w:hAnsi="宋体" w:eastAsia="宋体" w:cs="宋体"/>
          <w:color w:val="auto"/>
        </w:rPr>
        <w:t>小组作无效响应处理。</w:t>
      </w:r>
    </w:p>
    <w:p w14:paraId="2D8439BB">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（五）增值税计税方法由采购人依据国家税法规定选择：一般计税法。</w:t>
      </w:r>
    </w:p>
    <w:p w14:paraId="44A789AF">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（六）如发现工程量清单中的数量与图纸中数量不一致，应书面通知采购人核查。</w:t>
      </w:r>
    </w:p>
    <w:p w14:paraId="6A59D4BD">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（七）采购人在工程量清单中所列出的暂列金额、暂估价等暂定金额，供应商不得修改，否则由</w:t>
      </w:r>
      <w:r>
        <w:rPr>
          <w:rFonts w:hint="eastAsia" w:ascii="宋体" w:hAnsi="宋体" w:eastAsia="宋体" w:cs="宋体"/>
          <w:color w:val="auto"/>
          <w:lang w:val="en-US" w:eastAsia="zh-CN"/>
        </w:rPr>
        <w:t>评审</w:t>
      </w:r>
      <w:r>
        <w:rPr>
          <w:rFonts w:hint="eastAsia" w:ascii="宋体" w:hAnsi="宋体" w:eastAsia="宋体" w:cs="宋体"/>
          <w:color w:val="auto"/>
        </w:rPr>
        <w:t>小组作无效响应处理。</w:t>
      </w:r>
    </w:p>
    <w:p w14:paraId="13435285">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（八）本工程</w:t>
      </w:r>
      <w:r>
        <w:rPr>
          <w:rFonts w:hint="eastAsia" w:ascii="宋体" w:hAnsi="宋体" w:eastAsia="宋体" w:cs="宋体"/>
          <w:color w:val="auto"/>
          <w:lang w:val="en-US" w:eastAsia="zh-CN"/>
        </w:rPr>
        <w:t>比选</w:t>
      </w:r>
      <w:r>
        <w:rPr>
          <w:rFonts w:hint="eastAsia" w:ascii="宋体" w:hAnsi="宋体" w:eastAsia="宋体" w:cs="宋体"/>
          <w:color w:val="auto"/>
        </w:rPr>
        <w:t>将设置</w:t>
      </w:r>
      <w:r>
        <w:rPr>
          <w:rFonts w:hint="eastAsia" w:ascii="宋体" w:hAnsi="宋体" w:eastAsia="宋体" w:cs="宋体"/>
          <w:color w:val="auto"/>
          <w:lang w:val="en-US" w:eastAsia="zh-CN"/>
        </w:rPr>
        <w:t>比选</w:t>
      </w:r>
      <w:r>
        <w:rPr>
          <w:rFonts w:hint="eastAsia" w:ascii="宋体" w:hAnsi="宋体" w:eastAsia="宋体" w:cs="宋体"/>
          <w:color w:val="auto"/>
        </w:rPr>
        <w:t>报价最高限价，</w:t>
      </w:r>
      <w:r>
        <w:rPr>
          <w:rFonts w:hint="eastAsia" w:ascii="宋体" w:hAnsi="宋体" w:eastAsia="宋体" w:cs="宋体"/>
          <w:color w:val="auto"/>
          <w:lang w:val="en-US" w:eastAsia="zh-CN"/>
        </w:rPr>
        <w:t>比选</w:t>
      </w:r>
      <w:r>
        <w:rPr>
          <w:rFonts w:hint="eastAsia" w:ascii="宋体" w:hAnsi="宋体" w:eastAsia="宋体" w:cs="宋体"/>
          <w:color w:val="auto"/>
        </w:rPr>
        <w:t>报价最高限价为</w:t>
      </w:r>
      <w:r>
        <w:rPr>
          <w:rFonts w:hint="eastAsia" w:ascii="宋体" w:hAnsi="宋体" w:eastAsia="宋体" w:cs="宋体"/>
          <w:b/>
          <w:bCs/>
          <w:color w:val="auto"/>
        </w:rPr>
        <w:t>358072.71元（大写：</w:t>
      </w:r>
      <w:r>
        <w:rPr>
          <w:rFonts w:hint="eastAsia" w:cs="宋体"/>
          <w:b/>
          <w:bCs/>
          <w:color w:val="auto"/>
          <w:lang w:val="en-US" w:eastAsia="zh-CN"/>
        </w:rPr>
        <w:t>叁拾伍万捌仟零柒拾贰元柒角壹分</w:t>
      </w:r>
      <w:r>
        <w:rPr>
          <w:rFonts w:hint="eastAsia" w:ascii="宋体" w:hAnsi="宋体" w:eastAsia="宋体" w:cs="宋体"/>
          <w:b/>
          <w:bCs/>
          <w:color w:val="auto"/>
        </w:rPr>
        <w:t>）</w:t>
      </w:r>
      <w:r>
        <w:rPr>
          <w:rFonts w:hint="eastAsia" w:ascii="宋体" w:hAnsi="宋体" w:eastAsia="宋体" w:cs="宋体"/>
          <w:color w:val="auto"/>
        </w:rPr>
        <w:t>，其中包含安全文明施工费暂定金额为人民币</w:t>
      </w:r>
      <w:r>
        <w:rPr>
          <w:rFonts w:hint="eastAsia" w:ascii="宋体" w:hAnsi="宋体" w:eastAsia="宋体" w:cs="宋体"/>
          <w:b/>
          <w:bCs/>
          <w:color w:val="auto"/>
        </w:rPr>
        <w:t>6588.84元</w:t>
      </w:r>
      <w:r>
        <w:rPr>
          <w:rFonts w:hint="eastAsia" w:ascii="宋体" w:hAnsi="宋体" w:eastAsia="宋体" w:cs="宋体"/>
          <w:color w:val="auto"/>
        </w:rPr>
        <w:t>；供应商的</w:t>
      </w:r>
      <w:r>
        <w:rPr>
          <w:rFonts w:hint="eastAsia" w:ascii="宋体" w:hAnsi="宋体" w:eastAsia="宋体" w:cs="宋体"/>
          <w:color w:val="auto"/>
          <w:lang w:val="en-US" w:eastAsia="zh-CN"/>
        </w:rPr>
        <w:t>比选</w:t>
      </w:r>
      <w:r>
        <w:rPr>
          <w:rFonts w:hint="eastAsia" w:ascii="宋体" w:hAnsi="宋体" w:eastAsia="宋体" w:cs="宋体"/>
          <w:color w:val="auto"/>
        </w:rPr>
        <w:t>报价不得超过最高限价，否则由</w:t>
      </w:r>
      <w:r>
        <w:rPr>
          <w:rFonts w:hint="eastAsia" w:ascii="宋体" w:hAnsi="宋体" w:eastAsia="宋体" w:cs="宋体"/>
          <w:color w:val="auto"/>
          <w:lang w:val="en-US" w:eastAsia="zh-CN"/>
        </w:rPr>
        <w:t>评审</w:t>
      </w:r>
      <w:r>
        <w:rPr>
          <w:rFonts w:hint="eastAsia" w:ascii="宋体" w:hAnsi="宋体" w:eastAsia="宋体" w:cs="宋体"/>
          <w:color w:val="auto"/>
        </w:rPr>
        <w:t>小组作无效响应处理。</w:t>
      </w:r>
    </w:p>
    <w:p w14:paraId="18C17576">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本工程</w:t>
      </w:r>
      <w:r>
        <w:rPr>
          <w:rFonts w:hint="eastAsia" w:ascii="宋体" w:hAnsi="宋体" w:eastAsia="宋体" w:cs="宋体"/>
          <w:color w:val="auto"/>
          <w:lang w:val="en-US" w:eastAsia="zh-CN"/>
        </w:rPr>
        <w:t>比选</w:t>
      </w:r>
      <w:r>
        <w:rPr>
          <w:rFonts w:hint="eastAsia" w:ascii="宋体" w:hAnsi="宋体" w:eastAsia="宋体" w:cs="宋体"/>
          <w:color w:val="auto"/>
        </w:rPr>
        <w:t>将设置全部工程量清单综合单价最高限价，全部清单综合单价最高限价与</w:t>
      </w:r>
      <w:r>
        <w:rPr>
          <w:rFonts w:hint="eastAsia" w:ascii="宋体" w:hAnsi="宋体" w:eastAsia="宋体" w:cs="宋体"/>
          <w:color w:val="auto"/>
          <w:lang w:val="en-US" w:eastAsia="zh-CN"/>
        </w:rPr>
        <w:t>比选</w:t>
      </w:r>
      <w:r>
        <w:rPr>
          <w:rFonts w:hint="eastAsia" w:ascii="宋体" w:hAnsi="宋体" w:eastAsia="宋体" w:cs="宋体"/>
          <w:color w:val="auto"/>
        </w:rPr>
        <w:t>文件一起发布，供应商的每项清单综合单价报价不得超过每项清单综合单价最高限价，否则由</w:t>
      </w:r>
      <w:r>
        <w:rPr>
          <w:rFonts w:hint="eastAsia" w:ascii="宋体" w:hAnsi="宋体" w:eastAsia="宋体" w:cs="宋体"/>
          <w:color w:val="auto"/>
          <w:lang w:val="en-US" w:eastAsia="zh-CN"/>
        </w:rPr>
        <w:t>比选</w:t>
      </w:r>
      <w:r>
        <w:rPr>
          <w:rFonts w:hint="eastAsia" w:ascii="宋体" w:hAnsi="宋体" w:eastAsia="宋体" w:cs="宋体"/>
          <w:color w:val="auto"/>
        </w:rPr>
        <w:t>小组作无效响应处理。</w:t>
      </w:r>
    </w:p>
    <w:p w14:paraId="50C3EBBC">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若在施工期间发现成交供应商的工程量清单综合单价报价超过采购时给出的工程量清单综合单价最高限价的，在工程结算时采购人将以发出的工程量清单综合单价最高限价为基础，按照成交供应商的成交总价与本工程的</w:t>
      </w:r>
      <w:r>
        <w:rPr>
          <w:rFonts w:hint="eastAsia" w:ascii="宋体" w:hAnsi="宋体" w:eastAsia="宋体" w:cs="宋体"/>
          <w:color w:val="auto"/>
          <w:lang w:val="en-US" w:eastAsia="zh-CN"/>
        </w:rPr>
        <w:t>比选</w:t>
      </w:r>
      <w:r>
        <w:rPr>
          <w:rFonts w:hint="eastAsia" w:ascii="宋体" w:hAnsi="宋体" w:eastAsia="宋体" w:cs="宋体"/>
          <w:color w:val="auto"/>
        </w:rPr>
        <w:t>总报价最高限价的下浮比例进行同比例下调，成交供应商必须无条件接受，否则按成交供应商违约处理。</w:t>
      </w:r>
    </w:p>
    <w:p w14:paraId="07376A29">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（九）安全文明施工费：</w:t>
      </w:r>
    </w:p>
    <w:p w14:paraId="73F058B8">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根据《重庆城乡建设委员会关于印发&lt;重庆市建设工程安全文明施工费计取及使用管理规定&gt;的通知》（渝建管〔2024〕38号）规定，安全文明施工费由安全施工费、文明施工费、环境保护费及临时设施费组成。</w:t>
      </w:r>
    </w:p>
    <w:p w14:paraId="66888307">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2.本工程安全文明施工费按《重庆市建设工程安全文明施工费计取及使用管理规定》的通知(渝建管〔2024〕38号)、《重庆市建设工程费用定额》(COFYDE-2018)及相关配套文件的相关规定和费用标准单列计算，安全文明施工费为暂定金额，与最高限价一起公布。《</w:t>
      </w:r>
      <w:r>
        <w:rPr>
          <w:rFonts w:hint="eastAsia" w:ascii="宋体" w:hAnsi="宋体" w:eastAsia="宋体" w:cs="宋体"/>
          <w:color w:val="auto"/>
          <w:lang w:val="en-US" w:eastAsia="zh-CN"/>
        </w:rPr>
        <w:t>比选</w:t>
      </w:r>
      <w:r>
        <w:rPr>
          <w:rFonts w:hint="eastAsia" w:ascii="宋体" w:hAnsi="宋体" w:eastAsia="宋体" w:cs="宋体"/>
          <w:color w:val="auto"/>
        </w:rPr>
        <w:t>报价函》中的安全文明施工费金额或工程量清单中安全文明施工费的汇总金额未按照采购人给出的暂定金额填报的，视为对竞争性</w:t>
      </w:r>
      <w:r>
        <w:rPr>
          <w:rFonts w:hint="eastAsia" w:ascii="宋体" w:hAnsi="宋体" w:eastAsia="宋体" w:cs="宋体"/>
          <w:color w:val="auto"/>
          <w:lang w:val="en-US" w:eastAsia="zh-CN"/>
        </w:rPr>
        <w:t>比选</w:t>
      </w:r>
      <w:r>
        <w:rPr>
          <w:rFonts w:hint="eastAsia" w:ascii="宋体" w:hAnsi="宋体" w:eastAsia="宋体" w:cs="宋体"/>
          <w:color w:val="auto"/>
        </w:rPr>
        <w:t>文件不作实质性响应，其响应文件由</w:t>
      </w:r>
      <w:r>
        <w:rPr>
          <w:rFonts w:hint="eastAsia" w:ascii="宋体" w:hAnsi="宋体" w:eastAsia="宋体" w:cs="宋体"/>
          <w:color w:val="auto"/>
          <w:lang w:val="en-US" w:eastAsia="zh-CN"/>
        </w:rPr>
        <w:t>评审</w:t>
      </w:r>
      <w:r>
        <w:rPr>
          <w:rFonts w:hint="eastAsia" w:ascii="宋体" w:hAnsi="宋体" w:eastAsia="宋体" w:cs="宋体"/>
          <w:color w:val="auto"/>
        </w:rPr>
        <w:t>小组作无效响应处理。</w:t>
      </w:r>
    </w:p>
    <w:p w14:paraId="1E178ADF">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十）本工程所需材料（含设备）价格由供应商参照重庆市建设工程造价管理总站发布的《重庆工程造价信息》或工程造价管理机构发布的工程造价信息（造价信息引用时限为采购公告发布日期前一期），并结合市场行情及自身实力进行自主报价。</w:t>
      </w:r>
    </w:p>
    <w:p w14:paraId="08375300">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十一）本项目建筑安装材料价格风险按照《重庆市城乡建设委员会关于进一步加强建筑安装材料价格风险管控的指导意见》（渝建〔2018〕61号）执行。本项目主要材料及设备价格风险内容、范围及调整方法为：不调整。</w:t>
      </w:r>
    </w:p>
    <w:p w14:paraId="4D77CD23">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（十二）本项目所采用技术、工艺和产品等必须执行重庆市住房和城乡建设委员会关于发布《重庆市建设领域禁止、限制使用落后技术通告（2019年版）（渝建发〔2019〕25号）的规定。</w:t>
      </w:r>
    </w:p>
    <w:p w14:paraId="0805A304">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（十三）本工程主体结构若需混凝土，则必须使用商品混凝土，不得自建搅拌站。</w:t>
      </w:r>
    </w:p>
    <w:p w14:paraId="5B4B8820">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（十四）措施项目费清单包括施工组织措施项目清单和施工技术措施项目清单两部分。</w:t>
      </w:r>
    </w:p>
    <w:p w14:paraId="7BB20BE3">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1.施工组织措施项目清单：</w:t>
      </w:r>
    </w:p>
    <w:p w14:paraId="787F029D">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1.1 采购人给出的施工组织措施项目清单仅供供应商参考，供应商在</w:t>
      </w:r>
      <w:r>
        <w:rPr>
          <w:rFonts w:hint="eastAsia" w:ascii="宋体" w:hAnsi="宋体" w:eastAsia="宋体" w:cs="宋体"/>
          <w:color w:val="auto"/>
          <w:lang w:val="en-US" w:eastAsia="zh-CN"/>
        </w:rPr>
        <w:t>比选</w:t>
      </w:r>
      <w:r>
        <w:rPr>
          <w:rFonts w:hint="eastAsia" w:ascii="宋体" w:hAnsi="宋体" w:eastAsia="宋体" w:cs="宋体"/>
          <w:color w:val="auto"/>
        </w:rPr>
        <w:t>报价时可参照采购人给出的施工组织措施项目清单并结合本工程的实际情况和国家及重庆市相关规范、规定自行增减项目，并进行报价，包干使用，结算时将不调整。如果漏项或不报价或报价为零，视为已包含在其他项目清单综合单价内，其中安全文明施工费由供应商根据采购人提供的暂估金额价计入施工组织措施清单中，供应商应结合《重庆市城乡建设委员会关于建筑业营业税改征增值税调整建设工程计价依据的通知》（渝建发〔2016〕35 号）进行报价（调整办法见结算条款）。</w:t>
      </w:r>
    </w:p>
    <w:p w14:paraId="4301C29D">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1.2 安全文明施工费：详见本报价原则第（九）条。</w:t>
      </w:r>
    </w:p>
    <w:p w14:paraId="3593CCDD">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2.施工技术措施项目清单： </w:t>
      </w:r>
    </w:p>
    <w:p w14:paraId="02270D3C">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2.1 技术措施清单中以项计列的项目，由供应商根据现场踏勘情况及本工程的实际情况结合自身施工经验，以项为单位自行报价，成交后以项计列的施工技术措施费不再调整（技术措施清单中要求以暂估价计列的项目除外）。 </w:t>
      </w:r>
    </w:p>
    <w:p w14:paraId="2F336D32">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2.2 技术措施清单中以项目编码、项目名称、项目特征、工程内容、工程量及计量单位列项的项目（如果有），供应商必须按采购人给出的施工技术措施项目清单进行报价，不得擅自变改采购人提供的施工技术措施项目清单中的序号、项目编码、项目名称、项目特征、工程内容、工程量及计量单位，若成交后发现不一致的，将按对采购人有利的原则调整，成交供应商必须无条件接受，否则采购人有权取消成交资格，解除合同并不退还履约担保。结算时，工程量按《建设工程工程量清单计价规范》（GB50500-2013）、《房屋建筑与装饰工程工程量计算规范》（GB50854-2013）、《市政工程工程量计算规范》（GB50857-2013）、《重庆市建设工程工程量清单计价规则》（CQJJGZ-2013）、《通用安装工程工程量计算规范》（GB50856-2013）、《园林绿化工程工程量计算规范》 （GB50858-2013） 、《重庆市建设工程工程量计算规则》（CQJLGZ－2013）规定的计量规则及工程量清单说明按实计量。</w:t>
      </w:r>
    </w:p>
    <w:p w14:paraId="62F0EC0F">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2.3 技术措施清单中以暂估价计列的项目（如果有），成交后，由成交供应商提出实施方案，经采购人批准后，按批准的实施方案及现场签证的工程内容按实结算。 </w:t>
      </w:r>
    </w:p>
    <w:p w14:paraId="4F9CE493">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3.供应商施工过程中由于停电、停水或其他问题引起的停电、停水造成停工，而又必须抢工采取的措施由供应商自行解决，由此产生的措施费均由供应商自行测算后计入</w:t>
      </w:r>
      <w:r>
        <w:rPr>
          <w:rFonts w:hint="eastAsia" w:cs="宋体"/>
          <w:color w:val="auto"/>
          <w:lang w:val="en-US" w:eastAsia="zh-CN"/>
        </w:rPr>
        <w:t>比选</w:t>
      </w:r>
      <w:r>
        <w:rPr>
          <w:rFonts w:hint="eastAsia" w:ascii="宋体" w:hAnsi="宋体" w:eastAsia="宋体" w:cs="宋体"/>
          <w:color w:val="auto"/>
        </w:rPr>
        <w:t xml:space="preserve">报价。 </w:t>
      </w:r>
    </w:p>
    <w:p w14:paraId="50F9AF2C">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（十五）规费 </w:t>
      </w:r>
    </w:p>
    <w:p w14:paraId="15C207AC">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由供应商按国家及重庆市有关规定报价。 </w:t>
      </w:r>
    </w:p>
    <w:p w14:paraId="4FAD1F69">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（十六）税费 </w:t>
      </w:r>
    </w:p>
    <w:p w14:paraId="3F9AD563">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供应商因实施本合同工程需缴纳的一切税费由供应商承担，包含在所报的总额价内。本工程征收增值税，具体要求按《关于建筑业营业税改征增值税调整建设工程计价依据的通知》 （渝建发〔2016〕35 号）和《关于适用增值税新税率调整建设工程计价依据的通知》（渝建〔2018〕195 号和渝建〔2019〕143 号）执行。</w:t>
      </w:r>
    </w:p>
    <w:p w14:paraId="31F9136D">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（十七）供应商应将完成该工程发生的包括但不限于以下措施及风险费用纳入本次</w:t>
      </w:r>
      <w:r>
        <w:rPr>
          <w:rFonts w:hint="eastAsia" w:ascii="宋体" w:hAnsi="宋体" w:eastAsia="宋体" w:cs="宋体"/>
          <w:color w:val="auto"/>
          <w:lang w:val="en-US" w:eastAsia="zh-CN"/>
        </w:rPr>
        <w:t>比选</w:t>
      </w:r>
      <w:r>
        <w:rPr>
          <w:rFonts w:hint="eastAsia" w:ascii="宋体" w:hAnsi="宋体" w:eastAsia="宋体" w:cs="宋体"/>
          <w:color w:val="auto"/>
        </w:rPr>
        <w:t xml:space="preserve">报价中，不再另行计价： </w:t>
      </w:r>
    </w:p>
    <w:p w14:paraId="3B6B1BFB">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1.施工所需的办公场地、材料堆放和转运、加工所需场地由供应商自行负责解决，并承担相应费用，费用已包含在总报价中。 </w:t>
      </w:r>
    </w:p>
    <w:p w14:paraId="171D4ECB">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2.供应商必须服从施工现场业主、监理的统一管理，与综合管线迁建及所有相关的其他专业分包工程所产生的总承包服务费、配合费及配合其他参建单位所产生的窝工及施工降效等费用，费用包含在本次报价中，不再另行计算；若发生交叉施工产生的相关费用，包含在本次报价中，不再另行计算。 </w:t>
      </w:r>
    </w:p>
    <w:p w14:paraId="5A6476B8">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3.按政策和合同约定的应由供应商交纳的各种保险费由供应商自行投保，保险费由供应商承担并支付，并根据企业自身和本工程情况，测算包含在相应的报价中。如果因供应商未按要求投保而受到损失时，供应商应承担一切责任。 </w:t>
      </w:r>
    </w:p>
    <w:p w14:paraId="5B2B5ACB">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4.供应商需对提供资料进行核实，核实费用由供应商负责；未提供部分需供应商现场自行核实，费用</w:t>
      </w:r>
      <w:r>
        <w:rPr>
          <w:rFonts w:hint="eastAsia" w:ascii="宋体" w:hAnsi="宋体" w:eastAsia="宋体" w:cs="宋体"/>
          <w:color w:val="auto"/>
          <w:lang w:val="en-US" w:eastAsia="zh-CN"/>
        </w:rPr>
        <w:t>比选</w:t>
      </w:r>
      <w:r>
        <w:rPr>
          <w:rFonts w:hint="eastAsia" w:ascii="宋体" w:hAnsi="宋体" w:eastAsia="宋体" w:cs="宋体"/>
          <w:color w:val="auto"/>
        </w:rPr>
        <w:t>时自行考虑包含在</w:t>
      </w:r>
      <w:r>
        <w:rPr>
          <w:rFonts w:hint="eastAsia" w:ascii="宋体" w:hAnsi="宋体" w:eastAsia="宋体" w:cs="宋体"/>
          <w:color w:val="auto"/>
          <w:lang w:val="en-US" w:eastAsia="zh-CN"/>
        </w:rPr>
        <w:t>比选</w:t>
      </w:r>
      <w:r>
        <w:rPr>
          <w:rFonts w:hint="eastAsia" w:ascii="宋体" w:hAnsi="宋体" w:eastAsia="宋体" w:cs="宋体"/>
          <w:color w:val="auto"/>
        </w:rPr>
        <w:t>报价内。</w:t>
      </w:r>
    </w:p>
    <w:p w14:paraId="2946F171">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5.根据施工现场实际情况，供应商自行勘查后，寻找合适的水、电搭接点，供应商自行承担施工、生活、办公所需的水、电接驳工作及相关费用。 </w:t>
      </w:r>
    </w:p>
    <w:p w14:paraId="21A951C5">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6.为了不受停电影响延误工期，供应商自行预备柴油发电机组，自备发电机的功率应与工程需用电力负荷相适应，确保施工期间能正常使用。供应商自行发电，供应商</w:t>
      </w:r>
      <w:r>
        <w:rPr>
          <w:rFonts w:hint="eastAsia" w:ascii="宋体" w:hAnsi="宋体" w:eastAsia="宋体" w:cs="宋体"/>
          <w:color w:val="auto"/>
          <w:lang w:val="en-US" w:eastAsia="zh-CN"/>
        </w:rPr>
        <w:t>比选</w:t>
      </w:r>
      <w:r>
        <w:rPr>
          <w:rFonts w:hint="eastAsia" w:ascii="宋体" w:hAnsi="宋体" w:eastAsia="宋体" w:cs="宋体"/>
          <w:color w:val="auto"/>
        </w:rPr>
        <w:t xml:space="preserve">时应考虑该因素的有关费用，采购人不对发电费用予以补偿。供应商应自行准备抽水设备和准备蓄水池，并同时考虑水压不足的加压措施和考虑由此产生的相应费用，采购人不对抽水、蓄水和加压等费用予以补偿。采购人不对用水、用电所造成的停窝工事件作任何签证，也不因此延长工程工期。 </w:t>
      </w:r>
    </w:p>
    <w:p w14:paraId="77B2C49C">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7.供应商应考虑由于综合管网改迁周期长而占用施工场地影响施工及工期的措施费用。（如有） </w:t>
      </w:r>
    </w:p>
    <w:p w14:paraId="202D90E8">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8.各种赶工措施费、夜间施工的手续办理及其费用；若成交供应商报价中未考虑赶工措施费，采购人将视为包含在其他报价中；若成交供应商不按采购人要求进行赶工的，采购人有权委托第三方单位完成，由此产生的费用由成交供应商承担并从工程款中扣除。</w:t>
      </w:r>
    </w:p>
    <w:p w14:paraId="0F1CCE0E">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9.所有材料及建筑垃圾的上下车、堆放、仓储保管及场内外二次及多次转运等全部费用，由供应商自行综合考虑计入</w:t>
      </w:r>
      <w:r>
        <w:rPr>
          <w:rFonts w:hint="eastAsia" w:ascii="宋体" w:hAnsi="宋体" w:eastAsia="宋体" w:cs="宋体"/>
          <w:color w:val="auto"/>
          <w:lang w:val="en-US" w:eastAsia="zh-CN"/>
        </w:rPr>
        <w:t>比选</w:t>
      </w:r>
      <w:r>
        <w:rPr>
          <w:rFonts w:hint="eastAsia" w:ascii="宋体" w:hAnsi="宋体" w:eastAsia="宋体" w:cs="宋体"/>
          <w:color w:val="auto"/>
        </w:rPr>
        <w:t>报价中。</w:t>
      </w:r>
    </w:p>
    <w:p w14:paraId="5F19A449">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10.与工程相关的环保、消防、市政、交通、公安、物业、安全、施工扰民等涉及工程施工有关的协调工作均由供应商负责，并承担协调费用，纳入</w:t>
      </w:r>
      <w:r>
        <w:rPr>
          <w:rFonts w:hint="eastAsia" w:ascii="宋体" w:hAnsi="宋体" w:eastAsia="宋体" w:cs="宋体"/>
          <w:color w:val="auto"/>
          <w:lang w:val="en-US" w:eastAsia="zh-CN"/>
        </w:rPr>
        <w:t>比选</w:t>
      </w:r>
      <w:r>
        <w:rPr>
          <w:rFonts w:hint="eastAsia" w:ascii="宋体" w:hAnsi="宋体" w:eastAsia="宋体" w:cs="宋体"/>
          <w:color w:val="auto"/>
        </w:rPr>
        <w:t xml:space="preserve">报价中。 </w:t>
      </w:r>
    </w:p>
    <w:p w14:paraId="75C05D02">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11.施工过程中由于停电、停水造成的停工，供应商为保证项目工期而采取的抢工措施由供应商自行解决，由此产生的措施费均由供应商自行测算后计入</w:t>
      </w:r>
      <w:r>
        <w:rPr>
          <w:rFonts w:hint="eastAsia" w:ascii="宋体" w:hAnsi="宋体" w:eastAsia="宋体" w:cs="宋体"/>
          <w:color w:val="auto"/>
          <w:lang w:val="en-US" w:eastAsia="zh-CN"/>
        </w:rPr>
        <w:t>比选</w:t>
      </w:r>
      <w:r>
        <w:rPr>
          <w:rFonts w:hint="eastAsia" w:ascii="宋体" w:hAnsi="宋体" w:eastAsia="宋体" w:cs="宋体"/>
          <w:color w:val="auto"/>
        </w:rPr>
        <w:t xml:space="preserve">报价。 </w:t>
      </w:r>
    </w:p>
    <w:p w14:paraId="6FBD036B">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12.供应商应根据项目情况及天气充分考虑夜间加班、 防暑降温、高温补贴等相关费用，供应商自行考虑计入本次</w:t>
      </w:r>
      <w:r>
        <w:rPr>
          <w:rFonts w:hint="eastAsia" w:ascii="宋体" w:hAnsi="宋体" w:eastAsia="宋体" w:cs="宋体"/>
          <w:color w:val="auto"/>
          <w:lang w:val="en-US" w:eastAsia="zh-CN"/>
        </w:rPr>
        <w:t>比选</w:t>
      </w:r>
      <w:r>
        <w:rPr>
          <w:rFonts w:hint="eastAsia" w:ascii="宋体" w:hAnsi="宋体" w:eastAsia="宋体" w:cs="宋体"/>
          <w:color w:val="auto"/>
        </w:rPr>
        <w:t xml:space="preserve">报价中。 </w:t>
      </w:r>
    </w:p>
    <w:p w14:paraId="41391D14">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13.工程范围内涉及现状综合管网的保护及改造等，供应商须向产权单位提交相应保证金（如有）。 </w:t>
      </w:r>
    </w:p>
    <w:p w14:paraId="471D4FD2">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14.本项目供应商施工过程中需考虑运输路线及施工时段、施工人员进出、噪音控制、扬尘控制、现场既有成品保护的相关要求等具体措施。供应商应充分考虑上述条件，因上述条件造成的窝工停工产生的费用，供应商自行考虑计入本次</w:t>
      </w:r>
      <w:r>
        <w:rPr>
          <w:rFonts w:hint="eastAsia" w:ascii="宋体" w:hAnsi="宋体" w:eastAsia="宋体" w:cs="宋体"/>
          <w:color w:val="auto"/>
          <w:lang w:val="en-US" w:eastAsia="zh-CN"/>
        </w:rPr>
        <w:t>比选</w:t>
      </w:r>
      <w:r>
        <w:rPr>
          <w:rFonts w:hint="eastAsia" w:ascii="宋体" w:hAnsi="宋体" w:eastAsia="宋体" w:cs="宋体"/>
          <w:color w:val="auto"/>
        </w:rPr>
        <w:t>报价中。</w:t>
      </w:r>
    </w:p>
    <w:p w14:paraId="4A8C1709">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15.为保证校方正常的工作和生活，</w:t>
      </w:r>
      <w:r>
        <w:rPr>
          <w:rFonts w:hint="eastAsia" w:cs="宋体"/>
          <w:color w:val="auto"/>
          <w:lang w:eastAsia="zh-CN"/>
        </w:rPr>
        <w:t>供应商</w:t>
      </w:r>
      <w:r>
        <w:rPr>
          <w:rFonts w:hint="eastAsia" w:ascii="宋体" w:hAnsi="宋体" w:eastAsia="宋体" w:cs="宋体"/>
          <w:color w:val="auto"/>
        </w:rPr>
        <w:t>须在工作时间内做好降噪防尘措施，相关费用已包含在</w:t>
      </w:r>
      <w:r>
        <w:rPr>
          <w:rFonts w:hint="eastAsia" w:ascii="宋体" w:hAnsi="宋体" w:eastAsia="宋体" w:cs="宋体"/>
          <w:color w:val="auto"/>
          <w:lang w:val="en-US" w:eastAsia="zh-CN"/>
        </w:rPr>
        <w:t>比选</w:t>
      </w:r>
      <w:r>
        <w:rPr>
          <w:rFonts w:hint="eastAsia" w:ascii="宋体" w:hAnsi="宋体" w:eastAsia="宋体" w:cs="宋体"/>
          <w:color w:val="auto"/>
        </w:rPr>
        <w:t xml:space="preserve">报价中，成交后不作调整。  </w:t>
      </w:r>
    </w:p>
    <w:p w14:paraId="7B5C95BF">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（十八）人工、材料、设备采购及报价 </w:t>
      </w:r>
    </w:p>
    <w:p w14:paraId="29E9CCA7">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1.本工程所需人工价格由供应商参照重庆市建设工程造价管理总站发布的《重庆工程造价信息》或工程造价管理机构发布的工程造价信息（造价信息引用时限为采购公告发布日期前一期），并结合市场行情及自身实力进行自主报价。 </w:t>
      </w:r>
    </w:p>
    <w:p w14:paraId="095CFDB6">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2.材料价格应根据 《重庆市城乡建设委员会关于建筑业营业税改征增值税调整建设工程计价依据的通知》（渝建发〔2016〕35 号）调整为不含税价格计入。 </w:t>
      </w:r>
    </w:p>
    <w:p w14:paraId="4F7DD6D4">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3.所有材料及建筑垃圾运输距离由供应商根据自身情况及踏勘现场情况自行确定并纳入综合报价中，成交后原则上不调整。</w:t>
      </w:r>
    </w:p>
    <w:p w14:paraId="29A76732">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4.本工程所需的所有材料、设备均由成交供应商自行采购，但所采购的材料必须符合国家规范标准及设计文件、竞争性</w:t>
      </w:r>
      <w:r>
        <w:rPr>
          <w:rFonts w:hint="eastAsia" w:ascii="宋体" w:hAnsi="宋体" w:eastAsia="宋体" w:cs="宋体"/>
          <w:color w:val="auto"/>
          <w:lang w:val="en-US" w:eastAsia="zh-CN"/>
        </w:rPr>
        <w:t>比选</w:t>
      </w:r>
      <w:r>
        <w:rPr>
          <w:rFonts w:hint="eastAsia" w:ascii="宋体" w:hAnsi="宋体" w:eastAsia="宋体" w:cs="宋体"/>
          <w:color w:val="auto"/>
        </w:rPr>
        <w:t>文件要求，并提供相应合格证明资料、质保书等，并经采购人和监理工程师签字确认后方可使用。采购人审核时有权随时抽取相应材料进行检测，且检测合格，检测费用由采购人承担。若检测不合格，成交供应商必须更换所有材料，由此产生的责任和费用由成交供应商自行承担，采购人不支付任何费用也不延长工期。</w:t>
      </w:r>
    </w:p>
    <w:p w14:paraId="162EBD63">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4.1本工程所需的材料（设备），应在采购前十四日内将所采购材料（设备）的厂家、技术参数、品牌、质量等级等指标以书面形式通知采购人，采购人收到成交供应商的书面报告后十四日内予以确认，经采购人认质、封样（如有必要）后成交供应商方可采购进场。采购人认为成交供应商所使用的材料（设备）品质存在缺陷，或者偏离图纸及规范要求（以设计和监理书面意见为准），不能适用于本工程，采购人有权要求成交供应商更换，采购人不因更换材料（设备）而调整材料价格及相关费用；成交供应商拒绝按采购人要求更换，该种材料（设备）改为采购人供货，采购人收取成交供应商该类材料（设备）费的20%作为违约金。</w:t>
      </w:r>
    </w:p>
    <w:p w14:paraId="1A2438BD">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4.2本工程所需的部分材料（设备）有暂定价的，均以暂定价计入本次报价内。结算时按实调整材料价格，其他材料、人工、管理费、利润均不调整。</w:t>
      </w:r>
    </w:p>
    <w:p w14:paraId="7AA15FDB">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十九）若因成交供应商防护措施、施工管理等不到位造成成品和原有设施设备的污损，由成交供应商原样恢复，若成交供应商拒不原样恢复，采购人有权委托第三方单位完成，由此产生的费用由成交供应商承担并从工程款中扣除。</w:t>
      </w:r>
    </w:p>
    <w:p w14:paraId="1BE7536A">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（二十）成交供应商必须按照国家相关规定和采购人的要求进行施工，否则视为成交供应商违约；采购人有权取消或增加本工程施工内容，成交供应商不得因施工内容的取消或增加向采购人进行索赔。</w:t>
      </w:r>
    </w:p>
    <w:p w14:paraId="1477D0EB">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（二十一）由于建设场地属于特殊范围内，如因需</w:t>
      </w:r>
      <w:r>
        <w:rPr>
          <w:rFonts w:hint="eastAsia" w:cs="宋体"/>
          <w:color w:val="auto"/>
          <w:lang w:eastAsia="zh-CN"/>
        </w:rPr>
        <w:t>供应商</w:t>
      </w:r>
      <w:r>
        <w:rPr>
          <w:rFonts w:hint="eastAsia" w:ascii="宋体" w:hAnsi="宋体" w:eastAsia="宋体" w:cs="宋体"/>
          <w:color w:val="auto"/>
        </w:rPr>
        <w:t>停工，</w:t>
      </w:r>
      <w:r>
        <w:rPr>
          <w:rFonts w:hint="eastAsia" w:cs="宋体"/>
          <w:color w:val="auto"/>
          <w:lang w:eastAsia="zh-CN"/>
        </w:rPr>
        <w:t>供应商</w:t>
      </w:r>
      <w:r>
        <w:rPr>
          <w:rFonts w:hint="eastAsia" w:ascii="宋体" w:hAnsi="宋体" w:eastAsia="宋体" w:cs="宋体"/>
          <w:color w:val="auto"/>
        </w:rPr>
        <w:t>接到书面通知后应无条件接受，且不延长工期，相关费用不做调整；</w:t>
      </w:r>
      <w:r>
        <w:rPr>
          <w:rFonts w:hint="eastAsia" w:cs="宋体"/>
          <w:color w:val="auto"/>
          <w:lang w:eastAsia="zh-CN"/>
        </w:rPr>
        <w:t>供应商</w:t>
      </w:r>
      <w:r>
        <w:rPr>
          <w:rFonts w:hint="eastAsia" w:ascii="宋体" w:hAnsi="宋体" w:eastAsia="宋体" w:cs="宋体"/>
          <w:color w:val="auto"/>
        </w:rPr>
        <w:t>在施工期间的扬尘或噪音干扰到我校正常行课，校方有权令</w:t>
      </w:r>
      <w:r>
        <w:rPr>
          <w:rFonts w:hint="eastAsia" w:cs="宋体"/>
          <w:color w:val="auto"/>
          <w:lang w:eastAsia="zh-CN"/>
        </w:rPr>
        <w:t>供应商</w:t>
      </w:r>
      <w:r>
        <w:rPr>
          <w:rFonts w:hint="eastAsia" w:ascii="宋体" w:hAnsi="宋体" w:eastAsia="宋体" w:cs="宋体"/>
          <w:color w:val="auto"/>
        </w:rPr>
        <w:t>停工整改，且得到校方认可方可施工，中间产生的工期及费用不做调整。</w:t>
      </w:r>
    </w:p>
    <w:p w14:paraId="53967ED1">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二十二）供应商应先到工地踏勘以充分了解工地位置、学校教育教学需求、周边交通情况、周边环境情况、噪音影响、扬尘影响、地质情况、进出场道路、拆迁干扰、储存空间、装卸限制、行车干扰及任何其它足以影响承包价格的情况，任何因忽视或误解上述情况而导致的索赔或工期延长申请将不获批准。</w:t>
      </w:r>
    </w:p>
    <w:p w14:paraId="4F8C01A6">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bookmarkStart w:id="86" w:name="_Toc187249066"/>
      <w:r>
        <w:rPr>
          <w:rFonts w:hint="eastAsia" w:ascii="宋体" w:hAnsi="宋体" w:eastAsia="宋体" w:cs="宋体"/>
          <w:color w:val="auto"/>
        </w:rPr>
        <w:t>（二十三）供应商须做好相应的安全保护措施，确保周边原有建筑、学校师生和周边居民的安全。若因供应商施工时安全保护措施不当，由此引发的安全问题由供应商全权负责。</w:t>
      </w:r>
      <w:bookmarkEnd w:id="86"/>
    </w:p>
    <w:p w14:paraId="49282275">
      <w:pPr>
        <w:keepNext w:val="0"/>
        <w:keepLines w:val="0"/>
        <w:pageBreakBefore w:val="0"/>
        <w:widowControl/>
        <w:kinsoku/>
        <w:wordWrap/>
        <w:overflowPunct/>
        <w:topLinePunct w:val="0"/>
        <w:autoSpaceDE/>
        <w:autoSpaceDN/>
        <w:bidi w:val="0"/>
        <w:adjustRightInd/>
        <w:snapToGrid/>
        <w:spacing w:line="336" w:lineRule="auto"/>
        <w:textAlignment w:val="auto"/>
        <w:outlineLvl w:val="1"/>
        <w:rPr>
          <w:rFonts w:hint="eastAsia" w:ascii="宋体" w:hAnsi="宋体" w:eastAsia="宋体" w:cs="宋体"/>
          <w:b/>
          <w:bCs/>
          <w:color w:val="auto"/>
        </w:rPr>
      </w:pPr>
      <w:bookmarkStart w:id="87" w:name="_Toc194929826"/>
      <w:bookmarkStart w:id="88" w:name="_Toc16131"/>
      <w:bookmarkStart w:id="89" w:name="_Toc190705774"/>
      <w:bookmarkStart w:id="90" w:name="_Toc76462330"/>
      <w:r>
        <w:rPr>
          <w:rFonts w:hint="eastAsia" w:ascii="宋体" w:hAnsi="宋体" w:eastAsia="宋体" w:cs="宋体"/>
          <w:b/>
          <w:bCs/>
          <w:color w:val="auto"/>
        </w:rPr>
        <w:t>四、结算原则</w:t>
      </w:r>
      <w:bookmarkEnd w:id="87"/>
      <w:bookmarkEnd w:id="88"/>
      <w:bookmarkEnd w:id="89"/>
    </w:p>
    <w:p w14:paraId="23BEC496">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具体结算办法详见第六篇。</w:t>
      </w:r>
    </w:p>
    <w:p w14:paraId="49E504F3">
      <w:pPr>
        <w:keepNext w:val="0"/>
        <w:keepLines w:val="0"/>
        <w:pageBreakBefore w:val="0"/>
        <w:widowControl/>
        <w:kinsoku/>
        <w:wordWrap/>
        <w:overflowPunct/>
        <w:topLinePunct w:val="0"/>
        <w:autoSpaceDE/>
        <w:autoSpaceDN/>
        <w:bidi w:val="0"/>
        <w:adjustRightInd/>
        <w:snapToGrid/>
        <w:spacing w:line="336" w:lineRule="auto"/>
        <w:textAlignment w:val="auto"/>
        <w:outlineLvl w:val="1"/>
        <w:rPr>
          <w:rFonts w:hint="eastAsia" w:ascii="宋体" w:hAnsi="宋体" w:eastAsia="宋体" w:cs="宋体"/>
          <w:b/>
          <w:bCs/>
          <w:color w:val="auto"/>
        </w:rPr>
      </w:pPr>
      <w:bookmarkStart w:id="91" w:name="_Toc194929827"/>
      <w:bookmarkStart w:id="92" w:name="_Toc190705775"/>
      <w:bookmarkStart w:id="93" w:name="_Toc9843"/>
      <w:r>
        <w:rPr>
          <w:rFonts w:hint="eastAsia" w:ascii="宋体" w:hAnsi="宋体" w:eastAsia="宋体" w:cs="宋体"/>
          <w:b/>
          <w:bCs/>
          <w:color w:val="auto"/>
        </w:rPr>
        <w:t>五、质量保证及</w:t>
      </w:r>
      <w:bookmarkEnd w:id="91"/>
      <w:bookmarkEnd w:id="92"/>
      <w:r>
        <w:rPr>
          <w:rFonts w:hint="eastAsia" w:ascii="宋体" w:hAnsi="宋体" w:eastAsia="宋体" w:cs="宋体"/>
          <w:b/>
          <w:bCs/>
          <w:color w:val="auto"/>
        </w:rPr>
        <w:t>施工要求</w:t>
      </w:r>
      <w:bookmarkEnd w:id="93"/>
    </w:p>
    <w:p w14:paraId="578CE5F0">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（一）质量保证</w:t>
      </w:r>
    </w:p>
    <w:p w14:paraId="5CF00521">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1.工程保修期：免费维保两年，电梯整机质保5年、六大核心部件（主机、控制柜、门机、限速器、安全钳、缓冲器)）10年质保。</w:t>
      </w:r>
    </w:p>
    <w:p w14:paraId="7F01B22E">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cs="宋体"/>
          <w:color w:val="auto"/>
          <w:lang w:val="en-US" w:eastAsia="zh-CN"/>
        </w:rPr>
        <w:t>2</w:t>
      </w:r>
      <w:r>
        <w:rPr>
          <w:rFonts w:hint="eastAsia" w:ascii="宋体" w:hAnsi="宋体" w:eastAsia="宋体" w:cs="宋体"/>
          <w:color w:val="auto"/>
        </w:rPr>
        <w:t>.在工程质保期间内，属于成交供应商维修整改的范围出现质量问题，成交供应商接到采购人电话或书面告知后48小时赶赴现场处理，逾期未处理的，由采购人聘请第三方进行整改，整改费用由成交供应商进行支付。</w:t>
      </w:r>
    </w:p>
    <w:p w14:paraId="7F1D7DD3">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cs="宋体"/>
          <w:color w:val="auto"/>
          <w:lang w:val="en-US" w:eastAsia="zh-CN"/>
        </w:rPr>
        <w:t>3</w:t>
      </w:r>
      <w:r>
        <w:rPr>
          <w:rFonts w:hint="eastAsia" w:ascii="宋体" w:hAnsi="宋体" w:eastAsia="宋体" w:cs="宋体"/>
          <w:color w:val="auto"/>
        </w:rPr>
        <w:t>.属于成交供应商整改的范围出现质量问题导致损失的，成交供应商应无条件据实赔偿。</w:t>
      </w:r>
    </w:p>
    <w:p w14:paraId="2971163E">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（二）施工要求</w:t>
      </w:r>
    </w:p>
    <w:p w14:paraId="726F1579">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1.成交供应商应派遣有丰富经验和相应能力的施工人员进行现场组织施工，并对施工操作不当或错误所导致的直接损失和间接损失承担全部赔偿责任。</w:t>
      </w:r>
    </w:p>
    <w:p w14:paraId="2A97B1B4">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2.施工过程应遵照现行国家有关及规程规范进行施工，按照有关要求进行检查验收。成交供应商提供所有设备和材料应有完善的质量检测手段和质量保证体系，必须符合国家标准和行业标准。如因产品质量问题所造成的一切损失，由成交供应商向采购人负责，并承担赔偿责任，同时采购人有权终止合同。</w:t>
      </w:r>
    </w:p>
    <w:p w14:paraId="18890BDA">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bookmarkStart w:id="94" w:name="_Toc975"/>
      <w:bookmarkStart w:id="95" w:name="_Toc27414"/>
      <w:bookmarkStart w:id="96" w:name="_Toc15301"/>
      <w:bookmarkStart w:id="97" w:name="_Toc11442"/>
      <w:bookmarkStart w:id="98" w:name="_Toc22739"/>
      <w:bookmarkStart w:id="99" w:name="_Toc30298"/>
      <w:bookmarkStart w:id="100" w:name="_Toc23653"/>
      <w:bookmarkStart w:id="101" w:name="_Toc14659"/>
      <w:bookmarkStart w:id="102" w:name="_Toc18988"/>
      <w:bookmarkStart w:id="103" w:name="_Toc1984"/>
      <w:bookmarkStart w:id="104" w:name="_Toc29230"/>
      <w:bookmarkStart w:id="105" w:name="_Toc7923"/>
      <w:bookmarkStart w:id="106" w:name="_Toc5096"/>
      <w:bookmarkStart w:id="107" w:name="_Toc30266"/>
      <w:r>
        <w:rPr>
          <w:rFonts w:hint="eastAsia" w:ascii="宋体" w:hAnsi="宋体" w:eastAsia="宋体" w:cs="宋体"/>
          <w:color w:val="auto"/>
        </w:rPr>
        <w:t>3.工程完工后，按相关标准验收程序和规程进行验收，验收合格后双方认可签字。</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5C986C48">
      <w:pPr>
        <w:keepNext w:val="0"/>
        <w:keepLines w:val="0"/>
        <w:pageBreakBefore w:val="0"/>
        <w:widowControl/>
        <w:kinsoku/>
        <w:wordWrap/>
        <w:overflowPunct/>
        <w:topLinePunct w:val="0"/>
        <w:autoSpaceDE/>
        <w:autoSpaceDN/>
        <w:bidi w:val="0"/>
        <w:adjustRightInd/>
        <w:snapToGrid/>
        <w:spacing w:line="336" w:lineRule="auto"/>
        <w:textAlignment w:val="auto"/>
        <w:outlineLvl w:val="1"/>
        <w:rPr>
          <w:rFonts w:hint="eastAsia" w:ascii="宋体" w:hAnsi="宋体" w:eastAsia="宋体" w:cs="宋体"/>
          <w:b/>
          <w:bCs/>
          <w:color w:val="auto"/>
        </w:rPr>
      </w:pPr>
      <w:bookmarkStart w:id="108" w:name="_Toc190705776"/>
      <w:bookmarkStart w:id="109" w:name="_Toc7499"/>
      <w:bookmarkStart w:id="110" w:name="_Toc194929828"/>
      <w:r>
        <w:rPr>
          <w:rFonts w:hint="eastAsia" w:ascii="宋体" w:hAnsi="宋体" w:eastAsia="宋体" w:cs="宋体"/>
          <w:b/>
          <w:bCs/>
          <w:color w:val="auto"/>
        </w:rPr>
        <w:t>六、履约保证金及付款方式</w:t>
      </w:r>
      <w:bookmarkEnd w:id="108"/>
      <w:bookmarkEnd w:id="109"/>
      <w:bookmarkEnd w:id="110"/>
    </w:p>
    <w:p w14:paraId="5E7EE7F0">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bookmarkStart w:id="111" w:name="_Toc190705777"/>
      <w:bookmarkStart w:id="112" w:name="_Toc194928400"/>
      <w:bookmarkStart w:id="113" w:name="_Toc187249070"/>
      <w:bookmarkStart w:id="114" w:name="_Toc194929829"/>
      <w:r>
        <w:rPr>
          <w:rFonts w:hint="eastAsia" w:ascii="宋体" w:hAnsi="宋体" w:eastAsia="宋体" w:cs="宋体"/>
          <w:color w:val="auto"/>
        </w:rPr>
        <w:t>（一）履约保证金</w:t>
      </w:r>
      <w:bookmarkEnd w:id="111"/>
      <w:bookmarkEnd w:id="112"/>
      <w:bookmarkEnd w:id="113"/>
      <w:bookmarkEnd w:id="114"/>
    </w:p>
    <w:p w14:paraId="4594BD9A">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1.成交供应商是否提供履约担保：提供。</w:t>
      </w:r>
    </w:p>
    <w:p w14:paraId="763A877F">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2.成交供应商提供履约担保的形式、金额及期限：</w:t>
      </w:r>
    </w:p>
    <w:p w14:paraId="3E6D0913">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bookmarkStart w:id="115" w:name="OLE_LINK43"/>
      <w:bookmarkStart w:id="116" w:name="OLE_LINK44"/>
      <w:r>
        <w:rPr>
          <w:rFonts w:hint="eastAsia" w:ascii="宋体" w:hAnsi="宋体" w:eastAsia="宋体" w:cs="宋体"/>
          <w:color w:val="auto"/>
        </w:rPr>
        <w:t>（1）履约担保的形式：以支票、汇票、本票或者金融机构、担保机构出具的保函等非现金形式提交。</w:t>
      </w:r>
    </w:p>
    <w:p w14:paraId="7801F424">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2）具体要求：履约保函的开立人应当是具有相应资格的银行、保险机构、融资担保公司，其信用资质、履约能力、担保能力、赔付流程、安全保密等应符合履约保函业务条件。履约保函应合法合规，符合行业主管部门和金融监管等部门的相关规定，满足竞争性</w:t>
      </w:r>
      <w:r>
        <w:rPr>
          <w:rFonts w:hint="eastAsia" w:cs="宋体"/>
          <w:color w:val="auto"/>
          <w:lang w:val="en-US" w:eastAsia="zh-CN"/>
        </w:rPr>
        <w:t>比选</w:t>
      </w:r>
      <w:r>
        <w:rPr>
          <w:rFonts w:hint="eastAsia" w:ascii="宋体" w:hAnsi="宋体" w:eastAsia="宋体" w:cs="宋体"/>
          <w:color w:val="auto"/>
        </w:rPr>
        <w:t>文件约定要求。成交供应商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成交供应商对所提交的履约保函的真实性、合法性、有效性负责。</w:t>
      </w:r>
    </w:p>
    <w:bookmarkEnd w:id="115"/>
    <w:bookmarkEnd w:id="116"/>
    <w:p w14:paraId="7E000BE6">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（3）履约担保的金额：成交合同金额的10%。</w:t>
      </w:r>
    </w:p>
    <w:p w14:paraId="62D57C73">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（4）履约担保的提交时间：</w:t>
      </w:r>
      <w:bookmarkStart w:id="117" w:name="OLE_LINK39"/>
      <w:bookmarkStart w:id="118" w:name="OLE_LINK40"/>
      <w:r>
        <w:rPr>
          <w:rFonts w:hint="eastAsia" w:ascii="宋体" w:hAnsi="宋体" w:eastAsia="宋体" w:cs="宋体"/>
          <w:color w:val="auto"/>
        </w:rPr>
        <w:t>详见第六篇</w:t>
      </w:r>
      <w:bookmarkEnd w:id="117"/>
      <w:bookmarkEnd w:id="118"/>
      <w:r>
        <w:rPr>
          <w:rFonts w:hint="eastAsia" w:ascii="宋体" w:hAnsi="宋体" w:eastAsia="宋体" w:cs="宋体"/>
          <w:color w:val="auto"/>
        </w:rPr>
        <w:t>。</w:t>
      </w:r>
    </w:p>
    <w:p w14:paraId="33143865">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（5）履约担保的期限：详见第六篇。</w:t>
      </w:r>
    </w:p>
    <w:p w14:paraId="29C454C2">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bookmarkStart w:id="119" w:name="_Toc187249071"/>
      <w:bookmarkStart w:id="120" w:name="_Toc194929830"/>
      <w:bookmarkStart w:id="121" w:name="_Toc194928401"/>
      <w:bookmarkStart w:id="122" w:name="_Toc190705778"/>
      <w:r>
        <w:rPr>
          <w:rFonts w:hint="eastAsia" w:ascii="宋体" w:hAnsi="宋体" w:eastAsia="宋体" w:cs="宋体"/>
          <w:color w:val="auto"/>
        </w:rPr>
        <w:t>（6）履约担保的退还时间：详见第六篇。</w:t>
      </w:r>
      <w:bookmarkEnd w:id="119"/>
      <w:bookmarkEnd w:id="120"/>
      <w:bookmarkEnd w:id="121"/>
      <w:bookmarkEnd w:id="122"/>
    </w:p>
    <w:p w14:paraId="2EA4A41A">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若成交供应商未按要求递交履约保证金的，采购人有权取消其成交资格。</w:t>
      </w:r>
    </w:p>
    <w:p w14:paraId="6BF456B0">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bookmarkStart w:id="123" w:name="_Toc194928402"/>
      <w:bookmarkStart w:id="124" w:name="_Toc190705779"/>
      <w:bookmarkStart w:id="125" w:name="_Toc187249072"/>
      <w:bookmarkStart w:id="126" w:name="_Toc194929831"/>
      <w:r>
        <w:rPr>
          <w:rFonts w:hint="eastAsia" w:ascii="宋体" w:hAnsi="宋体" w:eastAsia="宋体" w:cs="宋体"/>
          <w:color w:val="auto"/>
        </w:rPr>
        <w:t>（二）付款方式</w:t>
      </w:r>
      <w:bookmarkEnd w:id="123"/>
      <w:bookmarkEnd w:id="124"/>
      <w:bookmarkEnd w:id="125"/>
      <w:bookmarkEnd w:id="126"/>
    </w:p>
    <w:p w14:paraId="009409FF">
      <w:pPr>
        <w:pageBreakBefore w:val="0"/>
        <w:kinsoku/>
        <w:overflowPunct/>
        <w:topLinePunct w:val="0"/>
        <w:bidi w:val="0"/>
        <w:spacing w:line="336"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本工程竣工验收合格且</w:t>
      </w:r>
      <w:r>
        <w:rPr>
          <w:rFonts w:hint="eastAsia" w:cs="宋体"/>
          <w:b/>
          <w:bCs/>
          <w:color w:val="auto"/>
          <w:highlight w:val="none"/>
          <w:lang w:val="en-US" w:eastAsia="zh-CN"/>
        </w:rPr>
        <w:t>上级主管部门结算审计</w:t>
      </w:r>
      <w:r>
        <w:rPr>
          <w:rFonts w:hint="eastAsia" w:ascii="宋体" w:hAnsi="宋体" w:eastAsia="宋体" w:cs="宋体"/>
          <w:b/>
          <w:bCs/>
          <w:color w:val="auto"/>
          <w:highlight w:val="none"/>
        </w:rPr>
        <w:t>结束后，由成交供应商向采购人支付结算审定总额的3%作为质保金，并提供足额的正规发票后，采购人再支付至结算审定总额的100%给成交供应商。本工程缺陷责任期为两年。</w:t>
      </w:r>
    </w:p>
    <w:bookmarkEnd w:id="90"/>
    <w:p w14:paraId="4A501B55">
      <w:pPr>
        <w:keepNext w:val="0"/>
        <w:keepLines w:val="0"/>
        <w:pageBreakBefore w:val="0"/>
        <w:widowControl/>
        <w:kinsoku/>
        <w:wordWrap/>
        <w:overflowPunct/>
        <w:topLinePunct w:val="0"/>
        <w:autoSpaceDE/>
        <w:autoSpaceDN/>
        <w:bidi w:val="0"/>
        <w:adjustRightInd/>
        <w:snapToGrid/>
        <w:spacing w:line="336" w:lineRule="auto"/>
        <w:textAlignment w:val="auto"/>
        <w:outlineLvl w:val="1"/>
        <w:rPr>
          <w:rFonts w:hint="eastAsia" w:ascii="宋体" w:hAnsi="宋体" w:eastAsia="宋体" w:cs="宋体"/>
          <w:b/>
          <w:bCs/>
          <w:color w:val="auto"/>
        </w:rPr>
      </w:pPr>
      <w:bookmarkStart w:id="127" w:name="_Toc194929832"/>
      <w:bookmarkStart w:id="128" w:name="_Toc76462331"/>
      <w:bookmarkStart w:id="129" w:name="_Toc27457"/>
      <w:bookmarkStart w:id="130" w:name="_Toc190705780"/>
      <w:r>
        <w:rPr>
          <w:rFonts w:hint="eastAsia" w:ascii="宋体" w:hAnsi="宋体" w:eastAsia="宋体" w:cs="宋体"/>
          <w:b/>
          <w:bCs/>
          <w:color w:val="auto"/>
        </w:rPr>
        <w:t>七、其他</w:t>
      </w:r>
      <w:bookmarkEnd w:id="127"/>
      <w:bookmarkEnd w:id="128"/>
      <w:bookmarkEnd w:id="129"/>
      <w:bookmarkEnd w:id="130"/>
    </w:p>
    <w:p w14:paraId="6097CBF8">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（一）成交供应商要按竞争性</w:t>
      </w:r>
      <w:r>
        <w:rPr>
          <w:rFonts w:hint="eastAsia" w:ascii="宋体" w:hAnsi="宋体" w:eastAsia="宋体" w:cs="宋体"/>
          <w:color w:val="auto"/>
          <w:lang w:val="en-US" w:eastAsia="zh-CN"/>
        </w:rPr>
        <w:t>比选</w:t>
      </w:r>
      <w:r>
        <w:rPr>
          <w:rFonts w:hint="eastAsia" w:ascii="宋体" w:hAnsi="宋体" w:eastAsia="宋体" w:cs="宋体"/>
          <w:color w:val="auto"/>
        </w:rPr>
        <w:t>文件的工期制定详细的施工方案，明确重要节点的时间安排，并与采购人签订补充协议。因成交供应商原因导致施工节点进度延误超过5天的，采购人有权与成交供应商解除合同。</w:t>
      </w:r>
    </w:p>
    <w:p w14:paraId="7BFB86AC">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w:t>
      </w:r>
      <w:r>
        <w:rPr>
          <w:rFonts w:hint="eastAsia" w:cs="宋体"/>
          <w:color w:val="auto"/>
          <w:lang w:val="en-US" w:eastAsia="zh-CN"/>
        </w:rPr>
        <w:t>二</w:t>
      </w:r>
      <w:r>
        <w:rPr>
          <w:rFonts w:hint="eastAsia" w:ascii="宋体" w:hAnsi="宋体" w:eastAsia="宋体" w:cs="宋体"/>
          <w:color w:val="auto"/>
        </w:rPr>
        <w:t>）成交供应商必须按照国家相关规定和采购人的要求进行施工，否则视为成交供应商违约；采购人有权取消或增加本工程施工内容，成交供应商不得因施工内容的取消或增加向采购人进行索赔。</w:t>
      </w:r>
    </w:p>
    <w:p w14:paraId="13468EE2">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w:t>
      </w:r>
      <w:r>
        <w:rPr>
          <w:rFonts w:hint="eastAsia" w:cs="宋体"/>
          <w:color w:val="auto"/>
          <w:lang w:val="en-US" w:eastAsia="zh-CN"/>
        </w:rPr>
        <w:t>三</w:t>
      </w:r>
      <w:r>
        <w:rPr>
          <w:rFonts w:hint="eastAsia" w:ascii="宋体" w:hAnsi="宋体" w:eastAsia="宋体" w:cs="宋体"/>
          <w:color w:val="auto"/>
        </w:rPr>
        <w:t>）成交供应商须负责将施工全过程中相关工程资料及时备份，并交采购人留存。</w:t>
      </w:r>
    </w:p>
    <w:p w14:paraId="6FB328EF">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w:t>
      </w:r>
      <w:r>
        <w:rPr>
          <w:rFonts w:hint="eastAsia" w:cs="宋体"/>
          <w:color w:val="auto"/>
          <w:lang w:val="en-US" w:eastAsia="zh-CN"/>
        </w:rPr>
        <w:t>四</w:t>
      </w:r>
      <w:r>
        <w:rPr>
          <w:rFonts w:hint="eastAsia" w:ascii="宋体" w:hAnsi="宋体" w:eastAsia="宋体" w:cs="宋体"/>
          <w:color w:val="auto"/>
        </w:rPr>
        <w:t>）成交供应商在申请进度款时，须向采购人提供上月农民工工资支付凭证和当月应支付的农民工工资款发放名单及进出施工现场的相关佐证资料。</w:t>
      </w:r>
    </w:p>
    <w:p w14:paraId="47363FC7">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w:t>
      </w:r>
      <w:r>
        <w:rPr>
          <w:rFonts w:hint="eastAsia" w:cs="宋体"/>
          <w:color w:val="auto"/>
          <w:lang w:val="en-US" w:eastAsia="zh-CN"/>
        </w:rPr>
        <w:t>五</w:t>
      </w:r>
      <w:r>
        <w:rPr>
          <w:rFonts w:hint="eastAsia" w:ascii="宋体" w:hAnsi="宋体" w:eastAsia="宋体" w:cs="宋体"/>
          <w:color w:val="auto"/>
        </w:rPr>
        <w:t>）本项目在实施过程中，成交供应商须按照国家相关法律法规办理农民工工资专用账户。</w:t>
      </w:r>
    </w:p>
    <w:p w14:paraId="07397EF4">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w:t>
      </w:r>
      <w:r>
        <w:rPr>
          <w:rFonts w:hint="eastAsia" w:cs="宋体"/>
          <w:color w:val="auto"/>
          <w:lang w:val="en-US" w:eastAsia="zh-CN"/>
        </w:rPr>
        <w:t>六</w:t>
      </w:r>
      <w:r>
        <w:rPr>
          <w:rFonts w:hint="eastAsia" w:ascii="宋体" w:hAnsi="宋体" w:eastAsia="宋体" w:cs="宋体"/>
          <w:color w:val="auto"/>
        </w:rPr>
        <w:t>）其他未尽事宜由供需双方在采购合同中详细约定。</w:t>
      </w:r>
    </w:p>
    <w:p w14:paraId="4D49755A">
      <w:pPr>
        <w:pStyle w:val="4"/>
        <w:pageBreakBefore w:val="0"/>
        <w:kinsoku/>
        <w:overflowPunct/>
        <w:topLinePunct w:val="0"/>
        <w:bidi w:val="0"/>
        <w:spacing w:before="0" w:after="0" w:line="336" w:lineRule="auto"/>
        <w:textAlignment w:val="auto"/>
        <w:rPr>
          <w:rFonts w:hint="eastAsia" w:ascii="宋体" w:hAnsi="宋体" w:eastAsia="宋体" w:cs="宋体"/>
          <w:color w:val="auto"/>
          <w:sz w:val="24"/>
          <w:szCs w:val="24"/>
          <w:lang w:eastAsia="zh-CN"/>
        </w:rPr>
      </w:pPr>
    </w:p>
    <w:p w14:paraId="001E31ED">
      <w:pPr>
        <w:pStyle w:val="4"/>
        <w:pageBreakBefore w:val="0"/>
        <w:kinsoku/>
        <w:overflowPunct/>
        <w:topLinePunct w:val="0"/>
        <w:bidi w:val="0"/>
        <w:spacing w:before="0" w:after="0" w:line="336" w:lineRule="auto"/>
        <w:textAlignment w:val="auto"/>
        <w:rPr>
          <w:rFonts w:hint="eastAsia" w:ascii="宋体" w:hAnsi="宋体" w:eastAsia="宋体" w:cs="宋体"/>
          <w:color w:val="auto"/>
          <w:sz w:val="24"/>
          <w:szCs w:val="24"/>
        </w:rPr>
      </w:pPr>
    </w:p>
    <w:p w14:paraId="67F9D7A4">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bookmarkEnd w:id="71"/>
    <w:bookmarkEnd w:id="72"/>
    <w:bookmarkEnd w:id="73"/>
    <w:p w14:paraId="13592935">
      <w:pPr>
        <w:pStyle w:val="7"/>
        <w:keepNext w:val="0"/>
        <w:keepLines w:val="0"/>
        <w:pageBreakBefore w:val="0"/>
        <w:widowControl/>
        <w:kinsoku/>
        <w:wordWrap/>
        <w:overflowPunct/>
        <w:topLinePunct w:val="0"/>
        <w:autoSpaceDE/>
        <w:autoSpaceDN/>
        <w:bidi w:val="0"/>
        <w:adjustRightInd/>
        <w:snapToGrid/>
        <w:spacing w:line="336" w:lineRule="auto"/>
        <w:jc w:val="center"/>
        <w:textAlignment w:val="auto"/>
        <w:outlineLvl w:val="0"/>
        <w:rPr>
          <w:rFonts w:hint="eastAsia" w:ascii="宋体" w:hAnsi="宋体" w:eastAsia="宋体" w:cs="宋体"/>
          <w:b/>
          <w:bCs w:val="0"/>
          <w:color w:val="auto"/>
        </w:rPr>
      </w:pPr>
      <w:bookmarkStart w:id="131" w:name="_Toc7915"/>
      <w:bookmarkStart w:id="132" w:name="_Toc27641"/>
      <w:bookmarkStart w:id="133" w:name="_Toc31761"/>
      <w:r>
        <w:rPr>
          <w:rFonts w:hint="eastAsia" w:ascii="宋体" w:hAnsi="宋体" w:eastAsia="宋体" w:cs="宋体"/>
          <w:b/>
          <w:bCs w:val="0"/>
          <w:sz w:val="36"/>
          <w:szCs w:val="30"/>
        </w:rPr>
        <w:t>第四篇  竞选程序及方法、评审标准、无效响应和</w:t>
      </w:r>
      <w:r>
        <w:rPr>
          <w:rFonts w:hint="eastAsia" w:ascii="宋体" w:hAnsi="宋体" w:eastAsia="宋体" w:cs="宋体"/>
          <w:b/>
          <w:bCs w:val="0"/>
          <w:sz w:val="36"/>
          <w:szCs w:val="36"/>
        </w:rPr>
        <w:t>采购终止</w:t>
      </w:r>
      <w:bookmarkEnd w:id="131"/>
      <w:bookmarkEnd w:id="132"/>
      <w:bookmarkEnd w:id="133"/>
    </w:p>
    <w:p w14:paraId="1F96A9B1">
      <w:pPr>
        <w:pStyle w:val="3"/>
        <w:keepNext/>
        <w:keepLines/>
        <w:pageBreakBefore w:val="0"/>
        <w:widowControl/>
        <w:kinsoku/>
        <w:wordWrap/>
        <w:overflowPunct/>
        <w:topLinePunct w:val="0"/>
        <w:autoSpaceDE/>
        <w:autoSpaceDN/>
        <w:bidi w:val="0"/>
        <w:adjustRightInd/>
        <w:snapToGrid w:val="0"/>
        <w:spacing w:before="0" w:after="0" w:line="360" w:lineRule="auto"/>
        <w:textAlignment w:val="auto"/>
        <w:outlineLvl w:val="1"/>
        <w:rPr>
          <w:rFonts w:hint="eastAsia" w:ascii="宋体" w:hAnsi="宋体" w:eastAsia="宋体" w:cs="宋体"/>
          <w:sz w:val="28"/>
          <w:szCs w:val="28"/>
        </w:rPr>
      </w:pPr>
      <w:bookmarkStart w:id="134" w:name="_Toc12773"/>
      <w:bookmarkStart w:id="135" w:name="_Toc30577"/>
      <w:bookmarkStart w:id="136" w:name="_Toc25334"/>
      <w:r>
        <w:rPr>
          <w:rFonts w:hint="eastAsia" w:ascii="宋体" w:hAnsi="宋体" w:eastAsia="宋体" w:cs="宋体"/>
          <w:sz w:val="28"/>
          <w:szCs w:val="28"/>
        </w:rPr>
        <w:t>一、竞选程序及方法</w:t>
      </w:r>
      <w:bookmarkEnd w:id="134"/>
      <w:bookmarkEnd w:id="135"/>
      <w:bookmarkEnd w:id="136"/>
    </w:p>
    <w:p w14:paraId="559C9941">
      <w:pPr>
        <w:snapToGrid w:val="0"/>
        <w:spacing w:line="360" w:lineRule="auto"/>
        <w:ind w:firstLine="480" w:firstLineChars="200"/>
        <w:rPr>
          <w:rFonts w:hint="eastAsia" w:ascii="宋体" w:hAnsi="宋体" w:eastAsia="宋体" w:cs="宋体"/>
          <w:szCs w:val="28"/>
        </w:rPr>
      </w:pPr>
      <w:r>
        <w:rPr>
          <w:rFonts w:hint="eastAsia" w:ascii="宋体" w:hAnsi="宋体" w:eastAsia="宋体" w:cs="宋体"/>
          <w:szCs w:val="28"/>
        </w:rPr>
        <w:t>（一）竞选按竞争性比选文件规定的时间和地点进行，</w:t>
      </w:r>
      <w:r>
        <w:rPr>
          <w:rFonts w:hint="eastAsia" w:ascii="宋体" w:hAnsi="宋体" w:eastAsia="宋体" w:cs="宋体"/>
          <w:szCs w:val="28"/>
          <w:lang w:val="en-US" w:eastAsia="zh-CN"/>
        </w:rPr>
        <w:t>供应商</w:t>
      </w:r>
      <w:r>
        <w:rPr>
          <w:rFonts w:hint="eastAsia" w:ascii="宋体" w:hAnsi="宋体" w:eastAsia="宋体" w:cs="宋体"/>
          <w:szCs w:val="28"/>
        </w:rPr>
        <w:t>须有法定代表人（或其授权代表）或自然人参加并签到。</w:t>
      </w:r>
    </w:p>
    <w:p w14:paraId="20F74C8A">
      <w:pPr>
        <w:snapToGrid w:val="0"/>
        <w:spacing w:line="360" w:lineRule="auto"/>
        <w:ind w:firstLine="480" w:firstLineChars="200"/>
        <w:rPr>
          <w:rFonts w:hint="eastAsia" w:ascii="宋体" w:hAnsi="宋体" w:eastAsia="宋体" w:cs="宋体"/>
          <w:szCs w:val="28"/>
        </w:rPr>
      </w:pPr>
      <w:r>
        <w:rPr>
          <w:rFonts w:hint="eastAsia" w:ascii="宋体" w:hAnsi="宋体" w:eastAsia="宋体" w:cs="宋体"/>
          <w:szCs w:val="28"/>
        </w:rPr>
        <w:t>（二）比选评审小组对各</w:t>
      </w:r>
      <w:r>
        <w:rPr>
          <w:rFonts w:hint="eastAsia" w:ascii="宋体" w:hAnsi="宋体" w:eastAsia="宋体" w:cs="宋体"/>
          <w:szCs w:val="28"/>
          <w:lang w:val="en-US" w:eastAsia="zh-CN"/>
        </w:rPr>
        <w:t>供应商</w:t>
      </w:r>
      <w:r>
        <w:rPr>
          <w:rFonts w:hint="eastAsia" w:ascii="宋体" w:hAnsi="宋体" w:eastAsia="宋体" w:cs="宋体"/>
          <w:szCs w:val="28"/>
        </w:rPr>
        <w:t>的资格条件、</w:t>
      </w:r>
      <w:r>
        <w:rPr>
          <w:rFonts w:hint="eastAsia" w:ascii="宋体" w:hAnsi="宋体" w:eastAsia="宋体" w:cs="宋体"/>
          <w:szCs w:val="28"/>
          <w:lang w:val="en-US" w:eastAsia="zh-CN"/>
        </w:rPr>
        <w:t>响应</w:t>
      </w:r>
      <w:r>
        <w:rPr>
          <w:rFonts w:hint="eastAsia" w:ascii="宋体" w:hAnsi="宋体" w:eastAsia="宋体" w:cs="宋体"/>
          <w:szCs w:val="28"/>
        </w:rPr>
        <w:t>文件的有效性、完整性和响应程度进行审查。各</w:t>
      </w:r>
      <w:r>
        <w:rPr>
          <w:rFonts w:hint="eastAsia" w:ascii="宋体" w:hAnsi="宋体" w:eastAsia="宋体" w:cs="宋体"/>
          <w:szCs w:val="28"/>
          <w:lang w:val="en-US" w:eastAsia="zh-CN"/>
        </w:rPr>
        <w:t>供应商</w:t>
      </w:r>
      <w:r>
        <w:rPr>
          <w:rFonts w:hint="eastAsia" w:ascii="宋体" w:hAnsi="宋体" w:eastAsia="宋体" w:cs="宋体"/>
          <w:szCs w:val="28"/>
        </w:rPr>
        <w:t>只有在完全符合要求的前提下，才能参与正式</w:t>
      </w:r>
      <w:r>
        <w:rPr>
          <w:rFonts w:hint="eastAsia" w:ascii="宋体" w:hAnsi="宋体" w:eastAsia="宋体" w:cs="宋体"/>
          <w:szCs w:val="28"/>
          <w:lang w:val="en-US" w:eastAsia="zh-CN"/>
        </w:rPr>
        <w:t>比选</w:t>
      </w:r>
      <w:r>
        <w:rPr>
          <w:rFonts w:hint="eastAsia" w:ascii="宋体" w:hAnsi="宋体" w:eastAsia="宋体" w:cs="宋体"/>
          <w:szCs w:val="28"/>
        </w:rPr>
        <w:t>。</w:t>
      </w:r>
    </w:p>
    <w:p w14:paraId="230A5A23">
      <w:pPr>
        <w:snapToGrid w:val="0"/>
        <w:spacing w:line="360" w:lineRule="auto"/>
        <w:ind w:firstLine="480" w:firstLineChars="200"/>
        <w:rPr>
          <w:rFonts w:hint="eastAsia" w:ascii="宋体" w:hAnsi="宋体" w:eastAsia="宋体" w:cs="宋体"/>
          <w:kern w:val="0"/>
          <w:szCs w:val="28"/>
        </w:rPr>
      </w:pPr>
      <w:r>
        <w:rPr>
          <w:rFonts w:hint="eastAsia" w:ascii="宋体" w:hAnsi="宋体" w:eastAsia="宋体" w:cs="宋体"/>
          <w:szCs w:val="28"/>
        </w:rPr>
        <w:t>1、</w:t>
      </w:r>
      <w:r>
        <w:rPr>
          <w:rFonts w:hint="eastAsia" w:ascii="宋体" w:hAnsi="宋体" w:eastAsia="宋体" w:cs="宋体"/>
          <w:kern w:val="0"/>
          <w:szCs w:val="28"/>
        </w:rPr>
        <w:t>资格性审查。依据法律法规和竞争性比选文件的规定，对</w:t>
      </w:r>
      <w:r>
        <w:rPr>
          <w:rFonts w:hint="eastAsia" w:ascii="宋体" w:hAnsi="宋体" w:eastAsia="宋体" w:cs="宋体"/>
          <w:szCs w:val="28"/>
          <w:lang w:val="en-US" w:eastAsia="zh-CN"/>
        </w:rPr>
        <w:t>响应</w:t>
      </w:r>
      <w:r>
        <w:rPr>
          <w:rFonts w:hint="eastAsia" w:ascii="宋体" w:hAnsi="宋体" w:eastAsia="宋体" w:cs="宋体"/>
          <w:szCs w:val="28"/>
        </w:rPr>
        <w:t>文件</w:t>
      </w:r>
      <w:r>
        <w:rPr>
          <w:rFonts w:hint="eastAsia" w:ascii="宋体" w:hAnsi="宋体" w:eastAsia="宋体" w:cs="宋体"/>
          <w:kern w:val="0"/>
          <w:szCs w:val="28"/>
        </w:rPr>
        <w:t>中的资格证明等进行审查，以确定</w:t>
      </w:r>
      <w:r>
        <w:rPr>
          <w:rFonts w:hint="eastAsia" w:ascii="宋体" w:hAnsi="宋体" w:eastAsia="宋体" w:cs="宋体"/>
          <w:kern w:val="0"/>
          <w:szCs w:val="28"/>
          <w:lang w:val="en-US" w:eastAsia="zh-CN"/>
        </w:rPr>
        <w:t>供应商</w:t>
      </w:r>
      <w:r>
        <w:rPr>
          <w:rFonts w:hint="eastAsia" w:ascii="宋体" w:hAnsi="宋体" w:eastAsia="宋体" w:cs="宋体"/>
          <w:kern w:val="0"/>
          <w:szCs w:val="28"/>
        </w:rPr>
        <w:t>是否具备竞选资格。资格性审查资料表如下：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462"/>
        <w:gridCol w:w="4781"/>
      </w:tblGrid>
      <w:tr w14:paraId="47F6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76" w:type="dxa"/>
            <w:noWrap w:val="0"/>
            <w:vAlign w:val="center"/>
          </w:tcPr>
          <w:p w14:paraId="72E2BC75">
            <w:pPr>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4171" w:type="dxa"/>
            <w:gridSpan w:val="2"/>
            <w:noWrap w:val="0"/>
            <w:vAlign w:val="center"/>
          </w:tcPr>
          <w:p w14:paraId="19E6F4BE">
            <w:pPr>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检查因素</w:t>
            </w:r>
          </w:p>
        </w:tc>
        <w:tc>
          <w:tcPr>
            <w:tcW w:w="4781" w:type="dxa"/>
            <w:noWrap w:val="0"/>
            <w:vAlign w:val="center"/>
          </w:tcPr>
          <w:p w14:paraId="40E84452">
            <w:pPr>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检查内容</w:t>
            </w:r>
          </w:p>
        </w:tc>
      </w:tr>
      <w:tr w14:paraId="2C0D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trPr>
        <w:tc>
          <w:tcPr>
            <w:tcW w:w="676" w:type="dxa"/>
            <w:vMerge w:val="restart"/>
            <w:noWrap w:val="0"/>
            <w:vAlign w:val="center"/>
          </w:tcPr>
          <w:p w14:paraId="62FC2897">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709" w:type="dxa"/>
            <w:vMerge w:val="restart"/>
            <w:noWrap w:val="0"/>
            <w:vAlign w:val="center"/>
          </w:tcPr>
          <w:p w14:paraId="3B4F86C6">
            <w:pPr>
              <w:spacing w:line="320" w:lineRule="exact"/>
              <w:rPr>
                <w:rFonts w:hint="eastAsia" w:ascii="宋体" w:hAnsi="宋体" w:eastAsia="宋体" w:cs="宋体"/>
                <w:sz w:val="24"/>
                <w:szCs w:val="24"/>
                <w:lang w:val="zh-CN"/>
              </w:rPr>
            </w:pPr>
            <w:r>
              <w:rPr>
                <w:rFonts w:hint="eastAsia" w:ascii="宋体" w:hAnsi="宋体" w:eastAsia="宋体" w:cs="宋体"/>
                <w:sz w:val="24"/>
                <w:szCs w:val="24"/>
                <w:lang w:val="en-US" w:eastAsia="zh-CN"/>
              </w:rPr>
              <w:t>参选供应商</w:t>
            </w:r>
            <w:r>
              <w:rPr>
                <w:rFonts w:hint="eastAsia" w:ascii="宋体" w:hAnsi="宋体" w:eastAsia="宋体" w:cs="宋体"/>
                <w:sz w:val="24"/>
                <w:szCs w:val="24"/>
                <w:lang w:val="zh-CN"/>
              </w:rPr>
              <w:t>应符合的基本资格条件</w:t>
            </w:r>
          </w:p>
        </w:tc>
        <w:tc>
          <w:tcPr>
            <w:tcW w:w="3462" w:type="dxa"/>
            <w:noWrap w:val="0"/>
            <w:vAlign w:val="center"/>
          </w:tcPr>
          <w:p w14:paraId="619CA6CE">
            <w:pPr>
              <w:spacing w:line="320" w:lineRule="exact"/>
              <w:rPr>
                <w:rFonts w:hint="eastAsia" w:ascii="宋体" w:hAnsi="宋体" w:eastAsia="宋体" w:cs="宋体"/>
                <w:sz w:val="24"/>
                <w:szCs w:val="24"/>
              </w:rPr>
            </w:pPr>
            <w:r>
              <w:rPr>
                <w:rFonts w:hint="eastAsia" w:ascii="宋体" w:hAnsi="宋体" w:eastAsia="宋体" w:cs="宋体"/>
                <w:sz w:val="24"/>
                <w:szCs w:val="24"/>
              </w:rPr>
              <w:t>（1）具有独立承担民事责任的能力</w:t>
            </w:r>
          </w:p>
        </w:tc>
        <w:tc>
          <w:tcPr>
            <w:tcW w:w="4781" w:type="dxa"/>
            <w:noWrap w:val="0"/>
            <w:vAlign w:val="center"/>
          </w:tcPr>
          <w:p w14:paraId="36DF83D9">
            <w:pPr>
              <w:spacing w:line="3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法人营业执照（副本）或事业单位法人证书（副本）或个体工商户营业执照或有效的自然人身份证明或社会团体法人登记证书（提供复印件）。 </w:t>
            </w:r>
          </w:p>
          <w:p w14:paraId="5A1EE418">
            <w:pPr>
              <w:spacing w:line="32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供应商</w:t>
            </w:r>
            <w:r>
              <w:rPr>
                <w:rFonts w:hint="eastAsia" w:ascii="宋体" w:hAnsi="宋体" w:eastAsia="宋体" w:cs="宋体"/>
                <w:sz w:val="24"/>
                <w:szCs w:val="24"/>
              </w:rPr>
              <w:t>法定代表人身份证明和法定代表人授权代表委托书。</w:t>
            </w:r>
          </w:p>
        </w:tc>
      </w:tr>
      <w:tr w14:paraId="3A23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676" w:type="dxa"/>
            <w:vMerge w:val="continue"/>
            <w:noWrap w:val="0"/>
            <w:vAlign w:val="center"/>
          </w:tcPr>
          <w:p w14:paraId="73791356">
            <w:pPr>
              <w:spacing w:line="320" w:lineRule="exact"/>
              <w:jc w:val="center"/>
              <w:rPr>
                <w:rFonts w:hint="eastAsia" w:ascii="宋体" w:hAnsi="宋体" w:eastAsia="宋体" w:cs="宋体"/>
                <w:sz w:val="24"/>
                <w:szCs w:val="24"/>
              </w:rPr>
            </w:pPr>
          </w:p>
        </w:tc>
        <w:tc>
          <w:tcPr>
            <w:tcW w:w="709" w:type="dxa"/>
            <w:vMerge w:val="continue"/>
            <w:noWrap w:val="0"/>
            <w:vAlign w:val="center"/>
          </w:tcPr>
          <w:p w14:paraId="5C8EBFFA">
            <w:pPr>
              <w:spacing w:line="320" w:lineRule="exact"/>
              <w:rPr>
                <w:rFonts w:hint="eastAsia" w:ascii="宋体" w:hAnsi="宋体" w:eastAsia="宋体" w:cs="宋体"/>
                <w:sz w:val="24"/>
                <w:szCs w:val="24"/>
                <w:lang w:val="zh-CN"/>
              </w:rPr>
            </w:pPr>
          </w:p>
        </w:tc>
        <w:tc>
          <w:tcPr>
            <w:tcW w:w="3462" w:type="dxa"/>
            <w:noWrap w:val="0"/>
            <w:vAlign w:val="center"/>
          </w:tcPr>
          <w:p w14:paraId="7A007F72">
            <w:pPr>
              <w:spacing w:line="320" w:lineRule="exact"/>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具有良好的商业信誉和健全的财务会计制度</w:t>
            </w:r>
          </w:p>
        </w:tc>
        <w:tc>
          <w:tcPr>
            <w:tcW w:w="4781" w:type="dxa"/>
            <w:vMerge w:val="restart"/>
            <w:noWrap w:val="0"/>
            <w:vAlign w:val="center"/>
          </w:tcPr>
          <w:p w14:paraId="16EC608F">
            <w:pPr>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bCs/>
                <w:sz w:val="24"/>
                <w:szCs w:val="24"/>
              </w:rPr>
              <w:t>提供“基本资格条件承诺函”（见格式文件）。</w:t>
            </w:r>
          </w:p>
        </w:tc>
      </w:tr>
      <w:tr w14:paraId="6D7C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76" w:type="dxa"/>
            <w:vMerge w:val="continue"/>
            <w:noWrap w:val="0"/>
            <w:vAlign w:val="center"/>
          </w:tcPr>
          <w:p w14:paraId="38E267C9">
            <w:pPr>
              <w:spacing w:line="320" w:lineRule="exact"/>
              <w:jc w:val="center"/>
              <w:rPr>
                <w:rFonts w:hint="eastAsia" w:ascii="宋体" w:hAnsi="宋体" w:eastAsia="宋体" w:cs="宋体"/>
                <w:sz w:val="24"/>
                <w:szCs w:val="24"/>
              </w:rPr>
            </w:pPr>
          </w:p>
        </w:tc>
        <w:tc>
          <w:tcPr>
            <w:tcW w:w="709" w:type="dxa"/>
            <w:vMerge w:val="continue"/>
            <w:noWrap w:val="0"/>
            <w:vAlign w:val="center"/>
          </w:tcPr>
          <w:p w14:paraId="06A536B3">
            <w:pPr>
              <w:spacing w:line="320" w:lineRule="exact"/>
              <w:rPr>
                <w:rFonts w:hint="eastAsia" w:ascii="宋体" w:hAnsi="宋体" w:eastAsia="宋体" w:cs="宋体"/>
                <w:sz w:val="24"/>
                <w:szCs w:val="24"/>
                <w:lang w:val="zh-CN"/>
              </w:rPr>
            </w:pPr>
          </w:p>
        </w:tc>
        <w:tc>
          <w:tcPr>
            <w:tcW w:w="3462" w:type="dxa"/>
            <w:noWrap w:val="0"/>
            <w:vAlign w:val="center"/>
          </w:tcPr>
          <w:p w14:paraId="64BF0829">
            <w:pPr>
              <w:spacing w:line="320" w:lineRule="exact"/>
              <w:rPr>
                <w:rFonts w:hint="eastAsia" w:ascii="宋体" w:hAnsi="宋体" w:eastAsia="宋体" w:cs="宋体"/>
                <w:sz w:val="24"/>
                <w:szCs w:val="24"/>
                <w:lang w:val="zh-CN"/>
              </w:rPr>
            </w:pPr>
            <w:r>
              <w:rPr>
                <w:rFonts w:hint="eastAsia" w:ascii="宋体" w:hAnsi="宋体" w:eastAsia="宋体" w:cs="宋体"/>
                <w:sz w:val="24"/>
                <w:szCs w:val="24"/>
                <w:lang w:val="zh-CN"/>
              </w:rPr>
              <w:t>（3）具有履行合同所必需的设备和专业技术能力</w:t>
            </w:r>
          </w:p>
        </w:tc>
        <w:tc>
          <w:tcPr>
            <w:tcW w:w="4781" w:type="dxa"/>
            <w:vMerge w:val="continue"/>
            <w:noWrap w:val="0"/>
            <w:vAlign w:val="center"/>
          </w:tcPr>
          <w:p w14:paraId="5BDB0985">
            <w:pPr>
              <w:spacing w:line="320" w:lineRule="exact"/>
              <w:rPr>
                <w:rFonts w:hint="eastAsia" w:ascii="宋体" w:hAnsi="宋体" w:eastAsia="宋体" w:cs="宋体"/>
                <w:sz w:val="24"/>
                <w:szCs w:val="24"/>
              </w:rPr>
            </w:pPr>
          </w:p>
        </w:tc>
      </w:tr>
      <w:tr w14:paraId="12AF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676" w:type="dxa"/>
            <w:vMerge w:val="continue"/>
            <w:noWrap w:val="0"/>
            <w:vAlign w:val="center"/>
          </w:tcPr>
          <w:p w14:paraId="69D08FEA">
            <w:pPr>
              <w:spacing w:line="320" w:lineRule="exact"/>
              <w:jc w:val="center"/>
              <w:rPr>
                <w:rFonts w:hint="eastAsia" w:ascii="宋体" w:hAnsi="宋体" w:eastAsia="宋体" w:cs="宋体"/>
                <w:sz w:val="24"/>
                <w:szCs w:val="24"/>
              </w:rPr>
            </w:pPr>
          </w:p>
        </w:tc>
        <w:tc>
          <w:tcPr>
            <w:tcW w:w="709" w:type="dxa"/>
            <w:vMerge w:val="continue"/>
            <w:noWrap w:val="0"/>
            <w:vAlign w:val="center"/>
          </w:tcPr>
          <w:p w14:paraId="3B8DB609">
            <w:pPr>
              <w:spacing w:line="320" w:lineRule="exact"/>
              <w:rPr>
                <w:rFonts w:hint="eastAsia" w:ascii="宋体" w:hAnsi="宋体" w:eastAsia="宋体" w:cs="宋体"/>
                <w:sz w:val="24"/>
                <w:szCs w:val="24"/>
                <w:lang w:val="zh-CN"/>
              </w:rPr>
            </w:pPr>
          </w:p>
        </w:tc>
        <w:tc>
          <w:tcPr>
            <w:tcW w:w="3462" w:type="dxa"/>
            <w:noWrap w:val="0"/>
            <w:vAlign w:val="center"/>
          </w:tcPr>
          <w:p w14:paraId="149BD067">
            <w:pPr>
              <w:spacing w:line="320" w:lineRule="exact"/>
              <w:rPr>
                <w:rFonts w:hint="eastAsia" w:ascii="宋体" w:hAnsi="宋体" w:eastAsia="宋体" w:cs="宋体"/>
                <w:sz w:val="24"/>
                <w:szCs w:val="24"/>
                <w:lang w:val="zh-CN"/>
              </w:rPr>
            </w:pPr>
            <w:r>
              <w:rPr>
                <w:rFonts w:hint="eastAsia" w:ascii="宋体" w:hAnsi="宋体" w:eastAsia="宋体" w:cs="宋体"/>
                <w:sz w:val="24"/>
                <w:szCs w:val="24"/>
                <w:lang w:val="zh-CN"/>
              </w:rPr>
              <w:t>（4）有依法缴纳税收和社会保障资金的良好记录</w:t>
            </w:r>
          </w:p>
        </w:tc>
        <w:tc>
          <w:tcPr>
            <w:tcW w:w="4781" w:type="dxa"/>
            <w:vMerge w:val="continue"/>
            <w:noWrap w:val="0"/>
            <w:vAlign w:val="center"/>
          </w:tcPr>
          <w:p w14:paraId="2D4EE90E">
            <w:pPr>
              <w:spacing w:line="320" w:lineRule="exact"/>
              <w:rPr>
                <w:rFonts w:hint="eastAsia" w:ascii="宋体" w:hAnsi="宋体" w:eastAsia="宋体" w:cs="宋体"/>
                <w:sz w:val="24"/>
                <w:szCs w:val="24"/>
              </w:rPr>
            </w:pPr>
          </w:p>
        </w:tc>
      </w:tr>
      <w:tr w14:paraId="443C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76" w:type="dxa"/>
            <w:vMerge w:val="continue"/>
            <w:noWrap w:val="0"/>
            <w:vAlign w:val="center"/>
          </w:tcPr>
          <w:p w14:paraId="116B6693">
            <w:pPr>
              <w:spacing w:line="320" w:lineRule="exact"/>
              <w:jc w:val="center"/>
              <w:rPr>
                <w:rFonts w:hint="eastAsia" w:ascii="宋体" w:hAnsi="宋体" w:eastAsia="宋体" w:cs="宋体"/>
                <w:sz w:val="24"/>
                <w:szCs w:val="24"/>
              </w:rPr>
            </w:pPr>
          </w:p>
        </w:tc>
        <w:tc>
          <w:tcPr>
            <w:tcW w:w="709" w:type="dxa"/>
            <w:vMerge w:val="continue"/>
            <w:noWrap w:val="0"/>
            <w:vAlign w:val="center"/>
          </w:tcPr>
          <w:p w14:paraId="3E644448">
            <w:pPr>
              <w:spacing w:line="320" w:lineRule="exact"/>
              <w:rPr>
                <w:rFonts w:hint="eastAsia" w:ascii="宋体" w:hAnsi="宋体" w:eastAsia="宋体" w:cs="宋体"/>
                <w:sz w:val="24"/>
                <w:szCs w:val="24"/>
                <w:lang w:val="zh-CN"/>
              </w:rPr>
            </w:pPr>
          </w:p>
        </w:tc>
        <w:tc>
          <w:tcPr>
            <w:tcW w:w="3462" w:type="dxa"/>
            <w:noWrap w:val="0"/>
            <w:vAlign w:val="center"/>
          </w:tcPr>
          <w:p w14:paraId="435877F1">
            <w:pPr>
              <w:spacing w:line="320" w:lineRule="exact"/>
              <w:rPr>
                <w:rFonts w:hint="eastAsia" w:ascii="宋体" w:hAnsi="宋体" w:eastAsia="宋体" w:cs="宋体"/>
                <w:sz w:val="24"/>
                <w:szCs w:val="24"/>
                <w:lang w:val="zh-CN"/>
              </w:rPr>
            </w:pPr>
            <w:r>
              <w:rPr>
                <w:rFonts w:hint="eastAsia" w:ascii="宋体" w:hAnsi="宋体" w:eastAsia="宋体" w:cs="宋体"/>
                <w:sz w:val="24"/>
                <w:szCs w:val="24"/>
              </w:rPr>
              <w:t>（5）参加政府采购活动前三年内，在经营活动中没有重大违法记录</w:t>
            </w:r>
          </w:p>
        </w:tc>
        <w:tc>
          <w:tcPr>
            <w:tcW w:w="4781" w:type="dxa"/>
            <w:vMerge w:val="continue"/>
            <w:noWrap w:val="0"/>
            <w:vAlign w:val="center"/>
          </w:tcPr>
          <w:p w14:paraId="2A1847B1">
            <w:pPr>
              <w:rPr>
                <w:rFonts w:hint="eastAsia" w:ascii="宋体" w:hAnsi="宋体" w:eastAsia="宋体" w:cs="宋体"/>
                <w:sz w:val="24"/>
                <w:szCs w:val="24"/>
              </w:rPr>
            </w:pPr>
          </w:p>
        </w:tc>
      </w:tr>
      <w:tr w14:paraId="134C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676" w:type="dxa"/>
            <w:vMerge w:val="continue"/>
            <w:noWrap w:val="0"/>
            <w:vAlign w:val="center"/>
          </w:tcPr>
          <w:p w14:paraId="1745DDDE">
            <w:pPr>
              <w:spacing w:line="320" w:lineRule="exact"/>
              <w:jc w:val="center"/>
              <w:rPr>
                <w:rFonts w:hint="eastAsia" w:ascii="宋体" w:hAnsi="宋体" w:eastAsia="宋体" w:cs="宋体"/>
                <w:sz w:val="24"/>
                <w:szCs w:val="24"/>
              </w:rPr>
            </w:pPr>
          </w:p>
        </w:tc>
        <w:tc>
          <w:tcPr>
            <w:tcW w:w="709" w:type="dxa"/>
            <w:vMerge w:val="continue"/>
            <w:noWrap w:val="0"/>
            <w:vAlign w:val="center"/>
          </w:tcPr>
          <w:p w14:paraId="4D5B8C3B">
            <w:pPr>
              <w:spacing w:line="320" w:lineRule="exact"/>
              <w:rPr>
                <w:rFonts w:hint="eastAsia" w:ascii="宋体" w:hAnsi="宋体" w:eastAsia="宋体" w:cs="宋体"/>
                <w:sz w:val="24"/>
                <w:szCs w:val="24"/>
                <w:lang w:val="zh-CN"/>
              </w:rPr>
            </w:pPr>
          </w:p>
        </w:tc>
        <w:tc>
          <w:tcPr>
            <w:tcW w:w="3462" w:type="dxa"/>
            <w:noWrap w:val="0"/>
            <w:vAlign w:val="center"/>
          </w:tcPr>
          <w:p w14:paraId="19BD2410">
            <w:pPr>
              <w:spacing w:line="320" w:lineRule="exact"/>
              <w:rPr>
                <w:rFonts w:hint="eastAsia" w:ascii="宋体" w:hAnsi="宋体" w:eastAsia="宋体" w:cs="宋体"/>
                <w:sz w:val="24"/>
                <w:szCs w:val="24"/>
              </w:rPr>
            </w:pPr>
            <w:r>
              <w:rPr>
                <w:rFonts w:hint="eastAsia" w:ascii="宋体" w:hAnsi="宋体" w:eastAsia="宋体" w:cs="宋体"/>
                <w:sz w:val="24"/>
                <w:szCs w:val="24"/>
              </w:rPr>
              <w:t>（6）法律、行政法规规定的其他条件</w:t>
            </w:r>
          </w:p>
        </w:tc>
        <w:tc>
          <w:tcPr>
            <w:tcW w:w="4781" w:type="dxa"/>
            <w:vMerge w:val="continue"/>
            <w:noWrap w:val="0"/>
            <w:vAlign w:val="center"/>
          </w:tcPr>
          <w:p w14:paraId="0A162191">
            <w:pPr>
              <w:spacing w:line="320" w:lineRule="exact"/>
              <w:rPr>
                <w:rFonts w:hint="eastAsia" w:ascii="宋体" w:hAnsi="宋体" w:eastAsia="宋体" w:cs="宋体"/>
                <w:sz w:val="24"/>
                <w:szCs w:val="24"/>
              </w:rPr>
            </w:pPr>
          </w:p>
        </w:tc>
      </w:tr>
      <w:tr w14:paraId="33B3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676" w:type="dxa"/>
            <w:vMerge w:val="continue"/>
            <w:noWrap w:val="0"/>
            <w:vAlign w:val="center"/>
          </w:tcPr>
          <w:p w14:paraId="0852DDB3">
            <w:pPr>
              <w:spacing w:line="320" w:lineRule="exact"/>
              <w:jc w:val="center"/>
              <w:rPr>
                <w:rFonts w:hint="eastAsia" w:ascii="宋体" w:hAnsi="宋体" w:eastAsia="宋体" w:cs="宋体"/>
                <w:sz w:val="24"/>
                <w:szCs w:val="24"/>
              </w:rPr>
            </w:pPr>
          </w:p>
        </w:tc>
        <w:tc>
          <w:tcPr>
            <w:tcW w:w="709" w:type="dxa"/>
            <w:vMerge w:val="continue"/>
            <w:noWrap w:val="0"/>
            <w:vAlign w:val="center"/>
          </w:tcPr>
          <w:p w14:paraId="2E58667C">
            <w:pPr>
              <w:spacing w:line="320" w:lineRule="exact"/>
              <w:rPr>
                <w:rFonts w:hint="eastAsia" w:ascii="宋体" w:hAnsi="宋体" w:eastAsia="宋体" w:cs="宋体"/>
                <w:sz w:val="24"/>
                <w:szCs w:val="24"/>
                <w:lang w:val="zh-CN"/>
              </w:rPr>
            </w:pPr>
          </w:p>
        </w:tc>
        <w:tc>
          <w:tcPr>
            <w:tcW w:w="3462" w:type="dxa"/>
            <w:shd w:val="clear" w:color="auto" w:fill="auto"/>
            <w:noWrap w:val="0"/>
            <w:vAlign w:val="center"/>
          </w:tcPr>
          <w:p w14:paraId="10880D22">
            <w:pPr>
              <w:spacing w:line="320" w:lineRule="exact"/>
              <w:rPr>
                <w:rFonts w:hint="eastAsia" w:ascii="宋体" w:hAnsi="宋体" w:eastAsia="宋体" w:cs="宋体"/>
                <w:sz w:val="24"/>
                <w:szCs w:val="24"/>
                <w:lang w:val="en-US" w:eastAsia="zh-CN"/>
              </w:rPr>
            </w:pPr>
            <w:r>
              <w:rPr>
                <w:rFonts w:hint="eastAsia" w:ascii="宋体" w:hAnsi="宋体" w:eastAsia="宋体" w:cs="宋体"/>
                <w:sz w:val="24"/>
                <w:szCs w:val="24"/>
              </w:rPr>
              <w:t>7.本项目的特定资格要求</w:t>
            </w:r>
          </w:p>
        </w:tc>
        <w:tc>
          <w:tcPr>
            <w:tcW w:w="4781" w:type="dxa"/>
            <w:shd w:val="clear" w:color="auto" w:fill="auto"/>
            <w:noWrap w:val="0"/>
            <w:vAlign w:val="center"/>
          </w:tcPr>
          <w:p w14:paraId="4237BD30">
            <w:pPr>
              <w:spacing w:line="320" w:lineRule="exact"/>
              <w:rPr>
                <w:rFonts w:hint="eastAsia" w:ascii="宋体" w:hAnsi="宋体" w:eastAsia="宋体" w:cs="宋体"/>
                <w:sz w:val="24"/>
                <w:szCs w:val="24"/>
                <w:lang w:val="en-US" w:eastAsia="zh-CN"/>
              </w:rPr>
            </w:pPr>
            <w:r>
              <w:rPr>
                <w:rFonts w:hint="eastAsia" w:ascii="宋体" w:hAnsi="宋体" w:eastAsia="宋体" w:cs="宋体"/>
                <w:sz w:val="24"/>
                <w:szCs w:val="24"/>
              </w:rPr>
              <w:t>按“第一篇三、供应商资格要求（</w:t>
            </w:r>
            <w:r>
              <w:rPr>
                <w:rFonts w:hint="eastAsia" w:cs="宋体"/>
                <w:sz w:val="24"/>
                <w:szCs w:val="24"/>
                <w:lang w:val="en-US" w:eastAsia="zh-CN"/>
              </w:rPr>
              <w:t>二</w:t>
            </w:r>
            <w:r>
              <w:rPr>
                <w:rFonts w:hint="eastAsia" w:ascii="宋体" w:hAnsi="宋体" w:eastAsia="宋体" w:cs="宋体"/>
                <w:sz w:val="24"/>
                <w:szCs w:val="24"/>
              </w:rPr>
              <w:t>）本项目的特定资格要求”的要求提交。</w:t>
            </w:r>
          </w:p>
        </w:tc>
      </w:tr>
    </w:tbl>
    <w:p w14:paraId="474A957B">
      <w:pPr>
        <w:snapToGrid w:val="0"/>
        <w:spacing w:line="360" w:lineRule="auto"/>
        <w:ind w:firstLine="480" w:firstLineChars="200"/>
        <w:rPr>
          <w:rFonts w:hint="eastAsia" w:ascii="宋体" w:hAnsi="宋体" w:eastAsia="宋体" w:cs="宋体"/>
          <w:kern w:val="0"/>
          <w:szCs w:val="28"/>
        </w:rPr>
      </w:pPr>
      <w:r>
        <w:rPr>
          <w:rFonts w:hint="eastAsia" w:ascii="宋体" w:hAnsi="宋体" w:eastAsia="宋体" w:cs="宋体"/>
          <w:kern w:val="0"/>
          <w:szCs w:val="28"/>
        </w:rPr>
        <w:t>注：</w:t>
      </w:r>
    </w:p>
    <w:p w14:paraId="36C33246">
      <w:pPr>
        <w:snapToGrid w:val="0"/>
        <w:spacing w:line="360" w:lineRule="auto"/>
        <w:ind w:firstLine="480" w:firstLineChars="200"/>
        <w:rPr>
          <w:rFonts w:hint="eastAsia" w:ascii="宋体" w:hAnsi="宋体" w:eastAsia="宋体" w:cs="宋体"/>
          <w:kern w:val="0"/>
          <w:szCs w:val="28"/>
        </w:rPr>
      </w:pPr>
      <w:r>
        <w:rPr>
          <w:rFonts w:hint="eastAsia" w:ascii="宋体" w:hAnsi="宋体" w:eastAsia="宋体" w:cs="宋体"/>
          <w:kern w:val="0"/>
          <w:szCs w:val="28"/>
        </w:rPr>
        <w:t>根据《中华人民共和国政府采购法实施条例》第十九条“参加政府采购活动前三年内，在经营活动中没有重大违法记录”中“重大违法记录”，是指</w:t>
      </w:r>
      <w:r>
        <w:rPr>
          <w:rFonts w:hint="eastAsia" w:ascii="宋体" w:hAnsi="宋体" w:eastAsia="宋体" w:cs="宋体"/>
          <w:kern w:val="0"/>
          <w:szCs w:val="28"/>
          <w:lang w:val="en-US" w:eastAsia="zh-CN"/>
        </w:rPr>
        <w:t>参选供应商</w:t>
      </w:r>
      <w:r>
        <w:rPr>
          <w:rFonts w:hint="eastAsia" w:ascii="宋体" w:hAnsi="宋体" w:eastAsia="宋体" w:cs="宋体"/>
          <w:kern w:val="0"/>
          <w:szCs w:val="28"/>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宋体" w:hAnsi="宋体" w:eastAsia="宋体" w:cs="宋体"/>
          <w:sz w:val="24"/>
          <w:szCs w:val="24"/>
          <w:lang w:val="en-US" w:eastAsia="zh-CN"/>
        </w:rPr>
        <w:t>供应商</w:t>
      </w:r>
      <w:r>
        <w:rPr>
          <w:rFonts w:hint="eastAsia" w:ascii="宋体" w:hAnsi="宋体" w:eastAsia="宋体" w:cs="宋体"/>
          <w:kern w:val="0"/>
          <w:szCs w:val="28"/>
        </w:rPr>
        <w:t>可于投标截止日期前通过 “信用中国”网站(www.creditchina.gov.cn)、"中国政府采购网"(www.ccgp.gov.cn)等渠道查询信用记录。</w:t>
      </w:r>
    </w:p>
    <w:p w14:paraId="3A8E95EB">
      <w:pPr>
        <w:snapToGrid w:val="0"/>
        <w:spacing w:line="360" w:lineRule="auto"/>
        <w:ind w:firstLine="480" w:firstLineChars="200"/>
        <w:rPr>
          <w:rFonts w:hint="eastAsia" w:ascii="宋体" w:hAnsi="宋体" w:eastAsia="宋体" w:cs="宋体"/>
          <w:kern w:val="0"/>
          <w:szCs w:val="28"/>
        </w:rPr>
      </w:pPr>
      <w:r>
        <w:rPr>
          <w:rFonts w:hint="eastAsia" w:ascii="宋体" w:hAnsi="宋体" w:eastAsia="宋体" w:cs="宋体"/>
          <w:kern w:val="0"/>
          <w:szCs w:val="28"/>
        </w:rPr>
        <w:t>2、符合性审查。依据竞争性比选文件的规定，从</w:t>
      </w:r>
      <w:r>
        <w:rPr>
          <w:rFonts w:hint="eastAsia" w:ascii="宋体" w:hAnsi="宋体" w:eastAsia="宋体" w:cs="宋体"/>
          <w:kern w:val="0"/>
          <w:szCs w:val="28"/>
          <w:lang w:val="en-US" w:eastAsia="zh-CN"/>
        </w:rPr>
        <w:t>响应</w:t>
      </w:r>
      <w:r>
        <w:rPr>
          <w:rFonts w:hint="eastAsia" w:ascii="宋体" w:hAnsi="宋体" w:eastAsia="宋体" w:cs="宋体"/>
          <w:kern w:val="0"/>
          <w:szCs w:val="28"/>
        </w:rPr>
        <w:t>文件的有效性、完整性和对竞争性比选文件的响应程度进行审查，以确定是否对竞争性比选文件的实质性要求作出响应。符合性审查资料表如下：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97"/>
        <w:gridCol w:w="2237"/>
        <w:gridCol w:w="5156"/>
      </w:tblGrid>
      <w:tr w14:paraId="07DC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38" w:type="dxa"/>
            <w:noWrap w:val="0"/>
            <w:vAlign w:val="center"/>
          </w:tcPr>
          <w:p w14:paraId="4F85788D">
            <w:pPr>
              <w:snapToGrid w:val="0"/>
              <w:spacing w:line="240" w:lineRule="auto"/>
              <w:ind w:firstLine="0" w:firstLineChars="0"/>
              <w:jc w:val="center"/>
              <w:rPr>
                <w:rFonts w:hint="eastAsia" w:ascii="宋体" w:hAnsi="宋体" w:eastAsia="宋体" w:cs="宋体"/>
                <w:b/>
                <w:bCs/>
                <w:kern w:val="0"/>
                <w:szCs w:val="28"/>
              </w:rPr>
            </w:pPr>
            <w:r>
              <w:rPr>
                <w:rFonts w:hint="eastAsia" w:ascii="宋体" w:hAnsi="宋体" w:eastAsia="宋体" w:cs="宋体"/>
                <w:b/>
                <w:bCs/>
                <w:kern w:val="0"/>
                <w:szCs w:val="28"/>
              </w:rPr>
              <w:t>序号</w:t>
            </w:r>
          </w:p>
        </w:tc>
        <w:tc>
          <w:tcPr>
            <w:tcW w:w="3734" w:type="dxa"/>
            <w:gridSpan w:val="2"/>
            <w:noWrap w:val="0"/>
            <w:vAlign w:val="center"/>
          </w:tcPr>
          <w:p w14:paraId="02C6590B">
            <w:pPr>
              <w:snapToGrid w:val="0"/>
              <w:spacing w:line="240" w:lineRule="auto"/>
              <w:ind w:firstLine="0" w:firstLineChars="0"/>
              <w:jc w:val="center"/>
              <w:rPr>
                <w:rFonts w:hint="eastAsia" w:ascii="宋体" w:hAnsi="宋体" w:eastAsia="宋体" w:cs="宋体"/>
                <w:b/>
                <w:bCs/>
                <w:kern w:val="0"/>
                <w:szCs w:val="28"/>
              </w:rPr>
            </w:pPr>
            <w:r>
              <w:rPr>
                <w:rFonts w:hint="eastAsia" w:ascii="宋体" w:hAnsi="宋体" w:eastAsia="宋体" w:cs="宋体"/>
                <w:b/>
                <w:bCs/>
                <w:kern w:val="0"/>
                <w:szCs w:val="28"/>
              </w:rPr>
              <w:t>评审因素</w:t>
            </w:r>
          </w:p>
        </w:tc>
        <w:tc>
          <w:tcPr>
            <w:tcW w:w="5156" w:type="dxa"/>
            <w:noWrap w:val="0"/>
            <w:vAlign w:val="center"/>
          </w:tcPr>
          <w:p w14:paraId="4C8B7545">
            <w:pPr>
              <w:snapToGrid w:val="0"/>
              <w:spacing w:line="240" w:lineRule="auto"/>
              <w:ind w:firstLine="0" w:firstLineChars="0"/>
              <w:jc w:val="center"/>
              <w:rPr>
                <w:rFonts w:hint="eastAsia" w:ascii="宋体" w:hAnsi="宋体" w:eastAsia="宋体" w:cs="宋体"/>
                <w:b/>
                <w:bCs/>
                <w:kern w:val="0"/>
                <w:szCs w:val="28"/>
              </w:rPr>
            </w:pPr>
            <w:r>
              <w:rPr>
                <w:rFonts w:hint="eastAsia" w:ascii="宋体" w:hAnsi="宋体" w:eastAsia="宋体" w:cs="宋体"/>
                <w:b/>
                <w:bCs/>
                <w:kern w:val="0"/>
                <w:szCs w:val="28"/>
              </w:rPr>
              <w:t>评审标准</w:t>
            </w:r>
          </w:p>
        </w:tc>
      </w:tr>
      <w:tr w14:paraId="43D2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38" w:type="dxa"/>
            <w:vMerge w:val="restart"/>
            <w:noWrap w:val="0"/>
            <w:vAlign w:val="center"/>
          </w:tcPr>
          <w:p w14:paraId="31D53FF2">
            <w:pPr>
              <w:snapToGrid w:val="0"/>
              <w:spacing w:line="240" w:lineRule="auto"/>
              <w:ind w:firstLine="0" w:firstLineChars="0"/>
              <w:rPr>
                <w:rFonts w:hint="eastAsia" w:ascii="宋体" w:hAnsi="宋体" w:eastAsia="宋体" w:cs="宋体"/>
                <w:kern w:val="0"/>
                <w:szCs w:val="28"/>
              </w:rPr>
            </w:pPr>
            <w:r>
              <w:rPr>
                <w:rFonts w:hint="eastAsia" w:ascii="宋体" w:hAnsi="宋体" w:eastAsia="宋体" w:cs="宋体"/>
                <w:kern w:val="0"/>
                <w:szCs w:val="28"/>
              </w:rPr>
              <w:t>1</w:t>
            </w:r>
          </w:p>
        </w:tc>
        <w:tc>
          <w:tcPr>
            <w:tcW w:w="1497" w:type="dxa"/>
            <w:vMerge w:val="restart"/>
            <w:noWrap w:val="0"/>
            <w:vAlign w:val="center"/>
          </w:tcPr>
          <w:p w14:paraId="4AEF1B8F">
            <w:pPr>
              <w:snapToGrid w:val="0"/>
              <w:spacing w:line="240" w:lineRule="auto"/>
              <w:ind w:firstLine="0" w:firstLineChars="0"/>
              <w:rPr>
                <w:rFonts w:hint="eastAsia" w:ascii="宋体" w:hAnsi="宋体" w:eastAsia="宋体" w:cs="宋体"/>
                <w:kern w:val="0"/>
                <w:szCs w:val="28"/>
              </w:rPr>
            </w:pPr>
            <w:r>
              <w:rPr>
                <w:rFonts w:hint="eastAsia" w:ascii="宋体" w:hAnsi="宋体" w:eastAsia="宋体" w:cs="宋体"/>
                <w:kern w:val="0"/>
                <w:szCs w:val="28"/>
              </w:rPr>
              <w:t>有效性审查</w:t>
            </w:r>
          </w:p>
        </w:tc>
        <w:tc>
          <w:tcPr>
            <w:tcW w:w="2237" w:type="dxa"/>
            <w:noWrap w:val="0"/>
            <w:vAlign w:val="center"/>
          </w:tcPr>
          <w:p w14:paraId="27FDC5DB">
            <w:pPr>
              <w:snapToGrid w:val="0"/>
              <w:spacing w:line="240" w:lineRule="auto"/>
              <w:ind w:firstLine="0" w:firstLineChars="0"/>
              <w:rPr>
                <w:rFonts w:hint="eastAsia" w:ascii="宋体" w:hAnsi="宋体" w:eastAsia="宋体" w:cs="宋体"/>
                <w:kern w:val="0"/>
                <w:szCs w:val="28"/>
              </w:rPr>
            </w:pPr>
            <w:r>
              <w:rPr>
                <w:rFonts w:hint="eastAsia" w:ascii="宋体" w:hAnsi="宋体" w:eastAsia="宋体" w:cs="宋体"/>
                <w:kern w:val="0"/>
                <w:szCs w:val="28"/>
                <w:lang w:eastAsia="zh-CN"/>
              </w:rPr>
              <w:t>响应文件</w:t>
            </w:r>
            <w:r>
              <w:rPr>
                <w:rFonts w:hint="eastAsia" w:ascii="宋体" w:hAnsi="宋体" w:eastAsia="宋体" w:cs="宋体"/>
                <w:kern w:val="0"/>
                <w:szCs w:val="28"/>
              </w:rPr>
              <w:t>签署</w:t>
            </w:r>
          </w:p>
        </w:tc>
        <w:tc>
          <w:tcPr>
            <w:tcW w:w="5156" w:type="dxa"/>
            <w:noWrap w:val="0"/>
            <w:vAlign w:val="center"/>
          </w:tcPr>
          <w:p w14:paraId="392F2825">
            <w:pPr>
              <w:snapToGrid w:val="0"/>
              <w:spacing w:line="240" w:lineRule="auto"/>
              <w:ind w:firstLine="0" w:firstLineChars="0"/>
              <w:rPr>
                <w:rFonts w:hint="eastAsia" w:ascii="宋体" w:hAnsi="宋体" w:eastAsia="宋体" w:cs="宋体"/>
                <w:kern w:val="0"/>
                <w:szCs w:val="28"/>
              </w:rPr>
            </w:pPr>
            <w:r>
              <w:rPr>
                <w:rFonts w:hint="eastAsia" w:ascii="宋体" w:hAnsi="宋体" w:eastAsia="宋体" w:cs="宋体"/>
                <w:kern w:val="0"/>
                <w:szCs w:val="28"/>
                <w:lang w:eastAsia="zh-CN"/>
              </w:rPr>
              <w:t>响应文件</w:t>
            </w:r>
            <w:r>
              <w:rPr>
                <w:rFonts w:hint="eastAsia" w:ascii="宋体" w:hAnsi="宋体" w:eastAsia="宋体" w:cs="宋体"/>
                <w:kern w:val="0"/>
                <w:szCs w:val="28"/>
              </w:rPr>
              <w:t>上法定代表人（或其授权代表）或自然人的签字齐全。</w:t>
            </w:r>
          </w:p>
        </w:tc>
      </w:tr>
      <w:tr w14:paraId="7349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38" w:type="dxa"/>
            <w:vMerge w:val="continue"/>
            <w:noWrap w:val="0"/>
            <w:vAlign w:val="center"/>
          </w:tcPr>
          <w:p w14:paraId="08BFA192">
            <w:pPr>
              <w:snapToGrid w:val="0"/>
              <w:spacing w:line="240" w:lineRule="auto"/>
              <w:ind w:firstLine="0" w:firstLineChars="0"/>
              <w:rPr>
                <w:rFonts w:hint="eastAsia" w:ascii="宋体" w:hAnsi="宋体" w:eastAsia="宋体" w:cs="宋体"/>
                <w:kern w:val="0"/>
                <w:szCs w:val="28"/>
              </w:rPr>
            </w:pPr>
          </w:p>
        </w:tc>
        <w:tc>
          <w:tcPr>
            <w:tcW w:w="1497" w:type="dxa"/>
            <w:vMerge w:val="continue"/>
            <w:noWrap w:val="0"/>
            <w:vAlign w:val="center"/>
          </w:tcPr>
          <w:p w14:paraId="65BDF7AA">
            <w:pPr>
              <w:snapToGrid w:val="0"/>
              <w:spacing w:line="240" w:lineRule="auto"/>
              <w:ind w:firstLine="0" w:firstLineChars="0"/>
              <w:rPr>
                <w:rFonts w:hint="eastAsia" w:ascii="宋体" w:hAnsi="宋体" w:eastAsia="宋体" w:cs="宋体"/>
                <w:kern w:val="0"/>
                <w:szCs w:val="28"/>
              </w:rPr>
            </w:pPr>
          </w:p>
        </w:tc>
        <w:tc>
          <w:tcPr>
            <w:tcW w:w="2237" w:type="dxa"/>
            <w:noWrap w:val="0"/>
            <w:vAlign w:val="center"/>
          </w:tcPr>
          <w:p w14:paraId="55E08EC8">
            <w:pPr>
              <w:snapToGrid w:val="0"/>
              <w:spacing w:line="240" w:lineRule="auto"/>
              <w:ind w:firstLine="0" w:firstLineChars="0"/>
              <w:rPr>
                <w:rFonts w:hint="eastAsia" w:ascii="宋体" w:hAnsi="宋体" w:eastAsia="宋体" w:cs="宋体"/>
                <w:kern w:val="0"/>
                <w:szCs w:val="28"/>
              </w:rPr>
            </w:pPr>
            <w:r>
              <w:rPr>
                <w:rFonts w:hint="eastAsia" w:ascii="宋体" w:hAnsi="宋体" w:eastAsia="宋体" w:cs="宋体"/>
                <w:kern w:val="0"/>
                <w:szCs w:val="28"/>
              </w:rPr>
              <w:t>法定代表人身份证明及授权委托书</w:t>
            </w:r>
          </w:p>
        </w:tc>
        <w:tc>
          <w:tcPr>
            <w:tcW w:w="5156" w:type="dxa"/>
            <w:noWrap w:val="0"/>
            <w:vAlign w:val="center"/>
          </w:tcPr>
          <w:p w14:paraId="4EAEEA8C">
            <w:pPr>
              <w:snapToGrid w:val="0"/>
              <w:spacing w:line="240" w:lineRule="auto"/>
              <w:ind w:firstLine="0" w:firstLineChars="0"/>
              <w:rPr>
                <w:rFonts w:hint="eastAsia" w:ascii="宋体" w:hAnsi="宋体" w:eastAsia="宋体" w:cs="宋体"/>
                <w:kern w:val="0"/>
                <w:szCs w:val="28"/>
              </w:rPr>
            </w:pPr>
            <w:r>
              <w:rPr>
                <w:rFonts w:hint="eastAsia" w:ascii="宋体" w:hAnsi="宋体" w:eastAsia="宋体" w:cs="宋体"/>
                <w:kern w:val="0"/>
                <w:szCs w:val="28"/>
              </w:rPr>
              <w:t>法定代表人身份证明及授权委托书有效，符合竞争性比选文件规定的格式，签字或盖章齐全。</w:t>
            </w:r>
          </w:p>
        </w:tc>
      </w:tr>
      <w:tr w14:paraId="4803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38" w:type="dxa"/>
            <w:vMerge w:val="continue"/>
            <w:noWrap w:val="0"/>
            <w:vAlign w:val="center"/>
          </w:tcPr>
          <w:p w14:paraId="404E39EE">
            <w:pPr>
              <w:snapToGrid w:val="0"/>
              <w:spacing w:line="240" w:lineRule="auto"/>
              <w:ind w:firstLine="0" w:firstLineChars="0"/>
              <w:rPr>
                <w:rFonts w:hint="eastAsia" w:ascii="宋体" w:hAnsi="宋体" w:eastAsia="宋体" w:cs="宋体"/>
                <w:kern w:val="0"/>
                <w:szCs w:val="28"/>
              </w:rPr>
            </w:pPr>
          </w:p>
        </w:tc>
        <w:tc>
          <w:tcPr>
            <w:tcW w:w="1497" w:type="dxa"/>
            <w:vMerge w:val="continue"/>
            <w:noWrap w:val="0"/>
            <w:vAlign w:val="center"/>
          </w:tcPr>
          <w:p w14:paraId="4EA0CEDC">
            <w:pPr>
              <w:snapToGrid w:val="0"/>
              <w:spacing w:line="240" w:lineRule="auto"/>
              <w:ind w:firstLine="0" w:firstLineChars="0"/>
              <w:rPr>
                <w:rFonts w:hint="eastAsia" w:ascii="宋体" w:hAnsi="宋体" w:eastAsia="宋体" w:cs="宋体"/>
                <w:kern w:val="0"/>
                <w:szCs w:val="28"/>
              </w:rPr>
            </w:pPr>
          </w:p>
        </w:tc>
        <w:tc>
          <w:tcPr>
            <w:tcW w:w="2237" w:type="dxa"/>
            <w:noWrap w:val="0"/>
            <w:vAlign w:val="center"/>
          </w:tcPr>
          <w:p w14:paraId="2DE30D9C">
            <w:pPr>
              <w:snapToGrid w:val="0"/>
              <w:spacing w:line="240" w:lineRule="auto"/>
              <w:ind w:firstLine="0" w:firstLineChars="0"/>
              <w:rPr>
                <w:rFonts w:hint="eastAsia" w:ascii="宋体" w:hAnsi="宋体" w:eastAsia="宋体" w:cs="宋体"/>
                <w:kern w:val="0"/>
                <w:szCs w:val="28"/>
                <w:lang w:val="zh-CN"/>
              </w:rPr>
            </w:pPr>
            <w:r>
              <w:rPr>
                <w:rFonts w:hint="eastAsia" w:ascii="宋体" w:hAnsi="宋体" w:eastAsia="宋体" w:cs="宋体"/>
                <w:kern w:val="0"/>
                <w:szCs w:val="28"/>
              </w:rPr>
              <w:t>响应</w:t>
            </w:r>
            <w:r>
              <w:rPr>
                <w:rFonts w:hint="eastAsia" w:ascii="宋体" w:hAnsi="宋体" w:eastAsia="宋体" w:cs="宋体"/>
                <w:kern w:val="0"/>
                <w:szCs w:val="28"/>
                <w:lang w:val="zh-CN"/>
              </w:rPr>
              <w:t>方案</w:t>
            </w:r>
          </w:p>
        </w:tc>
        <w:tc>
          <w:tcPr>
            <w:tcW w:w="5156" w:type="dxa"/>
            <w:noWrap w:val="0"/>
            <w:vAlign w:val="center"/>
          </w:tcPr>
          <w:p w14:paraId="43B06754">
            <w:pPr>
              <w:snapToGrid w:val="0"/>
              <w:spacing w:line="240" w:lineRule="auto"/>
              <w:ind w:firstLine="0" w:firstLineChars="0"/>
              <w:rPr>
                <w:rFonts w:hint="eastAsia" w:ascii="宋体" w:hAnsi="宋体" w:eastAsia="宋体" w:cs="宋体"/>
                <w:kern w:val="0"/>
                <w:szCs w:val="28"/>
              </w:rPr>
            </w:pPr>
            <w:r>
              <w:rPr>
                <w:rFonts w:hint="eastAsia" w:ascii="宋体" w:hAnsi="宋体" w:eastAsia="宋体" w:cs="宋体"/>
                <w:kern w:val="0"/>
                <w:szCs w:val="28"/>
                <w:lang w:val="zh-CN"/>
              </w:rPr>
              <w:t>每个包只能有一个</w:t>
            </w:r>
            <w:r>
              <w:rPr>
                <w:rFonts w:hint="eastAsia" w:ascii="宋体" w:hAnsi="宋体" w:eastAsia="宋体" w:cs="宋体"/>
                <w:kern w:val="0"/>
                <w:szCs w:val="28"/>
              </w:rPr>
              <w:t>响应</w:t>
            </w:r>
            <w:r>
              <w:rPr>
                <w:rFonts w:hint="eastAsia" w:ascii="宋体" w:hAnsi="宋体" w:eastAsia="宋体" w:cs="宋体"/>
                <w:kern w:val="0"/>
                <w:szCs w:val="28"/>
                <w:lang w:val="zh-CN"/>
              </w:rPr>
              <w:t>方案。</w:t>
            </w:r>
          </w:p>
        </w:tc>
      </w:tr>
      <w:tr w14:paraId="277F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8" w:type="dxa"/>
            <w:vMerge w:val="continue"/>
            <w:noWrap w:val="0"/>
            <w:vAlign w:val="center"/>
          </w:tcPr>
          <w:p w14:paraId="63087708">
            <w:pPr>
              <w:snapToGrid w:val="0"/>
              <w:spacing w:line="240" w:lineRule="auto"/>
              <w:ind w:firstLine="0" w:firstLineChars="0"/>
              <w:rPr>
                <w:rFonts w:hint="eastAsia" w:ascii="宋体" w:hAnsi="宋体" w:eastAsia="宋体" w:cs="宋体"/>
                <w:kern w:val="0"/>
                <w:szCs w:val="28"/>
              </w:rPr>
            </w:pPr>
          </w:p>
        </w:tc>
        <w:tc>
          <w:tcPr>
            <w:tcW w:w="1497" w:type="dxa"/>
            <w:vMerge w:val="continue"/>
            <w:noWrap w:val="0"/>
            <w:vAlign w:val="center"/>
          </w:tcPr>
          <w:p w14:paraId="5BB7C877">
            <w:pPr>
              <w:snapToGrid w:val="0"/>
              <w:spacing w:line="240" w:lineRule="auto"/>
              <w:ind w:firstLine="0" w:firstLineChars="0"/>
              <w:rPr>
                <w:rFonts w:hint="eastAsia" w:ascii="宋体" w:hAnsi="宋体" w:eastAsia="宋体" w:cs="宋体"/>
                <w:kern w:val="0"/>
                <w:szCs w:val="28"/>
              </w:rPr>
            </w:pPr>
          </w:p>
        </w:tc>
        <w:tc>
          <w:tcPr>
            <w:tcW w:w="2237" w:type="dxa"/>
            <w:noWrap w:val="0"/>
            <w:vAlign w:val="center"/>
          </w:tcPr>
          <w:p w14:paraId="5E851E9F">
            <w:pPr>
              <w:snapToGrid w:val="0"/>
              <w:spacing w:line="240" w:lineRule="auto"/>
              <w:ind w:firstLine="0" w:firstLineChars="0"/>
              <w:rPr>
                <w:rFonts w:hint="eastAsia" w:ascii="宋体" w:hAnsi="宋体" w:eastAsia="宋体" w:cs="宋体"/>
                <w:kern w:val="0"/>
                <w:szCs w:val="28"/>
                <w:lang w:val="zh-CN"/>
              </w:rPr>
            </w:pPr>
            <w:r>
              <w:rPr>
                <w:rFonts w:hint="eastAsia" w:ascii="宋体" w:hAnsi="宋体" w:eastAsia="宋体" w:cs="宋体"/>
                <w:kern w:val="0"/>
                <w:szCs w:val="28"/>
              </w:rPr>
              <w:t>报价唯一</w:t>
            </w:r>
          </w:p>
        </w:tc>
        <w:tc>
          <w:tcPr>
            <w:tcW w:w="5156" w:type="dxa"/>
            <w:noWrap w:val="0"/>
            <w:vAlign w:val="center"/>
          </w:tcPr>
          <w:p w14:paraId="068AB0B1">
            <w:pPr>
              <w:snapToGrid w:val="0"/>
              <w:spacing w:line="240" w:lineRule="auto"/>
              <w:ind w:firstLine="0" w:firstLineChars="0"/>
              <w:rPr>
                <w:rFonts w:hint="eastAsia" w:ascii="宋体" w:hAnsi="宋体" w:eastAsia="宋体" w:cs="宋体"/>
                <w:kern w:val="0"/>
                <w:szCs w:val="28"/>
              </w:rPr>
            </w:pPr>
            <w:r>
              <w:rPr>
                <w:rFonts w:hint="eastAsia" w:ascii="宋体" w:hAnsi="宋体" w:eastAsia="宋体" w:cs="宋体"/>
                <w:kern w:val="0"/>
                <w:szCs w:val="28"/>
                <w:lang w:val="zh-CN"/>
              </w:rPr>
              <w:t>只能在采购预算范围内报价，</w:t>
            </w:r>
            <w:r>
              <w:rPr>
                <w:rFonts w:hint="eastAsia" w:ascii="宋体" w:hAnsi="宋体" w:eastAsia="宋体" w:cs="宋体"/>
                <w:kern w:val="0"/>
                <w:szCs w:val="28"/>
              </w:rPr>
              <w:t>只能有一个有效报价，不得提交选择性报价。</w:t>
            </w:r>
          </w:p>
        </w:tc>
      </w:tr>
      <w:tr w14:paraId="44FC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8" w:type="dxa"/>
            <w:noWrap w:val="0"/>
            <w:vAlign w:val="center"/>
          </w:tcPr>
          <w:p w14:paraId="1DD10F0C">
            <w:pPr>
              <w:snapToGrid w:val="0"/>
              <w:spacing w:line="240" w:lineRule="auto"/>
              <w:ind w:firstLine="0" w:firstLineChars="0"/>
              <w:rPr>
                <w:rFonts w:hint="eastAsia" w:ascii="宋体" w:hAnsi="宋体" w:eastAsia="宋体" w:cs="宋体"/>
                <w:kern w:val="0"/>
                <w:szCs w:val="28"/>
              </w:rPr>
            </w:pPr>
            <w:r>
              <w:rPr>
                <w:rFonts w:hint="eastAsia" w:ascii="宋体" w:hAnsi="宋体" w:eastAsia="宋体" w:cs="宋体"/>
                <w:kern w:val="0"/>
                <w:szCs w:val="28"/>
              </w:rPr>
              <w:t>2</w:t>
            </w:r>
          </w:p>
        </w:tc>
        <w:tc>
          <w:tcPr>
            <w:tcW w:w="1497" w:type="dxa"/>
            <w:noWrap w:val="0"/>
            <w:vAlign w:val="center"/>
          </w:tcPr>
          <w:p w14:paraId="7701904F">
            <w:pPr>
              <w:snapToGrid w:val="0"/>
              <w:spacing w:line="240" w:lineRule="auto"/>
              <w:ind w:firstLine="0" w:firstLineChars="0"/>
              <w:rPr>
                <w:rFonts w:hint="eastAsia" w:ascii="宋体" w:hAnsi="宋体" w:eastAsia="宋体" w:cs="宋体"/>
                <w:kern w:val="0"/>
                <w:szCs w:val="28"/>
              </w:rPr>
            </w:pPr>
            <w:r>
              <w:rPr>
                <w:rFonts w:hint="eastAsia" w:ascii="宋体" w:hAnsi="宋体" w:eastAsia="宋体" w:cs="宋体"/>
                <w:kern w:val="0"/>
                <w:szCs w:val="28"/>
              </w:rPr>
              <w:t>完整性审查</w:t>
            </w:r>
          </w:p>
        </w:tc>
        <w:tc>
          <w:tcPr>
            <w:tcW w:w="2237" w:type="dxa"/>
            <w:noWrap w:val="0"/>
            <w:vAlign w:val="center"/>
          </w:tcPr>
          <w:p w14:paraId="4001BCAC">
            <w:pPr>
              <w:snapToGrid w:val="0"/>
              <w:spacing w:line="240" w:lineRule="auto"/>
              <w:ind w:firstLine="0" w:firstLineChars="0"/>
              <w:rPr>
                <w:rFonts w:hint="eastAsia" w:ascii="宋体" w:hAnsi="宋体" w:eastAsia="宋体" w:cs="宋体"/>
                <w:kern w:val="0"/>
                <w:szCs w:val="28"/>
              </w:rPr>
            </w:pPr>
            <w:r>
              <w:rPr>
                <w:rFonts w:hint="eastAsia" w:ascii="宋体" w:hAnsi="宋体" w:eastAsia="宋体" w:cs="宋体"/>
                <w:kern w:val="0"/>
                <w:szCs w:val="28"/>
                <w:lang w:eastAsia="zh-CN"/>
              </w:rPr>
              <w:t>响应文件</w:t>
            </w:r>
            <w:r>
              <w:rPr>
                <w:rFonts w:hint="eastAsia" w:ascii="宋体" w:hAnsi="宋体" w:eastAsia="宋体" w:cs="宋体"/>
                <w:kern w:val="0"/>
                <w:szCs w:val="28"/>
                <w:lang w:val="zh-CN"/>
              </w:rPr>
              <w:t>份数</w:t>
            </w:r>
          </w:p>
        </w:tc>
        <w:tc>
          <w:tcPr>
            <w:tcW w:w="5156" w:type="dxa"/>
            <w:noWrap w:val="0"/>
            <w:vAlign w:val="center"/>
          </w:tcPr>
          <w:p w14:paraId="7DE11BF3">
            <w:pPr>
              <w:snapToGrid w:val="0"/>
              <w:spacing w:line="240" w:lineRule="auto"/>
              <w:ind w:firstLine="0" w:firstLineChars="0"/>
              <w:rPr>
                <w:rFonts w:hint="eastAsia" w:ascii="宋体" w:hAnsi="宋体" w:eastAsia="宋体" w:cs="宋体"/>
                <w:kern w:val="0"/>
                <w:szCs w:val="28"/>
                <w:lang w:val="zh-CN"/>
              </w:rPr>
            </w:pPr>
            <w:r>
              <w:rPr>
                <w:rFonts w:hint="eastAsia" w:ascii="宋体" w:hAnsi="宋体" w:eastAsia="宋体" w:cs="宋体"/>
                <w:kern w:val="0"/>
                <w:szCs w:val="28"/>
                <w:lang w:val="en-US" w:eastAsia="zh-CN"/>
              </w:rPr>
              <w:t>响应文件</w:t>
            </w:r>
            <w:r>
              <w:rPr>
                <w:rFonts w:hint="eastAsia" w:ascii="宋体" w:hAnsi="宋体" w:eastAsia="宋体" w:cs="宋体"/>
                <w:kern w:val="0"/>
                <w:szCs w:val="28"/>
                <w:lang w:val="zh-CN"/>
              </w:rPr>
              <w:t>正、副本数量（含电子文档）符合</w:t>
            </w:r>
            <w:r>
              <w:rPr>
                <w:rFonts w:hint="eastAsia" w:ascii="宋体" w:hAnsi="宋体" w:eastAsia="宋体" w:cs="宋体"/>
                <w:kern w:val="0"/>
                <w:szCs w:val="28"/>
              </w:rPr>
              <w:t>竞争性比选</w:t>
            </w:r>
            <w:r>
              <w:rPr>
                <w:rFonts w:hint="eastAsia" w:ascii="宋体" w:hAnsi="宋体" w:eastAsia="宋体" w:cs="宋体"/>
                <w:kern w:val="0"/>
                <w:szCs w:val="28"/>
                <w:lang w:val="zh-CN"/>
              </w:rPr>
              <w:t>文件要求。</w:t>
            </w:r>
          </w:p>
        </w:tc>
      </w:tr>
      <w:tr w14:paraId="2864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8" w:type="dxa"/>
            <w:vMerge w:val="restart"/>
            <w:noWrap w:val="0"/>
            <w:vAlign w:val="center"/>
          </w:tcPr>
          <w:p w14:paraId="0AA04402">
            <w:pPr>
              <w:snapToGrid w:val="0"/>
              <w:spacing w:line="240" w:lineRule="auto"/>
              <w:ind w:firstLine="0" w:firstLineChars="0"/>
              <w:rPr>
                <w:rFonts w:hint="eastAsia" w:ascii="宋体" w:hAnsi="宋体" w:eastAsia="宋体" w:cs="宋体"/>
                <w:kern w:val="0"/>
                <w:szCs w:val="28"/>
              </w:rPr>
            </w:pPr>
            <w:r>
              <w:rPr>
                <w:rFonts w:hint="eastAsia" w:ascii="宋体" w:hAnsi="宋体" w:eastAsia="宋体" w:cs="宋体"/>
                <w:kern w:val="0"/>
                <w:szCs w:val="28"/>
              </w:rPr>
              <w:t>3</w:t>
            </w:r>
          </w:p>
        </w:tc>
        <w:tc>
          <w:tcPr>
            <w:tcW w:w="1497" w:type="dxa"/>
            <w:vMerge w:val="restart"/>
            <w:noWrap w:val="0"/>
            <w:vAlign w:val="center"/>
          </w:tcPr>
          <w:p w14:paraId="3D811D4D">
            <w:pPr>
              <w:snapToGrid w:val="0"/>
              <w:spacing w:line="240" w:lineRule="auto"/>
              <w:ind w:firstLine="0" w:firstLineChars="0"/>
              <w:rPr>
                <w:rFonts w:hint="eastAsia" w:ascii="宋体" w:hAnsi="宋体" w:eastAsia="宋体" w:cs="宋体"/>
                <w:kern w:val="0"/>
                <w:szCs w:val="28"/>
                <w:lang w:val="zh-CN"/>
              </w:rPr>
            </w:pPr>
            <w:r>
              <w:rPr>
                <w:rFonts w:hint="eastAsia" w:ascii="宋体" w:hAnsi="宋体" w:eastAsia="宋体" w:cs="宋体"/>
                <w:kern w:val="0"/>
                <w:szCs w:val="28"/>
              </w:rPr>
              <w:t>竞争性比选文件的响应程度审查</w:t>
            </w:r>
          </w:p>
        </w:tc>
        <w:tc>
          <w:tcPr>
            <w:tcW w:w="2237" w:type="dxa"/>
            <w:noWrap w:val="0"/>
            <w:vAlign w:val="center"/>
          </w:tcPr>
          <w:p w14:paraId="23C3BE71">
            <w:pPr>
              <w:snapToGrid w:val="0"/>
              <w:spacing w:line="240" w:lineRule="auto"/>
              <w:ind w:firstLine="0" w:firstLineChars="0"/>
              <w:rPr>
                <w:rFonts w:hint="eastAsia" w:ascii="宋体" w:hAnsi="宋体" w:eastAsia="宋体" w:cs="宋体"/>
                <w:kern w:val="0"/>
                <w:szCs w:val="28"/>
              </w:rPr>
            </w:pPr>
            <w:r>
              <w:rPr>
                <w:rFonts w:hint="eastAsia" w:ascii="宋体" w:hAnsi="宋体" w:eastAsia="宋体" w:cs="宋体"/>
                <w:kern w:val="0"/>
                <w:szCs w:val="28"/>
                <w:lang w:eastAsia="zh-CN"/>
              </w:rPr>
              <w:t>响应文件</w:t>
            </w:r>
            <w:r>
              <w:rPr>
                <w:rFonts w:hint="eastAsia" w:ascii="宋体" w:hAnsi="宋体" w:eastAsia="宋体" w:cs="宋体"/>
                <w:kern w:val="0"/>
                <w:szCs w:val="28"/>
              </w:rPr>
              <w:t>内容</w:t>
            </w:r>
          </w:p>
        </w:tc>
        <w:tc>
          <w:tcPr>
            <w:tcW w:w="5156" w:type="dxa"/>
            <w:noWrap w:val="0"/>
            <w:vAlign w:val="center"/>
          </w:tcPr>
          <w:p w14:paraId="54771B23">
            <w:pPr>
              <w:snapToGrid w:val="0"/>
              <w:spacing w:line="240" w:lineRule="auto"/>
              <w:ind w:firstLine="0" w:firstLineChars="0"/>
              <w:rPr>
                <w:rFonts w:hint="eastAsia" w:ascii="宋体" w:hAnsi="宋体" w:eastAsia="宋体" w:cs="宋体"/>
                <w:kern w:val="0"/>
                <w:szCs w:val="28"/>
              </w:rPr>
            </w:pPr>
            <w:r>
              <w:rPr>
                <w:rFonts w:hint="eastAsia" w:ascii="宋体" w:hAnsi="宋体" w:eastAsia="宋体" w:cs="宋体"/>
                <w:kern w:val="0"/>
                <w:szCs w:val="28"/>
              </w:rPr>
              <w:t>对竞争性比选文件第二篇、第三篇中的内容进行实质响应。</w:t>
            </w:r>
          </w:p>
        </w:tc>
      </w:tr>
      <w:tr w14:paraId="09F8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8" w:type="dxa"/>
            <w:vMerge w:val="continue"/>
            <w:noWrap w:val="0"/>
            <w:vAlign w:val="center"/>
          </w:tcPr>
          <w:p w14:paraId="175CFD55">
            <w:pPr>
              <w:snapToGrid w:val="0"/>
              <w:spacing w:line="240" w:lineRule="auto"/>
              <w:ind w:firstLine="0" w:firstLineChars="0"/>
              <w:rPr>
                <w:rFonts w:hint="eastAsia" w:ascii="宋体" w:hAnsi="宋体" w:eastAsia="宋体" w:cs="宋体"/>
                <w:kern w:val="0"/>
                <w:szCs w:val="28"/>
              </w:rPr>
            </w:pPr>
          </w:p>
        </w:tc>
        <w:tc>
          <w:tcPr>
            <w:tcW w:w="1497" w:type="dxa"/>
            <w:vMerge w:val="continue"/>
            <w:noWrap w:val="0"/>
            <w:vAlign w:val="center"/>
          </w:tcPr>
          <w:p w14:paraId="7A334E1D">
            <w:pPr>
              <w:snapToGrid w:val="0"/>
              <w:spacing w:line="240" w:lineRule="auto"/>
              <w:ind w:firstLine="0" w:firstLineChars="0"/>
              <w:rPr>
                <w:rFonts w:hint="eastAsia" w:ascii="宋体" w:hAnsi="宋体" w:eastAsia="宋体" w:cs="宋体"/>
                <w:kern w:val="0"/>
                <w:szCs w:val="28"/>
                <w:lang w:val="zh-CN"/>
              </w:rPr>
            </w:pPr>
          </w:p>
        </w:tc>
        <w:tc>
          <w:tcPr>
            <w:tcW w:w="2237" w:type="dxa"/>
            <w:noWrap w:val="0"/>
            <w:vAlign w:val="center"/>
          </w:tcPr>
          <w:p w14:paraId="49598666">
            <w:pPr>
              <w:snapToGrid w:val="0"/>
              <w:spacing w:line="240" w:lineRule="auto"/>
              <w:ind w:firstLine="0" w:firstLineChars="0"/>
              <w:rPr>
                <w:rFonts w:hint="eastAsia" w:ascii="宋体" w:hAnsi="宋体" w:eastAsia="宋体" w:cs="宋体"/>
                <w:kern w:val="0"/>
                <w:szCs w:val="28"/>
              </w:rPr>
            </w:pPr>
            <w:r>
              <w:rPr>
                <w:rFonts w:hint="eastAsia" w:ascii="宋体" w:hAnsi="宋体" w:eastAsia="宋体" w:cs="宋体"/>
                <w:kern w:val="0"/>
                <w:szCs w:val="28"/>
              </w:rPr>
              <w:t>竞选有效期</w:t>
            </w:r>
          </w:p>
        </w:tc>
        <w:tc>
          <w:tcPr>
            <w:tcW w:w="5156" w:type="dxa"/>
            <w:noWrap w:val="0"/>
            <w:vAlign w:val="center"/>
          </w:tcPr>
          <w:p w14:paraId="0F971574">
            <w:pPr>
              <w:snapToGrid w:val="0"/>
              <w:spacing w:line="240" w:lineRule="auto"/>
              <w:ind w:firstLine="0" w:firstLineChars="0"/>
              <w:rPr>
                <w:rFonts w:hint="eastAsia" w:ascii="宋体" w:hAnsi="宋体" w:eastAsia="宋体" w:cs="宋体"/>
                <w:kern w:val="0"/>
                <w:szCs w:val="28"/>
              </w:rPr>
            </w:pPr>
            <w:r>
              <w:rPr>
                <w:rFonts w:hint="eastAsia" w:ascii="宋体" w:hAnsi="宋体" w:eastAsia="宋体" w:cs="宋体"/>
                <w:kern w:val="0"/>
                <w:szCs w:val="28"/>
                <w:lang w:val="en-US" w:eastAsia="zh-CN"/>
              </w:rPr>
              <w:t>响应文件</w:t>
            </w:r>
            <w:r>
              <w:rPr>
                <w:rFonts w:hint="eastAsia" w:ascii="宋体" w:hAnsi="宋体" w:eastAsia="宋体" w:cs="宋体"/>
                <w:kern w:val="0"/>
                <w:szCs w:val="28"/>
              </w:rPr>
              <w:t>及有关承诺文件有效期为提交</w:t>
            </w:r>
            <w:r>
              <w:rPr>
                <w:rFonts w:hint="eastAsia" w:ascii="宋体" w:hAnsi="宋体" w:eastAsia="宋体" w:cs="宋体"/>
                <w:kern w:val="0"/>
                <w:szCs w:val="28"/>
                <w:lang w:eastAsia="zh-CN"/>
              </w:rPr>
              <w:t>响应文件</w:t>
            </w:r>
            <w:r>
              <w:rPr>
                <w:rFonts w:hint="eastAsia" w:ascii="宋体" w:hAnsi="宋体" w:eastAsia="宋体" w:cs="宋体"/>
                <w:kern w:val="0"/>
                <w:szCs w:val="28"/>
              </w:rPr>
              <w:t>截止时间起90天。</w:t>
            </w:r>
          </w:p>
        </w:tc>
      </w:tr>
    </w:tbl>
    <w:p w14:paraId="5DBDADB2">
      <w:pPr>
        <w:snapToGrid w:val="0"/>
        <w:spacing w:line="360" w:lineRule="auto"/>
        <w:ind w:firstLine="480" w:firstLineChars="200"/>
        <w:rPr>
          <w:rFonts w:hint="eastAsia" w:ascii="宋体" w:hAnsi="宋体" w:eastAsia="宋体" w:cs="宋体"/>
          <w:szCs w:val="28"/>
        </w:rPr>
      </w:pPr>
      <w:r>
        <w:rPr>
          <w:rFonts w:hint="eastAsia" w:ascii="宋体" w:hAnsi="宋体" w:eastAsia="宋体" w:cs="宋体"/>
          <w:szCs w:val="28"/>
        </w:rPr>
        <w:t>（三）澄清有关问题。竞争性比选评审小组在对</w:t>
      </w:r>
      <w:r>
        <w:rPr>
          <w:rFonts w:hint="eastAsia" w:ascii="宋体" w:hAnsi="宋体" w:eastAsia="宋体" w:cs="宋体"/>
          <w:szCs w:val="28"/>
          <w:lang w:val="en-US" w:eastAsia="zh-CN"/>
        </w:rPr>
        <w:t>响应</w:t>
      </w:r>
      <w:r>
        <w:rPr>
          <w:rFonts w:hint="eastAsia" w:ascii="宋体" w:hAnsi="宋体" w:eastAsia="宋体" w:cs="宋体"/>
          <w:szCs w:val="28"/>
        </w:rPr>
        <w:t>文件的有效性、完整性和响应程度进行审查时，可以要求</w:t>
      </w:r>
      <w:r>
        <w:rPr>
          <w:rFonts w:hint="eastAsia" w:ascii="宋体" w:hAnsi="宋体" w:eastAsia="宋体" w:cs="宋体"/>
          <w:szCs w:val="28"/>
          <w:lang w:val="en-US" w:eastAsia="zh-CN"/>
        </w:rPr>
        <w:t>供应商</w:t>
      </w:r>
      <w:r>
        <w:rPr>
          <w:rFonts w:hint="eastAsia" w:ascii="宋体" w:hAnsi="宋体" w:eastAsia="宋体" w:cs="宋体"/>
          <w:szCs w:val="28"/>
        </w:rPr>
        <w:t>对</w:t>
      </w:r>
      <w:r>
        <w:rPr>
          <w:rFonts w:hint="eastAsia" w:ascii="宋体" w:hAnsi="宋体" w:eastAsia="宋体" w:cs="宋体"/>
          <w:szCs w:val="28"/>
          <w:lang w:val="en-US" w:eastAsia="zh-CN"/>
        </w:rPr>
        <w:t>响应</w:t>
      </w:r>
      <w:r>
        <w:rPr>
          <w:rFonts w:hint="eastAsia" w:ascii="宋体" w:hAnsi="宋体" w:eastAsia="宋体" w:cs="宋体"/>
          <w:szCs w:val="28"/>
        </w:rPr>
        <w:t>文件中含义不明确、同类问题表述不一致或者有明显文字和计算错误的内容等作出必要的澄清、说明或者更正。</w:t>
      </w:r>
      <w:r>
        <w:rPr>
          <w:rFonts w:hint="eastAsia" w:ascii="宋体" w:hAnsi="宋体" w:eastAsia="宋体" w:cs="宋体"/>
          <w:szCs w:val="28"/>
          <w:lang w:val="en-US" w:eastAsia="zh-CN"/>
        </w:rPr>
        <w:t>供应商</w:t>
      </w:r>
      <w:r>
        <w:rPr>
          <w:rFonts w:hint="eastAsia" w:ascii="宋体" w:hAnsi="宋体" w:eastAsia="宋体" w:cs="宋体"/>
          <w:szCs w:val="28"/>
        </w:rPr>
        <w:t>的澄清、说明或者更正不得超出</w:t>
      </w:r>
      <w:r>
        <w:rPr>
          <w:rFonts w:hint="eastAsia" w:ascii="宋体" w:hAnsi="宋体" w:eastAsia="宋体" w:cs="宋体"/>
          <w:szCs w:val="28"/>
          <w:lang w:val="en-US" w:eastAsia="zh-CN"/>
        </w:rPr>
        <w:t>响应</w:t>
      </w:r>
      <w:r>
        <w:rPr>
          <w:rFonts w:hint="eastAsia" w:ascii="宋体" w:hAnsi="宋体" w:eastAsia="宋体" w:cs="宋体"/>
          <w:szCs w:val="28"/>
        </w:rPr>
        <w:t>文件的范围或者改变</w:t>
      </w:r>
      <w:r>
        <w:rPr>
          <w:rFonts w:hint="eastAsia" w:ascii="宋体" w:hAnsi="宋体" w:eastAsia="宋体" w:cs="宋体"/>
          <w:szCs w:val="28"/>
          <w:lang w:val="en-US" w:eastAsia="zh-CN"/>
        </w:rPr>
        <w:t>响应</w:t>
      </w:r>
      <w:r>
        <w:rPr>
          <w:rFonts w:hint="eastAsia" w:ascii="宋体" w:hAnsi="宋体" w:eastAsia="宋体" w:cs="宋体"/>
          <w:szCs w:val="28"/>
        </w:rPr>
        <w:t>文件的实质性内容。</w:t>
      </w:r>
    </w:p>
    <w:p w14:paraId="68224D70">
      <w:pPr>
        <w:snapToGrid w:val="0"/>
        <w:spacing w:line="360" w:lineRule="auto"/>
        <w:ind w:firstLine="480" w:firstLineChars="200"/>
        <w:rPr>
          <w:rFonts w:hint="eastAsia" w:ascii="宋体" w:hAnsi="宋体" w:eastAsia="宋体" w:cs="宋体"/>
          <w:szCs w:val="28"/>
        </w:rPr>
      </w:pPr>
      <w:r>
        <w:rPr>
          <w:rFonts w:hint="eastAsia" w:ascii="宋体" w:hAnsi="宋体" w:eastAsia="宋体" w:cs="宋体"/>
          <w:szCs w:val="28"/>
        </w:rPr>
        <w:t>（四）竞争性比选评审小组要求</w:t>
      </w:r>
      <w:r>
        <w:rPr>
          <w:rFonts w:hint="eastAsia" w:ascii="宋体" w:hAnsi="宋体" w:eastAsia="宋体" w:cs="宋体"/>
          <w:szCs w:val="28"/>
          <w:lang w:val="en-US" w:eastAsia="zh-CN"/>
        </w:rPr>
        <w:t>供应商</w:t>
      </w:r>
      <w:r>
        <w:rPr>
          <w:rFonts w:hint="eastAsia" w:ascii="宋体" w:hAnsi="宋体" w:eastAsia="宋体" w:cs="宋体"/>
          <w:szCs w:val="28"/>
        </w:rPr>
        <w:t>澄清、说明或者更正</w:t>
      </w:r>
      <w:r>
        <w:rPr>
          <w:rFonts w:hint="eastAsia" w:ascii="宋体" w:hAnsi="宋体" w:eastAsia="宋体" w:cs="宋体"/>
          <w:szCs w:val="28"/>
          <w:lang w:val="en-US" w:eastAsia="zh-CN"/>
        </w:rPr>
        <w:t>响应</w:t>
      </w:r>
      <w:r>
        <w:rPr>
          <w:rFonts w:hint="eastAsia" w:ascii="宋体" w:hAnsi="宋体" w:eastAsia="宋体" w:cs="宋体"/>
          <w:szCs w:val="28"/>
        </w:rPr>
        <w:t>文件应当以书面形式作出。</w:t>
      </w:r>
      <w:r>
        <w:rPr>
          <w:rFonts w:hint="eastAsia" w:ascii="宋体" w:hAnsi="宋体" w:eastAsia="宋体" w:cs="宋体"/>
          <w:szCs w:val="28"/>
          <w:lang w:val="en-US" w:eastAsia="zh-CN"/>
        </w:rPr>
        <w:t>供应商</w:t>
      </w:r>
      <w:r>
        <w:rPr>
          <w:rFonts w:hint="eastAsia" w:ascii="宋体" w:hAnsi="宋体" w:eastAsia="宋体" w:cs="宋体"/>
          <w:szCs w:val="28"/>
        </w:rPr>
        <w:t>的澄清、说明或者更正应当由法定代表人（或其授权代表）或自然人（</w:t>
      </w:r>
      <w:r>
        <w:rPr>
          <w:rFonts w:hint="eastAsia" w:ascii="宋体" w:hAnsi="宋体" w:eastAsia="宋体" w:cs="宋体"/>
          <w:sz w:val="24"/>
          <w:szCs w:val="24"/>
          <w:lang w:val="en-US" w:eastAsia="zh-CN"/>
        </w:rPr>
        <w:t>供应商</w:t>
      </w:r>
      <w:r>
        <w:rPr>
          <w:rFonts w:hint="eastAsia" w:ascii="宋体" w:hAnsi="宋体" w:eastAsia="宋体" w:cs="宋体"/>
          <w:szCs w:val="28"/>
        </w:rPr>
        <w:t>为自然人）签字或者加盖公章。由授权代表签字的，应当附法定代表人授权书。</w:t>
      </w:r>
      <w:r>
        <w:rPr>
          <w:rFonts w:hint="eastAsia" w:ascii="宋体" w:hAnsi="宋体" w:eastAsia="宋体" w:cs="宋体"/>
          <w:szCs w:val="28"/>
          <w:lang w:val="en-US" w:eastAsia="zh-CN"/>
        </w:rPr>
        <w:t>供应商</w:t>
      </w:r>
      <w:r>
        <w:rPr>
          <w:rFonts w:hint="eastAsia" w:ascii="宋体" w:hAnsi="宋体" w:eastAsia="宋体" w:cs="宋体"/>
          <w:szCs w:val="28"/>
        </w:rPr>
        <w:t>为自然人的，应当由本人签字并附身份证明。</w:t>
      </w:r>
    </w:p>
    <w:p w14:paraId="68FC012A">
      <w:pPr>
        <w:snapToGrid w:val="0"/>
        <w:spacing w:line="360" w:lineRule="auto"/>
        <w:ind w:firstLine="480" w:firstLineChars="200"/>
        <w:rPr>
          <w:rFonts w:hint="eastAsia" w:ascii="宋体" w:hAnsi="宋体" w:eastAsia="宋体" w:cs="宋体"/>
          <w:szCs w:val="28"/>
        </w:rPr>
      </w:pPr>
      <w:r>
        <w:rPr>
          <w:rFonts w:hint="eastAsia" w:ascii="宋体" w:hAnsi="宋体" w:eastAsia="宋体" w:cs="宋体"/>
          <w:szCs w:val="28"/>
        </w:rPr>
        <w:t>（五）竞争性比选评审小组采用综合评分法对</w:t>
      </w:r>
      <w:r>
        <w:rPr>
          <w:rFonts w:hint="eastAsia" w:ascii="宋体" w:hAnsi="宋体" w:eastAsia="宋体" w:cs="宋体"/>
          <w:szCs w:val="28"/>
          <w:lang w:val="en-US" w:eastAsia="zh-CN"/>
        </w:rPr>
        <w:t>供应商</w:t>
      </w:r>
      <w:r>
        <w:rPr>
          <w:rFonts w:hint="eastAsia" w:ascii="宋体" w:hAnsi="宋体" w:eastAsia="宋体" w:cs="宋体"/>
          <w:szCs w:val="28"/>
        </w:rPr>
        <w:t>的</w:t>
      </w:r>
      <w:r>
        <w:rPr>
          <w:rFonts w:hint="eastAsia" w:ascii="宋体" w:hAnsi="宋体" w:eastAsia="宋体" w:cs="宋体"/>
          <w:szCs w:val="28"/>
          <w:lang w:val="en-US" w:eastAsia="zh-CN"/>
        </w:rPr>
        <w:t>响应</w:t>
      </w:r>
      <w:r>
        <w:rPr>
          <w:rFonts w:hint="eastAsia" w:ascii="宋体" w:hAnsi="宋体" w:eastAsia="宋体" w:cs="宋体"/>
          <w:szCs w:val="28"/>
        </w:rPr>
        <w:t>文件和报价进行综合评分。综合评分法，是指</w:t>
      </w:r>
      <w:r>
        <w:rPr>
          <w:rFonts w:hint="eastAsia" w:ascii="宋体" w:hAnsi="宋体" w:eastAsia="宋体" w:cs="宋体"/>
          <w:szCs w:val="28"/>
          <w:lang w:val="en-US" w:eastAsia="zh-CN"/>
        </w:rPr>
        <w:t>响应</w:t>
      </w:r>
      <w:r>
        <w:rPr>
          <w:rFonts w:hint="eastAsia" w:ascii="宋体" w:hAnsi="宋体" w:eastAsia="宋体" w:cs="宋体"/>
          <w:szCs w:val="28"/>
        </w:rPr>
        <w:t>文件满足竞争性比选文件全部实质性要求且按照评审因素的量化指标评审得分最高的</w:t>
      </w:r>
      <w:r>
        <w:rPr>
          <w:rFonts w:hint="eastAsia" w:ascii="宋体" w:hAnsi="宋体" w:eastAsia="宋体" w:cs="宋体"/>
          <w:szCs w:val="28"/>
          <w:lang w:val="en-US" w:eastAsia="zh-CN"/>
        </w:rPr>
        <w:t>供应商</w:t>
      </w:r>
      <w:r>
        <w:rPr>
          <w:rFonts w:hint="eastAsia" w:ascii="宋体" w:hAnsi="宋体" w:eastAsia="宋体" w:cs="宋体"/>
          <w:szCs w:val="28"/>
        </w:rPr>
        <w:t>为成交候选</w:t>
      </w:r>
      <w:r>
        <w:rPr>
          <w:rFonts w:hint="eastAsia" w:ascii="宋体" w:hAnsi="宋体" w:eastAsia="宋体" w:cs="宋体"/>
          <w:sz w:val="24"/>
          <w:szCs w:val="24"/>
          <w:lang w:val="en-US" w:eastAsia="zh-CN"/>
        </w:rPr>
        <w:t>供应商</w:t>
      </w:r>
      <w:r>
        <w:rPr>
          <w:rFonts w:hint="eastAsia" w:ascii="宋体" w:hAnsi="宋体" w:eastAsia="宋体" w:cs="宋体"/>
          <w:szCs w:val="28"/>
        </w:rPr>
        <w:t>的评审方法。</w:t>
      </w:r>
      <w:r>
        <w:rPr>
          <w:rFonts w:hint="eastAsia" w:ascii="宋体" w:hAnsi="宋体" w:eastAsia="宋体" w:cs="宋体"/>
          <w:sz w:val="24"/>
          <w:szCs w:val="24"/>
          <w:lang w:val="en-US" w:eastAsia="zh-CN"/>
        </w:rPr>
        <w:t>供应商</w:t>
      </w:r>
      <w:r>
        <w:rPr>
          <w:rFonts w:hint="eastAsia" w:ascii="宋体" w:hAnsi="宋体" w:eastAsia="宋体" w:cs="宋体"/>
          <w:szCs w:val="28"/>
        </w:rPr>
        <w:t>总得分为价格、</w:t>
      </w:r>
      <w:r>
        <w:rPr>
          <w:rFonts w:hint="eastAsia" w:ascii="宋体" w:hAnsi="宋体" w:eastAsia="宋体" w:cs="宋体"/>
          <w:szCs w:val="28"/>
          <w:lang w:val="en-US" w:eastAsia="zh-CN"/>
        </w:rPr>
        <w:t>技术</w:t>
      </w:r>
      <w:r>
        <w:rPr>
          <w:rFonts w:hint="eastAsia" w:ascii="宋体" w:hAnsi="宋体" w:eastAsia="宋体" w:cs="宋体"/>
          <w:szCs w:val="28"/>
        </w:rPr>
        <w:t>、商务等评定因素分别按照相应权重值计算分项得分后相加，满分为100分。</w:t>
      </w:r>
    </w:p>
    <w:p w14:paraId="5406E776">
      <w:pPr>
        <w:snapToGrid w:val="0"/>
        <w:spacing w:line="360" w:lineRule="auto"/>
        <w:ind w:firstLine="480" w:firstLineChars="200"/>
        <w:rPr>
          <w:rFonts w:hint="eastAsia" w:ascii="宋体" w:hAnsi="宋体" w:eastAsia="宋体" w:cs="宋体"/>
          <w:szCs w:val="28"/>
        </w:rPr>
      </w:pPr>
      <w:r>
        <w:rPr>
          <w:rFonts w:hint="eastAsia" w:ascii="宋体" w:hAnsi="宋体" w:eastAsia="宋体" w:cs="宋体"/>
          <w:szCs w:val="28"/>
        </w:rPr>
        <w:t>（六）竞争性比选评审小组各成员独立对每个有效响应（通过资格性、符合性审查的</w:t>
      </w:r>
      <w:r>
        <w:rPr>
          <w:rFonts w:hint="eastAsia" w:ascii="宋体" w:hAnsi="宋体" w:eastAsia="宋体" w:cs="宋体"/>
          <w:szCs w:val="28"/>
          <w:lang w:val="en-US" w:eastAsia="zh-CN"/>
        </w:rPr>
        <w:t>供应商</w:t>
      </w:r>
      <w:r>
        <w:rPr>
          <w:rFonts w:hint="eastAsia" w:ascii="宋体" w:hAnsi="宋体" w:eastAsia="宋体" w:cs="宋体"/>
          <w:szCs w:val="28"/>
        </w:rPr>
        <w:t>）的文件进行评价、打分，然后汇总每个</w:t>
      </w:r>
      <w:r>
        <w:rPr>
          <w:rFonts w:hint="eastAsia" w:ascii="宋体" w:hAnsi="宋体" w:eastAsia="宋体" w:cs="宋体"/>
          <w:szCs w:val="28"/>
          <w:lang w:val="en-US" w:eastAsia="zh-CN"/>
        </w:rPr>
        <w:t>参选</w:t>
      </w:r>
      <w:r>
        <w:rPr>
          <w:rFonts w:hint="eastAsia" w:ascii="宋体" w:hAnsi="宋体" w:eastAsia="宋体" w:cs="宋体"/>
          <w:sz w:val="24"/>
          <w:szCs w:val="24"/>
          <w:lang w:val="en-US" w:eastAsia="zh-CN"/>
        </w:rPr>
        <w:t>供应商</w:t>
      </w:r>
      <w:r>
        <w:rPr>
          <w:rFonts w:hint="eastAsia" w:ascii="宋体" w:hAnsi="宋体" w:eastAsia="宋体" w:cs="宋体"/>
          <w:szCs w:val="28"/>
        </w:rPr>
        <w:t>每项评分因素的得分，并根据综合评分情况按照评审得分由高到低顺序推荐3名及以上成交候选</w:t>
      </w:r>
      <w:r>
        <w:rPr>
          <w:rFonts w:hint="eastAsia" w:ascii="宋体" w:hAnsi="宋体" w:eastAsia="宋体" w:cs="宋体"/>
          <w:sz w:val="24"/>
          <w:szCs w:val="24"/>
          <w:lang w:val="en-US" w:eastAsia="zh-CN"/>
        </w:rPr>
        <w:t>供应商</w:t>
      </w:r>
      <w:r>
        <w:rPr>
          <w:rFonts w:hint="eastAsia" w:ascii="宋体" w:hAnsi="宋体" w:eastAsia="宋体" w:cs="宋体"/>
          <w:szCs w:val="28"/>
        </w:rPr>
        <w:t>，排名第一的为第一成交候选</w:t>
      </w:r>
      <w:r>
        <w:rPr>
          <w:rFonts w:hint="eastAsia" w:ascii="宋体" w:hAnsi="宋体" w:eastAsia="宋体" w:cs="宋体"/>
          <w:sz w:val="24"/>
          <w:szCs w:val="24"/>
          <w:lang w:val="en-US" w:eastAsia="zh-CN"/>
        </w:rPr>
        <w:t>供应商</w:t>
      </w:r>
      <w:r>
        <w:rPr>
          <w:rFonts w:hint="eastAsia" w:ascii="宋体" w:hAnsi="宋体" w:eastAsia="宋体" w:cs="宋体"/>
          <w:szCs w:val="28"/>
        </w:rPr>
        <w:t>。评审得分且报价相同的，按照服务部分得分优劣顺序排列推荐。以上都相同的，按商务部分得分的优劣顺序排列推荐。</w:t>
      </w:r>
    </w:p>
    <w:p w14:paraId="2A9C7954">
      <w:pPr>
        <w:pStyle w:val="3"/>
        <w:keepNext/>
        <w:keepLines/>
        <w:pageBreakBefore w:val="0"/>
        <w:widowControl/>
        <w:kinsoku/>
        <w:wordWrap/>
        <w:overflowPunct/>
        <w:topLinePunct w:val="0"/>
        <w:autoSpaceDE/>
        <w:autoSpaceDN/>
        <w:bidi w:val="0"/>
        <w:adjustRightInd/>
        <w:snapToGrid w:val="0"/>
        <w:spacing w:before="0" w:after="0" w:line="360" w:lineRule="auto"/>
        <w:textAlignment w:val="auto"/>
        <w:outlineLvl w:val="1"/>
        <w:rPr>
          <w:rFonts w:hint="eastAsia" w:ascii="宋体" w:hAnsi="宋体" w:eastAsia="宋体" w:cs="宋体"/>
          <w:sz w:val="28"/>
          <w:szCs w:val="28"/>
        </w:rPr>
      </w:pPr>
      <w:bookmarkStart w:id="137" w:name="_Toc14209"/>
      <w:bookmarkStart w:id="138" w:name="_Toc1528"/>
      <w:bookmarkStart w:id="139" w:name="_Toc30615"/>
      <w:bookmarkStart w:id="140" w:name="_Toc102227320"/>
      <w:bookmarkStart w:id="141" w:name="_Toc342913394"/>
      <w:r>
        <w:rPr>
          <w:rFonts w:hint="eastAsia" w:ascii="宋体" w:hAnsi="宋体" w:eastAsia="宋体" w:cs="宋体"/>
          <w:sz w:val="28"/>
          <w:szCs w:val="28"/>
        </w:rPr>
        <w:t>二、评审标准</w:t>
      </w:r>
      <w:bookmarkEnd w:id="137"/>
      <w:bookmarkEnd w:id="138"/>
      <w:bookmarkEnd w:id="139"/>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18"/>
        <w:gridCol w:w="1227"/>
        <w:gridCol w:w="4176"/>
        <w:gridCol w:w="2096"/>
      </w:tblGrid>
      <w:tr w14:paraId="5B04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011" w:type="dxa"/>
            <w:noWrap w:val="0"/>
            <w:vAlign w:val="center"/>
          </w:tcPr>
          <w:p w14:paraId="53158E01">
            <w:pPr>
              <w:tabs>
                <w:tab w:val="left" w:pos="2519"/>
              </w:tabs>
              <w:spacing w:line="240" w:lineRule="auto"/>
              <w:ind w:left="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118" w:type="dxa"/>
            <w:noWrap w:val="0"/>
            <w:vAlign w:val="center"/>
          </w:tcPr>
          <w:p w14:paraId="2B1F9B45">
            <w:pPr>
              <w:tabs>
                <w:tab w:val="left" w:pos="2519"/>
              </w:tabs>
              <w:spacing w:line="240" w:lineRule="auto"/>
              <w:ind w:left="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评分因素及权值</w:t>
            </w:r>
          </w:p>
        </w:tc>
        <w:tc>
          <w:tcPr>
            <w:tcW w:w="1227" w:type="dxa"/>
            <w:noWrap w:val="0"/>
            <w:vAlign w:val="center"/>
          </w:tcPr>
          <w:p w14:paraId="4019FA77">
            <w:pPr>
              <w:tabs>
                <w:tab w:val="left" w:pos="2519"/>
              </w:tabs>
              <w:spacing w:line="240" w:lineRule="auto"/>
              <w:ind w:left="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4176" w:type="dxa"/>
            <w:noWrap w:val="0"/>
            <w:vAlign w:val="center"/>
          </w:tcPr>
          <w:p w14:paraId="51E61CBD">
            <w:pPr>
              <w:tabs>
                <w:tab w:val="left" w:pos="2519"/>
              </w:tabs>
              <w:spacing w:line="240" w:lineRule="auto"/>
              <w:ind w:left="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2096" w:type="dxa"/>
            <w:noWrap w:val="0"/>
            <w:vAlign w:val="center"/>
          </w:tcPr>
          <w:p w14:paraId="0EEEED96">
            <w:pPr>
              <w:pStyle w:val="67"/>
              <w:tabs>
                <w:tab w:val="left" w:pos="2519"/>
              </w:tabs>
              <w:spacing w:before="0" w:after="0" w:line="240" w:lineRule="auto"/>
              <w:ind w:lef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109E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011" w:type="dxa"/>
            <w:noWrap w:val="0"/>
            <w:vAlign w:val="center"/>
          </w:tcPr>
          <w:p w14:paraId="4D2E8E46">
            <w:pPr>
              <w:tabs>
                <w:tab w:val="left" w:pos="2519"/>
              </w:tabs>
              <w:spacing w:line="240" w:lineRule="auto"/>
              <w:ind w:lef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18" w:type="dxa"/>
            <w:noWrap w:val="0"/>
            <w:vAlign w:val="center"/>
          </w:tcPr>
          <w:p w14:paraId="55F4F660">
            <w:pPr>
              <w:tabs>
                <w:tab w:val="left" w:pos="2519"/>
              </w:tabs>
              <w:spacing w:line="240" w:lineRule="auto"/>
              <w:ind w:left="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比选</w:t>
            </w:r>
          </w:p>
          <w:p w14:paraId="4C925D46">
            <w:pPr>
              <w:tabs>
                <w:tab w:val="left" w:pos="2519"/>
              </w:tabs>
              <w:spacing w:line="240" w:lineRule="auto"/>
              <w:ind w:lef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14:paraId="662ABC16">
            <w:pPr>
              <w:tabs>
                <w:tab w:val="left" w:pos="2519"/>
              </w:tabs>
              <w:spacing w:line="240" w:lineRule="auto"/>
              <w:ind w:lef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tc>
        <w:tc>
          <w:tcPr>
            <w:tcW w:w="1227" w:type="dxa"/>
            <w:noWrap w:val="0"/>
            <w:vAlign w:val="center"/>
          </w:tcPr>
          <w:p w14:paraId="18B3F46F">
            <w:pPr>
              <w:tabs>
                <w:tab w:val="left" w:pos="2519"/>
              </w:tabs>
              <w:spacing w:line="240" w:lineRule="auto"/>
              <w:ind w:left="0" w:firstLine="0" w:firstLineChars="0"/>
              <w:jc w:val="center"/>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4176" w:type="dxa"/>
            <w:noWrap w:val="0"/>
            <w:vAlign w:val="center"/>
          </w:tcPr>
          <w:p w14:paraId="665B4D95">
            <w:pPr>
              <w:spacing w:line="240" w:lineRule="auto"/>
              <w:ind w:lef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所有通过资格评审和符合性评审合格的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比选总</w:t>
            </w:r>
            <w:r>
              <w:rPr>
                <w:rFonts w:hint="eastAsia" w:ascii="宋体" w:hAnsi="宋体" w:eastAsia="宋体" w:cs="宋体"/>
                <w:color w:val="auto"/>
                <w:sz w:val="24"/>
                <w:szCs w:val="24"/>
                <w:highlight w:val="none"/>
              </w:rPr>
              <w:t>报价的算术平均值为评审基准价。</w:t>
            </w:r>
            <w:r>
              <w:rPr>
                <w:rFonts w:hint="eastAsia" w:ascii="宋体" w:hAnsi="宋体" w:eastAsia="宋体" w:cs="宋体"/>
                <w:color w:val="auto"/>
                <w:sz w:val="24"/>
                <w:szCs w:val="24"/>
                <w:highlight w:val="none"/>
                <w:lang w:val="en-US" w:eastAsia="zh-CN"/>
              </w:rPr>
              <w:t>比选总</w:t>
            </w:r>
            <w:r>
              <w:rPr>
                <w:rFonts w:hint="eastAsia" w:ascii="宋体" w:hAnsi="宋体" w:eastAsia="宋体" w:cs="宋体"/>
                <w:color w:val="auto"/>
                <w:sz w:val="24"/>
                <w:szCs w:val="24"/>
                <w:highlight w:val="none"/>
              </w:rPr>
              <w:t>报价等于评审基准价的得满分</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分。在此基础上，</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总报价与评审准基价相比，每增加1%扣</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分，每减少1%扣 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分，扣完为止。</w:t>
            </w:r>
          </w:p>
          <w:p w14:paraId="4A49C7F8">
            <w:pPr>
              <w:spacing w:line="240" w:lineRule="auto"/>
              <w:ind w:lef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按插入法计算得分。</w:t>
            </w:r>
          </w:p>
          <w:p w14:paraId="2C02CE4E">
            <w:pPr>
              <w:spacing w:line="240" w:lineRule="auto"/>
              <w:ind w:lef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以上计算取小数点后两位，第三位四舍五入。</w:t>
            </w:r>
          </w:p>
          <w:p w14:paraId="31473948">
            <w:pPr>
              <w:tabs>
                <w:tab w:val="left" w:pos="2519"/>
              </w:tabs>
              <w:spacing w:line="24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在评审基准价计算完成后（除计算错误外），在后续的评审中不得再对其做出调整。</w:t>
            </w:r>
          </w:p>
        </w:tc>
        <w:tc>
          <w:tcPr>
            <w:tcW w:w="2096" w:type="dxa"/>
            <w:noWrap w:val="0"/>
            <w:vAlign w:val="center"/>
          </w:tcPr>
          <w:p w14:paraId="6F85772F">
            <w:pPr>
              <w:tabs>
                <w:tab w:val="left" w:pos="2519"/>
              </w:tabs>
              <w:spacing w:line="240" w:lineRule="auto"/>
              <w:ind w:left="0" w:firstLine="0" w:firstLineChars="0"/>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总价及单项报价均不得超过最高限价，否者</w:t>
            </w:r>
            <w:r>
              <w:rPr>
                <w:rFonts w:hint="eastAsia" w:ascii="宋体" w:hAnsi="宋体" w:eastAsia="宋体" w:cs="宋体"/>
                <w:color w:val="auto"/>
                <w:sz w:val="24"/>
                <w:szCs w:val="24"/>
                <w:highlight w:val="none"/>
              </w:rPr>
              <w:t>为无效报价</w:t>
            </w:r>
            <w:r>
              <w:rPr>
                <w:rFonts w:hint="eastAsia" w:cs="宋体"/>
                <w:color w:val="auto"/>
                <w:sz w:val="24"/>
                <w:szCs w:val="24"/>
                <w:highlight w:val="none"/>
                <w:lang w:eastAsia="zh-CN"/>
              </w:rPr>
              <w:t>。</w:t>
            </w:r>
          </w:p>
        </w:tc>
      </w:tr>
      <w:tr w14:paraId="1162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0" w:hRule="atLeast"/>
        </w:trPr>
        <w:tc>
          <w:tcPr>
            <w:tcW w:w="1011" w:type="dxa"/>
            <w:vMerge w:val="restart"/>
            <w:noWrap w:val="0"/>
            <w:vAlign w:val="center"/>
          </w:tcPr>
          <w:p w14:paraId="44CD8B35">
            <w:pPr>
              <w:tabs>
                <w:tab w:val="left" w:pos="2519"/>
              </w:tabs>
              <w:spacing w:line="240" w:lineRule="auto"/>
              <w:ind w:lef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14:paraId="72A9389C">
            <w:pPr>
              <w:tabs>
                <w:tab w:val="left" w:pos="2519"/>
              </w:tabs>
              <w:spacing w:line="240" w:lineRule="auto"/>
              <w:ind w:left="0" w:firstLine="0" w:firstLineChars="0"/>
              <w:jc w:val="center"/>
              <w:rPr>
                <w:rFonts w:hint="eastAsia" w:ascii="宋体" w:hAnsi="宋体" w:eastAsia="宋体" w:cs="宋体"/>
                <w:color w:val="auto"/>
                <w:sz w:val="24"/>
                <w:szCs w:val="24"/>
                <w:highlight w:val="none"/>
              </w:rPr>
            </w:pPr>
          </w:p>
        </w:tc>
        <w:tc>
          <w:tcPr>
            <w:tcW w:w="1118" w:type="dxa"/>
            <w:vMerge w:val="restart"/>
            <w:noWrap w:val="0"/>
            <w:vAlign w:val="center"/>
          </w:tcPr>
          <w:p w14:paraId="6D705CE4">
            <w:pPr>
              <w:tabs>
                <w:tab w:val="left" w:pos="2519"/>
              </w:tabs>
              <w:spacing w:line="240" w:lineRule="auto"/>
              <w:ind w:left="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部分</w:t>
            </w:r>
          </w:p>
          <w:p w14:paraId="4A1DE11C">
            <w:pPr>
              <w:tabs>
                <w:tab w:val="left" w:pos="2519"/>
              </w:tabs>
              <w:spacing w:line="240" w:lineRule="auto"/>
              <w:ind w:lef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tc>
        <w:tc>
          <w:tcPr>
            <w:tcW w:w="1227" w:type="dxa"/>
            <w:vMerge w:val="restart"/>
            <w:noWrap w:val="0"/>
            <w:vAlign w:val="center"/>
          </w:tcPr>
          <w:p w14:paraId="7BDE5D93">
            <w:pPr>
              <w:tabs>
                <w:tab w:val="left" w:pos="2519"/>
              </w:tabs>
              <w:spacing w:line="240" w:lineRule="auto"/>
              <w:ind w:left="0" w:firstLine="0" w:firstLineChars="0"/>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0分</w:t>
            </w:r>
          </w:p>
        </w:tc>
        <w:tc>
          <w:tcPr>
            <w:tcW w:w="4176" w:type="dxa"/>
            <w:noWrap w:val="0"/>
            <w:vAlign w:val="center"/>
          </w:tcPr>
          <w:p w14:paraId="4ECE8097">
            <w:pPr>
              <w:tabs>
                <w:tab w:val="left" w:pos="2519"/>
              </w:tabs>
              <w:spacing w:line="24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施工方案与技术措施（</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rPr>
              <w:t xml:space="preserve">   </w:t>
            </w:r>
          </w:p>
          <w:p w14:paraId="616A6A25">
            <w:pPr>
              <w:tabs>
                <w:tab w:val="left" w:pos="2519"/>
              </w:tabs>
              <w:spacing w:line="24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针对本项目的施工方案与技术措施（包括但不限于：</w:t>
            </w:r>
            <w:r>
              <w:rPr>
                <w:rFonts w:hint="eastAsia" w:ascii="宋体" w:hAnsi="宋体" w:eastAsia="宋体" w:cs="宋体"/>
                <w:color w:val="auto"/>
                <w:sz w:val="24"/>
                <w:szCs w:val="24"/>
                <w:highlight w:val="none"/>
              </w:rPr>
              <w:t>施工组织设计、规程措施、施工技术关键点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施工重</w:t>
            </w:r>
            <w:r>
              <w:rPr>
                <w:rFonts w:hint="eastAsia" w:ascii="宋体" w:hAnsi="宋体" w:eastAsia="宋体" w:cs="宋体"/>
                <w:color w:val="auto"/>
                <w:sz w:val="24"/>
                <w:szCs w:val="24"/>
                <w:highlight w:val="none"/>
                <w:lang w:val="en-US" w:eastAsia="zh-CN"/>
              </w:rPr>
              <w:t>难点等内容）。</w:t>
            </w:r>
          </w:p>
          <w:p w14:paraId="4F0F5E49">
            <w:pPr>
              <w:tabs>
                <w:tab w:val="left" w:pos="2519"/>
              </w:tabs>
              <w:spacing w:line="240" w:lineRule="auto"/>
              <w:ind w:left="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施工组织设计针对性强、规程措施针对性强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便于施工，施工技术关键点适用性强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施工重</w:t>
            </w:r>
            <w:r>
              <w:rPr>
                <w:rFonts w:hint="eastAsia" w:ascii="宋体" w:hAnsi="宋体" w:eastAsia="宋体" w:cs="宋体"/>
                <w:color w:val="auto"/>
                <w:sz w:val="24"/>
                <w:szCs w:val="24"/>
                <w:highlight w:val="none"/>
                <w:lang w:val="en-US" w:eastAsia="zh-CN"/>
              </w:rPr>
              <w:t>难点</w:t>
            </w:r>
            <w:r>
              <w:rPr>
                <w:rFonts w:hint="eastAsia" w:ascii="宋体" w:hAnsi="宋体" w:eastAsia="宋体" w:cs="宋体"/>
                <w:color w:val="auto"/>
                <w:kern w:val="0"/>
                <w:sz w:val="24"/>
                <w:szCs w:val="24"/>
                <w:highlight w:val="none"/>
              </w:rPr>
              <w:t>符合本项目特点</w:t>
            </w:r>
            <w:r>
              <w:rPr>
                <w:rFonts w:hint="eastAsia" w:ascii="宋体" w:hAnsi="宋体" w:eastAsia="宋体" w:cs="宋体"/>
                <w:color w:val="auto"/>
                <w:kern w:val="0"/>
                <w:sz w:val="24"/>
                <w:szCs w:val="24"/>
                <w:highlight w:val="none"/>
                <w:lang w:val="en-US" w:eastAsia="zh-CN"/>
              </w:rPr>
              <w:t>且方案内容不存在瑕疵</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5DC34E8E">
            <w:pPr>
              <w:tabs>
                <w:tab w:val="left" w:pos="2519"/>
              </w:tabs>
              <w:spacing w:line="240" w:lineRule="auto"/>
              <w:ind w:left="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方案内容存在1处瑕疵</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6E11FBAB">
            <w:pPr>
              <w:tabs>
                <w:tab w:val="left" w:pos="2519"/>
              </w:tabs>
              <w:spacing w:line="240" w:lineRule="auto"/>
              <w:ind w:left="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方案内容存在2处瑕疵</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2013C4EB">
            <w:pPr>
              <w:tabs>
                <w:tab w:val="left" w:pos="2519"/>
              </w:tabs>
              <w:spacing w:line="240" w:lineRule="auto"/>
              <w:ind w:left="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方案内容存在3处瑕疵及以上</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7DA6E92F">
            <w:pPr>
              <w:tabs>
                <w:tab w:val="left" w:pos="2519"/>
              </w:tabs>
              <w:spacing w:line="24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不提供得0分</w:t>
            </w:r>
            <w:r>
              <w:rPr>
                <w:rFonts w:hint="eastAsia" w:ascii="宋体" w:hAnsi="宋体" w:eastAsia="宋体" w:cs="宋体"/>
                <w:color w:val="auto"/>
                <w:kern w:val="0"/>
                <w:sz w:val="24"/>
                <w:szCs w:val="24"/>
                <w:highlight w:val="none"/>
                <w:lang w:eastAsia="zh-CN"/>
              </w:rPr>
              <w:t>。</w:t>
            </w:r>
          </w:p>
        </w:tc>
        <w:tc>
          <w:tcPr>
            <w:tcW w:w="2096" w:type="dxa"/>
            <w:vMerge w:val="restart"/>
            <w:noWrap w:val="0"/>
            <w:vAlign w:val="center"/>
          </w:tcPr>
          <w:p w14:paraId="48606C41">
            <w:pPr>
              <w:tabs>
                <w:tab w:val="left" w:pos="2519"/>
              </w:tabs>
              <w:adjustRightInd w:val="0"/>
              <w:snapToGrid w:val="0"/>
              <w:spacing w:line="240" w:lineRule="auto"/>
              <w:ind w:left="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提供相关方案</w:t>
            </w:r>
          </w:p>
          <w:p w14:paraId="37403CF1">
            <w:pPr>
              <w:tabs>
                <w:tab w:val="left" w:pos="2519"/>
              </w:tabs>
              <w:adjustRightInd w:val="0"/>
              <w:snapToGrid w:val="0"/>
              <w:spacing w:line="24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1.本项内容中所称的“瑕疵”指方案内容缺项、内容表述不完整或缺少关键分析点，方案不具体，不完善、不完整、不合理、不可靠，现场考虑不充分、可实施程度低、关键性工序考虑不充分，方案内容表述前后矛盾、无连贯性等任意一种情形。</w:t>
            </w:r>
          </w:p>
        </w:tc>
      </w:tr>
      <w:tr w14:paraId="316E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011" w:type="dxa"/>
            <w:vMerge w:val="continue"/>
            <w:noWrap w:val="0"/>
            <w:vAlign w:val="center"/>
          </w:tcPr>
          <w:p w14:paraId="2E6A5BC2">
            <w:pPr>
              <w:tabs>
                <w:tab w:val="left" w:pos="2519"/>
              </w:tabs>
              <w:spacing w:line="240" w:lineRule="auto"/>
              <w:ind w:left="0" w:firstLine="0" w:firstLineChars="0"/>
              <w:jc w:val="center"/>
              <w:rPr>
                <w:rFonts w:hint="eastAsia" w:ascii="宋体" w:hAnsi="宋体" w:eastAsia="宋体" w:cs="宋体"/>
                <w:color w:val="auto"/>
                <w:sz w:val="24"/>
                <w:szCs w:val="24"/>
                <w:highlight w:val="none"/>
              </w:rPr>
            </w:pPr>
          </w:p>
        </w:tc>
        <w:tc>
          <w:tcPr>
            <w:tcW w:w="1118" w:type="dxa"/>
            <w:vMerge w:val="continue"/>
            <w:noWrap w:val="0"/>
            <w:vAlign w:val="center"/>
          </w:tcPr>
          <w:p w14:paraId="7695F16A">
            <w:pPr>
              <w:tabs>
                <w:tab w:val="left" w:pos="2519"/>
              </w:tabs>
              <w:spacing w:line="240" w:lineRule="auto"/>
              <w:ind w:left="0" w:firstLine="0" w:firstLineChars="0"/>
              <w:jc w:val="center"/>
              <w:rPr>
                <w:rFonts w:hint="eastAsia" w:ascii="宋体" w:hAnsi="宋体" w:eastAsia="宋体" w:cs="宋体"/>
                <w:color w:val="auto"/>
                <w:sz w:val="24"/>
                <w:szCs w:val="24"/>
                <w:highlight w:val="none"/>
              </w:rPr>
            </w:pPr>
          </w:p>
        </w:tc>
        <w:tc>
          <w:tcPr>
            <w:tcW w:w="1227" w:type="dxa"/>
            <w:vMerge w:val="continue"/>
            <w:noWrap w:val="0"/>
            <w:vAlign w:val="center"/>
          </w:tcPr>
          <w:p w14:paraId="1AF80CF7">
            <w:pPr>
              <w:tabs>
                <w:tab w:val="left" w:pos="2519"/>
              </w:tabs>
              <w:spacing w:line="240" w:lineRule="auto"/>
              <w:ind w:left="0" w:firstLine="0" w:firstLineChars="0"/>
              <w:jc w:val="center"/>
              <w:rPr>
                <w:rFonts w:hint="eastAsia" w:ascii="宋体" w:hAnsi="宋体" w:eastAsia="宋体" w:cs="宋体"/>
                <w:color w:val="auto"/>
                <w:sz w:val="24"/>
                <w:szCs w:val="24"/>
                <w:highlight w:val="none"/>
              </w:rPr>
            </w:pPr>
          </w:p>
        </w:tc>
        <w:tc>
          <w:tcPr>
            <w:tcW w:w="4176" w:type="dxa"/>
            <w:noWrap w:val="0"/>
            <w:vAlign w:val="center"/>
          </w:tcPr>
          <w:p w14:paraId="1CF2D639">
            <w:pPr>
              <w:tabs>
                <w:tab w:val="left" w:pos="2519"/>
              </w:tabs>
              <w:spacing w:line="24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质量管理体系与措施（</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rPr>
              <w:t xml:space="preserve">   </w:t>
            </w:r>
          </w:p>
          <w:p w14:paraId="2E92DE94">
            <w:pPr>
              <w:tabs>
                <w:tab w:val="left" w:pos="2519"/>
              </w:tabs>
              <w:spacing w:line="24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针对本项目的质量管理体系与措施（包括但不限于：</w:t>
            </w:r>
            <w:r>
              <w:rPr>
                <w:rFonts w:hint="eastAsia" w:ascii="宋体" w:hAnsi="宋体" w:eastAsia="宋体" w:cs="宋体"/>
                <w:color w:val="auto"/>
                <w:sz w:val="24"/>
                <w:szCs w:val="24"/>
                <w:highlight w:val="none"/>
              </w:rPr>
              <w:t>施工质量保证体系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质量检查监督机构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并有有效的控制措施和手段</w:t>
            </w:r>
            <w:r>
              <w:rPr>
                <w:rFonts w:hint="eastAsia" w:ascii="宋体" w:hAnsi="宋体" w:eastAsia="宋体" w:cs="宋体"/>
                <w:color w:val="auto"/>
                <w:sz w:val="24"/>
                <w:szCs w:val="24"/>
                <w:highlight w:val="none"/>
                <w:lang w:val="en-US" w:eastAsia="zh-CN"/>
              </w:rPr>
              <w:t>等内容</w:t>
            </w:r>
            <w:r>
              <w:rPr>
                <w:rFonts w:hint="eastAsia" w:ascii="宋体" w:hAnsi="宋体" w:eastAsia="宋体" w:cs="宋体"/>
                <w:color w:val="auto"/>
                <w:sz w:val="24"/>
                <w:szCs w:val="24"/>
                <w:highlight w:val="none"/>
                <w:lang w:eastAsia="zh-CN"/>
              </w:rPr>
              <w:t>）。</w:t>
            </w:r>
          </w:p>
          <w:p w14:paraId="72A59807">
            <w:pPr>
              <w:tabs>
                <w:tab w:val="left" w:pos="2519"/>
              </w:tabs>
              <w:spacing w:line="240" w:lineRule="auto"/>
              <w:ind w:left="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方案内容符合本项目特点，内容表述清楚、连贯，符合逻辑</w:t>
            </w:r>
            <w:r>
              <w:rPr>
                <w:rFonts w:hint="eastAsia" w:ascii="宋体" w:hAnsi="宋体" w:eastAsia="宋体" w:cs="宋体"/>
                <w:color w:val="auto"/>
                <w:kern w:val="0"/>
                <w:sz w:val="24"/>
                <w:szCs w:val="24"/>
                <w:highlight w:val="none"/>
                <w:lang w:val="en-US" w:eastAsia="zh-CN"/>
              </w:rPr>
              <w:t>且方案内容不存在瑕疵</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2EC3E161">
            <w:pPr>
              <w:tabs>
                <w:tab w:val="left" w:pos="2519"/>
              </w:tabs>
              <w:spacing w:line="240" w:lineRule="auto"/>
              <w:ind w:left="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方案内容存在1处瑕疵</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3477E2BC">
            <w:pPr>
              <w:tabs>
                <w:tab w:val="left" w:pos="2519"/>
              </w:tabs>
              <w:spacing w:line="240" w:lineRule="auto"/>
              <w:ind w:left="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方案内容存在2处瑕疵</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2266E4E8">
            <w:pPr>
              <w:tabs>
                <w:tab w:val="left" w:pos="2519"/>
              </w:tabs>
              <w:spacing w:line="240" w:lineRule="auto"/>
              <w:ind w:left="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方案内容存在3处瑕疵及以上</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3620447B">
            <w:pPr>
              <w:tabs>
                <w:tab w:val="left" w:pos="2519"/>
              </w:tabs>
              <w:spacing w:line="24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不提供得0分</w:t>
            </w:r>
            <w:r>
              <w:rPr>
                <w:rFonts w:hint="eastAsia" w:ascii="宋体" w:hAnsi="宋体" w:eastAsia="宋体" w:cs="宋体"/>
                <w:color w:val="auto"/>
                <w:kern w:val="0"/>
                <w:sz w:val="24"/>
                <w:szCs w:val="24"/>
                <w:highlight w:val="none"/>
                <w:lang w:eastAsia="zh-CN"/>
              </w:rPr>
              <w:t>。</w:t>
            </w:r>
          </w:p>
        </w:tc>
        <w:tc>
          <w:tcPr>
            <w:tcW w:w="2096" w:type="dxa"/>
            <w:vMerge w:val="continue"/>
            <w:noWrap w:val="0"/>
            <w:vAlign w:val="center"/>
          </w:tcPr>
          <w:p w14:paraId="7F59F326">
            <w:pPr>
              <w:tabs>
                <w:tab w:val="left" w:pos="2519"/>
              </w:tabs>
              <w:adjustRightInd w:val="0"/>
              <w:snapToGrid w:val="0"/>
              <w:spacing w:line="240" w:lineRule="auto"/>
              <w:ind w:left="0" w:firstLine="0" w:firstLineChars="0"/>
              <w:rPr>
                <w:rFonts w:hint="eastAsia" w:ascii="宋体" w:hAnsi="宋体" w:eastAsia="宋体" w:cs="宋体"/>
                <w:color w:val="auto"/>
                <w:sz w:val="24"/>
                <w:szCs w:val="24"/>
                <w:highlight w:val="none"/>
              </w:rPr>
            </w:pPr>
          </w:p>
        </w:tc>
      </w:tr>
      <w:tr w14:paraId="5B9D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011" w:type="dxa"/>
            <w:vMerge w:val="continue"/>
            <w:noWrap w:val="0"/>
            <w:vAlign w:val="center"/>
          </w:tcPr>
          <w:p w14:paraId="63916B29">
            <w:pPr>
              <w:tabs>
                <w:tab w:val="left" w:pos="2519"/>
              </w:tabs>
              <w:spacing w:line="240" w:lineRule="auto"/>
              <w:ind w:left="0" w:firstLine="0" w:firstLineChars="0"/>
              <w:jc w:val="center"/>
              <w:rPr>
                <w:rFonts w:hint="eastAsia" w:ascii="宋体" w:hAnsi="宋体" w:eastAsia="宋体" w:cs="宋体"/>
                <w:color w:val="auto"/>
                <w:sz w:val="24"/>
                <w:szCs w:val="24"/>
                <w:highlight w:val="none"/>
              </w:rPr>
            </w:pPr>
          </w:p>
        </w:tc>
        <w:tc>
          <w:tcPr>
            <w:tcW w:w="1118" w:type="dxa"/>
            <w:vMerge w:val="continue"/>
            <w:noWrap w:val="0"/>
            <w:vAlign w:val="center"/>
          </w:tcPr>
          <w:p w14:paraId="10EA44F8">
            <w:pPr>
              <w:tabs>
                <w:tab w:val="left" w:pos="2519"/>
              </w:tabs>
              <w:spacing w:line="240" w:lineRule="auto"/>
              <w:ind w:left="0" w:firstLine="0" w:firstLineChars="0"/>
              <w:jc w:val="center"/>
              <w:rPr>
                <w:rFonts w:hint="eastAsia" w:ascii="宋体" w:hAnsi="宋体" w:eastAsia="宋体" w:cs="宋体"/>
                <w:color w:val="auto"/>
                <w:sz w:val="24"/>
                <w:szCs w:val="24"/>
                <w:highlight w:val="none"/>
              </w:rPr>
            </w:pPr>
          </w:p>
        </w:tc>
        <w:tc>
          <w:tcPr>
            <w:tcW w:w="1227" w:type="dxa"/>
            <w:vMerge w:val="continue"/>
            <w:noWrap w:val="0"/>
            <w:vAlign w:val="center"/>
          </w:tcPr>
          <w:p w14:paraId="335C05A9">
            <w:pPr>
              <w:tabs>
                <w:tab w:val="left" w:pos="2519"/>
              </w:tabs>
              <w:spacing w:line="240" w:lineRule="auto"/>
              <w:ind w:left="0" w:firstLine="0" w:firstLineChars="0"/>
              <w:jc w:val="center"/>
              <w:rPr>
                <w:rFonts w:hint="eastAsia" w:ascii="宋体" w:hAnsi="宋体" w:eastAsia="宋体" w:cs="宋体"/>
                <w:color w:val="auto"/>
                <w:sz w:val="24"/>
                <w:szCs w:val="24"/>
                <w:highlight w:val="none"/>
              </w:rPr>
            </w:pPr>
          </w:p>
        </w:tc>
        <w:tc>
          <w:tcPr>
            <w:tcW w:w="4176" w:type="dxa"/>
            <w:noWrap w:val="0"/>
            <w:vAlign w:val="center"/>
          </w:tcPr>
          <w:p w14:paraId="46661631">
            <w:pPr>
              <w:tabs>
                <w:tab w:val="left" w:pos="2519"/>
              </w:tabs>
              <w:spacing w:line="24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安全管理体系与措施（</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 xml:space="preserve">分）  </w:t>
            </w:r>
            <w:r>
              <w:rPr>
                <w:rFonts w:hint="eastAsia" w:ascii="宋体" w:hAnsi="宋体" w:eastAsia="宋体" w:cs="宋体"/>
                <w:color w:val="auto"/>
                <w:sz w:val="24"/>
                <w:szCs w:val="24"/>
                <w:highlight w:val="none"/>
              </w:rPr>
              <w:t xml:space="preserve"> </w:t>
            </w:r>
          </w:p>
          <w:p w14:paraId="3406AF94">
            <w:pPr>
              <w:tabs>
                <w:tab w:val="left" w:pos="2519"/>
              </w:tabs>
              <w:spacing w:line="24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针对本项目的安全管理体系与措施（包括但不限于</w:t>
            </w:r>
            <w:r>
              <w:rPr>
                <w:rFonts w:hint="eastAsia" w:ascii="宋体" w:hAnsi="宋体" w:eastAsia="宋体" w:cs="宋体"/>
                <w:color w:val="auto"/>
                <w:sz w:val="24"/>
                <w:szCs w:val="24"/>
                <w:highlight w:val="none"/>
              </w:rPr>
              <w:t>建立了施工安全保障体系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施工现场管理人员安全生产职责明确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施工安全保证目标明确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针对工程特点</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周边环境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确定危险源并制定具体的防护措施</w:t>
            </w:r>
            <w:r>
              <w:rPr>
                <w:rFonts w:hint="eastAsia" w:ascii="宋体" w:hAnsi="宋体" w:eastAsia="宋体" w:cs="宋体"/>
                <w:color w:val="auto"/>
                <w:sz w:val="24"/>
                <w:szCs w:val="24"/>
                <w:highlight w:val="none"/>
                <w:lang w:val="en-US" w:eastAsia="zh-CN"/>
              </w:rPr>
              <w:t>等内容</w:t>
            </w:r>
            <w:r>
              <w:rPr>
                <w:rFonts w:hint="eastAsia" w:ascii="宋体" w:hAnsi="宋体" w:eastAsia="宋体" w:cs="宋体"/>
                <w:color w:val="auto"/>
                <w:sz w:val="24"/>
                <w:szCs w:val="24"/>
                <w:highlight w:val="none"/>
                <w:lang w:eastAsia="zh-CN"/>
              </w:rPr>
              <w:t>）。</w:t>
            </w:r>
          </w:p>
          <w:p w14:paraId="2BDB6E47">
            <w:pPr>
              <w:tabs>
                <w:tab w:val="left" w:pos="2519"/>
              </w:tabs>
              <w:spacing w:line="240" w:lineRule="auto"/>
              <w:ind w:left="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方案</w:t>
            </w:r>
            <w:r>
              <w:rPr>
                <w:rFonts w:hint="eastAsia" w:ascii="宋体" w:hAnsi="宋体" w:eastAsia="宋体" w:cs="宋体"/>
                <w:color w:val="auto"/>
                <w:sz w:val="24"/>
                <w:szCs w:val="24"/>
                <w:highlight w:val="none"/>
              </w:rPr>
              <w:t>内容齐全</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思路清晰，</w:t>
            </w:r>
            <w:r>
              <w:rPr>
                <w:rFonts w:hint="eastAsia" w:ascii="宋体" w:hAnsi="宋体" w:eastAsia="宋体" w:cs="宋体"/>
                <w:color w:val="auto"/>
                <w:sz w:val="24"/>
                <w:szCs w:val="24"/>
                <w:highlight w:val="none"/>
              </w:rPr>
              <w:t>符合工程实际</w:t>
            </w:r>
            <w:r>
              <w:rPr>
                <w:rFonts w:hint="eastAsia" w:ascii="宋体" w:hAnsi="宋体" w:eastAsia="宋体" w:cs="宋体"/>
                <w:color w:val="auto"/>
                <w:kern w:val="0"/>
                <w:sz w:val="24"/>
                <w:szCs w:val="24"/>
                <w:highlight w:val="none"/>
              </w:rPr>
              <w:t>，符合逻辑</w:t>
            </w:r>
            <w:r>
              <w:rPr>
                <w:rFonts w:hint="eastAsia" w:ascii="宋体" w:hAnsi="宋体" w:eastAsia="宋体" w:cs="宋体"/>
                <w:color w:val="auto"/>
                <w:kern w:val="0"/>
                <w:sz w:val="24"/>
                <w:szCs w:val="24"/>
                <w:highlight w:val="none"/>
                <w:lang w:val="en-US" w:eastAsia="zh-CN"/>
              </w:rPr>
              <w:t>且方案内容不存在瑕疵</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79095573">
            <w:pPr>
              <w:tabs>
                <w:tab w:val="left" w:pos="2519"/>
              </w:tabs>
              <w:spacing w:line="240" w:lineRule="auto"/>
              <w:ind w:left="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方案内容存在1处瑕疵</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7F86ECDE">
            <w:pPr>
              <w:tabs>
                <w:tab w:val="left" w:pos="2519"/>
              </w:tabs>
              <w:spacing w:line="240" w:lineRule="auto"/>
              <w:ind w:left="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方案内容存在2处瑕疵</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0279D400">
            <w:pPr>
              <w:tabs>
                <w:tab w:val="left" w:pos="2519"/>
              </w:tabs>
              <w:spacing w:line="240" w:lineRule="auto"/>
              <w:ind w:left="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方案内容存在3处瑕疵及以上</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682E70E3">
            <w:pPr>
              <w:tabs>
                <w:tab w:val="left" w:pos="2519"/>
              </w:tabs>
              <w:spacing w:line="24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不提供得0分</w:t>
            </w:r>
            <w:r>
              <w:rPr>
                <w:rFonts w:hint="eastAsia" w:ascii="宋体" w:hAnsi="宋体" w:eastAsia="宋体" w:cs="宋体"/>
                <w:color w:val="auto"/>
                <w:kern w:val="0"/>
                <w:sz w:val="24"/>
                <w:szCs w:val="24"/>
                <w:highlight w:val="none"/>
                <w:lang w:eastAsia="zh-CN"/>
              </w:rPr>
              <w:t>。</w:t>
            </w:r>
          </w:p>
        </w:tc>
        <w:tc>
          <w:tcPr>
            <w:tcW w:w="2096" w:type="dxa"/>
            <w:vMerge w:val="continue"/>
            <w:noWrap w:val="0"/>
            <w:vAlign w:val="center"/>
          </w:tcPr>
          <w:p w14:paraId="48220678">
            <w:pPr>
              <w:tabs>
                <w:tab w:val="left" w:pos="2519"/>
              </w:tabs>
              <w:adjustRightInd w:val="0"/>
              <w:snapToGrid w:val="0"/>
              <w:spacing w:line="240" w:lineRule="auto"/>
              <w:ind w:left="0" w:firstLine="0" w:firstLineChars="0"/>
              <w:rPr>
                <w:rFonts w:hint="eastAsia" w:ascii="宋体" w:hAnsi="宋体" w:eastAsia="宋体" w:cs="宋体"/>
                <w:color w:val="auto"/>
                <w:sz w:val="24"/>
                <w:szCs w:val="24"/>
                <w:highlight w:val="none"/>
              </w:rPr>
            </w:pPr>
          </w:p>
        </w:tc>
      </w:tr>
      <w:tr w14:paraId="31A7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011" w:type="dxa"/>
            <w:vMerge w:val="continue"/>
            <w:noWrap w:val="0"/>
            <w:vAlign w:val="center"/>
          </w:tcPr>
          <w:p w14:paraId="7EFC0905">
            <w:pPr>
              <w:tabs>
                <w:tab w:val="left" w:pos="2519"/>
              </w:tabs>
              <w:spacing w:line="240" w:lineRule="auto"/>
              <w:ind w:left="0" w:firstLine="0" w:firstLineChars="0"/>
              <w:jc w:val="center"/>
              <w:rPr>
                <w:rFonts w:hint="eastAsia" w:ascii="宋体" w:hAnsi="宋体" w:eastAsia="宋体" w:cs="宋体"/>
                <w:color w:val="auto"/>
                <w:sz w:val="24"/>
                <w:szCs w:val="24"/>
                <w:highlight w:val="none"/>
              </w:rPr>
            </w:pPr>
          </w:p>
        </w:tc>
        <w:tc>
          <w:tcPr>
            <w:tcW w:w="1118" w:type="dxa"/>
            <w:vMerge w:val="continue"/>
            <w:noWrap w:val="0"/>
            <w:vAlign w:val="center"/>
          </w:tcPr>
          <w:p w14:paraId="23979137">
            <w:pPr>
              <w:tabs>
                <w:tab w:val="left" w:pos="2519"/>
              </w:tabs>
              <w:spacing w:line="240" w:lineRule="auto"/>
              <w:ind w:left="0" w:firstLine="0" w:firstLineChars="0"/>
              <w:jc w:val="center"/>
              <w:rPr>
                <w:rFonts w:hint="eastAsia" w:ascii="宋体" w:hAnsi="宋体" w:eastAsia="宋体" w:cs="宋体"/>
                <w:color w:val="auto"/>
                <w:sz w:val="24"/>
                <w:szCs w:val="24"/>
                <w:highlight w:val="none"/>
              </w:rPr>
            </w:pPr>
          </w:p>
        </w:tc>
        <w:tc>
          <w:tcPr>
            <w:tcW w:w="1227" w:type="dxa"/>
            <w:vMerge w:val="continue"/>
            <w:noWrap w:val="0"/>
            <w:vAlign w:val="center"/>
          </w:tcPr>
          <w:p w14:paraId="206C08DC">
            <w:pPr>
              <w:tabs>
                <w:tab w:val="left" w:pos="2519"/>
              </w:tabs>
              <w:spacing w:line="240" w:lineRule="auto"/>
              <w:ind w:left="0" w:firstLine="0" w:firstLineChars="0"/>
              <w:jc w:val="center"/>
              <w:rPr>
                <w:rFonts w:hint="eastAsia" w:ascii="宋体" w:hAnsi="宋体" w:eastAsia="宋体" w:cs="宋体"/>
                <w:color w:val="auto"/>
                <w:sz w:val="24"/>
                <w:szCs w:val="24"/>
                <w:highlight w:val="none"/>
              </w:rPr>
            </w:pPr>
          </w:p>
        </w:tc>
        <w:tc>
          <w:tcPr>
            <w:tcW w:w="4176" w:type="dxa"/>
            <w:noWrap w:val="0"/>
            <w:vAlign w:val="center"/>
          </w:tcPr>
          <w:p w14:paraId="76EEDFE3">
            <w:pPr>
              <w:tabs>
                <w:tab w:val="left" w:pos="2519"/>
              </w:tabs>
              <w:spacing w:line="24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环境保护管理体系措施（</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 xml:space="preserve">分） </w:t>
            </w:r>
            <w:r>
              <w:rPr>
                <w:rFonts w:hint="eastAsia" w:ascii="宋体" w:hAnsi="宋体" w:eastAsia="宋体" w:cs="宋体"/>
                <w:color w:val="auto"/>
                <w:sz w:val="24"/>
                <w:szCs w:val="24"/>
                <w:highlight w:val="none"/>
              </w:rPr>
              <w:t xml:space="preserve"> </w:t>
            </w:r>
          </w:p>
          <w:p w14:paraId="7019F119">
            <w:pPr>
              <w:tabs>
                <w:tab w:val="left" w:pos="2519"/>
              </w:tabs>
              <w:spacing w:line="240" w:lineRule="auto"/>
              <w:ind w:left="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针对本项目的环境保护管理体系措施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包括但不限于：</w:t>
            </w:r>
            <w:r>
              <w:rPr>
                <w:rFonts w:hint="eastAsia" w:ascii="宋体" w:hAnsi="宋体" w:eastAsia="宋体" w:cs="宋体"/>
                <w:color w:val="auto"/>
                <w:sz w:val="24"/>
                <w:szCs w:val="24"/>
                <w:highlight w:val="none"/>
              </w:rPr>
              <w:t>对废弃物的管理和处理措施妥当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对施工车辆有效控制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周边环境和施工工艺等内容</w:t>
            </w:r>
            <w:r>
              <w:rPr>
                <w:rFonts w:hint="eastAsia" w:ascii="宋体" w:hAnsi="宋体" w:eastAsia="宋体" w:cs="宋体"/>
                <w:color w:val="auto"/>
                <w:sz w:val="24"/>
                <w:szCs w:val="24"/>
                <w:highlight w:val="none"/>
                <w:lang w:eastAsia="zh-CN"/>
              </w:rPr>
              <w:t>）。</w:t>
            </w:r>
          </w:p>
          <w:p w14:paraId="22161A77">
            <w:pPr>
              <w:tabs>
                <w:tab w:val="left" w:pos="2519"/>
              </w:tabs>
              <w:spacing w:line="240" w:lineRule="auto"/>
              <w:ind w:left="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方案</w:t>
            </w:r>
            <w:r>
              <w:rPr>
                <w:rFonts w:hint="eastAsia" w:ascii="宋体" w:hAnsi="宋体" w:eastAsia="宋体" w:cs="宋体"/>
                <w:color w:val="auto"/>
                <w:sz w:val="24"/>
                <w:szCs w:val="24"/>
                <w:highlight w:val="none"/>
              </w:rPr>
              <w:t>内容齐全</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思路清晰，</w:t>
            </w:r>
            <w:r>
              <w:rPr>
                <w:rFonts w:hint="eastAsia" w:ascii="宋体" w:hAnsi="宋体" w:eastAsia="宋体" w:cs="宋体"/>
                <w:color w:val="auto"/>
                <w:sz w:val="24"/>
                <w:szCs w:val="24"/>
                <w:highlight w:val="none"/>
              </w:rPr>
              <w:t>符合工程实际</w:t>
            </w:r>
            <w:r>
              <w:rPr>
                <w:rFonts w:hint="eastAsia" w:ascii="宋体" w:hAnsi="宋体" w:eastAsia="宋体" w:cs="宋体"/>
                <w:color w:val="auto"/>
                <w:kern w:val="0"/>
                <w:sz w:val="24"/>
                <w:szCs w:val="24"/>
                <w:highlight w:val="none"/>
              </w:rPr>
              <w:t>，符合逻辑</w:t>
            </w:r>
            <w:r>
              <w:rPr>
                <w:rFonts w:hint="eastAsia" w:ascii="宋体" w:hAnsi="宋体" w:eastAsia="宋体" w:cs="宋体"/>
                <w:color w:val="auto"/>
                <w:kern w:val="0"/>
                <w:sz w:val="24"/>
                <w:szCs w:val="24"/>
                <w:highlight w:val="none"/>
                <w:lang w:val="en-US" w:eastAsia="zh-CN"/>
              </w:rPr>
              <w:t>且方案内容不存在瑕疵</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07F2261F">
            <w:pPr>
              <w:tabs>
                <w:tab w:val="left" w:pos="2519"/>
              </w:tabs>
              <w:spacing w:line="240" w:lineRule="auto"/>
              <w:ind w:left="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方案内容存在1处瑕疵</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08ABAF8F">
            <w:pPr>
              <w:tabs>
                <w:tab w:val="left" w:pos="2519"/>
              </w:tabs>
              <w:spacing w:line="240" w:lineRule="auto"/>
              <w:ind w:left="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方案内容存在2处瑕疵</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0622CD90">
            <w:pPr>
              <w:tabs>
                <w:tab w:val="left" w:pos="2519"/>
              </w:tabs>
              <w:spacing w:line="240" w:lineRule="auto"/>
              <w:ind w:left="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方案内容存在3处瑕疵及以上</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33269782">
            <w:pPr>
              <w:tabs>
                <w:tab w:val="left" w:pos="2519"/>
              </w:tabs>
              <w:spacing w:line="24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不提供得0分</w:t>
            </w:r>
            <w:r>
              <w:rPr>
                <w:rFonts w:hint="eastAsia" w:ascii="宋体" w:hAnsi="宋体" w:eastAsia="宋体" w:cs="宋体"/>
                <w:color w:val="auto"/>
                <w:kern w:val="0"/>
                <w:sz w:val="24"/>
                <w:szCs w:val="24"/>
                <w:highlight w:val="none"/>
                <w:lang w:eastAsia="zh-CN"/>
              </w:rPr>
              <w:t>。</w:t>
            </w:r>
          </w:p>
        </w:tc>
        <w:tc>
          <w:tcPr>
            <w:tcW w:w="2096" w:type="dxa"/>
            <w:vMerge w:val="continue"/>
            <w:noWrap w:val="0"/>
            <w:vAlign w:val="center"/>
          </w:tcPr>
          <w:p w14:paraId="3CF9E0A1">
            <w:pPr>
              <w:tabs>
                <w:tab w:val="left" w:pos="2519"/>
              </w:tabs>
              <w:adjustRightInd w:val="0"/>
              <w:snapToGrid w:val="0"/>
              <w:spacing w:line="240" w:lineRule="auto"/>
              <w:ind w:left="0" w:firstLine="0" w:firstLineChars="0"/>
              <w:rPr>
                <w:rFonts w:hint="eastAsia" w:ascii="宋体" w:hAnsi="宋体" w:eastAsia="宋体" w:cs="宋体"/>
                <w:color w:val="auto"/>
                <w:sz w:val="24"/>
                <w:szCs w:val="24"/>
                <w:highlight w:val="none"/>
              </w:rPr>
            </w:pPr>
          </w:p>
        </w:tc>
      </w:tr>
      <w:tr w14:paraId="7300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011" w:type="dxa"/>
            <w:vMerge w:val="continue"/>
            <w:noWrap w:val="0"/>
            <w:vAlign w:val="center"/>
          </w:tcPr>
          <w:p w14:paraId="198A1C87">
            <w:pPr>
              <w:tabs>
                <w:tab w:val="left" w:pos="2519"/>
              </w:tabs>
              <w:spacing w:line="240" w:lineRule="auto"/>
              <w:ind w:left="0" w:firstLine="0" w:firstLineChars="0"/>
              <w:jc w:val="center"/>
              <w:rPr>
                <w:rFonts w:hint="eastAsia" w:ascii="宋体" w:hAnsi="宋体" w:eastAsia="宋体" w:cs="宋体"/>
                <w:color w:val="auto"/>
                <w:sz w:val="24"/>
                <w:szCs w:val="24"/>
                <w:highlight w:val="none"/>
              </w:rPr>
            </w:pPr>
          </w:p>
        </w:tc>
        <w:tc>
          <w:tcPr>
            <w:tcW w:w="1118" w:type="dxa"/>
            <w:vMerge w:val="continue"/>
            <w:noWrap w:val="0"/>
            <w:vAlign w:val="center"/>
          </w:tcPr>
          <w:p w14:paraId="2AF4E467">
            <w:pPr>
              <w:tabs>
                <w:tab w:val="left" w:pos="2519"/>
              </w:tabs>
              <w:spacing w:line="240" w:lineRule="auto"/>
              <w:ind w:left="0" w:firstLine="0" w:firstLineChars="0"/>
              <w:jc w:val="center"/>
              <w:rPr>
                <w:rFonts w:hint="eastAsia" w:ascii="宋体" w:hAnsi="宋体" w:eastAsia="宋体" w:cs="宋体"/>
                <w:color w:val="auto"/>
                <w:sz w:val="24"/>
                <w:szCs w:val="24"/>
                <w:highlight w:val="none"/>
              </w:rPr>
            </w:pPr>
          </w:p>
        </w:tc>
        <w:tc>
          <w:tcPr>
            <w:tcW w:w="1227" w:type="dxa"/>
            <w:vMerge w:val="continue"/>
            <w:noWrap w:val="0"/>
            <w:vAlign w:val="center"/>
          </w:tcPr>
          <w:p w14:paraId="0D21DE20">
            <w:pPr>
              <w:tabs>
                <w:tab w:val="left" w:pos="2519"/>
              </w:tabs>
              <w:spacing w:line="240" w:lineRule="auto"/>
              <w:ind w:left="0" w:firstLine="0" w:firstLineChars="0"/>
              <w:jc w:val="center"/>
              <w:rPr>
                <w:rFonts w:hint="eastAsia" w:ascii="宋体" w:hAnsi="宋体" w:eastAsia="宋体" w:cs="宋体"/>
                <w:color w:val="auto"/>
                <w:sz w:val="24"/>
                <w:szCs w:val="24"/>
                <w:highlight w:val="none"/>
              </w:rPr>
            </w:pPr>
          </w:p>
        </w:tc>
        <w:tc>
          <w:tcPr>
            <w:tcW w:w="4176" w:type="dxa"/>
            <w:noWrap w:val="0"/>
            <w:vAlign w:val="center"/>
          </w:tcPr>
          <w:p w14:paraId="3F5E0A99">
            <w:pPr>
              <w:tabs>
                <w:tab w:val="left" w:pos="2519"/>
              </w:tabs>
              <w:spacing w:line="24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工程进度计划与措施（</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 xml:space="preserve">分）  </w:t>
            </w:r>
            <w:r>
              <w:rPr>
                <w:rFonts w:hint="eastAsia" w:ascii="宋体" w:hAnsi="宋体" w:eastAsia="宋体" w:cs="宋体"/>
                <w:color w:val="auto"/>
                <w:sz w:val="24"/>
                <w:szCs w:val="24"/>
                <w:highlight w:val="none"/>
              </w:rPr>
              <w:t xml:space="preserve"> </w:t>
            </w:r>
          </w:p>
          <w:p w14:paraId="271B9A77">
            <w:pPr>
              <w:tabs>
                <w:tab w:val="left" w:pos="2519"/>
              </w:tabs>
              <w:spacing w:line="240" w:lineRule="auto"/>
              <w:ind w:left="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针对本项目的工程进度计划与措施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包括但不限于：</w:t>
            </w:r>
            <w:r>
              <w:rPr>
                <w:rFonts w:hint="eastAsia" w:ascii="宋体" w:hAnsi="宋体" w:eastAsia="宋体" w:cs="宋体"/>
                <w:color w:val="auto"/>
                <w:sz w:val="24"/>
                <w:szCs w:val="24"/>
                <w:highlight w:val="none"/>
              </w:rPr>
              <w:t>具备有效的进度控制计划、赶工方案，冬雨季专项施工方案</w:t>
            </w:r>
            <w:r>
              <w:rPr>
                <w:rFonts w:hint="eastAsia" w:ascii="宋体" w:hAnsi="宋体" w:eastAsia="宋体" w:cs="宋体"/>
                <w:color w:val="auto"/>
                <w:sz w:val="24"/>
                <w:szCs w:val="24"/>
                <w:highlight w:val="none"/>
                <w:lang w:val="en-US" w:eastAsia="zh-CN"/>
              </w:rPr>
              <w:t>等内容</w:t>
            </w:r>
            <w:r>
              <w:rPr>
                <w:rFonts w:hint="eastAsia" w:ascii="宋体" w:hAnsi="宋体" w:eastAsia="宋体" w:cs="宋体"/>
                <w:color w:val="auto"/>
                <w:sz w:val="24"/>
                <w:szCs w:val="24"/>
                <w:highlight w:val="none"/>
                <w:lang w:eastAsia="zh-CN"/>
              </w:rPr>
              <w:t>）。</w:t>
            </w:r>
          </w:p>
          <w:p w14:paraId="2EA5EE8E">
            <w:pPr>
              <w:tabs>
                <w:tab w:val="left" w:pos="2519"/>
              </w:tabs>
              <w:spacing w:line="240" w:lineRule="auto"/>
              <w:ind w:left="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方案</w:t>
            </w:r>
            <w:r>
              <w:rPr>
                <w:rFonts w:hint="eastAsia" w:ascii="宋体" w:hAnsi="宋体" w:eastAsia="宋体" w:cs="宋体"/>
                <w:color w:val="auto"/>
                <w:sz w:val="24"/>
                <w:szCs w:val="24"/>
                <w:highlight w:val="none"/>
              </w:rPr>
              <w:t>内容齐全</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思路清晰，</w:t>
            </w:r>
            <w:r>
              <w:rPr>
                <w:rFonts w:hint="eastAsia" w:ascii="宋体" w:hAnsi="宋体" w:eastAsia="宋体" w:cs="宋体"/>
                <w:color w:val="auto"/>
                <w:sz w:val="24"/>
                <w:szCs w:val="24"/>
                <w:highlight w:val="none"/>
              </w:rPr>
              <w:t>符合工程实际</w:t>
            </w:r>
            <w:r>
              <w:rPr>
                <w:rFonts w:hint="eastAsia" w:ascii="宋体" w:hAnsi="宋体" w:eastAsia="宋体" w:cs="宋体"/>
                <w:color w:val="auto"/>
                <w:kern w:val="0"/>
                <w:sz w:val="24"/>
                <w:szCs w:val="24"/>
                <w:highlight w:val="none"/>
              </w:rPr>
              <w:t>，符合逻辑</w:t>
            </w:r>
            <w:r>
              <w:rPr>
                <w:rFonts w:hint="eastAsia" w:ascii="宋体" w:hAnsi="宋体" w:eastAsia="宋体" w:cs="宋体"/>
                <w:color w:val="auto"/>
                <w:kern w:val="0"/>
                <w:sz w:val="24"/>
                <w:szCs w:val="24"/>
                <w:highlight w:val="none"/>
                <w:lang w:val="en-US" w:eastAsia="zh-CN"/>
              </w:rPr>
              <w:t>且方案内容不存在瑕疵</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4E3E0875">
            <w:pPr>
              <w:tabs>
                <w:tab w:val="left" w:pos="2519"/>
              </w:tabs>
              <w:spacing w:line="240" w:lineRule="auto"/>
              <w:ind w:left="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方案内容存在1处瑕疵</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7E5CD72C">
            <w:pPr>
              <w:tabs>
                <w:tab w:val="left" w:pos="2519"/>
              </w:tabs>
              <w:spacing w:line="240" w:lineRule="auto"/>
              <w:ind w:left="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方案内容存在2处瑕疵</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28BD9B1A">
            <w:pPr>
              <w:tabs>
                <w:tab w:val="left" w:pos="2519"/>
              </w:tabs>
              <w:spacing w:line="240" w:lineRule="auto"/>
              <w:ind w:left="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方案内容存在3处瑕疵及以上</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3934F93B">
            <w:pPr>
              <w:tabs>
                <w:tab w:val="left" w:pos="2519"/>
              </w:tabs>
              <w:spacing w:line="24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不提供得0分</w:t>
            </w:r>
            <w:r>
              <w:rPr>
                <w:rFonts w:hint="eastAsia" w:ascii="宋体" w:hAnsi="宋体" w:eastAsia="宋体" w:cs="宋体"/>
                <w:color w:val="auto"/>
                <w:kern w:val="0"/>
                <w:sz w:val="24"/>
                <w:szCs w:val="24"/>
                <w:highlight w:val="none"/>
                <w:lang w:eastAsia="zh-CN"/>
              </w:rPr>
              <w:t>。</w:t>
            </w:r>
          </w:p>
        </w:tc>
        <w:tc>
          <w:tcPr>
            <w:tcW w:w="2096" w:type="dxa"/>
            <w:vMerge w:val="continue"/>
            <w:noWrap w:val="0"/>
            <w:vAlign w:val="center"/>
          </w:tcPr>
          <w:p w14:paraId="39DCA829">
            <w:pPr>
              <w:tabs>
                <w:tab w:val="left" w:pos="2519"/>
              </w:tabs>
              <w:adjustRightInd w:val="0"/>
              <w:snapToGrid w:val="0"/>
              <w:spacing w:line="240" w:lineRule="auto"/>
              <w:ind w:left="0" w:firstLine="0" w:firstLineChars="0"/>
              <w:rPr>
                <w:rFonts w:hint="eastAsia" w:ascii="宋体" w:hAnsi="宋体" w:eastAsia="宋体" w:cs="宋体"/>
                <w:color w:val="auto"/>
                <w:sz w:val="24"/>
                <w:szCs w:val="24"/>
                <w:highlight w:val="none"/>
              </w:rPr>
            </w:pPr>
          </w:p>
        </w:tc>
      </w:tr>
      <w:tr w14:paraId="7B86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011" w:type="dxa"/>
            <w:vMerge w:val="continue"/>
            <w:noWrap w:val="0"/>
            <w:vAlign w:val="center"/>
          </w:tcPr>
          <w:p w14:paraId="3AF17DE0">
            <w:pPr>
              <w:tabs>
                <w:tab w:val="left" w:pos="2519"/>
              </w:tabs>
              <w:spacing w:line="240" w:lineRule="auto"/>
              <w:ind w:left="0" w:firstLine="0" w:firstLineChars="0"/>
              <w:jc w:val="center"/>
              <w:rPr>
                <w:rFonts w:hint="eastAsia" w:ascii="宋体" w:hAnsi="宋体" w:eastAsia="宋体" w:cs="宋体"/>
                <w:color w:val="auto"/>
                <w:sz w:val="24"/>
                <w:szCs w:val="24"/>
                <w:highlight w:val="none"/>
              </w:rPr>
            </w:pPr>
          </w:p>
        </w:tc>
        <w:tc>
          <w:tcPr>
            <w:tcW w:w="1118" w:type="dxa"/>
            <w:vMerge w:val="continue"/>
            <w:noWrap w:val="0"/>
            <w:vAlign w:val="center"/>
          </w:tcPr>
          <w:p w14:paraId="68F84D12">
            <w:pPr>
              <w:tabs>
                <w:tab w:val="left" w:pos="2519"/>
              </w:tabs>
              <w:spacing w:line="240" w:lineRule="auto"/>
              <w:ind w:left="0" w:firstLine="0" w:firstLineChars="0"/>
              <w:jc w:val="center"/>
              <w:rPr>
                <w:rFonts w:hint="eastAsia" w:ascii="宋体" w:hAnsi="宋体" w:eastAsia="宋体" w:cs="宋体"/>
                <w:color w:val="auto"/>
                <w:sz w:val="24"/>
                <w:szCs w:val="24"/>
                <w:highlight w:val="none"/>
              </w:rPr>
            </w:pPr>
          </w:p>
        </w:tc>
        <w:tc>
          <w:tcPr>
            <w:tcW w:w="1227" w:type="dxa"/>
            <w:vMerge w:val="continue"/>
            <w:noWrap w:val="0"/>
            <w:vAlign w:val="center"/>
          </w:tcPr>
          <w:p w14:paraId="6C5F6BB8">
            <w:pPr>
              <w:tabs>
                <w:tab w:val="left" w:pos="2519"/>
              </w:tabs>
              <w:spacing w:line="240" w:lineRule="auto"/>
              <w:ind w:left="0" w:firstLine="0" w:firstLineChars="0"/>
              <w:jc w:val="center"/>
              <w:rPr>
                <w:rFonts w:hint="eastAsia" w:ascii="宋体" w:hAnsi="宋体" w:eastAsia="宋体" w:cs="宋体"/>
                <w:color w:val="auto"/>
                <w:sz w:val="24"/>
                <w:szCs w:val="24"/>
                <w:highlight w:val="none"/>
              </w:rPr>
            </w:pPr>
          </w:p>
        </w:tc>
        <w:tc>
          <w:tcPr>
            <w:tcW w:w="4176" w:type="dxa"/>
            <w:noWrap w:val="0"/>
            <w:vAlign w:val="center"/>
          </w:tcPr>
          <w:p w14:paraId="5AE6C423">
            <w:pPr>
              <w:tabs>
                <w:tab w:val="left" w:pos="2519"/>
              </w:tabs>
              <w:spacing w:line="240" w:lineRule="auto"/>
              <w:ind w:left="0" w:firstLine="0" w:firstLineChars="0"/>
              <w:rPr>
                <w:rFonts w:hint="eastAsia" w:ascii="宋体" w:hAnsi="宋体" w:eastAsia="宋体" w:cs="宋体"/>
                <w:color w:val="auto"/>
                <w:sz w:val="24"/>
                <w:szCs w:val="24"/>
                <w:highlight w:val="none"/>
              </w:rPr>
            </w:pPr>
            <w:r>
              <w:rPr>
                <w:rFonts w:hint="eastAsia" w:cs="宋体"/>
                <w:b/>
                <w:bCs/>
                <w:color w:val="auto"/>
                <w:sz w:val="24"/>
                <w:szCs w:val="24"/>
                <w:highlight w:val="none"/>
                <w:lang w:val="en-US" w:eastAsia="zh-CN"/>
              </w:rPr>
              <w:t>售后服务方案</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 xml:space="preserve">分）  </w:t>
            </w:r>
            <w:r>
              <w:rPr>
                <w:rFonts w:hint="eastAsia" w:ascii="宋体" w:hAnsi="宋体" w:eastAsia="宋体" w:cs="宋体"/>
                <w:color w:val="auto"/>
                <w:sz w:val="24"/>
                <w:szCs w:val="24"/>
                <w:highlight w:val="none"/>
              </w:rPr>
              <w:t xml:space="preserve"> </w:t>
            </w:r>
          </w:p>
          <w:p w14:paraId="37C2FDC9">
            <w:pPr>
              <w:tabs>
                <w:tab w:val="left" w:pos="2519"/>
              </w:tabs>
              <w:spacing w:line="240" w:lineRule="auto"/>
              <w:ind w:left="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根据项目具体实际情况，撰写制订售后服务方案（方案包括：售后服务团队介绍、售后服务专用工具、售后服务应急措施、售后服务承诺、售后服务日常工作等）</w:t>
            </w:r>
            <w:r>
              <w:rPr>
                <w:rFonts w:hint="eastAsia" w:ascii="宋体" w:hAnsi="宋体" w:eastAsia="宋体" w:cs="宋体"/>
                <w:color w:val="auto"/>
                <w:sz w:val="24"/>
                <w:szCs w:val="24"/>
                <w:highlight w:val="none"/>
                <w:lang w:eastAsia="zh-CN"/>
              </w:rPr>
              <w:t>。</w:t>
            </w:r>
          </w:p>
          <w:p w14:paraId="7EF08CDE">
            <w:pPr>
              <w:tabs>
                <w:tab w:val="left" w:pos="2519"/>
              </w:tabs>
              <w:spacing w:line="240" w:lineRule="auto"/>
              <w:ind w:left="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方案</w:t>
            </w:r>
            <w:r>
              <w:rPr>
                <w:rFonts w:hint="eastAsia" w:ascii="宋体" w:hAnsi="宋体" w:eastAsia="宋体" w:cs="宋体"/>
                <w:color w:val="auto"/>
                <w:sz w:val="24"/>
                <w:szCs w:val="24"/>
                <w:highlight w:val="none"/>
              </w:rPr>
              <w:t>内容齐全</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思路清晰，</w:t>
            </w:r>
            <w:r>
              <w:rPr>
                <w:rFonts w:hint="eastAsia" w:ascii="宋体" w:hAnsi="宋体" w:eastAsia="宋体" w:cs="宋体"/>
                <w:color w:val="auto"/>
                <w:sz w:val="24"/>
                <w:szCs w:val="24"/>
                <w:highlight w:val="none"/>
              </w:rPr>
              <w:t>符合工程实际</w:t>
            </w:r>
            <w:r>
              <w:rPr>
                <w:rFonts w:hint="eastAsia" w:ascii="宋体" w:hAnsi="宋体" w:eastAsia="宋体" w:cs="宋体"/>
                <w:color w:val="auto"/>
                <w:kern w:val="0"/>
                <w:sz w:val="24"/>
                <w:szCs w:val="24"/>
                <w:highlight w:val="none"/>
              </w:rPr>
              <w:t>，符合逻辑</w:t>
            </w:r>
            <w:r>
              <w:rPr>
                <w:rFonts w:hint="eastAsia" w:ascii="宋体" w:hAnsi="宋体" w:eastAsia="宋体" w:cs="宋体"/>
                <w:color w:val="auto"/>
                <w:kern w:val="0"/>
                <w:sz w:val="24"/>
                <w:szCs w:val="24"/>
                <w:highlight w:val="none"/>
                <w:lang w:val="en-US" w:eastAsia="zh-CN"/>
              </w:rPr>
              <w:t>且方案内容不存在瑕疵</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6FE0B6D4">
            <w:pPr>
              <w:tabs>
                <w:tab w:val="left" w:pos="2519"/>
              </w:tabs>
              <w:spacing w:line="240" w:lineRule="auto"/>
              <w:ind w:left="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方案内容存在1处瑕疵</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48B852B6">
            <w:pPr>
              <w:tabs>
                <w:tab w:val="left" w:pos="2519"/>
              </w:tabs>
              <w:spacing w:line="240" w:lineRule="auto"/>
              <w:ind w:left="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方案内容存在2处瑕疵</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0F7BECA8">
            <w:pPr>
              <w:tabs>
                <w:tab w:val="left" w:pos="2519"/>
              </w:tabs>
              <w:spacing w:line="240" w:lineRule="auto"/>
              <w:ind w:left="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方案内容存在3处瑕疵及以上</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0C9204AD">
            <w:pPr>
              <w:tabs>
                <w:tab w:val="left" w:pos="2519"/>
              </w:tabs>
              <w:spacing w:line="240" w:lineRule="auto"/>
              <w:ind w:left="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不提供得0分</w:t>
            </w:r>
            <w:r>
              <w:rPr>
                <w:rFonts w:hint="eastAsia" w:ascii="宋体" w:hAnsi="宋体" w:eastAsia="宋体" w:cs="宋体"/>
                <w:color w:val="auto"/>
                <w:kern w:val="0"/>
                <w:sz w:val="24"/>
                <w:szCs w:val="24"/>
                <w:highlight w:val="none"/>
                <w:lang w:eastAsia="zh-CN"/>
              </w:rPr>
              <w:t>。</w:t>
            </w:r>
          </w:p>
        </w:tc>
        <w:tc>
          <w:tcPr>
            <w:tcW w:w="2096" w:type="dxa"/>
            <w:vMerge w:val="continue"/>
            <w:noWrap w:val="0"/>
            <w:vAlign w:val="center"/>
          </w:tcPr>
          <w:p w14:paraId="27AB14B4">
            <w:pPr>
              <w:tabs>
                <w:tab w:val="left" w:pos="2519"/>
              </w:tabs>
              <w:adjustRightInd w:val="0"/>
              <w:snapToGrid w:val="0"/>
              <w:spacing w:line="240" w:lineRule="auto"/>
              <w:ind w:left="0" w:firstLine="0" w:firstLineChars="0"/>
              <w:rPr>
                <w:rFonts w:hint="eastAsia" w:ascii="宋体" w:hAnsi="宋体" w:eastAsia="宋体" w:cs="宋体"/>
                <w:color w:val="auto"/>
                <w:sz w:val="24"/>
                <w:szCs w:val="24"/>
                <w:highlight w:val="none"/>
              </w:rPr>
            </w:pPr>
          </w:p>
        </w:tc>
      </w:tr>
      <w:tr w14:paraId="7ECB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trPr>
        <w:tc>
          <w:tcPr>
            <w:tcW w:w="1011" w:type="dxa"/>
            <w:noWrap w:val="0"/>
            <w:vAlign w:val="center"/>
          </w:tcPr>
          <w:p w14:paraId="3017B7F7">
            <w:pPr>
              <w:tabs>
                <w:tab w:val="left" w:pos="2519"/>
              </w:tabs>
              <w:spacing w:line="240" w:lineRule="auto"/>
              <w:ind w:lef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p w14:paraId="3025B154">
            <w:pPr>
              <w:tabs>
                <w:tab w:val="left" w:pos="2519"/>
              </w:tabs>
              <w:spacing w:line="240" w:lineRule="auto"/>
              <w:ind w:left="0" w:firstLine="0" w:firstLineChars="0"/>
              <w:jc w:val="center"/>
              <w:rPr>
                <w:rFonts w:hint="eastAsia" w:ascii="宋体" w:hAnsi="宋体" w:eastAsia="宋体" w:cs="宋体"/>
                <w:color w:val="auto"/>
                <w:sz w:val="24"/>
                <w:szCs w:val="24"/>
                <w:highlight w:val="none"/>
              </w:rPr>
            </w:pPr>
          </w:p>
        </w:tc>
        <w:tc>
          <w:tcPr>
            <w:tcW w:w="1118" w:type="dxa"/>
            <w:noWrap w:val="0"/>
            <w:vAlign w:val="center"/>
          </w:tcPr>
          <w:p w14:paraId="4204098E">
            <w:pPr>
              <w:tabs>
                <w:tab w:val="left" w:pos="2519"/>
              </w:tabs>
              <w:spacing w:line="240" w:lineRule="auto"/>
              <w:ind w:lef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p>
          <w:p w14:paraId="17080F02">
            <w:pPr>
              <w:tabs>
                <w:tab w:val="left" w:pos="2519"/>
              </w:tabs>
              <w:spacing w:line="240" w:lineRule="auto"/>
              <w:ind w:lef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tc>
        <w:tc>
          <w:tcPr>
            <w:tcW w:w="1227" w:type="dxa"/>
            <w:noWrap w:val="0"/>
            <w:vAlign w:val="center"/>
          </w:tcPr>
          <w:p w14:paraId="3A7071F6">
            <w:pPr>
              <w:tabs>
                <w:tab w:val="left" w:pos="2519"/>
              </w:tabs>
              <w:spacing w:line="240" w:lineRule="auto"/>
              <w:ind w:lef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4176" w:type="dxa"/>
            <w:noWrap w:val="0"/>
            <w:vAlign w:val="center"/>
          </w:tcPr>
          <w:p w14:paraId="1BD161EF">
            <w:pPr>
              <w:tabs>
                <w:tab w:val="left" w:pos="2519"/>
              </w:tabs>
              <w:spacing w:line="24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供应商从202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年1月1日起至今（以合同签订时间为准）完成过类似业绩</w:t>
            </w:r>
            <w:r>
              <w:rPr>
                <w:rFonts w:hint="eastAsia" w:cs="宋体"/>
                <w:color w:val="auto"/>
                <w:sz w:val="24"/>
                <w:szCs w:val="24"/>
                <w:highlight w:val="none"/>
                <w:lang w:eastAsia="zh-CN"/>
              </w:rPr>
              <w:t>（</w:t>
            </w:r>
            <w:r>
              <w:rPr>
                <w:rFonts w:hint="eastAsia" w:cs="宋体"/>
                <w:color w:val="auto"/>
                <w:sz w:val="24"/>
                <w:szCs w:val="24"/>
                <w:highlight w:val="none"/>
                <w:lang w:val="en-US" w:eastAsia="zh-CN"/>
              </w:rPr>
              <w:t>业绩必须包含电梯安装</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1个得2.5分，</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4个得满分，本项最高得10分。</w:t>
            </w:r>
          </w:p>
        </w:tc>
        <w:tc>
          <w:tcPr>
            <w:tcW w:w="2096" w:type="dxa"/>
            <w:noWrap w:val="0"/>
            <w:vAlign w:val="center"/>
          </w:tcPr>
          <w:p w14:paraId="6FBA8A76">
            <w:pPr>
              <w:tabs>
                <w:tab w:val="left" w:pos="2519"/>
              </w:tabs>
              <w:spacing w:line="24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供应商应提供合同复印件或扫描件并加盖供应商公章。</w:t>
            </w:r>
          </w:p>
        </w:tc>
      </w:tr>
    </w:tbl>
    <w:p w14:paraId="7DF72DC8">
      <w:pPr>
        <w:pStyle w:val="4"/>
        <w:spacing w:before="0" w:after="0" w:line="400" w:lineRule="exact"/>
        <w:rPr>
          <w:rFonts w:hint="eastAsia" w:ascii="宋体" w:hAnsi="宋体" w:eastAsia="宋体" w:cs="宋体"/>
          <w:sz w:val="28"/>
          <w:szCs w:val="28"/>
        </w:rPr>
      </w:pPr>
    </w:p>
    <w:p w14:paraId="3106B7D3">
      <w:pPr>
        <w:pStyle w:val="3"/>
        <w:keepNext/>
        <w:keepLines/>
        <w:pageBreakBefore w:val="0"/>
        <w:widowControl/>
        <w:kinsoku/>
        <w:wordWrap/>
        <w:overflowPunct/>
        <w:topLinePunct w:val="0"/>
        <w:autoSpaceDE/>
        <w:autoSpaceDN/>
        <w:bidi w:val="0"/>
        <w:adjustRightInd/>
        <w:snapToGrid w:val="0"/>
        <w:spacing w:before="0" w:after="0" w:line="360" w:lineRule="auto"/>
        <w:textAlignment w:val="auto"/>
        <w:outlineLvl w:val="1"/>
        <w:rPr>
          <w:rFonts w:hint="eastAsia" w:ascii="宋体" w:hAnsi="宋体" w:eastAsia="宋体" w:cs="宋体"/>
          <w:sz w:val="28"/>
          <w:szCs w:val="28"/>
        </w:rPr>
      </w:pPr>
      <w:bookmarkStart w:id="142" w:name="_Toc27345"/>
      <w:bookmarkStart w:id="143" w:name="_Toc30355"/>
      <w:bookmarkStart w:id="144" w:name="_Toc27661"/>
      <w:r>
        <w:rPr>
          <w:rFonts w:hint="eastAsia" w:ascii="宋体" w:hAnsi="宋体" w:eastAsia="宋体" w:cs="宋体"/>
          <w:sz w:val="28"/>
          <w:szCs w:val="28"/>
        </w:rPr>
        <w:t>三、无效竞标</w:t>
      </w:r>
      <w:bookmarkEnd w:id="142"/>
      <w:bookmarkEnd w:id="143"/>
      <w:bookmarkEnd w:id="144"/>
    </w:p>
    <w:p w14:paraId="7FC3FE38">
      <w:pPr>
        <w:snapToGrid w:val="0"/>
        <w:spacing w:line="360" w:lineRule="auto"/>
        <w:ind w:firstLine="465"/>
        <w:rPr>
          <w:rFonts w:hint="eastAsia" w:ascii="宋体" w:hAnsi="宋体" w:eastAsia="宋体" w:cs="宋体"/>
          <w:szCs w:val="28"/>
        </w:rPr>
      </w:pPr>
      <w:r>
        <w:rPr>
          <w:rFonts w:hint="eastAsia" w:ascii="宋体" w:hAnsi="宋体" w:eastAsia="宋体" w:cs="宋体"/>
          <w:szCs w:val="28"/>
        </w:rPr>
        <w:t>（一）</w:t>
      </w:r>
      <w:r>
        <w:rPr>
          <w:rFonts w:hint="eastAsia" w:ascii="宋体" w:hAnsi="宋体" w:eastAsia="宋体" w:cs="宋体"/>
          <w:szCs w:val="28"/>
          <w:lang w:val="en-US" w:eastAsia="zh-CN"/>
        </w:rPr>
        <w:t>供应商</w:t>
      </w:r>
      <w:r>
        <w:rPr>
          <w:rFonts w:hint="eastAsia" w:ascii="宋体" w:hAnsi="宋体" w:eastAsia="宋体" w:cs="宋体"/>
          <w:szCs w:val="28"/>
        </w:rPr>
        <w:t>不符合规定的基本资格条件或特定资格条件的；</w:t>
      </w:r>
    </w:p>
    <w:p w14:paraId="09D3DB9D">
      <w:pPr>
        <w:snapToGrid w:val="0"/>
        <w:spacing w:line="360" w:lineRule="auto"/>
        <w:ind w:firstLine="465"/>
        <w:rPr>
          <w:rFonts w:hint="eastAsia" w:ascii="宋体" w:hAnsi="宋体" w:eastAsia="宋体" w:cs="宋体"/>
          <w:szCs w:val="28"/>
        </w:rPr>
      </w:pPr>
      <w:r>
        <w:rPr>
          <w:rFonts w:hint="eastAsia" w:ascii="宋体" w:hAnsi="宋体" w:eastAsia="宋体" w:cs="宋体"/>
          <w:szCs w:val="28"/>
        </w:rPr>
        <w:t>（二）</w:t>
      </w:r>
      <w:r>
        <w:rPr>
          <w:rFonts w:hint="eastAsia" w:ascii="宋体" w:hAnsi="宋体" w:eastAsia="宋体" w:cs="宋体"/>
          <w:szCs w:val="28"/>
          <w:lang w:val="en-US" w:eastAsia="zh-CN"/>
        </w:rPr>
        <w:t>供应商</w:t>
      </w:r>
      <w:r>
        <w:rPr>
          <w:rFonts w:hint="eastAsia" w:ascii="宋体" w:hAnsi="宋体" w:eastAsia="宋体" w:cs="宋体"/>
          <w:szCs w:val="28"/>
        </w:rPr>
        <w:t>的法定代表人（或其授权代表）或自然人未参加竞选；</w:t>
      </w:r>
    </w:p>
    <w:p w14:paraId="3B52137A">
      <w:pPr>
        <w:snapToGrid w:val="0"/>
        <w:spacing w:line="360" w:lineRule="auto"/>
        <w:ind w:firstLine="465"/>
        <w:rPr>
          <w:rFonts w:hint="eastAsia" w:ascii="宋体" w:hAnsi="宋体" w:eastAsia="宋体" w:cs="宋体"/>
          <w:szCs w:val="28"/>
        </w:rPr>
      </w:pPr>
      <w:r>
        <w:rPr>
          <w:rFonts w:hint="eastAsia" w:ascii="宋体" w:hAnsi="宋体" w:eastAsia="宋体" w:cs="宋体"/>
          <w:szCs w:val="28"/>
        </w:rPr>
        <w:t>（三）</w:t>
      </w:r>
      <w:r>
        <w:rPr>
          <w:rFonts w:hint="eastAsia" w:ascii="宋体" w:hAnsi="宋体" w:eastAsia="宋体" w:cs="宋体"/>
          <w:szCs w:val="28"/>
          <w:lang w:val="en-US" w:eastAsia="zh-CN"/>
        </w:rPr>
        <w:t>供应商</w:t>
      </w:r>
      <w:r>
        <w:rPr>
          <w:rFonts w:hint="eastAsia" w:ascii="宋体" w:hAnsi="宋体" w:eastAsia="宋体" w:cs="宋体"/>
          <w:szCs w:val="28"/>
        </w:rPr>
        <w:t>所提交的</w:t>
      </w:r>
      <w:r>
        <w:rPr>
          <w:rFonts w:hint="eastAsia" w:ascii="宋体" w:hAnsi="宋体" w:eastAsia="宋体" w:cs="宋体"/>
          <w:szCs w:val="28"/>
          <w:lang w:eastAsia="zh-CN"/>
        </w:rPr>
        <w:t>响应文件</w:t>
      </w:r>
      <w:r>
        <w:rPr>
          <w:rFonts w:hint="eastAsia" w:ascii="宋体" w:hAnsi="宋体" w:eastAsia="宋体" w:cs="宋体"/>
          <w:szCs w:val="28"/>
        </w:rPr>
        <w:t>不按第七篇“</w:t>
      </w:r>
      <w:r>
        <w:rPr>
          <w:rFonts w:hint="eastAsia" w:ascii="宋体" w:hAnsi="宋体" w:eastAsia="宋体" w:cs="宋体"/>
          <w:szCs w:val="28"/>
          <w:lang w:eastAsia="zh-CN"/>
        </w:rPr>
        <w:t>响应文件</w:t>
      </w:r>
      <w:r>
        <w:rPr>
          <w:rFonts w:hint="eastAsia" w:ascii="宋体" w:hAnsi="宋体" w:eastAsia="宋体" w:cs="宋体"/>
          <w:szCs w:val="28"/>
        </w:rPr>
        <w:t>编制要求”规定签字、盖章；</w:t>
      </w:r>
    </w:p>
    <w:p w14:paraId="0B448991">
      <w:pPr>
        <w:snapToGrid w:val="0"/>
        <w:spacing w:line="360" w:lineRule="auto"/>
        <w:ind w:firstLine="465"/>
        <w:rPr>
          <w:rFonts w:hint="eastAsia" w:ascii="宋体" w:hAnsi="宋体" w:eastAsia="宋体" w:cs="宋体"/>
          <w:szCs w:val="28"/>
        </w:rPr>
      </w:pPr>
      <w:r>
        <w:rPr>
          <w:rFonts w:hint="eastAsia" w:ascii="宋体" w:hAnsi="宋体" w:eastAsia="宋体" w:cs="宋体"/>
          <w:szCs w:val="28"/>
        </w:rPr>
        <w:t>（四）</w:t>
      </w:r>
      <w:r>
        <w:rPr>
          <w:rFonts w:hint="eastAsia" w:ascii="宋体" w:hAnsi="宋体" w:eastAsia="宋体" w:cs="宋体"/>
          <w:szCs w:val="28"/>
          <w:lang w:val="en-US" w:eastAsia="zh-CN"/>
        </w:rPr>
        <w:t>供应商</w:t>
      </w:r>
      <w:r>
        <w:rPr>
          <w:rFonts w:hint="eastAsia" w:ascii="宋体" w:hAnsi="宋体" w:eastAsia="宋体" w:cs="宋体"/>
          <w:szCs w:val="28"/>
        </w:rPr>
        <w:t>的</w:t>
      </w:r>
      <w:r>
        <w:rPr>
          <w:rFonts w:hint="eastAsia" w:ascii="宋体" w:hAnsi="宋体" w:eastAsia="宋体" w:cs="宋体"/>
          <w:szCs w:val="28"/>
          <w:lang w:val="en-US" w:eastAsia="zh-CN"/>
        </w:rPr>
        <w:t>比选</w:t>
      </w:r>
      <w:r>
        <w:rPr>
          <w:rFonts w:hint="eastAsia" w:ascii="宋体" w:hAnsi="宋体" w:eastAsia="宋体" w:cs="宋体"/>
          <w:szCs w:val="28"/>
        </w:rPr>
        <w:t>报价超过采购预算或最高限价的；</w:t>
      </w:r>
    </w:p>
    <w:p w14:paraId="75112816">
      <w:pPr>
        <w:snapToGrid w:val="0"/>
        <w:spacing w:line="360" w:lineRule="auto"/>
        <w:ind w:firstLine="465"/>
        <w:rPr>
          <w:rFonts w:hint="eastAsia" w:ascii="宋体" w:hAnsi="宋体" w:eastAsia="宋体" w:cs="宋体"/>
          <w:szCs w:val="28"/>
        </w:rPr>
      </w:pPr>
      <w:r>
        <w:rPr>
          <w:rFonts w:hint="eastAsia" w:ascii="宋体" w:hAnsi="宋体" w:eastAsia="宋体" w:cs="宋体"/>
          <w:szCs w:val="28"/>
        </w:rPr>
        <w:t>（五）法定代表人为同一个人的两个及两个以上法人，母公司、全资子公司及其控股公司，在同一项目采购中同时参与竞选；</w:t>
      </w:r>
    </w:p>
    <w:p w14:paraId="56FDB1ED">
      <w:pPr>
        <w:snapToGrid w:val="0"/>
        <w:spacing w:line="360" w:lineRule="auto"/>
        <w:ind w:firstLine="465"/>
        <w:rPr>
          <w:rFonts w:hint="eastAsia" w:ascii="宋体" w:hAnsi="宋体" w:eastAsia="宋体" w:cs="宋体"/>
          <w:szCs w:val="28"/>
        </w:rPr>
      </w:pPr>
      <w:r>
        <w:rPr>
          <w:rFonts w:hint="eastAsia" w:ascii="宋体" w:hAnsi="宋体" w:eastAsia="宋体" w:cs="宋体"/>
          <w:szCs w:val="28"/>
        </w:rPr>
        <w:t>（六）单位负责人为同一人或者存在直接控股、管理关系的不同</w:t>
      </w:r>
      <w:r>
        <w:rPr>
          <w:rFonts w:hint="eastAsia" w:ascii="宋体" w:hAnsi="宋体" w:eastAsia="宋体" w:cs="宋体"/>
          <w:szCs w:val="28"/>
          <w:lang w:val="en-US" w:eastAsia="zh-CN"/>
        </w:rPr>
        <w:t>供应商</w:t>
      </w:r>
      <w:r>
        <w:rPr>
          <w:rFonts w:hint="eastAsia" w:ascii="宋体" w:hAnsi="宋体" w:eastAsia="宋体" w:cs="宋体"/>
          <w:szCs w:val="28"/>
        </w:rPr>
        <w:t>，参加同一合同项下的采购活动的；</w:t>
      </w:r>
    </w:p>
    <w:p w14:paraId="6780A96C">
      <w:pPr>
        <w:snapToGrid w:val="0"/>
        <w:spacing w:line="360" w:lineRule="auto"/>
        <w:ind w:firstLine="480" w:firstLineChars="200"/>
        <w:rPr>
          <w:rFonts w:hint="eastAsia" w:ascii="宋体" w:hAnsi="宋体" w:eastAsia="宋体" w:cs="宋体"/>
          <w:szCs w:val="28"/>
        </w:rPr>
      </w:pPr>
      <w:r>
        <w:rPr>
          <w:rFonts w:hint="eastAsia" w:ascii="宋体" w:hAnsi="宋体" w:eastAsia="宋体" w:cs="宋体"/>
          <w:szCs w:val="28"/>
        </w:rPr>
        <w:t>（七）为采购项目提供整体设计、规范编制或者项目管理、监理、检测等服务的</w:t>
      </w:r>
      <w:r>
        <w:rPr>
          <w:rFonts w:hint="eastAsia" w:ascii="宋体" w:hAnsi="宋体" w:eastAsia="宋体" w:cs="宋体"/>
          <w:szCs w:val="28"/>
          <w:lang w:val="en-US" w:eastAsia="zh-CN"/>
        </w:rPr>
        <w:t>供应商</w:t>
      </w:r>
      <w:r>
        <w:rPr>
          <w:rFonts w:hint="eastAsia" w:ascii="宋体" w:hAnsi="宋体" w:eastAsia="宋体" w:cs="宋体"/>
          <w:szCs w:val="28"/>
        </w:rPr>
        <w:t>，再参加该采购项目的其他采购活动；</w:t>
      </w:r>
    </w:p>
    <w:p w14:paraId="42F59BA3">
      <w:pPr>
        <w:snapToGrid w:val="0"/>
        <w:spacing w:line="360" w:lineRule="auto"/>
        <w:ind w:firstLine="480" w:firstLineChars="200"/>
        <w:rPr>
          <w:rFonts w:hint="eastAsia" w:ascii="宋体" w:hAnsi="宋体" w:eastAsia="宋体" w:cs="宋体"/>
          <w:szCs w:val="28"/>
        </w:rPr>
      </w:pPr>
      <w:r>
        <w:rPr>
          <w:rFonts w:hint="eastAsia" w:ascii="宋体" w:hAnsi="宋体" w:eastAsia="宋体" w:cs="宋体"/>
          <w:szCs w:val="28"/>
        </w:rPr>
        <w:t>（八）</w:t>
      </w:r>
      <w:r>
        <w:rPr>
          <w:rFonts w:hint="eastAsia" w:ascii="宋体" w:hAnsi="宋体" w:eastAsia="宋体" w:cs="宋体"/>
          <w:szCs w:val="28"/>
          <w:lang w:val="en-US" w:eastAsia="zh-CN"/>
        </w:rPr>
        <w:t>供应商</w:t>
      </w:r>
      <w:r>
        <w:rPr>
          <w:rFonts w:hint="eastAsia" w:ascii="宋体" w:hAnsi="宋体" w:eastAsia="宋体" w:cs="宋体"/>
          <w:szCs w:val="28"/>
        </w:rPr>
        <w:t>的服务时间、质量保证期及</w:t>
      </w:r>
      <w:r>
        <w:rPr>
          <w:rFonts w:hint="eastAsia" w:ascii="宋体" w:hAnsi="宋体" w:eastAsia="宋体" w:cs="宋体"/>
          <w:szCs w:val="28"/>
          <w:lang w:val="en-US" w:eastAsia="zh-CN"/>
        </w:rPr>
        <w:t>比</w:t>
      </w:r>
      <w:r>
        <w:rPr>
          <w:rFonts w:hint="eastAsia" w:ascii="宋体" w:hAnsi="宋体" w:eastAsia="宋体" w:cs="宋体"/>
          <w:szCs w:val="28"/>
        </w:rPr>
        <w:t>选有效期不满足竞争性比选文件要求的；</w:t>
      </w:r>
    </w:p>
    <w:p w14:paraId="0A4ED2EC">
      <w:pPr>
        <w:snapToGrid w:val="0"/>
        <w:spacing w:line="360" w:lineRule="auto"/>
        <w:ind w:firstLine="480" w:firstLineChars="200"/>
        <w:rPr>
          <w:rFonts w:hint="eastAsia" w:ascii="宋体" w:hAnsi="宋体" w:eastAsia="宋体" w:cs="宋体"/>
          <w:szCs w:val="28"/>
        </w:rPr>
      </w:pPr>
      <w:r>
        <w:rPr>
          <w:rFonts w:hint="eastAsia" w:ascii="宋体" w:hAnsi="宋体" w:eastAsia="宋体" w:cs="宋体"/>
          <w:szCs w:val="28"/>
        </w:rPr>
        <w:t>（九）</w:t>
      </w:r>
      <w:r>
        <w:rPr>
          <w:rFonts w:hint="eastAsia" w:ascii="宋体" w:hAnsi="宋体" w:eastAsia="宋体" w:cs="宋体"/>
          <w:szCs w:val="28"/>
          <w:lang w:eastAsia="zh-CN"/>
        </w:rPr>
        <w:t>响应文件</w:t>
      </w:r>
      <w:r>
        <w:rPr>
          <w:rFonts w:hint="eastAsia" w:ascii="宋体" w:hAnsi="宋体" w:eastAsia="宋体" w:cs="宋体"/>
          <w:szCs w:val="28"/>
        </w:rPr>
        <w:t>内容有与国家现行法律法规相违背的内容，或附有</w:t>
      </w:r>
      <w:r>
        <w:rPr>
          <w:rFonts w:hint="eastAsia" w:ascii="宋体" w:hAnsi="宋体" w:eastAsia="宋体" w:cs="宋体"/>
          <w:szCs w:val="28"/>
          <w:lang w:val="en-US" w:eastAsia="zh-CN"/>
        </w:rPr>
        <w:t>采购人</w:t>
      </w:r>
      <w:r>
        <w:rPr>
          <w:rFonts w:hint="eastAsia" w:ascii="宋体" w:hAnsi="宋体" w:eastAsia="宋体" w:cs="宋体"/>
          <w:szCs w:val="28"/>
        </w:rPr>
        <w:t>无法接受的条件。</w:t>
      </w:r>
    </w:p>
    <w:p w14:paraId="434C6891">
      <w:pPr>
        <w:snapToGrid w:val="0"/>
        <w:spacing w:line="360" w:lineRule="auto"/>
        <w:ind w:firstLine="480" w:firstLineChars="200"/>
        <w:rPr>
          <w:rFonts w:hint="eastAsia" w:ascii="宋体" w:hAnsi="宋体" w:eastAsia="宋体" w:cs="宋体"/>
          <w:szCs w:val="28"/>
        </w:rPr>
      </w:pPr>
      <w:r>
        <w:rPr>
          <w:rFonts w:hint="eastAsia" w:ascii="宋体" w:hAnsi="宋体" w:eastAsia="宋体" w:cs="宋体"/>
          <w:szCs w:val="28"/>
        </w:rPr>
        <w:t>（十）</w:t>
      </w:r>
      <w:r>
        <w:rPr>
          <w:rFonts w:hint="eastAsia" w:ascii="宋体" w:hAnsi="宋体" w:eastAsia="宋体" w:cs="宋体"/>
          <w:szCs w:val="28"/>
          <w:lang w:val="en-US" w:eastAsia="zh-CN"/>
        </w:rPr>
        <w:t>供应商</w:t>
      </w:r>
      <w:r>
        <w:rPr>
          <w:rFonts w:hint="eastAsia" w:ascii="宋体" w:hAnsi="宋体" w:eastAsia="宋体" w:cs="宋体"/>
          <w:szCs w:val="28"/>
        </w:rPr>
        <w:t>以联合体形式参与竞选的；</w:t>
      </w:r>
    </w:p>
    <w:p w14:paraId="5023FC9E">
      <w:pPr>
        <w:snapToGrid w:val="0"/>
        <w:spacing w:line="360" w:lineRule="auto"/>
        <w:ind w:firstLine="465"/>
        <w:rPr>
          <w:rFonts w:hint="eastAsia" w:ascii="宋体" w:hAnsi="宋体" w:eastAsia="宋体" w:cs="宋体"/>
          <w:szCs w:val="28"/>
        </w:rPr>
      </w:pPr>
      <w:r>
        <w:rPr>
          <w:rFonts w:hint="eastAsia" w:ascii="宋体" w:hAnsi="宋体" w:eastAsia="宋体" w:cs="宋体"/>
          <w:szCs w:val="28"/>
        </w:rPr>
        <w:t>（十一）</w:t>
      </w:r>
      <w:r>
        <w:rPr>
          <w:rFonts w:hint="eastAsia" w:ascii="宋体" w:hAnsi="宋体" w:eastAsia="宋体" w:cs="宋体"/>
          <w:szCs w:val="28"/>
          <w:lang w:val="en-US" w:eastAsia="zh-CN"/>
        </w:rPr>
        <w:t>供应商</w:t>
      </w:r>
      <w:r>
        <w:rPr>
          <w:rFonts w:hint="eastAsia" w:ascii="宋体" w:hAnsi="宋体" w:eastAsia="宋体" w:cs="宋体"/>
          <w:szCs w:val="28"/>
        </w:rPr>
        <w:t>进行合同分包的；</w:t>
      </w:r>
    </w:p>
    <w:p w14:paraId="60F8B225">
      <w:pPr>
        <w:pStyle w:val="3"/>
        <w:keepNext/>
        <w:keepLines/>
        <w:pageBreakBefore w:val="0"/>
        <w:widowControl/>
        <w:kinsoku/>
        <w:wordWrap/>
        <w:overflowPunct/>
        <w:topLinePunct w:val="0"/>
        <w:autoSpaceDE/>
        <w:autoSpaceDN/>
        <w:bidi w:val="0"/>
        <w:adjustRightInd/>
        <w:snapToGrid w:val="0"/>
        <w:spacing w:before="0" w:after="0" w:line="360" w:lineRule="auto"/>
        <w:textAlignment w:val="auto"/>
        <w:outlineLvl w:val="1"/>
        <w:rPr>
          <w:rFonts w:hint="eastAsia" w:ascii="宋体" w:hAnsi="宋体" w:eastAsia="宋体" w:cs="宋体"/>
          <w:sz w:val="28"/>
          <w:szCs w:val="28"/>
        </w:rPr>
      </w:pPr>
      <w:bookmarkStart w:id="145" w:name="_Toc5083"/>
      <w:bookmarkStart w:id="146" w:name="_Toc1927"/>
      <w:bookmarkStart w:id="147" w:name="_Toc14777"/>
      <w:r>
        <w:rPr>
          <w:rFonts w:hint="eastAsia" w:ascii="宋体" w:hAnsi="宋体" w:eastAsia="宋体" w:cs="宋体"/>
          <w:sz w:val="28"/>
          <w:szCs w:val="28"/>
        </w:rPr>
        <w:t>四、</w:t>
      </w:r>
      <w:bookmarkEnd w:id="140"/>
      <w:bookmarkEnd w:id="141"/>
      <w:r>
        <w:rPr>
          <w:rFonts w:hint="eastAsia" w:ascii="宋体" w:hAnsi="宋体" w:eastAsia="宋体" w:cs="宋体"/>
          <w:sz w:val="28"/>
          <w:szCs w:val="28"/>
        </w:rPr>
        <w:t>比选终止</w:t>
      </w:r>
      <w:bookmarkEnd w:id="145"/>
      <w:bookmarkEnd w:id="146"/>
      <w:bookmarkEnd w:id="147"/>
    </w:p>
    <w:p w14:paraId="196D169D">
      <w:pPr>
        <w:snapToGrid w:val="0"/>
        <w:spacing w:line="360" w:lineRule="auto"/>
        <w:ind w:firstLine="465"/>
        <w:rPr>
          <w:rFonts w:hint="eastAsia" w:ascii="宋体" w:hAnsi="宋体" w:eastAsia="宋体" w:cs="宋体"/>
          <w:szCs w:val="28"/>
        </w:rPr>
      </w:pPr>
      <w:r>
        <w:rPr>
          <w:rFonts w:hint="eastAsia" w:ascii="宋体" w:hAnsi="宋体" w:eastAsia="宋体" w:cs="宋体"/>
          <w:szCs w:val="28"/>
        </w:rPr>
        <w:t>出现下列情形之一的，</w:t>
      </w:r>
      <w:r>
        <w:rPr>
          <w:rFonts w:hint="eastAsia" w:ascii="宋体" w:hAnsi="宋体" w:eastAsia="宋体" w:cs="宋体"/>
          <w:szCs w:val="28"/>
          <w:lang w:val="en-US" w:eastAsia="zh-CN"/>
        </w:rPr>
        <w:t>采购人</w:t>
      </w:r>
      <w:r>
        <w:rPr>
          <w:rFonts w:hint="eastAsia" w:ascii="宋体" w:hAnsi="宋体" w:eastAsia="宋体" w:cs="宋体"/>
          <w:szCs w:val="28"/>
        </w:rPr>
        <w:t>或者比选代理机构应当终止竞争性比选活动，发布项目终止公告并说明原因，重新开展采购活动：</w:t>
      </w:r>
    </w:p>
    <w:p w14:paraId="21A18547">
      <w:pPr>
        <w:snapToGrid w:val="0"/>
        <w:spacing w:line="360" w:lineRule="auto"/>
        <w:ind w:firstLine="465"/>
        <w:rPr>
          <w:rFonts w:hint="eastAsia" w:ascii="宋体" w:hAnsi="宋体" w:eastAsia="宋体" w:cs="宋体"/>
          <w:szCs w:val="28"/>
        </w:rPr>
      </w:pPr>
      <w:r>
        <w:rPr>
          <w:rFonts w:hint="eastAsia" w:ascii="宋体" w:hAnsi="宋体" w:eastAsia="宋体" w:cs="宋体"/>
          <w:szCs w:val="28"/>
        </w:rPr>
        <w:t>（一）因情况变化，不再符合规定的竞争性比选方式适用情形的；</w:t>
      </w:r>
    </w:p>
    <w:p w14:paraId="43A1E309">
      <w:pPr>
        <w:snapToGrid w:val="0"/>
        <w:spacing w:line="360" w:lineRule="auto"/>
        <w:ind w:firstLine="465"/>
        <w:rPr>
          <w:rFonts w:hint="eastAsia" w:ascii="宋体" w:hAnsi="宋体" w:eastAsia="宋体" w:cs="宋体"/>
          <w:szCs w:val="28"/>
        </w:rPr>
      </w:pPr>
      <w:r>
        <w:rPr>
          <w:rFonts w:hint="eastAsia" w:ascii="宋体" w:hAnsi="宋体" w:eastAsia="宋体" w:cs="宋体"/>
          <w:szCs w:val="28"/>
        </w:rPr>
        <w:t>（二）出现影响采购公正的违法、违规行为的；</w:t>
      </w:r>
    </w:p>
    <w:p w14:paraId="56463E61">
      <w:pPr>
        <w:snapToGrid w:val="0"/>
        <w:spacing w:line="360" w:lineRule="auto"/>
        <w:ind w:firstLine="465"/>
        <w:rPr>
          <w:rFonts w:hint="eastAsia" w:ascii="方正仿宋_GBK" w:hAnsi="方正仿宋_GBK" w:eastAsia="方正仿宋_GBK" w:cs="方正仿宋_GBK"/>
          <w:szCs w:val="28"/>
        </w:rPr>
      </w:pPr>
      <w:r>
        <w:rPr>
          <w:rFonts w:hint="eastAsia" w:ascii="宋体" w:hAnsi="宋体" w:eastAsia="宋体" w:cs="宋体"/>
          <w:szCs w:val="28"/>
        </w:rPr>
        <w:t>（三）在采购过程中符合要求的</w:t>
      </w:r>
      <w:r>
        <w:rPr>
          <w:rFonts w:hint="eastAsia" w:ascii="宋体" w:hAnsi="宋体" w:eastAsia="宋体" w:cs="宋体"/>
          <w:szCs w:val="28"/>
          <w:lang w:val="en-US" w:eastAsia="zh-CN"/>
        </w:rPr>
        <w:t>供应商</w:t>
      </w:r>
      <w:r>
        <w:rPr>
          <w:rFonts w:hint="eastAsia" w:ascii="宋体" w:hAnsi="宋体" w:eastAsia="宋体" w:cs="宋体"/>
          <w:szCs w:val="28"/>
        </w:rPr>
        <w:t>或者报价未超过采购预算的</w:t>
      </w:r>
      <w:r>
        <w:rPr>
          <w:rFonts w:hint="eastAsia" w:ascii="宋体" w:hAnsi="宋体" w:eastAsia="宋体" w:cs="宋体"/>
          <w:szCs w:val="28"/>
          <w:lang w:val="en-US" w:eastAsia="zh-CN"/>
        </w:rPr>
        <w:t>供应商</w:t>
      </w:r>
      <w:r>
        <w:rPr>
          <w:rFonts w:hint="eastAsia" w:ascii="宋体" w:hAnsi="宋体" w:eastAsia="宋体" w:cs="宋体"/>
          <w:szCs w:val="28"/>
        </w:rPr>
        <w:t>不足3家的</w:t>
      </w:r>
      <w:r>
        <w:rPr>
          <w:rFonts w:hint="eastAsia" w:cs="宋体"/>
          <w:szCs w:val="28"/>
          <w:lang w:eastAsia="zh-CN"/>
        </w:rPr>
        <w:t>，但经评审小组一致认为仍具有竞争力的情形除外</w:t>
      </w:r>
      <w:r>
        <w:rPr>
          <w:rFonts w:hint="eastAsia" w:ascii="宋体" w:hAnsi="宋体" w:eastAsia="宋体" w:cs="宋体"/>
          <w:szCs w:val="28"/>
        </w:rPr>
        <w:t>。</w:t>
      </w:r>
    </w:p>
    <w:p w14:paraId="6824577D">
      <w:pPr>
        <w:rPr>
          <w:rFonts w:hint="eastAsia" w:ascii="宋体" w:hAnsi="宋体" w:eastAsia="宋体" w:cs="宋体"/>
          <w:color w:val="auto"/>
        </w:rPr>
      </w:pPr>
      <w:r>
        <w:rPr>
          <w:rFonts w:hint="eastAsia" w:ascii="宋体" w:hAnsi="宋体" w:eastAsia="宋体" w:cs="宋体"/>
          <w:color w:val="auto"/>
        </w:rPr>
        <w:br w:type="page"/>
      </w:r>
    </w:p>
    <w:p w14:paraId="2D40C3A1">
      <w:pPr>
        <w:pStyle w:val="2"/>
        <w:keepNext/>
        <w:keepLines/>
        <w:pageBreakBefore w:val="0"/>
        <w:widowControl/>
        <w:kinsoku/>
        <w:wordWrap/>
        <w:overflowPunct/>
        <w:topLinePunct w:val="0"/>
        <w:autoSpaceDE/>
        <w:autoSpaceDN/>
        <w:bidi w:val="0"/>
        <w:adjustRightInd/>
        <w:snapToGrid/>
        <w:spacing w:line="336" w:lineRule="auto"/>
        <w:jc w:val="center"/>
        <w:textAlignment w:val="auto"/>
        <w:outlineLvl w:val="0"/>
        <w:rPr>
          <w:rFonts w:hint="eastAsia" w:ascii="宋体" w:hAnsi="宋体" w:eastAsia="宋体" w:cs="宋体"/>
          <w:b w:val="0"/>
          <w:bCs w:val="0"/>
          <w:color w:val="auto"/>
        </w:rPr>
      </w:pPr>
      <w:bookmarkStart w:id="148" w:name="_Toc3695"/>
      <w:bookmarkStart w:id="149" w:name="_Toc6453"/>
      <w:bookmarkStart w:id="150" w:name="_Toc108545958"/>
      <w:bookmarkStart w:id="151" w:name="_Toc487204778"/>
      <w:r>
        <w:rPr>
          <w:rStyle w:val="39"/>
          <w:rFonts w:hint="eastAsia" w:ascii="宋体" w:hAnsi="宋体" w:eastAsia="宋体" w:cs="宋体"/>
          <w:b/>
          <w:bCs/>
          <w:color w:val="auto"/>
        </w:rPr>
        <w:t>第</w:t>
      </w:r>
      <w:r>
        <w:rPr>
          <w:rStyle w:val="39"/>
          <w:rFonts w:hint="eastAsia" w:ascii="宋体" w:hAnsi="宋体" w:cs="宋体"/>
          <w:b/>
          <w:bCs/>
          <w:color w:val="auto"/>
          <w:lang w:val="en-US"/>
        </w:rPr>
        <w:t>五</w:t>
      </w:r>
      <w:r>
        <w:rPr>
          <w:rStyle w:val="39"/>
          <w:rFonts w:hint="eastAsia" w:ascii="宋体" w:hAnsi="宋体" w:eastAsia="宋体" w:cs="宋体"/>
          <w:b/>
          <w:bCs/>
          <w:color w:val="auto"/>
        </w:rPr>
        <w:t>篇  供应商须知</w:t>
      </w:r>
      <w:bookmarkEnd w:id="148"/>
      <w:bookmarkEnd w:id="149"/>
      <w:bookmarkEnd w:id="150"/>
      <w:bookmarkEnd w:id="151"/>
    </w:p>
    <w:p w14:paraId="217EC84D">
      <w:pPr>
        <w:pStyle w:val="3"/>
        <w:keepNext/>
        <w:keepLines/>
        <w:pageBreakBefore w:val="0"/>
        <w:widowControl/>
        <w:kinsoku/>
        <w:wordWrap/>
        <w:overflowPunct/>
        <w:topLinePunct w:val="0"/>
        <w:autoSpaceDE/>
        <w:autoSpaceDN/>
        <w:bidi w:val="0"/>
        <w:adjustRightInd/>
        <w:snapToGrid/>
        <w:spacing w:before="0" w:after="0" w:line="336" w:lineRule="auto"/>
        <w:textAlignment w:val="auto"/>
        <w:outlineLvl w:val="1"/>
        <w:rPr>
          <w:rFonts w:hint="eastAsia" w:ascii="宋体" w:hAnsi="宋体" w:eastAsia="宋体" w:cs="宋体"/>
          <w:color w:val="auto"/>
          <w:sz w:val="24"/>
          <w:szCs w:val="24"/>
        </w:rPr>
      </w:pPr>
      <w:bookmarkStart w:id="152" w:name="_Toc342913389"/>
      <w:bookmarkStart w:id="153" w:name="_Toc108545959"/>
      <w:bookmarkStart w:id="154" w:name="_Toc487204779"/>
      <w:bookmarkStart w:id="155" w:name="_Toc2121"/>
      <w:bookmarkStart w:id="156" w:name="_Toc20643"/>
      <w:bookmarkStart w:id="157" w:name="_Toc426965630"/>
      <w:r>
        <w:rPr>
          <w:rFonts w:hint="eastAsia" w:ascii="宋体" w:hAnsi="宋体" w:eastAsia="宋体" w:cs="宋体"/>
          <w:color w:val="auto"/>
          <w:sz w:val="24"/>
          <w:szCs w:val="24"/>
        </w:rPr>
        <w:t>一、比选费用</w:t>
      </w:r>
      <w:bookmarkEnd w:id="152"/>
      <w:bookmarkEnd w:id="153"/>
      <w:bookmarkEnd w:id="154"/>
      <w:bookmarkEnd w:id="155"/>
      <w:bookmarkEnd w:id="156"/>
      <w:bookmarkEnd w:id="157"/>
    </w:p>
    <w:p w14:paraId="1CE933FB">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rPr>
        <w:t>参与比选的供应商应承担其编制响应文件与递交响应文件所涉及的一切费用，不论比选结果如何，采购人和采购代理机构在任何情况下无义务也无责任承担这些费用。</w:t>
      </w:r>
      <w:r>
        <w:rPr>
          <w:rFonts w:hint="eastAsia" w:ascii="宋体" w:hAnsi="宋体" w:eastAsia="宋体" w:cs="宋体"/>
          <w:color w:val="auto"/>
          <w:sz w:val="24"/>
          <w:szCs w:val="24"/>
        </w:rPr>
        <w:tab/>
      </w:r>
    </w:p>
    <w:p w14:paraId="43F216B4">
      <w:pPr>
        <w:keepNext w:val="0"/>
        <w:keepLines w:val="0"/>
        <w:pageBreakBefore w:val="0"/>
        <w:widowControl/>
        <w:kinsoku/>
        <w:wordWrap/>
        <w:overflowPunct/>
        <w:topLinePunct w:val="0"/>
        <w:autoSpaceDE/>
        <w:autoSpaceDN/>
        <w:bidi w:val="0"/>
        <w:adjustRightInd/>
        <w:snapToGrid w:val="0"/>
        <w:spacing w:line="336" w:lineRule="auto"/>
        <w:textAlignment w:val="auto"/>
        <w:outlineLvl w:val="1"/>
        <w:rPr>
          <w:rFonts w:hint="eastAsia" w:ascii="宋体" w:hAnsi="宋体" w:eastAsia="宋体" w:cs="宋体"/>
          <w:b/>
          <w:bCs/>
          <w:color w:val="auto"/>
          <w:kern w:val="0"/>
          <w:sz w:val="24"/>
          <w:szCs w:val="24"/>
          <w:lang w:val="zh-CN" w:eastAsia="zh-CN" w:bidi="ar-SA"/>
        </w:rPr>
      </w:pPr>
      <w:bookmarkStart w:id="158" w:name="_Toc15847"/>
      <w:r>
        <w:rPr>
          <w:rFonts w:hint="eastAsia" w:ascii="宋体" w:hAnsi="宋体" w:eastAsia="宋体" w:cs="宋体"/>
          <w:b/>
          <w:bCs/>
          <w:color w:val="auto"/>
          <w:kern w:val="0"/>
          <w:sz w:val="24"/>
          <w:szCs w:val="24"/>
          <w:lang w:val="zh-CN" w:eastAsia="zh-CN" w:bidi="ar-SA"/>
        </w:rPr>
        <w:t>二、竞争性比选文件</w:t>
      </w:r>
      <w:bookmarkEnd w:id="158"/>
    </w:p>
    <w:p w14:paraId="0BBB780E">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（一）竞争性比选文件由竞争性磋商邀请书，项目技术需求，项目商务需求，磋商程序及方法、评审标准、无效响应和采购终止，供应商须知，合同草案条款和格式合同，电子响应文件编制要求七部分组成。</w:t>
      </w:r>
    </w:p>
    <w:p w14:paraId="5AA822CB">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（二）采购人（或采购代理机构）所作的一切有效的书面通知、修改及补充，都是竞争性比选文件不可分割的部分。</w:t>
      </w:r>
    </w:p>
    <w:p w14:paraId="3C61DF30">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（三）竞争性比选文件的解释</w:t>
      </w:r>
    </w:p>
    <w:p w14:paraId="18BC2532">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供应商如对竞争性比选文件有疑问，必须以书面形式在提交响应文件截止时间1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p>
    <w:p w14:paraId="63737837">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（四）评审的依据为竞争性比选文件和响应文件（含有效的书面承诺）。评审小组判断响应文件对竞争性比选文件的响应，仅基于响应文件本身而不靠外部证据。</w:t>
      </w:r>
    </w:p>
    <w:p w14:paraId="5845D303">
      <w:pPr>
        <w:pStyle w:val="3"/>
        <w:keepNext/>
        <w:keepLines/>
        <w:pageBreakBefore w:val="0"/>
        <w:widowControl/>
        <w:kinsoku/>
        <w:wordWrap/>
        <w:overflowPunct/>
        <w:topLinePunct w:val="0"/>
        <w:autoSpaceDE/>
        <w:autoSpaceDN/>
        <w:bidi w:val="0"/>
        <w:adjustRightInd/>
        <w:snapToGrid/>
        <w:spacing w:before="0" w:after="0" w:line="336" w:lineRule="auto"/>
        <w:textAlignment w:val="auto"/>
        <w:outlineLvl w:val="1"/>
        <w:rPr>
          <w:rFonts w:hint="eastAsia" w:ascii="宋体" w:hAnsi="宋体" w:eastAsia="宋体" w:cs="宋体"/>
          <w:color w:val="auto"/>
          <w:sz w:val="24"/>
          <w:szCs w:val="24"/>
        </w:rPr>
      </w:pPr>
      <w:bookmarkStart w:id="159" w:name="_Toc342913392"/>
      <w:bookmarkStart w:id="160" w:name="_Toc179714297"/>
      <w:bookmarkStart w:id="161" w:name="_Toc108545961"/>
      <w:bookmarkStart w:id="162" w:name="_Toc487204781"/>
      <w:bookmarkStart w:id="163" w:name="_Toc21437"/>
      <w:bookmarkStart w:id="164" w:name="_Toc26774"/>
      <w:bookmarkStart w:id="165" w:name="_Toc102227318"/>
      <w:bookmarkStart w:id="166" w:name="_Toc426965632"/>
      <w:r>
        <w:rPr>
          <w:rFonts w:hint="eastAsia" w:ascii="宋体" w:hAnsi="宋体" w:eastAsia="宋体" w:cs="宋体"/>
          <w:color w:val="auto"/>
          <w:sz w:val="24"/>
          <w:szCs w:val="24"/>
        </w:rPr>
        <w:t>三、比选要求</w:t>
      </w:r>
      <w:bookmarkEnd w:id="159"/>
      <w:bookmarkEnd w:id="160"/>
      <w:bookmarkEnd w:id="161"/>
      <w:bookmarkEnd w:id="162"/>
      <w:bookmarkEnd w:id="163"/>
      <w:bookmarkEnd w:id="164"/>
      <w:bookmarkEnd w:id="165"/>
      <w:bookmarkEnd w:id="166"/>
    </w:p>
    <w:p w14:paraId="2FC90E32">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（一）响应文件</w:t>
      </w:r>
    </w:p>
    <w:p w14:paraId="6D1BE268">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供应商应当按照比选</w:t>
      </w:r>
      <w:r>
        <w:rPr>
          <w:rFonts w:hint="eastAsia" w:cs="宋体"/>
          <w:color w:val="auto"/>
          <w:lang w:val="en-US" w:eastAsia="zh-CN"/>
        </w:rPr>
        <w:t>文件</w:t>
      </w:r>
      <w:r>
        <w:rPr>
          <w:rFonts w:hint="eastAsia" w:ascii="宋体" w:hAnsi="宋体" w:eastAsia="宋体" w:cs="宋体"/>
          <w:color w:val="auto"/>
        </w:rPr>
        <w:t>的要求编制响应文件，并对比选</w:t>
      </w:r>
      <w:r>
        <w:rPr>
          <w:rFonts w:hint="eastAsia" w:cs="宋体"/>
          <w:color w:val="auto"/>
          <w:lang w:val="en-US" w:eastAsia="zh-CN"/>
        </w:rPr>
        <w:t>文件</w:t>
      </w:r>
      <w:r>
        <w:rPr>
          <w:rFonts w:hint="eastAsia" w:ascii="宋体" w:hAnsi="宋体" w:eastAsia="宋体" w:cs="宋体"/>
          <w:color w:val="auto"/>
        </w:rPr>
        <w:t>提出的要求和条件作出实质性响应，响应文件原则上采用软面订本，同时应编制完整的页码、目录。</w:t>
      </w:r>
    </w:p>
    <w:p w14:paraId="7552D1D3">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1、响应文件组成</w:t>
      </w:r>
    </w:p>
    <w:p w14:paraId="2C585CA0">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响应文件由第</w:t>
      </w:r>
      <w:r>
        <w:rPr>
          <w:rFonts w:hint="eastAsia" w:cs="宋体"/>
          <w:color w:val="auto"/>
          <w:lang w:val="en-US" w:eastAsia="zh-CN"/>
        </w:rPr>
        <w:t>七</w:t>
      </w:r>
      <w:r>
        <w:rPr>
          <w:rFonts w:hint="eastAsia" w:ascii="宋体" w:hAnsi="宋体" w:eastAsia="宋体" w:cs="宋体"/>
          <w:color w:val="auto"/>
        </w:rPr>
        <w:t>篇“响应文件格式要求”规定的部分和供应商所作的一切有效补充、修改和承诺等文件组成，供应商应按照第</w:t>
      </w:r>
      <w:r>
        <w:rPr>
          <w:rFonts w:hint="eastAsia" w:cs="宋体"/>
          <w:color w:val="auto"/>
          <w:lang w:val="en-US" w:eastAsia="zh-CN"/>
        </w:rPr>
        <w:t>七</w:t>
      </w:r>
      <w:r>
        <w:rPr>
          <w:rFonts w:hint="eastAsia" w:ascii="宋体" w:hAnsi="宋体" w:eastAsia="宋体" w:cs="宋体"/>
          <w:color w:val="auto"/>
        </w:rPr>
        <w:t>篇“响应文件格式”规定的目录顺序组织编写和装订，也可在基本格式基础上对表格进行扩展，未规定格式的由供应商自定格式。</w:t>
      </w:r>
    </w:p>
    <w:p w14:paraId="6B9F1F11">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2、联合体</w:t>
      </w:r>
    </w:p>
    <w:p w14:paraId="65DD6D73">
      <w:pPr>
        <w:pageBreakBefore w:val="0"/>
        <w:kinsoku/>
        <w:overflowPunct/>
        <w:topLinePunct w:val="0"/>
        <w:bidi w:val="0"/>
        <w:snapToGrid w:val="0"/>
        <w:spacing w:line="336" w:lineRule="auto"/>
        <w:ind w:firstLine="482" w:firstLineChars="200"/>
        <w:textAlignment w:val="auto"/>
        <w:rPr>
          <w:rFonts w:hint="eastAsia" w:ascii="宋体" w:hAnsi="宋体" w:eastAsia="宋体" w:cs="宋体"/>
          <w:b/>
          <w:bCs/>
          <w:color w:val="auto"/>
        </w:rPr>
      </w:pPr>
      <w:r>
        <w:rPr>
          <w:rFonts w:hint="eastAsia" w:ascii="宋体" w:hAnsi="宋体" w:eastAsia="宋体" w:cs="宋体"/>
          <w:b/>
          <w:bCs/>
          <w:color w:val="auto"/>
        </w:rPr>
        <w:t>本项目不接受联合体竞标。</w:t>
      </w:r>
    </w:p>
    <w:p w14:paraId="6E3310E2">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3、比选有效期：响应文件及有关承诺文件有效期为比选开始时间起90天。</w:t>
      </w:r>
    </w:p>
    <w:p w14:paraId="6E979414">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（二）保证金：</w:t>
      </w:r>
    </w:p>
    <w:p w14:paraId="47771BBE">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1、供应商提交保证金金额和方式详见“</w:t>
      </w:r>
      <w:r>
        <w:rPr>
          <w:rFonts w:hint="eastAsia" w:ascii="宋体" w:hAnsi="宋体" w:eastAsia="宋体" w:cs="宋体"/>
          <w:b/>
          <w:color w:val="auto"/>
        </w:rPr>
        <w:t>第一篇</w:t>
      </w:r>
      <w:r>
        <w:rPr>
          <w:rFonts w:hint="eastAsia" w:ascii="宋体" w:hAnsi="宋体" w:eastAsia="宋体" w:cs="宋体"/>
          <w:color w:val="auto"/>
        </w:rPr>
        <w:t>”；</w:t>
      </w:r>
    </w:p>
    <w:p w14:paraId="0C310C23">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2、发生以下情况之一者，保证金不予退还：</w:t>
      </w:r>
    </w:p>
    <w:p w14:paraId="1E08C2EC">
      <w:pPr>
        <w:pageBreakBefore w:val="0"/>
        <w:kinsoku/>
        <w:overflowPunct/>
        <w:topLinePunct w:val="0"/>
        <w:bidi w:val="0"/>
        <w:snapToGrid w:val="0"/>
        <w:spacing w:line="336" w:lineRule="auto"/>
        <w:ind w:left="480" w:leftChars="200"/>
        <w:textAlignment w:val="auto"/>
        <w:rPr>
          <w:rFonts w:hint="eastAsia" w:ascii="宋体" w:hAnsi="宋体" w:eastAsia="宋体" w:cs="宋体"/>
          <w:color w:val="auto"/>
          <w:lang w:eastAsia="zh-CN"/>
        </w:rPr>
      </w:pPr>
      <w:r>
        <w:rPr>
          <w:rFonts w:hint="eastAsia" w:ascii="宋体" w:hAnsi="宋体" w:eastAsia="宋体" w:cs="宋体"/>
          <w:color w:val="auto"/>
        </w:rPr>
        <w:t>2.1供应商在提交响应文件截止时间后撤回响应文件的；</w:t>
      </w:r>
    </w:p>
    <w:p w14:paraId="403B3C26">
      <w:pPr>
        <w:pageBreakBefore w:val="0"/>
        <w:kinsoku/>
        <w:overflowPunct/>
        <w:topLinePunct w:val="0"/>
        <w:bidi w:val="0"/>
        <w:snapToGrid w:val="0"/>
        <w:spacing w:line="336" w:lineRule="auto"/>
        <w:ind w:left="480" w:leftChars="200"/>
        <w:textAlignment w:val="auto"/>
        <w:rPr>
          <w:rFonts w:hint="eastAsia" w:ascii="宋体" w:hAnsi="宋体" w:eastAsia="宋体" w:cs="宋体"/>
          <w:color w:val="auto"/>
          <w:lang w:eastAsia="zh-CN"/>
        </w:rPr>
      </w:pPr>
      <w:r>
        <w:rPr>
          <w:rFonts w:hint="eastAsia" w:ascii="宋体" w:hAnsi="宋体" w:eastAsia="宋体" w:cs="宋体"/>
          <w:color w:val="auto"/>
        </w:rPr>
        <w:t>2.2供应商在响应文件中提供虚假材料的；</w:t>
      </w:r>
    </w:p>
    <w:p w14:paraId="0594AB64">
      <w:pPr>
        <w:pageBreakBefore w:val="0"/>
        <w:kinsoku/>
        <w:overflowPunct/>
        <w:topLinePunct w:val="0"/>
        <w:bidi w:val="0"/>
        <w:snapToGrid w:val="0"/>
        <w:spacing w:line="336" w:lineRule="auto"/>
        <w:ind w:left="480" w:leftChars="200"/>
        <w:textAlignment w:val="auto"/>
        <w:rPr>
          <w:rFonts w:hint="eastAsia" w:ascii="宋体" w:hAnsi="宋体" w:eastAsia="宋体" w:cs="宋体"/>
          <w:color w:val="auto"/>
          <w:lang w:eastAsia="zh-CN"/>
        </w:rPr>
      </w:pPr>
      <w:r>
        <w:rPr>
          <w:rFonts w:hint="eastAsia" w:ascii="宋体" w:hAnsi="宋体" w:eastAsia="宋体" w:cs="宋体"/>
          <w:color w:val="auto"/>
        </w:rPr>
        <w:t>2.3除因不可抗力或比选</w:t>
      </w:r>
      <w:r>
        <w:rPr>
          <w:rFonts w:hint="eastAsia" w:cs="宋体"/>
          <w:color w:val="auto"/>
          <w:lang w:val="en-US" w:eastAsia="zh-CN"/>
        </w:rPr>
        <w:t>文件</w:t>
      </w:r>
      <w:r>
        <w:rPr>
          <w:rFonts w:hint="eastAsia" w:ascii="宋体" w:hAnsi="宋体" w:eastAsia="宋体" w:cs="宋体"/>
          <w:color w:val="auto"/>
        </w:rPr>
        <w:t>认可的情形以外，成交供应商不与采购人签订合同的；</w:t>
      </w:r>
    </w:p>
    <w:p w14:paraId="3D4C2532">
      <w:pPr>
        <w:pageBreakBefore w:val="0"/>
        <w:kinsoku/>
        <w:overflowPunct/>
        <w:topLinePunct w:val="0"/>
        <w:bidi w:val="0"/>
        <w:snapToGrid w:val="0"/>
        <w:spacing w:line="336" w:lineRule="auto"/>
        <w:ind w:left="480" w:leftChars="200"/>
        <w:textAlignment w:val="auto"/>
        <w:rPr>
          <w:rFonts w:hint="eastAsia" w:ascii="宋体" w:hAnsi="宋体" w:eastAsia="宋体" w:cs="宋体"/>
          <w:color w:val="auto"/>
          <w:lang w:eastAsia="zh-CN"/>
        </w:rPr>
      </w:pPr>
      <w:r>
        <w:rPr>
          <w:rFonts w:hint="eastAsia" w:ascii="宋体" w:hAnsi="宋体" w:eastAsia="宋体" w:cs="宋体"/>
          <w:color w:val="auto"/>
        </w:rPr>
        <w:t>2.4供应商与采购人、其他供应商或者采购代理机构恶意串通的；</w:t>
      </w:r>
    </w:p>
    <w:p w14:paraId="34B9F51D">
      <w:pPr>
        <w:pageBreakBefore w:val="0"/>
        <w:kinsoku/>
        <w:overflowPunct/>
        <w:topLinePunct w:val="0"/>
        <w:bidi w:val="0"/>
        <w:snapToGrid w:val="0"/>
        <w:spacing w:line="336" w:lineRule="auto"/>
        <w:ind w:left="480" w:leftChars="200"/>
        <w:textAlignment w:val="auto"/>
        <w:rPr>
          <w:rFonts w:hint="eastAsia" w:ascii="宋体" w:hAnsi="宋体" w:eastAsia="宋体" w:cs="宋体"/>
          <w:color w:val="auto"/>
        </w:rPr>
      </w:pPr>
      <w:r>
        <w:rPr>
          <w:rFonts w:hint="eastAsia" w:ascii="宋体" w:hAnsi="宋体" w:eastAsia="宋体" w:cs="宋体"/>
          <w:color w:val="auto"/>
        </w:rPr>
        <w:t>2.5比选</w:t>
      </w:r>
      <w:r>
        <w:rPr>
          <w:rFonts w:hint="eastAsia" w:cs="宋体"/>
          <w:color w:val="auto"/>
          <w:lang w:val="en-US" w:eastAsia="zh-CN"/>
        </w:rPr>
        <w:t>文件</w:t>
      </w:r>
      <w:r>
        <w:rPr>
          <w:rFonts w:hint="eastAsia" w:ascii="宋体" w:hAnsi="宋体" w:eastAsia="宋体" w:cs="宋体"/>
          <w:color w:val="auto"/>
        </w:rPr>
        <w:t>规定的其他情形。</w:t>
      </w:r>
    </w:p>
    <w:p w14:paraId="7DAAAA67">
      <w:pPr>
        <w:pageBreakBefore w:val="0"/>
        <w:kinsoku/>
        <w:overflowPunct/>
        <w:topLinePunct w:val="0"/>
        <w:bidi w:val="0"/>
        <w:snapToGrid w:val="0"/>
        <w:spacing w:line="336" w:lineRule="auto"/>
        <w:ind w:left="480" w:leftChars="200"/>
        <w:textAlignment w:val="auto"/>
        <w:rPr>
          <w:rFonts w:hint="eastAsia" w:ascii="宋体" w:hAnsi="宋体" w:eastAsia="宋体" w:cs="宋体"/>
          <w:color w:val="auto"/>
        </w:rPr>
      </w:pPr>
      <w:r>
        <w:rPr>
          <w:rFonts w:hint="eastAsia" w:ascii="宋体" w:hAnsi="宋体" w:eastAsia="宋体" w:cs="宋体"/>
          <w:color w:val="auto"/>
        </w:rPr>
        <w:t>（三）报价要求</w:t>
      </w:r>
    </w:p>
    <w:p w14:paraId="0BFB0B7E">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需综合考虑完成本项目所需的服务费、货物费、人工费及提供服务所需的设备或各种应纳的税费费等进行综合报价。因中标人自身原因造成漏报、少报皆由其自行承担责任，招标人不再补偿。</w:t>
      </w:r>
    </w:p>
    <w:p w14:paraId="761FA316">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（四）修正错误</w:t>
      </w:r>
    </w:p>
    <w:p w14:paraId="1E912D15">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若响应文件出现计算或表达上的错误，修正错误的原则如下：</w:t>
      </w:r>
    </w:p>
    <w:p w14:paraId="01E75AAC">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1.响应文件中报价函的内容与响应文件中相应内容不一致的，以报价函为准；</w:t>
      </w:r>
    </w:p>
    <w:p w14:paraId="5EB9E84C">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2.大写金额和小写金额不一致的，以大写金额为准；</w:t>
      </w:r>
    </w:p>
    <w:p w14:paraId="0C2FB4E4">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3.单价金额小数点或者百分比有明显错位的，以报价函总价为准，并修改单价；</w:t>
      </w:r>
    </w:p>
    <w:p w14:paraId="1BFFEE92">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4.总价金额与按单价汇总金额不一致的，以单价金额计算结果为准。</w:t>
      </w:r>
    </w:p>
    <w:p w14:paraId="0549BCA2">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lang w:eastAsia="zh-CN"/>
        </w:rPr>
        <w:t>评审小组</w:t>
      </w:r>
      <w:r>
        <w:rPr>
          <w:rFonts w:hint="eastAsia" w:ascii="宋体" w:hAnsi="宋体" w:eastAsia="宋体" w:cs="宋体"/>
          <w:color w:val="auto"/>
        </w:rPr>
        <w:t>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55AAB194">
      <w:pPr>
        <w:pageBreakBefore w:val="0"/>
        <w:numPr>
          <w:ilvl w:val="0"/>
          <w:numId w:val="2"/>
        </w:numPr>
        <w:kinsoku/>
        <w:overflowPunct/>
        <w:topLinePunct w:val="0"/>
        <w:bidi w:val="0"/>
        <w:snapToGrid w:val="0"/>
        <w:spacing w:line="336" w:lineRule="auto"/>
        <w:ind w:firstLine="360" w:firstLineChars="150"/>
        <w:textAlignment w:val="auto"/>
        <w:rPr>
          <w:rFonts w:hint="eastAsia" w:ascii="宋体" w:hAnsi="宋体" w:eastAsia="宋体" w:cs="宋体"/>
          <w:color w:val="auto"/>
        </w:rPr>
      </w:pPr>
      <w:r>
        <w:rPr>
          <w:rFonts w:hint="eastAsia" w:ascii="宋体" w:hAnsi="宋体" w:eastAsia="宋体" w:cs="宋体"/>
          <w:color w:val="auto"/>
        </w:rPr>
        <w:t>提交响应文件的份数和签署和递交</w:t>
      </w:r>
    </w:p>
    <w:p w14:paraId="012FDFFB">
      <w:pPr>
        <w:pageBreakBefore w:val="0"/>
        <w:kinsoku/>
        <w:overflowPunct/>
        <w:topLinePunct w:val="0"/>
        <w:bidi w:val="0"/>
        <w:snapToGrid w:val="0"/>
        <w:spacing w:line="336" w:lineRule="auto"/>
        <w:ind w:firstLine="482" w:firstLineChars="200"/>
        <w:textAlignment w:val="auto"/>
        <w:rPr>
          <w:rFonts w:hint="eastAsia" w:ascii="宋体" w:hAnsi="宋体" w:eastAsia="宋体" w:cs="宋体"/>
          <w:b/>
          <w:bCs/>
          <w:color w:val="auto"/>
        </w:rPr>
      </w:pPr>
      <w:r>
        <w:rPr>
          <w:rFonts w:hint="eastAsia" w:ascii="宋体" w:hAnsi="宋体" w:eastAsia="宋体" w:cs="宋体"/>
          <w:b/>
          <w:bCs/>
          <w:color w:val="auto"/>
        </w:rPr>
        <w:t>投标现场响应文件提交规则：</w:t>
      </w:r>
    </w:p>
    <w:p w14:paraId="4E8D6747">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w:t>
      </w:r>
      <w:r>
        <w:rPr>
          <w:rFonts w:hint="eastAsia" w:ascii="宋体" w:hAnsi="宋体" w:eastAsia="宋体" w:cs="宋体"/>
          <w:b/>
          <w:bCs/>
          <w:color w:val="auto"/>
        </w:rPr>
        <w:t>响应文件一式</w:t>
      </w:r>
      <w:r>
        <w:rPr>
          <w:rFonts w:hint="eastAsia" w:ascii="宋体" w:hAnsi="宋体" w:eastAsia="宋体" w:cs="宋体"/>
          <w:b/>
          <w:bCs/>
          <w:color w:val="auto"/>
          <w:lang w:eastAsia="zh-CN"/>
        </w:rPr>
        <w:t>三</w:t>
      </w:r>
      <w:r>
        <w:rPr>
          <w:rFonts w:hint="eastAsia" w:ascii="宋体" w:hAnsi="宋体" w:eastAsia="宋体" w:cs="宋体"/>
          <w:b/>
          <w:bCs/>
          <w:color w:val="auto"/>
        </w:rPr>
        <w:t>份，其中正本一份，副本两份</w:t>
      </w:r>
      <w:r>
        <w:rPr>
          <w:rFonts w:hint="eastAsia" w:ascii="宋体" w:hAnsi="宋体" w:eastAsia="宋体" w:cs="宋体"/>
          <w:color w:val="auto"/>
        </w:rPr>
        <w:t>；副本可为正本的复印件，应与正本一致，如出现不一致情况以正本为准。</w:t>
      </w:r>
    </w:p>
    <w:p w14:paraId="0AAB453E">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w:t>
      </w:r>
      <w:r>
        <w:rPr>
          <w:rFonts w:hint="eastAsia" w:ascii="宋体" w:hAnsi="宋体" w:eastAsia="宋体" w:cs="宋体"/>
          <w:color w:val="auto"/>
        </w:rPr>
        <w:t>在响应文件正本中，比选</w:t>
      </w:r>
      <w:r>
        <w:rPr>
          <w:rFonts w:hint="eastAsia" w:cs="宋体"/>
          <w:color w:val="auto"/>
          <w:lang w:val="en-US" w:eastAsia="zh-CN"/>
        </w:rPr>
        <w:t>文件</w:t>
      </w:r>
      <w:r>
        <w:rPr>
          <w:rFonts w:hint="eastAsia" w:ascii="宋体" w:hAnsi="宋体" w:eastAsia="宋体" w:cs="宋体"/>
          <w:color w:val="auto"/>
        </w:rPr>
        <w:t>第</w:t>
      </w:r>
      <w:r>
        <w:rPr>
          <w:rFonts w:hint="eastAsia" w:cs="宋体"/>
          <w:color w:val="auto"/>
          <w:lang w:val="en-US" w:eastAsia="zh-CN"/>
        </w:rPr>
        <w:t>七</w:t>
      </w:r>
      <w:r>
        <w:rPr>
          <w:rFonts w:hint="eastAsia" w:ascii="宋体" w:hAnsi="宋体" w:eastAsia="宋体" w:cs="宋体"/>
          <w:color w:val="auto"/>
        </w:rPr>
        <w:t>篇响应文件格式中规定签字、盖章的地方必须按其规定签字、盖章。</w:t>
      </w:r>
    </w:p>
    <w:p w14:paraId="627D19FC">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lang w:val="en-US" w:eastAsia="zh-CN"/>
        </w:rPr>
        <w:t>.</w:t>
      </w:r>
      <w:r>
        <w:rPr>
          <w:rFonts w:hint="eastAsia" w:ascii="宋体" w:hAnsi="宋体" w:eastAsia="宋体" w:cs="宋体"/>
          <w:color w:val="auto"/>
        </w:rPr>
        <w:t>响应文件的密封与标记</w:t>
      </w:r>
    </w:p>
    <w:p w14:paraId="7F34061F">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响应文件的正本、副本均应密封送达比选地点，应在封套上注明项目名称、供应商名称。若正本、副本分别进行密封的，还应在封套上注明“正本”、“副本”字样。</w:t>
      </w:r>
    </w:p>
    <w:p w14:paraId="01D05710">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4.如果未按上述规定进行密封的，采购人、采购代理机构将拒收其响应文件。</w:t>
      </w:r>
    </w:p>
    <w:p w14:paraId="6929F9CD">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cs="宋体"/>
          <w:color w:val="auto"/>
          <w:lang w:val="en-US" w:eastAsia="zh-CN"/>
        </w:rPr>
        <w:t>5</w:t>
      </w:r>
      <w:r>
        <w:rPr>
          <w:rFonts w:hint="eastAsia" w:ascii="宋体" w:hAnsi="宋体" w:eastAsia="宋体" w:cs="宋体"/>
          <w:color w:val="auto"/>
          <w:lang w:val="en-US" w:eastAsia="zh-CN"/>
        </w:rPr>
        <w:t>.</w:t>
      </w:r>
      <w:r>
        <w:rPr>
          <w:rFonts w:hint="eastAsia" w:ascii="宋体" w:hAnsi="宋体" w:eastAsia="宋体" w:cs="宋体"/>
          <w:color w:val="auto"/>
        </w:rPr>
        <w:t>响应文件投递截止时间：见比选</w:t>
      </w:r>
      <w:r>
        <w:rPr>
          <w:rFonts w:hint="eastAsia" w:cs="宋体"/>
          <w:color w:val="auto"/>
          <w:lang w:val="en-US" w:eastAsia="zh-CN"/>
        </w:rPr>
        <w:t>文件</w:t>
      </w:r>
      <w:r>
        <w:rPr>
          <w:rFonts w:hint="eastAsia" w:ascii="宋体" w:hAnsi="宋体" w:eastAsia="宋体" w:cs="宋体"/>
          <w:color w:val="auto"/>
        </w:rPr>
        <w:t>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57BC4BCA">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（六）响应文件语言：简体中文</w:t>
      </w:r>
    </w:p>
    <w:p w14:paraId="7572E51F">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（七）供应商参与人员</w:t>
      </w:r>
    </w:p>
    <w:p w14:paraId="3B354BD3">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highlight w:val="red"/>
        </w:rPr>
      </w:pPr>
      <w:r>
        <w:rPr>
          <w:rFonts w:hint="eastAsia" w:ascii="宋体" w:hAnsi="宋体" w:eastAsia="宋体" w:cs="宋体"/>
          <w:color w:val="auto"/>
          <w:highlight w:val="none"/>
        </w:rPr>
        <w:t>各</w:t>
      </w:r>
      <w:r>
        <w:rPr>
          <w:rFonts w:hint="eastAsia" w:cs="宋体"/>
          <w:color w:val="auto"/>
          <w:highlight w:val="none"/>
          <w:lang w:val="en-US" w:eastAsia="zh-CN"/>
        </w:rPr>
        <w:t>参选</w:t>
      </w:r>
      <w:r>
        <w:rPr>
          <w:rFonts w:hint="eastAsia" w:ascii="宋体" w:hAnsi="宋体" w:eastAsia="宋体" w:cs="宋体"/>
          <w:color w:val="auto"/>
          <w:highlight w:val="none"/>
        </w:rPr>
        <w:t>供应商可派1-2名代表参与比选，至少1人应为法定代表人或具有法定代表人授权委托书的授权代表。</w:t>
      </w:r>
    </w:p>
    <w:p w14:paraId="152081F3">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（八）无效响应</w:t>
      </w:r>
    </w:p>
    <w:p w14:paraId="61339FF8">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供应商发生以下条款情况之一者，视为无效响应，其响应文件将被拒绝：</w:t>
      </w:r>
    </w:p>
    <w:p w14:paraId="264C9F1F">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1、供应商不符合资格要求的；</w:t>
      </w:r>
    </w:p>
    <w:p w14:paraId="0175607F">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2、供应商未按照比选</w:t>
      </w:r>
      <w:r>
        <w:rPr>
          <w:rFonts w:hint="eastAsia" w:cs="宋体"/>
          <w:color w:val="auto"/>
          <w:lang w:val="en-US" w:eastAsia="zh-CN"/>
        </w:rPr>
        <w:t>文件</w:t>
      </w:r>
      <w:r>
        <w:rPr>
          <w:rFonts w:hint="eastAsia" w:ascii="宋体" w:hAnsi="宋体" w:eastAsia="宋体" w:cs="宋体"/>
          <w:color w:val="auto"/>
        </w:rPr>
        <w:t>的要求缴纳保证金的；</w:t>
      </w:r>
    </w:p>
    <w:p w14:paraId="2D2F4BB7">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3、供应商所提交的响应文件不按规定签字、盖章的；</w:t>
      </w:r>
    </w:p>
    <w:p w14:paraId="32693796">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4、供应商的报价超过采购预算（若有采购预算单价，则含采购预算单价）的；</w:t>
      </w:r>
    </w:p>
    <w:p w14:paraId="632CEB39">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5、供应商响应文件附有采购人无法接受的条件的；</w:t>
      </w:r>
    </w:p>
    <w:p w14:paraId="2C056546">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6、供应商串通投标的；</w:t>
      </w:r>
    </w:p>
    <w:p w14:paraId="144C0C87">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7、供应商组成联合体投标的；</w:t>
      </w:r>
    </w:p>
    <w:p w14:paraId="4F6A6D7D">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8、法律、法规和比选</w:t>
      </w:r>
      <w:r>
        <w:rPr>
          <w:rFonts w:hint="eastAsia" w:cs="宋体"/>
          <w:color w:val="auto"/>
          <w:lang w:val="en-US" w:eastAsia="zh-CN"/>
        </w:rPr>
        <w:t>文件</w:t>
      </w:r>
      <w:r>
        <w:rPr>
          <w:rFonts w:hint="eastAsia" w:ascii="宋体" w:hAnsi="宋体" w:eastAsia="宋体" w:cs="宋体"/>
          <w:color w:val="auto"/>
        </w:rPr>
        <w:t>规定的其他无效情形。</w:t>
      </w:r>
      <w:bookmarkStart w:id="167" w:name="_Toc492721019"/>
      <w:bookmarkStart w:id="168" w:name="_Toc493506302"/>
    </w:p>
    <w:p w14:paraId="70192954">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（九）废标条款</w:t>
      </w:r>
      <w:bookmarkEnd w:id="167"/>
      <w:bookmarkEnd w:id="168"/>
    </w:p>
    <w:p w14:paraId="6A6BE05B">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出现下列情形之一的，采购人或者采购代理机构应当终止比选采购活动，发布项目终止公告并说明原因，重新开展采购活动：</w:t>
      </w:r>
    </w:p>
    <w:p w14:paraId="32B6DC0A">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1、因情况变化，不再符合规定的比选采购方式适用情形的；</w:t>
      </w:r>
    </w:p>
    <w:p w14:paraId="487745D2">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2、出现影响采购公正的违法、违规行为的；</w:t>
      </w:r>
    </w:p>
    <w:p w14:paraId="33009570">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3、在采购过程中符合竞争要求的供应商或者报价未超过采购预算的供应商不足2家的。</w:t>
      </w:r>
    </w:p>
    <w:p w14:paraId="3CDD08F3">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废标后，除采购任务取消情形外，应当重新组织采购。</w:t>
      </w:r>
    </w:p>
    <w:p w14:paraId="126DC016">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（十）采购代理服务费</w:t>
      </w:r>
    </w:p>
    <w:p w14:paraId="7CC03812">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highlight w:val="none"/>
        </w:rPr>
      </w:pPr>
      <w:r>
        <w:rPr>
          <w:rFonts w:hint="eastAsia" w:cs="宋体"/>
          <w:color w:val="auto"/>
          <w:highlight w:val="none"/>
          <w:lang w:eastAsia="zh-CN"/>
        </w:rPr>
        <w:t>招标代理服务费金额：固定</w:t>
      </w:r>
      <w:r>
        <w:rPr>
          <w:rFonts w:hint="eastAsia" w:cs="宋体"/>
          <w:color w:val="auto"/>
          <w:highlight w:val="none"/>
          <w:lang w:val="en-US" w:eastAsia="zh-CN"/>
        </w:rPr>
        <w:t>金额</w:t>
      </w:r>
      <w:r>
        <w:rPr>
          <w:rFonts w:hint="eastAsia" w:ascii="宋体" w:hAnsi="宋体" w:eastAsia="宋体" w:cs="宋体"/>
          <w:color w:val="auto"/>
          <w:highlight w:val="none"/>
          <w:u w:val="single"/>
          <w:lang w:val="en-US" w:eastAsia="zh-CN"/>
        </w:rPr>
        <w:t>3000</w:t>
      </w:r>
      <w:r>
        <w:rPr>
          <w:rFonts w:hint="eastAsia" w:ascii="宋体" w:hAnsi="宋体" w:eastAsia="宋体" w:cs="宋体"/>
          <w:color w:val="auto"/>
          <w:highlight w:val="none"/>
        </w:rPr>
        <w:t>.00元（大写：</w:t>
      </w:r>
      <w:r>
        <w:rPr>
          <w:rFonts w:hint="eastAsia" w:ascii="宋体" w:hAnsi="宋体" w:eastAsia="宋体" w:cs="宋体"/>
          <w:color w:val="auto"/>
          <w:highlight w:val="none"/>
          <w:u w:val="single"/>
          <w:lang w:val="en-US" w:eastAsia="zh-CN"/>
        </w:rPr>
        <w:t xml:space="preserve"> 叁仟</w:t>
      </w:r>
      <w:r>
        <w:rPr>
          <w:rFonts w:hint="eastAsia" w:ascii="宋体" w:hAnsi="宋体" w:eastAsia="宋体" w:cs="宋体"/>
          <w:color w:val="auto"/>
          <w:highlight w:val="none"/>
          <w:u w:val="single"/>
        </w:rPr>
        <w:t>元整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w:t>
      </w:r>
      <w:r>
        <w:rPr>
          <w:rFonts w:hint="eastAsia" w:cs="宋体"/>
          <w:color w:val="auto"/>
          <w:highlight w:val="none"/>
          <w:lang w:eastAsia="zh-CN"/>
        </w:rPr>
        <w:t>，</w:t>
      </w:r>
      <w:r>
        <w:rPr>
          <w:rFonts w:hint="eastAsia" w:cs="宋体"/>
          <w:color w:val="auto"/>
          <w:highlight w:val="none"/>
          <w:lang w:val="en-US" w:eastAsia="zh-CN"/>
        </w:rPr>
        <w:t>项目招标完成后，由中标单位在领取中标通知书时一次性支付</w:t>
      </w:r>
      <w:r>
        <w:rPr>
          <w:rFonts w:hint="eastAsia" w:ascii="宋体" w:hAnsi="宋体" w:eastAsia="宋体" w:cs="宋体"/>
          <w:color w:val="auto"/>
          <w:highlight w:val="none"/>
        </w:rPr>
        <w:t>。</w:t>
      </w:r>
    </w:p>
    <w:p w14:paraId="22EBB77C">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2、代理服务费以转帐或者现金形式支付。</w:t>
      </w:r>
    </w:p>
    <w:p w14:paraId="11611BAE">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4、费用缴纳账号：</w:t>
      </w:r>
    </w:p>
    <w:p w14:paraId="5538E32A">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户  名：</w:t>
      </w:r>
      <w:r>
        <w:rPr>
          <w:rFonts w:hint="eastAsia" w:cs="宋体"/>
          <w:color w:val="auto"/>
          <w:lang w:eastAsia="zh-CN"/>
        </w:rPr>
        <w:t>重庆车厘子建设工程咨询有限公司</w:t>
      </w:r>
    </w:p>
    <w:p w14:paraId="776B71F4">
      <w:pPr>
        <w:pageBreakBefore w:val="0"/>
        <w:kinsoku/>
        <w:overflowPunct/>
        <w:topLinePunct w:val="0"/>
        <w:bidi w:val="0"/>
        <w:snapToGrid w:val="0"/>
        <w:spacing w:line="336" w:lineRule="auto"/>
        <w:ind w:firstLine="480" w:firstLineChars="200"/>
        <w:textAlignment w:val="auto"/>
        <w:rPr>
          <w:rFonts w:hint="default" w:ascii="宋体" w:hAnsi="宋体" w:eastAsia="宋体" w:cs="宋体"/>
          <w:color w:val="auto"/>
          <w:lang w:val="en-US" w:eastAsia="zh-CN"/>
        </w:rPr>
      </w:pPr>
      <w:r>
        <w:rPr>
          <w:rFonts w:hint="eastAsia" w:ascii="宋体" w:hAnsi="宋体" w:eastAsia="宋体" w:cs="宋体"/>
          <w:color w:val="auto"/>
        </w:rPr>
        <w:t>开户行：</w:t>
      </w:r>
      <w:r>
        <w:rPr>
          <w:rFonts w:hint="eastAsia" w:cs="宋体"/>
          <w:color w:val="auto"/>
          <w:lang w:val="en-US" w:eastAsia="zh-CN"/>
        </w:rPr>
        <w:t>中国民生银行股份有限公司重庆杨家坪支行</w:t>
      </w:r>
    </w:p>
    <w:p w14:paraId="11D55CEF">
      <w:pPr>
        <w:pageBreakBefore w:val="0"/>
        <w:kinsoku/>
        <w:overflowPunct/>
        <w:topLinePunct w:val="0"/>
        <w:bidi w:val="0"/>
        <w:snapToGrid w:val="0"/>
        <w:spacing w:line="336" w:lineRule="auto"/>
        <w:ind w:firstLine="480" w:firstLineChars="200"/>
        <w:textAlignment w:val="auto"/>
        <w:rPr>
          <w:rFonts w:hint="default" w:ascii="宋体" w:hAnsi="宋体" w:eastAsia="宋体" w:cs="宋体"/>
          <w:color w:val="auto"/>
          <w:lang w:val="en-US" w:eastAsia="zh-CN"/>
        </w:rPr>
      </w:pPr>
      <w:r>
        <w:rPr>
          <w:rFonts w:hint="eastAsia" w:ascii="宋体" w:hAnsi="宋体" w:eastAsia="宋体" w:cs="宋体"/>
          <w:color w:val="auto"/>
        </w:rPr>
        <w:t>账  号：</w:t>
      </w:r>
      <w:r>
        <w:rPr>
          <w:rFonts w:hint="eastAsia" w:cs="宋体"/>
          <w:color w:val="auto"/>
          <w:lang w:val="en-US" w:eastAsia="zh-CN"/>
        </w:rPr>
        <w:t>644795926</w:t>
      </w:r>
    </w:p>
    <w:p w14:paraId="44A1EBA7">
      <w:pPr>
        <w:pStyle w:val="7"/>
        <w:pageBreakBefore w:val="0"/>
        <w:kinsoku/>
        <w:overflowPunct/>
        <w:topLinePunct w:val="0"/>
        <w:bidi w:val="0"/>
        <w:spacing w:line="336" w:lineRule="auto"/>
        <w:textAlignment w:val="auto"/>
        <w:rPr>
          <w:rFonts w:hint="eastAsia" w:ascii="宋体" w:hAnsi="宋体" w:eastAsia="宋体" w:cs="宋体"/>
          <w:color w:val="auto"/>
        </w:rPr>
      </w:pPr>
      <w:r>
        <w:rPr>
          <w:rFonts w:hint="eastAsia" w:ascii="宋体" w:hAnsi="宋体" w:eastAsia="宋体" w:cs="宋体"/>
          <w:color w:val="auto"/>
        </w:rPr>
        <w:br w:type="page"/>
      </w:r>
    </w:p>
    <w:p w14:paraId="2E548E53">
      <w:pPr>
        <w:pStyle w:val="2"/>
        <w:pageBreakBefore w:val="0"/>
        <w:tabs>
          <w:tab w:val="left" w:pos="3360"/>
        </w:tabs>
        <w:kinsoku/>
        <w:overflowPunct/>
        <w:topLinePunct w:val="0"/>
        <w:bidi w:val="0"/>
        <w:spacing w:line="336" w:lineRule="auto"/>
        <w:jc w:val="center"/>
        <w:textAlignment w:val="auto"/>
        <w:rPr>
          <w:rFonts w:hint="eastAsia" w:ascii="宋体" w:hAnsi="宋体" w:eastAsia="宋体" w:cs="宋体"/>
          <w:bCs/>
          <w:color w:val="auto"/>
          <w:kern w:val="2"/>
          <w:sz w:val="36"/>
          <w:szCs w:val="30"/>
        </w:rPr>
      </w:pPr>
      <w:bookmarkStart w:id="169" w:name="_Toc108545981"/>
      <w:bookmarkStart w:id="170" w:name="_Toc19864"/>
      <w:r>
        <w:rPr>
          <w:rFonts w:hint="eastAsia" w:ascii="宋体" w:hAnsi="宋体" w:eastAsia="宋体" w:cs="宋体"/>
          <w:bCs w:val="0"/>
          <w:color w:val="auto"/>
          <w:sz w:val="36"/>
          <w:szCs w:val="36"/>
        </w:rPr>
        <w:t>第</w:t>
      </w:r>
      <w:r>
        <w:rPr>
          <w:rFonts w:hint="eastAsia" w:ascii="宋体" w:hAnsi="宋体" w:cs="宋体"/>
          <w:bCs w:val="0"/>
          <w:color w:val="auto"/>
          <w:sz w:val="36"/>
          <w:szCs w:val="36"/>
          <w:lang w:val="en-US" w:eastAsia="zh-CN"/>
        </w:rPr>
        <w:t>六</w:t>
      </w:r>
      <w:r>
        <w:rPr>
          <w:rFonts w:hint="eastAsia" w:ascii="宋体" w:hAnsi="宋体" w:eastAsia="宋体" w:cs="宋体"/>
          <w:bCs w:val="0"/>
          <w:color w:val="auto"/>
          <w:sz w:val="36"/>
          <w:szCs w:val="36"/>
        </w:rPr>
        <w:t xml:space="preserve">篇  </w:t>
      </w:r>
      <w:bookmarkEnd w:id="169"/>
      <w:r>
        <w:rPr>
          <w:rFonts w:hint="eastAsia" w:ascii="宋体" w:hAnsi="宋体" w:eastAsia="宋体" w:cs="宋体"/>
          <w:bCs/>
          <w:color w:val="auto"/>
          <w:kern w:val="2"/>
          <w:sz w:val="36"/>
          <w:szCs w:val="36"/>
        </w:rPr>
        <w:t>合同主要条款和格式合同</w:t>
      </w:r>
      <w:bookmarkEnd w:id="170"/>
    </w:p>
    <w:p w14:paraId="7094AB13">
      <w:pPr>
        <w:pageBreakBefore w:val="0"/>
        <w:kinsoku/>
        <w:overflowPunct/>
        <w:topLinePunct w:val="0"/>
        <w:bidi w:val="0"/>
        <w:spacing w:line="336" w:lineRule="auto"/>
        <w:ind w:firstLine="48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注：本篇内容仅为合同样本，仅供参考。最终以双方协商一致制定、签订的合同为准。</w:t>
      </w:r>
    </w:p>
    <w:p w14:paraId="5A4A2F91">
      <w:pPr>
        <w:pageBreakBefore w:val="0"/>
        <w:kinsoku/>
        <w:overflowPunct/>
        <w:topLinePunct w:val="0"/>
        <w:bidi w:val="0"/>
        <w:spacing w:line="336" w:lineRule="auto"/>
        <w:textAlignment w:val="auto"/>
        <w:rPr>
          <w:rFonts w:hint="eastAsia" w:ascii="宋体" w:hAnsi="宋体" w:eastAsia="宋体" w:cs="宋体"/>
          <w:sz w:val="21"/>
          <w:szCs w:val="21"/>
          <w:highlight w:val="none"/>
        </w:rPr>
      </w:pPr>
    </w:p>
    <w:p w14:paraId="111C48EC">
      <w:pPr>
        <w:pageBreakBefore w:val="0"/>
        <w:kinsoku/>
        <w:overflowPunct/>
        <w:topLinePunct w:val="0"/>
        <w:bidi w:val="0"/>
        <w:spacing w:line="336" w:lineRule="auto"/>
        <w:jc w:val="center"/>
        <w:textAlignment w:val="auto"/>
        <w:rPr>
          <w:rFonts w:hint="eastAsia" w:ascii="宋体" w:hAnsi="宋体" w:eastAsia="宋体" w:cs="宋体"/>
          <w:b/>
          <w:sz w:val="21"/>
          <w:highlight w:val="none"/>
        </w:rPr>
      </w:pPr>
    </w:p>
    <w:p w14:paraId="468AC973">
      <w:pPr>
        <w:pageBreakBefore w:val="0"/>
        <w:kinsoku/>
        <w:overflowPunct/>
        <w:topLinePunct w:val="0"/>
        <w:bidi w:val="0"/>
        <w:spacing w:line="336" w:lineRule="auto"/>
        <w:jc w:val="center"/>
        <w:textAlignment w:val="auto"/>
        <w:rPr>
          <w:rFonts w:hint="eastAsia" w:ascii="宋体" w:hAnsi="宋体" w:eastAsia="宋体" w:cs="宋体"/>
          <w:b/>
          <w:sz w:val="21"/>
          <w:highlight w:val="none"/>
        </w:rPr>
      </w:pPr>
    </w:p>
    <w:p w14:paraId="5B1D32EC">
      <w:pPr>
        <w:pageBreakBefore w:val="0"/>
        <w:kinsoku/>
        <w:overflowPunct/>
        <w:topLinePunct w:val="0"/>
        <w:bidi w:val="0"/>
        <w:spacing w:line="336" w:lineRule="auto"/>
        <w:jc w:val="center"/>
        <w:textAlignment w:val="auto"/>
        <w:rPr>
          <w:rFonts w:hint="eastAsia" w:ascii="宋体" w:hAnsi="宋体" w:eastAsia="宋体" w:cs="宋体"/>
          <w:b/>
          <w:sz w:val="21"/>
          <w:highlight w:val="none"/>
        </w:rPr>
      </w:pPr>
    </w:p>
    <w:p w14:paraId="2CE8AB7B">
      <w:pPr>
        <w:pageBreakBefore w:val="0"/>
        <w:kinsoku/>
        <w:overflowPunct/>
        <w:topLinePunct w:val="0"/>
        <w:bidi w:val="0"/>
        <w:spacing w:line="336" w:lineRule="auto"/>
        <w:textAlignment w:val="auto"/>
        <w:rPr>
          <w:rFonts w:hint="eastAsia" w:ascii="宋体" w:hAnsi="宋体" w:eastAsia="宋体" w:cs="宋体"/>
          <w:b/>
          <w:sz w:val="20"/>
          <w:szCs w:val="18"/>
          <w:highlight w:val="none"/>
        </w:rPr>
      </w:pPr>
    </w:p>
    <w:p w14:paraId="515FC2CC">
      <w:pPr>
        <w:pageBreakBefore w:val="0"/>
        <w:kinsoku/>
        <w:overflowPunct/>
        <w:topLinePunct w:val="0"/>
        <w:bidi w:val="0"/>
        <w:spacing w:line="336" w:lineRule="auto"/>
        <w:ind w:firstLine="3855" w:firstLineChars="800"/>
        <w:textAlignment w:val="auto"/>
        <w:rPr>
          <w:rFonts w:hint="eastAsia" w:ascii="宋体" w:hAnsi="宋体" w:eastAsia="宋体" w:cs="宋体"/>
          <w:b/>
          <w:sz w:val="48"/>
          <w:szCs w:val="48"/>
          <w:highlight w:val="none"/>
        </w:rPr>
      </w:pPr>
    </w:p>
    <w:p w14:paraId="11E037F1">
      <w:pPr>
        <w:pageBreakBefore w:val="0"/>
        <w:kinsoku/>
        <w:overflowPunct/>
        <w:topLinePunct w:val="0"/>
        <w:bidi w:val="0"/>
        <w:spacing w:line="336" w:lineRule="auto"/>
        <w:ind w:firstLine="3855" w:firstLineChars="800"/>
        <w:textAlignment w:val="auto"/>
        <w:rPr>
          <w:rFonts w:hint="eastAsia" w:ascii="宋体" w:hAnsi="宋体" w:eastAsia="宋体" w:cs="宋体"/>
          <w:b/>
          <w:sz w:val="48"/>
          <w:szCs w:val="48"/>
          <w:highlight w:val="none"/>
        </w:rPr>
      </w:pPr>
      <w:r>
        <w:rPr>
          <w:rFonts w:hint="eastAsia" w:ascii="宋体" w:hAnsi="宋体" w:eastAsia="宋体" w:cs="宋体"/>
          <w:b/>
          <w:sz w:val="48"/>
          <w:szCs w:val="48"/>
          <w:highlight w:val="none"/>
        </w:rPr>
        <w:t>施工合同</w:t>
      </w:r>
    </w:p>
    <w:p w14:paraId="1A1E7571">
      <w:pPr>
        <w:pageBreakBefore w:val="0"/>
        <w:kinsoku/>
        <w:overflowPunct/>
        <w:topLinePunct w:val="0"/>
        <w:bidi w:val="0"/>
        <w:spacing w:line="336" w:lineRule="auto"/>
        <w:textAlignment w:val="auto"/>
        <w:rPr>
          <w:rFonts w:hint="eastAsia" w:ascii="宋体" w:hAnsi="宋体" w:eastAsia="宋体" w:cs="宋体"/>
          <w:b/>
          <w:sz w:val="20"/>
          <w:szCs w:val="18"/>
          <w:highlight w:val="none"/>
        </w:rPr>
      </w:pPr>
    </w:p>
    <w:p w14:paraId="77FF99C6">
      <w:pPr>
        <w:pageBreakBefore w:val="0"/>
        <w:kinsoku/>
        <w:overflowPunct/>
        <w:topLinePunct w:val="0"/>
        <w:bidi w:val="0"/>
        <w:spacing w:line="336" w:lineRule="auto"/>
        <w:textAlignment w:val="auto"/>
        <w:rPr>
          <w:rFonts w:hint="eastAsia" w:ascii="宋体" w:hAnsi="宋体" w:eastAsia="宋体" w:cs="宋体"/>
          <w:b/>
          <w:sz w:val="21"/>
          <w:highlight w:val="none"/>
        </w:rPr>
      </w:pPr>
    </w:p>
    <w:p w14:paraId="1DB5C64D">
      <w:pPr>
        <w:pageBreakBefore w:val="0"/>
        <w:kinsoku/>
        <w:overflowPunct/>
        <w:topLinePunct w:val="0"/>
        <w:bidi w:val="0"/>
        <w:spacing w:line="336" w:lineRule="auto"/>
        <w:textAlignment w:val="auto"/>
        <w:rPr>
          <w:rFonts w:hint="eastAsia" w:ascii="宋体" w:hAnsi="宋体" w:eastAsia="宋体" w:cs="宋体"/>
          <w:b/>
          <w:sz w:val="21"/>
          <w:highlight w:val="none"/>
        </w:rPr>
      </w:pPr>
    </w:p>
    <w:p w14:paraId="0EDD5408">
      <w:pPr>
        <w:pageBreakBefore w:val="0"/>
        <w:kinsoku/>
        <w:overflowPunct/>
        <w:topLinePunct w:val="0"/>
        <w:bidi w:val="0"/>
        <w:spacing w:line="336" w:lineRule="auto"/>
        <w:textAlignment w:val="auto"/>
        <w:rPr>
          <w:rFonts w:hint="eastAsia" w:ascii="宋体" w:hAnsi="宋体" w:eastAsia="宋体" w:cs="宋体"/>
          <w:b/>
          <w:sz w:val="21"/>
          <w:highlight w:val="none"/>
        </w:rPr>
      </w:pPr>
    </w:p>
    <w:p w14:paraId="16FEBF2F">
      <w:pPr>
        <w:pageBreakBefore w:val="0"/>
        <w:kinsoku/>
        <w:overflowPunct/>
        <w:topLinePunct w:val="0"/>
        <w:bidi w:val="0"/>
        <w:spacing w:line="336" w:lineRule="auto"/>
        <w:textAlignment w:val="auto"/>
        <w:rPr>
          <w:rFonts w:hint="eastAsia" w:ascii="宋体" w:hAnsi="宋体" w:eastAsia="宋体" w:cs="宋体"/>
          <w:b/>
          <w:sz w:val="21"/>
          <w:highlight w:val="none"/>
        </w:rPr>
      </w:pPr>
    </w:p>
    <w:p w14:paraId="5C501E98">
      <w:pPr>
        <w:pageBreakBefore w:val="0"/>
        <w:kinsoku/>
        <w:overflowPunct/>
        <w:topLinePunct w:val="0"/>
        <w:bidi w:val="0"/>
        <w:spacing w:line="336" w:lineRule="auto"/>
        <w:textAlignment w:val="auto"/>
        <w:rPr>
          <w:rFonts w:hint="eastAsia" w:ascii="宋体" w:hAnsi="宋体" w:eastAsia="宋体" w:cs="宋体"/>
          <w:b/>
          <w:sz w:val="21"/>
          <w:highlight w:val="none"/>
        </w:rPr>
      </w:pPr>
    </w:p>
    <w:p w14:paraId="472DFEFE">
      <w:pPr>
        <w:pageBreakBefore w:val="0"/>
        <w:kinsoku/>
        <w:overflowPunct/>
        <w:topLinePunct w:val="0"/>
        <w:bidi w:val="0"/>
        <w:spacing w:line="336" w:lineRule="auto"/>
        <w:textAlignment w:val="auto"/>
        <w:rPr>
          <w:rFonts w:hint="eastAsia" w:ascii="宋体" w:hAnsi="宋体" w:eastAsia="宋体" w:cs="宋体"/>
          <w:b/>
          <w:sz w:val="21"/>
          <w:highlight w:val="none"/>
        </w:rPr>
      </w:pPr>
    </w:p>
    <w:p w14:paraId="7FB6A3EC">
      <w:pPr>
        <w:pageBreakBefore w:val="0"/>
        <w:kinsoku/>
        <w:overflowPunct/>
        <w:topLinePunct w:val="0"/>
        <w:bidi w:val="0"/>
        <w:spacing w:line="336" w:lineRule="auto"/>
        <w:textAlignment w:val="auto"/>
        <w:rPr>
          <w:rFonts w:hint="eastAsia" w:ascii="宋体" w:hAnsi="宋体" w:eastAsia="宋体" w:cs="宋体"/>
          <w:b/>
          <w:sz w:val="21"/>
          <w:highlight w:val="none"/>
        </w:rPr>
      </w:pPr>
    </w:p>
    <w:p w14:paraId="2D84EB5D">
      <w:pPr>
        <w:pageBreakBefore w:val="0"/>
        <w:kinsoku/>
        <w:overflowPunct/>
        <w:topLinePunct w:val="0"/>
        <w:bidi w:val="0"/>
        <w:spacing w:line="336" w:lineRule="auto"/>
        <w:textAlignment w:val="auto"/>
        <w:rPr>
          <w:rFonts w:hint="eastAsia" w:ascii="宋体" w:hAnsi="宋体" w:eastAsia="宋体" w:cs="宋体"/>
          <w:b/>
          <w:sz w:val="21"/>
          <w:highlight w:val="none"/>
        </w:rPr>
      </w:pPr>
    </w:p>
    <w:p w14:paraId="0F9848E2">
      <w:pPr>
        <w:pageBreakBefore w:val="0"/>
        <w:kinsoku/>
        <w:overflowPunct/>
        <w:topLinePunct w:val="0"/>
        <w:bidi w:val="0"/>
        <w:spacing w:line="336" w:lineRule="auto"/>
        <w:textAlignment w:val="auto"/>
        <w:rPr>
          <w:rFonts w:hint="eastAsia" w:ascii="宋体" w:hAnsi="宋体" w:eastAsia="宋体" w:cs="宋体"/>
          <w:b/>
          <w:sz w:val="21"/>
          <w:highlight w:val="none"/>
        </w:rPr>
      </w:pPr>
    </w:p>
    <w:p w14:paraId="1053EEA0">
      <w:pPr>
        <w:pageBreakBefore w:val="0"/>
        <w:kinsoku/>
        <w:overflowPunct/>
        <w:topLinePunct w:val="0"/>
        <w:bidi w:val="0"/>
        <w:spacing w:line="336" w:lineRule="auto"/>
        <w:textAlignment w:val="auto"/>
        <w:rPr>
          <w:rFonts w:hint="eastAsia" w:ascii="宋体" w:hAnsi="宋体" w:eastAsia="宋体" w:cs="宋体"/>
          <w:b/>
          <w:sz w:val="21"/>
          <w:highlight w:val="none"/>
        </w:rPr>
      </w:pPr>
    </w:p>
    <w:p w14:paraId="2AEDBBB2">
      <w:pPr>
        <w:pageBreakBefore w:val="0"/>
        <w:kinsoku/>
        <w:overflowPunct/>
        <w:topLinePunct w:val="0"/>
        <w:bidi w:val="0"/>
        <w:spacing w:line="336" w:lineRule="auto"/>
        <w:ind w:firstLine="2954" w:firstLineChars="1401"/>
        <w:textAlignment w:val="auto"/>
        <w:rPr>
          <w:rFonts w:hint="eastAsia" w:ascii="宋体" w:hAnsi="宋体" w:eastAsia="宋体" w:cs="宋体"/>
          <w:b/>
          <w:sz w:val="21"/>
          <w:highlight w:val="none"/>
        </w:rPr>
      </w:pPr>
      <w:r>
        <w:rPr>
          <w:rFonts w:hint="eastAsia" w:cs="宋体"/>
          <w:b/>
          <w:sz w:val="21"/>
          <w:highlight w:val="none"/>
          <w:lang w:val="en-US" w:eastAsia="zh-CN"/>
        </w:rPr>
        <w:t>采购人</w:t>
      </w:r>
      <w:r>
        <w:rPr>
          <w:rFonts w:hint="eastAsia" w:ascii="宋体" w:hAnsi="宋体" w:eastAsia="宋体" w:cs="宋体"/>
          <w:b/>
          <w:sz w:val="21"/>
          <w:highlight w:val="none"/>
        </w:rPr>
        <w:t>：</w:t>
      </w:r>
    </w:p>
    <w:p w14:paraId="61533211">
      <w:pPr>
        <w:pageBreakBefore w:val="0"/>
        <w:kinsoku/>
        <w:overflowPunct/>
        <w:topLinePunct w:val="0"/>
        <w:bidi w:val="0"/>
        <w:spacing w:line="336" w:lineRule="auto"/>
        <w:ind w:firstLine="2954" w:firstLineChars="1401"/>
        <w:textAlignment w:val="auto"/>
        <w:rPr>
          <w:rFonts w:hint="eastAsia" w:ascii="宋体" w:hAnsi="宋体" w:eastAsia="宋体" w:cs="宋体"/>
          <w:b/>
          <w:sz w:val="21"/>
          <w:highlight w:val="none"/>
          <w:u w:val="single"/>
        </w:rPr>
      </w:pPr>
      <w:r>
        <w:rPr>
          <w:rFonts w:hint="eastAsia" w:cs="宋体"/>
          <w:b/>
          <w:sz w:val="21"/>
          <w:highlight w:val="none"/>
          <w:lang w:val="en-US" w:eastAsia="zh-CN"/>
        </w:rPr>
        <w:t>供应商</w:t>
      </w:r>
      <w:r>
        <w:rPr>
          <w:rFonts w:hint="eastAsia" w:ascii="宋体" w:hAnsi="宋体" w:eastAsia="宋体" w:cs="宋体"/>
          <w:b/>
          <w:sz w:val="21"/>
          <w:highlight w:val="none"/>
        </w:rPr>
        <w:t>：</w:t>
      </w:r>
    </w:p>
    <w:p w14:paraId="4A4D55E9">
      <w:pPr>
        <w:pageBreakBefore w:val="0"/>
        <w:kinsoku/>
        <w:overflowPunct/>
        <w:topLinePunct w:val="0"/>
        <w:bidi w:val="0"/>
        <w:spacing w:line="336" w:lineRule="auto"/>
        <w:ind w:firstLine="2954" w:firstLineChars="1401"/>
        <w:textAlignment w:val="auto"/>
        <w:rPr>
          <w:rFonts w:hint="eastAsia" w:ascii="宋体" w:hAnsi="宋体" w:eastAsia="宋体" w:cs="宋体"/>
          <w:b/>
          <w:sz w:val="21"/>
          <w:highlight w:val="none"/>
        </w:rPr>
      </w:pPr>
      <w:r>
        <w:rPr>
          <w:rFonts w:hint="eastAsia" w:ascii="宋体" w:hAnsi="宋体" w:eastAsia="宋体" w:cs="宋体"/>
          <w:b/>
          <w:sz w:val="21"/>
          <w:highlight w:val="none"/>
        </w:rPr>
        <w:t>签订日期：</w:t>
      </w:r>
      <w:r>
        <w:rPr>
          <w:rFonts w:hint="eastAsia" w:ascii="宋体" w:hAnsi="宋体" w:eastAsia="宋体" w:cs="宋体"/>
          <w:b/>
          <w:sz w:val="21"/>
          <w:highlight w:val="none"/>
          <w:u w:val="single"/>
        </w:rPr>
        <w:t xml:space="preserve">      </w:t>
      </w:r>
      <w:r>
        <w:rPr>
          <w:rFonts w:hint="eastAsia" w:ascii="宋体" w:hAnsi="宋体" w:eastAsia="宋体" w:cs="宋体"/>
          <w:b/>
          <w:sz w:val="21"/>
          <w:highlight w:val="none"/>
        </w:rPr>
        <w:t>年</w:t>
      </w:r>
      <w:r>
        <w:rPr>
          <w:rFonts w:hint="eastAsia" w:ascii="宋体" w:hAnsi="宋体" w:eastAsia="宋体" w:cs="宋体"/>
          <w:b/>
          <w:sz w:val="21"/>
          <w:highlight w:val="none"/>
          <w:u w:val="single"/>
        </w:rPr>
        <w:t xml:space="preserve">      </w:t>
      </w:r>
      <w:r>
        <w:rPr>
          <w:rFonts w:hint="eastAsia" w:ascii="宋体" w:hAnsi="宋体" w:eastAsia="宋体" w:cs="宋体"/>
          <w:b/>
          <w:sz w:val="21"/>
          <w:highlight w:val="none"/>
        </w:rPr>
        <w:t>月</w:t>
      </w:r>
      <w:r>
        <w:rPr>
          <w:rFonts w:hint="eastAsia" w:ascii="宋体" w:hAnsi="宋体" w:eastAsia="宋体" w:cs="宋体"/>
          <w:b/>
          <w:sz w:val="21"/>
          <w:highlight w:val="none"/>
          <w:u w:val="single"/>
        </w:rPr>
        <w:t xml:space="preserve">      </w:t>
      </w:r>
      <w:r>
        <w:rPr>
          <w:rFonts w:hint="eastAsia" w:ascii="宋体" w:hAnsi="宋体" w:eastAsia="宋体" w:cs="宋体"/>
          <w:b/>
          <w:sz w:val="21"/>
          <w:highlight w:val="none"/>
        </w:rPr>
        <w:t>日</w:t>
      </w:r>
    </w:p>
    <w:p w14:paraId="3FA98E49">
      <w:pPr>
        <w:pageBreakBefore w:val="0"/>
        <w:kinsoku/>
        <w:overflowPunct/>
        <w:topLinePunct w:val="0"/>
        <w:bidi w:val="0"/>
        <w:spacing w:line="336" w:lineRule="auto"/>
        <w:textAlignment w:val="auto"/>
        <w:rPr>
          <w:rFonts w:hint="eastAsia" w:ascii="宋体" w:hAnsi="宋体" w:eastAsia="宋体" w:cs="宋体"/>
          <w:b/>
          <w:sz w:val="21"/>
          <w:highlight w:val="none"/>
        </w:rPr>
        <w:sectPr>
          <w:headerReference r:id="rId12" w:type="default"/>
          <w:footerReference r:id="rId13" w:type="default"/>
          <w:footerReference r:id="rId14" w:type="even"/>
          <w:pgSz w:w="11907" w:h="16840"/>
          <w:pgMar w:top="1440" w:right="1080" w:bottom="1440" w:left="1080" w:header="737" w:footer="737" w:gutter="0"/>
          <w:lnNumType w:countBy="0" w:distance="360"/>
          <w:pgNumType w:fmt="numberInDash"/>
          <w:cols w:space="720" w:num="1"/>
        </w:sectPr>
      </w:pPr>
    </w:p>
    <w:p w14:paraId="479F8435">
      <w:pPr>
        <w:pageBreakBefore w:val="0"/>
        <w:kinsoku/>
        <w:overflowPunct/>
        <w:topLinePunct w:val="0"/>
        <w:bidi w:val="0"/>
        <w:spacing w:line="336" w:lineRule="auto"/>
        <w:jc w:val="center"/>
        <w:textAlignment w:val="auto"/>
        <w:rPr>
          <w:rFonts w:hint="eastAsia" w:ascii="宋体" w:hAnsi="宋体" w:eastAsia="宋体" w:cs="宋体"/>
          <w:b/>
          <w:sz w:val="24"/>
          <w:szCs w:val="24"/>
          <w:highlight w:val="none"/>
        </w:rPr>
      </w:pPr>
      <w:bookmarkStart w:id="171" w:name="_Toc27163"/>
      <w:bookmarkStart w:id="172" w:name="_Toc11531"/>
      <w:bookmarkStart w:id="173" w:name="_Toc3962"/>
      <w:r>
        <w:rPr>
          <w:rFonts w:hint="eastAsia" w:ascii="宋体" w:hAnsi="宋体" w:eastAsia="宋体" w:cs="宋体"/>
          <w:sz w:val="24"/>
          <w:szCs w:val="24"/>
          <w:highlight w:val="none"/>
        </w:rPr>
        <w:t>合同</w:t>
      </w:r>
      <w:bookmarkEnd w:id="171"/>
      <w:bookmarkEnd w:id="172"/>
      <w:bookmarkEnd w:id="173"/>
    </w:p>
    <w:p w14:paraId="4CA45997">
      <w:pPr>
        <w:pageBreakBefore w:val="0"/>
        <w:kinsoku/>
        <w:overflowPunct/>
        <w:topLinePunct w:val="0"/>
        <w:bidi w:val="0"/>
        <w:spacing w:line="336" w:lineRule="auto"/>
        <w:textAlignment w:val="auto"/>
        <w:rPr>
          <w:rFonts w:hint="eastAsia" w:ascii="宋体" w:hAnsi="宋体" w:eastAsia="宋体" w:cs="宋体"/>
          <w:sz w:val="24"/>
          <w:szCs w:val="24"/>
          <w:highlight w:val="none"/>
        </w:rPr>
      </w:pPr>
    </w:p>
    <w:p w14:paraId="6AA0B320">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bookmarkStart w:id="174" w:name="_Toc23648"/>
      <w:bookmarkStart w:id="175" w:name="_Toc15856"/>
      <w:bookmarkStart w:id="176" w:name="_Toc30518"/>
      <w:r>
        <w:rPr>
          <w:rFonts w:hint="eastAsia" w:cs="宋体"/>
          <w:sz w:val="24"/>
          <w:szCs w:val="24"/>
          <w:highlight w:val="none"/>
          <w:lang w:val="en-US" w:eastAsia="zh-CN"/>
        </w:rPr>
        <w:t>采购人</w:t>
      </w:r>
      <w:r>
        <w:rPr>
          <w:rFonts w:hint="eastAsia" w:ascii="宋体" w:hAnsi="宋体" w:eastAsia="宋体" w:cs="宋体"/>
          <w:sz w:val="24"/>
          <w:szCs w:val="24"/>
          <w:highlight w:val="none"/>
        </w:rPr>
        <w:t>：</w:t>
      </w:r>
      <w:bookmarkEnd w:id="174"/>
      <w:bookmarkEnd w:id="175"/>
      <w:bookmarkEnd w:id="176"/>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3031B3EB">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bookmarkStart w:id="177" w:name="_Toc18783"/>
      <w:bookmarkStart w:id="178" w:name="_Toc29014"/>
      <w:bookmarkStart w:id="179" w:name="_Toc29822"/>
      <w:r>
        <w:rPr>
          <w:rFonts w:hint="eastAsia" w:cs="宋体"/>
          <w:sz w:val="24"/>
          <w:szCs w:val="24"/>
          <w:highlight w:val="none"/>
          <w:lang w:val="en-US" w:eastAsia="zh-CN"/>
        </w:rPr>
        <w:t>供应商</w:t>
      </w:r>
      <w:r>
        <w:rPr>
          <w:rFonts w:hint="eastAsia" w:ascii="宋体" w:hAnsi="宋体" w:eastAsia="宋体" w:cs="宋体"/>
          <w:sz w:val="24"/>
          <w:szCs w:val="24"/>
          <w:highlight w:val="none"/>
        </w:rPr>
        <w:t>：</w:t>
      </w:r>
      <w:bookmarkEnd w:id="177"/>
      <w:bookmarkEnd w:id="178"/>
      <w:bookmarkEnd w:id="179"/>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214FC3B9">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796DF8BA">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bookmarkStart w:id="180" w:name="_Toc10195"/>
      <w:bookmarkStart w:id="181" w:name="_Toc19022"/>
      <w:bookmarkStart w:id="182" w:name="_Toc11266"/>
      <w:r>
        <w:rPr>
          <w:rFonts w:hint="eastAsia" w:ascii="宋体" w:hAnsi="宋体" w:eastAsia="宋体" w:cs="宋体"/>
          <w:sz w:val="24"/>
          <w:szCs w:val="24"/>
          <w:highlight w:val="none"/>
        </w:rPr>
        <w:t>根据《中华人民共和国民法典》《中华人民共和国建筑法》《建设工程质量管理条例》等法律法规相关规定，经双方充分协商、达成一致，订立本合同。</w:t>
      </w:r>
      <w:bookmarkEnd w:id="180"/>
      <w:bookmarkEnd w:id="181"/>
      <w:bookmarkEnd w:id="182"/>
      <w:bookmarkStart w:id="183" w:name="_Toc351203481"/>
    </w:p>
    <w:p w14:paraId="39E242DC">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bookmarkStart w:id="184" w:name="_Toc10244"/>
      <w:bookmarkStart w:id="185" w:name="_Toc31395"/>
      <w:bookmarkStart w:id="186" w:name="_Toc28056"/>
      <w:r>
        <w:rPr>
          <w:rFonts w:hint="eastAsia" w:ascii="宋体" w:hAnsi="宋体" w:eastAsia="宋体" w:cs="宋体"/>
          <w:sz w:val="24"/>
          <w:szCs w:val="24"/>
          <w:highlight w:val="none"/>
        </w:rPr>
        <w:t>一、</w:t>
      </w:r>
      <w:bookmarkEnd w:id="183"/>
      <w:r>
        <w:rPr>
          <w:rFonts w:hint="eastAsia" w:ascii="宋体" w:hAnsi="宋体" w:eastAsia="宋体" w:cs="宋体"/>
          <w:sz w:val="24"/>
          <w:szCs w:val="24"/>
          <w:highlight w:val="none"/>
        </w:rPr>
        <w:t>工程名称：</w:t>
      </w:r>
      <w:bookmarkEnd w:id="184"/>
      <w:bookmarkEnd w:id="185"/>
      <w:bookmarkEnd w:id="186"/>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4B8B58F3">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bookmarkStart w:id="187" w:name="_Toc9822"/>
      <w:bookmarkStart w:id="188" w:name="_Toc11390"/>
      <w:bookmarkStart w:id="189" w:name="_Toc9694"/>
      <w:r>
        <w:rPr>
          <w:rFonts w:hint="eastAsia" w:ascii="宋体" w:hAnsi="宋体" w:eastAsia="宋体" w:cs="宋体"/>
          <w:sz w:val="24"/>
          <w:szCs w:val="24"/>
          <w:highlight w:val="none"/>
        </w:rPr>
        <w:t>二、工程地点：</w:t>
      </w:r>
      <w:r>
        <w:rPr>
          <w:rFonts w:hint="eastAsia" w:ascii="宋体" w:hAnsi="宋体" w:eastAsia="宋体" w:cs="宋体"/>
          <w:sz w:val="24"/>
          <w:szCs w:val="24"/>
          <w:highlight w:val="none"/>
          <w:u w:val="single"/>
        </w:rPr>
        <w:t xml:space="preserve">                     </w:t>
      </w:r>
      <w:bookmarkEnd w:id="187"/>
      <w:bookmarkEnd w:id="188"/>
      <w:bookmarkEnd w:id="189"/>
      <w:r>
        <w:rPr>
          <w:rFonts w:hint="eastAsia" w:ascii="宋体" w:hAnsi="宋体" w:eastAsia="宋体" w:cs="宋体"/>
          <w:sz w:val="24"/>
          <w:szCs w:val="24"/>
          <w:highlight w:val="none"/>
        </w:rPr>
        <w:t xml:space="preserve">     </w:t>
      </w:r>
    </w:p>
    <w:p w14:paraId="39E5C9FE">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bookmarkStart w:id="190" w:name="_Toc28846"/>
      <w:bookmarkStart w:id="191" w:name="_Toc10903"/>
      <w:bookmarkStart w:id="192" w:name="_Toc13531"/>
      <w:r>
        <w:rPr>
          <w:rFonts w:hint="eastAsia" w:ascii="宋体" w:hAnsi="宋体" w:eastAsia="宋体" w:cs="宋体"/>
          <w:sz w:val="24"/>
          <w:szCs w:val="24"/>
          <w:highlight w:val="none"/>
        </w:rPr>
        <w:t>三、工程范围：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（详见施工图和工程量清单）。</w:t>
      </w:r>
      <w:bookmarkEnd w:id="190"/>
      <w:bookmarkEnd w:id="191"/>
      <w:bookmarkEnd w:id="192"/>
    </w:p>
    <w:p w14:paraId="76789B3A">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cs="宋体"/>
          <w:sz w:val="24"/>
          <w:szCs w:val="24"/>
          <w:highlight w:val="none"/>
          <w:lang w:eastAsia="zh-CN"/>
        </w:rPr>
        <w:t>供应商</w:t>
      </w:r>
      <w:r>
        <w:rPr>
          <w:rFonts w:hint="eastAsia" w:ascii="宋体" w:hAnsi="宋体" w:eastAsia="宋体" w:cs="宋体"/>
          <w:sz w:val="24"/>
          <w:szCs w:val="24"/>
          <w:highlight w:val="none"/>
        </w:rPr>
        <w:t xml:space="preserve">式：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D541325">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五、合同工期</w:t>
      </w:r>
    </w:p>
    <w:p w14:paraId="7FFF5F15">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计划开工日期：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147D5C7">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计划竣工日期：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E093C49">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工期总日历天数：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天（以签订合同之日起算）。工期总日历天数与前述计划开竣工日期计算的工期天数不一致的，以工期总日历天数为准。 </w:t>
      </w:r>
    </w:p>
    <w:p w14:paraId="0FC2D0B6">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六、资金来源：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3C4048C6">
      <w:pPr>
        <w:pageBreakBefore w:val="0"/>
        <w:kinsoku/>
        <w:overflowPunct/>
        <w:topLinePunct w:val="0"/>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七</w:t>
      </w:r>
      <w:r>
        <w:rPr>
          <w:rFonts w:hint="eastAsia" w:ascii="宋体" w:hAnsi="宋体" w:eastAsia="宋体" w:cs="宋体"/>
          <w:color w:val="auto"/>
          <w:sz w:val="24"/>
          <w:szCs w:val="24"/>
          <w:highlight w:val="none"/>
        </w:rPr>
        <w:t xml:space="preserve">、合同金额：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556B6E6">
      <w:pPr>
        <w:pageBreakBefore w:val="0"/>
        <w:kinsoku/>
        <w:overflowPunct/>
        <w:topLinePunct w:val="0"/>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八、履约保证金</w:t>
      </w:r>
    </w:p>
    <w:p w14:paraId="7355D70B">
      <w:pPr>
        <w:pageBreakBefore w:val="0"/>
        <w:kinsoku/>
        <w:overflowPunct/>
        <w:topLinePunct w:val="0"/>
        <w:bidi w:val="0"/>
        <w:spacing w:line="336"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（一）本项目履约保证金为成交金额的10%。</w:t>
      </w:r>
    </w:p>
    <w:p w14:paraId="3CF9938B">
      <w:pPr>
        <w:pageBreakBefore w:val="0"/>
        <w:kinsoku/>
        <w:overflowPunct/>
        <w:topLinePunct w:val="0"/>
        <w:bidi w:val="0"/>
        <w:spacing w:line="336"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（二）缴纳履约保证金方式：成交供应商应在成交通知书发出后</w:t>
      </w:r>
      <w:r>
        <w:rPr>
          <w:rFonts w:hint="eastAsia"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个工作日内、合同签订之前通过支票、</w:t>
      </w:r>
      <w:r>
        <w:rPr>
          <w:rFonts w:hint="eastAsia" w:ascii="宋体" w:hAnsi="宋体" w:eastAsia="宋体" w:cs="宋体"/>
          <w:color w:val="000000" w:themeColor="text1"/>
          <w:sz w:val="24"/>
          <w:szCs w:val="24"/>
          <w:highlight w:val="none"/>
          <w:lang w:val="en-US" w:eastAsia="zh-CN"/>
          <w14:textFill>
            <w14:solidFill>
              <w14:schemeClr w14:val="tx1"/>
            </w14:solidFill>
          </w14:textFill>
        </w:rPr>
        <w:t>转账、</w:t>
      </w:r>
      <w:r>
        <w:rPr>
          <w:rFonts w:hint="eastAsia" w:ascii="宋体" w:hAnsi="宋体" w:eastAsia="宋体" w:cs="宋体"/>
          <w:color w:val="000000" w:themeColor="text1"/>
          <w:sz w:val="24"/>
          <w:szCs w:val="24"/>
          <w:highlight w:val="none"/>
          <w14:textFill>
            <w14:solidFill>
              <w14:schemeClr w14:val="tx1"/>
            </w14:solidFill>
          </w14:textFill>
        </w:rPr>
        <w:t>汇票、本票或者金融机构、担保机构出具的保函等方式缴纳履约保证金，不得使用现金进账。</w:t>
      </w:r>
    </w:p>
    <w:p w14:paraId="211EEABE">
      <w:pPr>
        <w:pageBreakBefore w:val="0"/>
        <w:kinsoku/>
        <w:overflowPunct/>
        <w:topLinePunct w:val="0"/>
        <w:bidi w:val="0"/>
        <w:spacing w:line="336"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（三）履约保证金的退还：履约保证金在竣工验收合格后1个月内退还，履约保证金不计息。</w:t>
      </w:r>
    </w:p>
    <w:p w14:paraId="2EE5F1FA">
      <w:pPr>
        <w:pageBreakBefore w:val="0"/>
        <w:kinsoku/>
        <w:overflowPunct/>
        <w:topLinePunct w:val="0"/>
        <w:bidi w:val="0"/>
        <w:spacing w:line="336"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（四）成交供应商的工程质量未达到采购文件规定要求响应文件的响应及承诺，且对采购人造成损失的，由成交供应商承担一切责任的同时，扣除履约保证金，并赔偿所造成的损失。</w:t>
      </w:r>
    </w:p>
    <w:p w14:paraId="13CFF771">
      <w:pPr>
        <w:pageBreakBefore w:val="0"/>
        <w:kinsoku/>
        <w:overflowPunct/>
        <w:topLinePunct w:val="0"/>
        <w:bidi w:val="0"/>
        <w:spacing w:line="336"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w:t>
      </w:r>
      <w:r>
        <w:rPr>
          <w:rFonts w:hint="eastAsia"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权利及义务</w:t>
      </w:r>
    </w:p>
    <w:p w14:paraId="6DB8005F">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.检查</w:t>
      </w:r>
      <w:r>
        <w:rPr>
          <w:rFonts w:hint="eastAsia"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施工工序、质量</w:t>
      </w:r>
      <w:r>
        <w:rPr>
          <w:rFonts w:hint="eastAsia" w:ascii="宋体" w:hAnsi="宋体" w:eastAsia="宋体" w:cs="宋体"/>
          <w:sz w:val="24"/>
          <w:szCs w:val="24"/>
          <w:highlight w:val="none"/>
        </w:rPr>
        <w:t>，督促施工进度；</w:t>
      </w:r>
    </w:p>
    <w:p w14:paraId="34DE6B2D">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.开展工程竣工验收、工程价款结算资料审查；</w:t>
      </w:r>
    </w:p>
    <w:p w14:paraId="7AF9AEDF">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.有权委托第三方对</w:t>
      </w:r>
      <w:r>
        <w:rPr>
          <w:rFonts w:hint="eastAsia" w:cs="宋体"/>
          <w:sz w:val="24"/>
          <w:szCs w:val="24"/>
          <w:highlight w:val="none"/>
          <w:lang w:eastAsia="zh-CN"/>
        </w:rPr>
        <w:t>供应商</w:t>
      </w:r>
      <w:r>
        <w:rPr>
          <w:rFonts w:hint="eastAsia" w:ascii="宋体" w:hAnsi="宋体" w:eastAsia="宋体" w:cs="宋体"/>
          <w:sz w:val="24"/>
          <w:szCs w:val="24"/>
          <w:highlight w:val="none"/>
        </w:rPr>
        <w:t>提供的施工材料进行检测。如未达到设计标准，所有费用（含检测费）由</w:t>
      </w:r>
      <w:r>
        <w:rPr>
          <w:rFonts w:hint="eastAsia" w:cs="宋体"/>
          <w:sz w:val="24"/>
          <w:szCs w:val="24"/>
          <w:highlight w:val="none"/>
          <w:lang w:eastAsia="zh-CN"/>
        </w:rPr>
        <w:t>供应商</w:t>
      </w:r>
      <w:r>
        <w:rPr>
          <w:rFonts w:hint="eastAsia" w:ascii="宋体" w:hAnsi="宋体" w:eastAsia="宋体" w:cs="宋体"/>
          <w:sz w:val="24"/>
          <w:szCs w:val="24"/>
          <w:highlight w:val="none"/>
        </w:rPr>
        <w:t>承担。</w:t>
      </w:r>
    </w:p>
    <w:p w14:paraId="2734EC56">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.帮助协调施工涉及的占地及矛盾纠纷。</w:t>
      </w:r>
    </w:p>
    <w:p w14:paraId="51E9D19B">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w:t>
      </w:r>
      <w:r>
        <w:rPr>
          <w:rFonts w:hint="eastAsia" w:cs="宋体"/>
          <w:sz w:val="24"/>
          <w:szCs w:val="24"/>
          <w:highlight w:val="none"/>
          <w:lang w:eastAsia="zh-CN"/>
        </w:rPr>
        <w:t>供应商</w:t>
      </w:r>
      <w:r>
        <w:rPr>
          <w:rFonts w:hint="eastAsia" w:ascii="宋体" w:hAnsi="宋体" w:eastAsia="宋体" w:cs="宋体"/>
          <w:sz w:val="24"/>
          <w:szCs w:val="24"/>
          <w:highlight w:val="none"/>
        </w:rPr>
        <w:t>权利及义务</w:t>
      </w:r>
    </w:p>
    <w:p w14:paraId="092D8602">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1.严格按图施工，保证工程进度，确保工程施工质量，按时完成施工任务；</w:t>
      </w:r>
    </w:p>
    <w:p w14:paraId="2E3B3562">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2.做好施工现场安全管理，落实安全措施，配备安全设施、设备、器材，按安全施工管理规范设置安全标识标牌，组织施工安全教育及购买工伤保险等；</w:t>
      </w:r>
    </w:p>
    <w:p w14:paraId="0C244518">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3.本工程质保期应按照招标文件要求，在此期间出现质量问题，由</w:t>
      </w:r>
      <w:r>
        <w:rPr>
          <w:rFonts w:hint="eastAsia" w:cs="宋体"/>
          <w:sz w:val="24"/>
          <w:szCs w:val="24"/>
          <w:highlight w:val="none"/>
          <w:lang w:eastAsia="zh-CN"/>
        </w:rPr>
        <w:t>供应商</w:t>
      </w:r>
      <w:r>
        <w:rPr>
          <w:rFonts w:hint="eastAsia" w:ascii="宋体" w:hAnsi="宋体" w:eastAsia="宋体" w:cs="宋体"/>
          <w:sz w:val="24"/>
          <w:szCs w:val="24"/>
          <w:highlight w:val="none"/>
        </w:rPr>
        <w:t>全权负责，并承担相应费用；</w:t>
      </w:r>
    </w:p>
    <w:p w14:paraId="2D135540">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4.负责按要求编写工程竣工资料，配合</w:t>
      </w:r>
      <w:r>
        <w:rPr>
          <w:rFonts w:hint="eastAsia" w:cs="宋体"/>
          <w:sz w:val="24"/>
          <w:szCs w:val="24"/>
          <w:highlight w:val="none"/>
          <w:lang w:eastAsia="zh-CN"/>
        </w:rPr>
        <w:t>采购人</w:t>
      </w:r>
      <w:r>
        <w:rPr>
          <w:rFonts w:hint="eastAsia" w:ascii="宋体" w:hAnsi="宋体" w:eastAsia="宋体" w:cs="宋体"/>
          <w:sz w:val="24"/>
          <w:szCs w:val="24"/>
          <w:highlight w:val="none"/>
        </w:rPr>
        <w:t>、监理方处理施工中出现的相关问题；</w:t>
      </w:r>
    </w:p>
    <w:p w14:paraId="1ED56398">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5.施工过程中，自觉接受甲方的质量监督，对</w:t>
      </w:r>
      <w:r>
        <w:rPr>
          <w:rFonts w:hint="eastAsia" w:cs="宋体"/>
          <w:sz w:val="24"/>
          <w:szCs w:val="24"/>
          <w:highlight w:val="none"/>
          <w:lang w:eastAsia="zh-CN"/>
        </w:rPr>
        <w:t>采购人</w:t>
      </w:r>
      <w:r>
        <w:rPr>
          <w:rFonts w:hint="eastAsia" w:ascii="宋体" w:hAnsi="宋体" w:eastAsia="宋体" w:cs="宋体"/>
          <w:sz w:val="24"/>
          <w:szCs w:val="24"/>
          <w:highlight w:val="none"/>
        </w:rPr>
        <w:t>或监理方提出的质量整改要求及合理化建议，</w:t>
      </w:r>
      <w:r>
        <w:rPr>
          <w:rFonts w:hint="eastAsia" w:cs="宋体"/>
          <w:sz w:val="24"/>
          <w:szCs w:val="24"/>
          <w:highlight w:val="none"/>
          <w:lang w:eastAsia="zh-CN"/>
        </w:rPr>
        <w:t>供应商</w:t>
      </w:r>
      <w:r>
        <w:rPr>
          <w:rFonts w:hint="eastAsia" w:ascii="宋体" w:hAnsi="宋体" w:eastAsia="宋体" w:cs="宋体"/>
          <w:sz w:val="24"/>
          <w:szCs w:val="24"/>
          <w:highlight w:val="none"/>
        </w:rPr>
        <w:t>须主动配合整改，积极采纳。</w:t>
      </w:r>
    </w:p>
    <w:p w14:paraId="7AC72055">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6.在重要工序及隐蔽工程完工后，供应商必须按至少提前24小时通知</w:t>
      </w:r>
      <w:r>
        <w:rPr>
          <w:rFonts w:hint="eastAsia" w:cs="宋体"/>
          <w:sz w:val="24"/>
          <w:szCs w:val="24"/>
          <w:highlight w:val="none"/>
          <w:lang w:eastAsia="zh-CN"/>
        </w:rPr>
        <w:t>采购人</w:t>
      </w:r>
      <w:r>
        <w:rPr>
          <w:rFonts w:hint="eastAsia" w:ascii="宋体" w:hAnsi="宋体" w:eastAsia="宋体" w:cs="宋体"/>
          <w:sz w:val="24"/>
          <w:szCs w:val="24"/>
          <w:highlight w:val="none"/>
        </w:rPr>
        <w:t>和监理方到场，需经</w:t>
      </w:r>
      <w:r>
        <w:rPr>
          <w:rFonts w:hint="eastAsia" w:cs="宋体"/>
          <w:sz w:val="24"/>
          <w:szCs w:val="24"/>
          <w:highlight w:val="none"/>
          <w:lang w:eastAsia="zh-CN"/>
        </w:rPr>
        <w:t>采购人</w:t>
      </w:r>
      <w:r>
        <w:rPr>
          <w:rFonts w:hint="eastAsia" w:ascii="宋体" w:hAnsi="宋体" w:eastAsia="宋体" w:cs="宋体"/>
          <w:sz w:val="24"/>
          <w:szCs w:val="24"/>
          <w:highlight w:val="none"/>
        </w:rPr>
        <w:t>和监理方验收后方可进行下一道工序施工，并义务对施工过程中的每个工序留取影像资料，坚决杜绝“先斩后奏”或“事后补救”等情况发生。</w:t>
      </w:r>
    </w:p>
    <w:p w14:paraId="2352C9D4">
      <w:pPr>
        <w:pageBreakBefore w:val="0"/>
        <w:kinsoku/>
        <w:overflowPunct/>
        <w:topLinePunct w:val="0"/>
        <w:bidi w:val="0"/>
        <w:spacing w:line="336"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7.施工中所用的各种建筑材料及设备等，必须符合相关技术规范要求，不得使用假冒伪劣产品或擅自变更建筑材料材质、规格、型号。</w:t>
      </w:r>
    </w:p>
    <w:p w14:paraId="01646C64">
      <w:pPr>
        <w:pageBreakBefore w:val="0"/>
        <w:kinsoku/>
        <w:overflowPunct/>
        <w:topLinePunct w:val="0"/>
        <w:bidi w:val="0"/>
        <w:spacing w:line="336"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8、合同签定前向</w:t>
      </w:r>
      <w:r>
        <w:rPr>
          <w:rFonts w:hint="eastAsia"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递交一套完整的工程施工方案；</w:t>
      </w:r>
    </w:p>
    <w:p w14:paraId="1B57EAAC">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十一、安全责任约定</w:t>
      </w:r>
    </w:p>
    <w:p w14:paraId="278CD068">
      <w:pPr>
        <w:pageBreakBefore w:val="0"/>
        <w:kinsoku/>
        <w:overflowPunct/>
        <w:topLinePunct w:val="0"/>
        <w:bidi w:val="0"/>
        <w:spacing w:line="336" w:lineRule="auto"/>
        <w:ind w:firstLine="360" w:firstLineChars="150"/>
        <w:textAlignment w:val="auto"/>
        <w:rPr>
          <w:rFonts w:hint="eastAsia" w:ascii="宋体" w:hAnsi="宋体" w:eastAsia="宋体" w:cs="宋体"/>
          <w:sz w:val="24"/>
          <w:szCs w:val="24"/>
          <w:highlight w:val="none"/>
        </w:rPr>
      </w:pPr>
      <w:r>
        <w:rPr>
          <w:rFonts w:hint="eastAsia" w:cs="宋体"/>
          <w:sz w:val="24"/>
          <w:szCs w:val="24"/>
          <w:highlight w:val="none"/>
          <w:lang w:eastAsia="zh-CN"/>
        </w:rPr>
        <w:t>供应商</w:t>
      </w:r>
      <w:r>
        <w:rPr>
          <w:rFonts w:hint="eastAsia" w:ascii="宋体" w:hAnsi="宋体" w:eastAsia="宋体" w:cs="宋体"/>
          <w:sz w:val="24"/>
          <w:szCs w:val="24"/>
          <w:highlight w:val="none"/>
        </w:rPr>
        <w:t>在组织施工过程中，发生安全事故，概由</w:t>
      </w:r>
      <w:r>
        <w:rPr>
          <w:rFonts w:hint="eastAsia" w:cs="宋体"/>
          <w:sz w:val="24"/>
          <w:szCs w:val="24"/>
          <w:highlight w:val="none"/>
          <w:lang w:eastAsia="zh-CN"/>
        </w:rPr>
        <w:t>供应商</w:t>
      </w:r>
      <w:r>
        <w:rPr>
          <w:rFonts w:hint="eastAsia" w:ascii="宋体" w:hAnsi="宋体" w:eastAsia="宋体" w:cs="宋体"/>
          <w:sz w:val="24"/>
          <w:szCs w:val="24"/>
          <w:highlight w:val="none"/>
        </w:rPr>
        <w:t>承担一切责任，与甲方无关。若因施工不当给第三方造成伤害或损失，由</w:t>
      </w:r>
      <w:r>
        <w:rPr>
          <w:rFonts w:hint="eastAsia" w:cs="宋体"/>
          <w:sz w:val="24"/>
          <w:szCs w:val="24"/>
          <w:highlight w:val="none"/>
          <w:lang w:eastAsia="zh-CN"/>
        </w:rPr>
        <w:t>供应商</w:t>
      </w:r>
      <w:r>
        <w:rPr>
          <w:rFonts w:hint="eastAsia" w:ascii="宋体" w:hAnsi="宋体" w:eastAsia="宋体" w:cs="宋体"/>
          <w:sz w:val="24"/>
          <w:szCs w:val="24"/>
          <w:highlight w:val="none"/>
        </w:rPr>
        <w:t>承担相应的法律责任。</w:t>
      </w:r>
    </w:p>
    <w:p w14:paraId="4D6FB7F1">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十二、工程质量及验收</w:t>
      </w:r>
    </w:p>
    <w:p w14:paraId="2E5651AE">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按照工程实施方案及工程量清单所明确的施工内容、范围、质量要求施工，并达到合格标准。因</w:t>
      </w:r>
      <w:r>
        <w:rPr>
          <w:rFonts w:hint="eastAsia" w:cs="宋体"/>
          <w:sz w:val="24"/>
          <w:szCs w:val="24"/>
          <w:highlight w:val="none"/>
          <w:lang w:eastAsia="zh-CN"/>
        </w:rPr>
        <w:t>供应商</w:t>
      </w:r>
      <w:r>
        <w:rPr>
          <w:rFonts w:hint="eastAsia" w:ascii="宋体" w:hAnsi="宋体" w:eastAsia="宋体" w:cs="宋体"/>
          <w:sz w:val="24"/>
          <w:szCs w:val="24"/>
          <w:highlight w:val="none"/>
        </w:rPr>
        <w:t>原因造成工程质量达不到合同约定验收标准的，监理人有权要求</w:t>
      </w:r>
      <w:r>
        <w:rPr>
          <w:rFonts w:hint="eastAsia" w:cs="宋体"/>
          <w:sz w:val="24"/>
          <w:szCs w:val="24"/>
          <w:highlight w:val="none"/>
          <w:lang w:eastAsia="zh-CN"/>
        </w:rPr>
        <w:t>供应商</w:t>
      </w:r>
      <w:r>
        <w:rPr>
          <w:rFonts w:hint="eastAsia" w:ascii="宋体" w:hAnsi="宋体" w:eastAsia="宋体" w:cs="宋体"/>
          <w:sz w:val="24"/>
          <w:szCs w:val="24"/>
          <w:highlight w:val="none"/>
        </w:rPr>
        <w:t>返工直至符合合同要求为止，由此造成的费用增加和（或）工期延误由</w:t>
      </w:r>
      <w:r>
        <w:rPr>
          <w:rFonts w:hint="eastAsia" w:cs="宋体"/>
          <w:sz w:val="24"/>
          <w:szCs w:val="24"/>
          <w:highlight w:val="none"/>
          <w:lang w:eastAsia="zh-CN"/>
        </w:rPr>
        <w:t>供应商</w:t>
      </w:r>
      <w:r>
        <w:rPr>
          <w:rFonts w:hint="eastAsia" w:ascii="宋体" w:hAnsi="宋体" w:eastAsia="宋体" w:cs="宋体"/>
          <w:sz w:val="24"/>
          <w:szCs w:val="24"/>
          <w:highlight w:val="none"/>
        </w:rPr>
        <w:t>承担。</w:t>
      </w:r>
    </w:p>
    <w:p w14:paraId="63B0CA9F">
      <w:pPr>
        <w:pageBreakBefore w:val="0"/>
        <w:kinsoku/>
        <w:overflowPunct/>
        <w:topLinePunct w:val="0"/>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工程验收，按照国家现行相关验收标准和合同约定验收标准执行</w:t>
      </w:r>
    </w:p>
    <w:p w14:paraId="657FCA19">
      <w:pPr>
        <w:pageBreakBefore w:val="0"/>
        <w:kinsoku/>
        <w:overflowPunct/>
        <w:topLinePunct w:val="0"/>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十三</w:t>
      </w:r>
      <w:r>
        <w:rPr>
          <w:rFonts w:hint="eastAsia" w:ascii="宋体" w:hAnsi="宋体" w:eastAsia="宋体" w:cs="宋体"/>
          <w:color w:val="auto"/>
          <w:sz w:val="24"/>
          <w:szCs w:val="24"/>
          <w:highlight w:val="none"/>
        </w:rPr>
        <w:t>、结算方式</w:t>
      </w:r>
    </w:p>
    <w:p w14:paraId="0CE8884E">
      <w:pPr>
        <w:pageBreakBefore w:val="0"/>
        <w:kinsoku/>
        <w:overflowPunct/>
        <w:topLinePunct w:val="0"/>
        <w:bidi w:val="0"/>
        <w:spacing w:line="336" w:lineRule="auto"/>
        <w:ind w:firstLine="482" w:firstLineChars="200"/>
        <w:textAlignment w:val="auto"/>
        <w:rPr>
          <w:rFonts w:hint="eastAsia" w:ascii="宋体" w:hAnsi="宋体" w:eastAsia="宋体" w:cs="宋体"/>
          <w:b/>
          <w:bCs/>
          <w:sz w:val="24"/>
          <w:szCs w:val="24"/>
          <w:highlight w:val="none"/>
        </w:rPr>
      </w:pPr>
      <w:bookmarkStart w:id="193" w:name="_Toc351203486"/>
      <w:r>
        <w:rPr>
          <w:rFonts w:hint="eastAsia" w:ascii="宋体" w:hAnsi="宋体" w:eastAsia="宋体" w:cs="宋体"/>
          <w:b/>
          <w:bCs/>
          <w:sz w:val="24"/>
          <w:szCs w:val="24"/>
          <w:highlight w:val="none"/>
        </w:rPr>
        <w:t>（一）本合同采用固定综合单价合同，综合单价不因工程量的增减（工程量的变化、施工方式的变化）而调整。除非合同另有约定，投标报价的工程量清单中的综合单价均已包含但不限于</w:t>
      </w:r>
      <w:r>
        <w:rPr>
          <w:rFonts w:hint="eastAsia" w:cs="宋体"/>
          <w:b/>
          <w:bCs/>
          <w:sz w:val="24"/>
          <w:szCs w:val="24"/>
          <w:highlight w:val="none"/>
          <w:lang w:eastAsia="zh-CN"/>
        </w:rPr>
        <w:t>供应商</w:t>
      </w:r>
      <w:r>
        <w:rPr>
          <w:rFonts w:hint="eastAsia" w:ascii="宋体" w:hAnsi="宋体" w:eastAsia="宋体" w:cs="宋体"/>
          <w:b/>
          <w:bCs/>
          <w:sz w:val="24"/>
          <w:szCs w:val="24"/>
          <w:highlight w:val="none"/>
        </w:rPr>
        <w:t>为实施和完成合同工程量清单项目所需的人工费、材料费、机械费、企业管理费、利润、风险费用</w:t>
      </w:r>
      <w:r>
        <w:rPr>
          <w:rFonts w:hint="eastAsia" w:cs="宋体"/>
          <w:b/>
          <w:bCs/>
          <w:sz w:val="24"/>
          <w:szCs w:val="24"/>
          <w:highlight w:val="none"/>
          <w:lang w:val="en-US" w:eastAsia="zh-CN"/>
        </w:rPr>
        <w:t>等</w:t>
      </w:r>
      <w:r>
        <w:rPr>
          <w:rFonts w:hint="eastAsia" w:ascii="宋体" w:hAnsi="宋体" w:eastAsia="宋体" w:cs="宋体"/>
          <w:b/>
          <w:bCs/>
          <w:sz w:val="24"/>
          <w:szCs w:val="24"/>
          <w:highlight w:val="none"/>
        </w:rPr>
        <w:t>。</w:t>
      </w:r>
    </w:p>
    <w:p w14:paraId="32A2D378">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（二）各部分的结算原则如下:</w:t>
      </w:r>
    </w:p>
    <w:p w14:paraId="6524ED69">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1.分部分项工程量清单结算总价:</w:t>
      </w:r>
    </w:p>
    <w:p w14:paraId="49EB9C44">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分部分项工程结算价=综合单价×子项工程量</w:t>
      </w:r>
    </w:p>
    <w:p w14:paraId="5C7B9D1F">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子项工程量:工程量计算以施工图、设计变更、有效签证资料(签字且盖章)及竣工图作为计算依据，按《重庆市建设工程工程量计算规则》（CQJLGZ-2013）、《建设工程工程量清单计价规范》（GB50500-2013）、《重庆市建设工程工程量清单计价规则》（CQQDGZ-2013）、《重庆市建设工程工程量清单计价指南》（2013）；定额执行《重庆市房屋建筑与装饰工程计价定额》（CQJZZSDE-2018）、《重庆市房屋修缮工程计价定额》（CQXSDE-2018）、《重庆市通用安装工程计价定额》（CQAZDE-2018）、《重庆市建设工程费用定额》（CQFYDE-2018）、《重庆市建设工程施工机械台班定额》（CQJXDE-2018）及其配套文件规定的计量规则计算的合格工程量作为结算依据。</w:t>
      </w:r>
    </w:p>
    <w:p w14:paraId="1E377E9F">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2.措施费</w:t>
      </w:r>
    </w:p>
    <w:p w14:paraId="22C3EF9E">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措施项目费清单包括施工组织措施项目清单和施工技术措施项目清单两部分。</w:t>
      </w:r>
    </w:p>
    <w:p w14:paraId="531B5C78">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施工组织措施项目清单：除安全文明施工费用外，其他施工组织措施项目无论因设计变更或施工工艺变化、完成工程数量的多少而调整、分段施工造成的工期增加或相应费用的增加，施工组织措施项目费用包干计算，一概不作调整。</w:t>
      </w:r>
    </w:p>
    <w:p w14:paraId="5CD482E3">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施工技术措施项目清单：技术措施清单中以项计列的项目，由参选人根据现场踏勘情况及本工程的实际情况结合自身施工组织设计，以项为单位的自行报价，包干使用，结算时不再调整。成交后不论何种因素影响，相应的综合单价不作调整，工程量按《通用安装工程工程量计算规范》GB50856-2013、《房屋建筑与装饰工程工程量计算规范》GB50854-2013、《重庆市建设工程工程量计算规则》（CQJLGZ-2013 ）规定的计量规则及工程量清单说明按实计量。</w:t>
      </w:r>
    </w:p>
    <w:p w14:paraId="69E048D2">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3.设计变更费、新增项目</w:t>
      </w:r>
    </w:p>
    <w:p w14:paraId="3B0402A3">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当发生设计变更或新增项目，</w:t>
      </w:r>
      <w:r>
        <w:rPr>
          <w:rFonts w:hint="eastAsia" w:cs="宋体"/>
          <w:sz w:val="24"/>
          <w:szCs w:val="24"/>
          <w:highlight w:val="none"/>
          <w:lang w:eastAsia="zh-CN"/>
        </w:rPr>
        <w:t>采购人</w:t>
      </w:r>
      <w:r>
        <w:rPr>
          <w:rFonts w:hint="eastAsia" w:ascii="宋体" w:hAnsi="宋体" w:eastAsia="宋体" w:cs="宋体"/>
          <w:sz w:val="24"/>
          <w:szCs w:val="24"/>
          <w:highlight w:val="none"/>
        </w:rPr>
        <w:t>及监理工程师按照下列计价原则结算：</w:t>
      </w:r>
    </w:p>
    <w:p w14:paraId="7D00CE99">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①已标价工程量清单中有适用于变更工作的子目，采用该子目的综合单价。</w:t>
      </w:r>
    </w:p>
    <w:p w14:paraId="48B51C42">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已标价工程量清单中无适用于变更工程的子目，但有类似子目的，可在合理范围内参照类似子目的综合单价，对该子目主材的价格进行调整。主材调整原则:投标时有的材料，调入时取投标价与投标当期重庆市建设工程造价总站主办的《重庆工程造价信息》的低值；投标时没有的材料，按</w:t>
      </w:r>
      <w:r>
        <w:rPr>
          <w:rFonts w:hint="eastAsia" w:cs="宋体"/>
          <w:sz w:val="24"/>
          <w:szCs w:val="24"/>
          <w:highlight w:val="none"/>
          <w:lang w:eastAsia="zh-CN"/>
        </w:rPr>
        <w:t>采购人</w:t>
      </w:r>
      <w:r>
        <w:rPr>
          <w:rFonts w:hint="eastAsia" w:ascii="宋体" w:hAnsi="宋体" w:eastAsia="宋体" w:cs="宋体"/>
          <w:sz w:val="24"/>
          <w:szCs w:val="24"/>
          <w:highlight w:val="none"/>
        </w:rPr>
        <w:t>充分结合施工期市场核定的价格执行，并不高于施工同期《重庆工程造价信息》，调整后的综合单价作为类似子目的综合单价(类似项目由</w:t>
      </w:r>
      <w:r>
        <w:rPr>
          <w:rFonts w:hint="eastAsia" w:cs="宋体"/>
          <w:sz w:val="24"/>
          <w:szCs w:val="24"/>
          <w:highlight w:val="none"/>
          <w:lang w:eastAsia="zh-CN"/>
        </w:rPr>
        <w:t>采购人</w:t>
      </w:r>
      <w:r>
        <w:rPr>
          <w:rFonts w:hint="eastAsia" w:ascii="宋体" w:hAnsi="宋体" w:eastAsia="宋体" w:cs="宋体"/>
          <w:sz w:val="24"/>
          <w:szCs w:val="24"/>
          <w:highlight w:val="none"/>
        </w:rPr>
        <w:t>确定，投标的人工、材料单价表作为合同附件)。</w:t>
      </w:r>
    </w:p>
    <w:p w14:paraId="2F713F4B">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已标价工程量清单中无适用或类似子目的综合单价，按国家技术和经济规范及标准、《重庆市建设工程工程量计算规则》（CQJLGZ－2013）、《建设工程工程量清单计价规范》（GB50500-2013）、《重庆市建设工程工程量清单计价规则》（CQQDGZ-2013）、《重庆市建设工程工程量清单计价指南》（2013）；定额执行《重庆市房屋建筑与装饰工程计价定额》（CQJZZSDE-2018）、《重庆市房屋修缮工程计价定额》（CQXSDE-2018）、《重庆市通用安装工程计价定额》（CQAZDE-2018）、《重庆市建设工程费用定额》（CQFYDE-2018）、《重庆市建设工程施工机械台班定额》（CQJXDE-2018）及其配套文件等（配套文件只执行合同签定之日前重庆市建委颁发的文件，合同签定之日后颁发的有关政策文件不予执行。）编制，再按成交总价与总价最高限价同比例进行下浮（其中人工价差、材料价差、未计价材料、不下浮）。其中人工工日、材料单价的确定原则：人工费按投标时有的投标价执行，若参选人比选报价高于施工实施期《重庆工程造价信息》中对应的人工工日单价平均值（若发布的某一类别人工工日单价是区间值的，则按其算术平均值执行），则按施工实施期《重庆工程造价信息》中对应的人工工日单价平均值执行；材料结算价格：清单报价中已有的按响应文件中清单报价执行；清单报价中没有的按该项目施工期间的《重庆工程造价信息》信息价的算术平均价执行；比选时没有的，</w:t>
      </w:r>
      <w:r>
        <w:rPr>
          <w:rFonts w:hint="eastAsia" w:cs="宋体"/>
          <w:sz w:val="24"/>
          <w:szCs w:val="24"/>
          <w:highlight w:val="none"/>
          <w:lang w:eastAsia="zh-CN"/>
        </w:rPr>
        <w:t>采购人</w:t>
      </w:r>
      <w:r>
        <w:rPr>
          <w:rFonts w:hint="eastAsia" w:ascii="宋体" w:hAnsi="宋体" w:eastAsia="宋体" w:cs="宋体"/>
          <w:sz w:val="24"/>
          <w:szCs w:val="24"/>
          <w:highlight w:val="none"/>
        </w:rPr>
        <w:t xml:space="preserve">结合市场进行核定价格，且不高于施工同期《重庆工程造价信息》的价格。  </w:t>
      </w:r>
    </w:p>
    <w:p w14:paraId="33F04D4E">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4.安全文明施工费: </w:t>
      </w:r>
      <w:r>
        <w:rPr>
          <w:rFonts w:hint="eastAsia" w:ascii="宋体" w:hAnsi="宋体" w:eastAsia="宋体" w:cs="宋体"/>
          <w:color w:val="auto"/>
        </w:rPr>
        <w:t>本工程安全文明施工费按《重庆市建设工程安全文明施工费计取及使用管理规定》的通知(渝建管〔2024〕38号)、《重庆市建设工程费用定额》(COFYDE-2018)及相关配套文件的相关规定和费用标准</w:t>
      </w:r>
      <w:r>
        <w:rPr>
          <w:rFonts w:hint="eastAsia" w:ascii="宋体" w:hAnsi="宋体" w:eastAsia="宋体" w:cs="宋体"/>
          <w:color w:val="auto"/>
          <w:lang w:val="en-US" w:eastAsia="zh-CN"/>
        </w:rPr>
        <w:t>计取。</w:t>
      </w:r>
    </w:p>
    <w:p w14:paraId="395F807F">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5.规费：按照参选报价书的费率，但若报价书的费率高于《重庆市建设工程费用定额》（CQFYDE-2018）的规定费率，则按规定费率结算。</w:t>
      </w:r>
    </w:p>
    <w:p w14:paraId="594AE939">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税金：按照参选报价书的费率，但若报价书的费率高于《重庆市建设工程费用定额》（CQFYDE-2018）、《重庆市住房和城乡建设委员会关于适用增值税新税率调整建设工程计价依据的通知》（渝建【2019】143号）的规定费率，则按规定费率结算。</w:t>
      </w:r>
    </w:p>
    <w:p w14:paraId="41073B0A">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（三）最终结算原则</w:t>
      </w:r>
    </w:p>
    <w:p w14:paraId="15DA80DC">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1.竣工结算价=Σ分部分项工程结算价+Σ措施项目结算价+Σ其他项目结算价±Σ价格调整（如有）±Σ变更、索赔与现场签证结算价±Σ奖励、罚金、违约金及其他费用+Σ规费+Σ税金。</w:t>
      </w:r>
    </w:p>
    <w:p w14:paraId="5A9E5BE9">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2.合同履行中,若存在需追加与合同标的相同的货物、工程或者服务的，在不改变合同其他条款的前提下，可以与参选人协商签订补充合同，但所有补充合同的采购金额不得超过原合同采购金额的百分之十。 </w:t>
      </w:r>
    </w:p>
    <w:p w14:paraId="7C4F3DC1">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本工程结算价最终以相关审计部门审定的金额为准。</w:t>
      </w:r>
    </w:p>
    <w:p w14:paraId="06F866E2">
      <w:pPr>
        <w:pageBreakBefore w:val="0"/>
        <w:kinsoku/>
        <w:overflowPunct/>
        <w:topLinePunct w:val="0"/>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、工程款支付方式</w:t>
      </w:r>
    </w:p>
    <w:p w14:paraId="1856C629">
      <w:pPr>
        <w:pageBreakBefore w:val="0"/>
        <w:kinsoku/>
        <w:overflowPunct/>
        <w:topLinePunct w:val="0"/>
        <w:bidi w:val="0"/>
        <w:spacing w:line="336" w:lineRule="auto"/>
        <w:ind w:firstLine="482"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本工程竣工验收合格且</w:t>
      </w:r>
      <w:r>
        <w:rPr>
          <w:rFonts w:hint="eastAsia" w:cs="宋体"/>
          <w:b/>
          <w:bCs/>
          <w:color w:val="000000" w:themeColor="text1"/>
          <w:highlight w:val="none"/>
          <w:lang w:val="en-US" w:eastAsia="zh-CN"/>
          <w14:textFill>
            <w14:solidFill>
              <w14:schemeClr w14:val="tx1"/>
            </w14:solidFill>
          </w14:textFill>
        </w:rPr>
        <w:t>经上级主管部门</w:t>
      </w:r>
      <w:r>
        <w:rPr>
          <w:rFonts w:hint="eastAsia" w:ascii="宋体" w:hAnsi="宋体" w:eastAsia="宋体" w:cs="宋体"/>
          <w:b/>
          <w:bCs/>
          <w:color w:val="000000" w:themeColor="text1"/>
          <w:highlight w:val="none"/>
          <w:lang w:val="en-US" w:eastAsia="zh-CN"/>
          <w14:textFill>
            <w14:solidFill>
              <w14:schemeClr w14:val="tx1"/>
            </w14:solidFill>
          </w14:textFill>
        </w:rPr>
        <w:t>结算审计结束后，由</w:t>
      </w:r>
      <w:r>
        <w:rPr>
          <w:rFonts w:hint="eastAsia" w:cs="宋体"/>
          <w:b/>
          <w:bCs/>
          <w:color w:val="000000" w:themeColor="text1"/>
          <w:highlight w:val="none"/>
          <w:lang w:val="en-US" w:eastAsia="zh-CN"/>
          <w14:textFill>
            <w14:solidFill>
              <w14:schemeClr w14:val="tx1"/>
            </w14:solidFill>
          </w14:textFill>
        </w:rPr>
        <w:t>供应商</w:t>
      </w:r>
      <w:r>
        <w:rPr>
          <w:rFonts w:hint="eastAsia" w:ascii="宋体" w:hAnsi="宋体" w:eastAsia="宋体" w:cs="宋体"/>
          <w:b/>
          <w:bCs/>
          <w:color w:val="000000" w:themeColor="text1"/>
          <w:highlight w:val="none"/>
          <w:lang w:val="en-US" w:eastAsia="zh-CN"/>
          <w14:textFill>
            <w14:solidFill>
              <w14:schemeClr w14:val="tx1"/>
            </w14:solidFill>
          </w14:textFill>
        </w:rPr>
        <w:t>向</w:t>
      </w:r>
      <w:r>
        <w:rPr>
          <w:rFonts w:hint="eastAsia" w:cs="宋体"/>
          <w:b/>
          <w:bCs/>
          <w:color w:val="000000" w:themeColor="text1"/>
          <w:highlight w:val="none"/>
          <w:lang w:val="en-US" w:eastAsia="zh-CN"/>
          <w14:textFill>
            <w14:solidFill>
              <w14:schemeClr w14:val="tx1"/>
            </w14:solidFill>
          </w14:textFill>
        </w:rPr>
        <w:t>采购人</w:t>
      </w:r>
      <w:r>
        <w:rPr>
          <w:rFonts w:hint="eastAsia" w:ascii="宋体" w:hAnsi="宋体" w:eastAsia="宋体" w:cs="宋体"/>
          <w:b/>
          <w:bCs/>
          <w:color w:val="000000" w:themeColor="text1"/>
          <w:highlight w:val="none"/>
          <w:lang w:val="en-US" w:eastAsia="zh-CN"/>
          <w14:textFill>
            <w14:solidFill>
              <w14:schemeClr w14:val="tx1"/>
            </w14:solidFill>
          </w14:textFill>
        </w:rPr>
        <w:t>支付结算审定总额的3%作为质保金，并提供足额的正规发票后，</w:t>
      </w:r>
      <w:r>
        <w:rPr>
          <w:rFonts w:hint="eastAsia" w:cs="宋体"/>
          <w:b/>
          <w:bCs/>
          <w:color w:val="000000" w:themeColor="text1"/>
          <w:highlight w:val="none"/>
          <w:lang w:val="en-US" w:eastAsia="zh-CN"/>
          <w14:textFill>
            <w14:solidFill>
              <w14:schemeClr w14:val="tx1"/>
            </w14:solidFill>
          </w14:textFill>
        </w:rPr>
        <w:t>采购人</w:t>
      </w:r>
      <w:r>
        <w:rPr>
          <w:rFonts w:hint="eastAsia" w:ascii="宋体" w:hAnsi="宋体" w:eastAsia="宋体" w:cs="宋体"/>
          <w:b/>
          <w:bCs/>
          <w:color w:val="000000" w:themeColor="text1"/>
          <w:highlight w:val="none"/>
          <w:lang w:val="en-US" w:eastAsia="zh-CN"/>
          <w14:textFill>
            <w14:solidFill>
              <w14:schemeClr w14:val="tx1"/>
            </w14:solidFill>
          </w14:textFill>
        </w:rPr>
        <w:t>再支付至结算审定总额的100%给</w:t>
      </w:r>
      <w:r>
        <w:rPr>
          <w:rFonts w:hint="eastAsia" w:cs="宋体"/>
          <w:b/>
          <w:bCs/>
          <w:color w:val="000000" w:themeColor="text1"/>
          <w:highlight w:val="none"/>
          <w:lang w:val="en-US" w:eastAsia="zh-CN"/>
          <w14:textFill>
            <w14:solidFill>
              <w14:schemeClr w14:val="tx1"/>
            </w14:solidFill>
          </w14:textFill>
        </w:rPr>
        <w:t>供应商</w:t>
      </w:r>
      <w:r>
        <w:rPr>
          <w:rFonts w:hint="eastAsia" w:ascii="宋体" w:hAnsi="宋体" w:eastAsia="宋体" w:cs="宋体"/>
          <w:b/>
          <w:bCs/>
          <w:color w:val="000000" w:themeColor="text1"/>
          <w:highlight w:val="none"/>
          <w:lang w:val="en-US" w:eastAsia="zh-CN"/>
          <w14:textFill>
            <w14:solidFill>
              <w14:schemeClr w14:val="tx1"/>
            </w14:solidFill>
          </w14:textFill>
        </w:rPr>
        <w:t>。本工程缺陷责任期为两年。</w:t>
      </w:r>
    </w:p>
    <w:p w14:paraId="5A1C260C">
      <w:pPr>
        <w:pageBreakBefore w:val="0"/>
        <w:kinsoku/>
        <w:overflowPunct/>
        <w:topLinePunct w:val="0"/>
        <w:bidi w:val="0"/>
        <w:spacing w:line="336"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五、</w:t>
      </w:r>
      <w:r>
        <w:rPr>
          <w:rFonts w:hint="eastAsia" w:cs="宋体"/>
          <w:color w:val="auto"/>
          <w:sz w:val="24"/>
          <w:szCs w:val="24"/>
          <w:highlight w:val="none"/>
          <w:lang w:val="en-US" w:eastAsia="zh-CN"/>
        </w:rPr>
        <w:t>电梯维保</w:t>
      </w:r>
    </w:p>
    <w:p w14:paraId="0DB30F76">
      <w:pPr>
        <w:pageBreakBefore w:val="0"/>
        <w:kinsoku/>
        <w:overflowPunct/>
        <w:topLinePunct w:val="0"/>
        <w:bidi w:val="0"/>
        <w:spacing w:line="336" w:lineRule="auto"/>
        <w:ind w:firstLine="480" w:firstLineChars="200"/>
        <w:textAlignment w:val="auto"/>
        <w:rPr>
          <w:rFonts w:hint="eastAsia" w:ascii="宋体" w:hAnsi="宋体" w:eastAsia="宋体" w:cs="宋体"/>
          <w:b/>
          <w:bCs/>
          <w:color w:val="FF0000"/>
          <w:sz w:val="24"/>
          <w:szCs w:val="24"/>
          <w:highlight w:val="none"/>
          <w:lang w:val="en-US" w:eastAsia="zh-CN"/>
        </w:rPr>
      </w:pPr>
      <w:r>
        <w:rPr>
          <w:rFonts w:hint="eastAsia" w:ascii="宋体" w:hAnsi="宋体" w:eastAsia="宋体" w:cs="宋体"/>
          <w:color w:val="auto"/>
          <w:sz w:val="24"/>
          <w:szCs w:val="24"/>
          <w:highlight w:val="none"/>
          <w:lang w:eastAsia="zh-CN"/>
        </w:rPr>
        <w:t>本项目</w:t>
      </w:r>
      <w:r>
        <w:rPr>
          <w:rFonts w:hint="eastAsia" w:cs="宋体"/>
          <w:color w:val="auto"/>
          <w:sz w:val="24"/>
          <w:szCs w:val="24"/>
          <w:highlight w:val="none"/>
          <w:lang w:val="en-US" w:eastAsia="zh-CN"/>
        </w:rPr>
        <w:t>电梯</w:t>
      </w:r>
      <w:r>
        <w:rPr>
          <w:rFonts w:hint="eastAsia" w:ascii="宋体" w:hAnsi="宋体" w:eastAsia="宋体" w:cs="宋体"/>
          <w:color w:val="auto"/>
          <w:sz w:val="24"/>
          <w:szCs w:val="24"/>
          <w:highlight w:val="none"/>
          <w:lang w:eastAsia="zh-CN"/>
        </w:rPr>
        <w:t>免费维保两年，电梯整机质保5年、六大核心部件（主机、控制柜、门机、限速器、安全钳、缓冲器)）10年质保。</w:t>
      </w:r>
    </w:p>
    <w:p w14:paraId="622E92E4">
      <w:pPr>
        <w:pageBreakBefore w:val="0"/>
        <w:kinsoku/>
        <w:overflowPunct/>
        <w:topLinePunct w:val="0"/>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十</w:t>
      </w:r>
      <w:r>
        <w:rPr>
          <w:rFonts w:hint="eastAsia" w:ascii="宋体" w:hAnsi="宋体" w:eastAsia="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w:t>
      </w:r>
      <w:bookmarkEnd w:id="193"/>
      <w:r>
        <w:rPr>
          <w:rFonts w:hint="eastAsia" w:ascii="宋体" w:hAnsi="宋体" w:eastAsia="宋体" w:cs="宋体"/>
          <w:color w:val="auto"/>
          <w:sz w:val="24"/>
          <w:szCs w:val="24"/>
          <w:highlight w:val="none"/>
        </w:rPr>
        <w:t>农民工权益保障</w:t>
      </w:r>
    </w:p>
    <w:p w14:paraId="273DF432">
      <w:pPr>
        <w:pageBreakBefore w:val="0"/>
        <w:kinsoku/>
        <w:overflowPunct/>
        <w:topLinePunct w:val="0"/>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本项目首先保障农民工工资不拖欠，并不能以支付农民工工资名义向</w:t>
      </w:r>
      <w:r>
        <w:rPr>
          <w:rFonts w:hint="eastAsia" w:cs="宋体"/>
          <w:color w:val="auto"/>
          <w:sz w:val="24"/>
          <w:szCs w:val="24"/>
          <w:highlight w:val="none"/>
          <w:lang w:eastAsia="zh-CN"/>
        </w:rPr>
        <w:t>采购人</w:t>
      </w:r>
      <w:r>
        <w:rPr>
          <w:rFonts w:hint="eastAsia" w:ascii="宋体" w:hAnsi="宋体" w:eastAsia="宋体" w:cs="宋体"/>
          <w:color w:val="auto"/>
          <w:sz w:val="24"/>
          <w:szCs w:val="24"/>
          <w:highlight w:val="none"/>
        </w:rPr>
        <w:t>要求超合同付款，并承担</w:t>
      </w:r>
      <w:r>
        <w:rPr>
          <w:rFonts w:hint="eastAsia" w:cs="宋体"/>
          <w:color w:val="auto"/>
          <w:sz w:val="24"/>
          <w:szCs w:val="24"/>
          <w:highlight w:val="none"/>
          <w:lang w:eastAsia="zh-CN"/>
        </w:rPr>
        <w:t>采购人</w:t>
      </w:r>
      <w:r>
        <w:rPr>
          <w:rFonts w:hint="eastAsia" w:ascii="宋体" w:hAnsi="宋体" w:eastAsia="宋体" w:cs="宋体"/>
          <w:color w:val="auto"/>
          <w:sz w:val="24"/>
          <w:szCs w:val="24"/>
          <w:highlight w:val="none"/>
        </w:rPr>
        <w:t>的相关处分规定。</w:t>
      </w:r>
    </w:p>
    <w:p w14:paraId="280549E3">
      <w:pPr>
        <w:pageBreakBefore w:val="0"/>
        <w:kinsoku/>
        <w:overflowPunct/>
        <w:topLinePunct w:val="0"/>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为确保农民工工资按时发放，</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应当在工程竣工后，在</w:t>
      </w:r>
      <w:r>
        <w:rPr>
          <w:rFonts w:hint="eastAsia" w:cs="宋体"/>
          <w:color w:val="auto"/>
          <w:sz w:val="24"/>
          <w:szCs w:val="24"/>
          <w:highlight w:val="none"/>
          <w:lang w:eastAsia="zh-CN"/>
        </w:rPr>
        <w:t>采购人</w:t>
      </w:r>
      <w:r>
        <w:rPr>
          <w:rFonts w:hint="eastAsia" w:ascii="宋体" w:hAnsi="宋体" w:eastAsia="宋体" w:cs="宋体"/>
          <w:color w:val="auto"/>
          <w:sz w:val="24"/>
          <w:szCs w:val="24"/>
          <w:highlight w:val="none"/>
        </w:rPr>
        <w:t>第一次付款前，支付农民工工资（按用工情况登记造册后，实行银行打卡发放），并在支付后5日内，将银行打卡发放农民工工资凭证复印件交</w:t>
      </w:r>
      <w:r>
        <w:rPr>
          <w:rFonts w:hint="eastAsia" w:cs="宋体"/>
          <w:color w:val="auto"/>
          <w:sz w:val="24"/>
          <w:szCs w:val="24"/>
          <w:highlight w:val="none"/>
          <w:lang w:eastAsia="zh-CN"/>
        </w:rPr>
        <w:t>采购人</w:t>
      </w:r>
      <w:r>
        <w:rPr>
          <w:rFonts w:hint="eastAsia" w:ascii="宋体" w:hAnsi="宋体" w:eastAsia="宋体" w:cs="宋体"/>
          <w:color w:val="auto"/>
          <w:sz w:val="24"/>
          <w:szCs w:val="24"/>
          <w:highlight w:val="none"/>
        </w:rPr>
        <w:t>存档，以此作为下一次拨付工程款的重要依据。</w:t>
      </w:r>
    </w:p>
    <w:p w14:paraId="5C5A72FF">
      <w:pPr>
        <w:pageBreakBefore w:val="0"/>
        <w:kinsoku/>
        <w:overflowPunct/>
        <w:topLinePunct w:val="0"/>
        <w:bidi w:val="0"/>
        <w:spacing w:line="336" w:lineRule="auto"/>
        <w:ind w:firstLine="240" w:firstLineChars="1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应承诺本项目工程款专款专用，不得挪作它用，如</w:t>
      </w:r>
      <w:r>
        <w:rPr>
          <w:rFonts w:hint="eastAsia" w:cs="宋体"/>
          <w:color w:val="auto"/>
          <w:sz w:val="24"/>
          <w:szCs w:val="24"/>
          <w:highlight w:val="none"/>
          <w:lang w:eastAsia="zh-CN"/>
        </w:rPr>
        <w:t>采购人</w:t>
      </w:r>
      <w:r>
        <w:rPr>
          <w:rFonts w:hint="eastAsia" w:ascii="宋体" w:hAnsi="宋体" w:eastAsia="宋体" w:cs="宋体"/>
          <w:color w:val="auto"/>
          <w:sz w:val="24"/>
          <w:szCs w:val="24"/>
          <w:highlight w:val="none"/>
        </w:rPr>
        <w:t>发现</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将其工程款挪作他用，或未按时支付劳务人员工资造成堵工闹事等情形的，</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构成违约。</w:t>
      </w:r>
      <w:r>
        <w:rPr>
          <w:rFonts w:hint="eastAsia" w:cs="宋体"/>
          <w:color w:val="auto"/>
          <w:sz w:val="24"/>
          <w:szCs w:val="24"/>
          <w:highlight w:val="none"/>
          <w:lang w:eastAsia="zh-CN"/>
        </w:rPr>
        <w:t>采购人</w:t>
      </w:r>
      <w:r>
        <w:rPr>
          <w:rFonts w:hint="eastAsia" w:ascii="宋体" w:hAnsi="宋体" w:eastAsia="宋体" w:cs="宋体"/>
          <w:color w:val="auto"/>
          <w:sz w:val="24"/>
          <w:szCs w:val="24"/>
          <w:highlight w:val="none"/>
        </w:rPr>
        <w:t>有权在拟支付的进度款中扣除3%作为违约金，同时，</w:t>
      </w:r>
      <w:r>
        <w:rPr>
          <w:rFonts w:hint="eastAsia" w:cs="宋体"/>
          <w:color w:val="auto"/>
          <w:sz w:val="24"/>
          <w:szCs w:val="24"/>
          <w:highlight w:val="none"/>
          <w:lang w:eastAsia="zh-CN"/>
        </w:rPr>
        <w:t>采购人</w:t>
      </w:r>
      <w:r>
        <w:rPr>
          <w:rFonts w:hint="eastAsia" w:ascii="宋体" w:hAnsi="宋体" w:eastAsia="宋体" w:cs="宋体"/>
          <w:color w:val="auto"/>
          <w:sz w:val="24"/>
          <w:szCs w:val="24"/>
          <w:highlight w:val="none"/>
        </w:rPr>
        <w:t>有权将民工工资保证金先行支付劳务人员工资，民工工资保证金不足以支付劳务人员工资的，</w:t>
      </w:r>
      <w:r>
        <w:rPr>
          <w:rFonts w:hint="eastAsia" w:cs="宋体"/>
          <w:color w:val="auto"/>
          <w:sz w:val="24"/>
          <w:szCs w:val="24"/>
          <w:highlight w:val="none"/>
          <w:lang w:eastAsia="zh-CN"/>
        </w:rPr>
        <w:t>采购人</w:t>
      </w:r>
      <w:r>
        <w:rPr>
          <w:rFonts w:hint="eastAsia" w:ascii="宋体" w:hAnsi="宋体" w:eastAsia="宋体" w:cs="宋体"/>
          <w:color w:val="auto"/>
          <w:sz w:val="24"/>
          <w:szCs w:val="24"/>
          <w:highlight w:val="none"/>
        </w:rPr>
        <w:t>有权以拟支付的进度款先行支付工资，对于剩余部分的进度款，再按前述条款予以支付。如发生前述情形且情节严重，</w:t>
      </w:r>
      <w:r>
        <w:rPr>
          <w:rFonts w:hint="eastAsia" w:cs="宋体"/>
          <w:color w:val="auto"/>
          <w:sz w:val="24"/>
          <w:szCs w:val="24"/>
          <w:highlight w:val="none"/>
          <w:lang w:eastAsia="zh-CN"/>
        </w:rPr>
        <w:t>采购人</w:t>
      </w:r>
      <w:r>
        <w:rPr>
          <w:rFonts w:hint="eastAsia" w:ascii="宋体" w:hAnsi="宋体" w:eastAsia="宋体" w:cs="宋体"/>
          <w:color w:val="auto"/>
          <w:sz w:val="24"/>
          <w:szCs w:val="24"/>
          <w:highlight w:val="none"/>
        </w:rPr>
        <w:t>应当上报建设行政主管部门。</w:t>
      </w:r>
    </w:p>
    <w:p w14:paraId="4E086638">
      <w:pPr>
        <w:pageBreakBefore w:val="0"/>
        <w:kinsoku/>
        <w:overflowPunct/>
        <w:topLinePunct w:val="0"/>
        <w:bidi w:val="0"/>
        <w:spacing w:line="336"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rPr>
        <w:t>十</w:t>
      </w:r>
      <w:r>
        <w:rPr>
          <w:rFonts w:hint="eastAsia" w:ascii="宋体" w:hAnsi="宋体" w:eastAsia="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、违约责任</w:t>
      </w:r>
    </w:p>
    <w:p w14:paraId="3E1BE737">
      <w:pPr>
        <w:pageBreakBefore w:val="0"/>
        <w:kinsoku/>
        <w:overflowPunct/>
        <w:topLinePunct w:val="0"/>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除不可抗力因素影响以外，</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不能在约定的工期内完成施工的，凡超出一天，则向采购人支付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1000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元/天的违约金，相关费用在支付工程款中一并扣除，并纳入工程结算。</w:t>
      </w:r>
    </w:p>
    <w:p w14:paraId="1A2974EB">
      <w:pPr>
        <w:pageBreakBefore w:val="0"/>
        <w:kinsoku/>
        <w:overflowPunct/>
        <w:topLinePunct w:val="0"/>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、双方承诺</w:t>
      </w:r>
    </w:p>
    <w:p w14:paraId="7B6D0947">
      <w:pPr>
        <w:pageBreakBefore w:val="0"/>
        <w:kinsoku/>
        <w:overflowPunct/>
        <w:topLinePunct w:val="0"/>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cs="宋体"/>
          <w:color w:val="auto"/>
          <w:sz w:val="24"/>
          <w:szCs w:val="24"/>
          <w:highlight w:val="none"/>
          <w:lang w:eastAsia="zh-CN"/>
        </w:rPr>
        <w:t>采购人</w:t>
      </w:r>
      <w:r>
        <w:rPr>
          <w:rFonts w:hint="eastAsia" w:ascii="宋体" w:hAnsi="宋体" w:eastAsia="宋体" w:cs="宋体"/>
          <w:color w:val="auto"/>
          <w:sz w:val="24"/>
          <w:szCs w:val="24"/>
          <w:highlight w:val="none"/>
        </w:rPr>
        <w:t>承诺按照法律规定履行项目审批手续、筹集工程建设资金并按照合同约定的期限和方式支付合同价款。</w:t>
      </w:r>
    </w:p>
    <w:p w14:paraId="75AB0F67">
      <w:pPr>
        <w:pageBreakBefore w:val="0"/>
        <w:kinsoku/>
        <w:overflowPunct/>
        <w:topLinePunct w:val="0"/>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承诺按照法律规定及合同约定组织完成工程施工，确保工程质量和安全，不进行转包及违法分包，并在质保期及保修期内承担相应的工程维修责任。</w:t>
      </w:r>
    </w:p>
    <w:p w14:paraId="750B152F">
      <w:pPr>
        <w:pageBreakBefore w:val="0"/>
        <w:kinsoku/>
        <w:overflowPunct/>
        <w:topLinePunct w:val="0"/>
        <w:bidi w:val="0"/>
        <w:spacing w:line="336"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cs="宋体"/>
          <w:color w:val="auto"/>
          <w:sz w:val="24"/>
          <w:szCs w:val="24"/>
          <w:highlight w:val="none"/>
          <w:lang w:eastAsia="zh-CN"/>
        </w:rPr>
        <w:t>采购人</w:t>
      </w:r>
      <w:r>
        <w:rPr>
          <w:rFonts w:hint="eastAsia" w:ascii="宋体" w:hAnsi="宋体" w:eastAsia="宋体" w:cs="宋体"/>
          <w:color w:val="auto"/>
          <w:sz w:val="24"/>
          <w:szCs w:val="24"/>
          <w:highlight w:val="none"/>
        </w:rPr>
        <w:t>和</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通过招投标形式签订合同的，双方理解并承诺不再就同一工程另行签订与合同实质性内容相背离的协议。</w:t>
      </w:r>
    </w:p>
    <w:p w14:paraId="2A68D854">
      <w:pPr>
        <w:pageBreakBefore w:val="0"/>
        <w:kinsoku/>
        <w:overflowPunct/>
        <w:topLinePunct w:val="0"/>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、合同文件构成</w:t>
      </w:r>
    </w:p>
    <w:p w14:paraId="3EC45632">
      <w:pPr>
        <w:pageBreakBefore w:val="0"/>
        <w:kinsoku/>
        <w:overflowPunct/>
        <w:topLinePunct w:val="0"/>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（1）成交通知书；（2）报价函和</w:t>
      </w:r>
      <w:r>
        <w:rPr>
          <w:rFonts w:hint="eastAsia" w:cs="宋体"/>
          <w:color w:val="auto"/>
          <w:sz w:val="24"/>
          <w:szCs w:val="24"/>
          <w:highlight w:val="none"/>
          <w:lang w:eastAsia="zh-CN"/>
        </w:rPr>
        <w:t>明细报价表（工程量清单）</w:t>
      </w:r>
      <w:r>
        <w:rPr>
          <w:rFonts w:hint="eastAsia" w:ascii="宋体" w:hAnsi="宋体" w:eastAsia="宋体" w:cs="宋体"/>
          <w:color w:val="auto"/>
          <w:sz w:val="24"/>
          <w:szCs w:val="24"/>
          <w:highlight w:val="none"/>
        </w:rPr>
        <w:t>；（3）技术标准和要求；（4）施工图纸；（5）重庆工程建设廉政合同；（6）按期支付农民工工资承诺书；（7）质量安全承诺书（8）其他合同文件（含本采购文件）。</w:t>
      </w:r>
    </w:p>
    <w:p w14:paraId="6BEB0C4A">
      <w:pPr>
        <w:pageBreakBefore w:val="0"/>
        <w:kinsoku/>
        <w:overflowPunct/>
        <w:topLinePunct w:val="0"/>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14:paraId="06A3D2F7">
      <w:pPr>
        <w:pageBreakBefore w:val="0"/>
        <w:kinsoku/>
        <w:overflowPunct/>
        <w:topLinePunct w:val="0"/>
        <w:bidi w:val="0"/>
        <w:spacing w:line="336" w:lineRule="auto"/>
        <w:ind w:firstLine="480" w:firstLineChars="200"/>
        <w:textAlignment w:val="auto"/>
        <w:rPr>
          <w:rFonts w:hint="eastAsia" w:ascii="宋体" w:hAnsi="宋体" w:eastAsia="宋体" w:cs="宋体"/>
          <w:color w:val="auto"/>
          <w:sz w:val="24"/>
          <w:szCs w:val="24"/>
          <w:highlight w:val="none"/>
        </w:rPr>
      </w:pPr>
      <w:bookmarkStart w:id="194" w:name="_Toc351203489"/>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w:t>
      </w:r>
      <w:bookmarkEnd w:id="194"/>
      <w:bookmarkStart w:id="195" w:name="_Toc351203491"/>
      <w:r>
        <w:rPr>
          <w:rFonts w:hint="eastAsia" w:ascii="宋体" w:hAnsi="宋体" w:eastAsia="宋体" w:cs="宋体"/>
          <w:color w:val="auto"/>
          <w:sz w:val="24"/>
          <w:szCs w:val="24"/>
          <w:highlight w:val="none"/>
        </w:rPr>
        <w:t>补充协议</w:t>
      </w:r>
      <w:bookmarkEnd w:id="195"/>
    </w:p>
    <w:p w14:paraId="093B864E">
      <w:pPr>
        <w:pageBreakBefore w:val="0"/>
        <w:kinsoku/>
        <w:overflowPunct/>
        <w:topLinePunct w:val="0"/>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合同未尽事宜，合同当事人另行签订补充协议，补充协议是合同的组成部分。</w:t>
      </w:r>
    </w:p>
    <w:p w14:paraId="32B584FE">
      <w:pPr>
        <w:pageBreakBefore w:val="0"/>
        <w:kinsoku/>
        <w:overflowPunct/>
        <w:topLinePunct w:val="0"/>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本合同在执行过程中发生争议的，双方应当协商解决，协商不成的，双方均可向有管辖权的人民法院提起诉讼。除争议事项外，其余条款双方仍应按合同约定继续履行。</w:t>
      </w:r>
    </w:p>
    <w:p w14:paraId="3050A763">
      <w:pPr>
        <w:pageBreakBefore w:val="0"/>
        <w:kinsoku/>
        <w:overflowPunct/>
        <w:topLinePunct w:val="0"/>
        <w:bidi w:val="0"/>
        <w:spacing w:line="336" w:lineRule="auto"/>
        <w:ind w:firstLine="480" w:firstLineChars="200"/>
        <w:textAlignment w:val="auto"/>
        <w:rPr>
          <w:rFonts w:hint="eastAsia" w:ascii="宋体" w:hAnsi="宋体" w:eastAsia="宋体" w:cs="宋体"/>
          <w:color w:val="auto"/>
          <w:sz w:val="24"/>
          <w:szCs w:val="24"/>
          <w:highlight w:val="none"/>
        </w:rPr>
      </w:pPr>
      <w:bookmarkStart w:id="196" w:name="_Toc351203492"/>
      <w:r>
        <w:rPr>
          <w:rFonts w:hint="eastAsia" w:ascii="宋体" w:hAnsi="宋体" w:eastAsia="宋体" w:cs="宋体"/>
          <w:color w:val="auto"/>
          <w:sz w:val="24"/>
          <w:szCs w:val="24"/>
          <w:highlight w:val="none"/>
        </w:rPr>
        <w:t>二十</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、合同生效</w:t>
      </w:r>
      <w:bookmarkEnd w:id="196"/>
    </w:p>
    <w:p w14:paraId="0E8FF96C">
      <w:pPr>
        <w:pageBreakBefore w:val="0"/>
        <w:kinsoku/>
        <w:overflowPunct/>
        <w:topLinePunct w:val="0"/>
        <w:bidi w:val="0"/>
        <w:spacing w:line="336"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本合同自双方签字盖章后生效。</w:t>
      </w:r>
    </w:p>
    <w:p w14:paraId="66FE343C">
      <w:pPr>
        <w:pageBreakBefore w:val="0"/>
        <w:kinsoku/>
        <w:overflowPunct/>
        <w:topLinePunct w:val="0"/>
        <w:bidi w:val="0"/>
        <w:spacing w:line="336" w:lineRule="auto"/>
        <w:ind w:firstLine="480" w:firstLineChars="200"/>
        <w:textAlignment w:val="auto"/>
        <w:rPr>
          <w:rFonts w:hint="eastAsia" w:ascii="宋体" w:hAnsi="宋体" w:eastAsia="宋体" w:cs="宋体"/>
          <w:color w:val="auto"/>
          <w:sz w:val="24"/>
          <w:szCs w:val="24"/>
          <w:highlight w:val="none"/>
        </w:rPr>
      </w:pPr>
      <w:bookmarkStart w:id="197" w:name="_Toc351203493"/>
      <w:r>
        <w:rPr>
          <w:rFonts w:hint="eastAsia" w:ascii="宋体" w:hAnsi="宋体" w:eastAsia="宋体" w:cs="宋体"/>
          <w:color w:val="auto"/>
          <w:sz w:val="24"/>
          <w:szCs w:val="24"/>
          <w:highlight w:val="none"/>
        </w:rPr>
        <w:t>二十</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、合同份数</w:t>
      </w:r>
      <w:bookmarkEnd w:id="197"/>
    </w:p>
    <w:p w14:paraId="206778C1">
      <w:pPr>
        <w:pageBreakBefore w:val="0"/>
        <w:kinsoku/>
        <w:overflowPunct/>
        <w:topLinePunct w:val="0"/>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lang w:val="en-US" w:eastAsia="zh-CN"/>
        </w:rPr>
        <w:t>陆</w:t>
      </w:r>
      <w:r>
        <w:rPr>
          <w:rFonts w:hint="eastAsia" w:ascii="宋体" w:hAnsi="宋体" w:eastAsia="宋体" w:cs="宋体"/>
          <w:color w:val="auto"/>
          <w:sz w:val="24"/>
          <w:szCs w:val="24"/>
          <w:highlight w:val="none"/>
        </w:rPr>
        <w:t>份，均具有同等法律效力，</w:t>
      </w:r>
      <w:r>
        <w:rPr>
          <w:rFonts w:hint="eastAsia" w:cs="宋体"/>
          <w:color w:val="auto"/>
          <w:sz w:val="24"/>
          <w:szCs w:val="24"/>
          <w:highlight w:val="none"/>
          <w:lang w:eastAsia="zh-CN"/>
        </w:rPr>
        <w:t>采购人</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lang w:val="en-US" w:eastAsia="zh-CN"/>
        </w:rPr>
        <w:t>叁</w:t>
      </w:r>
      <w:r>
        <w:rPr>
          <w:rFonts w:hint="eastAsia" w:ascii="宋体" w:hAnsi="宋体" w:eastAsia="宋体" w:cs="宋体"/>
          <w:color w:val="auto"/>
          <w:sz w:val="24"/>
          <w:szCs w:val="24"/>
          <w:highlight w:val="none"/>
        </w:rPr>
        <w:t>份，</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lang w:val="en-US" w:eastAsia="zh-CN"/>
        </w:rPr>
        <w:t>叁</w:t>
      </w:r>
      <w:r>
        <w:rPr>
          <w:rFonts w:hint="eastAsia" w:ascii="宋体" w:hAnsi="宋体" w:eastAsia="宋体" w:cs="宋体"/>
          <w:color w:val="auto"/>
          <w:sz w:val="24"/>
          <w:szCs w:val="24"/>
          <w:highlight w:val="none"/>
        </w:rPr>
        <w:t>份。</w:t>
      </w:r>
    </w:p>
    <w:p w14:paraId="0943E87F">
      <w:pPr>
        <w:pageBreakBefore w:val="0"/>
        <w:kinsoku/>
        <w:overflowPunct/>
        <w:topLinePunct w:val="0"/>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采购人</w:t>
      </w:r>
      <w:r>
        <w:rPr>
          <w:rFonts w:hint="eastAsia" w:ascii="宋体" w:hAnsi="宋体" w:eastAsia="宋体" w:cs="宋体"/>
          <w:color w:val="auto"/>
          <w:sz w:val="24"/>
          <w:szCs w:val="24"/>
          <w:highlight w:val="none"/>
        </w:rPr>
        <w:t xml:space="preserve">：  (公章)                 </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  (公章)</w:t>
      </w:r>
    </w:p>
    <w:p w14:paraId="49BBCE7D">
      <w:pPr>
        <w:pageBreakBefore w:val="0"/>
        <w:kinsoku/>
        <w:overflowPunct/>
        <w:topLinePunct w:val="0"/>
        <w:bidi w:val="0"/>
        <w:spacing w:line="336"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27ACBA7">
      <w:pPr>
        <w:pageBreakBefore w:val="0"/>
        <w:kinsoku/>
        <w:overflowPunct/>
        <w:topLinePunct w:val="0"/>
        <w:bidi w:val="0"/>
        <w:spacing w:line="336" w:lineRule="auto"/>
        <w:ind w:firstLine="240" w:firstLineChars="100"/>
        <w:textAlignment w:val="auto"/>
        <w:rPr>
          <w:rFonts w:hint="eastAsia" w:ascii="宋体" w:hAnsi="宋体" w:eastAsia="宋体" w:cs="宋体"/>
          <w:color w:val="auto"/>
          <w:sz w:val="24"/>
          <w:szCs w:val="24"/>
          <w:highlight w:val="none"/>
        </w:rPr>
      </w:pPr>
    </w:p>
    <w:p w14:paraId="1A6C660E">
      <w:pPr>
        <w:pageBreakBefore w:val="0"/>
        <w:kinsoku/>
        <w:overflowPunct/>
        <w:topLinePunct w:val="0"/>
        <w:bidi w:val="0"/>
        <w:spacing w:line="336"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26FCAF2">
      <w:pPr>
        <w:pageBreakBefore w:val="0"/>
        <w:kinsoku/>
        <w:overflowPunct/>
        <w:topLinePunct w:val="0"/>
        <w:bidi w:val="0"/>
        <w:spacing w:line="336"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14:paraId="04F051D4">
      <w:pPr>
        <w:pageBreakBefore w:val="0"/>
        <w:kinsoku/>
        <w:overflowPunct/>
        <w:topLinePunct w:val="0"/>
        <w:bidi w:val="0"/>
        <w:spacing w:line="336"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48EE36C3">
      <w:pPr>
        <w:pageBreakBefore w:val="0"/>
        <w:kinsoku/>
        <w:overflowPunct/>
        <w:topLinePunct w:val="0"/>
        <w:bidi w:val="0"/>
        <w:spacing w:line="336"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社会信用代码：                   社会信用代码：      </w:t>
      </w:r>
    </w:p>
    <w:p w14:paraId="5FC52E46">
      <w:pPr>
        <w:pageBreakBefore w:val="0"/>
        <w:kinsoku/>
        <w:overflowPunct/>
        <w:topLinePunct w:val="0"/>
        <w:bidi w:val="0"/>
        <w:spacing w:line="336"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地  址：     </w:t>
      </w:r>
    </w:p>
    <w:p w14:paraId="45DF0F6C">
      <w:pPr>
        <w:pageBreakBefore w:val="0"/>
        <w:kinsoku/>
        <w:overflowPunct/>
        <w:topLinePunct w:val="0"/>
        <w:bidi w:val="0"/>
        <w:spacing w:line="336"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邮政编码：                       邮政编码：   </w:t>
      </w:r>
    </w:p>
    <w:p w14:paraId="25713044">
      <w:pPr>
        <w:pageBreakBefore w:val="0"/>
        <w:kinsoku/>
        <w:overflowPunct/>
        <w:topLinePunct w:val="0"/>
        <w:bidi w:val="0"/>
        <w:spacing w:line="336"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法定代表人：     </w:t>
      </w:r>
    </w:p>
    <w:p w14:paraId="35929390">
      <w:pPr>
        <w:pageBreakBefore w:val="0"/>
        <w:kinsoku/>
        <w:overflowPunct/>
        <w:topLinePunct w:val="0"/>
        <w:bidi w:val="0"/>
        <w:spacing w:line="336"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                     委托代理人：            </w:t>
      </w:r>
    </w:p>
    <w:p w14:paraId="65D5C9C5">
      <w:pPr>
        <w:pageBreakBefore w:val="0"/>
        <w:kinsoku/>
        <w:overflowPunct/>
        <w:topLinePunct w:val="0"/>
        <w:bidi w:val="0"/>
        <w:spacing w:line="336"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电  话：    </w:t>
      </w:r>
    </w:p>
    <w:p w14:paraId="02923469">
      <w:pPr>
        <w:pageBreakBefore w:val="0"/>
        <w:kinsoku/>
        <w:overflowPunct/>
        <w:topLinePunct w:val="0"/>
        <w:bidi w:val="0"/>
        <w:spacing w:line="336"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传  真：  </w:t>
      </w:r>
    </w:p>
    <w:p w14:paraId="5C52BC14">
      <w:pPr>
        <w:pageBreakBefore w:val="0"/>
        <w:kinsoku/>
        <w:overflowPunct/>
        <w:topLinePunct w:val="0"/>
        <w:bidi w:val="0"/>
        <w:spacing w:line="336"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电子信箱：                       电子信箱： </w:t>
      </w:r>
    </w:p>
    <w:p w14:paraId="1FB1FE50">
      <w:pPr>
        <w:pageBreakBefore w:val="0"/>
        <w:kinsoku/>
        <w:overflowPunct/>
        <w:topLinePunct w:val="0"/>
        <w:bidi w:val="0"/>
        <w:spacing w:line="336"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14:paraId="73426EFA">
      <w:pPr>
        <w:pageBreakBefore w:val="0"/>
        <w:kinsoku/>
        <w:overflowPunct/>
        <w:topLinePunct w:val="0"/>
        <w:bidi w:val="0"/>
        <w:spacing w:line="336"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账  号：                         账  号：  </w:t>
      </w:r>
    </w:p>
    <w:p w14:paraId="7FA5C334">
      <w:pPr>
        <w:pageBreakBefore w:val="0"/>
        <w:kinsoku/>
        <w:overflowPunct/>
        <w:topLinePunct w:val="0"/>
        <w:bidi w:val="0"/>
        <w:spacing w:line="336" w:lineRule="auto"/>
        <w:ind w:firstLine="240" w:firstLineChars="100"/>
        <w:textAlignment w:val="auto"/>
        <w:rPr>
          <w:rFonts w:hint="eastAsia" w:ascii="宋体" w:hAnsi="宋体" w:eastAsia="宋体" w:cs="宋体"/>
          <w:color w:val="auto"/>
          <w:sz w:val="24"/>
          <w:szCs w:val="24"/>
          <w:highlight w:val="none"/>
        </w:rPr>
      </w:pPr>
    </w:p>
    <w:p w14:paraId="1BF291D1">
      <w:pPr>
        <w:pageBreakBefore w:val="0"/>
        <w:kinsoku/>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sz w:val="24"/>
          <w:szCs w:val="24"/>
          <w:highlight w:val="none"/>
        </w:rPr>
        <w:t>廉政合同</w:t>
      </w:r>
    </w:p>
    <w:p w14:paraId="596E5DE6">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p>
    <w:p w14:paraId="032C5B07">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w:t>
      </w:r>
    </w:p>
    <w:p w14:paraId="0BA74118">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项目地址：                             </w:t>
      </w:r>
    </w:p>
    <w:p w14:paraId="0B0F95A3">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cs="宋体"/>
          <w:sz w:val="24"/>
          <w:szCs w:val="24"/>
          <w:highlight w:val="none"/>
          <w:lang w:eastAsia="zh-CN"/>
        </w:rPr>
        <w:t>采购人</w:t>
      </w:r>
      <w:r>
        <w:rPr>
          <w:rFonts w:hint="eastAsia" w:ascii="宋体" w:hAnsi="宋体" w:eastAsia="宋体" w:cs="宋体"/>
          <w:sz w:val="24"/>
          <w:szCs w:val="24"/>
          <w:highlight w:val="none"/>
        </w:rPr>
        <w:t xml:space="preserve">（甲方）：                         </w:t>
      </w:r>
    </w:p>
    <w:p w14:paraId="7D3FA6B0">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cs="宋体"/>
          <w:sz w:val="24"/>
          <w:szCs w:val="24"/>
          <w:highlight w:val="none"/>
          <w:lang w:eastAsia="zh-CN"/>
        </w:rPr>
        <w:t>供应商</w:t>
      </w:r>
      <w:r>
        <w:rPr>
          <w:rFonts w:hint="eastAsia" w:ascii="宋体" w:hAnsi="宋体" w:eastAsia="宋体" w:cs="宋体"/>
          <w:sz w:val="24"/>
          <w:szCs w:val="24"/>
          <w:highlight w:val="none"/>
        </w:rPr>
        <w:t xml:space="preserve">（乙方）：                           </w:t>
      </w:r>
    </w:p>
    <w:p w14:paraId="7AB2955E">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34DF7953">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第一条 甲乙双方的责任</w:t>
      </w:r>
    </w:p>
    <w:p w14:paraId="573E48B5">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（一）应严格遵守国家关于市场准入、项目招标投标、工程建设、施工安装和市场活动等有关法律、法规，相关政策，以及廉政建设的各项规定。</w:t>
      </w:r>
    </w:p>
    <w:p w14:paraId="5B8449E5">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（二）严格执行建设工程项目承发包合同文件，自觉按合同办事。</w:t>
      </w:r>
    </w:p>
    <w:p w14:paraId="78DB1FDF">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（三）业务活动必须坚持公开、公平、公正、诚信、透明的原则（除法律法规另有规定者外），不得为获取不正当的利益，损害国家、集体和对方利益，不得违反工程建设管理、施工安装的规章制度。</w:t>
      </w:r>
    </w:p>
    <w:p w14:paraId="6BACC02B">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（四）发现对方在业务活动中有违规、违纪、违法行为的，应及时提醒对方，情节严重的，应向其上级主管部门或纪检监察、司法等有关机关举报。</w:t>
      </w:r>
    </w:p>
    <w:p w14:paraId="2FCBBFD4">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第二条 甲方的责任</w:t>
      </w:r>
    </w:p>
    <w:p w14:paraId="1BA760C2">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甲方的领导和从事该建设工程项目的工作人员，在工程建设的事前、事中、事后应遵守以下规定：</w:t>
      </w:r>
    </w:p>
    <w:p w14:paraId="42E15F3D">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（一）不准向乙方和相关单位索要或接受回扣、礼金、有价证券、贵重物品和好处费、感谢费等。</w:t>
      </w:r>
    </w:p>
    <w:p w14:paraId="11E285CF">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（二）不准在乙方和相关单位报销任何应由甲方或个人支付的费用。</w:t>
      </w:r>
    </w:p>
    <w:p w14:paraId="3F1654B5">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（三）不准要求、暗示或接受乙方和相关单位为个人装修住房、婚丧嫁娶、配偶子女的工作安排以及出国（境）、旅游等提供方便。</w:t>
      </w:r>
    </w:p>
    <w:p w14:paraId="2425F27F">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（四）不准参加有可能影响公正执行公务的乙方和相关单位的宴请和健身、娱乐等活动。</w:t>
      </w:r>
    </w:p>
    <w:p w14:paraId="39FAD4FF">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D97E66B">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第三条 乙方的责任</w:t>
      </w:r>
    </w:p>
    <w:p w14:paraId="72921517">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应与甲方保持正常的业务交往，按照有关法律法规和程序开展业务工作，严格执行工程建设的有关方针、政策，尤其是有关建筑施工安装的强制性标准和规范，并遵守以下规定：</w:t>
      </w:r>
    </w:p>
    <w:p w14:paraId="1998835F">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（一）不准以任何理由向甲方、相关单位及其工作人员索要、接受或赠送礼金、有价证券、贵重物品和回扣、好处费、感谢费等。</w:t>
      </w:r>
    </w:p>
    <w:p w14:paraId="5DB3465D">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（二）不准以任何理由为甲方和相关单位报销应由对方或个人支付的费用。</w:t>
      </w:r>
    </w:p>
    <w:p w14:paraId="7C6FD37D">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（三）不准接受或暗示为甲方、相关单位或个人装修住房、婚丧嫁娶、配偶子女的工作安排以及出国（境）、旅游等提供方便。</w:t>
      </w:r>
    </w:p>
    <w:p w14:paraId="3A77ADA4">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（四）不准以任何理由为甲方、相关单位或个人组织有可能影响公正执行公务的宴请、健身、娱乐等活动。</w:t>
      </w:r>
    </w:p>
    <w:p w14:paraId="68961375">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第四条 违约责任</w:t>
      </w:r>
    </w:p>
    <w:p w14:paraId="328D1305">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甲方工作人员有违反本责任书第一、二条责任行为的，按照管理权限，依据有关法律法规和规定给予党纪、政纪处分或组织处理；涉嫌犯罪，移交司法机关追究刑事责任；给乙方单位造成经济损失的，应予以赔偿。</w:t>
      </w:r>
    </w:p>
    <w:p w14:paraId="17C2045C">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4FA8853F">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第五条 本责任书作为工程施工合同的附件，与工程施工合同具有同等法律效力。经双方签署后立即生效。</w:t>
      </w:r>
    </w:p>
    <w:p w14:paraId="7B480988">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第六条 本责任书的有效期为双方签署之日起至该工程项目竣工验收合格时止。</w:t>
      </w:r>
    </w:p>
    <w:p w14:paraId="330BCFA6">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第七条 本责任书一式四份，由甲乙双方各执二份。</w:t>
      </w:r>
    </w:p>
    <w:p w14:paraId="5A6BF991">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甲方单位：（盖章）       乙方单位：（盖章）</w:t>
      </w:r>
    </w:p>
    <w:p w14:paraId="0AB7DF25">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法定代表人：</w:t>
      </w:r>
    </w:p>
    <w:p w14:paraId="71CC1FA9">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                    地址：</w:t>
      </w:r>
    </w:p>
    <w:p w14:paraId="479DA7D9">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                    电话：</w:t>
      </w:r>
    </w:p>
    <w:p w14:paraId="3C3111E0">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                   年  月  日</w:t>
      </w:r>
    </w:p>
    <w:p w14:paraId="6003A73C">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sectPr>
          <w:pgSz w:w="11907" w:h="16840"/>
          <w:pgMar w:top="1440" w:right="1080" w:bottom="1440" w:left="1080" w:header="737" w:footer="737" w:gutter="0"/>
          <w:lnNumType w:countBy="0" w:distance="360"/>
          <w:pgNumType w:fmt="numberInDash"/>
          <w:cols w:space="720" w:num="1"/>
        </w:sectPr>
      </w:pPr>
    </w:p>
    <w:p w14:paraId="2BBEB953">
      <w:pPr>
        <w:pageBreakBefore w:val="0"/>
        <w:kinsoku/>
        <w:overflowPunct/>
        <w:topLinePunct w:val="0"/>
        <w:bidi w:val="0"/>
        <w:spacing w:line="336" w:lineRule="auto"/>
        <w:ind w:firstLine="2880" w:firstLineChars="1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按期支付农民工工资承诺书</w:t>
      </w:r>
    </w:p>
    <w:p w14:paraId="6DF98539">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p>
    <w:p w14:paraId="61CCFD6A">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按照《劳动法》相关规定，我公司就支付农民工工资问题承诺如下：</w:t>
      </w:r>
    </w:p>
    <w:p w14:paraId="6545CC37">
      <w:pPr>
        <w:pageBreakBefore w:val="0"/>
        <w:kinsoku/>
        <w:overflowPunct/>
        <w:topLinePunct w:val="0"/>
        <w:bidi w:val="0"/>
        <w:spacing w:line="336"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1.承诺不拖欠农民工工资，并不能以支付农民工工资名义向</w:t>
      </w:r>
      <w:r>
        <w:rPr>
          <w:rFonts w:hint="eastAsia" w:cs="宋体"/>
          <w:sz w:val="24"/>
          <w:szCs w:val="24"/>
          <w:highlight w:val="none"/>
          <w:lang w:eastAsia="zh-CN"/>
        </w:rPr>
        <w:t>采购人</w:t>
      </w:r>
      <w:r>
        <w:rPr>
          <w:rFonts w:hint="eastAsia" w:ascii="宋体" w:hAnsi="宋体" w:eastAsia="宋体" w:cs="宋体"/>
          <w:sz w:val="24"/>
          <w:szCs w:val="24"/>
          <w:highlight w:val="none"/>
        </w:rPr>
        <w:t>要求超合同付款，并承担</w:t>
      </w:r>
      <w:r>
        <w:rPr>
          <w:rFonts w:hint="eastAsia" w:cs="宋体"/>
          <w:sz w:val="24"/>
          <w:szCs w:val="24"/>
          <w:highlight w:val="none"/>
          <w:lang w:eastAsia="zh-CN"/>
        </w:rPr>
        <w:t>采购人</w:t>
      </w:r>
      <w:r>
        <w:rPr>
          <w:rFonts w:hint="eastAsia" w:ascii="宋体" w:hAnsi="宋体" w:eastAsia="宋体" w:cs="宋体"/>
          <w:sz w:val="24"/>
          <w:szCs w:val="24"/>
          <w:highlight w:val="none"/>
        </w:rPr>
        <w:t>的相关处分规定。</w:t>
      </w:r>
    </w:p>
    <w:p w14:paraId="09D35DC4">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2.如果发生违反规定拖欠或克扣民工工资行为，造成民工上访，及其它突发事件或公共事件，我单位愿意接受</w:t>
      </w:r>
      <w:r>
        <w:rPr>
          <w:rFonts w:hint="eastAsia" w:cs="宋体"/>
          <w:sz w:val="24"/>
          <w:szCs w:val="24"/>
          <w:highlight w:val="none"/>
          <w:lang w:eastAsia="zh-CN"/>
        </w:rPr>
        <w:t>采购人</w:t>
      </w:r>
      <w:r>
        <w:rPr>
          <w:rFonts w:hint="eastAsia" w:ascii="宋体" w:hAnsi="宋体" w:eastAsia="宋体" w:cs="宋体"/>
          <w:sz w:val="24"/>
          <w:szCs w:val="24"/>
          <w:highlight w:val="none"/>
        </w:rPr>
        <w:t>的处罚，同时愿意接受建设行政主管部门依照有关规定作出的其它处罚决定。</w:t>
      </w:r>
    </w:p>
    <w:p w14:paraId="18A7E8E1">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w:t>
      </w:r>
      <w:r>
        <w:rPr>
          <w:rFonts w:hint="eastAsia" w:cs="宋体"/>
          <w:sz w:val="24"/>
          <w:szCs w:val="24"/>
          <w:highlight w:val="none"/>
          <w:lang w:eastAsia="zh-CN"/>
        </w:rPr>
        <w:t>采购人</w:t>
      </w:r>
      <w:r>
        <w:rPr>
          <w:rFonts w:hint="eastAsia" w:ascii="宋体" w:hAnsi="宋体" w:eastAsia="宋体" w:cs="宋体"/>
          <w:sz w:val="24"/>
          <w:szCs w:val="24"/>
          <w:highlight w:val="none"/>
        </w:rPr>
        <w:t>有权以任何方式监督我司对劳务人员工资的支付情况，我司如迟延支付或未足额支付劳务人员工资，自觉承担</w:t>
      </w:r>
      <w:r>
        <w:rPr>
          <w:rFonts w:hint="eastAsia" w:cs="宋体"/>
          <w:sz w:val="24"/>
          <w:szCs w:val="24"/>
          <w:highlight w:val="none"/>
          <w:lang w:eastAsia="zh-CN"/>
        </w:rPr>
        <w:t>采购人</w:t>
      </w:r>
      <w:r>
        <w:rPr>
          <w:rFonts w:hint="eastAsia" w:ascii="宋体" w:hAnsi="宋体" w:eastAsia="宋体" w:cs="宋体"/>
          <w:sz w:val="24"/>
          <w:szCs w:val="24"/>
          <w:highlight w:val="none"/>
        </w:rPr>
        <w:t>的相关处分规定。</w:t>
      </w:r>
    </w:p>
    <w:p w14:paraId="5CA75A74">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p>
    <w:p w14:paraId="51AE42E3">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cs="宋体"/>
          <w:sz w:val="24"/>
          <w:szCs w:val="24"/>
          <w:highlight w:val="none"/>
          <w:lang w:eastAsia="zh-CN"/>
        </w:rPr>
        <w:t>供应商</w:t>
      </w:r>
      <w:r>
        <w:rPr>
          <w:rFonts w:hint="eastAsia" w:ascii="宋体" w:hAnsi="宋体" w:eastAsia="宋体" w:cs="宋体"/>
          <w:sz w:val="24"/>
          <w:szCs w:val="24"/>
          <w:highlight w:val="none"/>
        </w:rPr>
        <w:t>（加盖单位公章）：</w:t>
      </w:r>
    </w:p>
    <w:p w14:paraId="26149E00">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企业法人代表或其委托代理人签字（盖章）：</w:t>
      </w:r>
    </w:p>
    <w:p w14:paraId="6B8105B1">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p>
    <w:p w14:paraId="3FB6AD72">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1DA5BBBB">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p>
    <w:p w14:paraId="03C5F1ED">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p>
    <w:p w14:paraId="30B20378">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p>
    <w:p w14:paraId="587D48AD">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p>
    <w:p w14:paraId="718B94BA">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p>
    <w:p w14:paraId="4082FA3A">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p>
    <w:p w14:paraId="66BCC846">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p>
    <w:p w14:paraId="05C24666">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p>
    <w:p w14:paraId="3BD19990">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p>
    <w:p w14:paraId="76EC82E1">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p>
    <w:p w14:paraId="7767A2DD">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sectPr>
          <w:pgSz w:w="11907" w:h="16840"/>
          <w:pgMar w:top="1440" w:right="1080" w:bottom="1440" w:left="1080" w:header="737" w:footer="737" w:gutter="0"/>
          <w:lnNumType w:countBy="0" w:distance="360"/>
          <w:pgNumType w:fmt="numberInDash"/>
          <w:cols w:space="720" w:num="1"/>
        </w:sectPr>
      </w:pPr>
    </w:p>
    <w:p w14:paraId="5D2C5EC5">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p>
    <w:p w14:paraId="1E676533">
      <w:pPr>
        <w:pageBreakBefore w:val="0"/>
        <w:kinsoku/>
        <w:overflowPunct/>
        <w:topLinePunct w:val="0"/>
        <w:bidi w:val="0"/>
        <w:spacing w:line="336" w:lineRule="auto"/>
        <w:ind w:firstLine="3240" w:firstLineChars="13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质量安全承诺书</w:t>
      </w:r>
    </w:p>
    <w:p w14:paraId="0932F4F1">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p>
    <w:p w14:paraId="7536E406">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根据《中华人民共和国建筑法》、《中华人民共和国安全生产法》、《建设工程质量管理条例》、《建设工程安全生产管理条例》等法律、法规，为加强建设质量、安全管理，特签订如下质量安全责任书。</w:t>
      </w:r>
    </w:p>
    <w:p w14:paraId="05033D2E">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1.必须履行《建设工程质量管理制度》《建设工程安全管理制度》具体要求，严格执行有关质量安全管理的法律法规和标准，增强安全防范意识，制定具体的质量安全施工方案。</w:t>
      </w:r>
    </w:p>
    <w:p w14:paraId="0D1A9DD8">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2.自觉接受</w:t>
      </w:r>
      <w:r>
        <w:rPr>
          <w:rFonts w:hint="eastAsia" w:cs="宋体"/>
          <w:sz w:val="24"/>
          <w:szCs w:val="24"/>
          <w:highlight w:val="none"/>
          <w:lang w:eastAsia="zh-CN"/>
        </w:rPr>
        <w:t>采购人</w:t>
      </w:r>
      <w:r>
        <w:rPr>
          <w:rFonts w:hint="eastAsia" w:ascii="宋体" w:hAnsi="宋体" w:eastAsia="宋体" w:cs="宋体"/>
          <w:sz w:val="24"/>
          <w:szCs w:val="24"/>
          <w:highlight w:val="none"/>
        </w:rPr>
        <w:t>、项目监理部门对质量安全生产的教育学习，同时在项目工程开工前，应对项目经理、施工员、质安员、各班组长及施工操作人员进行施工质量安全生产操作规程的教育，经常召开质量安全会议，总结质量安全经验，增强质量安全责任感，并做好记录。</w:t>
      </w:r>
    </w:p>
    <w:p w14:paraId="2E2D05D0">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3.应向各岗位人员签订质量安全责任，落实到每位在岗员工，做到人人重视工程质量和安全。</w:t>
      </w:r>
    </w:p>
    <w:p w14:paraId="5D1067FE">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4.对项目工程的质量安全生产监督检查，检查时若发现项目经理、项目技术负责人、施工员、安全员不在施工现场，给予教育并处以罚款。</w:t>
      </w:r>
    </w:p>
    <w:p w14:paraId="78E31479">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5.严格遵照《十项安全技术措施》，把好安全关。</w:t>
      </w:r>
    </w:p>
    <w:p w14:paraId="73E8E87B">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6.认真履行安全职责和遵守各种施工操作规程及安全生产的《六大纪律》。</w:t>
      </w:r>
    </w:p>
    <w:p w14:paraId="4DF0F963">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7.施工现场必须设置各种安全生产标志牌，切实履行《安全十大禁令》和《施工现场十不准》，为保证施工安全创造必要条件。</w:t>
      </w:r>
    </w:p>
    <w:p w14:paraId="58D67784">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8.保证所建设的工程安全、质量合格。</w:t>
      </w:r>
    </w:p>
    <w:p w14:paraId="6C566E00">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p>
    <w:p w14:paraId="6AE05854">
      <w:pPr>
        <w:pageBreakBefore w:val="0"/>
        <w:kinsoku/>
        <w:overflowPunct/>
        <w:topLinePunct w:val="0"/>
        <w:bidi w:val="0"/>
        <w:spacing w:line="336" w:lineRule="auto"/>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供应商</w:t>
      </w:r>
      <w:r>
        <w:rPr>
          <w:rFonts w:hint="eastAsia" w:ascii="宋体" w:hAnsi="宋体" w:eastAsia="宋体" w:cs="宋体"/>
          <w:sz w:val="24"/>
          <w:szCs w:val="24"/>
          <w:highlight w:val="none"/>
        </w:rPr>
        <w:t>（加盖单位公章）：</w:t>
      </w:r>
    </w:p>
    <w:p w14:paraId="780587F9">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企业法人代表或其委托代理人签字（盖章）：</w:t>
      </w:r>
    </w:p>
    <w:p w14:paraId="42A0B4C6">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3BD8469E">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p>
    <w:p w14:paraId="5A0FFC07">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p>
    <w:p w14:paraId="5D00F8A5">
      <w:pPr>
        <w:pageBreakBefore w:val="0"/>
        <w:kinsoku/>
        <w:overflowPunct/>
        <w:topLinePunct w:val="0"/>
        <w:bidi w:val="0"/>
        <w:spacing w:line="336" w:lineRule="auto"/>
        <w:textAlignment w:val="auto"/>
        <w:rPr>
          <w:rFonts w:hint="eastAsia" w:ascii="宋体" w:hAnsi="宋体" w:eastAsia="宋体" w:cs="宋体"/>
          <w:color w:val="auto"/>
        </w:rPr>
      </w:pPr>
      <w:r>
        <w:rPr>
          <w:rFonts w:hint="eastAsia" w:ascii="宋体" w:hAnsi="宋体" w:eastAsia="宋体" w:cs="宋体"/>
          <w:color w:val="auto"/>
        </w:rPr>
        <w:br w:type="page"/>
      </w:r>
    </w:p>
    <w:bookmarkEnd w:id="55"/>
    <w:bookmarkEnd w:id="56"/>
    <w:bookmarkEnd w:id="74"/>
    <w:bookmarkEnd w:id="75"/>
    <w:bookmarkEnd w:id="76"/>
    <w:p w14:paraId="0D921359">
      <w:pPr>
        <w:pStyle w:val="2"/>
        <w:keepNext/>
        <w:keepLines/>
        <w:pageBreakBefore w:val="0"/>
        <w:widowControl/>
        <w:kinsoku/>
        <w:wordWrap/>
        <w:overflowPunct/>
        <w:topLinePunct w:val="0"/>
        <w:autoSpaceDE/>
        <w:autoSpaceDN/>
        <w:bidi w:val="0"/>
        <w:adjustRightInd/>
        <w:snapToGrid/>
        <w:spacing w:line="336" w:lineRule="auto"/>
        <w:jc w:val="center"/>
        <w:textAlignment w:val="auto"/>
        <w:outlineLvl w:val="0"/>
        <w:rPr>
          <w:rFonts w:hint="eastAsia" w:ascii="宋体" w:hAnsi="宋体" w:eastAsia="宋体" w:cs="宋体"/>
          <w:b w:val="0"/>
          <w:color w:val="auto"/>
        </w:rPr>
      </w:pPr>
      <w:bookmarkStart w:id="198" w:name="_Toc12942"/>
      <w:bookmarkStart w:id="199" w:name="_Toc108545982"/>
      <w:bookmarkStart w:id="200" w:name="_Toc487204796"/>
      <w:bookmarkStart w:id="201" w:name="_Toc20386"/>
      <w:r>
        <w:rPr>
          <w:rFonts w:hint="eastAsia" w:ascii="宋体" w:hAnsi="宋体" w:eastAsia="宋体" w:cs="宋体"/>
          <w:bCs w:val="0"/>
          <w:color w:val="auto"/>
        </w:rPr>
        <w:t>第</w:t>
      </w:r>
      <w:r>
        <w:rPr>
          <w:rFonts w:hint="eastAsia" w:ascii="宋体" w:hAnsi="宋体" w:cs="宋体"/>
          <w:bCs w:val="0"/>
          <w:color w:val="auto"/>
          <w:lang w:val="en-US" w:eastAsia="zh-CN"/>
        </w:rPr>
        <w:t>七</w:t>
      </w:r>
      <w:r>
        <w:rPr>
          <w:rFonts w:hint="eastAsia" w:ascii="宋体" w:hAnsi="宋体" w:eastAsia="宋体" w:cs="宋体"/>
          <w:bCs w:val="0"/>
          <w:color w:val="auto"/>
        </w:rPr>
        <w:t>篇  响应文件格式要求</w:t>
      </w:r>
      <w:bookmarkEnd w:id="198"/>
      <w:bookmarkEnd w:id="199"/>
      <w:bookmarkEnd w:id="200"/>
      <w:bookmarkEnd w:id="201"/>
    </w:p>
    <w:p w14:paraId="360FD4E6">
      <w:pPr>
        <w:pageBreakBefore w:val="0"/>
        <w:kinsoku/>
        <w:overflowPunct/>
        <w:topLinePunct w:val="0"/>
        <w:bidi w:val="0"/>
        <w:spacing w:line="336" w:lineRule="auto"/>
        <w:ind w:firstLine="241" w:firstLineChars="1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一、经济部分</w:t>
      </w:r>
    </w:p>
    <w:p w14:paraId="6F54AF4F">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（一）报价函</w:t>
      </w:r>
    </w:p>
    <w:p w14:paraId="37C4A686">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（二）明细报价表</w:t>
      </w:r>
    </w:p>
    <w:p w14:paraId="64D5F069">
      <w:pPr>
        <w:pageBreakBefore w:val="0"/>
        <w:kinsoku/>
        <w:overflowPunct/>
        <w:topLinePunct w:val="0"/>
        <w:bidi w:val="0"/>
        <w:spacing w:line="336" w:lineRule="auto"/>
        <w:ind w:firstLine="241" w:firstLineChars="1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二、技术部分</w:t>
      </w:r>
    </w:p>
    <w:p w14:paraId="5365C581">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（一）技术方案</w:t>
      </w:r>
    </w:p>
    <w:p w14:paraId="5D7F7352">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（二）技术响应偏离表</w:t>
      </w:r>
    </w:p>
    <w:p w14:paraId="544F8C08">
      <w:pPr>
        <w:pageBreakBefore w:val="0"/>
        <w:kinsoku/>
        <w:overflowPunct/>
        <w:topLinePunct w:val="0"/>
        <w:bidi w:val="0"/>
        <w:spacing w:line="336" w:lineRule="auto"/>
        <w:ind w:firstLine="241" w:firstLineChars="1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三、商务部分</w:t>
      </w:r>
    </w:p>
    <w:p w14:paraId="4E8CA565">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（一）商务响应偏离表</w:t>
      </w:r>
    </w:p>
    <w:p w14:paraId="198028B3">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（二）其它优惠承诺</w:t>
      </w:r>
    </w:p>
    <w:p w14:paraId="71AFD6AC">
      <w:pPr>
        <w:pageBreakBefore w:val="0"/>
        <w:kinsoku/>
        <w:overflowPunct/>
        <w:topLinePunct w:val="0"/>
        <w:bidi w:val="0"/>
        <w:spacing w:line="336" w:lineRule="auto"/>
        <w:ind w:firstLine="241" w:firstLineChars="1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四、资格条件及其他</w:t>
      </w:r>
    </w:p>
    <w:p w14:paraId="0D751348">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（一）营业执照（副本）或事业单位法人证书（副本）复印件或个体工商户营业执照</w:t>
      </w:r>
    </w:p>
    <w:p w14:paraId="30238BAC">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（二）法定代表人身份证明书</w:t>
      </w:r>
    </w:p>
    <w:p w14:paraId="0439C25B">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（三）法定代表人授权委托书</w:t>
      </w:r>
    </w:p>
    <w:p w14:paraId="6BD733AA">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（四）基本资格条件承诺函</w:t>
      </w:r>
    </w:p>
    <w:p w14:paraId="4F76604D">
      <w:pPr>
        <w:pageBreakBefore w:val="0"/>
        <w:kinsoku/>
        <w:overflowPunct/>
        <w:topLinePunct w:val="0"/>
        <w:bidi w:val="0"/>
        <w:spacing w:line="336" w:lineRule="auto"/>
        <w:ind w:firstLine="241" w:firstLineChars="1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五、其他应提供的资料</w:t>
      </w:r>
    </w:p>
    <w:p w14:paraId="2DF2A4B7">
      <w:pPr>
        <w:pageBreakBefore w:val="0"/>
        <w:kinsoku/>
        <w:overflowPunct/>
        <w:topLinePunct w:val="0"/>
        <w:bidi w:val="0"/>
        <w:spacing w:line="336" w:lineRule="auto"/>
        <w:ind w:firstLine="240" w:firstLineChars="100"/>
        <w:textAlignment w:val="auto"/>
        <w:rPr>
          <w:rFonts w:hint="eastAsia" w:ascii="宋体" w:hAnsi="宋体" w:eastAsia="宋体" w:cs="宋体"/>
          <w:sz w:val="24"/>
          <w:szCs w:val="24"/>
          <w:highlight w:val="none"/>
        </w:rPr>
        <w:sectPr>
          <w:headerReference r:id="rId15" w:type="default"/>
          <w:footerReference r:id="rId16" w:type="default"/>
          <w:pgSz w:w="11907" w:h="16840"/>
          <w:pgMar w:top="1440" w:right="1080" w:bottom="1440" w:left="1080" w:header="454" w:footer="567" w:gutter="0"/>
          <w:pgNumType w:fmt="numberInDash"/>
          <w:cols w:space="720" w:num="1"/>
          <w:docGrid w:linePitch="381" w:charSpace="0"/>
        </w:sectPr>
      </w:pPr>
      <w:r>
        <w:rPr>
          <w:rFonts w:hint="eastAsia" w:ascii="宋体" w:hAnsi="宋体" w:eastAsia="宋体" w:cs="宋体"/>
          <w:sz w:val="24"/>
          <w:szCs w:val="24"/>
          <w:highlight w:val="none"/>
        </w:rPr>
        <w:t>（一）其他与项目有关的资料</w:t>
      </w:r>
    </w:p>
    <w:p w14:paraId="784FAF34">
      <w:pPr>
        <w:pStyle w:val="3"/>
        <w:keepNext/>
        <w:keepLines/>
        <w:pageBreakBefore w:val="0"/>
        <w:widowControl/>
        <w:kinsoku/>
        <w:wordWrap/>
        <w:overflowPunct/>
        <w:topLinePunct w:val="0"/>
        <w:autoSpaceDE/>
        <w:autoSpaceDN/>
        <w:bidi w:val="0"/>
        <w:adjustRightInd/>
        <w:snapToGrid/>
        <w:spacing w:before="0" w:after="0" w:line="336" w:lineRule="auto"/>
        <w:textAlignment w:val="auto"/>
        <w:outlineLvl w:val="1"/>
        <w:rPr>
          <w:rFonts w:hint="eastAsia" w:ascii="宋体" w:hAnsi="宋体" w:eastAsia="宋体" w:cs="宋体"/>
          <w:color w:val="auto"/>
          <w:sz w:val="24"/>
          <w:szCs w:val="24"/>
        </w:rPr>
      </w:pPr>
      <w:bookmarkStart w:id="202" w:name="_Toc486608277"/>
      <w:bookmarkStart w:id="203" w:name="_Toc14854"/>
      <w:bookmarkStart w:id="204" w:name="_Toc487204797"/>
      <w:bookmarkStart w:id="205" w:name="_Toc21927"/>
      <w:bookmarkStart w:id="206" w:name="_Toc486585240"/>
      <w:bookmarkStart w:id="207" w:name="_Toc108545983"/>
      <w:r>
        <w:rPr>
          <w:rFonts w:hint="eastAsia" w:ascii="宋体" w:hAnsi="宋体" w:eastAsia="宋体" w:cs="宋体"/>
          <w:color w:val="auto"/>
          <w:sz w:val="24"/>
          <w:szCs w:val="24"/>
        </w:rPr>
        <w:t>一、经济部分</w:t>
      </w:r>
      <w:bookmarkEnd w:id="202"/>
      <w:bookmarkEnd w:id="203"/>
      <w:bookmarkEnd w:id="204"/>
      <w:bookmarkEnd w:id="205"/>
      <w:bookmarkEnd w:id="206"/>
      <w:bookmarkEnd w:id="207"/>
    </w:p>
    <w:p w14:paraId="6D09F211">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（一）报价函</w:t>
      </w:r>
    </w:p>
    <w:p w14:paraId="7624213B">
      <w:pPr>
        <w:pageBreakBefore w:val="0"/>
        <w:tabs>
          <w:tab w:val="left" w:pos="6300"/>
        </w:tabs>
        <w:kinsoku/>
        <w:overflowPunct/>
        <w:topLinePunct w:val="0"/>
        <w:bidi w:val="0"/>
        <w:snapToGrid w:val="0"/>
        <w:spacing w:line="336" w:lineRule="auto"/>
        <w:ind w:firstLine="480" w:firstLineChars="200"/>
        <w:jc w:val="center"/>
        <w:textAlignment w:val="auto"/>
        <w:rPr>
          <w:rFonts w:hint="eastAsia" w:ascii="宋体" w:hAnsi="宋体" w:eastAsia="宋体" w:cs="宋体"/>
          <w:color w:val="auto"/>
        </w:rPr>
      </w:pPr>
      <w:r>
        <w:rPr>
          <w:rFonts w:hint="eastAsia" w:ascii="宋体" w:hAnsi="宋体" w:eastAsia="宋体" w:cs="宋体"/>
          <w:color w:val="auto"/>
        </w:rPr>
        <w:t>报价函</w:t>
      </w:r>
    </w:p>
    <w:p w14:paraId="0F79C90E">
      <w:pPr>
        <w:pageBreakBefore w:val="0"/>
        <w:tabs>
          <w:tab w:val="left" w:pos="6300"/>
        </w:tabs>
        <w:kinsoku/>
        <w:overflowPunct/>
        <w:topLinePunct w:val="0"/>
        <w:bidi w:val="0"/>
        <w:snapToGrid w:val="0"/>
        <w:spacing w:line="336" w:lineRule="auto"/>
        <w:textAlignment w:val="auto"/>
        <w:rPr>
          <w:rFonts w:hint="eastAsia" w:ascii="宋体" w:hAnsi="宋体" w:eastAsia="宋体" w:cs="宋体"/>
          <w:color w:val="auto"/>
        </w:rPr>
      </w:pPr>
      <w:r>
        <w:rPr>
          <w:rFonts w:hint="eastAsia" w:ascii="宋体" w:hAnsi="宋体" w:eastAsia="宋体" w:cs="宋体"/>
          <w:color w:val="auto"/>
          <w:u w:val="single"/>
        </w:rPr>
        <w:t>（采购</w:t>
      </w:r>
      <w:r>
        <w:rPr>
          <w:rFonts w:hint="eastAsia" w:cs="宋体"/>
          <w:color w:val="auto"/>
          <w:u w:val="single"/>
          <w:lang w:val="en-US" w:eastAsia="zh-CN"/>
        </w:rPr>
        <w:t>人</w:t>
      </w:r>
      <w:r>
        <w:rPr>
          <w:rFonts w:hint="eastAsia" w:ascii="宋体" w:hAnsi="宋体" w:eastAsia="宋体" w:cs="宋体"/>
          <w:color w:val="auto"/>
          <w:u w:val="single"/>
        </w:rPr>
        <w:t>名称）</w:t>
      </w:r>
      <w:r>
        <w:rPr>
          <w:rFonts w:hint="eastAsia" w:ascii="宋体" w:hAnsi="宋体" w:eastAsia="宋体" w:cs="宋体"/>
          <w:color w:val="auto"/>
        </w:rPr>
        <w:t>：</w:t>
      </w:r>
    </w:p>
    <w:p w14:paraId="02A0F933">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我方收到____________________________（比选项目名称）的竞争性比选文件，经详细研究，决定参加该项目的比选。</w:t>
      </w:r>
    </w:p>
    <w:p w14:paraId="162AD8C3">
      <w:pPr>
        <w:pageBreakBefore w:val="0"/>
        <w:tabs>
          <w:tab w:val="left" w:pos="6300"/>
        </w:tabs>
        <w:kinsoku/>
        <w:overflowPunct/>
        <w:topLinePunct w:val="0"/>
        <w:bidi w:val="0"/>
        <w:snapToGrid w:val="0"/>
        <w:spacing w:line="336" w:lineRule="auto"/>
        <w:ind w:firstLine="480" w:firstLineChars="200"/>
        <w:textAlignment w:val="auto"/>
        <w:rPr>
          <w:rFonts w:hint="default" w:ascii="宋体" w:hAnsi="宋体" w:eastAsia="宋体" w:cs="宋体"/>
          <w:color w:val="auto"/>
          <w:u w:val="none"/>
          <w:lang w:val="en-US"/>
        </w:rPr>
      </w:pPr>
      <w:r>
        <w:rPr>
          <w:rFonts w:hint="eastAsia" w:ascii="宋体" w:hAnsi="宋体" w:eastAsia="宋体" w:cs="宋体"/>
          <w:color w:val="auto"/>
        </w:rPr>
        <w:t>1.愿意按照竞争性比选文件中的一切要求，提供本项目的</w:t>
      </w:r>
      <w:r>
        <w:rPr>
          <w:rFonts w:hint="eastAsia" w:ascii="宋体" w:hAnsi="宋体" w:eastAsia="宋体" w:cs="宋体"/>
          <w:color w:val="auto"/>
          <w:lang w:eastAsia="zh-CN"/>
        </w:rPr>
        <w:t>工程</w:t>
      </w:r>
      <w:r>
        <w:rPr>
          <w:rFonts w:hint="eastAsia" w:ascii="宋体" w:hAnsi="宋体" w:eastAsia="宋体" w:cs="宋体"/>
          <w:color w:val="auto"/>
        </w:rPr>
        <w:t>服务，报价为人民币大写：</w:t>
      </w:r>
      <w:r>
        <w:rPr>
          <w:rFonts w:hint="eastAsia" w:cs="宋体"/>
          <w:color w:val="auto"/>
          <w:u w:val="single"/>
          <w:lang w:val="en-US" w:eastAsia="zh-CN"/>
        </w:rPr>
        <w:t xml:space="preserve">     </w:t>
      </w:r>
      <w:r>
        <w:rPr>
          <w:rFonts w:hint="eastAsia" w:ascii="宋体" w:hAnsi="宋体" w:eastAsia="宋体" w:cs="宋体"/>
          <w:color w:val="auto"/>
        </w:rPr>
        <w:t>元整；人民币小写：</w:t>
      </w:r>
      <w:r>
        <w:rPr>
          <w:rFonts w:hint="eastAsia" w:cs="宋体"/>
          <w:color w:val="auto"/>
          <w:u w:val="single"/>
          <w:lang w:val="en-US" w:eastAsia="zh-CN"/>
        </w:rPr>
        <w:t xml:space="preserve">     </w:t>
      </w:r>
      <w:r>
        <w:rPr>
          <w:rFonts w:hint="eastAsia" w:ascii="宋体" w:hAnsi="宋体" w:eastAsia="宋体" w:cs="宋体"/>
          <w:color w:val="auto"/>
        </w:rPr>
        <w:t>元</w:t>
      </w:r>
      <w:r>
        <w:rPr>
          <w:rFonts w:hint="eastAsia" w:cs="宋体"/>
          <w:color w:val="auto"/>
          <w:lang w:eastAsia="zh-CN"/>
        </w:rPr>
        <w:t>，</w:t>
      </w:r>
      <w:r>
        <w:rPr>
          <w:rFonts w:hint="eastAsia" w:cs="宋体"/>
          <w:color w:val="auto"/>
          <w:lang w:val="en-US" w:eastAsia="zh-CN"/>
        </w:rPr>
        <w:t>安全文明施工费为：</w:t>
      </w:r>
      <w:r>
        <w:rPr>
          <w:rFonts w:hint="eastAsia" w:cs="宋体"/>
          <w:color w:val="auto"/>
          <w:u w:val="single"/>
          <w:lang w:val="en-US" w:eastAsia="zh-CN"/>
        </w:rPr>
        <w:t xml:space="preserve">       </w:t>
      </w:r>
      <w:r>
        <w:rPr>
          <w:rFonts w:hint="eastAsia" w:cs="宋体"/>
          <w:color w:val="auto"/>
          <w:u w:val="none"/>
          <w:lang w:val="en-US" w:eastAsia="zh-CN"/>
        </w:rPr>
        <w:t>，工期为</w:t>
      </w:r>
      <w:r>
        <w:rPr>
          <w:rFonts w:hint="eastAsia" w:cs="宋体"/>
          <w:color w:val="auto"/>
          <w:u w:val="single"/>
          <w:lang w:val="en-US" w:eastAsia="zh-CN"/>
        </w:rPr>
        <w:t xml:space="preserve">：   </w:t>
      </w:r>
      <w:r>
        <w:rPr>
          <w:rFonts w:hint="eastAsia" w:cs="宋体"/>
          <w:color w:val="auto"/>
          <w:u w:val="none"/>
          <w:lang w:val="en-US" w:eastAsia="zh-CN"/>
        </w:rPr>
        <w:t>日历天，工程质量：达到竞争性比选文件的要求。</w:t>
      </w:r>
    </w:p>
    <w:p w14:paraId="3F901B85">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2.我方现提交的响应文件为：响应文件正本</w:t>
      </w:r>
      <w:r>
        <w:rPr>
          <w:rFonts w:hint="eastAsia" w:ascii="宋体" w:hAnsi="宋体" w:eastAsia="宋体" w:cs="宋体"/>
          <w:color w:val="auto"/>
          <w:u w:val="single"/>
        </w:rPr>
        <w:t xml:space="preserve">   </w:t>
      </w:r>
      <w:r>
        <w:rPr>
          <w:rFonts w:hint="eastAsia" w:ascii="宋体" w:hAnsi="宋体" w:eastAsia="宋体" w:cs="宋体"/>
          <w:color w:val="auto"/>
        </w:rPr>
        <w:t>份，副本</w:t>
      </w:r>
      <w:r>
        <w:rPr>
          <w:rFonts w:hint="eastAsia" w:ascii="宋体" w:hAnsi="宋体" w:eastAsia="宋体" w:cs="宋体"/>
          <w:color w:val="auto"/>
          <w:u w:val="single"/>
        </w:rPr>
        <w:t xml:space="preserve">   </w:t>
      </w:r>
      <w:r>
        <w:rPr>
          <w:rFonts w:hint="eastAsia" w:ascii="宋体" w:hAnsi="宋体" w:eastAsia="宋体" w:cs="宋体"/>
          <w:color w:val="auto"/>
        </w:rPr>
        <w:t>份。</w:t>
      </w:r>
    </w:p>
    <w:p w14:paraId="1BFA5AB5">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3.我方承诺：本次比选的有效期为90天。</w:t>
      </w:r>
    </w:p>
    <w:p w14:paraId="789AE644">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4.我方完全理解和接受贵方竞争性比选文件的一切规定和要求及比选评审办法。</w:t>
      </w:r>
    </w:p>
    <w:p w14:paraId="7417C4AA">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5.在整个比选过程中，我方若有违规行为，接受按照《中华人民共和国政府采购法》和《竞争性比选文件》之规定给予惩罚。</w:t>
      </w:r>
    </w:p>
    <w:p w14:paraId="3E6D3573">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6.我方若成为成交供应商，将按照最终比选结果签订合同，并且严格履行合同义务。本承诺函将成为合同不可分割的一部分，与合同具有同等的法律效力。</w:t>
      </w:r>
    </w:p>
    <w:p w14:paraId="66DEF1D9">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7.我方同意按竞争性比选文件规定，交纳竞争性比选文件要求的保证金。如果我方成为成交供应商，保证在接到成交通知书后，向采购代理机构交纳比选</w:t>
      </w:r>
      <w:r>
        <w:rPr>
          <w:rFonts w:hint="eastAsia" w:cs="宋体"/>
          <w:color w:val="auto"/>
          <w:lang w:val="en-US" w:eastAsia="zh-CN"/>
        </w:rPr>
        <w:t>文件</w:t>
      </w:r>
      <w:r>
        <w:rPr>
          <w:rFonts w:hint="eastAsia" w:ascii="宋体" w:hAnsi="宋体" w:eastAsia="宋体" w:cs="宋体"/>
          <w:color w:val="auto"/>
        </w:rPr>
        <w:t>规定的采购代理服务费。</w:t>
      </w:r>
    </w:p>
    <w:p w14:paraId="64FF13AB">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8.我方未为采购项目提供整体设计、规范编制或者项目管理、监理、检测等服务。</w:t>
      </w:r>
    </w:p>
    <w:p w14:paraId="4C140BA5">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001474FD">
      <w:pPr>
        <w:pageBreakBefore w:val="0"/>
        <w:tabs>
          <w:tab w:val="left" w:pos="6300"/>
        </w:tabs>
        <w:kinsoku/>
        <w:overflowPunct/>
        <w:topLinePunct w:val="0"/>
        <w:bidi w:val="0"/>
        <w:snapToGrid w:val="0"/>
        <w:spacing w:line="336" w:lineRule="auto"/>
        <w:textAlignment w:val="auto"/>
        <w:rPr>
          <w:rFonts w:hint="eastAsia" w:ascii="宋体" w:hAnsi="宋体" w:eastAsia="宋体" w:cs="宋体"/>
          <w:color w:val="auto"/>
        </w:rPr>
      </w:pPr>
    </w:p>
    <w:p w14:paraId="5E160E67">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0D8D3B7D">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r>
        <w:rPr>
          <w:rFonts w:hint="eastAsia" w:ascii="宋体" w:hAnsi="宋体" w:eastAsia="宋体" w:cs="宋体"/>
          <w:color w:val="auto"/>
        </w:rPr>
        <w:t>供应商（公章）：</w:t>
      </w:r>
    </w:p>
    <w:p w14:paraId="5592176E">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r>
        <w:rPr>
          <w:rFonts w:hint="eastAsia" w:ascii="宋体" w:hAnsi="宋体" w:eastAsia="宋体" w:cs="宋体"/>
          <w:color w:val="auto"/>
        </w:rPr>
        <w:t>地址：</w:t>
      </w:r>
    </w:p>
    <w:p w14:paraId="3981C263">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r>
        <w:rPr>
          <w:rFonts w:hint="eastAsia" w:ascii="宋体" w:hAnsi="宋体" w:eastAsia="宋体" w:cs="宋体"/>
          <w:color w:val="auto"/>
        </w:rPr>
        <w:t>电话：                   传真：</w:t>
      </w:r>
    </w:p>
    <w:p w14:paraId="506FC6A6">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r>
        <w:rPr>
          <w:rFonts w:hint="eastAsia" w:ascii="宋体" w:hAnsi="宋体" w:eastAsia="宋体" w:cs="宋体"/>
          <w:color w:val="auto"/>
        </w:rPr>
        <w:t>网址：                   邮编：</w:t>
      </w:r>
    </w:p>
    <w:p w14:paraId="53EC1499">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r>
        <w:rPr>
          <w:rFonts w:hint="eastAsia" w:ascii="宋体" w:hAnsi="宋体" w:eastAsia="宋体" w:cs="宋体"/>
          <w:color w:val="auto"/>
        </w:rPr>
        <w:t>联系人：</w:t>
      </w:r>
    </w:p>
    <w:p w14:paraId="4EFD2094">
      <w:pPr>
        <w:pageBreakBefore w:val="0"/>
        <w:kinsoku/>
        <w:overflowPunct/>
        <w:topLinePunct w:val="0"/>
        <w:bidi w:val="0"/>
        <w:snapToGrid w:val="0"/>
        <w:spacing w:line="336" w:lineRule="auto"/>
        <w:ind w:right="480"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                               年   月   日</w:t>
      </w:r>
    </w:p>
    <w:p w14:paraId="1AA8CDAD">
      <w:pPr>
        <w:pageBreakBefore w:val="0"/>
        <w:kinsoku/>
        <w:overflowPunct/>
        <w:topLinePunct w:val="0"/>
        <w:bidi w:val="0"/>
        <w:spacing w:line="336" w:lineRule="auto"/>
        <w:textAlignment w:val="auto"/>
        <w:rPr>
          <w:rFonts w:hint="eastAsia" w:ascii="宋体" w:hAnsi="宋体" w:eastAsia="宋体" w:cs="宋体"/>
          <w:color w:val="auto"/>
        </w:rPr>
        <w:sectPr>
          <w:pgSz w:w="11907" w:h="16840"/>
          <w:pgMar w:top="1440" w:right="1080" w:bottom="1440" w:left="1080" w:header="454" w:footer="567" w:gutter="0"/>
          <w:pgNumType w:fmt="numberInDash"/>
          <w:cols w:space="720" w:num="1"/>
          <w:docGrid w:linePitch="326" w:charSpace="0"/>
        </w:sectPr>
      </w:pPr>
    </w:p>
    <w:p w14:paraId="754C4AA1">
      <w:pPr>
        <w:pageBreakBefore w:val="0"/>
        <w:tabs>
          <w:tab w:val="left" w:pos="2895"/>
        </w:tabs>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（二）明细报价表</w:t>
      </w:r>
    </w:p>
    <w:p w14:paraId="3D0E5793">
      <w:pPr>
        <w:pageBreakBefore w:val="0"/>
        <w:kinsoku/>
        <w:overflowPunct/>
        <w:topLinePunct w:val="0"/>
        <w:bidi w:val="0"/>
        <w:spacing w:line="336" w:lineRule="auto"/>
        <w:jc w:val="center"/>
        <w:textAlignment w:val="auto"/>
        <w:rPr>
          <w:rFonts w:hint="eastAsia" w:ascii="宋体" w:hAnsi="宋体" w:eastAsia="宋体" w:cs="宋体"/>
          <w:b/>
          <w:color w:val="auto"/>
        </w:rPr>
      </w:pPr>
      <w:r>
        <w:rPr>
          <w:rFonts w:hint="eastAsia" w:ascii="宋体" w:hAnsi="宋体" w:eastAsia="宋体" w:cs="宋体"/>
          <w:b/>
          <w:color w:val="auto"/>
        </w:rPr>
        <w:t>明细报价表</w:t>
      </w:r>
    </w:p>
    <w:p w14:paraId="16095B00">
      <w:pPr>
        <w:pageBreakBefore w:val="0"/>
        <w:kinsoku/>
        <w:overflowPunct/>
        <w:topLinePunct w:val="0"/>
        <w:bidi w:val="0"/>
        <w:spacing w:line="336" w:lineRule="auto"/>
        <w:textAlignment w:val="auto"/>
        <w:rPr>
          <w:rFonts w:hint="eastAsia" w:ascii="宋体" w:hAnsi="宋体" w:eastAsia="宋体" w:cs="宋体"/>
          <w:color w:val="auto"/>
          <w:lang w:eastAsia="zh-CN"/>
        </w:rPr>
      </w:pPr>
      <w:r>
        <w:rPr>
          <w:rFonts w:hint="eastAsia" w:ascii="宋体" w:hAnsi="宋体" w:eastAsia="宋体" w:cs="宋体"/>
          <w:color w:val="auto"/>
          <w:lang w:eastAsia="zh-CN"/>
        </w:rPr>
        <w:t>按随竞争性比选文件一同发布的工程量清单填写。</w:t>
      </w:r>
    </w:p>
    <w:p w14:paraId="6255F18A">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p>
    <w:p w14:paraId="72824C6A">
      <w:pPr>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rPr>
      </w:pPr>
    </w:p>
    <w:p w14:paraId="00794DBE">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注：1、该表</w:t>
      </w:r>
      <w:bookmarkStart w:id="208" w:name="OLE_LINK2"/>
      <w:bookmarkStart w:id="209" w:name="OLE_LINK1"/>
      <w:r>
        <w:rPr>
          <w:rFonts w:hint="eastAsia" w:ascii="宋体" w:hAnsi="宋体" w:eastAsia="宋体" w:cs="宋体"/>
          <w:color w:val="auto"/>
        </w:rPr>
        <w:t>逐页签字或盖章</w:t>
      </w:r>
      <w:bookmarkEnd w:id="208"/>
      <w:bookmarkEnd w:id="209"/>
      <w:r>
        <w:rPr>
          <w:rFonts w:hint="eastAsia" w:ascii="宋体" w:hAnsi="宋体" w:eastAsia="宋体" w:cs="宋体"/>
          <w:color w:val="auto"/>
        </w:rPr>
        <w:t>；</w:t>
      </w:r>
    </w:p>
    <w:p w14:paraId="31BC8BEB">
      <w:pPr>
        <w:pageBreakBefore w:val="0"/>
        <w:tabs>
          <w:tab w:val="left" w:pos="6300"/>
        </w:tabs>
        <w:kinsoku/>
        <w:overflowPunct/>
        <w:topLinePunct w:val="0"/>
        <w:bidi w:val="0"/>
        <w:snapToGrid w:val="0"/>
        <w:spacing w:line="336" w:lineRule="auto"/>
        <w:ind w:firstLine="480" w:firstLineChars="20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2、综合单价分析表可不打印。</w:t>
      </w:r>
    </w:p>
    <w:p w14:paraId="722E4BF3">
      <w:pPr>
        <w:pageBreakBefore w:val="0"/>
        <w:kinsoku/>
        <w:overflowPunct/>
        <w:topLinePunct w:val="0"/>
        <w:bidi w:val="0"/>
        <w:snapToGrid w:val="0"/>
        <w:spacing w:line="336" w:lineRule="auto"/>
        <w:textAlignment w:val="auto"/>
        <w:rPr>
          <w:rFonts w:hint="eastAsia" w:ascii="宋体" w:hAnsi="宋体" w:eastAsia="宋体" w:cs="宋体"/>
          <w:color w:val="auto"/>
        </w:rPr>
      </w:pPr>
    </w:p>
    <w:p w14:paraId="55A08E53">
      <w:pPr>
        <w:pStyle w:val="18"/>
        <w:pageBreakBefore w:val="0"/>
        <w:kinsoku/>
        <w:overflowPunct/>
        <w:topLinePunct w:val="0"/>
        <w:bidi w:val="0"/>
        <w:spacing w:line="336" w:lineRule="auto"/>
        <w:textAlignment w:val="auto"/>
        <w:rPr>
          <w:rFonts w:hint="eastAsia" w:ascii="宋体" w:hAnsi="宋体" w:eastAsia="宋体" w:cs="宋体"/>
          <w:color w:val="auto"/>
        </w:rPr>
      </w:pPr>
    </w:p>
    <w:p w14:paraId="35368788">
      <w:pPr>
        <w:pageBreakBefore w:val="0"/>
        <w:kinsoku/>
        <w:overflowPunct/>
        <w:topLinePunct w:val="0"/>
        <w:bidi w:val="0"/>
        <w:spacing w:line="336" w:lineRule="auto"/>
        <w:textAlignment w:val="auto"/>
        <w:rPr>
          <w:rFonts w:hint="eastAsia" w:ascii="宋体" w:hAnsi="宋体" w:eastAsia="宋体" w:cs="宋体"/>
          <w:color w:val="auto"/>
        </w:rPr>
      </w:pPr>
      <w:r>
        <w:rPr>
          <w:rFonts w:hint="eastAsia" w:ascii="宋体" w:hAnsi="宋体" w:eastAsia="宋体" w:cs="宋体"/>
          <w:color w:val="auto"/>
        </w:rPr>
        <w:t xml:space="preserve">                                                    供应商名称（公章）：</w:t>
      </w:r>
    </w:p>
    <w:p w14:paraId="6F5BF8C7">
      <w:pPr>
        <w:pageBreakBefore w:val="0"/>
        <w:kinsoku/>
        <w:overflowPunct/>
        <w:topLinePunct w:val="0"/>
        <w:bidi w:val="0"/>
        <w:spacing w:line="336" w:lineRule="auto"/>
        <w:ind w:right="480" w:firstLine="6480" w:firstLineChars="2700"/>
        <w:textAlignment w:val="auto"/>
        <w:rPr>
          <w:rFonts w:hint="eastAsia" w:ascii="宋体" w:hAnsi="宋体" w:eastAsia="宋体" w:cs="宋体"/>
          <w:color w:val="auto"/>
        </w:rPr>
      </w:pPr>
      <w:r>
        <w:rPr>
          <w:rFonts w:hint="eastAsia" w:ascii="宋体" w:hAnsi="宋体" w:eastAsia="宋体" w:cs="宋体"/>
          <w:color w:val="auto"/>
        </w:rPr>
        <w:t>年    月    日</w:t>
      </w:r>
    </w:p>
    <w:p w14:paraId="023AFA5F">
      <w:pPr>
        <w:pageBreakBefore w:val="0"/>
        <w:kinsoku/>
        <w:overflowPunct/>
        <w:topLinePunct w:val="0"/>
        <w:bidi w:val="0"/>
        <w:spacing w:line="336" w:lineRule="auto"/>
        <w:textAlignment w:val="auto"/>
        <w:rPr>
          <w:rFonts w:hint="eastAsia" w:ascii="宋体" w:hAnsi="宋体" w:eastAsia="宋体" w:cs="宋体"/>
          <w:color w:val="auto"/>
          <w:bdr w:val="single" w:color="auto" w:sz="4" w:space="0"/>
        </w:rPr>
      </w:pPr>
    </w:p>
    <w:p w14:paraId="0314455A">
      <w:pPr>
        <w:pageBreakBefore w:val="0"/>
        <w:kinsoku/>
        <w:overflowPunct/>
        <w:topLinePunct w:val="0"/>
        <w:bidi w:val="0"/>
        <w:spacing w:line="336" w:lineRule="auto"/>
        <w:textAlignment w:val="auto"/>
        <w:rPr>
          <w:rFonts w:hint="eastAsia" w:ascii="宋体" w:hAnsi="宋体" w:eastAsia="宋体" w:cs="宋体"/>
          <w:color w:val="auto"/>
          <w:bdr w:val="single" w:color="auto" w:sz="4" w:space="0"/>
        </w:rPr>
      </w:pPr>
    </w:p>
    <w:p w14:paraId="6D5BC4B3">
      <w:pPr>
        <w:pageBreakBefore w:val="0"/>
        <w:kinsoku/>
        <w:overflowPunct/>
        <w:topLinePunct w:val="0"/>
        <w:bidi w:val="0"/>
        <w:spacing w:line="336" w:lineRule="auto"/>
        <w:textAlignment w:val="auto"/>
        <w:rPr>
          <w:rFonts w:hint="eastAsia" w:ascii="宋体" w:hAnsi="宋体" w:eastAsia="宋体" w:cs="宋体"/>
          <w:color w:val="auto"/>
          <w:bdr w:val="single" w:color="auto" w:sz="4" w:space="0"/>
        </w:rPr>
        <w:sectPr>
          <w:pgSz w:w="11907" w:h="16840"/>
          <w:pgMar w:top="1440" w:right="1080" w:bottom="1440" w:left="1080" w:header="850" w:footer="992" w:gutter="0"/>
          <w:pgNumType w:fmt="numberInDash"/>
          <w:cols w:space="720" w:num="1"/>
          <w:docGrid w:linePitch="326" w:charSpace="0"/>
        </w:sectPr>
      </w:pPr>
    </w:p>
    <w:p w14:paraId="03130B2E">
      <w:pPr>
        <w:pStyle w:val="3"/>
        <w:keepNext/>
        <w:keepLines/>
        <w:pageBreakBefore w:val="0"/>
        <w:widowControl/>
        <w:kinsoku/>
        <w:wordWrap/>
        <w:overflowPunct/>
        <w:topLinePunct w:val="0"/>
        <w:autoSpaceDE/>
        <w:autoSpaceDN/>
        <w:bidi w:val="0"/>
        <w:adjustRightInd/>
        <w:snapToGrid/>
        <w:spacing w:before="0" w:after="0" w:line="336" w:lineRule="auto"/>
        <w:textAlignment w:val="auto"/>
        <w:outlineLvl w:val="1"/>
        <w:rPr>
          <w:rFonts w:hint="eastAsia" w:ascii="宋体" w:hAnsi="宋体" w:eastAsia="宋体" w:cs="宋体"/>
          <w:color w:val="auto"/>
          <w:sz w:val="24"/>
          <w:szCs w:val="24"/>
        </w:rPr>
      </w:pPr>
      <w:bookmarkStart w:id="210" w:name="_Toc3192"/>
      <w:bookmarkStart w:id="211" w:name="_Toc20065"/>
      <w:bookmarkStart w:id="212" w:name="_Toc487204798"/>
      <w:bookmarkStart w:id="213" w:name="_Toc486585241"/>
      <w:bookmarkStart w:id="214" w:name="_Toc108545984"/>
      <w:bookmarkStart w:id="215" w:name="_Toc486608278"/>
      <w:r>
        <w:rPr>
          <w:rFonts w:hint="eastAsia" w:ascii="宋体" w:hAnsi="宋体" w:eastAsia="宋体" w:cs="宋体"/>
          <w:color w:val="auto"/>
          <w:sz w:val="24"/>
          <w:szCs w:val="24"/>
        </w:rPr>
        <w:t>二、技术部分</w:t>
      </w:r>
      <w:bookmarkEnd w:id="210"/>
      <w:bookmarkEnd w:id="211"/>
      <w:bookmarkEnd w:id="212"/>
      <w:bookmarkEnd w:id="213"/>
      <w:bookmarkEnd w:id="214"/>
      <w:bookmarkEnd w:id="215"/>
    </w:p>
    <w:p w14:paraId="269F3673">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（一）技术</w:t>
      </w:r>
      <w:r>
        <w:rPr>
          <w:rFonts w:hint="eastAsia" w:cs="宋体"/>
          <w:color w:val="auto"/>
          <w:lang w:val="en-US" w:eastAsia="zh-CN"/>
        </w:rPr>
        <w:t>方案</w:t>
      </w:r>
      <w:r>
        <w:rPr>
          <w:rFonts w:hint="eastAsia" w:ascii="宋体" w:hAnsi="宋体" w:eastAsia="宋体" w:cs="宋体"/>
          <w:color w:val="auto"/>
        </w:rPr>
        <w:t>（格式自拟）</w:t>
      </w:r>
    </w:p>
    <w:p w14:paraId="60C1E463">
      <w:pPr>
        <w:pageBreakBefore w:val="0"/>
        <w:kinsoku/>
        <w:overflowPunct/>
        <w:topLinePunct w:val="0"/>
        <w:bidi w:val="0"/>
        <w:snapToGrid w:val="0"/>
        <w:spacing w:line="336" w:lineRule="auto"/>
        <w:jc w:val="center"/>
        <w:textAlignment w:val="auto"/>
        <w:rPr>
          <w:rFonts w:hint="eastAsia" w:ascii="宋体" w:hAnsi="宋体" w:eastAsia="宋体" w:cs="宋体"/>
          <w:color w:val="auto"/>
        </w:rPr>
      </w:pPr>
    </w:p>
    <w:p w14:paraId="2D261C50">
      <w:pPr>
        <w:pageBreakBefore w:val="0"/>
        <w:kinsoku/>
        <w:overflowPunct/>
        <w:topLinePunct w:val="0"/>
        <w:bidi w:val="0"/>
        <w:snapToGrid w:val="0"/>
        <w:spacing w:line="336" w:lineRule="auto"/>
        <w:jc w:val="center"/>
        <w:textAlignment w:val="auto"/>
        <w:rPr>
          <w:rFonts w:hint="eastAsia" w:ascii="宋体" w:hAnsi="宋体" w:eastAsia="宋体" w:cs="宋体"/>
          <w:color w:val="auto"/>
        </w:rPr>
      </w:pPr>
    </w:p>
    <w:p w14:paraId="492BC32C">
      <w:pPr>
        <w:pageBreakBefore w:val="0"/>
        <w:kinsoku/>
        <w:overflowPunct/>
        <w:topLinePunct w:val="0"/>
        <w:bidi w:val="0"/>
        <w:snapToGrid w:val="0"/>
        <w:spacing w:line="336" w:lineRule="auto"/>
        <w:jc w:val="center"/>
        <w:textAlignment w:val="auto"/>
        <w:rPr>
          <w:rFonts w:hint="eastAsia" w:ascii="宋体" w:hAnsi="宋体" w:eastAsia="宋体" w:cs="宋体"/>
          <w:color w:val="auto"/>
        </w:rPr>
      </w:pPr>
    </w:p>
    <w:p w14:paraId="2C740BCB">
      <w:pPr>
        <w:pageBreakBefore w:val="0"/>
        <w:kinsoku/>
        <w:overflowPunct/>
        <w:topLinePunct w:val="0"/>
        <w:bidi w:val="0"/>
        <w:snapToGrid w:val="0"/>
        <w:spacing w:line="336" w:lineRule="auto"/>
        <w:jc w:val="center"/>
        <w:textAlignment w:val="auto"/>
        <w:rPr>
          <w:rFonts w:hint="eastAsia" w:ascii="宋体" w:hAnsi="宋体" w:eastAsia="宋体" w:cs="宋体"/>
          <w:color w:val="auto"/>
        </w:rPr>
      </w:pPr>
    </w:p>
    <w:p w14:paraId="49642A90">
      <w:pPr>
        <w:pageBreakBefore w:val="0"/>
        <w:kinsoku/>
        <w:overflowPunct/>
        <w:topLinePunct w:val="0"/>
        <w:bidi w:val="0"/>
        <w:snapToGrid w:val="0"/>
        <w:spacing w:line="336" w:lineRule="auto"/>
        <w:jc w:val="center"/>
        <w:textAlignment w:val="auto"/>
        <w:rPr>
          <w:rFonts w:hint="eastAsia" w:ascii="宋体" w:hAnsi="宋体" w:eastAsia="宋体" w:cs="宋体"/>
          <w:color w:val="auto"/>
        </w:rPr>
      </w:pPr>
    </w:p>
    <w:p w14:paraId="7C142DF6">
      <w:pPr>
        <w:pageBreakBefore w:val="0"/>
        <w:kinsoku/>
        <w:overflowPunct/>
        <w:topLinePunct w:val="0"/>
        <w:bidi w:val="0"/>
        <w:snapToGrid w:val="0"/>
        <w:spacing w:line="336" w:lineRule="auto"/>
        <w:jc w:val="center"/>
        <w:textAlignment w:val="auto"/>
        <w:rPr>
          <w:rFonts w:hint="eastAsia" w:ascii="宋体" w:hAnsi="宋体" w:eastAsia="宋体" w:cs="宋体"/>
          <w:color w:val="auto"/>
        </w:rPr>
      </w:pPr>
    </w:p>
    <w:p w14:paraId="64BAE9B4">
      <w:pPr>
        <w:pageBreakBefore w:val="0"/>
        <w:kinsoku/>
        <w:overflowPunct/>
        <w:topLinePunct w:val="0"/>
        <w:bidi w:val="0"/>
        <w:snapToGrid w:val="0"/>
        <w:spacing w:line="336" w:lineRule="auto"/>
        <w:jc w:val="center"/>
        <w:textAlignment w:val="auto"/>
        <w:rPr>
          <w:rFonts w:hint="eastAsia" w:ascii="宋体" w:hAnsi="宋体" w:eastAsia="宋体" w:cs="宋体"/>
          <w:color w:val="auto"/>
        </w:rPr>
      </w:pPr>
    </w:p>
    <w:p w14:paraId="5078457B">
      <w:pPr>
        <w:pageBreakBefore w:val="0"/>
        <w:kinsoku/>
        <w:overflowPunct/>
        <w:topLinePunct w:val="0"/>
        <w:bidi w:val="0"/>
        <w:snapToGrid w:val="0"/>
        <w:spacing w:line="336" w:lineRule="auto"/>
        <w:jc w:val="center"/>
        <w:textAlignment w:val="auto"/>
        <w:rPr>
          <w:rFonts w:hint="eastAsia" w:ascii="宋体" w:hAnsi="宋体" w:eastAsia="宋体" w:cs="宋体"/>
          <w:color w:val="auto"/>
        </w:rPr>
      </w:pPr>
    </w:p>
    <w:p w14:paraId="64C84246">
      <w:pPr>
        <w:pageBreakBefore w:val="0"/>
        <w:kinsoku/>
        <w:overflowPunct/>
        <w:topLinePunct w:val="0"/>
        <w:bidi w:val="0"/>
        <w:snapToGrid w:val="0"/>
        <w:spacing w:line="336" w:lineRule="auto"/>
        <w:jc w:val="center"/>
        <w:textAlignment w:val="auto"/>
        <w:rPr>
          <w:rFonts w:hint="eastAsia" w:ascii="宋体" w:hAnsi="宋体" w:eastAsia="宋体" w:cs="宋体"/>
          <w:color w:val="auto"/>
        </w:rPr>
      </w:pPr>
    </w:p>
    <w:p w14:paraId="02B98D4C">
      <w:pPr>
        <w:pageBreakBefore w:val="0"/>
        <w:kinsoku/>
        <w:overflowPunct/>
        <w:topLinePunct w:val="0"/>
        <w:bidi w:val="0"/>
        <w:snapToGrid w:val="0"/>
        <w:spacing w:line="336" w:lineRule="auto"/>
        <w:jc w:val="center"/>
        <w:textAlignment w:val="auto"/>
        <w:rPr>
          <w:rFonts w:hint="eastAsia" w:ascii="宋体" w:hAnsi="宋体" w:eastAsia="宋体" w:cs="宋体"/>
          <w:color w:val="auto"/>
        </w:rPr>
      </w:pPr>
    </w:p>
    <w:p w14:paraId="45BBFC26">
      <w:pPr>
        <w:pageBreakBefore w:val="0"/>
        <w:kinsoku/>
        <w:overflowPunct/>
        <w:topLinePunct w:val="0"/>
        <w:bidi w:val="0"/>
        <w:snapToGrid w:val="0"/>
        <w:spacing w:line="336" w:lineRule="auto"/>
        <w:jc w:val="center"/>
        <w:textAlignment w:val="auto"/>
        <w:rPr>
          <w:rFonts w:hint="eastAsia" w:ascii="宋体" w:hAnsi="宋体" w:eastAsia="宋体" w:cs="宋体"/>
          <w:color w:val="auto"/>
        </w:rPr>
      </w:pPr>
    </w:p>
    <w:p w14:paraId="495E5E13">
      <w:pPr>
        <w:pageBreakBefore w:val="0"/>
        <w:kinsoku/>
        <w:overflowPunct/>
        <w:topLinePunct w:val="0"/>
        <w:bidi w:val="0"/>
        <w:snapToGrid w:val="0"/>
        <w:spacing w:line="336" w:lineRule="auto"/>
        <w:jc w:val="center"/>
        <w:textAlignment w:val="auto"/>
        <w:rPr>
          <w:rFonts w:hint="eastAsia" w:ascii="宋体" w:hAnsi="宋体" w:eastAsia="宋体" w:cs="宋体"/>
          <w:color w:val="auto"/>
        </w:rPr>
      </w:pPr>
    </w:p>
    <w:p w14:paraId="6F925B9E">
      <w:pPr>
        <w:pageBreakBefore w:val="0"/>
        <w:kinsoku/>
        <w:overflowPunct/>
        <w:topLinePunct w:val="0"/>
        <w:bidi w:val="0"/>
        <w:snapToGrid w:val="0"/>
        <w:spacing w:line="336" w:lineRule="auto"/>
        <w:jc w:val="center"/>
        <w:textAlignment w:val="auto"/>
        <w:rPr>
          <w:rFonts w:hint="eastAsia" w:ascii="宋体" w:hAnsi="宋体" w:eastAsia="宋体" w:cs="宋体"/>
          <w:color w:val="auto"/>
        </w:rPr>
      </w:pPr>
    </w:p>
    <w:p w14:paraId="19ECC0BE">
      <w:pPr>
        <w:pageBreakBefore w:val="0"/>
        <w:kinsoku/>
        <w:overflowPunct/>
        <w:topLinePunct w:val="0"/>
        <w:bidi w:val="0"/>
        <w:snapToGrid w:val="0"/>
        <w:spacing w:line="336" w:lineRule="auto"/>
        <w:jc w:val="center"/>
        <w:textAlignment w:val="auto"/>
        <w:rPr>
          <w:rFonts w:hint="eastAsia" w:ascii="宋体" w:hAnsi="宋体" w:eastAsia="宋体" w:cs="宋体"/>
          <w:color w:val="auto"/>
        </w:rPr>
      </w:pPr>
    </w:p>
    <w:p w14:paraId="11309DCA">
      <w:pPr>
        <w:pageBreakBefore w:val="0"/>
        <w:kinsoku/>
        <w:overflowPunct/>
        <w:topLinePunct w:val="0"/>
        <w:bidi w:val="0"/>
        <w:spacing w:line="336" w:lineRule="auto"/>
        <w:textAlignment w:val="auto"/>
        <w:rPr>
          <w:rFonts w:hint="eastAsia" w:ascii="宋体" w:hAnsi="宋体" w:eastAsia="宋体" w:cs="宋体"/>
          <w:color w:val="auto"/>
        </w:rPr>
      </w:pPr>
      <w:r>
        <w:rPr>
          <w:rFonts w:hint="eastAsia" w:ascii="宋体" w:hAnsi="宋体" w:eastAsia="宋体" w:cs="宋体"/>
          <w:color w:val="auto"/>
        </w:rPr>
        <w:br w:type="page"/>
      </w:r>
    </w:p>
    <w:p w14:paraId="4E9A2CA0">
      <w:pPr>
        <w:pageBreakBefore w:val="0"/>
        <w:kinsoku/>
        <w:overflowPunct/>
        <w:topLinePunct w:val="0"/>
        <w:bidi w:val="0"/>
        <w:snapToGrid w:val="0"/>
        <w:spacing w:line="336" w:lineRule="auto"/>
        <w:jc w:val="center"/>
        <w:textAlignment w:val="auto"/>
        <w:rPr>
          <w:rFonts w:hint="eastAsia" w:ascii="宋体" w:hAnsi="宋体" w:eastAsia="宋体" w:cs="宋体"/>
          <w:color w:val="auto"/>
        </w:rPr>
      </w:pPr>
    </w:p>
    <w:p w14:paraId="7105C816">
      <w:pPr>
        <w:pageBreakBefore w:val="0"/>
        <w:kinsoku/>
        <w:overflowPunct/>
        <w:topLinePunct w:val="0"/>
        <w:bidi w:val="0"/>
        <w:snapToGrid w:val="0"/>
        <w:spacing w:line="336" w:lineRule="auto"/>
        <w:textAlignment w:val="auto"/>
        <w:rPr>
          <w:rFonts w:hint="eastAsia" w:ascii="宋体" w:hAnsi="宋体" w:eastAsia="宋体" w:cs="宋体"/>
          <w:color w:val="auto"/>
        </w:rPr>
      </w:pPr>
      <w:r>
        <w:rPr>
          <w:rFonts w:hint="eastAsia" w:ascii="宋体" w:hAnsi="宋体" w:eastAsia="宋体" w:cs="宋体"/>
          <w:color w:val="auto"/>
        </w:rPr>
        <w:t>（二）技术响应偏离表</w:t>
      </w:r>
    </w:p>
    <w:p w14:paraId="418255BA">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项目名称：</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3071"/>
        <w:gridCol w:w="3188"/>
        <w:gridCol w:w="2387"/>
      </w:tblGrid>
      <w:tr w14:paraId="68D8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659" w:type="pct"/>
            <w:vAlign w:val="center"/>
          </w:tcPr>
          <w:p w14:paraId="160A79F0">
            <w:pPr>
              <w:pageBreakBefore w:val="0"/>
              <w:tabs>
                <w:tab w:val="left" w:pos="6300"/>
              </w:tabs>
              <w:kinsoku/>
              <w:overflowPunct/>
              <w:topLinePunct w:val="0"/>
              <w:bidi w:val="0"/>
              <w:snapToGrid w:val="0"/>
              <w:spacing w:line="336" w:lineRule="auto"/>
              <w:textAlignment w:val="auto"/>
              <w:rPr>
                <w:rFonts w:hint="eastAsia" w:ascii="宋体" w:hAnsi="宋体" w:eastAsia="宋体" w:cs="宋体"/>
                <w:color w:val="auto"/>
              </w:rPr>
            </w:pPr>
            <w:r>
              <w:rPr>
                <w:rFonts w:hint="eastAsia" w:ascii="宋体" w:hAnsi="宋体" w:eastAsia="宋体" w:cs="宋体"/>
                <w:color w:val="auto"/>
              </w:rPr>
              <w:t>序号</w:t>
            </w:r>
          </w:p>
        </w:tc>
        <w:tc>
          <w:tcPr>
            <w:tcW w:w="1541" w:type="pct"/>
            <w:vAlign w:val="center"/>
          </w:tcPr>
          <w:p w14:paraId="7F1AEDBE">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比选项目需求</w:t>
            </w:r>
          </w:p>
        </w:tc>
        <w:tc>
          <w:tcPr>
            <w:tcW w:w="1600" w:type="pct"/>
            <w:vAlign w:val="center"/>
          </w:tcPr>
          <w:p w14:paraId="39952BB6">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响应情况</w:t>
            </w:r>
          </w:p>
        </w:tc>
        <w:tc>
          <w:tcPr>
            <w:tcW w:w="1198" w:type="pct"/>
            <w:vAlign w:val="center"/>
          </w:tcPr>
          <w:p w14:paraId="54A20142">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差异说明</w:t>
            </w:r>
          </w:p>
        </w:tc>
      </w:tr>
      <w:tr w14:paraId="71CD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vAlign w:val="center"/>
          </w:tcPr>
          <w:p w14:paraId="2304D07A">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c>
          <w:tcPr>
            <w:tcW w:w="1541" w:type="pct"/>
            <w:vAlign w:val="center"/>
          </w:tcPr>
          <w:p w14:paraId="734F0347">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c>
          <w:tcPr>
            <w:tcW w:w="1600" w:type="pct"/>
            <w:vAlign w:val="center"/>
          </w:tcPr>
          <w:p w14:paraId="04AF1DB3">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c>
          <w:tcPr>
            <w:tcW w:w="1198" w:type="pct"/>
            <w:vAlign w:val="center"/>
          </w:tcPr>
          <w:p w14:paraId="24480E74">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r>
      <w:tr w14:paraId="6C71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vAlign w:val="center"/>
          </w:tcPr>
          <w:p w14:paraId="45BE6902">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c>
          <w:tcPr>
            <w:tcW w:w="1541" w:type="pct"/>
            <w:vAlign w:val="center"/>
          </w:tcPr>
          <w:p w14:paraId="64719F44">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c>
          <w:tcPr>
            <w:tcW w:w="1600" w:type="pct"/>
            <w:vAlign w:val="center"/>
          </w:tcPr>
          <w:p w14:paraId="3760C62D">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c>
          <w:tcPr>
            <w:tcW w:w="1198" w:type="pct"/>
            <w:vAlign w:val="center"/>
          </w:tcPr>
          <w:p w14:paraId="28577469">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r>
      <w:tr w14:paraId="2A17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vAlign w:val="center"/>
          </w:tcPr>
          <w:p w14:paraId="0D12358C">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c>
          <w:tcPr>
            <w:tcW w:w="1541" w:type="pct"/>
            <w:vAlign w:val="center"/>
          </w:tcPr>
          <w:p w14:paraId="6073267C">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c>
          <w:tcPr>
            <w:tcW w:w="1600" w:type="pct"/>
            <w:vAlign w:val="center"/>
          </w:tcPr>
          <w:p w14:paraId="7A044ED7">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c>
          <w:tcPr>
            <w:tcW w:w="1198" w:type="pct"/>
            <w:vAlign w:val="center"/>
          </w:tcPr>
          <w:p w14:paraId="0B86B0B8">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r>
      <w:tr w14:paraId="768A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vAlign w:val="center"/>
          </w:tcPr>
          <w:p w14:paraId="2FA1C3A4">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c>
          <w:tcPr>
            <w:tcW w:w="1541" w:type="pct"/>
            <w:vAlign w:val="center"/>
          </w:tcPr>
          <w:p w14:paraId="0AD9AA91">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c>
          <w:tcPr>
            <w:tcW w:w="1600" w:type="pct"/>
            <w:vAlign w:val="center"/>
          </w:tcPr>
          <w:p w14:paraId="13B99361">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c>
          <w:tcPr>
            <w:tcW w:w="1198" w:type="pct"/>
            <w:vAlign w:val="center"/>
          </w:tcPr>
          <w:p w14:paraId="4DD9F2BD">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r>
      <w:tr w14:paraId="4F24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vAlign w:val="center"/>
          </w:tcPr>
          <w:p w14:paraId="455629CB">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c>
          <w:tcPr>
            <w:tcW w:w="1541" w:type="pct"/>
            <w:vAlign w:val="center"/>
          </w:tcPr>
          <w:p w14:paraId="56EFCEDC">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c>
          <w:tcPr>
            <w:tcW w:w="1600" w:type="pct"/>
            <w:vAlign w:val="center"/>
          </w:tcPr>
          <w:p w14:paraId="2F2AC4DC">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c>
          <w:tcPr>
            <w:tcW w:w="1198" w:type="pct"/>
            <w:vAlign w:val="center"/>
          </w:tcPr>
          <w:p w14:paraId="695C9C20">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r>
      <w:tr w14:paraId="02CF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vAlign w:val="center"/>
          </w:tcPr>
          <w:p w14:paraId="31F0E87F">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c>
          <w:tcPr>
            <w:tcW w:w="1541" w:type="pct"/>
            <w:vAlign w:val="center"/>
          </w:tcPr>
          <w:p w14:paraId="0B320CFB">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c>
          <w:tcPr>
            <w:tcW w:w="1600" w:type="pct"/>
            <w:vAlign w:val="center"/>
          </w:tcPr>
          <w:p w14:paraId="164C5E26">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c>
          <w:tcPr>
            <w:tcW w:w="1198" w:type="pct"/>
            <w:vAlign w:val="center"/>
          </w:tcPr>
          <w:p w14:paraId="37E895B8">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r>
      <w:tr w14:paraId="57CE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vAlign w:val="center"/>
          </w:tcPr>
          <w:p w14:paraId="078EB77C">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c>
          <w:tcPr>
            <w:tcW w:w="1541" w:type="pct"/>
            <w:vAlign w:val="center"/>
          </w:tcPr>
          <w:p w14:paraId="4D62CFC9">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c>
          <w:tcPr>
            <w:tcW w:w="1600" w:type="pct"/>
            <w:vAlign w:val="center"/>
          </w:tcPr>
          <w:p w14:paraId="2DB39339">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c>
          <w:tcPr>
            <w:tcW w:w="1198" w:type="pct"/>
            <w:vAlign w:val="center"/>
          </w:tcPr>
          <w:p w14:paraId="116BFE9B">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szCs w:val="21"/>
              </w:rPr>
            </w:pPr>
          </w:p>
        </w:tc>
      </w:tr>
    </w:tbl>
    <w:p w14:paraId="75A17951">
      <w:pPr>
        <w:pageBreakBefore w:val="0"/>
        <w:kinsoku/>
        <w:overflowPunct/>
        <w:topLinePunct w:val="0"/>
        <w:bidi w:val="0"/>
        <w:spacing w:line="336" w:lineRule="auto"/>
        <w:ind w:firstLine="600" w:firstLineChars="250"/>
        <w:textAlignment w:val="auto"/>
        <w:rPr>
          <w:rFonts w:hint="eastAsia" w:ascii="宋体" w:hAnsi="宋体" w:eastAsia="宋体" w:cs="宋体"/>
          <w:color w:val="auto"/>
        </w:rPr>
      </w:pPr>
      <w:r>
        <w:rPr>
          <w:rFonts w:hint="eastAsia" w:ascii="宋体" w:hAnsi="宋体" w:eastAsia="宋体" w:cs="宋体"/>
          <w:color w:val="auto"/>
        </w:rPr>
        <w:t>供应商：                                      法定代表人授权代表：</w:t>
      </w:r>
    </w:p>
    <w:p w14:paraId="58F9DB2E">
      <w:pPr>
        <w:pageBreakBefore w:val="0"/>
        <w:kinsoku/>
        <w:overflowPunct/>
        <w:topLinePunct w:val="0"/>
        <w:bidi w:val="0"/>
        <w:spacing w:line="336" w:lineRule="auto"/>
        <w:textAlignment w:val="auto"/>
        <w:rPr>
          <w:rFonts w:hint="eastAsia" w:ascii="宋体" w:hAnsi="宋体" w:eastAsia="宋体" w:cs="宋体"/>
          <w:color w:val="auto"/>
        </w:rPr>
      </w:pPr>
    </w:p>
    <w:p w14:paraId="09100E61">
      <w:pPr>
        <w:pageBreakBefore w:val="0"/>
        <w:kinsoku/>
        <w:overflowPunct/>
        <w:topLinePunct w:val="0"/>
        <w:bidi w:val="0"/>
        <w:spacing w:line="336" w:lineRule="auto"/>
        <w:ind w:firstLine="720" w:firstLineChars="300"/>
        <w:textAlignment w:val="auto"/>
        <w:rPr>
          <w:rFonts w:hint="eastAsia" w:ascii="宋体" w:hAnsi="宋体" w:eastAsia="宋体" w:cs="宋体"/>
          <w:color w:val="auto"/>
        </w:rPr>
      </w:pPr>
      <w:r>
        <w:rPr>
          <w:rFonts w:hint="eastAsia" w:ascii="宋体" w:hAnsi="宋体" w:eastAsia="宋体" w:cs="宋体"/>
          <w:color w:val="auto"/>
        </w:rPr>
        <w:t>（供应商公章）                               （签字或盖章）</w:t>
      </w:r>
    </w:p>
    <w:p w14:paraId="400A663E">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r>
        <w:rPr>
          <w:rFonts w:hint="eastAsia" w:ascii="宋体" w:hAnsi="宋体" w:eastAsia="宋体" w:cs="宋体"/>
          <w:color w:val="auto"/>
        </w:rPr>
        <w:t xml:space="preserve">                                            年     月     日</w:t>
      </w:r>
    </w:p>
    <w:p w14:paraId="5D23E462">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注：</w:t>
      </w:r>
    </w:p>
    <w:p w14:paraId="17CB2C1A">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1.本表即为对本项目“第</w:t>
      </w:r>
      <w:r>
        <w:rPr>
          <w:rFonts w:hint="eastAsia" w:cs="宋体"/>
          <w:color w:val="auto"/>
          <w:lang w:val="en-US" w:eastAsia="zh-CN"/>
        </w:rPr>
        <w:t>二</w:t>
      </w:r>
      <w:r>
        <w:rPr>
          <w:rFonts w:hint="eastAsia" w:ascii="宋体" w:hAnsi="宋体" w:eastAsia="宋体" w:cs="宋体"/>
          <w:color w:val="auto"/>
        </w:rPr>
        <w:t>篇  项目技术需求”中所列技术要求进行比较和响应；</w:t>
      </w:r>
    </w:p>
    <w:p w14:paraId="1730A72B">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2.该表必须按照比选文件要求逐条如实填写，根据响应情况在“差异说明”项填写正偏离或负偏离及原因，完全符合的填写“无差异”；</w:t>
      </w:r>
    </w:p>
    <w:p w14:paraId="3889161F">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3.该表可扩展，并逐页签字或盖章；</w:t>
      </w:r>
    </w:p>
    <w:p w14:paraId="50C81926">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4.可附相关技术支撑材料。（格式自定）</w:t>
      </w:r>
    </w:p>
    <w:p w14:paraId="369C27AF">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p>
    <w:p w14:paraId="275E9C9A">
      <w:pPr>
        <w:pStyle w:val="3"/>
        <w:keepNext/>
        <w:keepLines/>
        <w:pageBreakBefore w:val="0"/>
        <w:widowControl/>
        <w:kinsoku/>
        <w:wordWrap/>
        <w:overflowPunct/>
        <w:topLinePunct w:val="0"/>
        <w:autoSpaceDE/>
        <w:autoSpaceDN/>
        <w:bidi w:val="0"/>
        <w:adjustRightInd/>
        <w:snapToGrid/>
        <w:spacing w:before="0" w:after="0" w:line="336" w:lineRule="auto"/>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Start w:id="216" w:name="_Toc486585242"/>
      <w:bookmarkStart w:id="217" w:name="_Toc486608279"/>
      <w:bookmarkStart w:id="218" w:name="_Toc487204799"/>
      <w:bookmarkStart w:id="219" w:name="_Toc17029"/>
      <w:bookmarkStart w:id="220" w:name="_Toc30276"/>
      <w:bookmarkStart w:id="221" w:name="_Toc108545985"/>
      <w:r>
        <w:rPr>
          <w:rFonts w:hint="eastAsia" w:ascii="宋体" w:hAnsi="宋体" w:eastAsia="宋体" w:cs="宋体"/>
          <w:color w:val="auto"/>
          <w:sz w:val="24"/>
          <w:szCs w:val="24"/>
        </w:rPr>
        <w:t>三、商务部分</w:t>
      </w:r>
      <w:bookmarkEnd w:id="216"/>
      <w:bookmarkEnd w:id="217"/>
      <w:bookmarkEnd w:id="218"/>
      <w:bookmarkEnd w:id="219"/>
      <w:bookmarkEnd w:id="220"/>
      <w:bookmarkEnd w:id="221"/>
    </w:p>
    <w:p w14:paraId="24879C31">
      <w:pPr>
        <w:pageBreakBefore w:val="0"/>
        <w:kinsoku/>
        <w:overflowPunct/>
        <w:topLinePunct w:val="0"/>
        <w:bidi w:val="0"/>
        <w:spacing w:line="336" w:lineRule="auto"/>
        <w:textAlignment w:val="auto"/>
        <w:rPr>
          <w:rFonts w:hint="eastAsia" w:ascii="宋体" w:hAnsi="宋体" w:eastAsia="宋体" w:cs="宋体"/>
          <w:color w:val="auto"/>
        </w:rPr>
      </w:pPr>
      <w:r>
        <w:rPr>
          <w:rFonts w:hint="eastAsia" w:ascii="宋体" w:hAnsi="宋体" w:eastAsia="宋体" w:cs="宋体"/>
          <w:color w:val="auto"/>
        </w:rPr>
        <w:t>（</w:t>
      </w:r>
      <w:r>
        <w:rPr>
          <w:rFonts w:hint="eastAsia" w:cs="宋体"/>
          <w:color w:val="auto"/>
          <w:lang w:val="en-US" w:eastAsia="zh-CN"/>
        </w:rPr>
        <w:t>一</w:t>
      </w:r>
      <w:r>
        <w:rPr>
          <w:rFonts w:hint="eastAsia" w:ascii="宋体" w:hAnsi="宋体" w:eastAsia="宋体" w:cs="宋体"/>
          <w:color w:val="auto"/>
        </w:rPr>
        <w:t>）商务响应偏离表</w:t>
      </w:r>
    </w:p>
    <w:p w14:paraId="13887231">
      <w:pPr>
        <w:pageBreakBefore w:val="0"/>
        <w:kinsoku/>
        <w:overflowPunct/>
        <w:topLinePunct w:val="0"/>
        <w:bidi w:val="0"/>
        <w:snapToGrid w:val="0"/>
        <w:spacing w:line="336" w:lineRule="auto"/>
        <w:jc w:val="center"/>
        <w:textAlignment w:val="auto"/>
        <w:rPr>
          <w:rFonts w:hint="eastAsia" w:ascii="宋体" w:hAnsi="宋体" w:eastAsia="宋体" w:cs="宋体"/>
          <w:b/>
          <w:color w:val="auto"/>
        </w:rPr>
      </w:pPr>
      <w:r>
        <w:rPr>
          <w:rFonts w:hint="eastAsia" w:ascii="宋体" w:hAnsi="宋体" w:eastAsia="宋体" w:cs="宋体"/>
          <w:b/>
          <w:color w:val="auto"/>
        </w:rPr>
        <w:t>商务响应偏离表</w:t>
      </w:r>
    </w:p>
    <w:tbl>
      <w:tblPr>
        <w:tblStyle w:val="24"/>
        <w:tblpPr w:leftFromText="180" w:rightFromText="180" w:vertAnchor="text" w:horzAnchor="page" w:tblpX="1372" w:tblpY="48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3341"/>
        <w:gridCol w:w="2558"/>
        <w:gridCol w:w="2474"/>
      </w:tblGrid>
      <w:tr w14:paraId="72C3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96" w:type="pct"/>
            <w:vAlign w:val="center"/>
          </w:tcPr>
          <w:p w14:paraId="73B7E1BB">
            <w:pPr>
              <w:pageBreakBefore w:val="0"/>
              <w:kinsoku/>
              <w:overflowPunct/>
              <w:topLinePunct w:val="0"/>
              <w:bidi w:val="0"/>
              <w:spacing w:line="336" w:lineRule="auto"/>
              <w:jc w:val="center"/>
              <w:textAlignment w:val="auto"/>
              <w:rPr>
                <w:rFonts w:hint="eastAsia" w:ascii="宋体" w:hAnsi="宋体" w:eastAsia="宋体" w:cs="宋体"/>
                <w:color w:val="auto"/>
              </w:rPr>
            </w:pPr>
            <w:r>
              <w:rPr>
                <w:rFonts w:hint="eastAsia" w:ascii="宋体" w:hAnsi="宋体" w:eastAsia="宋体" w:cs="宋体"/>
                <w:color w:val="auto"/>
              </w:rPr>
              <w:t>序号</w:t>
            </w:r>
          </w:p>
        </w:tc>
        <w:tc>
          <w:tcPr>
            <w:tcW w:w="1677" w:type="pct"/>
            <w:vAlign w:val="center"/>
          </w:tcPr>
          <w:p w14:paraId="117D4229">
            <w:pPr>
              <w:pageBreakBefore w:val="0"/>
              <w:kinsoku/>
              <w:overflowPunct/>
              <w:topLinePunct w:val="0"/>
              <w:bidi w:val="0"/>
              <w:spacing w:line="336" w:lineRule="auto"/>
              <w:jc w:val="center"/>
              <w:textAlignment w:val="auto"/>
              <w:rPr>
                <w:rFonts w:hint="eastAsia" w:ascii="宋体" w:hAnsi="宋体" w:eastAsia="宋体" w:cs="宋体"/>
                <w:color w:val="auto"/>
              </w:rPr>
            </w:pPr>
            <w:r>
              <w:rPr>
                <w:rFonts w:hint="eastAsia" w:ascii="宋体" w:hAnsi="宋体" w:eastAsia="宋体" w:cs="宋体"/>
                <w:color w:val="auto"/>
              </w:rPr>
              <w:t>比选项目需求</w:t>
            </w:r>
          </w:p>
        </w:tc>
        <w:tc>
          <w:tcPr>
            <w:tcW w:w="1284" w:type="pct"/>
            <w:vAlign w:val="center"/>
          </w:tcPr>
          <w:p w14:paraId="0C414793">
            <w:pPr>
              <w:pageBreakBefore w:val="0"/>
              <w:kinsoku/>
              <w:overflowPunct/>
              <w:topLinePunct w:val="0"/>
              <w:bidi w:val="0"/>
              <w:spacing w:line="336" w:lineRule="auto"/>
              <w:jc w:val="center"/>
              <w:textAlignment w:val="auto"/>
              <w:rPr>
                <w:rFonts w:hint="eastAsia" w:ascii="宋体" w:hAnsi="宋体" w:eastAsia="宋体" w:cs="宋体"/>
                <w:color w:val="auto"/>
              </w:rPr>
            </w:pPr>
            <w:r>
              <w:rPr>
                <w:rFonts w:hint="eastAsia" w:ascii="宋体" w:hAnsi="宋体" w:eastAsia="宋体" w:cs="宋体"/>
                <w:color w:val="auto"/>
              </w:rPr>
              <w:t>响应情况</w:t>
            </w:r>
          </w:p>
        </w:tc>
        <w:tc>
          <w:tcPr>
            <w:tcW w:w="1242" w:type="pct"/>
            <w:vAlign w:val="center"/>
          </w:tcPr>
          <w:p w14:paraId="5456130A">
            <w:pPr>
              <w:pageBreakBefore w:val="0"/>
              <w:kinsoku/>
              <w:overflowPunct/>
              <w:topLinePunct w:val="0"/>
              <w:bidi w:val="0"/>
              <w:spacing w:line="336" w:lineRule="auto"/>
              <w:jc w:val="center"/>
              <w:textAlignment w:val="auto"/>
              <w:rPr>
                <w:rFonts w:hint="eastAsia" w:ascii="宋体" w:hAnsi="宋体" w:eastAsia="宋体" w:cs="宋体"/>
                <w:color w:val="auto"/>
              </w:rPr>
            </w:pPr>
            <w:r>
              <w:rPr>
                <w:rFonts w:hint="eastAsia" w:ascii="宋体" w:hAnsi="宋体" w:eastAsia="宋体" w:cs="宋体"/>
                <w:color w:val="auto"/>
              </w:rPr>
              <w:t>偏离说明</w:t>
            </w:r>
          </w:p>
        </w:tc>
      </w:tr>
      <w:tr w14:paraId="2350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6" w:type="pct"/>
            <w:vAlign w:val="center"/>
          </w:tcPr>
          <w:p w14:paraId="190C6897">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rPr>
            </w:pPr>
          </w:p>
        </w:tc>
        <w:tc>
          <w:tcPr>
            <w:tcW w:w="1677" w:type="pct"/>
            <w:vAlign w:val="center"/>
          </w:tcPr>
          <w:p w14:paraId="1D3BE771">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rPr>
            </w:pPr>
          </w:p>
        </w:tc>
        <w:tc>
          <w:tcPr>
            <w:tcW w:w="1284" w:type="pct"/>
            <w:vAlign w:val="center"/>
          </w:tcPr>
          <w:p w14:paraId="1EDF1E06">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rPr>
            </w:pPr>
          </w:p>
        </w:tc>
        <w:tc>
          <w:tcPr>
            <w:tcW w:w="1242" w:type="pct"/>
            <w:vAlign w:val="center"/>
          </w:tcPr>
          <w:p w14:paraId="5060F1B6">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rPr>
            </w:pPr>
          </w:p>
        </w:tc>
      </w:tr>
      <w:tr w14:paraId="63B1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6" w:type="pct"/>
            <w:vAlign w:val="center"/>
          </w:tcPr>
          <w:p w14:paraId="196B722C">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rPr>
            </w:pPr>
          </w:p>
        </w:tc>
        <w:tc>
          <w:tcPr>
            <w:tcW w:w="1677" w:type="pct"/>
            <w:vAlign w:val="center"/>
          </w:tcPr>
          <w:p w14:paraId="06938B9B">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rPr>
            </w:pPr>
          </w:p>
        </w:tc>
        <w:tc>
          <w:tcPr>
            <w:tcW w:w="1284" w:type="pct"/>
            <w:vAlign w:val="center"/>
          </w:tcPr>
          <w:p w14:paraId="454334E3">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rPr>
            </w:pPr>
          </w:p>
        </w:tc>
        <w:tc>
          <w:tcPr>
            <w:tcW w:w="1242" w:type="pct"/>
            <w:vAlign w:val="center"/>
          </w:tcPr>
          <w:p w14:paraId="7EBC2A08">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rPr>
            </w:pPr>
          </w:p>
        </w:tc>
      </w:tr>
      <w:tr w14:paraId="5546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6" w:type="pct"/>
            <w:vAlign w:val="center"/>
          </w:tcPr>
          <w:p w14:paraId="5D25FF61">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rPr>
            </w:pPr>
          </w:p>
        </w:tc>
        <w:tc>
          <w:tcPr>
            <w:tcW w:w="1677" w:type="pct"/>
            <w:vAlign w:val="center"/>
          </w:tcPr>
          <w:p w14:paraId="2B8EF1AD">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rPr>
            </w:pPr>
          </w:p>
        </w:tc>
        <w:tc>
          <w:tcPr>
            <w:tcW w:w="1284" w:type="pct"/>
            <w:vAlign w:val="center"/>
          </w:tcPr>
          <w:p w14:paraId="4677607B">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rPr>
            </w:pPr>
          </w:p>
        </w:tc>
        <w:tc>
          <w:tcPr>
            <w:tcW w:w="1242" w:type="pct"/>
            <w:vAlign w:val="center"/>
          </w:tcPr>
          <w:p w14:paraId="62782B9C">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rPr>
            </w:pPr>
          </w:p>
        </w:tc>
      </w:tr>
      <w:tr w14:paraId="779D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6" w:type="pct"/>
            <w:vAlign w:val="center"/>
          </w:tcPr>
          <w:p w14:paraId="7244A51B">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rPr>
            </w:pPr>
          </w:p>
        </w:tc>
        <w:tc>
          <w:tcPr>
            <w:tcW w:w="1677" w:type="pct"/>
            <w:vAlign w:val="center"/>
          </w:tcPr>
          <w:p w14:paraId="673EE60C">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rPr>
            </w:pPr>
          </w:p>
        </w:tc>
        <w:tc>
          <w:tcPr>
            <w:tcW w:w="1284" w:type="pct"/>
            <w:vAlign w:val="center"/>
          </w:tcPr>
          <w:p w14:paraId="3DCE4AE2">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rPr>
            </w:pPr>
          </w:p>
        </w:tc>
        <w:tc>
          <w:tcPr>
            <w:tcW w:w="1242" w:type="pct"/>
            <w:vAlign w:val="center"/>
          </w:tcPr>
          <w:p w14:paraId="38A7167A">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rPr>
            </w:pPr>
          </w:p>
        </w:tc>
      </w:tr>
      <w:tr w14:paraId="3DAB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6" w:type="pct"/>
            <w:vAlign w:val="center"/>
          </w:tcPr>
          <w:p w14:paraId="770652C0">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rPr>
            </w:pPr>
          </w:p>
        </w:tc>
        <w:tc>
          <w:tcPr>
            <w:tcW w:w="1677" w:type="pct"/>
            <w:vAlign w:val="center"/>
          </w:tcPr>
          <w:p w14:paraId="798FE893">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rPr>
            </w:pPr>
          </w:p>
        </w:tc>
        <w:tc>
          <w:tcPr>
            <w:tcW w:w="1284" w:type="pct"/>
            <w:vAlign w:val="center"/>
          </w:tcPr>
          <w:p w14:paraId="0E032948">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rPr>
            </w:pPr>
          </w:p>
        </w:tc>
        <w:tc>
          <w:tcPr>
            <w:tcW w:w="1242" w:type="pct"/>
            <w:vAlign w:val="center"/>
          </w:tcPr>
          <w:p w14:paraId="441AF29B">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rPr>
            </w:pPr>
          </w:p>
        </w:tc>
      </w:tr>
      <w:tr w14:paraId="1331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6" w:type="pct"/>
            <w:vAlign w:val="center"/>
          </w:tcPr>
          <w:p w14:paraId="5C019939">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rPr>
            </w:pPr>
          </w:p>
        </w:tc>
        <w:tc>
          <w:tcPr>
            <w:tcW w:w="1677" w:type="pct"/>
            <w:vAlign w:val="center"/>
          </w:tcPr>
          <w:p w14:paraId="5C99926B">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rPr>
            </w:pPr>
          </w:p>
        </w:tc>
        <w:tc>
          <w:tcPr>
            <w:tcW w:w="1284" w:type="pct"/>
            <w:vAlign w:val="center"/>
          </w:tcPr>
          <w:p w14:paraId="30818096">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rPr>
            </w:pPr>
          </w:p>
        </w:tc>
        <w:tc>
          <w:tcPr>
            <w:tcW w:w="1242" w:type="pct"/>
            <w:vAlign w:val="center"/>
          </w:tcPr>
          <w:p w14:paraId="32EAD506">
            <w:pPr>
              <w:pageBreakBefore w:val="0"/>
              <w:tabs>
                <w:tab w:val="left" w:pos="6300"/>
              </w:tabs>
              <w:kinsoku/>
              <w:overflowPunct/>
              <w:topLinePunct w:val="0"/>
              <w:bidi w:val="0"/>
              <w:snapToGrid w:val="0"/>
              <w:spacing w:line="336" w:lineRule="auto"/>
              <w:jc w:val="center"/>
              <w:textAlignment w:val="auto"/>
              <w:outlineLvl w:val="0"/>
              <w:rPr>
                <w:rFonts w:hint="eastAsia" w:ascii="宋体" w:hAnsi="宋体" w:eastAsia="宋体" w:cs="宋体"/>
                <w:color w:val="auto"/>
                <w:sz w:val="21"/>
              </w:rPr>
            </w:pPr>
          </w:p>
        </w:tc>
      </w:tr>
    </w:tbl>
    <w:p w14:paraId="302F0840">
      <w:pPr>
        <w:pageBreakBefore w:val="0"/>
        <w:kinsoku/>
        <w:overflowPunct/>
        <w:topLinePunct w:val="0"/>
        <w:bidi w:val="0"/>
        <w:snapToGrid w:val="0"/>
        <w:spacing w:line="336" w:lineRule="auto"/>
        <w:textAlignment w:val="auto"/>
        <w:rPr>
          <w:rFonts w:hint="eastAsia" w:ascii="宋体" w:hAnsi="宋体" w:eastAsia="宋体" w:cs="宋体"/>
          <w:color w:val="auto"/>
        </w:rPr>
      </w:pPr>
    </w:p>
    <w:p w14:paraId="3238E5D6">
      <w:pPr>
        <w:pageBreakBefore w:val="0"/>
        <w:kinsoku/>
        <w:overflowPunct/>
        <w:topLinePunct w:val="0"/>
        <w:bidi w:val="0"/>
        <w:spacing w:line="336" w:lineRule="auto"/>
        <w:ind w:firstLine="600" w:firstLineChars="250"/>
        <w:textAlignment w:val="auto"/>
        <w:rPr>
          <w:rFonts w:hint="eastAsia" w:ascii="宋体" w:hAnsi="宋体" w:eastAsia="宋体" w:cs="宋体"/>
          <w:color w:val="auto"/>
        </w:rPr>
      </w:pPr>
      <w:r>
        <w:rPr>
          <w:rFonts w:hint="eastAsia" w:ascii="宋体" w:hAnsi="宋体" w:eastAsia="宋体" w:cs="宋体"/>
          <w:color w:val="auto"/>
        </w:rPr>
        <w:t>供应商：                                      法定代表人授权代表：</w:t>
      </w:r>
    </w:p>
    <w:p w14:paraId="0BB3AE9C">
      <w:pPr>
        <w:pageBreakBefore w:val="0"/>
        <w:kinsoku/>
        <w:overflowPunct/>
        <w:topLinePunct w:val="0"/>
        <w:bidi w:val="0"/>
        <w:spacing w:line="336" w:lineRule="auto"/>
        <w:ind w:firstLine="360" w:firstLineChars="150"/>
        <w:textAlignment w:val="auto"/>
        <w:rPr>
          <w:rFonts w:hint="eastAsia" w:ascii="宋体" w:hAnsi="宋体" w:eastAsia="宋体" w:cs="宋体"/>
          <w:color w:val="auto"/>
        </w:rPr>
      </w:pPr>
      <w:r>
        <w:rPr>
          <w:rFonts w:hint="eastAsia" w:ascii="宋体" w:hAnsi="宋体" w:eastAsia="宋体" w:cs="宋体"/>
          <w:color w:val="auto"/>
        </w:rPr>
        <w:t>（供应商公章）                                 （签字或盖章）</w:t>
      </w:r>
    </w:p>
    <w:p w14:paraId="5856F627">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r>
        <w:rPr>
          <w:rFonts w:hint="eastAsia" w:ascii="宋体" w:hAnsi="宋体" w:eastAsia="宋体" w:cs="宋体"/>
          <w:color w:val="auto"/>
        </w:rPr>
        <w:t xml:space="preserve">                                            年     月     日</w:t>
      </w:r>
    </w:p>
    <w:p w14:paraId="13A0496E">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注：</w:t>
      </w:r>
    </w:p>
    <w:p w14:paraId="1F394532">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1.本表即为对本项目“第</w:t>
      </w:r>
      <w:r>
        <w:rPr>
          <w:rFonts w:hint="eastAsia" w:cs="宋体"/>
          <w:color w:val="auto"/>
          <w:lang w:val="en-US" w:eastAsia="zh-CN"/>
        </w:rPr>
        <w:t>三</w:t>
      </w:r>
      <w:r>
        <w:rPr>
          <w:rFonts w:hint="eastAsia" w:ascii="宋体" w:hAnsi="宋体" w:eastAsia="宋体" w:cs="宋体"/>
          <w:color w:val="auto"/>
        </w:rPr>
        <w:t>篇 项目商务需求”中所列服务要求进行比较和响应；</w:t>
      </w:r>
    </w:p>
    <w:p w14:paraId="0105FA42">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2.该表必须按照比选要求逐条如实填写，根据响应情况在“差异说明”项填写正偏离或负偏离及原因，完全符合的填写“无差异”；</w:t>
      </w:r>
    </w:p>
    <w:p w14:paraId="6D930C62">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3.该表可扩展，并逐页签字或盖章；</w:t>
      </w:r>
    </w:p>
    <w:p w14:paraId="136C5121">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w:t>
      </w:r>
      <w:r>
        <w:rPr>
          <w:rFonts w:hint="eastAsia" w:cs="宋体"/>
          <w:color w:val="auto"/>
          <w:lang w:val="en-US" w:eastAsia="zh-CN"/>
        </w:rPr>
        <w:t>二</w:t>
      </w:r>
      <w:r>
        <w:rPr>
          <w:rFonts w:hint="eastAsia" w:ascii="宋体" w:hAnsi="宋体" w:eastAsia="宋体" w:cs="宋体"/>
          <w:color w:val="auto"/>
        </w:rPr>
        <w:t>）其它优惠承诺（</w:t>
      </w:r>
      <w:r>
        <w:rPr>
          <w:rFonts w:hint="eastAsia" w:cs="宋体"/>
          <w:color w:val="auto"/>
          <w:lang w:val="en-US" w:eastAsia="zh-CN"/>
        </w:rPr>
        <w:t>如有</w:t>
      </w:r>
      <w:r>
        <w:rPr>
          <w:rFonts w:hint="eastAsia" w:ascii="宋体" w:hAnsi="宋体" w:eastAsia="宋体" w:cs="宋体"/>
          <w:color w:val="auto"/>
        </w:rPr>
        <w:t>）</w:t>
      </w:r>
    </w:p>
    <w:p w14:paraId="74E20C16">
      <w:pPr>
        <w:pStyle w:val="4"/>
        <w:pageBreakBefore w:val="0"/>
        <w:kinsoku/>
        <w:overflowPunct/>
        <w:topLinePunct w:val="0"/>
        <w:bidi w:val="0"/>
        <w:spacing w:before="0" w:after="0" w:line="336" w:lineRule="auto"/>
        <w:textAlignment w:val="auto"/>
        <w:rPr>
          <w:rFonts w:hint="eastAsia" w:ascii="宋体" w:hAnsi="宋体" w:eastAsia="宋体" w:cs="宋体"/>
          <w:color w:val="auto"/>
          <w:sz w:val="24"/>
          <w:szCs w:val="24"/>
        </w:rPr>
      </w:pPr>
      <w:r>
        <w:rPr>
          <w:rFonts w:hint="eastAsia" w:ascii="宋体" w:hAnsi="宋体" w:eastAsia="宋体" w:cs="宋体"/>
          <w:b w:val="0"/>
          <w:color w:val="auto"/>
          <w:sz w:val="24"/>
          <w:szCs w:val="24"/>
        </w:rPr>
        <w:br w:type="page"/>
      </w:r>
      <w:bookmarkStart w:id="222" w:name="_Toc486608280"/>
      <w:bookmarkStart w:id="223" w:name="_Toc487204800"/>
      <w:bookmarkStart w:id="224" w:name="_Toc108545986"/>
      <w:bookmarkStart w:id="225" w:name="_Toc8290"/>
      <w:bookmarkStart w:id="226" w:name="_Toc23557"/>
      <w:bookmarkStart w:id="227" w:name="_Toc486585243"/>
      <w:r>
        <w:rPr>
          <w:rFonts w:hint="eastAsia" w:ascii="宋体" w:hAnsi="宋体" w:eastAsia="宋体" w:cs="宋体"/>
          <w:color w:val="auto"/>
          <w:sz w:val="24"/>
          <w:szCs w:val="24"/>
        </w:rPr>
        <w:t>四、资格条件及其他</w:t>
      </w:r>
      <w:bookmarkEnd w:id="222"/>
      <w:bookmarkEnd w:id="223"/>
      <w:bookmarkEnd w:id="224"/>
      <w:bookmarkEnd w:id="225"/>
      <w:bookmarkEnd w:id="226"/>
      <w:bookmarkEnd w:id="227"/>
    </w:p>
    <w:p w14:paraId="3BA7786E">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（一）营业执照（副本）或事业单位法人证书（副本）复印件或个体工商户营业执照</w:t>
      </w:r>
    </w:p>
    <w:p w14:paraId="6B833C86">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28C6D1D8">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726605A0">
      <w:pPr>
        <w:pageBreakBefore w:val="0"/>
        <w:kinsoku/>
        <w:overflowPunct/>
        <w:topLinePunct w:val="0"/>
        <w:bidi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（二）法定代表人身份证明书（格式）</w:t>
      </w:r>
    </w:p>
    <w:p w14:paraId="6BCF4E48">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10EC5DE9">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r>
        <w:rPr>
          <w:rFonts w:hint="eastAsia" w:ascii="宋体" w:hAnsi="宋体" w:eastAsia="宋体" w:cs="宋体"/>
          <w:color w:val="auto"/>
        </w:rPr>
        <w:t>项目名称：</w:t>
      </w:r>
    </w:p>
    <w:p w14:paraId="0BAFB202">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06B6959B">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（采购代理机构名称）</w:t>
      </w:r>
      <w:r>
        <w:rPr>
          <w:rFonts w:hint="eastAsia" w:ascii="宋体" w:hAnsi="宋体" w:eastAsia="宋体" w:cs="宋体"/>
          <w:color w:val="auto"/>
        </w:rPr>
        <w:t>：</w:t>
      </w:r>
    </w:p>
    <w:p w14:paraId="40BB8D83">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r>
        <w:rPr>
          <w:rFonts w:hint="eastAsia" w:ascii="宋体" w:hAnsi="宋体" w:eastAsia="宋体" w:cs="宋体"/>
          <w:color w:val="auto"/>
          <w:u w:val="single"/>
        </w:rPr>
        <w:t>（法定代表人姓名）</w:t>
      </w:r>
      <w:r>
        <w:rPr>
          <w:rFonts w:hint="eastAsia" w:ascii="宋体" w:hAnsi="宋体" w:eastAsia="宋体" w:cs="宋体"/>
          <w:color w:val="auto"/>
        </w:rPr>
        <w:t>在</w:t>
      </w:r>
      <w:r>
        <w:rPr>
          <w:rFonts w:hint="eastAsia" w:ascii="宋体" w:hAnsi="宋体" w:eastAsia="宋体" w:cs="宋体"/>
          <w:color w:val="auto"/>
          <w:u w:val="single"/>
        </w:rPr>
        <w:t>（供应商名称）</w:t>
      </w:r>
      <w:r>
        <w:rPr>
          <w:rFonts w:hint="eastAsia" w:ascii="宋体" w:hAnsi="宋体" w:eastAsia="宋体" w:cs="宋体"/>
          <w:color w:val="auto"/>
        </w:rPr>
        <w:t>任</w:t>
      </w:r>
      <w:r>
        <w:rPr>
          <w:rFonts w:hint="eastAsia" w:ascii="宋体" w:hAnsi="宋体" w:eastAsia="宋体" w:cs="宋体"/>
          <w:color w:val="auto"/>
          <w:u w:val="single"/>
        </w:rPr>
        <w:t>（职务名称）</w:t>
      </w:r>
      <w:r>
        <w:rPr>
          <w:rFonts w:hint="eastAsia" w:ascii="宋体" w:hAnsi="宋体" w:eastAsia="宋体" w:cs="宋体"/>
          <w:color w:val="auto"/>
        </w:rPr>
        <w:t>职务，是</w:t>
      </w:r>
      <w:r>
        <w:rPr>
          <w:rFonts w:hint="eastAsia" w:ascii="宋体" w:hAnsi="宋体" w:eastAsia="宋体" w:cs="宋体"/>
          <w:color w:val="auto"/>
          <w:u w:val="single"/>
        </w:rPr>
        <w:t>（供应商名称）</w:t>
      </w:r>
      <w:r>
        <w:rPr>
          <w:rFonts w:hint="eastAsia" w:ascii="宋体" w:hAnsi="宋体" w:eastAsia="宋体" w:cs="宋体"/>
          <w:color w:val="auto"/>
        </w:rPr>
        <w:t>的法定代表人。</w:t>
      </w:r>
    </w:p>
    <w:p w14:paraId="1D478A3F">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7E706994">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r>
        <w:rPr>
          <w:rFonts w:hint="eastAsia" w:ascii="宋体" w:hAnsi="宋体" w:eastAsia="宋体" w:cs="宋体"/>
          <w:color w:val="auto"/>
        </w:rPr>
        <w:t>特此证明。</w:t>
      </w:r>
    </w:p>
    <w:p w14:paraId="59B31F59">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18BAF15A">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21587F42">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5A87C68B">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r>
        <w:rPr>
          <w:rFonts w:hint="eastAsia" w:ascii="宋体" w:hAnsi="宋体" w:eastAsia="宋体" w:cs="宋体"/>
          <w:color w:val="auto"/>
        </w:rPr>
        <w:t xml:space="preserve">                                             （供应商公章）</w:t>
      </w:r>
    </w:p>
    <w:p w14:paraId="5AD44494">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7F3529B9">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r>
        <w:rPr>
          <w:rFonts w:hint="eastAsia" w:ascii="宋体" w:hAnsi="宋体" w:eastAsia="宋体" w:cs="宋体"/>
          <w:color w:val="auto"/>
        </w:rPr>
        <w:t xml:space="preserve">                                             年   月   日</w:t>
      </w:r>
    </w:p>
    <w:p w14:paraId="25941CF8">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46F37AA6">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r>
        <w:rPr>
          <w:rFonts w:hint="eastAsia" w:ascii="宋体" w:hAnsi="宋体" w:eastAsia="宋体" w:cs="宋体"/>
          <w:color w:val="auto"/>
        </w:rPr>
        <w:t>（附：法定代表人身份证正反面复印件）</w:t>
      </w:r>
    </w:p>
    <w:p w14:paraId="181C773C">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7CFBFA34">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4B249ECC">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7622DDA7">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2760591D">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7DA76FDC">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13C823DB">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r>
        <w:rPr>
          <w:rFonts w:hint="eastAsia" w:ascii="宋体" w:hAnsi="宋体" w:eastAsia="宋体" w:cs="宋体"/>
          <w:color w:val="auto"/>
        </w:rPr>
        <w:br w:type="column"/>
      </w:r>
      <w:r>
        <w:rPr>
          <w:rFonts w:hint="eastAsia" w:ascii="宋体" w:hAnsi="宋体" w:eastAsia="宋体" w:cs="宋体"/>
          <w:color w:val="auto"/>
        </w:rPr>
        <w:t>（三）法定代表人授权委托书（格式）</w:t>
      </w:r>
    </w:p>
    <w:p w14:paraId="29754D73">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78699D11">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项目名称：</w:t>
      </w:r>
    </w:p>
    <w:p w14:paraId="4844B77B">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7ED2C06E">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（采购代理机构名称）</w:t>
      </w:r>
      <w:r>
        <w:rPr>
          <w:rFonts w:hint="eastAsia" w:ascii="宋体" w:hAnsi="宋体" w:eastAsia="宋体" w:cs="宋体"/>
          <w:color w:val="auto"/>
        </w:rPr>
        <w:t>：</w:t>
      </w:r>
    </w:p>
    <w:p w14:paraId="344FF8D1">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u w:val="single"/>
        </w:rPr>
        <w:t>（供应商法定代表人名称）</w:t>
      </w:r>
      <w:r>
        <w:rPr>
          <w:rFonts w:hint="eastAsia" w:ascii="宋体" w:hAnsi="宋体" w:eastAsia="宋体" w:cs="宋体"/>
          <w:color w:val="auto"/>
        </w:rPr>
        <w:t>是</w:t>
      </w:r>
      <w:r>
        <w:rPr>
          <w:rFonts w:hint="eastAsia" w:ascii="宋体" w:hAnsi="宋体" w:eastAsia="宋体" w:cs="宋体"/>
          <w:color w:val="auto"/>
          <w:u w:val="single"/>
        </w:rPr>
        <w:t>（供应商名称）</w:t>
      </w:r>
      <w:r>
        <w:rPr>
          <w:rFonts w:hint="eastAsia" w:ascii="宋体" w:hAnsi="宋体" w:eastAsia="宋体" w:cs="宋体"/>
          <w:color w:val="auto"/>
        </w:rPr>
        <w:t>的法定代表人，特授权</w:t>
      </w:r>
      <w:r>
        <w:rPr>
          <w:rFonts w:hint="eastAsia" w:ascii="宋体" w:hAnsi="宋体" w:eastAsia="宋体" w:cs="宋体"/>
          <w:color w:val="auto"/>
          <w:u w:val="single"/>
        </w:rPr>
        <w:t>（被授权人姓名及身份证代码）</w:t>
      </w:r>
      <w:r>
        <w:rPr>
          <w:rFonts w:hint="eastAsia" w:ascii="宋体" w:hAnsi="宋体" w:eastAsia="宋体" w:cs="宋体"/>
          <w:color w:val="auto"/>
        </w:rPr>
        <w:t>代表我单位全权办理上述项目的比选、签约等具体工作，并签署全部有关文件、协议及合同。</w:t>
      </w:r>
    </w:p>
    <w:p w14:paraId="4707DB6D">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我单位对被授权人的签字负全部责任。</w:t>
      </w:r>
    </w:p>
    <w:p w14:paraId="2DDAD49B">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在撤消授权的书面通知以前，本授权书一直有效。被授权人在授权书有效期内签署的所有文件不因授权的撤消而失效。</w:t>
      </w:r>
    </w:p>
    <w:p w14:paraId="2E9BE77D">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0ED994D7">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7CF0AD52">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r>
        <w:rPr>
          <w:rFonts w:hint="eastAsia" w:ascii="宋体" w:hAnsi="宋体" w:eastAsia="宋体" w:cs="宋体"/>
          <w:color w:val="auto"/>
        </w:rPr>
        <w:t>被授权人：                                   供应商法定代表人：</w:t>
      </w:r>
    </w:p>
    <w:p w14:paraId="189C54CB">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r>
        <w:rPr>
          <w:rFonts w:hint="eastAsia" w:ascii="宋体" w:hAnsi="宋体" w:eastAsia="宋体" w:cs="宋体"/>
          <w:color w:val="auto"/>
        </w:rPr>
        <w:t>（签字或盖章）                              （签字或盖章）</w:t>
      </w:r>
    </w:p>
    <w:p w14:paraId="5E5AC2E7">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76E41422">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7A238DD7">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r>
        <w:rPr>
          <w:rFonts w:hint="eastAsia" w:ascii="宋体" w:hAnsi="宋体" w:eastAsia="宋体" w:cs="宋体"/>
          <w:color w:val="auto"/>
        </w:rPr>
        <w:t>（附：被授权人身份证正反面复印件）</w:t>
      </w:r>
    </w:p>
    <w:p w14:paraId="722BFC4D">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5D55FA01">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2FCBBED5">
      <w:pPr>
        <w:pageBreakBefore w:val="0"/>
        <w:tabs>
          <w:tab w:val="left" w:pos="6300"/>
        </w:tabs>
        <w:kinsoku/>
        <w:overflowPunct/>
        <w:topLinePunct w:val="0"/>
        <w:bidi w:val="0"/>
        <w:snapToGrid w:val="0"/>
        <w:spacing w:line="336" w:lineRule="auto"/>
        <w:ind w:firstLine="570"/>
        <w:textAlignment w:val="auto"/>
        <w:rPr>
          <w:rFonts w:hint="eastAsia" w:ascii="宋体" w:hAnsi="宋体" w:eastAsia="宋体" w:cs="宋体"/>
          <w:color w:val="auto"/>
        </w:rPr>
      </w:pPr>
    </w:p>
    <w:p w14:paraId="42828608">
      <w:pPr>
        <w:pageBreakBefore w:val="0"/>
        <w:tabs>
          <w:tab w:val="left" w:pos="6300"/>
        </w:tabs>
        <w:kinsoku/>
        <w:overflowPunct/>
        <w:topLinePunct w:val="0"/>
        <w:bidi w:val="0"/>
        <w:snapToGrid w:val="0"/>
        <w:spacing w:line="336" w:lineRule="auto"/>
        <w:ind w:right="480" w:firstLine="570"/>
        <w:jc w:val="right"/>
        <w:textAlignment w:val="auto"/>
        <w:rPr>
          <w:rFonts w:hint="eastAsia" w:ascii="宋体" w:hAnsi="宋体" w:eastAsia="宋体" w:cs="宋体"/>
          <w:color w:val="auto"/>
        </w:rPr>
      </w:pPr>
      <w:r>
        <w:rPr>
          <w:rFonts w:hint="eastAsia" w:ascii="宋体" w:hAnsi="宋体" w:eastAsia="宋体" w:cs="宋体"/>
          <w:color w:val="auto"/>
        </w:rPr>
        <w:t>（供应商公章）</w:t>
      </w:r>
    </w:p>
    <w:p w14:paraId="43155BB9">
      <w:pPr>
        <w:pageBreakBefore w:val="0"/>
        <w:tabs>
          <w:tab w:val="left" w:pos="6300"/>
        </w:tabs>
        <w:kinsoku/>
        <w:overflowPunct/>
        <w:topLinePunct w:val="0"/>
        <w:bidi w:val="0"/>
        <w:snapToGrid w:val="0"/>
        <w:spacing w:line="336" w:lineRule="auto"/>
        <w:ind w:right="480" w:firstLine="570"/>
        <w:jc w:val="right"/>
        <w:textAlignment w:val="auto"/>
        <w:rPr>
          <w:rFonts w:hint="eastAsia" w:ascii="宋体" w:hAnsi="宋体" w:eastAsia="宋体" w:cs="宋体"/>
          <w:color w:val="auto"/>
        </w:rPr>
      </w:pPr>
      <w:r>
        <w:rPr>
          <w:rFonts w:hint="eastAsia" w:ascii="宋体" w:hAnsi="宋体" w:eastAsia="宋体" w:cs="宋体"/>
          <w:color w:val="auto"/>
        </w:rPr>
        <w:t>年   月   日</w:t>
      </w:r>
    </w:p>
    <w:p w14:paraId="0A6FA183">
      <w:pPr>
        <w:pageBreakBefore w:val="0"/>
        <w:kinsoku/>
        <w:overflowPunct/>
        <w:topLinePunct w:val="0"/>
        <w:bidi w:val="0"/>
        <w:spacing w:line="336" w:lineRule="auto"/>
        <w:textAlignment w:val="auto"/>
        <w:rPr>
          <w:rFonts w:hint="eastAsia" w:ascii="宋体" w:hAnsi="宋体" w:eastAsia="宋体" w:cs="宋体"/>
          <w:color w:val="auto"/>
        </w:rPr>
      </w:pPr>
      <w:r>
        <w:rPr>
          <w:rFonts w:hint="eastAsia" w:ascii="宋体" w:hAnsi="宋体" w:eastAsia="宋体" w:cs="宋体"/>
          <w:color w:val="auto"/>
        </w:rPr>
        <w:br w:type="page"/>
      </w:r>
    </w:p>
    <w:p w14:paraId="10DE616A">
      <w:pPr>
        <w:pageBreakBefore w:val="0"/>
        <w:tabs>
          <w:tab w:val="left" w:pos="6300"/>
        </w:tabs>
        <w:kinsoku/>
        <w:overflowPunct/>
        <w:topLinePunct w:val="0"/>
        <w:bidi w:val="0"/>
        <w:snapToGrid w:val="0"/>
        <w:spacing w:line="336" w:lineRule="auto"/>
        <w:ind w:right="480" w:firstLine="570"/>
        <w:jc w:val="right"/>
        <w:textAlignment w:val="auto"/>
        <w:rPr>
          <w:rFonts w:hint="eastAsia" w:ascii="宋体" w:hAnsi="宋体" w:eastAsia="宋体" w:cs="宋体"/>
          <w:color w:val="auto"/>
        </w:rPr>
      </w:pPr>
    </w:p>
    <w:p w14:paraId="7AD797EE">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（四）基本资格条件承诺函</w:t>
      </w:r>
    </w:p>
    <w:p w14:paraId="7AFF7B33">
      <w:pPr>
        <w:pageBreakBefore w:val="0"/>
        <w:tabs>
          <w:tab w:val="left" w:pos="6300"/>
        </w:tabs>
        <w:kinsoku/>
        <w:overflowPunct/>
        <w:topLinePunct w:val="0"/>
        <w:bidi w:val="0"/>
        <w:snapToGrid w:val="0"/>
        <w:spacing w:line="336" w:lineRule="auto"/>
        <w:textAlignment w:val="auto"/>
        <w:rPr>
          <w:rFonts w:hint="eastAsia" w:ascii="宋体" w:hAnsi="宋体" w:eastAsia="宋体" w:cs="宋体"/>
          <w:color w:val="auto"/>
        </w:rPr>
      </w:pPr>
    </w:p>
    <w:p w14:paraId="6B2544CF">
      <w:pPr>
        <w:pageBreakBefore w:val="0"/>
        <w:tabs>
          <w:tab w:val="left" w:pos="6300"/>
        </w:tabs>
        <w:kinsoku/>
        <w:overflowPunct/>
        <w:topLinePunct w:val="0"/>
        <w:bidi w:val="0"/>
        <w:snapToGrid w:val="0"/>
        <w:spacing w:line="336" w:lineRule="auto"/>
        <w:ind w:firstLine="640" w:firstLineChars="200"/>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基本资格条件承诺函</w:t>
      </w:r>
    </w:p>
    <w:p w14:paraId="709B726F">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致 </w:t>
      </w:r>
    </w:p>
    <w:p w14:paraId="33D1EE2A">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（采购</w:t>
      </w:r>
      <w:r>
        <w:rPr>
          <w:rFonts w:hint="eastAsia" w:cs="宋体"/>
          <w:color w:val="auto"/>
          <w:lang w:val="en-US" w:eastAsia="zh-CN"/>
        </w:rPr>
        <w:t>人</w:t>
      </w:r>
      <w:r>
        <w:rPr>
          <w:rFonts w:hint="eastAsia" w:ascii="宋体" w:hAnsi="宋体" w:eastAsia="宋体" w:cs="宋体"/>
          <w:color w:val="auto"/>
        </w:rPr>
        <w:t xml:space="preserve">名称）： </w:t>
      </w:r>
    </w:p>
    <w:p w14:paraId="219FC71F">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eastAsia="zh-CN"/>
        </w:rPr>
        <w:t>供应商</w:t>
      </w:r>
      <w:r>
        <w:rPr>
          <w:rFonts w:hint="eastAsia" w:ascii="宋体" w:hAnsi="宋体" w:eastAsia="宋体" w:cs="宋体"/>
          <w:color w:val="auto"/>
        </w:rPr>
        <w:t xml:space="preserve">名称）郑重承诺： </w:t>
      </w:r>
    </w:p>
    <w:p w14:paraId="75F066EF">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14:paraId="5BFC91B6">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2.我方未列入在信用中国网站（www.creditchina.gov.cn）“失信被执行人”、“重大税收违法案件当事人名单”中，也未列入中国政府采购网（www.ccgp.gov.cn）“政府采购严重违法失信行为记录名单”中。 </w:t>
      </w:r>
    </w:p>
    <w:p w14:paraId="2ECF89A5">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3.我方在采购项目评审（评标）环节结束后，随时接受采购人、采购代理机构的检查验证，配合提供相关证明材料，证明符合《中华人民共和国政府采购法》规定的</w:t>
      </w:r>
      <w:r>
        <w:rPr>
          <w:rFonts w:hint="eastAsia" w:ascii="宋体" w:hAnsi="宋体" w:eastAsia="宋体" w:cs="宋体"/>
          <w:color w:val="auto"/>
          <w:lang w:eastAsia="zh-CN"/>
        </w:rPr>
        <w:t>供应商</w:t>
      </w:r>
      <w:r>
        <w:rPr>
          <w:rFonts w:hint="eastAsia" w:ascii="宋体" w:hAnsi="宋体" w:eastAsia="宋体" w:cs="宋体"/>
          <w:color w:val="auto"/>
        </w:rPr>
        <w:t>基本资格条件。我方对以上承诺负全部法律责任。特此承诺。</w:t>
      </w:r>
    </w:p>
    <w:p w14:paraId="65AEF054">
      <w:pPr>
        <w:pStyle w:val="7"/>
        <w:pageBreakBefore w:val="0"/>
        <w:kinsoku/>
        <w:overflowPunct/>
        <w:topLinePunct w:val="0"/>
        <w:bidi w:val="0"/>
        <w:spacing w:line="336" w:lineRule="auto"/>
        <w:textAlignment w:val="auto"/>
        <w:rPr>
          <w:rFonts w:hint="eastAsia" w:ascii="宋体" w:hAnsi="宋体" w:eastAsia="宋体" w:cs="宋体"/>
          <w:color w:val="auto"/>
        </w:rPr>
      </w:pPr>
    </w:p>
    <w:p w14:paraId="1B270348">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lang w:eastAsia="zh-CN"/>
        </w:rPr>
        <w:t>供应商</w:t>
      </w:r>
      <w:r>
        <w:rPr>
          <w:rFonts w:hint="eastAsia" w:ascii="宋体" w:hAnsi="宋体" w:eastAsia="宋体" w:cs="宋体"/>
          <w:color w:val="auto"/>
        </w:rPr>
        <w:t xml:space="preserve">公章） </w:t>
      </w:r>
    </w:p>
    <w:p w14:paraId="4F404B48">
      <w:pPr>
        <w:pageBreakBefore w:val="0"/>
        <w:tabs>
          <w:tab w:val="left" w:pos="6300"/>
        </w:tabs>
        <w:kinsoku/>
        <w:overflowPunct/>
        <w:topLinePunct w:val="0"/>
        <w:bidi w:val="0"/>
        <w:snapToGrid w:val="0"/>
        <w:spacing w:line="336"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                                              年     月      日</w:t>
      </w:r>
    </w:p>
    <w:p w14:paraId="1A206C7F">
      <w:pPr>
        <w:pageBreakBefore w:val="0"/>
        <w:tabs>
          <w:tab w:val="left" w:pos="6300"/>
        </w:tabs>
        <w:kinsoku/>
        <w:overflowPunct/>
        <w:topLinePunct w:val="0"/>
        <w:bidi w:val="0"/>
        <w:snapToGrid w:val="0"/>
        <w:spacing w:line="336" w:lineRule="auto"/>
        <w:textAlignment w:val="auto"/>
        <w:rPr>
          <w:rFonts w:hint="eastAsia" w:ascii="宋体" w:hAnsi="宋体" w:eastAsia="宋体" w:cs="宋体"/>
          <w:color w:val="auto"/>
        </w:rPr>
      </w:pPr>
      <w:r>
        <w:rPr>
          <w:rFonts w:hint="eastAsia" w:ascii="宋体" w:hAnsi="宋体" w:eastAsia="宋体" w:cs="宋体"/>
          <w:color w:val="auto"/>
        </w:rPr>
        <w:br w:type="page"/>
      </w:r>
    </w:p>
    <w:p w14:paraId="093E2A45">
      <w:pPr>
        <w:pStyle w:val="4"/>
        <w:pageBreakBefore w:val="0"/>
        <w:kinsoku/>
        <w:overflowPunct/>
        <w:topLinePunct w:val="0"/>
        <w:bidi w:val="0"/>
        <w:spacing w:line="336" w:lineRule="auto"/>
        <w:textAlignment w:val="auto"/>
        <w:rPr>
          <w:rFonts w:hint="eastAsia" w:ascii="宋体" w:hAnsi="宋体" w:eastAsia="宋体" w:cs="宋体"/>
          <w:color w:val="auto"/>
          <w:sz w:val="24"/>
          <w:szCs w:val="24"/>
        </w:rPr>
      </w:pPr>
      <w:bookmarkStart w:id="228" w:name="_Toc11824"/>
      <w:bookmarkStart w:id="229" w:name="_Toc486585244"/>
      <w:bookmarkStart w:id="230" w:name="_Toc486608281"/>
      <w:bookmarkStart w:id="231" w:name="_Toc108545987"/>
      <w:bookmarkStart w:id="232" w:name="_Toc29032"/>
      <w:bookmarkStart w:id="233" w:name="_Toc487204801"/>
      <w:r>
        <w:rPr>
          <w:rFonts w:hint="eastAsia" w:ascii="宋体" w:hAnsi="宋体" w:eastAsia="宋体" w:cs="宋体"/>
          <w:color w:val="auto"/>
          <w:sz w:val="24"/>
          <w:szCs w:val="24"/>
        </w:rPr>
        <w:t>五、其他应提供的资料</w:t>
      </w:r>
      <w:bookmarkEnd w:id="228"/>
      <w:bookmarkEnd w:id="229"/>
      <w:bookmarkEnd w:id="230"/>
      <w:bookmarkEnd w:id="231"/>
      <w:bookmarkEnd w:id="232"/>
      <w:bookmarkEnd w:id="233"/>
    </w:p>
    <w:p w14:paraId="4ECDD02D">
      <w:pPr>
        <w:pageBreakBefore w:val="0"/>
        <w:kinsoku/>
        <w:overflowPunct/>
        <w:topLinePunct w:val="0"/>
        <w:bidi w:val="0"/>
        <w:spacing w:line="336" w:lineRule="auto"/>
        <w:textAlignment w:val="auto"/>
        <w:rPr>
          <w:rFonts w:hint="eastAsia" w:ascii="宋体" w:hAnsi="宋体" w:eastAsia="宋体" w:cs="宋体"/>
          <w:color w:val="auto"/>
        </w:rPr>
      </w:pPr>
      <w:r>
        <w:rPr>
          <w:rFonts w:hint="eastAsia" w:ascii="宋体" w:hAnsi="宋体" w:eastAsia="宋体" w:cs="宋体"/>
          <w:color w:val="auto"/>
        </w:rPr>
        <w:t>（一）其他与项目有关的资料（如有）</w:t>
      </w:r>
    </w:p>
    <w:p w14:paraId="1980B7C9">
      <w:pPr>
        <w:pageBreakBefore w:val="0"/>
        <w:kinsoku/>
        <w:overflowPunct/>
        <w:topLinePunct w:val="0"/>
        <w:bidi w:val="0"/>
        <w:spacing w:line="336" w:lineRule="auto"/>
        <w:textAlignment w:val="auto"/>
        <w:rPr>
          <w:rFonts w:hint="eastAsia" w:ascii="宋体" w:hAnsi="宋体" w:eastAsia="宋体" w:cs="宋体"/>
          <w:color w:val="auto"/>
        </w:rPr>
      </w:pPr>
      <w:r>
        <w:rPr>
          <w:rFonts w:hint="eastAsia" w:ascii="宋体" w:hAnsi="宋体" w:eastAsia="宋体" w:cs="宋体"/>
          <w:color w:val="auto"/>
        </w:rPr>
        <w:t>其他与项目有关的资料（自附）：其他与本项目有关的资料等。</w:t>
      </w:r>
    </w:p>
    <w:p w14:paraId="4458EA2C">
      <w:pPr>
        <w:pageBreakBefore w:val="0"/>
        <w:kinsoku/>
        <w:overflowPunct/>
        <w:topLinePunct w:val="0"/>
        <w:bidi w:val="0"/>
        <w:spacing w:line="336" w:lineRule="auto"/>
        <w:textAlignment w:val="auto"/>
        <w:rPr>
          <w:rFonts w:hint="eastAsia" w:ascii="宋体" w:hAnsi="宋体" w:eastAsia="宋体" w:cs="宋体"/>
          <w:color w:val="auto"/>
        </w:rPr>
      </w:pPr>
    </w:p>
    <w:p w14:paraId="78A7ABFE">
      <w:pPr>
        <w:pageBreakBefore w:val="0"/>
        <w:kinsoku/>
        <w:overflowPunct/>
        <w:topLinePunct w:val="0"/>
        <w:bidi w:val="0"/>
        <w:spacing w:line="336" w:lineRule="auto"/>
        <w:textAlignment w:val="auto"/>
        <w:rPr>
          <w:rFonts w:hint="eastAsia" w:ascii="宋体" w:hAnsi="宋体" w:eastAsia="宋体" w:cs="宋体"/>
          <w:color w:val="auto"/>
        </w:rPr>
      </w:pPr>
    </w:p>
    <w:p w14:paraId="115D01B4">
      <w:pPr>
        <w:pageBreakBefore w:val="0"/>
        <w:kinsoku/>
        <w:overflowPunct/>
        <w:topLinePunct w:val="0"/>
        <w:bidi w:val="0"/>
        <w:spacing w:line="336" w:lineRule="auto"/>
        <w:textAlignment w:val="auto"/>
        <w:rPr>
          <w:rFonts w:hint="eastAsia" w:ascii="宋体" w:hAnsi="宋体" w:eastAsia="宋体" w:cs="宋体"/>
          <w:color w:val="auto"/>
        </w:rPr>
      </w:pPr>
    </w:p>
    <w:p w14:paraId="350521FA">
      <w:pPr>
        <w:pageBreakBefore w:val="0"/>
        <w:kinsoku/>
        <w:overflowPunct/>
        <w:topLinePunct w:val="0"/>
        <w:bidi w:val="0"/>
        <w:spacing w:line="336" w:lineRule="auto"/>
        <w:textAlignment w:val="auto"/>
        <w:rPr>
          <w:rFonts w:hint="eastAsia" w:ascii="宋体" w:hAnsi="宋体" w:eastAsia="宋体" w:cs="宋体"/>
          <w:color w:val="auto"/>
        </w:rPr>
      </w:pPr>
    </w:p>
    <w:p w14:paraId="652139EA">
      <w:pPr>
        <w:pageBreakBefore w:val="0"/>
        <w:kinsoku/>
        <w:overflowPunct/>
        <w:topLinePunct w:val="0"/>
        <w:bidi w:val="0"/>
        <w:spacing w:line="336" w:lineRule="auto"/>
        <w:jc w:val="center"/>
        <w:textAlignment w:val="auto"/>
        <w:rPr>
          <w:rFonts w:hint="eastAsia" w:ascii="宋体" w:hAnsi="宋体" w:eastAsia="宋体" w:cs="宋体"/>
          <w:color w:val="auto"/>
        </w:rPr>
      </w:pPr>
    </w:p>
    <w:p w14:paraId="44A4D89A">
      <w:pPr>
        <w:pageBreakBefore w:val="0"/>
        <w:kinsoku/>
        <w:overflowPunct/>
        <w:topLinePunct w:val="0"/>
        <w:bidi w:val="0"/>
        <w:spacing w:line="336" w:lineRule="auto"/>
        <w:jc w:val="center"/>
        <w:textAlignment w:val="auto"/>
        <w:rPr>
          <w:rFonts w:hint="eastAsia" w:ascii="宋体" w:hAnsi="宋体" w:eastAsia="宋体" w:cs="宋体"/>
          <w:color w:val="auto"/>
        </w:rPr>
      </w:pPr>
    </w:p>
    <w:p w14:paraId="1B4A329D">
      <w:pPr>
        <w:pageBreakBefore w:val="0"/>
        <w:kinsoku/>
        <w:overflowPunct/>
        <w:topLinePunct w:val="0"/>
        <w:bidi w:val="0"/>
        <w:spacing w:line="336" w:lineRule="auto"/>
        <w:jc w:val="center"/>
        <w:textAlignment w:val="auto"/>
        <w:rPr>
          <w:rFonts w:hint="eastAsia" w:ascii="宋体" w:hAnsi="宋体" w:eastAsia="宋体" w:cs="宋体"/>
          <w:color w:val="auto"/>
        </w:rPr>
      </w:pPr>
    </w:p>
    <w:p w14:paraId="39CFCEBE">
      <w:pPr>
        <w:pageBreakBefore w:val="0"/>
        <w:kinsoku/>
        <w:overflowPunct/>
        <w:topLinePunct w:val="0"/>
        <w:bidi w:val="0"/>
        <w:spacing w:line="336" w:lineRule="auto"/>
        <w:jc w:val="center"/>
        <w:textAlignment w:val="auto"/>
        <w:rPr>
          <w:rFonts w:hint="eastAsia" w:ascii="宋体" w:hAnsi="宋体" w:eastAsia="宋体" w:cs="宋体"/>
          <w:color w:val="auto"/>
        </w:rPr>
      </w:pPr>
    </w:p>
    <w:p w14:paraId="2ED53FC0">
      <w:pPr>
        <w:pageBreakBefore w:val="0"/>
        <w:kinsoku/>
        <w:overflowPunct/>
        <w:topLinePunct w:val="0"/>
        <w:bidi w:val="0"/>
        <w:spacing w:line="336" w:lineRule="auto"/>
        <w:jc w:val="center"/>
        <w:textAlignment w:val="auto"/>
        <w:rPr>
          <w:rFonts w:hint="eastAsia" w:ascii="宋体" w:hAnsi="宋体" w:eastAsia="宋体" w:cs="宋体"/>
          <w:color w:val="auto"/>
        </w:rPr>
      </w:pPr>
    </w:p>
    <w:p w14:paraId="51059B69">
      <w:pPr>
        <w:pageBreakBefore w:val="0"/>
        <w:kinsoku/>
        <w:overflowPunct/>
        <w:topLinePunct w:val="0"/>
        <w:bidi w:val="0"/>
        <w:spacing w:line="336" w:lineRule="auto"/>
        <w:jc w:val="center"/>
        <w:textAlignment w:val="auto"/>
        <w:rPr>
          <w:rFonts w:hint="eastAsia" w:ascii="宋体" w:hAnsi="宋体" w:eastAsia="宋体" w:cs="宋体"/>
          <w:color w:val="auto"/>
        </w:rPr>
      </w:pPr>
    </w:p>
    <w:p w14:paraId="3E054482">
      <w:pPr>
        <w:pageBreakBefore w:val="0"/>
        <w:kinsoku/>
        <w:overflowPunct/>
        <w:topLinePunct w:val="0"/>
        <w:bidi w:val="0"/>
        <w:spacing w:line="336" w:lineRule="auto"/>
        <w:jc w:val="center"/>
        <w:textAlignment w:val="auto"/>
        <w:rPr>
          <w:rFonts w:hint="eastAsia" w:ascii="宋体" w:hAnsi="宋体" w:eastAsia="宋体" w:cs="宋体"/>
          <w:color w:val="auto"/>
        </w:rPr>
      </w:pPr>
    </w:p>
    <w:p w14:paraId="2F302120">
      <w:pPr>
        <w:pageBreakBefore w:val="0"/>
        <w:kinsoku/>
        <w:overflowPunct/>
        <w:topLinePunct w:val="0"/>
        <w:bidi w:val="0"/>
        <w:spacing w:line="336" w:lineRule="auto"/>
        <w:jc w:val="center"/>
        <w:textAlignment w:val="auto"/>
        <w:rPr>
          <w:rFonts w:hint="eastAsia" w:ascii="宋体" w:hAnsi="宋体" w:eastAsia="宋体" w:cs="宋体"/>
          <w:color w:val="auto"/>
        </w:rPr>
      </w:pPr>
      <w:r>
        <w:rPr>
          <w:rFonts w:hint="eastAsia" w:ascii="宋体" w:hAnsi="宋体" w:eastAsia="宋体" w:cs="宋体"/>
          <w:color w:val="auto"/>
        </w:rPr>
        <w:t>（结束）</w:t>
      </w:r>
    </w:p>
    <w:p w14:paraId="152F4361">
      <w:pPr>
        <w:pStyle w:val="7"/>
        <w:pageBreakBefore w:val="0"/>
        <w:kinsoku/>
        <w:overflowPunct/>
        <w:topLinePunct w:val="0"/>
        <w:bidi w:val="0"/>
        <w:spacing w:line="336" w:lineRule="auto"/>
        <w:textAlignment w:val="auto"/>
        <w:rPr>
          <w:rFonts w:hint="eastAsia" w:ascii="宋体" w:hAnsi="宋体" w:eastAsia="宋体" w:cs="宋体"/>
          <w:color w:val="auto"/>
        </w:rPr>
      </w:pPr>
    </w:p>
    <w:p w14:paraId="5558DDCF">
      <w:pPr>
        <w:pStyle w:val="7"/>
        <w:pageBreakBefore w:val="0"/>
        <w:kinsoku/>
        <w:overflowPunct/>
        <w:topLinePunct w:val="0"/>
        <w:bidi w:val="0"/>
        <w:spacing w:line="336" w:lineRule="auto"/>
        <w:textAlignment w:val="auto"/>
        <w:rPr>
          <w:rFonts w:hint="eastAsia" w:ascii="宋体" w:hAnsi="宋体" w:eastAsia="宋体" w:cs="宋体"/>
          <w:color w:val="auto"/>
        </w:rPr>
      </w:pPr>
    </w:p>
    <w:p w14:paraId="2B7ADAAA">
      <w:pPr>
        <w:pStyle w:val="7"/>
        <w:pageBreakBefore w:val="0"/>
        <w:kinsoku/>
        <w:overflowPunct/>
        <w:topLinePunct w:val="0"/>
        <w:bidi w:val="0"/>
        <w:spacing w:line="336" w:lineRule="auto"/>
        <w:textAlignment w:val="auto"/>
        <w:rPr>
          <w:rFonts w:hint="eastAsia" w:ascii="宋体" w:hAnsi="宋体" w:eastAsia="宋体" w:cs="宋体"/>
          <w:color w:val="auto"/>
        </w:rPr>
      </w:pPr>
    </w:p>
    <w:p w14:paraId="6486D2B6">
      <w:pPr>
        <w:pStyle w:val="7"/>
        <w:pageBreakBefore w:val="0"/>
        <w:kinsoku/>
        <w:overflowPunct/>
        <w:topLinePunct w:val="0"/>
        <w:bidi w:val="0"/>
        <w:spacing w:line="336" w:lineRule="auto"/>
        <w:textAlignment w:val="auto"/>
        <w:rPr>
          <w:rFonts w:hint="eastAsia" w:ascii="宋体" w:hAnsi="宋体" w:eastAsia="宋体" w:cs="宋体"/>
          <w:color w:val="auto"/>
        </w:rPr>
      </w:pPr>
    </w:p>
    <w:p w14:paraId="6AB1C64B">
      <w:pPr>
        <w:pStyle w:val="7"/>
        <w:pageBreakBefore w:val="0"/>
        <w:kinsoku/>
        <w:overflowPunct/>
        <w:topLinePunct w:val="0"/>
        <w:bidi w:val="0"/>
        <w:spacing w:line="336" w:lineRule="auto"/>
        <w:textAlignment w:val="auto"/>
        <w:rPr>
          <w:rFonts w:hint="eastAsia" w:ascii="宋体" w:hAnsi="宋体" w:eastAsia="宋体" w:cs="宋体"/>
          <w:color w:val="auto"/>
        </w:rPr>
      </w:pPr>
    </w:p>
    <w:p w14:paraId="325B7412">
      <w:pPr>
        <w:pStyle w:val="7"/>
        <w:pageBreakBefore w:val="0"/>
        <w:kinsoku/>
        <w:overflowPunct/>
        <w:topLinePunct w:val="0"/>
        <w:bidi w:val="0"/>
        <w:spacing w:line="336" w:lineRule="auto"/>
        <w:textAlignment w:val="auto"/>
        <w:rPr>
          <w:rFonts w:hint="eastAsia" w:ascii="宋体" w:hAnsi="宋体" w:eastAsia="宋体" w:cs="宋体"/>
          <w:color w:val="auto"/>
        </w:rPr>
      </w:pPr>
    </w:p>
    <w:p w14:paraId="7E1C0F0D">
      <w:pPr>
        <w:pStyle w:val="7"/>
        <w:pageBreakBefore w:val="0"/>
        <w:kinsoku/>
        <w:overflowPunct/>
        <w:topLinePunct w:val="0"/>
        <w:bidi w:val="0"/>
        <w:spacing w:line="336" w:lineRule="auto"/>
        <w:textAlignment w:val="auto"/>
        <w:rPr>
          <w:rFonts w:hint="eastAsia" w:ascii="宋体" w:hAnsi="宋体" w:eastAsia="宋体" w:cs="宋体"/>
          <w:color w:val="auto"/>
        </w:rPr>
      </w:pPr>
    </w:p>
    <w:p w14:paraId="1CD857C0">
      <w:pPr>
        <w:pStyle w:val="7"/>
        <w:pageBreakBefore w:val="0"/>
        <w:kinsoku/>
        <w:overflowPunct/>
        <w:topLinePunct w:val="0"/>
        <w:bidi w:val="0"/>
        <w:spacing w:line="336" w:lineRule="auto"/>
        <w:textAlignment w:val="auto"/>
        <w:rPr>
          <w:rFonts w:hint="eastAsia" w:ascii="宋体" w:hAnsi="宋体" w:eastAsia="宋体" w:cs="宋体"/>
          <w:color w:val="auto"/>
        </w:rPr>
      </w:pPr>
    </w:p>
    <w:p w14:paraId="00B58986">
      <w:pPr>
        <w:pStyle w:val="7"/>
        <w:pageBreakBefore w:val="0"/>
        <w:kinsoku/>
        <w:overflowPunct/>
        <w:topLinePunct w:val="0"/>
        <w:bidi w:val="0"/>
        <w:spacing w:line="336" w:lineRule="auto"/>
        <w:textAlignment w:val="auto"/>
        <w:rPr>
          <w:rFonts w:hint="eastAsia" w:ascii="宋体" w:hAnsi="宋体" w:eastAsia="宋体" w:cs="宋体"/>
          <w:color w:val="auto"/>
        </w:rPr>
      </w:pPr>
    </w:p>
    <w:p w14:paraId="29CC42E0">
      <w:pPr>
        <w:pageBreakBefore w:val="0"/>
        <w:kinsoku/>
        <w:overflowPunct/>
        <w:topLinePunct w:val="0"/>
        <w:bidi w:val="0"/>
        <w:spacing w:line="336" w:lineRule="auto"/>
        <w:textAlignment w:val="auto"/>
        <w:rPr>
          <w:rFonts w:hint="eastAsia" w:ascii="宋体" w:hAnsi="宋体" w:eastAsia="宋体" w:cs="宋体"/>
          <w:color w:val="auto"/>
        </w:rPr>
      </w:pPr>
      <w:r>
        <w:rPr>
          <w:rFonts w:hint="eastAsia" w:ascii="宋体" w:hAnsi="宋体" w:eastAsia="宋体" w:cs="宋体"/>
          <w:color w:val="auto"/>
        </w:rPr>
        <w:br w:type="page"/>
      </w:r>
    </w:p>
    <w:p w14:paraId="19461AB8">
      <w:pPr>
        <w:pStyle w:val="35"/>
        <w:pageBreakBefore w:val="0"/>
        <w:kinsoku/>
        <w:overflowPunct/>
        <w:topLinePunct w:val="0"/>
        <w:bidi w:val="0"/>
        <w:spacing w:line="336" w:lineRule="auto"/>
        <w:textAlignment w:val="auto"/>
        <w:rPr>
          <w:rFonts w:hint="eastAsia" w:ascii="宋体" w:hAnsi="宋体" w:eastAsia="宋体" w:cs="宋体"/>
        </w:rPr>
      </w:pPr>
    </w:p>
    <w:p w14:paraId="5FCC16BD">
      <w:pPr>
        <w:pStyle w:val="74"/>
        <w:pageBreakBefore w:val="0"/>
        <w:kinsoku/>
        <w:overflowPunct/>
        <w:topLinePunct w:val="0"/>
        <w:bidi w:val="0"/>
        <w:spacing w:line="336" w:lineRule="auto"/>
        <w:jc w:val="both"/>
        <w:textAlignment w:val="auto"/>
        <w:rPr>
          <w:rFonts w:hint="eastAsia" w:ascii="宋体" w:hAnsi="宋体" w:eastAsia="宋体" w:cs="宋体"/>
          <w:color w:val="auto"/>
          <w:sz w:val="36"/>
          <w:szCs w:val="36"/>
        </w:rPr>
      </w:pPr>
      <w:bookmarkStart w:id="234" w:name="_Toc28949"/>
      <w:bookmarkStart w:id="235" w:name="_Toc108545988"/>
      <w:bookmarkStart w:id="236" w:name="_Toc3096"/>
      <w:bookmarkStart w:id="237" w:name="_Toc23244"/>
      <w:r>
        <w:rPr>
          <w:rFonts w:hint="eastAsia" w:ascii="宋体" w:hAnsi="宋体" w:eastAsia="宋体" w:cs="宋体"/>
          <w:color w:val="auto"/>
          <w:sz w:val="36"/>
          <w:szCs w:val="36"/>
        </w:rPr>
        <w:t>附件1：</w:t>
      </w:r>
      <w:bookmarkEnd w:id="234"/>
      <w:bookmarkEnd w:id="235"/>
      <w:bookmarkEnd w:id="236"/>
      <w:bookmarkEnd w:id="237"/>
    </w:p>
    <w:p w14:paraId="2F53C590">
      <w:pPr>
        <w:pageBreakBefore w:val="0"/>
        <w:kinsoku/>
        <w:overflowPunct/>
        <w:topLinePunct w:val="0"/>
        <w:bidi w:val="0"/>
        <w:spacing w:line="336" w:lineRule="auto"/>
        <w:jc w:val="center"/>
        <w:textAlignment w:val="auto"/>
        <w:rPr>
          <w:rFonts w:hint="eastAsia" w:ascii="宋体" w:hAnsi="宋体" w:eastAsia="宋体" w:cs="宋体"/>
          <w:b/>
          <w:bCs/>
          <w:color w:val="auto"/>
          <w:sz w:val="44"/>
          <w:szCs w:val="44"/>
        </w:rPr>
      </w:pPr>
      <w:r>
        <w:rPr>
          <w:rFonts w:hint="eastAsia" w:ascii="宋体" w:hAnsi="宋体" w:eastAsia="宋体" w:cs="宋体"/>
          <w:color w:val="auto"/>
        </w:rPr>
        <w:t xml:space="preserve"> </w:t>
      </w:r>
      <w:r>
        <w:rPr>
          <w:rFonts w:hint="eastAsia" w:ascii="宋体" w:hAnsi="宋体" w:eastAsia="宋体" w:cs="宋体"/>
          <w:b/>
          <w:bCs/>
          <w:color w:val="auto"/>
          <w:sz w:val="44"/>
          <w:szCs w:val="44"/>
        </w:rPr>
        <w:t>采购文件发售登记表</w:t>
      </w:r>
    </w:p>
    <w:p w14:paraId="6CBCDCD5">
      <w:pPr>
        <w:pageBreakBefore w:val="0"/>
        <w:kinsoku/>
        <w:overflowPunct/>
        <w:topLinePunct w:val="0"/>
        <w:bidi w:val="0"/>
        <w:spacing w:line="336" w:lineRule="auto"/>
        <w:textAlignment w:val="auto"/>
        <w:rPr>
          <w:rFonts w:hint="eastAsia" w:ascii="宋体" w:hAnsi="宋体" w:eastAsia="宋体" w:cs="宋体"/>
          <w:b/>
          <w:bCs/>
          <w:color w:val="auto"/>
          <w:spacing w:val="40"/>
        </w:rPr>
      </w:pP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573"/>
        <w:gridCol w:w="1084"/>
        <w:gridCol w:w="3569"/>
      </w:tblGrid>
      <w:tr w14:paraId="1CD4EF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948" w:type="dxa"/>
            <w:vAlign w:val="center"/>
          </w:tcPr>
          <w:p w14:paraId="2505D99B">
            <w:pPr>
              <w:pageBreakBefore w:val="0"/>
              <w:kinsoku/>
              <w:overflowPunct/>
              <w:topLinePunct w:val="0"/>
              <w:bidi w:val="0"/>
              <w:spacing w:line="336" w:lineRule="auto"/>
              <w:jc w:val="center"/>
              <w:textAlignment w:val="auto"/>
              <w:rPr>
                <w:rFonts w:hint="eastAsia" w:ascii="宋体" w:hAnsi="宋体" w:eastAsia="宋体" w:cs="宋体"/>
                <w:color w:val="auto"/>
              </w:rPr>
            </w:pPr>
            <w:r>
              <w:rPr>
                <w:rFonts w:hint="eastAsia" w:ascii="宋体" w:hAnsi="宋体" w:eastAsia="宋体" w:cs="宋体"/>
                <w:color w:val="auto"/>
              </w:rPr>
              <w:t>项目号</w:t>
            </w:r>
          </w:p>
        </w:tc>
        <w:tc>
          <w:tcPr>
            <w:tcW w:w="7226" w:type="dxa"/>
            <w:gridSpan w:val="3"/>
            <w:vAlign w:val="center"/>
          </w:tcPr>
          <w:p w14:paraId="41A1C0DB">
            <w:pPr>
              <w:pageBreakBefore w:val="0"/>
              <w:kinsoku/>
              <w:overflowPunct/>
              <w:topLinePunct w:val="0"/>
              <w:bidi w:val="0"/>
              <w:spacing w:line="336" w:lineRule="auto"/>
              <w:jc w:val="center"/>
              <w:textAlignment w:val="auto"/>
              <w:rPr>
                <w:rFonts w:hint="eastAsia" w:ascii="宋体" w:hAnsi="宋体" w:eastAsia="宋体" w:cs="宋体"/>
                <w:color w:val="auto"/>
              </w:rPr>
            </w:pPr>
          </w:p>
        </w:tc>
      </w:tr>
      <w:tr w14:paraId="3425F0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624" w:hRule="atLeast"/>
          <w:jc w:val="center"/>
        </w:trPr>
        <w:tc>
          <w:tcPr>
            <w:tcW w:w="1948" w:type="dxa"/>
            <w:vAlign w:val="center"/>
          </w:tcPr>
          <w:p w14:paraId="2E36A59E">
            <w:pPr>
              <w:pageBreakBefore w:val="0"/>
              <w:kinsoku/>
              <w:overflowPunct/>
              <w:topLinePunct w:val="0"/>
              <w:bidi w:val="0"/>
              <w:spacing w:line="336" w:lineRule="auto"/>
              <w:jc w:val="center"/>
              <w:textAlignment w:val="auto"/>
              <w:rPr>
                <w:rFonts w:hint="eastAsia" w:ascii="宋体" w:hAnsi="宋体" w:eastAsia="宋体" w:cs="宋体"/>
                <w:color w:val="auto"/>
              </w:rPr>
            </w:pPr>
            <w:r>
              <w:rPr>
                <w:rFonts w:hint="eastAsia" w:ascii="宋体" w:hAnsi="宋体" w:eastAsia="宋体" w:cs="宋体"/>
                <w:color w:val="auto"/>
              </w:rPr>
              <w:t>项目名称</w:t>
            </w:r>
          </w:p>
        </w:tc>
        <w:tc>
          <w:tcPr>
            <w:tcW w:w="7226" w:type="dxa"/>
            <w:gridSpan w:val="3"/>
            <w:vAlign w:val="center"/>
          </w:tcPr>
          <w:p w14:paraId="730E8B97">
            <w:pPr>
              <w:pageBreakBefore w:val="0"/>
              <w:kinsoku/>
              <w:overflowPunct/>
              <w:topLinePunct w:val="0"/>
              <w:bidi w:val="0"/>
              <w:spacing w:line="336" w:lineRule="auto"/>
              <w:jc w:val="center"/>
              <w:textAlignment w:val="auto"/>
              <w:rPr>
                <w:rFonts w:hint="eastAsia" w:ascii="宋体" w:hAnsi="宋体" w:eastAsia="宋体" w:cs="宋体"/>
                <w:color w:val="auto"/>
                <w:lang w:eastAsia="zh-CN"/>
              </w:rPr>
            </w:pPr>
          </w:p>
        </w:tc>
      </w:tr>
      <w:tr w14:paraId="29ABFC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4AA03EAD">
            <w:pPr>
              <w:pageBreakBefore w:val="0"/>
              <w:kinsoku/>
              <w:overflowPunct/>
              <w:topLinePunct w:val="0"/>
              <w:bidi w:val="0"/>
              <w:spacing w:line="336" w:lineRule="auto"/>
              <w:jc w:val="center"/>
              <w:textAlignment w:val="auto"/>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名称</w:t>
            </w:r>
          </w:p>
        </w:tc>
        <w:tc>
          <w:tcPr>
            <w:tcW w:w="7226" w:type="dxa"/>
            <w:gridSpan w:val="3"/>
            <w:vAlign w:val="bottom"/>
          </w:tcPr>
          <w:p w14:paraId="423CD885">
            <w:pPr>
              <w:pageBreakBefore w:val="0"/>
              <w:kinsoku/>
              <w:overflowPunct/>
              <w:topLinePunct w:val="0"/>
              <w:bidi w:val="0"/>
              <w:spacing w:line="336" w:lineRule="auto"/>
              <w:jc w:val="right"/>
              <w:textAlignment w:val="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eastAsia="zh-CN"/>
              </w:rPr>
              <w:t>供应商</w:t>
            </w:r>
            <w:r>
              <w:rPr>
                <w:rFonts w:hint="eastAsia" w:ascii="宋体" w:hAnsi="宋体" w:eastAsia="宋体" w:cs="宋体"/>
                <w:color w:val="auto"/>
              </w:rPr>
              <w:t>公章）</w:t>
            </w:r>
          </w:p>
        </w:tc>
      </w:tr>
      <w:tr w14:paraId="36E0AC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624" w:hRule="atLeast"/>
          <w:jc w:val="center"/>
        </w:trPr>
        <w:tc>
          <w:tcPr>
            <w:tcW w:w="1948" w:type="dxa"/>
            <w:vAlign w:val="center"/>
          </w:tcPr>
          <w:p w14:paraId="3887779C">
            <w:pPr>
              <w:pageBreakBefore w:val="0"/>
              <w:kinsoku/>
              <w:overflowPunct/>
              <w:topLinePunct w:val="0"/>
              <w:bidi w:val="0"/>
              <w:spacing w:line="336" w:lineRule="auto"/>
              <w:jc w:val="center"/>
              <w:textAlignment w:val="auto"/>
              <w:rPr>
                <w:rFonts w:hint="eastAsia" w:ascii="宋体" w:hAnsi="宋体" w:eastAsia="宋体" w:cs="宋体"/>
                <w:color w:val="auto"/>
              </w:rPr>
            </w:pPr>
            <w:r>
              <w:rPr>
                <w:rFonts w:hint="eastAsia" w:ascii="宋体" w:hAnsi="宋体" w:eastAsia="宋体" w:cs="宋体"/>
                <w:color w:val="auto"/>
              </w:rPr>
              <w:t>联系人</w:t>
            </w:r>
          </w:p>
        </w:tc>
        <w:tc>
          <w:tcPr>
            <w:tcW w:w="2573" w:type="dxa"/>
            <w:vAlign w:val="center"/>
          </w:tcPr>
          <w:p w14:paraId="60C47E28">
            <w:pPr>
              <w:pageBreakBefore w:val="0"/>
              <w:kinsoku/>
              <w:overflowPunct/>
              <w:topLinePunct w:val="0"/>
              <w:bidi w:val="0"/>
              <w:spacing w:line="336" w:lineRule="auto"/>
              <w:textAlignment w:val="auto"/>
              <w:rPr>
                <w:rFonts w:hint="eastAsia" w:ascii="宋体" w:hAnsi="宋体" w:eastAsia="宋体" w:cs="宋体"/>
                <w:color w:val="auto"/>
              </w:rPr>
            </w:pPr>
          </w:p>
        </w:tc>
        <w:tc>
          <w:tcPr>
            <w:tcW w:w="1084" w:type="dxa"/>
            <w:vAlign w:val="center"/>
          </w:tcPr>
          <w:p w14:paraId="48561C54">
            <w:pPr>
              <w:pageBreakBefore w:val="0"/>
              <w:kinsoku/>
              <w:overflowPunct/>
              <w:topLinePunct w:val="0"/>
              <w:bidi w:val="0"/>
              <w:spacing w:line="336" w:lineRule="auto"/>
              <w:jc w:val="center"/>
              <w:textAlignment w:val="auto"/>
              <w:rPr>
                <w:rFonts w:hint="eastAsia" w:ascii="宋体" w:hAnsi="宋体" w:eastAsia="宋体" w:cs="宋体"/>
                <w:color w:val="auto"/>
              </w:rPr>
            </w:pPr>
            <w:r>
              <w:rPr>
                <w:rFonts w:hint="eastAsia" w:ascii="宋体" w:hAnsi="宋体" w:eastAsia="宋体" w:cs="宋体"/>
                <w:color w:val="auto"/>
              </w:rPr>
              <w:t>手机</w:t>
            </w:r>
          </w:p>
        </w:tc>
        <w:tc>
          <w:tcPr>
            <w:tcW w:w="3569" w:type="dxa"/>
            <w:vAlign w:val="center"/>
          </w:tcPr>
          <w:p w14:paraId="03F20DB5">
            <w:pPr>
              <w:pageBreakBefore w:val="0"/>
              <w:kinsoku/>
              <w:overflowPunct/>
              <w:topLinePunct w:val="0"/>
              <w:bidi w:val="0"/>
              <w:spacing w:line="336" w:lineRule="auto"/>
              <w:textAlignment w:val="auto"/>
              <w:rPr>
                <w:rFonts w:hint="eastAsia" w:ascii="宋体" w:hAnsi="宋体" w:eastAsia="宋体" w:cs="宋体"/>
                <w:color w:val="auto"/>
              </w:rPr>
            </w:pPr>
          </w:p>
        </w:tc>
      </w:tr>
      <w:tr w14:paraId="0D5AD8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1EA4823E">
            <w:pPr>
              <w:pageBreakBefore w:val="0"/>
              <w:kinsoku/>
              <w:overflowPunct/>
              <w:topLinePunct w:val="0"/>
              <w:bidi w:val="0"/>
              <w:spacing w:line="336" w:lineRule="auto"/>
              <w:jc w:val="center"/>
              <w:textAlignment w:val="auto"/>
              <w:rPr>
                <w:rFonts w:hint="eastAsia" w:ascii="宋体" w:hAnsi="宋体" w:eastAsia="宋体" w:cs="宋体"/>
                <w:color w:val="auto"/>
              </w:rPr>
            </w:pPr>
            <w:r>
              <w:rPr>
                <w:rFonts w:hint="eastAsia" w:ascii="宋体" w:hAnsi="宋体" w:eastAsia="宋体" w:cs="宋体"/>
                <w:color w:val="auto"/>
              </w:rPr>
              <w:t>办公电话</w:t>
            </w:r>
          </w:p>
        </w:tc>
        <w:tc>
          <w:tcPr>
            <w:tcW w:w="2573" w:type="dxa"/>
            <w:vAlign w:val="center"/>
          </w:tcPr>
          <w:p w14:paraId="1368D13F">
            <w:pPr>
              <w:pageBreakBefore w:val="0"/>
              <w:kinsoku/>
              <w:overflowPunct/>
              <w:topLinePunct w:val="0"/>
              <w:bidi w:val="0"/>
              <w:spacing w:line="336" w:lineRule="auto"/>
              <w:textAlignment w:val="auto"/>
              <w:rPr>
                <w:rFonts w:hint="eastAsia" w:ascii="宋体" w:hAnsi="宋体" w:eastAsia="宋体" w:cs="宋体"/>
                <w:color w:val="auto"/>
              </w:rPr>
            </w:pPr>
          </w:p>
        </w:tc>
        <w:tc>
          <w:tcPr>
            <w:tcW w:w="1084" w:type="dxa"/>
            <w:vAlign w:val="center"/>
          </w:tcPr>
          <w:p w14:paraId="5CA744EA">
            <w:pPr>
              <w:pageBreakBefore w:val="0"/>
              <w:kinsoku/>
              <w:overflowPunct/>
              <w:topLinePunct w:val="0"/>
              <w:bidi w:val="0"/>
              <w:spacing w:line="336" w:lineRule="auto"/>
              <w:jc w:val="center"/>
              <w:textAlignment w:val="auto"/>
              <w:rPr>
                <w:rFonts w:hint="eastAsia" w:ascii="宋体" w:hAnsi="宋体" w:eastAsia="宋体" w:cs="宋体"/>
                <w:color w:val="auto"/>
              </w:rPr>
            </w:pPr>
            <w:r>
              <w:rPr>
                <w:rFonts w:hint="eastAsia" w:ascii="宋体" w:hAnsi="宋体" w:eastAsia="宋体" w:cs="宋体"/>
                <w:color w:val="auto"/>
              </w:rPr>
              <w:t>传真</w:t>
            </w:r>
          </w:p>
        </w:tc>
        <w:tc>
          <w:tcPr>
            <w:tcW w:w="3569" w:type="dxa"/>
            <w:vAlign w:val="center"/>
          </w:tcPr>
          <w:p w14:paraId="582842EE">
            <w:pPr>
              <w:pageBreakBefore w:val="0"/>
              <w:kinsoku/>
              <w:overflowPunct/>
              <w:topLinePunct w:val="0"/>
              <w:bidi w:val="0"/>
              <w:spacing w:line="336" w:lineRule="auto"/>
              <w:textAlignment w:val="auto"/>
              <w:rPr>
                <w:rFonts w:hint="eastAsia" w:ascii="宋体" w:hAnsi="宋体" w:eastAsia="宋体" w:cs="宋体"/>
                <w:color w:val="auto"/>
              </w:rPr>
            </w:pPr>
          </w:p>
        </w:tc>
      </w:tr>
      <w:tr w14:paraId="558A2A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4E4FE1FA">
            <w:pPr>
              <w:pageBreakBefore w:val="0"/>
              <w:kinsoku/>
              <w:overflowPunct/>
              <w:topLinePunct w:val="0"/>
              <w:bidi w:val="0"/>
              <w:spacing w:line="336" w:lineRule="auto"/>
              <w:jc w:val="center"/>
              <w:textAlignment w:val="auto"/>
              <w:rPr>
                <w:rFonts w:hint="eastAsia" w:ascii="宋体" w:hAnsi="宋体" w:eastAsia="宋体" w:cs="宋体"/>
                <w:color w:val="auto"/>
              </w:rPr>
            </w:pPr>
            <w:r>
              <w:rPr>
                <w:rFonts w:hint="eastAsia" w:ascii="宋体" w:hAnsi="宋体" w:eastAsia="宋体" w:cs="宋体"/>
                <w:color w:val="auto"/>
              </w:rPr>
              <w:t>E-mail</w:t>
            </w:r>
          </w:p>
        </w:tc>
        <w:tc>
          <w:tcPr>
            <w:tcW w:w="7226" w:type="dxa"/>
            <w:gridSpan w:val="3"/>
            <w:vAlign w:val="center"/>
          </w:tcPr>
          <w:p w14:paraId="2C9A6640">
            <w:pPr>
              <w:pageBreakBefore w:val="0"/>
              <w:kinsoku/>
              <w:overflowPunct/>
              <w:topLinePunct w:val="0"/>
              <w:bidi w:val="0"/>
              <w:spacing w:line="336" w:lineRule="auto"/>
              <w:textAlignment w:val="auto"/>
              <w:rPr>
                <w:rFonts w:hint="eastAsia" w:ascii="宋体" w:hAnsi="宋体" w:eastAsia="宋体" w:cs="宋体"/>
                <w:color w:val="auto"/>
              </w:rPr>
            </w:pPr>
          </w:p>
        </w:tc>
      </w:tr>
      <w:tr w14:paraId="344BC0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442AF5D5">
            <w:pPr>
              <w:pageBreakBefore w:val="0"/>
              <w:kinsoku/>
              <w:overflowPunct/>
              <w:topLinePunct w:val="0"/>
              <w:bidi w:val="0"/>
              <w:spacing w:line="336" w:lineRule="auto"/>
              <w:jc w:val="center"/>
              <w:textAlignment w:val="auto"/>
              <w:rPr>
                <w:rFonts w:hint="eastAsia" w:ascii="宋体" w:hAnsi="宋体" w:eastAsia="宋体" w:cs="宋体"/>
                <w:color w:val="auto"/>
              </w:rPr>
            </w:pPr>
            <w:r>
              <w:rPr>
                <w:rFonts w:hint="eastAsia" w:ascii="宋体" w:hAnsi="宋体" w:eastAsia="宋体" w:cs="宋体"/>
                <w:color w:val="auto"/>
              </w:rPr>
              <w:t>单位地址</w:t>
            </w:r>
          </w:p>
        </w:tc>
        <w:tc>
          <w:tcPr>
            <w:tcW w:w="7226" w:type="dxa"/>
            <w:gridSpan w:val="3"/>
            <w:vAlign w:val="center"/>
          </w:tcPr>
          <w:p w14:paraId="1C129556">
            <w:pPr>
              <w:pageBreakBefore w:val="0"/>
              <w:kinsoku/>
              <w:overflowPunct/>
              <w:topLinePunct w:val="0"/>
              <w:bidi w:val="0"/>
              <w:spacing w:line="336" w:lineRule="auto"/>
              <w:textAlignment w:val="auto"/>
              <w:rPr>
                <w:rFonts w:hint="eastAsia" w:ascii="宋体" w:hAnsi="宋体" w:eastAsia="宋体" w:cs="宋体"/>
                <w:color w:val="auto"/>
              </w:rPr>
            </w:pPr>
          </w:p>
        </w:tc>
      </w:tr>
      <w:tr w14:paraId="6A9554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1EAB68CF">
            <w:pPr>
              <w:pageBreakBefore w:val="0"/>
              <w:kinsoku/>
              <w:overflowPunct/>
              <w:topLinePunct w:val="0"/>
              <w:bidi w:val="0"/>
              <w:spacing w:line="336" w:lineRule="auto"/>
              <w:jc w:val="center"/>
              <w:textAlignment w:val="auto"/>
              <w:rPr>
                <w:rFonts w:hint="eastAsia" w:ascii="宋体" w:hAnsi="宋体" w:eastAsia="宋体" w:cs="宋体"/>
                <w:color w:val="auto"/>
              </w:rPr>
            </w:pPr>
          </w:p>
        </w:tc>
      </w:tr>
      <w:tr w14:paraId="533C88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442D2232">
            <w:pPr>
              <w:pageBreakBefore w:val="0"/>
              <w:kinsoku/>
              <w:overflowPunct/>
              <w:topLinePunct w:val="0"/>
              <w:bidi w:val="0"/>
              <w:spacing w:line="336" w:lineRule="auto"/>
              <w:textAlignment w:val="auto"/>
              <w:rPr>
                <w:rFonts w:hint="eastAsia" w:ascii="宋体" w:hAnsi="宋体" w:eastAsia="宋体" w:cs="宋体"/>
                <w:color w:val="auto"/>
              </w:rPr>
            </w:pPr>
          </w:p>
        </w:tc>
      </w:tr>
      <w:tr w14:paraId="4AC77D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67C01C69">
            <w:pPr>
              <w:pageBreakBefore w:val="0"/>
              <w:kinsoku/>
              <w:overflowPunct/>
              <w:topLinePunct w:val="0"/>
              <w:bidi w:val="0"/>
              <w:spacing w:line="336" w:lineRule="auto"/>
              <w:textAlignment w:val="auto"/>
              <w:rPr>
                <w:rFonts w:hint="eastAsia" w:ascii="宋体" w:hAnsi="宋体" w:eastAsia="宋体" w:cs="宋体"/>
                <w:color w:val="auto"/>
              </w:rPr>
            </w:pPr>
            <w:r>
              <w:rPr>
                <w:rFonts w:hint="eastAsia" w:ascii="宋体" w:hAnsi="宋体" w:eastAsia="宋体" w:cs="宋体"/>
                <w:color w:val="auto"/>
              </w:rPr>
              <w:t>招标文件售价：人民币</w:t>
            </w:r>
            <w:r>
              <w:rPr>
                <w:rFonts w:hint="eastAsia" w:cs="宋体"/>
                <w:color w:val="auto"/>
                <w:lang w:val="en-US" w:eastAsia="zh-CN"/>
              </w:rPr>
              <w:t>3</w:t>
            </w:r>
            <w:r>
              <w:rPr>
                <w:rFonts w:hint="eastAsia" w:ascii="宋体" w:hAnsi="宋体" w:eastAsia="宋体" w:cs="宋体"/>
                <w:color w:val="auto"/>
                <w:lang w:val="en-US" w:eastAsia="zh-CN"/>
              </w:rPr>
              <w:t>00</w:t>
            </w:r>
            <w:r>
              <w:rPr>
                <w:rFonts w:hint="eastAsia" w:ascii="宋体" w:hAnsi="宋体" w:eastAsia="宋体" w:cs="宋体"/>
                <w:color w:val="auto"/>
              </w:rPr>
              <w:t>元/份</w:t>
            </w:r>
          </w:p>
        </w:tc>
      </w:tr>
    </w:tbl>
    <w:p w14:paraId="0B0B41C0">
      <w:pPr>
        <w:pageBreakBefore w:val="0"/>
        <w:kinsoku/>
        <w:overflowPunct/>
        <w:topLinePunct w:val="0"/>
        <w:bidi w:val="0"/>
        <w:spacing w:line="336" w:lineRule="auto"/>
        <w:textAlignment w:val="auto"/>
        <w:rPr>
          <w:rFonts w:hint="eastAsia" w:ascii="宋体" w:hAnsi="宋体" w:eastAsia="宋体" w:cs="宋体"/>
          <w:color w:val="auto"/>
        </w:rPr>
      </w:pPr>
      <w:r>
        <w:rPr>
          <w:rFonts w:hint="eastAsia" w:ascii="宋体" w:hAnsi="宋体" w:eastAsia="宋体" w:cs="宋体"/>
          <w:color w:val="auto"/>
        </w:rPr>
        <w:t xml:space="preserve"> </w:t>
      </w:r>
    </w:p>
    <w:p w14:paraId="4B8545CC">
      <w:pPr>
        <w:pStyle w:val="7"/>
        <w:pageBreakBefore w:val="0"/>
        <w:kinsoku/>
        <w:overflowPunct/>
        <w:topLinePunct w:val="0"/>
        <w:bidi w:val="0"/>
        <w:spacing w:line="336" w:lineRule="auto"/>
        <w:textAlignment w:val="auto"/>
        <w:rPr>
          <w:rFonts w:hint="eastAsia" w:ascii="宋体" w:hAnsi="宋体" w:eastAsia="宋体" w:cs="宋体"/>
          <w:color w:val="auto"/>
        </w:rPr>
      </w:pPr>
    </w:p>
    <w:p w14:paraId="11E2460C">
      <w:pPr>
        <w:pStyle w:val="55"/>
        <w:pageBreakBefore w:val="0"/>
        <w:kinsoku/>
        <w:overflowPunct/>
        <w:topLinePunct w:val="0"/>
        <w:bidi w:val="0"/>
        <w:spacing w:line="336" w:lineRule="auto"/>
        <w:textAlignment w:val="auto"/>
        <w:rPr>
          <w:rFonts w:hint="eastAsia" w:ascii="宋体" w:hAnsi="宋体" w:eastAsia="宋体" w:cs="宋体"/>
          <w:color w:val="auto"/>
        </w:rPr>
      </w:pPr>
    </w:p>
    <w:p w14:paraId="19771345">
      <w:pPr>
        <w:pStyle w:val="74"/>
        <w:pageBreakBefore w:val="0"/>
        <w:kinsoku/>
        <w:overflowPunct/>
        <w:topLinePunct w:val="0"/>
        <w:bidi w:val="0"/>
        <w:spacing w:line="336" w:lineRule="auto"/>
        <w:jc w:val="both"/>
        <w:textAlignment w:val="auto"/>
        <w:rPr>
          <w:rFonts w:hint="eastAsia" w:ascii="宋体" w:hAnsi="宋体" w:eastAsia="宋体" w:cs="宋体"/>
        </w:rPr>
      </w:pPr>
    </w:p>
    <w:p w14:paraId="15C64186">
      <w:pPr>
        <w:pageBreakBefore w:val="0"/>
        <w:kinsoku/>
        <w:overflowPunct/>
        <w:topLinePunct w:val="0"/>
        <w:bidi w:val="0"/>
        <w:spacing w:line="336" w:lineRule="auto"/>
        <w:textAlignment w:val="auto"/>
        <w:rPr>
          <w:rFonts w:hint="eastAsia" w:ascii="宋体" w:hAnsi="宋体" w:eastAsia="宋体" w:cs="宋体"/>
        </w:rPr>
      </w:pPr>
    </w:p>
    <w:sectPr>
      <w:headerReference r:id="rId17" w:type="default"/>
      <w:footerReference r:id="rId18" w:type="default"/>
      <w:pgSz w:w="11907" w:h="16840"/>
      <w:pgMar w:top="1440" w:right="1080" w:bottom="1440" w:left="1080"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Monaco">
    <w:altName w:val="Courier New"/>
    <w:panose1 w:val="020B0509030404040204"/>
    <w:charset w:val="00"/>
    <w:family w:val="auto"/>
    <w:pitch w:val="default"/>
    <w:sig w:usb0="00000000" w:usb1="00000000" w:usb2="00000000" w:usb3="00000000" w:csb0="00000000" w:csb1="00000000"/>
  </w:font>
  <w:font w:name="方正仿宋_GBK">
    <w:altName w:val="微软雅黑"/>
    <w:panose1 w:val="020B0604020202020204"/>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20B0604020202020204"/>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E612F">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39C66">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F34F6">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7FE50">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163A9">
    <w:pPr>
      <w:pStyle w:val="16"/>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90500" cy="131445"/>
                      </a:xfrm>
                      <a:prstGeom prst="rect">
                        <a:avLst/>
                      </a:prstGeom>
                      <a:noFill/>
                      <a:ln>
                        <a:noFill/>
                      </a:ln>
                    </wps:spPr>
                    <wps:txbx>
                      <w:txbxContent>
                        <w:p w14:paraId="0A9B7FD1">
                          <w:pPr>
                            <w:pStyle w:val="16"/>
                          </w:pPr>
                          <w:r>
                            <w:fldChar w:fldCharType="begin"/>
                          </w:r>
                          <w:r>
                            <w:instrText xml:space="preserve"> PAGE  \* MERGEFORMAT </w:instrText>
                          </w:r>
                          <w:r>
                            <w:fldChar w:fldCharType="separate"/>
                          </w:r>
                          <w:r>
                            <w:t>- 17 -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qRS7NAAAAAD&#10;AQAADwAAAAAAAAABACAAAAAiAAAAZHJzL2Rvd25yZXYueG1sUEsBAhQAFAAAAAgAh07iQCXjHzDr&#10;AQAA0gMAAA4AAAAAAAAAAQAgAAAAHwEAAGRycy9lMm9Eb2MueG1sUEsFBgAAAAAGAAYAWQEAAHwF&#10;AAAAAA==&#10;">
              <v:fill on="f" focussize="0,0"/>
              <v:stroke on="f"/>
              <v:imagedata o:title=""/>
              <o:lock v:ext="edit" text="t" aspectratio="t"/>
              <v:textbox inset="0mm,0mm,0mm,0mm" style="mso-fit-shape-to-text:t;">
                <w:txbxContent>
                  <w:p w14:paraId="0A9B7FD1">
                    <w:pPr>
                      <w:pStyle w:val="16"/>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80EE6">
    <w:pPr>
      <w:pStyle w:val="16"/>
      <w:jc w:val="center"/>
      <w:rPr>
        <w:rFonts w:hint="eastAsia"/>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F1B33">
                          <w:pPr>
                            <w:pStyle w:val="16"/>
                            <w:jc w:val="center"/>
                          </w:pPr>
                          <w:r>
                            <w:rPr>
                              <w:sz w:val="21"/>
                              <w:szCs w:val="21"/>
                            </w:rPr>
                            <w:fldChar w:fldCharType="begin"/>
                          </w:r>
                          <w:r>
                            <w:rPr>
                              <w:rStyle w:val="28"/>
                              <w:sz w:val="21"/>
                              <w:szCs w:val="21"/>
                            </w:rPr>
                            <w:instrText xml:space="preserve"> PAGE </w:instrText>
                          </w:r>
                          <w:r>
                            <w:rPr>
                              <w:sz w:val="21"/>
                              <w:szCs w:val="21"/>
                            </w:rPr>
                            <w:fldChar w:fldCharType="separate"/>
                          </w:r>
                          <w:r>
                            <w:rPr>
                              <w:rStyle w:val="28"/>
                              <w:sz w:val="21"/>
                              <w:szCs w:val="21"/>
                            </w:rPr>
                            <w:t>- 27 -</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2F1B33">
                    <w:pPr>
                      <w:pStyle w:val="16"/>
                      <w:jc w:val="center"/>
                    </w:pPr>
                    <w:r>
                      <w:rPr>
                        <w:sz w:val="21"/>
                        <w:szCs w:val="21"/>
                      </w:rPr>
                      <w:fldChar w:fldCharType="begin"/>
                    </w:r>
                    <w:r>
                      <w:rPr>
                        <w:rStyle w:val="28"/>
                        <w:sz w:val="21"/>
                        <w:szCs w:val="21"/>
                      </w:rPr>
                      <w:instrText xml:space="preserve"> PAGE </w:instrText>
                    </w:r>
                    <w:r>
                      <w:rPr>
                        <w:sz w:val="21"/>
                        <w:szCs w:val="21"/>
                      </w:rPr>
                      <w:fldChar w:fldCharType="separate"/>
                    </w:r>
                    <w:r>
                      <w:rPr>
                        <w:rStyle w:val="28"/>
                        <w:sz w:val="21"/>
                        <w:szCs w:val="21"/>
                      </w:rPr>
                      <w:t>- 27 -</w:t>
                    </w:r>
                    <w:r>
                      <w:rPr>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1CC78">
    <w:pPr>
      <w:pStyle w:val="16"/>
      <w:framePr w:wrap="around" w:vAnchor="text" w:hAnchor="margin" w:xAlign="center" w:y="1"/>
      <w:rPr>
        <w:rStyle w:val="28"/>
      </w:rPr>
    </w:pPr>
    <w:r>
      <w:fldChar w:fldCharType="begin"/>
    </w:r>
    <w:r>
      <w:rPr>
        <w:rStyle w:val="28"/>
      </w:rPr>
      <w:instrText xml:space="preserve">PAGE  </w:instrText>
    </w:r>
    <w:r>
      <w:fldChar w:fldCharType="separate"/>
    </w:r>
    <w:r>
      <w:fldChar w:fldCharType="end"/>
    </w:r>
  </w:p>
  <w:p w14:paraId="654F62A8">
    <w:pPr>
      <w:pStyle w:val="1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2807B">
    <w:pPr>
      <w:pStyle w:val="16"/>
      <w:jc w:val="center"/>
      <w:rPr>
        <w:sz w:val="21"/>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131445"/>
              <wp:effectExtent l="0" t="0" r="0" b="8255"/>
              <wp:wrapNone/>
              <wp:docPr id="28" name="文本框 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wps:spPr>
                    <wps:txbx>
                      <w:txbxContent>
                        <w:p w14:paraId="296FD8B1">
                          <w:pPr>
                            <w:pStyle w:val="16"/>
                          </w:pPr>
                          <w:r>
                            <w:fldChar w:fldCharType="begin"/>
                          </w:r>
                          <w:r>
                            <w:instrText xml:space="preserve"> PAGE  \* MERGEFORMAT </w:instrText>
                          </w:r>
                          <w:r>
                            <w:fldChar w:fldCharType="separate"/>
                          </w:r>
                          <w:r>
                            <w:t>- 25 -</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19.5pt;mso-position-horizontal:center;mso-position-horizontal-relative:margin;mso-wrap-style:none;z-index:251660288;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7FI&#10;4NAAAAADAQAADwAAAAAAAAABACAAAAAiAAAAZHJzL2Rvd25yZXYueG1sUEsBAhQAFAAAAAgAh07i&#10;QMYj3KXxAQAA0wMAAA4AAAAAAAAAAQAgAAAAHwEAAGRycy9lMm9Eb2MueG1sUEsFBgAAAAAGAAYA&#10;WQEAAIIFAAAAAA==&#10;">
              <v:fill on="f" focussize="0,0"/>
              <v:stroke on="f"/>
              <v:imagedata o:title=""/>
              <o:lock v:ext="edit" aspectratio="f"/>
              <v:textbox inset="0mm,0mm,0mm,0mm" style="mso-fit-shape-to-text:t;">
                <w:txbxContent>
                  <w:p w14:paraId="296FD8B1">
                    <w:pPr>
                      <w:pStyle w:val="16"/>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1C539">
    <w:pPr>
      <w:pStyle w:val="16"/>
      <w:jc w:val="center"/>
      <w:rPr>
        <w:sz w:val="21"/>
        <w:szCs w:val="21"/>
      </w:rPr>
    </w:pPr>
    <w:r>
      <w:pict>
        <v:shape id="文本框 14" o:spid="_x0000_s1025" o:spt="202" type="#_x0000_t202" style="position:absolute;left:0pt;margin-top:0pt;height:10.35pt;width:19.5pt;mso-position-horizontal:center;mso-position-horizontal-relative:margin;mso-wrap-style:none;z-index:251659264;mso-width-relative:page;mso-height-relative:page;" filled="f" stroked="f" coordsize="21600,21600">
          <v:path/>
          <v:fill on="f" focussize="0,0"/>
          <v:stroke on="f"/>
          <v:imagedata o:title=""/>
          <o:lock v:ext="edit" text="t" aspectratio="t"/>
          <v:textbox inset="0mm,0mm,0mm,0mm" style="mso-fit-shape-to-text:t;">
            <w:txbxContent>
              <w:p w14:paraId="54D8F16F">
                <w:pPr>
                  <w:pStyle w:val="16"/>
                </w:pPr>
                <w:r>
                  <w:fldChar w:fldCharType="begin"/>
                </w:r>
                <w:r>
                  <w:instrText xml:space="preserve"> PAGE  \* MERGEFORMAT </w:instrText>
                </w:r>
                <w:r>
                  <w:fldChar w:fldCharType="separate"/>
                </w:r>
                <w:r>
                  <w:t>- 36 -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14464">
    <w:pPr>
      <w:pStyle w:val="17"/>
      <w:pBdr>
        <w:bottom w:val="none" w:color="auto" w:sz="0" w:space="1"/>
      </w:pBdr>
      <w:jc w:val="left"/>
    </w:pPr>
    <w:r>
      <w:rPr>
        <w:rFonts w:hint="eastAsia" w:ascii="仿宋" w:hAnsi="仿宋" w:eastAsia="仿宋"/>
      </w:rPr>
      <w:t xml:space="preserve">                </w:t>
    </w:r>
    <w:r>
      <w:rPr>
        <w:rFonts w:ascii="仿宋" w:hAnsi="仿宋" w:eastAsia="仿宋"/>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5FF55">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D5C06">
    <w:pPr>
      <w:pStyle w:val="17"/>
      <w:pBdr>
        <w:bottom w:val="none" w:color="auto" w:sz="0" w:space="1"/>
      </w:pBdr>
      <w:jc w:val="left"/>
    </w:pPr>
    <w:r>
      <w:rPr>
        <w:rFonts w:hint="eastAsia" w:ascii="仿宋" w:hAnsi="仿宋" w:eastAsia="仿宋"/>
      </w:rPr>
      <w:t xml:space="preserve">          </w:t>
    </w:r>
    <w:r>
      <w:rPr>
        <w:rFonts w:ascii="仿宋" w:hAnsi="仿宋" w:eastAsia="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EA9A7">
    <w:pPr>
      <w:pStyle w:val="17"/>
      <w:pBdr>
        <w:bottom w:val="none" w:color="auto" w:sz="0" w:space="1"/>
      </w:pBdr>
      <w:jc w:val="left"/>
    </w:pPr>
    <w:r>
      <w:rPr>
        <w:rFonts w:hint="eastAsia" w:ascii="仿宋" w:hAnsi="仿宋" w:eastAsia="仿宋"/>
      </w:rPr>
      <w:t xml:space="preserve">               </w:t>
    </w:r>
    <w:r>
      <w:rPr>
        <w:rFonts w:ascii="仿宋" w:hAnsi="仿宋" w:eastAsia="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D6405">
    <w:pPr>
      <w:pStyle w:val="17"/>
      <w:pBdr>
        <w:bottom w:val="none" w:color="auto" w:sz="0" w:space="1"/>
      </w:pBdr>
      <w:jc w:val="left"/>
    </w:pP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B729F">
    <w:pPr>
      <w:pStyle w:val="17"/>
      <w:pBdr>
        <w:bottom w:val="none" w:color="auto" w:sz="0" w:space="1"/>
      </w:pBdr>
      <w:jc w:val="left"/>
    </w:pP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49B4B">
    <w:pPr>
      <w:pStyle w:val="17"/>
      <w:pBdr>
        <w:bottom w:val="none" w:color="auto" w:sz="0" w:space="1"/>
      </w:pBdr>
      <w:jc w:val="left"/>
    </w:pP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86FC1"/>
    <w:multiLevelType w:val="singleLevel"/>
    <w:tmpl w:val="BF486FC1"/>
    <w:lvl w:ilvl="0" w:tentative="0">
      <w:start w:val="5"/>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pStyle w:val="7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7"/>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zOGZiNGU0YjkyMzRlMTQwOTFhNjdmMzJkMjJhZGMifQ=="/>
  </w:docVars>
  <w:rsids>
    <w:rsidRoot w:val="00E3648B"/>
    <w:rsid w:val="0000480E"/>
    <w:rsid w:val="00025FBA"/>
    <w:rsid w:val="000725DB"/>
    <w:rsid w:val="000B32FD"/>
    <w:rsid w:val="001516B9"/>
    <w:rsid w:val="00154A20"/>
    <w:rsid w:val="001A767F"/>
    <w:rsid w:val="001C389B"/>
    <w:rsid w:val="00226C58"/>
    <w:rsid w:val="002B509A"/>
    <w:rsid w:val="002D25BB"/>
    <w:rsid w:val="002E06D4"/>
    <w:rsid w:val="003144F5"/>
    <w:rsid w:val="003518FB"/>
    <w:rsid w:val="00380AD0"/>
    <w:rsid w:val="003E02EA"/>
    <w:rsid w:val="00440452"/>
    <w:rsid w:val="00485D56"/>
    <w:rsid w:val="004B3C46"/>
    <w:rsid w:val="004E3AD0"/>
    <w:rsid w:val="0050474F"/>
    <w:rsid w:val="005C2ECC"/>
    <w:rsid w:val="005D121C"/>
    <w:rsid w:val="0060328E"/>
    <w:rsid w:val="00734460"/>
    <w:rsid w:val="00755555"/>
    <w:rsid w:val="007A77B9"/>
    <w:rsid w:val="007E1477"/>
    <w:rsid w:val="007F72A3"/>
    <w:rsid w:val="00854700"/>
    <w:rsid w:val="00862769"/>
    <w:rsid w:val="008D6776"/>
    <w:rsid w:val="008F064D"/>
    <w:rsid w:val="009D36ED"/>
    <w:rsid w:val="009F587B"/>
    <w:rsid w:val="00A61888"/>
    <w:rsid w:val="00AD5C72"/>
    <w:rsid w:val="00AE5A3D"/>
    <w:rsid w:val="00B25F4B"/>
    <w:rsid w:val="00B51C8F"/>
    <w:rsid w:val="00BA599F"/>
    <w:rsid w:val="00BC09F1"/>
    <w:rsid w:val="00C11B36"/>
    <w:rsid w:val="00C27C27"/>
    <w:rsid w:val="00C425C0"/>
    <w:rsid w:val="00C536FA"/>
    <w:rsid w:val="00C56E12"/>
    <w:rsid w:val="00CA2BB4"/>
    <w:rsid w:val="00CF33BC"/>
    <w:rsid w:val="00D339BF"/>
    <w:rsid w:val="00DE3FCE"/>
    <w:rsid w:val="00E019CF"/>
    <w:rsid w:val="00E3648B"/>
    <w:rsid w:val="00E4764A"/>
    <w:rsid w:val="00E6131B"/>
    <w:rsid w:val="00EB708A"/>
    <w:rsid w:val="00F343AA"/>
    <w:rsid w:val="00F57324"/>
    <w:rsid w:val="00FC7590"/>
    <w:rsid w:val="00FD2F76"/>
    <w:rsid w:val="017C53AD"/>
    <w:rsid w:val="01D86994"/>
    <w:rsid w:val="029006BE"/>
    <w:rsid w:val="0295277A"/>
    <w:rsid w:val="02C5513C"/>
    <w:rsid w:val="02DF795F"/>
    <w:rsid w:val="02F8159E"/>
    <w:rsid w:val="032F2286"/>
    <w:rsid w:val="036A59B4"/>
    <w:rsid w:val="038A18D4"/>
    <w:rsid w:val="04071455"/>
    <w:rsid w:val="05A50F26"/>
    <w:rsid w:val="05C55124"/>
    <w:rsid w:val="069B0169"/>
    <w:rsid w:val="07D869D7"/>
    <w:rsid w:val="07F615C4"/>
    <w:rsid w:val="084F6F27"/>
    <w:rsid w:val="090E6DE2"/>
    <w:rsid w:val="094920C9"/>
    <w:rsid w:val="0C9E205F"/>
    <w:rsid w:val="0E166924"/>
    <w:rsid w:val="0EEC1973"/>
    <w:rsid w:val="0F1119E4"/>
    <w:rsid w:val="0FB71F81"/>
    <w:rsid w:val="0FC61113"/>
    <w:rsid w:val="0FC82856"/>
    <w:rsid w:val="108005C5"/>
    <w:rsid w:val="10A14477"/>
    <w:rsid w:val="10EB2FF8"/>
    <w:rsid w:val="11A6405B"/>
    <w:rsid w:val="11DA5AB3"/>
    <w:rsid w:val="12723F3D"/>
    <w:rsid w:val="13843EAB"/>
    <w:rsid w:val="14ED5B17"/>
    <w:rsid w:val="14EF7AC7"/>
    <w:rsid w:val="15793835"/>
    <w:rsid w:val="1695469E"/>
    <w:rsid w:val="16AE750E"/>
    <w:rsid w:val="1971594F"/>
    <w:rsid w:val="1C5B3C94"/>
    <w:rsid w:val="1CB6711D"/>
    <w:rsid w:val="1D4B3D09"/>
    <w:rsid w:val="1D6F3E9B"/>
    <w:rsid w:val="1E845724"/>
    <w:rsid w:val="1EE319C6"/>
    <w:rsid w:val="1F3709E9"/>
    <w:rsid w:val="1F3F789D"/>
    <w:rsid w:val="1FD8090A"/>
    <w:rsid w:val="1FF73CD4"/>
    <w:rsid w:val="20713A86"/>
    <w:rsid w:val="21843C8D"/>
    <w:rsid w:val="21895841"/>
    <w:rsid w:val="21937A2C"/>
    <w:rsid w:val="21BC6F83"/>
    <w:rsid w:val="21C35847"/>
    <w:rsid w:val="22A72B65"/>
    <w:rsid w:val="22E70030"/>
    <w:rsid w:val="22F50091"/>
    <w:rsid w:val="22F52D07"/>
    <w:rsid w:val="23EC4874"/>
    <w:rsid w:val="25950217"/>
    <w:rsid w:val="26B75F6B"/>
    <w:rsid w:val="26D62FA3"/>
    <w:rsid w:val="271138CD"/>
    <w:rsid w:val="279A1B15"/>
    <w:rsid w:val="27D87C46"/>
    <w:rsid w:val="27F64701"/>
    <w:rsid w:val="27FA251F"/>
    <w:rsid w:val="2879797C"/>
    <w:rsid w:val="28B516A5"/>
    <w:rsid w:val="29A529F3"/>
    <w:rsid w:val="29A65F05"/>
    <w:rsid w:val="29D15596"/>
    <w:rsid w:val="29FA743E"/>
    <w:rsid w:val="2B617549"/>
    <w:rsid w:val="2BCE6231"/>
    <w:rsid w:val="2C7566AC"/>
    <w:rsid w:val="2E2E5403"/>
    <w:rsid w:val="2E98638E"/>
    <w:rsid w:val="2EDA3034"/>
    <w:rsid w:val="2EEE0998"/>
    <w:rsid w:val="2FC9111F"/>
    <w:rsid w:val="304964EC"/>
    <w:rsid w:val="30AF3789"/>
    <w:rsid w:val="311A7FB0"/>
    <w:rsid w:val="323639D7"/>
    <w:rsid w:val="33A82C9F"/>
    <w:rsid w:val="351F5D4F"/>
    <w:rsid w:val="35A9176E"/>
    <w:rsid w:val="36CC5A63"/>
    <w:rsid w:val="37052D23"/>
    <w:rsid w:val="370E1FF0"/>
    <w:rsid w:val="37533A8E"/>
    <w:rsid w:val="37714C0D"/>
    <w:rsid w:val="37B95D83"/>
    <w:rsid w:val="385775AE"/>
    <w:rsid w:val="39791649"/>
    <w:rsid w:val="399A2B84"/>
    <w:rsid w:val="39C5432C"/>
    <w:rsid w:val="3B940DE0"/>
    <w:rsid w:val="3BB56AC5"/>
    <w:rsid w:val="3C3E762A"/>
    <w:rsid w:val="3D0B3E57"/>
    <w:rsid w:val="3D2341EB"/>
    <w:rsid w:val="3DCB187D"/>
    <w:rsid w:val="3EC55271"/>
    <w:rsid w:val="3F542A99"/>
    <w:rsid w:val="3FC62809"/>
    <w:rsid w:val="400C5122"/>
    <w:rsid w:val="4106562F"/>
    <w:rsid w:val="415C79E3"/>
    <w:rsid w:val="41923405"/>
    <w:rsid w:val="426A6D93"/>
    <w:rsid w:val="427F607F"/>
    <w:rsid w:val="427F7E2D"/>
    <w:rsid w:val="442423B7"/>
    <w:rsid w:val="44817E8C"/>
    <w:rsid w:val="458E7E63"/>
    <w:rsid w:val="460A6844"/>
    <w:rsid w:val="460A74EF"/>
    <w:rsid w:val="468D421B"/>
    <w:rsid w:val="46F35A9B"/>
    <w:rsid w:val="4800731A"/>
    <w:rsid w:val="481E1E96"/>
    <w:rsid w:val="482C010F"/>
    <w:rsid w:val="498126DD"/>
    <w:rsid w:val="4A437422"/>
    <w:rsid w:val="4BE216B1"/>
    <w:rsid w:val="4C031829"/>
    <w:rsid w:val="4C417E01"/>
    <w:rsid w:val="4F4B3161"/>
    <w:rsid w:val="4F7F5615"/>
    <w:rsid w:val="4FCD042A"/>
    <w:rsid w:val="51A4428B"/>
    <w:rsid w:val="527E018B"/>
    <w:rsid w:val="535D1AC5"/>
    <w:rsid w:val="53DC242E"/>
    <w:rsid w:val="542A7943"/>
    <w:rsid w:val="54322F51"/>
    <w:rsid w:val="54684BC5"/>
    <w:rsid w:val="551D2AB1"/>
    <w:rsid w:val="554F18E1"/>
    <w:rsid w:val="55D37750"/>
    <w:rsid w:val="56EB73E7"/>
    <w:rsid w:val="57E156E6"/>
    <w:rsid w:val="587C0C3F"/>
    <w:rsid w:val="59464DA9"/>
    <w:rsid w:val="59620A30"/>
    <w:rsid w:val="5AEF6D32"/>
    <w:rsid w:val="5B585A25"/>
    <w:rsid w:val="5BA54009"/>
    <w:rsid w:val="5BC55A80"/>
    <w:rsid w:val="5CCF650E"/>
    <w:rsid w:val="5CE40B61"/>
    <w:rsid w:val="5D1F7DEB"/>
    <w:rsid w:val="5EE23FC0"/>
    <w:rsid w:val="5F654690"/>
    <w:rsid w:val="60714E01"/>
    <w:rsid w:val="60D3786A"/>
    <w:rsid w:val="60EC092C"/>
    <w:rsid w:val="614B38A4"/>
    <w:rsid w:val="61C64CD9"/>
    <w:rsid w:val="61E17D0C"/>
    <w:rsid w:val="61EF6CDF"/>
    <w:rsid w:val="61FA2BD4"/>
    <w:rsid w:val="62A6294E"/>
    <w:rsid w:val="62B965EC"/>
    <w:rsid w:val="6346020D"/>
    <w:rsid w:val="636B1FDC"/>
    <w:rsid w:val="64063AB3"/>
    <w:rsid w:val="64412D3D"/>
    <w:rsid w:val="66AC62E5"/>
    <w:rsid w:val="6833452D"/>
    <w:rsid w:val="68CA1553"/>
    <w:rsid w:val="6908207B"/>
    <w:rsid w:val="69C601FA"/>
    <w:rsid w:val="6A0A42A7"/>
    <w:rsid w:val="6AEF704E"/>
    <w:rsid w:val="6AF3148F"/>
    <w:rsid w:val="6BFB7C75"/>
    <w:rsid w:val="6C165841"/>
    <w:rsid w:val="6C3E27AC"/>
    <w:rsid w:val="6C6B5BAF"/>
    <w:rsid w:val="6D142D9C"/>
    <w:rsid w:val="6DB36A59"/>
    <w:rsid w:val="6DCE598B"/>
    <w:rsid w:val="6E4F6056"/>
    <w:rsid w:val="6E9827DA"/>
    <w:rsid w:val="6EB034E3"/>
    <w:rsid w:val="6EEF37F3"/>
    <w:rsid w:val="6F590805"/>
    <w:rsid w:val="6F6E15CD"/>
    <w:rsid w:val="6FE15F5A"/>
    <w:rsid w:val="706933FF"/>
    <w:rsid w:val="70785D38"/>
    <w:rsid w:val="70810A07"/>
    <w:rsid w:val="70F51490"/>
    <w:rsid w:val="711D0007"/>
    <w:rsid w:val="712B6D82"/>
    <w:rsid w:val="71535E5D"/>
    <w:rsid w:val="72C2773E"/>
    <w:rsid w:val="72FC32BC"/>
    <w:rsid w:val="736F21B5"/>
    <w:rsid w:val="741B5358"/>
    <w:rsid w:val="752E55CB"/>
    <w:rsid w:val="7556556B"/>
    <w:rsid w:val="75981ACC"/>
    <w:rsid w:val="7622081C"/>
    <w:rsid w:val="762E3B57"/>
    <w:rsid w:val="77C268AB"/>
    <w:rsid w:val="78F46178"/>
    <w:rsid w:val="79CE678C"/>
    <w:rsid w:val="7A607B74"/>
    <w:rsid w:val="7A922676"/>
    <w:rsid w:val="7B345BCE"/>
    <w:rsid w:val="7C3C40BE"/>
    <w:rsid w:val="7D1035AA"/>
    <w:rsid w:val="7E191883"/>
    <w:rsid w:val="7E417769"/>
    <w:rsid w:val="7F5C4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38"/>
    <w:qFormat/>
    <w:uiPriority w:val="99"/>
    <w:pPr>
      <w:keepNext/>
      <w:snapToGrid w:val="0"/>
      <w:spacing w:line="360" w:lineRule="atLeast"/>
      <w:outlineLvl w:val="0"/>
    </w:pPr>
    <w:rPr>
      <w:rFonts w:ascii="Times New Roman" w:hAnsi="Times New Roman" w:cs="Times New Roman"/>
      <w:b/>
      <w:bCs/>
      <w:kern w:val="44"/>
      <w:sz w:val="44"/>
      <w:szCs w:val="44"/>
      <w:lang w:val="zh-CN" w:eastAsia="zh-CN"/>
    </w:rPr>
  </w:style>
  <w:style w:type="paragraph" w:styleId="3">
    <w:name w:val="heading 2"/>
    <w:basedOn w:val="1"/>
    <w:next w:val="1"/>
    <w:link w:val="39"/>
    <w:qFormat/>
    <w:uiPriority w:val="99"/>
    <w:pPr>
      <w:keepNext/>
      <w:keepLines/>
      <w:spacing w:before="260" w:after="260" w:line="415" w:lineRule="auto"/>
      <w:outlineLvl w:val="1"/>
    </w:pPr>
    <w:rPr>
      <w:rFonts w:ascii="Cambria" w:hAnsi="Cambria" w:cs="Times New Roman"/>
      <w:b/>
      <w:bCs/>
      <w:sz w:val="32"/>
      <w:szCs w:val="32"/>
      <w:lang w:val="zh-CN" w:eastAsia="zh-CN"/>
    </w:rPr>
  </w:style>
  <w:style w:type="paragraph" w:styleId="4">
    <w:name w:val="heading 3"/>
    <w:basedOn w:val="1"/>
    <w:next w:val="1"/>
    <w:link w:val="40"/>
    <w:qFormat/>
    <w:uiPriority w:val="0"/>
    <w:pPr>
      <w:keepNext/>
      <w:keepLines/>
      <w:spacing w:before="260" w:after="260" w:line="415" w:lineRule="auto"/>
      <w:outlineLvl w:val="2"/>
    </w:pPr>
    <w:rPr>
      <w:rFonts w:ascii="Times New Roman" w:hAnsi="Times New Roman" w:cs="Times New Roman"/>
      <w:b/>
      <w:bCs/>
      <w:sz w:val="32"/>
      <w:szCs w:val="32"/>
      <w:lang w:val="zh-CN" w:eastAsia="zh-CN"/>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99"/>
    <w:pPr>
      <w:adjustRightInd w:val="0"/>
      <w:snapToGrid w:val="0"/>
      <w:spacing w:line="360" w:lineRule="auto"/>
      <w:ind w:firstLine="420"/>
    </w:pPr>
    <w:rPr>
      <w:szCs w:val="20"/>
    </w:rPr>
  </w:style>
  <w:style w:type="paragraph" w:styleId="7">
    <w:name w:val="Body Text"/>
    <w:basedOn w:val="1"/>
    <w:next w:val="1"/>
    <w:link w:val="41"/>
    <w:autoRedefine/>
    <w:unhideWhenUsed/>
    <w:qFormat/>
    <w:uiPriority w:val="99"/>
    <w:pPr>
      <w:spacing w:after="120"/>
    </w:pPr>
    <w:rPr>
      <w:rFonts w:ascii="Times New Roman" w:hAnsi="Times New Roman" w:cs="Times New Roman"/>
      <w:kern w:val="2"/>
      <w:sz w:val="28"/>
      <w:szCs w:val="28"/>
      <w:lang w:val="zh-CN" w:eastAsia="zh-CN"/>
    </w:rPr>
  </w:style>
  <w:style w:type="paragraph" w:styleId="8">
    <w:name w:val="Document Map"/>
    <w:basedOn w:val="1"/>
    <w:link w:val="42"/>
    <w:autoRedefine/>
    <w:semiHidden/>
    <w:qFormat/>
    <w:uiPriority w:val="99"/>
    <w:pPr>
      <w:shd w:val="clear" w:color="auto" w:fill="000080"/>
    </w:pPr>
    <w:rPr>
      <w:rFonts w:ascii="Times New Roman" w:hAnsi="Times New Roman" w:cs="Times New Roman"/>
      <w:sz w:val="2"/>
      <w:szCs w:val="2"/>
      <w:lang w:val="zh-CN" w:eastAsia="zh-CN"/>
    </w:rPr>
  </w:style>
  <w:style w:type="paragraph" w:styleId="9">
    <w:name w:val="annotation text"/>
    <w:basedOn w:val="1"/>
    <w:link w:val="43"/>
    <w:autoRedefine/>
    <w:unhideWhenUsed/>
    <w:qFormat/>
    <w:uiPriority w:val="99"/>
    <w:rPr>
      <w:rFonts w:ascii="Times New Roman" w:hAnsi="Times New Roman" w:cs="Times New Roman"/>
      <w:kern w:val="2"/>
      <w:sz w:val="28"/>
      <w:szCs w:val="28"/>
      <w:lang w:val="zh-CN" w:eastAsia="zh-CN"/>
    </w:rPr>
  </w:style>
  <w:style w:type="paragraph" w:styleId="10">
    <w:name w:val="Body Text Indent"/>
    <w:basedOn w:val="1"/>
    <w:link w:val="44"/>
    <w:qFormat/>
    <w:uiPriority w:val="99"/>
    <w:pPr>
      <w:spacing w:line="700" w:lineRule="exact"/>
      <w:ind w:left="960"/>
    </w:pPr>
    <w:rPr>
      <w:rFonts w:ascii="Times New Roman" w:hAnsi="Times New Roman" w:cs="Times New Roman"/>
      <w:sz w:val="20"/>
      <w:szCs w:val="20"/>
      <w:lang w:val="zh-CN" w:eastAsia="zh-CN"/>
    </w:rPr>
  </w:style>
  <w:style w:type="paragraph" w:styleId="11">
    <w:name w:val="toc 3"/>
    <w:basedOn w:val="1"/>
    <w:next w:val="1"/>
    <w:autoRedefine/>
    <w:qFormat/>
    <w:uiPriority w:val="39"/>
    <w:pPr>
      <w:tabs>
        <w:tab w:val="right" w:leader="dot" w:pos="8303"/>
      </w:tabs>
      <w:spacing w:line="540" w:lineRule="exact"/>
      <w:ind w:left="1120" w:leftChars="400"/>
    </w:pPr>
  </w:style>
  <w:style w:type="paragraph" w:styleId="12">
    <w:name w:val="Plain Text"/>
    <w:basedOn w:val="1"/>
    <w:link w:val="45"/>
    <w:autoRedefine/>
    <w:qFormat/>
    <w:uiPriority w:val="99"/>
    <w:rPr>
      <w:rFonts w:hAnsi="Courier New" w:cs="Times New Roman"/>
      <w:sz w:val="21"/>
      <w:szCs w:val="21"/>
      <w:lang w:val="zh-CN" w:eastAsia="zh-CN"/>
    </w:rPr>
  </w:style>
  <w:style w:type="paragraph" w:styleId="13">
    <w:name w:val="Date"/>
    <w:basedOn w:val="1"/>
    <w:next w:val="1"/>
    <w:link w:val="46"/>
    <w:autoRedefine/>
    <w:qFormat/>
    <w:uiPriority w:val="99"/>
    <w:rPr>
      <w:rFonts w:ascii="Times New Roman" w:hAnsi="Times New Roman" w:cs="Times New Roman"/>
      <w:sz w:val="20"/>
      <w:szCs w:val="20"/>
      <w:lang w:val="zh-CN" w:eastAsia="zh-CN"/>
    </w:rPr>
  </w:style>
  <w:style w:type="paragraph" w:styleId="14">
    <w:name w:val="Body Text Indent 2"/>
    <w:basedOn w:val="1"/>
    <w:link w:val="47"/>
    <w:unhideWhenUsed/>
    <w:qFormat/>
    <w:uiPriority w:val="99"/>
    <w:pPr>
      <w:spacing w:after="120" w:line="480" w:lineRule="auto"/>
      <w:ind w:left="420" w:leftChars="200"/>
    </w:pPr>
    <w:rPr>
      <w:rFonts w:ascii="Times New Roman" w:hAnsi="Times New Roman" w:cs="Times New Roman"/>
      <w:kern w:val="2"/>
      <w:sz w:val="28"/>
      <w:szCs w:val="28"/>
      <w:lang w:val="zh-CN" w:eastAsia="zh-CN"/>
    </w:rPr>
  </w:style>
  <w:style w:type="paragraph" w:styleId="15">
    <w:name w:val="Balloon Text"/>
    <w:basedOn w:val="1"/>
    <w:link w:val="48"/>
    <w:autoRedefine/>
    <w:semiHidden/>
    <w:qFormat/>
    <w:uiPriority w:val="99"/>
    <w:rPr>
      <w:rFonts w:ascii="Times New Roman" w:hAnsi="Times New Roman" w:cs="Times New Roman"/>
      <w:sz w:val="2"/>
      <w:szCs w:val="2"/>
      <w:lang w:val="zh-CN" w:eastAsia="zh-CN"/>
    </w:rPr>
  </w:style>
  <w:style w:type="paragraph" w:styleId="16">
    <w:name w:val="footer"/>
    <w:basedOn w:val="1"/>
    <w:link w:val="49"/>
    <w:autoRedefine/>
    <w:qFormat/>
    <w:uiPriority w:val="99"/>
    <w:pPr>
      <w:tabs>
        <w:tab w:val="center" w:pos="4153"/>
        <w:tab w:val="right" w:pos="8306"/>
      </w:tabs>
      <w:snapToGrid w:val="0"/>
    </w:pPr>
    <w:rPr>
      <w:rFonts w:ascii="Times New Roman" w:hAnsi="Times New Roman" w:cs="Times New Roman"/>
      <w:sz w:val="18"/>
      <w:szCs w:val="18"/>
      <w:lang w:val="zh-CN" w:eastAsia="zh-CN"/>
    </w:rPr>
  </w:style>
  <w:style w:type="paragraph" w:styleId="17">
    <w:name w:val="header"/>
    <w:basedOn w:val="1"/>
    <w:link w:val="50"/>
    <w:autoRedefine/>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eastAsia="zh-CN"/>
    </w:rPr>
  </w:style>
  <w:style w:type="paragraph" w:styleId="18">
    <w:name w:val="toc 1"/>
    <w:basedOn w:val="1"/>
    <w:next w:val="1"/>
    <w:autoRedefine/>
    <w:qFormat/>
    <w:uiPriority w:val="39"/>
    <w:pPr>
      <w:tabs>
        <w:tab w:val="right" w:leader="dot" w:pos="8303"/>
      </w:tabs>
      <w:spacing w:line="300" w:lineRule="exact"/>
    </w:pPr>
    <w:rPr>
      <w:rFonts w:ascii="仿宋_GB2312" w:hAnsi="华文中宋" w:eastAsia="仿宋_GB2312" w:cs="仿宋_GB2312"/>
      <w:b/>
      <w:bCs/>
    </w:rPr>
  </w:style>
  <w:style w:type="paragraph" w:styleId="19">
    <w:name w:val="toc 2"/>
    <w:basedOn w:val="1"/>
    <w:next w:val="1"/>
    <w:autoRedefine/>
    <w:qFormat/>
    <w:uiPriority w:val="39"/>
    <w:pPr>
      <w:tabs>
        <w:tab w:val="right" w:leader="dot" w:pos="8303"/>
      </w:tabs>
      <w:spacing w:line="360" w:lineRule="auto"/>
      <w:ind w:left="278"/>
    </w:pPr>
    <w:rPr>
      <w:rFonts w:ascii="仿宋_GB2312" w:hAnsi="华文中宋" w:eastAsia="仿宋_GB2312" w:cs="仿宋_GB2312"/>
    </w:rPr>
  </w:style>
  <w:style w:type="paragraph" w:styleId="20">
    <w:name w:val="Body Text 2"/>
    <w:basedOn w:val="1"/>
    <w:link w:val="51"/>
    <w:unhideWhenUsed/>
    <w:qFormat/>
    <w:uiPriority w:val="99"/>
    <w:pPr>
      <w:spacing w:after="120" w:line="480" w:lineRule="auto"/>
    </w:pPr>
    <w:rPr>
      <w:rFonts w:cs="Times New Roman"/>
      <w:lang w:val="zh-CN" w:eastAsia="zh-CN"/>
    </w:rPr>
  </w:style>
  <w:style w:type="paragraph" w:styleId="21">
    <w:name w:val="Normal (Web)"/>
    <w:basedOn w:val="1"/>
    <w:autoRedefine/>
    <w:qFormat/>
    <w:uiPriority w:val="99"/>
    <w:pPr>
      <w:spacing w:before="100" w:beforeAutospacing="1" w:after="100" w:afterAutospacing="1"/>
    </w:pPr>
    <w:rPr>
      <w:color w:val="000000"/>
    </w:rPr>
  </w:style>
  <w:style w:type="paragraph" w:styleId="22">
    <w:name w:val="annotation subject"/>
    <w:basedOn w:val="9"/>
    <w:next w:val="9"/>
    <w:link w:val="52"/>
    <w:unhideWhenUsed/>
    <w:qFormat/>
    <w:uiPriority w:val="99"/>
    <w:rPr>
      <w:b/>
      <w:bCs/>
    </w:rPr>
  </w:style>
  <w:style w:type="paragraph" w:styleId="23">
    <w:name w:val="Body Text First Indent"/>
    <w:basedOn w:val="1"/>
    <w:link w:val="53"/>
    <w:qFormat/>
    <w:uiPriority w:val="0"/>
    <w:pPr>
      <w:ind w:firstLine="420"/>
    </w:pPr>
  </w:style>
  <w:style w:type="table" w:styleId="25">
    <w:name w:val="Table Grid"/>
    <w:basedOn w:val="24"/>
    <w:qFormat/>
    <w:uiPriority w:val="0"/>
    <w:pPr>
      <w:widowControl w:val="0"/>
      <w:jc w:val="both"/>
    </w:pPr>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22"/>
    <w:rPr>
      <w:b/>
      <w:bCs/>
    </w:rPr>
  </w:style>
  <w:style w:type="character" w:styleId="28">
    <w:name w:val="page number"/>
    <w:autoRedefine/>
    <w:qFormat/>
    <w:uiPriority w:val="0"/>
    <w:rPr>
      <w:rFonts w:cs="Times New Roman"/>
    </w:rPr>
  </w:style>
  <w:style w:type="character" w:styleId="29">
    <w:name w:val="FollowedHyperlink"/>
    <w:basedOn w:val="26"/>
    <w:autoRedefine/>
    <w:semiHidden/>
    <w:unhideWhenUsed/>
    <w:qFormat/>
    <w:uiPriority w:val="99"/>
    <w:rPr>
      <w:color w:val="000000"/>
      <w:u w:val="none"/>
    </w:rPr>
  </w:style>
  <w:style w:type="character" w:styleId="30">
    <w:name w:val="Emphasis"/>
    <w:basedOn w:val="26"/>
    <w:autoRedefine/>
    <w:qFormat/>
    <w:uiPriority w:val="20"/>
    <w:rPr>
      <w:i/>
      <w:iCs/>
    </w:rPr>
  </w:style>
  <w:style w:type="character" w:styleId="31">
    <w:name w:val="Hyperlink"/>
    <w:qFormat/>
    <w:uiPriority w:val="99"/>
    <w:rPr>
      <w:rFonts w:cs="Times New Roman"/>
      <w:color w:val="0000FF"/>
      <w:u w:val="single"/>
    </w:rPr>
  </w:style>
  <w:style w:type="character" w:styleId="32">
    <w:name w:val="HTML Code"/>
    <w:basedOn w:val="26"/>
    <w:autoRedefine/>
    <w:semiHidden/>
    <w:unhideWhenUsed/>
    <w:qFormat/>
    <w:uiPriority w:val="99"/>
    <w:rPr>
      <w:rFonts w:ascii="Monaco" w:hAnsi="Monaco" w:eastAsia="Monaco" w:cs="Monaco"/>
      <w:color w:val="DD1144"/>
      <w:sz w:val="15"/>
      <w:szCs w:val="15"/>
      <w:bdr w:val="single" w:color="E1E1E8" w:sz="6" w:space="0"/>
      <w:shd w:val="clear" w:fill="F7F7F9"/>
    </w:rPr>
  </w:style>
  <w:style w:type="character" w:styleId="33">
    <w:name w:val="annotation reference"/>
    <w:autoRedefine/>
    <w:unhideWhenUsed/>
    <w:qFormat/>
    <w:uiPriority w:val="99"/>
    <w:rPr>
      <w:sz w:val="21"/>
      <w:szCs w:val="21"/>
    </w:rPr>
  </w:style>
  <w:style w:type="character" w:styleId="34">
    <w:name w:val="HTML Cite"/>
    <w:basedOn w:val="26"/>
    <w:semiHidden/>
    <w:unhideWhenUsed/>
    <w:qFormat/>
    <w:uiPriority w:val="99"/>
  </w:style>
  <w:style w:type="paragraph" w:customStyle="1" w:styleId="35">
    <w:name w:val="Default"/>
    <w:next w:val="36"/>
    <w:semiHidden/>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36">
    <w:name w:val="表格文字"/>
    <w:basedOn w:val="1"/>
    <w:autoRedefine/>
    <w:qFormat/>
    <w:uiPriority w:val="0"/>
    <w:pPr>
      <w:spacing w:line="420" w:lineRule="atLeast"/>
      <w:textAlignment w:val="baseline"/>
    </w:pPr>
    <w:rPr>
      <w:szCs w:val="20"/>
    </w:rPr>
  </w:style>
  <w:style w:type="paragraph" w:customStyle="1" w:styleId="37">
    <w:name w:val="标书正文1"/>
    <w:basedOn w:val="1"/>
    <w:autoRedefine/>
    <w:qFormat/>
    <w:uiPriority w:val="99"/>
    <w:pPr>
      <w:spacing w:line="520" w:lineRule="exact"/>
      <w:ind w:firstLine="640" w:firstLineChars="200"/>
    </w:pPr>
  </w:style>
  <w:style w:type="character" w:customStyle="1" w:styleId="38">
    <w:name w:val="标题 1 字符"/>
    <w:basedOn w:val="26"/>
    <w:link w:val="2"/>
    <w:autoRedefine/>
    <w:qFormat/>
    <w:uiPriority w:val="99"/>
    <w:rPr>
      <w:rFonts w:ascii="Times New Roman" w:hAnsi="Times New Roman" w:eastAsia="宋体" w:cs="Times New Roman"/>
      <w:b/>
      <w:bCs/>
      <w:kern w:val="44"/>
      <w:sz w:val="44"/>
      <w:szCs w:val="44"/>
      <w:lang w:val="zh-CN" w:eastAsia="zh-CN"/>
    </w:rPr>
  </w:style>
  <w:style w:type="character" w:customStyle="1" w:styleId="39">
    <w:name w:val="标题 2 字符"/>
    <w:basedOn w:val="26"/>
    <w:link w:val="3"/>
    <w:autoRedefine/>
    <w:qFormat/>
    <w:uiPriority w:val="99"/>
    <w:rPr>
      <w:rFonts w:ascii="Cambria" w:hAnsi="Cambria" w:eastAsia="宋体" w:cs="Times New Roman"/>
      <w:b/>
      <w:bCs/>
      <w:kern w:val="0"/>
      <w:sz w:val="32"/>
      <w:szCs w:val="32"/>
      <w:lang w:val="zh-CN" w:eastAsia="zh-CN"/>
    </w:rPr>
  </w:style>
  <w:style w:type="character" w:customStyle="1" w:styleId="40">
    <w:name w:val="标题 3 字符"/>
    <w:basedOn w:val="26"/>
    <w:link w:val="4"/>
    <w:autoRedefine/>
    <w:qFormat/>
    <w:uiPriority w:val="0"/>
    <w:rPr>
      <w:rFonts w:ascii="Times New Roman" w:hAnsi="Times New Roman" w:eastAsia="宋体" w:cs="Times New Roman"/>
      <w:b/>
      <w:bCs/>
      <w:kern w:val="0"/>
      <w:sz w:val="32"/>
      <w:szCs w:val="32"/>
      <w:lang w:val="zh-CN" w:eastAsia="zh-CN"/>
    </w:rPr>
  </w:style>
  <w:style w:type="character" w:customStyle="1" w:styleId="41">
    <w:name w:val="正文文本 字符"/>
    <w:basedOn w:val="26"/>
    <w:link w:val="7"/>
    <w:autoRedefine/>
    <w:qFormat/>
    <w:uiPriority w:val="99"/>
    <w:rPr>
      <w:rFonts w:ascii="Times New Roman" w:hAnsi="Times New Roman" w:eastAsia="宋体" w:cs="Times New Roman"/>
      <w:sz w:val="28"/>
      <w:szCs w:val="28"/>
      <w:lang w:val="zh-CN" w:eastAsia="zh-CN"/>
    </w:rPr>
  </w:style>
  <w:style w:type="character" w:customStyle="1" w:styleId="42">
    <w:name w:val="文档结构图 字符"/>
    <w:basedOn w:val="26"/>
    <w:link w:val="8"/>
    <w:autoRedefine/>
    <w:semiHidden/>
    <w:qFormat/>
    <w:uiPriority w:val="99"/>
    <w:rPr>
      <w:rFonts w:ascii="Times New Roman" w:hAnsi="Times New Roman" w:eastAsia="宋体" w:cs="Times New Roman"/>
      <w:kern w:val="0"/>
      <w:sz w:val="2"/>
      <w:szCs w:val="2"/>
      <w:shd w:val="clear" w:color="auto" w:fill="000080"/>
      <w:lang w:val="zh-CN" w:eastAsia="zh-CN"/>
    </w:rPr>
  </w:style>
  <w:style w:type="character" w:customStyle="1" w:styleId="43">
    <w:name w:val="批注文字 字符"/>
    <w:basedOn w:val="26"/>
    <w:link w:val="9"/>
    <w:autoRedefine/>
    <w:qFormat/>
    <w:uiPriority w:val="99"/>
    <w:rPr>
      <w:rFonts w:ascii="Times New Roman" w:hAnsi="Times New Roman" w:eastAsia="宋体" w:cs="Times New Roman"/>
      <w:sz w:val="28"/>
      <w:szCs w:val="28"/>
      <w:lang w:val="zh-CN" w:eastAsia="zh-CN"/>
    </w:rPr>
  </w:style>
  <w:style w:type="character" w:customStyle="1" w:styleId="44">
    <w:name w:val="正文文本缩进 字符"/>
    <w:basedOn w:val="26"/>
    <w:link w:val="10"/>
    <w:autoRedefine/>
    <w:qFormat/>
    <w:uiPriority w:val="99"/>
    <w:rPr>
      <w:rFonts w:ascii="Times New Roman" w:hAnsi="Times New Roman" w:eastAsia="宋体" w:cs="Times New Roman"/>
      <w:kern w:val="0"/>
      <w:sz w:val="20"/>
      <w:szCs w:val="20"/>
      <w:lang w:val="zh-CN" w:eastAsia="zh-CN"/>
    </w:rPr>
  </w:style>
  <w:style w:type="character" w:customStyle="1" w:styleId="45">
    <w:name w:val="纯文本 字符"/>
    <w:basedOn w:val="26"/>
    <w:link w:val="12"/>
    <w:autoRedefine/>
    <w:qFormat/>
    <w:uiPriority w:val="99"/>
    <w:rPr>
      <w:rFonts w:ascii="宋体" w:hAnsi="Courier New" w:eastAsia="宋体" w:cs="Times New Roman"/>
      <w:kern w:val="0"/>
      <w:szCs w:val="21"/>
      <w:lang w:val="zh-CN" w:eastAsia="zh-CN"/>
    </w:rPr>
  </w:style>
  <w:style w:type="character" w:customStyle="1" w:styleId="46">
    <w:name w:val="日期 字符"/>
    <w:basedOn w:val="26"/>
    <w:link w:val="13"/>
    <w:autoRedefine/>
    <w:qFormat/>
    <w:uiPriority w:val="99"/>
    <w:rPr>
      <w:rFonts w:ascii="Times New Roman" w:hAnsi="Times New Roman" w:eastAsia="宋体" w:cs="Times New Roman"/>
      <w:kern w:val="0"/>
      <w:sz w:val="20"/>
      <w:szCs w:val="20"/>
      <w:lang w:val="zh-CN" w:eastAsia="zh-CN"/>
    </w:rPr>
  </w:style>
  <w:style w:type="character" w:customStyle="1" w:styleId="47">
    <w:name w:val="正文文本缩进 2 字符"/>
    <w:basedOn w:val="26"/>
    <w:link w:val="14"/>
    <w:autoRedefine/>
    <w:qFormat/>
    <w:uiPriority w:val="99"/>
    <w:rPr>
      <w:rFonts w:ascii="Times New Roman" w:hAnsi="Times New Roman" w:eastAsia="宋体" w:cs="Times New Roman"/>
      <w:sz w:val="28"/>
      <w:szCs w:val="28"/>
      <w:lang w:val="zh-CN" w:eastAsia="zh-CN"/>
    </w:rPr>
  </w:style>
  <w:style w:type="character" w:customStyle="1" w:styleId="48">
    <w:name w:val="批注框文本 字符"/>
    <w:basedOn w:val="26"/>
    <w:link w:val="15"/>
    <w:autoRedefine/>
    <w:semiHidden/>
    <w:qFormat/>
    <w:uiPriority w:val="99"/>
    <w:rPr>
      <w:rFonts w:ascii="Times New Roman" w:hAnsi="Times New Roman" w:eastAsia="宋体" w:cs="Times New Roman"/>
      <w:kern w:val="0"/>
      <w:sz w:val="2"/>
      <w:szCs w:val="2"/>
      <w:lang w:val="zh-CN" w:eastAsia="zh-CN"/>
    </w:rPr>
  </w:style>
  <w:style w:type="character" w:customStyle="1" w:styleId="49">
    <w:name w:val="页脚 字符"/>
    <w:basedOn w:val="26"/>
    <w:link w:val="16"/>
    <w:autoRedefine/>
    <w:qFormat/>
    <w:uiPriority w:val="99"/>
    <w:rPr>
      <w:rFonts w:ascii="Times New Roman" w:hAnsi="Times New Roman" w:eastAsia="宋体" w:cs="Times New Roman"/>
      <w:kern w:val="0"/>
      <w:sz w:val="18"/>
      <w:szCs w:val="18"/>
      <w:lang w:val="zh-CN" w:eastAsia="zh-CN"/>
    </w:rPr>
  </w:style>
  <w:style w:type="character" w:customStyle="1" w:styleId="50">
    <w:name w:val="页眉 字符"/>
    <w:basedOn w:val="26"/>
    <w:link w:val="17"/>
    <w:autoRedefine/>
    <w:qFormat/>
    <w:uiPriority w:val="0"/>
    <w:rPr>
      <w:rFonts w:ascii="Times New Roman" w:hAnsi="Times New Roman" w:eastAsia="宋体" w:cs="Times New Roman"/>
      <w:kern w:val="0"/>
      <w:sz w:val="18"/>
      <w:szCs w:val="18"/>
      <w:lang w:val="zh-CN" w:eastAsia="zh-CN"/>
    </w:rPr>
  </w:style>
  <w:style w:type="character" w:customStyle="1" w:styleId="51">
    <w:name w:val="正文文本 2 字符"/>
    <w:basedOn w:val="26"/>
    <w:link w:val="20"/>
    <w:autoRedefine/>
    <w:qFormat/>
    <w:uiPriority w:val="99"/>
    <w:rPr>
      <w:rFonts w:ascii="宋体" w:hAnsi="宋体" w:eastAsia="宋体" w:cs="Times New Roman"/>
      <w:kern w:val="0"/>
      <w:sz w:val="24"/>
      <w:lang w:val="zh-CN" w:eastAsia="zh-CN"/>
    </w:rPr>
  </w:style>
  <w:style w:type="character" w:customStyle="1" w:styleId="52">
    <w:name w:val="批注主题 字符"/>
    <w:basedOn w:val="43"/>
    <w:link w:val="22"/>
    <w:autoRedefine/>
    <w:qFormat/>
    <w:uiPriority w:val="99"/>
    <w:rPr>
      <w:rFonts w:ascii="Times New Roman" w:hAnsi="Times New Roman" w:eastAsia="宋体" w:cs="Times New Roman"/>
      <w:b/>
      <w:bCs/>
      <w:sz w:val="28"/>
      <w:szCs w:val="28"/>
      <w:lang w:val="zh-CN" w:eastAsia="zh-CN"/>
    </w:rPr>
  </w:style>
  <w:style w:type="character" w:customStyle="1" w:styleId="53">
    <w:name w:val="正文文本首行缩进 字符"/>
    <w:basedOn w:val="41"/>
    <w:link w:val="23"/>
    <w:qFormat/>
    <w:uiPriority w:val="0"/>
    <w:rPr>
      <w:rFonts w:ascii="宋体" w:hAnsi="宋体" w:eastAsia="宋体" w:cs="宋体"/>
      <w:kern w:val="0"/>
      <w:sz w:val="24"/>
      <w:szCs w:val="28"/>
      <w:lang w:val="zh-CN" w:eastAsia="zh-CN"/>
    </w:rPr>
  </w:style>
  <w:style w:type="paragraph" w:customStyle="1" w:styleId="54">
    <w:name w:val="正文文本 21"/>
    <w:basedOn w:val="1"/>
    <w:autoRedefine/>
    <w:qFormat/>
    <w:uiPriority w:val="0"/>
    <w:pPr>
      <w:snapToGrid w:val="0"/>
      <w:spacing w:line="540" w:lineRule="exact"/>
    </w:pPr>
    <w:rPr>
      <w:rFonts w:eastAsia="方正仿宋_GBK"/>
      <w:color w:val="000000"/>
    </w:rPr>
  </w:style>
  <w:style w:type="paragraph" w:customStyle="1" w:styleId="55">
    <w:name w:val="引用1"/>
    <w:next w:val="1"/>
    <w:autoRedefine/>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character" w:customStyle="1" w:styleId="56">
    <w:name w:val="emphasizedtitle1"/>
    <w:autoRedefine/>
    <w:qFormat/>
    <w:uiPriority w:val="99"/>
    <w:rPr>
      <w:rFonts w:ascii="Arial" w:hAnsi="Arial"/>
      <w:b/>
      <w:sz w:val="27"/>
    </w:rPr>
  </w:style>
  <w:style w:type="character" w:customStyle="1" w:styleId="57">
    <w:name w:val="font21"/>
    <w:autoRedefine/>
    <w:qFormat/>
    <w:uiPriority w:val="0"/>
    <w:rPr>
      <w:rFonts w:ascii="宋体" w:eastAsia="宋体" w:cs="宋体"/>
      <w:color w:val="000000"/>
      <w:sz w:val="20"/>
      <w:szCs w:val="20"/>
      <w:u w:val="none"/>
    </w:rPr>
  </w:style>
  <w:style w:type="character" w:customStyle="1" w:styleId="58">
    <w:name w:val="apple-converted-space"/>
    <w:autoRedefine/>
    <w:qFormat/>
    <w:uiPriority w:val="99"/>
    <w:rPr>
      <w:rFonts w:cs="Times New Roman"/>
    </w:rPr>
  </w:style>
  <w:style w:type="character" w:customStyle="1" w:styleId="59">
    <w:name w:val="active"/>
    <w:autoRedefine/>
    <w:qFormat/>
    <w:uiPriority w:val="0"/>
    <w:rPr>
      <w:shd w:val="clear" w:color="auto" w:fill="EC3535"/>
    </w:rPr>
  </w:style>
  <w:style w:type="character" w:customStyle="1" w:styleId="60">
    <w:name w:val="样式 (中文) 仿宋_GB2312 小四 行距: 固定值 22 磅 Char"/>
    <w:link w:val="61"/>
    <w:autoRedefine/>
    <w:qFormat/>
    <w:uiPriority w:val="0"/>
    <w:rPr>
      <w:rFonts w:eastAsia="仿宋_GB2312"/>
      <w:sz w:val="24"/>
    </w:rPr>
  </w:style>
  <w:style w:type="paragraph" w:customStyle="1" w:styleId="61">
    <w:name w:val="样式 (中文) 仿宋_GB2312 小四 行距: 固定值 22 磅"/>
    <w:basedOn w:val="1"/>
    <w:link w:val="60"/>
    <w:autoRedefine/>
    <w:qFormat/>
    <w:uiPriority w:val="0"/>
    <w:pPr>
      <w:spacing w:line="400" w:lineRule="exact"/>
      <w:ind w:firstLine="150" w:firstLineChars="150"/>
    </w:pPr>
    <w:rPr>
      <w:rFonts w:eastAsia="仿宋_GB2312" w:asciiTheme="minorHAnsi" w:hAnsiTheme="minorHAnsi" w:cstheme="minorBidi"/>
      <w:kern w:val="2"/>
    </w:rPr>
  </w:style>
  <w:style w:type="character" w:customStyle="1" w:styleId="62">
    <w:name w:val="maincontenttable"/>
    <w:autoRedefine/>
    <w:qFormat/>
    <w:uiPriority w:val="99"/>
    <w:rPr>
      <w:rFonts w:cs="Times New Roman"/>
    </w:rPr>
  </w:style>
  <w:style w:type="paragraph" w:customStyle="1" w:styleId="63">
    <w:name w:val="Char1 Char Char Char"/>
    <w:basedOn w:val="1"/>
    <w:autoRedefine/>
    <w:qFormat/>
    <w:uiPriority w:val="99"/>
    <w:rPr>
      <w:rFonts w:ascii="Tahoma" w:hAnsi="Tahoma" w:cs="Tahoma"/>
      <w:sz w:val="30"/>
      <w:szCs w:val="30"/>
    </w:rPr>
  </w:style>
  <w:style w:type="paragraph" w:customStyle="1" w:styleId="64">
    <w:name w:val="Char Char Char Char Char Char Char Char Char Char"/>
    <w:basedOn w:val="1"/>
    <w:autoRedefine/>
    <w:qFormat/>
    <w:uiPriority w:val="99"/>
    <w:pPr>
      <w:tabs>
        <w:tab w:val="left" w:pos="360"/>
      </w:tabs>
      <w:ind w:left="360" w:hanging="360" w:hangingChars="200"/>
    </w:pPr>
  </w:style>
  <w:style w:type="paragraph" w:customStyle="1" w:styleId="65">
    <w:name w:val="op_exactqa_s_prop"/>
    <w:basedOn w:val="1"/>
    <w:qFormat/>
    <w:uiPriority w:val="99"/>
  </w:style>
  <w:style w:type="paragraph" w:customStyle="1" w:styleId="66">
    <w:name w:val="Char"/>
    <w:basedOn w:val="1"/>
    <w:qFormat/>
    <w:uiPriority w:val="99"/>
    <w:pPr>
      <w:spacing w:after="160" w:line="240" w:lineRule="exact"/>
    </w:pPr>
    <w:rPr>
      <w:rFonts w:ascii="Verdana" w:hAnsi="Verdana" w:eastAsia="仿宋_GB2312" w:cs="Verdana"/>
      <w:lang w:eastAsia="en-US"/>
    </w:rPr>
  </w:style>
  <w:style w:type="paragraph" w:customStyle="1" w:styleId="67">
    <w:name w:val="图例"/>
    <w:basedOn w:val="1"/>
    <w:qFormat/>
    <w:uiPriority w:val="0"/>
    <w:pPr>
      <w:spacing w:before="120" w:after="120" w:line="360" w:lineRule="auto"/>
      <w:jc w:val="center"/>
    </w:pPr>
    <w:rPr>
      <w:rFonts w:eastAsia="仿宋_GB2312"/>
      <w:b/>
    </w:rPr>
  </w:style>
  <w:style w:type="paragraph" w:customStyle="1" w:styleId="68">
    <w:name w:val="Char Char Char Char"/>
    <w:basedOn w:val="1"/>
    <w:qFormat/>
    <w:uiPriority w:val="99"/>
    <w:pPr>
      <w:spacing w:after="160" w:line="240" w:lineRule="exact"/>
    </w:pPr>
    <w:rPr>
      <w:rFonts w:ascii="Verdana" w:hAnsi="Verdana" w:cs="Verdana"/>
      <w:sz w:val="20"/>
      <w:szCs w:val="20"/>
      <w:lang w:eastAsia="en-US"/>
    </w:rPr>
  </w:style>
  <w:style w:type="paragraph" w:customStyle="1" w:styleId="69">
    <w:name w:val="_Style 7"/>
    <w:basedOn w:val="1"/>
    <w:qFormat/>
    <w:uiPriority w:val="0"/>
    <w:pPr>
      <w:ind w:firstLine="200" w:firstLineChars="200"/>
    </w:pPr>
    <w:rPr>
      <w:rFonts w:ascii="等线" w:eastAsia="等线" w:cs="Times New Roman"/>
      <w:sz w:val="21"/>
      <w:szCs w:val="22"/>
    </w:rPr>
  </w:style>
  <w:style w:type="paragraph" w:customStyle="1" w:styleId="70">
    <w:name w:val="xl40"/>
    <w:basedOn w:val="1"/>
    <w:qFormat/>
    <w:uiPriority w:val="99"/>
    <w:pPr>
      <w:pBdr>
        <w:left w:val="single" w:color="auto" w:sz="4" w:space="0"/>
        <w:right w:val="single" w:color="auto" w:sz="4" w:space="0"/>
      </w:pBdr>
      <w:spacing w:before="100" w:beforeAutospacing="1" w:after="100" w:afterAutospacing="1"/>
      <w:jc w:val="center"/>
    </w:pPr>
  </w:style>
  <w:style w:type="paragraph" w:customStyle="1" w:styleId="71">
    <w:name w:val="列表段落1"/>
    <w:basedOn w:val="1"/>
    <w:unhideWhenUsed/>
    <w:qFormat/>
    <w:uiPriority w:val="99"/>
    <w:pPr>
      <w:ind w:firstLine="420" w:firstLineChars="200"/>
    </w:pPr>
  </w:style>
  <w:style w:type="paragraph" w:customStyle="1" w:styleId="72">
    <w:name w:val="1"/>
    <w:basedOn w:val="1"/>
    <w:next w:val="12"/>
    <w:qFormat/>
    <w:uiPriority w:val="0"/>
    <w:rPr>
      <w:rFonts w:hAnsi="Courier New"/>
      <w:sz w:val="21"/>
      <w:szCs w:val="21"/>
    </w:rPr>
  </w:style>
  <w:style w:type="paragraph" w:customStyle="1" w:styleId="73">
    <w:name w:val="列出段落2"/>
    <w:basedOn w:val="1"/>
    <w:unhideWhenUsed/>
    <w:qFormat/>
    <w:uiPriority w:val="99"/>
    <w:pPr>
      <w:ind w:firstLine="420" w:firstLineChars="200"/>
    </w:pPr>
  </w:style>
  <w:style w:type="paragraph" w:customStyle="1" w:styleId="74">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szCs w:val="20"/>
      <w:lang w:val="en-US" w:eastAsia="zh-CN" w:bidi="ar-SA"/>
    </w:rPr>
  </w:style>
  <w:style w:type="paragraph" w:customStyle="1" w:styleId="75">
    <w:name w:val="列出段落1"/>
    <w:basedOn w:val="1"/>
    <w:qFormat/>
    <w:uiPriority w:val="99"/>
    <w:pPr>
      <w:ind w:firstLine="420" w:firstLineChars="200"/>
    </w:pPr>
    <w:rPr>
      <w:rFonts w:ascii="Calibri" w:hAnsi="Calibri"/>
      <w:sz w:val="21"/>
      <w:szCs w:val="22"/>
    </w:rPr>
  </w:style>
  <w:style w:type="paragraph" w:customStyle="1" w:styleId="76">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7">
    <w:name w:val="标题 5（有编号）（绿盟科技）"/>
    <w:basedOn w:val="1"/>
    <w:next w:val="1"/>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78">
    <w:name w:val="样式 样式 首行缩进:  2 字符 + 首行缩进:  2 字符"/>
    <w:basedOn w:val="1"/>
    <w:qFormat/>
    <w:uiPriority w:val="0"/>
    <w:pPr>
      <w:numPr>
        <w:ilvl w:val="0"/>
        <w:numId w:val="1"/>
      </w:numPr>
      <w:tabs>
        <w:tab w:val="clear" w:pos="1230"/>
      </w:tabs>
      <w:spacing w:line="360" w:lineRule="auto"/>
      <w:ind w:firstLine="480" w:firstLineChars="200"/>
    </w:pPr>
    <w:rPr>
      <w:szCs w:val="20"/>
    </w:rPr>
  </w:style>
  <w:style w:type="character" w:customStyle="1" w:styleId="79">
    <w:name w:val="NormalCharacter"/>
    <w:qFormat/>
    <w:uiPriority w:val="0"/>
    <w:rPr>
      <w:rFonts w:ascii="Calibri" w:hAnsi="Calibri" w:eastAsia="宋体"/>
    </w:rPr>
  </w:style>
  <w:style w:type="paragraph" w:styleId="80">
    <w:name w:val="List Paragraph"/>
    <w:basedOn w:val="1"/>
    <w:qFormat/>
    <w:uiPriority w:val="99"/>
    <w:pPr>
      <w:widowControl w:val="0"/>
      <w:ind w:firstLine="420" w:firstLineChars="200"/>
      <w:jc w:val="both"/>
    </w:pPr>
    <w:rPr>
      <w:rFonts w:ascii="Calibri" w:hAnsi="Calibri" w:cs="Times New Roman"/>
      <w:kern w:val="2"/>
      <w:sz w:val="21"/>
    </w:rPr>
  </w:style>
  <w:style w:type="paragraph" w:customStyle="1" w:styleId="81">
    <w:name w:val="Normal_6b1eb2b1-915e-4520-a4ad-e896fdd76176"/>
    <w:next w:val="2"/>
    <w:qFormat/>
    <w:uiPriority w:val="0"/>
    <w:rPr>
      <w:rFonts w:ascii="Times New Roman" w:hAnsi="Times New Roman" w:eastAsia="宋体" w:cs="Times New Roman"/>
      <w:kern w:val="0"/>
      <w:sz w:val="21"/>
      <w:szCs w:val="20"/>
      <w:lang w:val="en-US" w:eastAsia="zh-CN" w:bidi="ar-SA"/>
    </w:rPr>
  </w:style>
  <w:style w:type="character" w:customStyle="1" w:styleId="82">
    <w:name w:val="active7"/>
    <w:basedOn w:val="26"/>
    <w:qFormat/>
    <w:uiPriority w:val="0"/>
    <w:rPr>
      <w:color w:val="FFFFFF"/>
      <w:shd w:val="clear" w:fill="E02F23"/>
    </w:rPr>
  </w:style>
  <w:style w:type="character" w:customStyle="1" w:styleId="83">
    <w:name w:val="active6"/>
    <w:basedOn w:val="26"/>
    <w:qFormat/>
    <w:uiPriority w:val="0"/>
    <w:rPr>
      <w:color w:val="FFFFFF"/>
      <w:shd w:val="clear" w:fill="E02F23"/>
    </w:rPr>
  </w:style>
  <w:style w:type="paragraph" w:customStyle="1" w:styleId="84">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85">
    <w:name w:val="正文-表格内文字"/>
    <w:basedOn w:val="1"/>
    <w:qFormat/>
    <w:uiPriority w:val="99"/>
    <w:pPr>
      <w:spacing w:line="264" w:lineRule="auto"/>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B5009-B4C9-FB4E-9480-C727C9A8B43B}">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14241</Words>
  <Characters>14818</Characters>
  <Lines>185</Lines>
  <Paragraphs>52</Paragraphs>
  <TotalTime>25</TotalTime>
  <ScaleCrop>false</ScaleCrop>
  <LinksUpToDate>false</LinksUpToDate>
  <CharactersWithSpaces>15033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2022-07-04T08:46:00Z</dcterms:created>
  <dc:creator>Haowen Yang</dc:creator>
  <cp:lastModifiedBy>hj</cp:lastModifiedBy>
  <dcterms:modified xsi:type="dcterms:W3CDTF">2025-08-09T04:14:25Z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ABC97BB95EB74B75B884B295209C9E8A_13</vt:lpwstr>
  </property>
  <property fmtid="{D5CDD505-2E9C-101B-9397-08002B2CF9AE}" pid="4" name="KSOTemplateDocerSaveRecord">
    <vt:lpwstr>eyJoZGlkIjoiNTgyM2I2NDY1ZjNmMzExMDA1OWMyNzkzMTE1OGEzMDYiLCJ1c2VySWQiOiIyNjUxNDEzNzYifQ==</vt:lpwstr>
  </property>
</Properties>
</file>