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2133">
      <w:pPr>
        <w:widowControl/>
        <w:spacing w:line="360" w:lineRule="auto"/>
        <w:jc w:val="center"/>
        <w:rPr>
          <w:rFonts w:hint="eastAsia" w:ascii="仿宋" w:hAnsi="仿宋" w:eastAsia="仿宋" w:cs="仿宋"/>
          <w:color w:val="auto"/>
          <w:sz w:val="96"/>
          <w:szCs w:val="96"/>
          <w:highlight w:val="none"/>
        </w:rPr>
      </w:pPr>
    </w:p>
    <w:p w14:paraId="119D2379">
      <w:pPr>
        <w:spacing w:line="360" w:lineRule="auto"/>
        <w:jc w:val="center"/>
        <w:rPr>
          <w:rFonts w:hint="eastAsia" w:ascii="仿宋" w:hAnsi="仿宋" w:eastAsia="仿宋" w:cs="仿宋"/>
          <w:b/>
          <w:bCs/>
          <w:color w:val="auto"/>
          <w:sz w:val="72"/>
          <w:szCs w:val="72"/>
          <w:highlight w:val="none"/>
        </w:rPr>
      </w:pPr>
      <w:bookmarkStart w:id="0" w:name="_Toc29402"/>
      <w:r>
        <w:rPr>
          <w:rFonts w:hint="eastAsia" w:ascii="仿宋" w:hAnsi="仿宋" w:eastAsia="仿宋" w:cs="仿宋"/>
          <w:b/>
          <w:bCs/>
          <w:color w:val="auto"/>
          <w:sz w:val="72"/>
          <w:szCs w:val="72"/>
          <w:highlight w:val="none"/>
        </w:rPr>
        <w:t>竞采文件</w:t>
      </w:r>
      <w:bookmarkEnd w:id="0"/>
    </w:p>
    <w:p w14:paraId="7E954263">
      <w:pPr>
        <w:pStyle w:val="12"/>
        <w:spacing w:line="360" w:lineRule="auto"/>
        <w:ind w:left="0" w:leftChars="0"/>
        <w:rPr>
          <w:rFonts w:hint="eastAsia" w:ascii="仿宋" w:hAnsi="仿宋" w:eastAsia="仿宋" w:cs="仿宋"/>
          <w:color w:val="auto"/>
          <w:sz w:val="32"/>
          <w:highlight w:val="none"/>
        </w:rPr>
      </w:pPr>
    </w:p>
    <w:p w14:paraId="2DDA7723">
      <w:pPr>
        <w:pStyle w:val="16"/>
        <w:spacing w:line="360" w:lineRule="auto"/>
        <w:rPr>
          <w:rFonts w:hint="eastAsia" w:ascii="仿宋" w:hAnsi="仿宋" w:eastAsia="仿宋" w:cs="仿宋"/>
          <w:color w:val="auto"/>
          <w:sz w:val="32"/>
          <w:highlight w:val="none"/>
        </w:rPr>
      </w:pPr>
    </w:p>
    <w:p w14:paraId="39209515">
      <w:pPr>
        <w:pStyle w:val="16"/>
        <w:spacing w:line="360" w:lineRule="auto"/>
        <w:rPr>
          <w:rFonts w:hint="eastAsia" w:ascii="仿宋" w:hAnsi="仿宋" w:eastAsia="仿宋" w:cs="仿宋"/>
          <w:color w:val="auto"/>
          <w:sz w:val="32"/>
          <w:highlight w:val="none"/>
        </w:rPr>
      </w:pPr>
    </w:p>
    <w:p w14:paraId="355301C0">
      <w:pPr>
        <w:pStyle w:val="12"/>
        <w:spacing w:line="360" w:lineRule="auto"/>
        <w:ind w:left="560"/>
        <w:jc w:val="center"/>
        <w:rPr>
          <w:rFonts w:hint="eastAsia" w:ascii="仿宋" w:hAnsi="仿宋" w:eastAsia="仿宋" w:cs="仿宋"/>
          <w:color w:val="auto"/>
          <w:sz w:val="32"/>
          <w:highlight w:val="none"/>
        </w:rPr>
      </w:pPr>
    </w:p>
    <w:p w14:paraId="237EFE01">
      <w:pPr>
        <w:pStyle w:val="12"/>
        <w:spacing w:line="360" w:lineRule="auto"/>
        <w:ind w:left="560"/>
        <w:rPr>
          <w:rFonts w:hint="eastAsia" w:ascii="仿宋" w:hAnsi="仿宋" w:eastAsia="仿宋" w:cs="仿宋"/>
          <w:color w:val="auto"/>
          <w:sz w:val="32"/>
          <w:highlight w:val="none"/>
        </w:rPr>
      </w:pPr>
    </w:p>
    <w:p w14:paraId="7BF1055B">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项目名称：</w:t>
      </w:r>
      <w:bookmarkStart w:id="326" w:name="_GoBack"/>
      <w:r>
        <w:rPr>
          <w:rFonts w:hint="eastAsia" w:ascii="仿宋" w:hAnsi="仿宋" w:eastAsia="仿宋" w:cs="仿宋"/>
          <w:color w:val="auto"/>
          <w:sz w:val="32"/>
          <w:szCs w:val="28"/>
          <w:highlight w:val="none"/>
          <w:lang w:eastAsia="zh-CN"/>
        </w:rPr>
        <w:t>中医科住院病区和产房维修改造</w:t>
      </w:r>
      <w:bookmarkEnd w:id="326"/>
    </w:p>
    <w:p w14:paraId="4164AEBB">
      <w:pPr>
        <w:widowControl/>
        <w:spacing w:line="360" w:lineRule="auto"/>
        <w:ind w:firstLine="1280" w:firstLineChars="400"/>
        <w:jc w:val="left"/>
        <w:rPr>
          <w:rFonts w:hint="eastAsia" w:ascii="仿宋" w:hAnsi="仿宋" w:eastAsia="仿宋" w:cs="仿宋"/>
          <w:color w:val="auto"/>
          <w:sz w:val="32"/>
          <w:szCs w:val="28"/>
          <w:highlight w:val="none"/>
        </w:rPr>
      </w:pPr>
    </w:p>
    <w:p w14:paraId="127D502E">
      <w:pPr>
        <w:widowControl/>
        <w:spacing w:line="360" w:lineRule="auto"/>
        <w:jc w:val="left"/>
        <w:rPr>
          <w:rFonts w:hint="eastAsia" w:ascii="仿宋" w:hAnsi="仿宋" w:eastAsia="仿宋" w:cs="仿宋"/>
          <w:color w:val="auto"/>
          <w:sz w:val="32"/>
          <w:szCs w:val="28"/>
          <w:highlight w:val="none"/>
        </w:rPr>
      </w:pPr>
    </w:p>
    <w:p w14:paraId="36CAB590">
      <w:pPr>
        <w:widowControl/>
        <w:spacing w:line="360" w:lineRule="auto"/>
        <w:ind w:firstLine="1280" w:firstLineChars="400"/>
        <w:jc w:val="left"/>
        <w:rPr>
          <w:rFonts w:hint="eastAsia" w:ascii="仿宋" w:hAnsi="仿宋" w:eastAsia="仿宋" w:cs="仿宋"/>
          <w:color w:val="auto"/>
          <w:sz w:val="32"/>
          <w:szCs w:val="28"/>
          <w:highlight w:val="none"/>
        </w:rPr>
      </w:pPr>
    </w:p>
    <w:p w14:paraId="60BE4F70">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采 购 人：</w:t>
      </w:r>
      <w:r>
        <w:rPr>
          <w:rFonts w:hint="eastAsia" w:ascii="仿宋" w:hAnsi="仿宋" w:eastAsia="仿宋" w:cs="仿宋"/>
          <w:color w:val="auto"/>
          <w:sz w:val="32"/>
          <w:szCs w:val="28"/>
          <w:highlight w:val="none"/>
          <w:lang w:eastAsia="zh-CN"/>
        </w:rPr>
        <w:t>重庆市江津区贾嗣中心卫生院</w:t>
      </w:r>
      <w:r>
        <w:rPr>
          <w:rFonts w:hint="eastAsia" w:ascii="仿宋" w:hAnsi="仿宋" w:eastAsia="仿宋" w:cs="仿宋"/>
          <w:color w:val="auto"/>
          <w:sz w:val="32"/>
          <w:szCs w:val="28"/>
          <w:highlight w:val="none"/>
        </w:rPr>
        <w:t xml:space="preserve">       </w:t>
      </w:r>
    </w:p>
    <w:p w14:paraId="731903FC">
      <w:pPr>
        <w:widowControl/>
        <w:spacing w:line="360" w:lineRule="auto"/>
        <w:ind w:firstLine="1280" w:firstLineChars="400"/>
        <w:jc w:val="left"/>
        <w:rPr>
          <w:rFonts w:hint="eastAsia" w:ascii="仿宋" w:hAnsi="仿宋" w:eastAsia="仿宋" w:cs="仿宋"/>
          <w:color w:val="auto"/>
          <w:sz w:val="32"/>
          <w:szCs w:val="28"/>
          <w:highlight w:val="none"/>
          <w:lang w:eastAsia="zh-CN"/>
        </w:rPr>
      </w:pPr>
      <w:r>
        <w:rPr>
          <w:rFonts w:hint="eastAsia" w:ascii="仿宋" w:hAnsi="仿宋" w:eastAsia="仿宋" w:cs="仿宋"/>
          <w:color w:val="auto"/>
          <w:sz w:val="32"/>
          <w:szCs w:val="28"/>
          <w:highlight w:val="none"/>
        </w:rPr>
        <w:t>代理机构：</w:t>
      </w:r>
      <w:r>
        <w:rPr>
          <w:rFonts w:hint="eastAsia" w:ascii="仿宋" w:hAnsi="仿宋" w:eastAsia="仿宋" w:cs="仿宋"/>
          <w:color w:val="auto"/>
          <w:sz w:val="32"/>
          <w:szCs w:val="28"/>
          <w:highlight w:val="none"/>
          <w:lang w:eastAsia="zh-CN"/>
        </w:rPr>
        <w:t>重庆海德思哲招标代理有限公司</w:t>
      </w:r>
    </w:p>
    <w:p w14:paraId="76817D57">
      <w:pPr>
        <w:spacing w:line="360" w:lineRule="auto"/>
        <w:ind w:firstLine="2880" w:firstLineChars="900"/>
        <w:rPr>
          <w:rFonts w:hint="eastAsia" w:ascii="仿宋" w:hAnsi="仿宋" w:eastAsia="仿宋" w:cs="仿宋"/>
          <w:color w:val="auto"/>
          <w:sz w:val="32"/>
          <w:szCs w:val="28"/>
          <w:highlight w:val="none"/>
        </w:rPr>
      </w:pPr>
    </w:p>
    <w:p w14:paraId="08AA8F78">
      <w:pPr>
        <w:spacing w:line="360" w:lineRule="auto"/>
        <w:ind w:firstLine="3520" w:firstLineChars="1100"/>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二○二五年</w:t>
      </w:r>
      <w:r>
        <w:rPr>
          <w:rFonts w:hint="eastAsia" w:ascii="仿宋" w:hAnsi="仿宋" w:eastAsia="仿宋" w:cs="仿宋"/>
          <w:color w:val="auto"/>
          <w:sz w:val="32"/>
          <w:szCs w:val="28"/>
          <w:highlight w:val="none"/>
          <w:lang w:val="en-US" w:eastAsia="zh-CN"/>
        </w:rPr>
        <w:t>八</w:t>
      </w:r>
      <w:r>
        <w:rPr>
          <w:rFonts w:hint="eastAsia" w:ascii="仿宋" w:hAnsi="仿宋" w:eastAsia="仿宋" w:cs="仿宋"/>
          <w:color w:val="auto"/>
          <w:sz w:val="32"/>
          <w:szCs w:val="28"/>
          <w:highlight w:val="none"/>
        </w:rPr>
        <w:t>月</w:t>
      </w:r>
    </w:p>
    <w:p w14:paraId="6123B0BD">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48705BED">
      <w:pPr>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目  录</w:t>
      </w:r>
    </w:p>
    <w:p w14:paraId="3B19130E">
      <w:pPr>
        <w:pStyle w:val="18"/>
        <w:tabs>
          <w:tab w:val="right" w:leader="hyphen" w:pos="9071"/>
        </w:tabs>
        <w:spacing w:line="420" w:lineRule="exac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"1-2"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"_Toc22554"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第一篇 竞采邀请书</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_Toc22554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E2FD9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"_Toc7248"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一、项目内容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_Toc7248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1AA72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"_Toc9423"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_Toc9423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303BA81">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"_Toc5086"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三、响应、评审有关说明</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_Toc5086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ED6FE0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"_Toc21821"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四、竞采有关规定</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_Toc21821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6FA5C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"_Toc11502"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五、联系方式</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_Toc11502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A143A9">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"_Toc15392"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第二篇 项目服务需求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_Toc15392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4</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1346B20">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"_Toc20140"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第三篇 项目商务需求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fldChar w:fldCharType="end"/>
      </w:r>
    </w:p>
    <w:p w14:paraId="58113E7F">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"_Toc3533"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第四篇 资格审查及评审办法</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_Toc3533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10</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6887224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一、资格审查及符合性审查</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FD9782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"_Toc27274"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二、评审方法</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_Toc27274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3CFBC3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"_Toc16835"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_Toc16835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C9828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四、无效响应条款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BC311A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五、采购终止条款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_Toc2799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14</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9AAE8F1">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"_Toc18030"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第五篇 供应商须知</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_Toc18030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15</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3DF59AA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_Toc14153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9AE524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"_Toc24546"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二、采购文件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_Toc24546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16E8F3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"_Toc1290"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_Toc1290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7507F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四、评审流程</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_Toc18279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2D0075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"_Toc32450"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_Toc32450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51DDAE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"_Toc24968"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六、确认成交供应商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_Toc24968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7923A2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"_Toc21027"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七、成交</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_Toc21027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41BE240">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八、采购代理服务费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_Toc23353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3B3E5FD">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"_Toc32308"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九、签订合同</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_Toc32308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ADA24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"_Toc11714"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十、项目验收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_Toc11714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522889A">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"_Toc7179"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第六篇 响应文件格式</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_Toc7179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19</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2604F6">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"_Toc18180"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一、经济文件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_Toc18180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CDA138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"_Toc24200"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二、资格条件及其他</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_Toc24200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4D7533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"_Toc8415"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三、技术（质量）文件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_Toc8415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DF4B5D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四、商务文件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_Toc2208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29</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9B83D7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"_Toc10430"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五、其他与项目有关的资料</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_Toc10430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B2B8265">
      <w:pPr>
        <w:pStyle w:val="3"/>
        <w:spacing w:line="420" w:lineRule="exact"/>
        <w:ind w:firstLine="640"/>
        <w:rPr>
          <w:rFonts w:hint="eastAsia" w:ascii="仿宋" w:hAnsi="仿宋" w:eastAsia="仿宋" w:cs="仿宋"/>
          <w:color w:val="auto"/>
          <w:sz w:val="24"/>
          <w:szCs w:val="24"/>
          <w:highlight w:val="none"/>
        </w:rPr>
        <w:sectPr>
          <w:headerReference r:id="rId5" w:type="first"/>
          <w:headerReference r:id="rId3" w:type="default"/>
          <w:footerReference r:id="rId6" w:type="default"/>
          <w:headerReference r:id="rId4" w:type="even"/>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2"/>
          <w:highlight w:val="none"/>
        </w:rPr>
        <w:fldChar w:fldCharType="end"/>
      </w:r>
    </w:p>
    <w:p w14:paraId="25B0ACAE">
      <w:pPr>
        <w:pStyle w:val="3"/>
        <w:rPr>
          <w:rFonts w:hint="eastAsia" w:ascii="仿宋" w:hAnsi="仿宋" w:eastAsia="仿宋" w:cs="仿宋"/>
          <w:color w:val="auto"/>
          <w:highlight w:val="none"/>
        </w:rPr>
      </w:pPr>
      <w:bookmarkStart w:id="1" w:name="_Toc22554"/>
      <w:bookmarkStart w:id="2" w:name="_Toc10681"/>
      <w:r>
        <w:rPr>
          <w:rFonts w:hint="eastAsia" w:ascii="仿宋" w:hAnsi="仿宋" w:eastAsia="仿宋" w:cs="仿宋"/>
          <w:color w:val="auto"/>
          <w:highlight w:val="none"/>
        </w:rPr>
        <w:t>第一篇 竞采邀请书</w:t>
      </w:r>
      <w:bookmarkEnd w:id="1"/>
      <w:bookmarkEnd w:id="2"/>
    </w:p>
    <w:p w14:paraId="09659F31">
      <w:pPr>
        <w:pStyle w:val="4"/>
        <w:spacing w:beforeLines="0" w:line="480" w:lineRule="exact"/>
        <w:ind w:firstLine="562"/>
        <w:rPr>
          <w:rFonts w:hint="eastAsia" w:ascii="仿宋" w:hAnsi="仿宋" w:eastAsia="仿宋" w:cs="仿宋"/>
          <w:color w:val="auto"/>
          <w:highlight w:val="none"/>
        </w:rPr>
      </w:pPr>
      <w:bookmarkStart w:id="3" w:name="_Toc28083"/>
      <w:bookmarkStart w:id="4" w:name="_Toc7248"/>
      <w:r>
        <w:rPr>
          <w:rFonts w:hint="eastAsia" w:ascii="仿宋" w:hAnsi="仿宋" w:eastAsia="仿宋" w:cs="仿宋"/>
          <w:color w:val="auto"/>
          <w:highlight w:val="none"/>
        </w:rPr>
        <w:t>一、项目内容</w:t>
      </w:r>
      <w:bookmarkEnd w:id="3"/>
      <w:bookmarkEnd w:id="4"/>
    </w:p>
    <w:p w14:paraId="6AEBA42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lang w:eastAsia="zh-CN"/>
        </w:rPr>
        <w:t>重庆海德思哲招标代理有限公司</w:t>
      </w:r>
      <w:r>
        <w:rPr>
          <w:rFonts w:hint="eastAsia" w:ascii="仿宋" w:hAnsi="仿宋" w:eastAsia="仿宋" w:cs="仿宋"/>
          <w:color w:val="auto"/>
          <w:szCs w:val="28"/>
          <w:highlight w:val="none"/>
        </w:rPr>
        <w:t>（以下简称：采购代理机构）接受</w:t>
      </w:r>
      <w:r>
        <w:rPr>
          <w:rFonts w:hint="eastAsia" w:ascii="仿宋" w:hAnsi="仿宋" w:eastAsia="仿宋" w:cs="仿宋"/>
          <w:color w:val="auto"/>
          <w:szCs w:val="28"/>
          <w:highlight w:val="none"/>
          <w:u w:val="single"/>
          <w:lang w:eastAsia="zh-CN"/>
        </w:rPr>
        <w:t>重庆市江津区贾嗣中心卫生院</w:t>
      </w:r>
      <w:r>
        <w:rPr>
          <w:rFonts w:hint="eastAsia" w:ascii="仿宋" w:hAnsi="仿宋" w:eastAsia="仿宋" w:cs="仿宋"/>
          <w:color w:val="auto"/>
          <w:szCs w:val="28"/>
          <w:highlight w:val="none"/>
        </w:rPr>
        <w:t>（以下简称：采购人）的委托，对</w:t>
      </w:r>
      <w:r>
        <w:rPr>
          <w:rFonts w:hint="eastAsia" w:ascii="仿宋" w:hAnsi="仿宋" w:eastAsia="仿宋" w:cs="仿宋"/>
          <w:color w:val="auto"/>
          <w:szCs w:val="28"/>
          <w:highlight w:val="none"/>
          <w:u w:val="single"/>
          <w:lang w:eastAsia="zh-CN"/>
        </w:rPr>
        <w:t>中医科住院病区和产房维修改造</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进行网上竞采。欢迎有资格的供应商前来参与竞采。</w:t>
      </w:r>
    </w:p>
    <w:tbl>
      <w:tblPr>
        <w:tblStyle w:val="25"/>
        <w:tblpPr w:leftFromText="180" w:rightFromText="180" w:vertAnchor="text" w:horzAnchor="page" w:tblpX="1144" w:tblpY="42"/>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2168"/>
        <w:gridCol w:w="2772"/>
      </w:tblGrid>
      <w:tr w14:paraId="3ED2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39" w:type="dxa"/>
            <w:noWrap/>
            <w:vAlign w:val="center"/>
          </w:tcPr>
          <w:p w14:paraId="40CC00C8">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项目名称</w:t>
            </w:r>
          </w:p>
        </w:tc>
        <w:tc>
          <w:tcPr>
            <w:tcW w:w="2168" w:type="dxa"/>
            <w:noWrap/>
            <w:vAlign w:val="center"/>
          </w:tcPr>
          <w:p w14:paraId="6C7BF38F">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采购预算</w:t>
            </w:r>
          </w:p>
          <w:p w14:paraId="12F96ACA">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（元）</w:t>
            </w:r>
          </w:p>
        </w:tc>
        <w:tc>
          <w:tcPr>
            <w:tcW w:w="2772" w:type="dxa"/>
            <w:noWrap/>
            <w:vAlign w:val="center"/>
          </w:tcPr>
          <w:p w14:paraId="0671064C">
            <w:pPr>
              <w:spacing w:line="480" w:lineRule="exact"/>
              <w:jc w:val="center"/>
              <w:rPr>
                <w:rFonts w:hint="eastAsia" w:ascii="仿宋" w:hAnsi="仿宋" w:eastAsia="仿宋" w:cs="仿宋"/>
                <w:b/>
                <w:bCs/>
                <w:color w:val="auto"/>
                <w:kern w:val="0"/>
                <w:szCs w:val="28"/>
                <w:highlight w:val="none"/>
                <w:lang w:val="en-US" w:eastAsia="zh-CN"/>
              </w:rPr>
            </w:pPr>
            <w:r>
              <w:rPr>
                <w:rFonts w:hint="eastAsia" w:ascii="仿宋" w:hAnsi="仿宋" w:eastAsia="仿宋" w:cs="仿宋"/>
                <w:b/>
                <w:bCs/>
                <w:color w:val="auto"/>
                <w:kern w:val="0"/>
                <w:szCs w:val="28"/>
                <w:highlight w:val="none"/>
                <w:lang w:val="en-US" w:eastAsia="zh-CN"/>
              </w:rPr>
              <w:t>资金来源</w:t>
            </w:r>
          </w:p>
        </w:tc>
      </w:tr>
      <w:tr w14:paraId="0057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39" w:type="dxa"/>
            <w:noWrap/>
            <w:vAlign w:val="center"/>
          </w:tcPr>
          <w:p w14:paraId="18AB0746">
            <w:pPr>
              <w:pStyle w:val="21"/>
              <w:shd w:val="clear" w:color="auto" w:fill="FFFFFF"/>
              <w:spacing w:before="0" w:beforeAutospacing="0" w:after="0" w:afterAutospacing="0" w:line="480" w:lineRule="exact"/>
              <w:jc w:val="center"/>
              <w:rPr>
                <w:rFonts w:hint="eastAsia" w:ascii="仿宋" w:hAnsi="仿宋" w:eastAsia="仿宋" w:cs="仿宋"/>
                <w:color w:val="auto"/>
                <w:sz w:val="28"/>
                <w:szCs w:val="28"/>
                <w:highlight w:val="none"/>
                <w:lang w:eastAsia="zh-CN"/>
              </w:rPr>
            </w:pPr>
            <w:bookmarkStart w:id="5" w:name="_Hlk344477914"/>
            <w:r>
              <w:rPr>
                <w:rFonts w:hint="eastAsia" w:ascii="仿宋" w:hAnsi="仿宋" w:eastAsia="仿宋" w:cs="仿宋"/>
                <w:color w:val="auto"/>
                <w:sz w:val="28"/>
                <w:szCs w:val="28"/>
                <w:highlight w:val="none"/>
                <w:lang w:eastAsia="zh-CN"/>
              </w:rPr>
              <w:t>中医科住院病区和产房维修改造</w:t>
            </w:r>
          </w:p>
        </w:tc>
        <w:tc>
          <w:tcPr>
            <w:tcW w:w="2168" w:type="dxa"/>
            <w:noWrap/>
            <w:vAlign w:val="center"/>
          </w:tcPr>
          <w:p w14:paraId="63953E97">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38000.00</w:t>
            </w:r>
          </w:p>
        </w:tc>
        <w:tc>
          <w:tcPr>
            <w:tcW w:w="2772" w:type="dxa"/>
            <w:noWrap/>
            <w:vAlign w:val="center"/>
          </w:tcPr>
          <w:p w14:paraId="1AAB4AD9">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财政资金</w:t>
            </w:r>
          </w:p>
        </w:tc>
      </w:tr>
      <w:bookmarkEnd w:id="5"/>
    </w:tbl>
    <w:p w14:paraId="179C1B3E">
      <w:pPr>
        <w:spacing w:beforeLines="0" w:line="480" w:lineRule="exact"/>
        <w:outlineLvl w:val="9"/>
        <w:rPr>
          <w:rFonts w:hint="eastAsia" w:ascii="仿宋" w:hAnsi="仿宋" w:eastAsia="仿宋" w:cs="仿宋"/>
          <w:color w:val="auto"/>
          <w:highlight w:val="none"/>
        </w:rPr>
      </w:pPr>
      <w:bookmarkStart w:id="6" w:name="_Toc9423"/>
      <w:bookmarkStart w:id="7" w:name="_Toc14960"/>
      <w:bookmarkStart w:id="8" w:name="_Toc1477"/>
      <w:bookmarkStart w:id="9" w:name="_Toc22795"/>
    </w:p>
    <w:p w14:paraId="2215FFF6">
      <w:pPr>
        <w:spacing w:beforeLines="0" w:line="480" w:lineRule="exact"/>
        <w:ind w:firstLine="562"/>
        <w:outlineLvl w:val="9"/>
        <w:rPr>
          <w:rFonts w:hint="eastAsia" w:ascii="仿宋" w:hAnsi="仿宋" w:eastAsia="仿宋" w:cs="仿宋"/>
          <w:color w:val="auto"/>
          <w:highlight w:val="none"/>
        </w:rPr>
      </w:pPr>
      <w:r>
        <w:rPr>
          <w:rFonts w:hint="eastAsia" w:ascii="仿宋" w:hAnsi="仿宋" w:eastAsia="仿宋" w:cs="仿宋"/>
          <w:color w:val="auto"/>
          <w:highlight w:val="none"/>
        </w:rPr>
        <w:t>二、资格条件</w:t>
      </w:r>
      <w:bookmarkEnd w:id="6"/>
      <w:bookmarkEnd w:id="7"/>
      <w:bookmarkEnd w:id="8"/>
      <w:bookmarkEnd w:id="9"/>
    </w:p>
    <w:p w14:paraId="3A63EF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（一）满足《中华人民共和国政府采购法》第二十二条规定；</w:t>
      </w:r>
    </w:p>
    <w:p w14:paraId="64C301E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1.具有独立承担民事责任的能力；</w:t>
      </w:r>
    </w:p>
    <w:p w14:paraId="1D1A92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2.具有良好的商业信誉和健全的财务会计制度；</w:t>
      </w:r>
    </w:p>
    <w:p w14:paraId="384FFB5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3.具有履行合同所必需的设备和专业技术能力；</w:t>
      </w:r>
    </w:p>
    <w:p w14:paraId="2786FB4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4.有依法缴纳税收和社会保障资金的良好记录；</w:t>
      </w:r>
    </w:p>
    <w:p w14:paraId="6415481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5.参加政府采购活动前三年内，在经营活动中没有重大违法记录；</w:t>
      </w:r>
    </w:p>
    <w:p w14:paraId="089A6E7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6.法律、行政法规规定的其他条件。</w:t>
      </w:r>
    </w:p>
    <w:p w14:paraId="3E4628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（二）本项目的特定资格要求；</w:t>
      </w:r>
    </w:p>
    <w:p w14:paraId="7BD1EE97">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无</w:t>
      </w:r>
    </w:p>
    <w:p w14:paraId="264006C8">
      <w:pPr>
        <w:pStyle w:val="4"/>
        <w:spacing w:beforeLines="0" w:line="480" w:lineRule="exact"/>
        <w:ind w:firstLine="562"/>
        <w:rPr>
          <w:rFonts w:hint="eastAsia" w:ascii="仿宋" w:hAnsi="仿宋" w:eastAsia="仿宋" w:cs="仿宋"/>
          <w:color w:val="auto"/>
          <w:highlight w:val="none"/>
        </w:rPr>
      </w:pPr>
      <w:bookmarkStart w:id="10" w:name="_Toc3005"/>
      <w:bookmarkStart w:id="11" w:name="_Toc5086"/>
      <w:r>
        <w:rPr>
          <w:rFonts w:hint="eastAsia" w:ascii="仿宋" w:hAnsi="仿宋" w:eastAsia="仿宋" w:cs="仿宋"/>
          <w:color w:val="auto"/>
          <w:highlight w:val="none"/>
        </w:rPr>
        <w:t>三、响应、评审有关说明</w:t>
      </w:r>
      <w:bookmarkEnd w:id="10"/>
      <w:bookmarkEnd w:id="11"/>
      <w:bookmarkStart w:id="12" w:name="_Toc22048"/>
    </w:p>
    <w:p w14:paraId="431DBCF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（一）供应商应通过</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color w:val="auto"/>
          <w:szCs w:val="28"/>
          <w:highlight w:val="none"/>
        </w:rPr>
        <w:t>）登记加入“重庆市政府采购供应商库”。</w:t>
      </w:r>
    </w:p>
    <w:p w14:paraId="2CD8EBC4">
      <w:pPr>
        <w:snapToGrid w:val="0"/>
        <w:spacing w:line="480" w:lineRule="exact"/>
        <w:ind w:firstLine="560" w:firstLineChars="200"/>
        <w:rPr>
          <w:rFonts w:hint="eastAsia" w:ascii="仿宋" w:hAnsi="仿宋" w:eastAsia="仿宋" w:cs="仿宋"/>
          <w:color w:val="auto"/>
          <w:szCs w:val="21"/>
          <w:highlight w:val="none"/>
        </w:rPr>
      </w:pPr>
      <w:r>
        <w:rPr>
          <w:rFonts w:hint="eastAsia" w:ascii="仿宋" w:hAnsi="仿宋" w:eastAsia="仿宋" w:cs="仿宋"/>
          <w:color w:val="auto"/>
          <w:szCs w:val="28"/>
          <w:highlight w:val="none"/>
        </w:rPr>
        <w:t>（二）凡有意参加竞采的供应商，请在“</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”（https://www.gec123.com/）下载本项目采购文件以及补遗等评审前公布的所有项目资料，无论供应商下载与否，均视为已知晓所有竞采实质性要求内容。</w:t>
      </w:r>
    </w:p>
    <w:p w14:paraId="2954E8E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（三）报名及竞采文件发售期限</w:t>
      </w:r>
    </w:p>
    <w:p w14:paraId="758EFC8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1.报名期限：</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43069F38">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（五）响应文件</w:t>
      </w:r>
    </w:p>
    <w:p w14:paraId="38C42B9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1.供应商应按本项目规定的报价时间在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进行网上报价，未在规定时间内报价的供应商将失去成交供应商资格。</w:t>
      </w:r>
    </w:p>
    <w:p w14:paraId="56ED352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color w:val="auto"/>
          <w:szCs w:val="28"/>
          <w:highlight w:val="none"/>
        </w:rPr>
        <w:t>2.供应商线上报价</w:t>
      </w:r>
      <w:r>
        <w:rPr>
          <w:rFonts w:hint="eastAsia" w:ascii="仿宋" w:hAnsi="仿宋" w:eastAsia="仿宋" w:cs="仿宋"/>
          <w:bCs/>
          <w:color w:val="auto"/>
          <w:highlight w:val="none"/>
        </w:rPr>
        <w:t>时上传加盖公章后的完整的响应文件电子档1份（建议以pdf格式），文件内容应清晰、无涂改。</w:t>
      </w:r>
    </w:p>
    <w:p w14:paraId="7A197FB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.供应商制作的响应文件，须按照要求制作，规定签字、盖章的地方必须按其规定签字、盖章，未按要求制作响应文件的进行无效响应处理。</w:t>
      </w:r>
    </w:p>
    <w:p w14:paraId="1F957ED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.供应商提供的响应材料要求真实可靠，采购单位可对响应材料真实性进行核查，如有虚假，取消成交资格或者解除合同，并赔偿由此造成采购人的经济损失。</w:t>
      </w:r>
    </w:p>
    <w:p w14:paraId="5CF9D272">
      <w:pPr>
        <w:snapToGrid w:val="0"/>
        <w:spacing w:line="480" w:lineRule="exact"/>
        <w:ind w:firstLine="562" w:firstLineChars="200"/>
        <w:rPr>
          <w:rFonts w:hint="eastAsia" w:ascii="仿宋" w:hAnsi="仿宋" w:eastAsia="仿宋" w:cs="仿宋"/>
          <w:bCs/>
          <w:color w:val="auto"/>
          <w:highlight w:val="none"/>
        </w:rPr>
      </w:pPr>
      <w:r>
        <w:rPr>
          <w:rFonts w:hint="eastAsia" w:ascii="仿宋" w:hAnsi="仿宋" w:eastAsia="仿宋" w:cs="仿宋"/>
          <w:b/>
          <w:color w:val="auto"/>
          <w:highlight w:val="none"/>
        </w:rPr>
        <w:t>（六）线上报价时间：</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00DB9184">
      <w:pPr>
        <w:pStyle w:val="4"/>
        <w:spacing w:beforeLines="0" w:line="480" w:lineRule="exact"/>
        <w:ind w:firstLine="562"/>
        <w:rPr>
          <w:rFonts w:hint="eastAsia" w:ascii="仿宋" w:hAnsi="仿宋" w:eastAsia="仿宋" w:cs="仿宋"/>
          <w:color w:val="auto"/>
          <w:highlight w:val="none"/>
        </w:rPr>
      </w:pPr>
      <w:bookmarkStart w:id="13" w:name="_Toc21821"/>
      <w:r>
        <w:rPr>
          <w:rFonts w:hint="eastAsia" w:ascii="仿宋" w:hAnsi="仿宋" w:eastAsia="仿宋" w:cs="仿宋"/>
          <w:color w:val="auto"/>
          <w:highlight w:val="none"/>
        </w:rPr>
        <w:t>四、竞采有关规定</w:t>
      </w:r>
      <w:bookmarkEnd w:id="13"/>
    </w:p>
    <w:p w14:paraId="52614AFE">
      <w:pPr>
        <w:snapToGrid w:val="0"/>
        <w:spacing w:line="480" w:lineRule="exact"/>
        <w:ind w:firstLine="560" w:firstLineChars="200"/>
        <w:rPr>
          <w:rFonts w:hint="eastAsia" w:ascii="仿宋" w:hAnsi="仿宋" w:eastAsia="仿宋" w:cs="仿宋"/>
          <w:bCs/>
          <w:color w:val="auto"/>
          <w:highlight w:val="none"/>
        </w:rPr>
      </w:pPr>
      <w:bookmarkStart w:id="14" w:name="_Toc16480"/>
      <w:r>
        <w:rPr>
          <w:rFonts w:hint="eastAsia" w:ascii="仿宋" w:hAnsi="仿宋" w:eastAsia="仿宋" w:cs="仿宋"/>
          <w:bCs/>
          <w:color w:val="auto"/>
          <w:highlight w:val="none"/>
        </w:rPr>
        <w:t>（一）单位负责人为同一人或者存在直接控股、管理关系的不同供应商，不得参加同一合同项目（包）下的政府采购活动。</w:t>
      </w:r>
    </w:p>
    <w:p w14:paraId="38D03ED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（二）为采购项目提供整体设计、规范编制或者项目管理、监理、检测等服务的供应商，不得再参加该采购项目的其他采购活动。</w:t>
      </w:r>
    </w:p>
    <w:p w14:paraId="667E9C83">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（三）本项目若有澄清文件一律在</w:t>
      </w:r>
      <w:r>
        <w:rPr>
          <w:rFonts w:hint="eastAsia" w:ascii="仿宋" w:hAnsi="仿宋" w:eastAsia="仿宋" w:cs="仿宋"/>
          <w:bCs/>
          <w:color w:val="auto"/>
          <w:highlight w:val="none"/>
          <w:lang w:eastAsia="zh-CN"/>
        </w:rPr>
        <w:t>行采家</w:t>
      </w:r>
      <w:r>
        <w:rPr>
          <w:rFonts w:hint="eastAsia" w:ascii="仿宋" w:hAnsi="仿宋" w:eastAsia="仿宋" w:cs="仿宋"/>
          <w:bCs/>
          <w:color w:val="auto"/>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bCs/>
          <w:color w:val="auto"/>
          <w:highlight w:val="none"/>
        </w:rPr>
        <w:t>）上发布，请各供应商注意下载或到采购代理机构领取；无论供应商下载或领取与否，均视同供应商已知晓本项目澄清文件的内容。</w:t>
      </w:r>
    </w:p>
    <w:p w14:paraId="093DE9B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（四）超过响应截止时间递交的响应文件，恕不接收。</w:t>
      </w:r>
    </w:p>
    <w:p w14:paraId="6A67F8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（五）竞采费用：无论竞采结果如何，供应商参与本项目竞采的所有费用均应由供应商自行承担。</w:t>
      </w:r>
    </w:p>
    <w:p w14:paraId="1DFB6FFA">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（六）本项目不接受联合体参与投标，否则按无效投标处理。</w:t>
      </w:r>
    </w:p>
    <w:p w14:paraId="37F01D28">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（七）本项目不接受合同分包，否则按无效响应处理。</w:t>
      </w:r>
    </w:p>
    <w:p w14:paraId="1386CCD9">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DFA0339">
      <w:pPr>
        <w:pStyle w:val="4"/>
        <w:spacing w:beforeLines="0" w:line="480" w:lineRule="exact"/>
        <w:ind w:firstLine="562"/>
        <w:rPr>
          <w:rFonts w:hint="eastAsia" w:ascii="仿宋" w:hAnsi="仿宋" w:eastAsia="仿宋" w:cs="仿宋"/>
          <w:color w:val="auto"/>
          <w:highlight w:val="none"/>
        </w:rPr>
      </w:pPr>
      <w:bookmarkStart w:id="15" w:name="_Toc11502"/>
      <w:r>
        <w:rPr>
          <w:rFonts w:hint="eastAsia" w:ascii="仿宋" w:hAnsi="仿宋" w:eastAsia="仿宋" w:cs="仿宋"/>
          <w:color w:val="auto"/>
          <w:highlight w:val="none"/>
        </w:rPr>
        <w:t>五、联系方式</w:t>
      </w:r>
      <w:bookmarkEnd w:id="14"/>
      <w:bookmarkEnd w:id="15"/>
    </w:p>
    <w:p w14:paraId="5090E0A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（一）采购人：</w:t>
      </w:r>
      <w:r>
        <w:rPr>
          <w:rFonts w:hint="eastAsia" w:ascii="仿宋" w:hAnsi="仿宋" w:eastAsia="仿宋" w:cs="仿宋"/>
          <w:bCs/>
          <w:color w:val="auto"/>
          <w:highlight w:val="none"/>
          <w:lang w:eastAsia="zh-CN"/>
        </w:rPr>
        <w:t>重庆市江津区贾嗣中心卫生院</w:t>
      </w:r>
      <w:r>
        <w:rPr>
          <w:rFonts w:hint="eastAsia" w:ascii="仿宋" w:hAnsi="仿宋" w:eastAsia="仿宋" w:cs="仿宋"/>
          <w:bCs/>
          <w:color w:val="auto"/>
          <w:highlight w:val="none"/>
        </w:rPr>
        <w:t xml:space="preserve">              </w:t>
      </w:r>
    </w:p>
    <w:p w14:paraId="72D3EBC8">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联系人：</w:t>
      </w:r>
      <w:r>
        <w:rPr>
          <w:rFonts w:hint="eastAsia" w:ascii="仿宋" w:hAnsi="仿宋" w:eastAsia="仿宋" w:cs="仿宋"/>
          <w:bCs/>
          <w:color w:val="auto"/>
          <w:highlight w:val="none"/>
          <w:lang w:val="en-US" w:eastAsia="zh-CN"/>
        </w:rPr>
        <w:t>李老师</w:t>
      </w:r>
    </w:p>
    <w:p w14:paraId="169F5214">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电  话：</w:t>
      </w:r>
      <w:r>
        <w:rPr>
          <w:rFonts w:hint="eastAsia" w:ascii="仿宋" w:hAnsi="仿宋" w:eastAsia="仿宋" w:cs="仿宋"/>
          <w:bCs/>
          <w:color w:val="auto"/>
          <w:highlight w:val="none"/>
          <w:lang w:val="en-US" w:eastAsia="zh-CN"/>
        </w:rPr>
        <w:t>15923171969</w:t>
      </w:r>
    </w:p>
    <w:p w14:paraId="4F3FD40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w:t>
      </w:r>
      <w:r>
        <w:rPr>
          <w:rFonts w:hint="eastAsia" w:ascii="仿宋" w:hAnsi="仿宋" w:eastAsia="仿宋" w:cs="仿宋"/>
          <w:bCs/>
          <w:color w:val="auto"/>
          <w:highlight w:val="none"/>
          <w:lang w:eastAsia="zh-CN"/>
        </w:rPr>
        <w:t>重庆市江津区贾嗣中心卫生院</w:t>
      </w:r>
      <w:r>
        <w:rPr>
          <w:rFonts w:hint="eastAsia" w:ascii="仿宋" w:hAnsi="仿宋" w:eastAsia="仿宋" w:cs="仿宋"/>
          <w:bCs/>
          <w:color w:val="auto"/>
          <w:highlight w:val="none"/>
          <w:lang w:val="en-US" w:eastAsia="zh-CN"/>
        </w:rPr>
        <w:t xml:space="preserve"> </w:t>
      </w:r>
    </w:p>
    <w:p w14:paraId="30647FFA">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（二）代理机构：</w:t>
      </w:r>
      <w:r>
        <w:rPr>
          <w:rFonts w:hint="eastAsia" w:ascii="仿宋" w:hAnsi="仿宋" w:eastAsia="仿宋" w:cs="仿宋"/>
          <w:bCs/>
          <w:color w:val="auto"/>
          <w:highlight w:val="none"/>
          <w:lang w:eastAsia="zh-CN"/>
        </w:rPr>
        <w:t>重庆海德思哲招标代理有限公司</w:t>
      </w:r>
    </w:p>
    <w:p w14:paraId="335D0EC3">
      <w:pPr>
        <w:snapToGrid w:val="0"/>
        <w:spacing w:line="480" w:lineRule="exact"/>
        <w:ind w:firstLine="560" w:firstLineChars="200"/>
        <w:rPr>
          <w:rFonts w:hint="eastAsia" w:ascii="仿宋" w:hAnsi="仿宋" w:eastAsia="仿宋" w:cs="仿宋"/>
          <w:bCs/>
          <w:color w:val="auto"/>
          <w:highlight w:val="none"/>
        </w:rPr>
      </w:pPr>
      <w:bookmarkStart w:id="16" w:name="_Toc20127"/>
      <w:bookmarkStart w:id="17" w:name="_Toc22183"/>
      <w:r>
        <w:rPr>
          <w:rFonts w:hint="eastAsia" w:ascii="仿宋" w:hAnsi="仿宋" w:eastAsia="仿宋" w:cs="仿宋"/>
          <w:bCs/>
          <w:color w:val="auto"/>
          <w:highlight w:val="none"/>
        </w:rPr>
        <w:t>联系人：</w:t>
      </w:r>
      <w:r>
        <w:rPr>
          <w:rFonts w:hint="eastAsia" w:ascii="仿宋" w:hAnsi="仿宋" w:eastAsia="仿宋" w:cs="仿宋"/>
          <w:bCs/>
          <w:color w:val="auto"/>
          <w:highlight w:val="none"/>
          <w:lang w:val="en-US" w:eastAsia="zh-CN"/>
        </w:rPr>
        <w:t>刘</w:t>
      </w:r>
      <w:r>
        <w:rPr>
          <w:rFonts w:hint="eastAsia" w:ascii="仿宋" w:hAnsi="仿宋" w:eastAsia="仿宋" w:cs="仿宋"/>
          <w:bCs/>
          <w:color w:val="auto"/>
          <w:highlight w:val="none"/>
        </w:rPr>
        <w:t>老师</w:t>
      </w:r>
    </w:p>
    <w:p w14:paraId="76F211C3">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电  话：</w:t>
      </w:r>
      <w:r>
        <w:rPr>
          <w:rFonts w:hint="eastAsia" w:ascii="仿宋" w:hAnsi="仿宋" w:eastAsia="仿宋" w:cs="仿宋"/>
          <w:bCs/>
          <w:color w:val="auto"/>
          <w:highlight w:val="none"/>
          <w:lang w:val="en-US" w:eastAsia="zh-CN"/>
        </w:rPr>
        <w:t>15334547756</w:t>
      </w:r>
    </w:p>
    <w:p w14:paraId="44B5F596">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址：重庆市</w:t>
      </w:r>
      <w:r>
        <w:rPr>
          <w:rFonts w:hint="eastAsia" w:ascii="仿宋" w:hAnsi="仿宋" w:eastAsia="仿宋" w:cs="仿宋"/>
          <w:bCs/>
          <w:color w:val="auto"/>
          <w:highlight w:val="none"/>
          <w:lang w:val="en-US" w:eastAsia="zh-CN"/>
        </w:rPr>
        <w:t>渝北区广告产业园</w:t>
      </w:r>
    </w:p>
    <w:p w14:paraId="7C7C2C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29966F">
      <w:pPr>
        <w:pStyle w:val="3"/>
        <w:ind w:firstLine="643"/>
        <w:rPr>
          <w:rFonts w:hint="eastAsia" w:ascii="仿宋" w:hAnsi="仿宋" w:eastAsia="仿宋" w:cs="仿宋"/>
          <w:b/>
          <w:bCs/>
          <w:color w:val="auto"/>
          <w:highlight w:val="none"/>
          <w:lang w:val="en-US" w:eastAsia="zh-CN"/>
        </w:rPr>
      </w:pPr>
      <w:bookmarkStart w:id="18" w:name="_Toc15392"/>
      <w:r>
        <w:rPr>
          <w:rFonts w:hint="eastAsia" w:ascii="仿宋" w:hAnsi="仿宋" w:eastAsia="仿宋" w:cs="仿宋"/>
          <w:color w:val="auto"/>
          <w:highlight w:val="none"/>
        </w:rPr>
        <w:t xml:space="preserve">第二篇 </w:t>
      </w:r>
      <w:bookmarkEnd w:id="16"/>
      <w:bookmarkEnd w:id="17"/>
      <w:r>
        <w:rPr>
          <w:rFonts w:hint="eastAsia" w:ascii="仿宋" w:hAnsi="仿宋" w:eastAsia="仿宋" w:cs="仿宋"/>
          <w:color w:val="auto"/>
          <w:highlight w:val="none"/>
        </w:rPr>
        <w:t>项目服务需求</w:t>
      </w:r>
      <w:bookmarkEnd w:id="12"/>
      <w:bookmarkEnd w:id="18"/>
      <w:bookmarkStart w:id="19" w:name="_Toc8493"/>
      <w:bookmarkStart w:id="20" w:name="_Toc1902"/>
      <w:bookmarkStart w:id="21" w:name="_Toc20140"/>
      <w:bookmarkStart w:id="22" w:name="_Toc7873"/>
      <w:bookmarkStart w:id="23" w:name="_Toc14076"/>
    </w:p>
    <w:p w14:paraId="3B6A95B0">
      <w:pPr>
        <w:pStyle w:val="4"/>
        <w:bidi w:val="0"/>
        <w:rPr>
          <w:rFonts w:hint="eastAsia" w:ascii="仿宋" w:hAnsi="仿宋" w:eastAsia="仿宋" w:cs="仿宋"/>
          <w:highlight w:val="none"/>
        </w:rPr>
      </w:pPr>
      <w:r>
        <w:rPr>
          <w:rFonts w:hint="eastAsia" w:ascii="仿宋" w:hAnsi="仿宋" w:eastAsia="仿宋" w:cs="仿宋"/>
          <w:highlight w:val="none"/>
        </w:rPr>
        <w:t>一、招标项目一览表</w:t>
      </w:r>
    </w:p>
    <w:tbl>
      <w:tblPr>
        <w:tblStyle w:val="2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544"/>
        <w:gridCol w:w="1418"/>
        <w:gridCol w:w="3299"/>
      </w:tblGrid>
      <w:tr w14:paraId="456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47EF912B">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44" w:type="dxa"/>
            <w:noWrap/>
            <w:vAlign w:val="center"/>
          </w:tcPr>
          <w:p w14:paraId="3A136C4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设备名称</w:t>
            </w:r>
          </w:p>
        </w:tc>
        <w:tc>
          <w:tcPr>
            <w:tcW w:w="1418" w:type="dxa"/>
            <w:noWrap/>
            <w:vAlign w:val="center"/>
          </w:tcPr>
          <w:p w14:paraId="3A35CDC0">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数量/单位</w:t>
            </w:r>
          </w:p>
        </w:tc>
        <w:tc>
          <w:tcPr>
            <w:tcW w:w="3299" w:type="dxa"/>
            <w:noWrap/>
            <w:vAlign w:val="center"/>
          </w:tcPr>
          <w:p w14:paraId="226A3F76">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96D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0480FA55">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44" w:type="dxa"/>
            <w:noWrap/>
            <w:vAlign w:val="center"/>
          </w:tcPr>
          <w:p w14:paraId="2AD32291">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中医科住院病区和产房维修改造</w:t>
            </w:r>
          </w:p>
        </w:tc>
        <w:tc>
          <w:tcPr>
            <w:tcW w:w="1418" w:type="dxa"/>
            <w:noWrap/>
            <w:vAlign w:val="center"/>
          </w:tcPr>
          <w:p w14:paraId="1C6F030D">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项</w:t>
            </w:r>
          </w:p>
        </w:tc>
        <w:tc>
          <w:tcPr>
            <w:tcW w:w="3299" w:type="dxa"/>
            <w:noWrap/>
            <w:vAlign w:val="center"/>
          </w:tcPr>
          <w:p w14:paraId="6E1F876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bl>
    <w:p w14:paraId="6495715B">
      <w:pPr>
        <w:pStyle w:val="4"/>
        <w:bidi w:val="0"/>
        <w:rPr>
          <w:rFonts w:hint="eastAsia" w:ascii="仿宋" w:hAnsi="仿宋" w:eastAsia="仿宋" w:cs="仿宋"/>
          <w:highlight w:val="none"/>
        </w:rPr>
      </w:pPr>
      <w:bookmarkStart w:id="24" w:name="_Toc7274"/>
      <w:bookmarkStart w:id="25" w:name="_Toc5238"/>
      <w:bookmarkStart w:id="26" w:name="_Toc4979"/>
      <w:r>
        <w:rPr>
          <w:rFonts w:hint="eastAsia" w:ascii="仿宋" w:hAnsi="仿宋" w:eastAsia="仿宋" w:cs="仿宋"/>
          <w:highlight w:val="none"/>
        </w:rPr>
        <w:t>二、</w:t>
      </w:r>
      <w:bookmarkEnd w:id="24"/>
      <w:r>
        <w:rPr>
          <w:rFonts w:hint="eastAsia" w:ascii="仿宋" w:hAnsi="仿宋" w:eastAsia="仿宋" w:cs="仿宋"/>
          <w:highlight w:val="none"/>
        </w:rPr>
        <w:t>项目主要内容及要求</w:t>
      </w:r>
      <w:bookmarkEnd w:id="25"/>
      <w:bookmarkEnd w:id="26"/>
    </w:p>
    <w:p w14:paraId="52300BE0">
      <w:pPr>
        <w:spacing w:line="440" w:lineRule="exact"/>
        <w:ind w:firstLine="560" w:firstLineChars="200"/>
        <w:rPr>
          <w:rFonts w:hint="eastAsia" w:ascii="仿宋" w:hAnsi="仿宋" w:eastAsia="仿宋" w:cs="仿宋"/>
          <w:b w:val="0"/>
          <w:bCs w:val="0"/>
          <w:color w:val="auto"/>
          <w:sz w:val="28"/>
          <w:szCs w:val="28"/>
          <w:highlight w:val="none"/>
        </w:rPr>
      </w:pPr>
      <w:bookmarkStart w:id="27" w:name="_Toc28288"/>
      <w:bookmarkStart w:id="28" w:name="_Toc14793"/>
      <w:bookmarkStart w:id="29" w:name="_Toc12387"/>
      <w:r>
        <w:rPr>
          <w:rFonts w:hint="eastAsia" w:ascii="仿宋" w:hAnsi="仿宋" w:eastAsia="仿宋" w:cs="仿宋"/>
          <w:b w:val="0"/>
          <w:bCs w:val="0"/>
          <w:color w:val="auto"/>
          <w:sz w:val="28"/>
          <w:szCs w:val="28"/>
          <w:highlight w:val="none"/>
        </w:rPr>
        <w:t>（一）施工要求</w:t>
      </w:r>
    </w:p>
    <w:p w14:paraId="4B04EFE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1.成交供应商完成施工相关手续的报备及审批，采购人予以配合。</w:t>
      </w:r>
    </w:p>
    <w:p w14:paraId="709BA5FB">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2.成交供应商应充分了解施工现场周边环境及设施设备情况，负责施工现场用电、用水等施工生产条件。</w:t>
      </w:r>
    </w:p>
    <w:p w14:paraId="0C1DEDC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本工程所需的主要材料（设备）应有完善的质量检测手段和质量保证体系，必须符合国家标准和行业标准。成交供应商选用的主要材料，应在采购前十个工作日将所采购材料设备的厂家、技术参数、品牌、质量等级等指标以书面形式通知采购人，采购人收到成交供应商的书面报告后十四日内予以确认，经采购人认质、封样后成交供应商方可采购进场。</w:t>
      </w:r>
    </w:p>
    <w:p w14:paraId="4CDF7B7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在签订合同之前，须按照建设行政主管部门的要求配置项目管理班子，出具任命文件。任命文件应当明确施工项目部的职责、岗位设置、人员配备，并书面通知采购人。成交后不能满足该要求的，采购人有权拒绝签订合同，并上报主管部门，给采购人造成损失的，供应商依法承担违约赔偿责任</w:t>
      </w:r>
      <w:r>
        <w:rPr>
          <w:rFonts w:hint="eastAsia" w:ascii="仿宋" w:hAnsi="仿宋" w:eastAsia="仿宋" w:cs="仿宋"/>
          <w:bCs/>
          <w:color w:val="auto"/>
          <w:highlight w:val="none"/>
          <w:lang w:eastAsia="zh-CN"/>
        </w:rPr>
        <w:t>。</w:t>
      </w:r>
    </w:p>
    <w:p w14:paraId="3837207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工程</w:t>
      </w:r>
      <w:r>
        <w:rPr>
          <w:rFonts w:hint="eastAsia" w:ascii="仿宋" w:hAnsi="仿宋" w:eastAsia="仿宋" w:cs="仿宋"/>
          <w:bCs/>
          <w:color w:val="auto"/>
          <w:highlight w:val="none"/>
        </w:rPr>
        <w:t>须符合强制性质量标准，符合国家和重庆市现行有关施工质量验收规范要求，并达到合格标准。</w:t>
      </w:r>
    </w:p>
    <w:p w14:paraId="3695DC0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（二）安全要求</w:t>
      </w:r>
    </w:p>
    <w:p w14:paraId="3F3CFC5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w:t>
      </w:r>
    </w:p>
    <w:p w14:paraId="020FE2FE">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2.成交供应商应负责施工安全（包含但不仅限于施工现场及施工周边的施工人身安全、行人安全等），若发生一切安全事故和经济损失，责任由成交供应商全部承担，采购人不承担任何责任。</w:t>
      </w:r>
    </w:p>
    <w:p w14:paraId="4F3F66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bookmarkEnd w:id="27"/>
    <w:bookmarkEnd w:id="28"/>
    <w:bookmarkEnd w:id="29"/>
    <w:p w14:paraId="4B2F98D9">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三、项目工程量清单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08"/>
        <w:gridCol w:w="4900"/>
        <w:gridCol w:w="1748"/>
        <w:gridCol w:w="2507"/>
      </w:tblGrid>
      <w:tr w14:paraId="2B86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000" w:type="pct"/>
            <w:gridSpan w:val="4"/>
            <w:tcBorders>
              <w:top w:val="nil"/>
              <w:left w:val="nil"/>
              <w:bottom w:val="nil"/>
              <w:right w:val="nil"/>
            </w:tcBorders>
            <w:shd w:val="clear"/>
            <w:vAlign w:val="center"/>
          </w:tcPr>
          <w:p w14:paraId="051B3F78">
            <w:pPr>
              <w:keepNext w:val="0"/>
              <w:keepLines w:val="0"/>
              <w:widowControl/>
              <w:suppressLineNumbers w:val="0"/>
              <w:jc w:val="center"/>
              <w:textAlignment w:val="center"/>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bdr w:val="none" w:color="auto" w:sz="0" w:space="0"/>
                <w:lang w:val="en-US" w:eastAsia="zh-CN" w:bidi="ar"/>
              </w:rPr>
              <w:t>贾嗣中心卫生院中医科病区和产房维修改造清单</w:t>
            </w:r>
          </w:p>
        </w:tc>
      </w:tr>
      <w:tr w14:paraId="3339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2622B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序号</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2694B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项目名称</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6A3202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工程量</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9B04A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单位</w:t>
            </w:r>
          </w:p>
        </w:tc>
      </w:tr>
      <w:tr w14:paraId="2C9A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674D72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一、</w:t>
            </w:r>
          </w:p>
        </w:tc>
        <w:tc>
          <w:tcPr>
            <w:tcW w:w="4593" w:type="pct"/>
            <w:gridSpan w:val="3"/>
            <w:tcBorders>
              <w:top w:val="single" w:color="000000" w:sz="4" w:space="0"/>
              <w:left w:val="single" w:color="000000" w:sz="4" w:space="0"/>
              <w:bottom w:val="single" w:color="000000" w:sz="4" w:space="0"/>
              <w:right w:val="single" w:color="000000" w:sz="4" w:space="0"/>
            </w:tcBorders>
            <w:shd w:val="clear"/>
            <w:vAlign w:val="center"/>
          </w:tcPr>
          <w:p w14:paraId="216825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原产房改造成中医科</w:t>
            </w:r>
          </w:p>
        </w:tc>
      </w:tr>
      <w:tr w14:paraId="26F1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AF86B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E3120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保护性拆除原产房大门</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07F394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53E820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r>
      <w:tr w14:paraId="034A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72CDA7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0642E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拆除医务人员通道隔墙</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2A3C8C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10.56</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77A6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5082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689E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6F3A8D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拆除产房走道隔墙</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71321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CB439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25D9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092CCA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354A17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两处拆除隔墙处墙,顶,地抹灰,乳胶漆修复</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F48A9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C1A7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1417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88F93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3E6080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拆除洗手盆</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5140FE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59EF0B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r>
      <w:tr w14:paraId="65D9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E3FA4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233F1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拆除给排水管</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019B2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3F3E3E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1B61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4DF6AD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9936D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走道安装同色竹木纤维墙板,墙群</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36752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13.5</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89F42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125A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6E899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03FC38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走道,房间墙群上安装12厘米宽万字格线条</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3461ED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87.3</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1B2C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r>
      <w:tr w14:paraId="576D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2D3D0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1F00EA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走道墙群上安装实木阴角线条</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7A905D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13.5</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1A91E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r>
      <w:tr w14:paraId="2BE3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1F283C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2FE883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走道,房间顶阴角处安装20厘米宽万字格线条</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2564E7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16C261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r>
      <w:tr w14:paraId="28D5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5A623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4CB0A0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房间内乳胶漆零星修补</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7A3D6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CB872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69D3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2026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55C328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清洁卫生</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82DFB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3E8E00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2AD3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42C091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4589A2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建渣外运处置</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DC35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520EFD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4C58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330F4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二、</w:t>
            </w:r>
          </w:p>
        </w:tc>
        <w:tc>
          <w:tcPr>
            <w:tcW w:w="4593" w:type="pct"/>
            <w:gridSpan w:val="3"/>
            <w:tcBorders>
              <w:top w:val="single" w:color="000000" w:sz="4" w:space="0"/>
              <w:left w:val="single" w:color="000000" w:sz="4" w:space="0"/>
              <w:bottom w:val="single" w:color="000000" w:sz="4" w:space="0"/>
              <w:right w:val="single" w:color="000000" w:sz="4" w:space="0"/>
            </w:tcBorders>
            <w:shd w:val="clear"/>
            <w:vAlign w:val="center"/>
          </w:tcPr>
          <w:p w14:paraId="3976D1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过渡病房改造,妇产科</w:t>
            </w:r>
          </w:p>
        </w:tc>
      </w:tr>
      <w:tr w14:paraId="10DD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29B7B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229E62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拆除原不锈钢玻璃隔断门</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2C34D2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49AF9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45A4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292EF1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02804E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拆除氧气房烂防盗门</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1EE1A3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111CB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道</w:t>
            </w:r>
          </w:p>
        </w:tc>
      </w:tr>
      <w:tr w14:paraId="1022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714FC5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1FBF67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新开门洞(含加固抹灰)</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2BDA88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CF61D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r>
      <w:tr w14:paraId="6898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08F7C7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591918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新开门洞处补门坎石</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240649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A04D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道</w:t>
            </w:r>
          </w:p>
        </w:tc>
      </w:tr>
      <w:tr w14:paraId="1AA3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285E1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1CFED4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砖砌隔墙</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5A6160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2.62</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33B94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0494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71C3D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0729DF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安装门过梁</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7115A5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4FF7E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r>
      <w:tr w14:paraId="5B11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20D10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448123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砖墙抹灰</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A8E64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7958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324E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2FF2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0839D8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铺贴墙群砖</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04B18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185F4A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6F43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22099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455EA2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砖墙钻孔</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F82F3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1A208B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r>
      <w:tr w14:paraId="3644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11C913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05910D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凿打混凝土沟槽</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271C6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8C6D7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r>
      <w:tr w14:paraId="3132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7A9237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5C132C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安装75排水管</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C5EDC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B516A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r>
      <w:tr w14:paraId="6718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AF984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738C1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恢复路面混凝土</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6635D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1D17A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r>
      <w:tr w14:paraId="3D82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1C00DC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429638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安装给水管</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1EB8C4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B73FE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处</w:t>
            </w:r>
          </w:p>
        </w:tc>
      </w:tr>
      <w:tr w14:paraId="2B9F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C5989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0A0CE5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轻钢龙骨隔墙基层</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54080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DB1C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4773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4962BE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2A879C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安装竹木纤维墙板</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0D2047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61CCB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5445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0C242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6F98D5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安装防盗门</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53591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A50C3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道</w:t>
            </w:r>
          </w:p>
        </w:tc>
      </w:tr>
      <w:tr w14:paraId="7FB0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08F0D7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697D82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安装套装门</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0002D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A36B3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道</w:t>
            </w:r>
          </w:p>
        </w:tc>
      </w:tr>
      <w:tr w14:paraId="0CF1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FFDC5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2A7969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安装双扇大门</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7DA03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5827E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道</w:t>
            </w:r>
          </w:p>
        </w:tc>
      </w:tr>
      <w:tr w14:paraId="08FD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E7195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5C85A1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安装铝合金固定玻璃窗</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014CB6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A3543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3685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6D29D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9C25C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安装防盗网</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7F2877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2.25</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785B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r>
      <w:tr w14:paraId="6A38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318E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214A4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安装洗手盆</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190BD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09F0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r>
      <w:tr w14:paraId="69C9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1FAC2E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26D43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安装洗手盆感应龙头</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69FFC7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4588C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r>
      <w:tr w14:paraId="63D8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463730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6383D8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安装304不锈钢洗手池2个感应龙头</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5F4A1A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DE4EE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r>
      <w:tr w14:paraId="7C47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1747E4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20279C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乳胶漆修补</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45B53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888DF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0E4E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3B7B5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78B315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清洁卫生</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656BD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5D6500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r w14:paraId="4F52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06" w:type="pct"/>
            <w:tcBorders>
              <w:top w:val="single" w:color="000000" w:sz="4" w:space="0"/>
              <w:left w:val="single" w:color="000000" w:sz="4" w:space="0"/>
              <w:bottom w:val="single" w:color="000000" w:sz="4" w:space="0"/>
              <w:right w:val="single" w:color="000000" w:sz="4" w:space="0"/>
            </w:tcBorders>
            <w:shd w:val="clear"/>
            <w:vAlign w:val="center"/>
          </w:tcPr>
          <w:p w14:paraId="5DCD8C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w:t>
            </w:r>
          </w:p>
        </w:tc>
        <w:tc>
          <w:tcPr>
            <w:tcW w:w="2459" w:type="pct"/>
            <w:tcBorders>
              <w:top w:val="single" w:color="000000" w:sz="4" w:space="0"/>
              <w:left w:val="single" w:color="000000" w:sz="4" w:space="0"/>
              <w:bottom w:val="single" w:color="000000" w:sz="4" w:space="0"/>
              <w:right w:val="single" w:color="000000" w:sz="4" w:space="0"/>
            </w:tcBorders>
            <w:shd w:val="clear"/>
            <w:vAlign w:val="center"/>
          </w:tcPr>
          <w:p w14:paraId="535EE0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建渣装车外运</w:t>
            </w:r>
          </w:p>
        </w:tc>
        <w:tc>
          <w:tcPr>
            <w:tcW w:w="877" w:type="pct"/>
            <w:tcBorders>
              <w:top w:val="single" w:color="000000" w:sz="4" w:space="0"/>
              <w:left w:val="single" w:color="000000" w:sz="4" w:space="0"/>
              <w:bottom w:val="single" w:color="000000" w:sz="4" w:space="0"/>
              <w:right w:val="single" w:color="000000" w:sz="4" w:space="0"/>
            </w:tcBorders>
            <w:shd w:val="clear"/>
            <w:vAlign w:val="center"/>
          </w:tcPr>
          <w:p w14:paraId="790B56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18628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r>
    </w:tbl>
    <w:p w14:paraId="76E422A3">
      <w:pPr>
        <w:ind w:firstLine="420" w:firstLineChars="0"/>
        <w:jc w:val="left"/>
        <w:rPr>
          <w:rFonts w:hint="default" w:ascii="仿宋" w:hAnsi="仿宋" w:eastAsia="仿宋" w:cs="仿宋"/>
          <w:bCs/>
          <w:color w:val="auto"/>
          <w:highlight w:val="none"/>
          <w:lang w:val="en-US" w:eastAsia="zh-CN"/>
        </w:rPr>
      </w:pPr>
    </w:p>
    <w:p w14:paraId="65D9AE1A">
      <w:pPr>
        <w:snapToGrid w:val="0"/>
        <w:spacing w:line="480" w:lineRule="exact"/>
        <w:ind w:firstLine="420" w:firstLineChars="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注：</w:t>
      </w:r>
    </w:p>
    <w:p w14:paraId="216CDD4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采购人不组织现场踏勘，由各供应商在竞采开始前自行到现场进行踏勘了解实际情况，根据实际踏勘情况做服务方案。踏勘产生的费用和风险等均由供应商自行承担。</w:t>
      </w:r>
    </w:p>
    <w:p w14:paraId="3463FE17">
      <w:pPr>
        <w:snapToGrid w:val="0"/>
        <w:spacing w:line="480" w:lineRule="exact"/>
        <w:ind w:firstLine="560" w:firstLineChars="200"/>
        <w:rPr>
          <w:rFonts w:hint="eastAsia" w:ascii="仿宋" w:hAnsi="仿宋" w:eastAsia="仿宋" w:cs="仿宋"/>
          <w:highlight w:val="none"/>
          <w:lang w:val="en-US" w:eastAsia="zh-CN"/>
        </w:rPr>
      </w:pPr>
      <w:r>
        <w:rPr>
          <w:rFonts w:hint="eastAsia" w:ascii="仿宋" w:hAnsi="仿宋" w:eastAsia="仿宋" w:cs="仿宋"/>
          <w:bCs/>
          <w:color w:val="auto"/>
          <w:highlight w:val="none"/>
        </w:rPr>
        <w:t>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现场情况为借口而提出延长服务期限或</w:t>
      </w:r>
      <w:r>
        <w:rPr>
          <w:rFonts w:hint="eastAsia" w:ascii="仿宋" w:hAnsi="仿宋" w:eastAsia="仿宋" w:cs="仿宋"/>
          <w:bCs/>
          <w:color w:val="auto"/>
          <w:highlight w:val="none"/>
          <w:lang w:val="en-US" w:eastAsia="zh-CN"/>
        </w:rPr>
        <w:t>因工程量的增减</w:t>
      </w:r>
      <w:r>
        <w:rPr>
          <w:rFonts w:hint="eastAsia" w:ascii="仿宋" w:hAnsi="仿宋" w:eastAsia="仿宋" w:cs="仿宋"/>
          <w:bCs/>
          <w:color w:val="auto"/>
          <w:highlight w:val="none"/>
        </w:rPr>
        <w:t>提出额外赔偿</w:t>
      </w:r>
      <w:r>
        <w:rPr>
          <w:rFonts w:hint="eastAsia" w:ascii="仿宋" w:hAnsi="仿宋" w:eastAsia="仿宋" w:cs="仿宋"/>
          <w:bCs/>
          <w:color w:val="auto"/>
          <w:highlight w:val="none"/>
          <w:lang w:val="en-US" w:eastAsia="zh-CN"/>
        </w:rPr>
        <w:t>等</w:t>
      </w:r>
      <w:r>
        <w:rPr>
          <w:rFonts w:hint="eastAsia" w:ascii="仿宋" w:hAnsi="仿宋" w:eastAsia="仿宋" w:cs="仿宋"/>
          <w:bCs/>
          <w:color w:val="auto"/>
          <w:highlight w:val="none"/>
        </w:rPr>
        <w:t>要求。</w:t>
      </w:r>
    </w:p>
    <w:p w14:paraId="4F660E46">
      <w:pPr>
        <w:numPr>
          <w:ilvl w:val="0"/>
          <w:numId w:val="0"/>
        </w:numPr>
        <w:rPr>
          <w:rFonts w:hint="eastAsia" w:ascii="仿宋" w:hAnsi="仿宋" w:eastAsia="仿宋" w:cs="仿宋"/>
          <w:color w:val="auto"/>
          <w:highlight w:val="none"/>
          <w:lang w:val="en-US" w:eastAsia="zh-CN"/>
        </w:rPr>
      </w:pPr>
    </w:p>
    <w:p w14:paraId="45384D89">
      <w:pPr>
        <w:rPr>
          <w:rFonts w:hint="eastAsia" w:ascii="仿宋" w:hAnsi="仿宋" w:eastAsia="仿宋" w:cs="仿宋"/>
          <w:color w:val="auto"/>
          <w:highlight w:val="none"/>
        </w:rPr>
        <w:sectPr>
          <w:footerReference r:id="rId7" w:type="default"/>
          <w:pgSz w:w="11907" w:h="16840"/>
          <w:pgMar w:top="1440" w:right="1080" w:bottom="1440" w:left="1080" w:header="850"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highlight w:val="none"/>
        </w:rPr>
        <w:br w:type="page"/>
      </w:r>
    </w:p>
    <w:p w14:paraId="6E4F65A1">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第三篇 项目商务需求</w:t>
      </w:r>
      <w:bookmarkEnd w:id="19"/>
      <w:bookmarkEnd w:id="20"/>
      <w:bookmarkEnd w:id="21"/>
    </w:p>
    <w:bookmarkEnd w:id="22"/>
    <w:bookmarkEnd w:id="23"/>
    <w:p w14:paraId="2E8F724C">
      <w:pPr>
        <w:pStyle w:val="4"/>
        <w:bidi w:val="0"/>
        <w:rPr>
          <w:rFonts w:hint="eastAsia" w:ascii="仿宋" w:hAnsi="仿宋" w:eastAsia="仿宋" w:cs="仿宋"/>
          <w:highlight w:val="none"/>
        </w:rPr>
      </w:pPr>
      <w:bookmarkStart w:id="30" w:name="_Toc267320049"/>
      <w:bookmarkStart w:id="31" w:name="_Toc42335566"/>
      <w:bookmarkStart w:id="32" w:name="_Toc4490"/>
      <w:bookmarkStart w:id="33" w:name="_Toc493506290"/>
      <w:bookmarkStart w:id="34" w:name="_Toc5522"/>
      <w:bookmarkStart w:id="35" w:name="_Toc16875"/>
      <w:bookmarkStart w:id="36" w:name="_Toc267320050"/>
      <w:bookmarkStart w:id="37" w:name="_Toc10668"/>
      <w:r>
        <w:rPr>
          <w:rFonts w:hint="eastAsia" w:ascii="仿宋" w:hAnsi="仿宋" w:eastAsia="仿宋" w:cs="仿宋"/>
          <w:highlight w:val="none"/>
        </w:rPr>
        <w:t>一、服务期、服务地点及验收方式</w:t>
      </w:r>
      <w:bookmarkEnd w:id="30"/>
      <w:bookmarkEnd w:id="31"/>
      <w:bookmarkEnd w:id="32"/>
      <w:bookmarkEnd w:id="33"/>
      <w:bookmarkEnd w:id="34"/>
      <w:bookmarkEnd w:id="35"/>
    </w:p>
    <w:p w14:paraId="47DF6D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（一）服务期</w:t>
      </w:r>
    </w:p>
    <w:p w14:paraId="7B2C2B4F">
      <w:pPr>
        <w:snapToGrid w:val="0"/>
        <w:spacing w:line="480" w:lineRule="exact"/>
        <w:ind w:firstLine="54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合同签订后25个日历日内施工完成并验收合格。</w:t>
      </w:r>
    </w:p>
    <w:p w14:paraId="7E263B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（二）服务地点</w:t>
      </w:r>
    </w:p>
    <w:p w14:paraId="03D9DA6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采购人指定地点。</w:t>
      </w:r>
    </w:p>
    <w:p w14:paraId="264C1F01">
      <w:pPr>
        <w:numPr>
          <w:ilvl w:val="0"/>
          <w:numId w:val="1"/>
        </w:num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验收方式</w:t>
      </w:r>
    </w:p>
    <w:p w14:paraId="34F15B38">
      <w:pPr>
        <w:snapToGrid w:val="0"/>
        <w:spacing w:line="480" w:lineRule="exact"/>
        <w:ind w:firstLine="560" w:firstLineChars="200"/>
        <w:rPr>
          <w:rFonts w:hint="eastAsia" w:ascii="仿宋" w:hAnsi="仿宋" w:eastAsia="仿宋" w:cs="仿宋"/>
          <w:color w:val="auto"/>
          <w:kern w:val="0"/>
          <w:szCs w:val="28"/>
          <w:highlight w:val="none"/>
        </w:rPr>
      </w:pPr>
      <w:bookmarkStart w:id="38" w:name="_Toc588"/>
      <w:bookmarkStart w:id="39" w:name="_Toc22150"/>
      <w:bookmarkStart w:id="40" w:name="_Toc15633"/>
      <w:r>
        <w:rPr>
          <w:rFonts w:hint="eastAsia" w:ascii="仿宋" w:hAnsi="仿宋" w:eastAsia="仿宋" w:cs="仿宋"/>
          <w:color w:val="auto"/>
          <w:kern w:val="0"/>
          <w:szCs w:val="28"/>
          <w:highlight w:val="none"/>
        </w:rPr>
        <w:t>1.质量要求达到国家、行业和重庆市有关施工质量验收规范、技术规范、技术标准、规程、文件等相关规定。</w:t>
      </w:r>
    </w:p>
    <w:p w14:paraId="27A91C68">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2.安全要求达到国家现行施工安全规范标准。</w:t>
      </w:r>
    </w:p>
    <w:p w14:paraId="1CB76DE6">
      <w:pPr>
        <w:pStyle w:val="4"/>
        <w:bidi w:val="0"/>
        <w:rPr>
          <w:rFonts w:hint="eastAsia" w:ascii="仿宋" w:hAnsi="仿宋" w:eastAsia="仿宋" w:cs="仿宋"/>
          <w:highlight w:val="none"/>
        </w:rPr>
      </w:pPr>
      <w:r>
        <w:rPr>
          <w:rFonts w:hint="eastAsia" w:ascii="仿宋" w:hAnsi="仿宋" w:eastAsia="仿宋" w:cs="仿宋"/>
          <w:highlight w:val="none"/>
        </w:rPr>
        <w:t>二、报价要求</w:t>
      </w:r>
      <w:bookmarkEnd w:id="38"/>
      <w:bookmarkEnd w:id="39"/>
      <w:bookmarkEnd w:id="40"/>
    </w:p>
    <w:bookmarkEnd w:id="36"/>
    <w:p w14:paraId="3F3A5F53">
      <w:pPr>
        <w:snapToGrid w:val="0"/>
        <w:spacing w:line="480" w:lineRule="exact"/>
        <w:ind w:firstLine="560" w:firstLineChars="200"/>
        <w:rPr>
          <w:rFonts w:hint="eastAsia" w:ascii="仿宋" w:hAnsi="仿宋" w:eastAsia="仿宋" w:cs="仿宋"/>
          <w:color w:val="auto"/>
          <w:kern w:val="0"/>
          <w:szCs w:val="28"/>
          <w:highlight w:val="none"/>
          <w:lang w:val="en-US" w:eastAsia="zh-CN"/>
        </w:rPr>
      </w:pPr>
      <w:bookmarkStart w:id="41" w:name="_Toc7592"/>
      <w:bookmarkStart w:id="42" w:name="_Toc28564"/>
      <w:bookmarkStart w:id="43" w:name="_Toc267320051"/>
      <w:bookmarkStart w:id="44" w:name="_Toc8085"/>
      <w:r>
        <w:rPr>
          <w:rFonts w:hint="eastAsia" w:ascii="仿宋" w:hAnsi="仿宋" w:eastAsia="仿宋" w:cs="仿宋"/>
          <w:color w:val="auto"/>
          <w:kern w:val="0"/>
          <w:szCs w:val="28"/>
          <w:highlight w:val="none"/>
          <w:lang w:val="en-US" w:eastAsia="zh-CN"/>
        </w:rPr>
        <w:t>（一）本项目报价为人民币报价，报价包括但不限于：服务费、人工费及提供服务所需的设备或货物购买（制造）费、辅材费、交通费、食宿费、保险费、税费等完成本项目的所有费用。因供应商自身原因造成漏报、少报皆由其自行承担责任，采购人不再补偿。投标供应商应仔细核对采购人发布的工程量清单，如有漏项、缺项等与实际施工内容不符的情况，请投投标供应商在本项目投标截止时间前向采购代理机构提出修改，如超过截止时间，则投标供应商认可并同意本项目发布的工程量清单、项目资料全部内容，施工过程中若发现漏项、缺项等与实际施工内容不符的情况，成交供应商须按要求完成合同内的所有工作，采购人不因工程量清单的漏项、缺项等增加支付工程费用。</w:t>
      </w:r>
    </w:p>
    <w:p w14:paraId="0C01E2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kern w:val="0"/>
          <w:szCs w:val="28"/>
          <w:highlight w:val="none"/>
          <w:lang w:val="en-US" w:eastAsia="zh-CN"/>
        </w:rPr>
        <w:t>（二）供应商须严格按照竞采文件的项目清单计价表逐项填报清单单价及总价，供应商的总报价及单项报价均不得超过采购人发布的相应最高限价，否则按废标处理。</w:t>
      </w:r>
    </w:p>
    <w:p w14:paraId="7DDCAD03">
      <w:pPr>
        <w:pStyle w:val="4"/>
        <w:bidi w:val="0"/>
        <w:rPr>
          <w:rFonts w:hint="eastAsia" w:ascii="仿宋" w:hAnsi="仿宋" w:eastAsia="仿宋" w:cs="仿宋"/>
          <w:highlight w:val="none"/>
        </w:rPr>
      </w:pPr>
      <w:r>
        <w:rPr>
          <w:rFonts w:hint="eastAsia" w:ascii="仿宋" w:hAnsi="仿宋" w:eastAsia="仿宋" w:cs="仿宋"/>
          <w:highlight w:val="none"/>
        </w:rPr>
        <w:t>三、付款方式</w:t>
      </w:r>
      <w:bookmarkEnd w:id="41"/>
      <w:bookmarkEnd w:id="42"/>
      <w:bookmarkEnd w:id="43"/>
      <w:bookmarkEnd w:id="44"/>
    </w:p>
    <w:p w14:paraId="3F181092">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成交供应商完成所有工作内容，通过验收并经审计后，同时提交采购合同、足额发票、验收记录等材料。采购人在收齐成交供应商提交的支付资料后支付结算审核金额。</w:t>
      </w:r>
    </w:p>
    <w:p w14:paraId="2B076278">
      <w:pPr>
        <w:pStyle w:val="4"/>
        <w:bidi w:val="0"/>
        <w:rPr>
          <w:rFonts w:hint="eastAsia" w:ascii="仿宋" w:hAnsi="仿宋" w:eastAsia="仿宋" w:cs="仿宋"/>
          <w:highlight w:val="none"/>
        </w:rPr>
      </w:pPr>
      <w:r>
        <w:rPr>
          <w:rFonts w:hint="eastAsia" w:ascii="仿宋" w:hAnsi="仿宋" w:eastAsia="仿宋" w:cs="仿宋"/>
          <w:highlight w:val="none"/>
          <w:lang w:val="en-US" w:eastAsia="zh-CN"/>
        </w:rPr>
        <w:t>四、</w:t>
      </w:r>
      <w:r>
        <w:rPr>
          <w:rFonts w:hint="eastAsia" w:ascii="仿宋" w:hAnsi="仿宋" w:eastAsia="仿宋" w:cs="仿宋"/>
          <w:highlight w:val="none"/>
        </w:rPr>
        <w:t>质量保证及售后服务</w:t>
      </w:r>
    </w:p>
    <w:p w14:paraId="25FDF466">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（一）质量保修期</w:t>
      </w:r>
    </w:p>
    <w:p w14:paraId="52F4362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质量保修期12个月，从本工程竣工验收合格之日起计算，按国家规定对所有项目进行质保。</w:t>
      </w:r>
    </w:p>
    <w:p w14:paraId="64646E6B">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（二）质量保修责任</w:t>
      </w:r>
    </w:p>
    <w:p w14:paraId="02B3C76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1.属于保修范围、内容的项目，成交供应商应当在接到保修通知之日起7天内派人保修。成交供应商不在约定期限内派人保修的，采购人可以委托他人修理。</w:t>
      </w:r>
    </w:p>
    <w:p w14:paraId="0AF70E5D">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2.发生紧急事故需抢修的，成交供应商在接到事故通知后，应当立即到达事故现场抢修。</w:t>
      </w:r>
    </w:p>
    <w:p w14:paraId="1364F9A9">
      <w:pPr>
        <w:snapToGrid w:val="0"/>
        <w:spacing w:line="480" w:lineRule="exact"/>
        <w:ind w:firstLine="56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Cs w:val="28"/>
          <w:highlight w:val="none"/>
          <w:lang w:val="en-US" w:eastAsia="zh-CN"/>
        </w:rPr>
        <w:t>3.质量保修完成后，由采购人组织验收。</w:t>
      </w:r>
    </w:p>
    <w:p w14:paraId="3D6570D8">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（三）保修费用</w:t>
      </w:r>
    </w:p>
    <w:p w14:paraId="7E23BE77">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保修费用由质量缺陷的责任方承担。</w:t>
      </w:r>
    </w:p>
    <w:p w14:paraId="473FC0A1">
      <w:pPr>
        <w:snapToGrid w:val="0"/>
        <w:spacing w:line="480" w:lineRule="exact"/>
        <w:ind w:firstLine="56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Cs w:val="28"/>
          <w:highlight w:val="none"/>
          <w:lang w:val="en-US" w:eastAsia="zh-CN"/>
        </w:rPr>
        <w:t>（四）双方约定的其他工程质量保修事项按国家相关法律和规定执行。</w:t>
      </w:r>
    </w:p>
    <w:p w14:paraId="75754B03">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五、知识产权</w:t>
      </w:r>
    </w:p>
    <w:p w14:paraId="5952CDF4">
      <w:p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采购人在中华人民共和国境内使用投标人提供的货物及服务时免受第三方提出的侵犯其专利权或其他知识产权的起诉。如果第三方提出侵权指控，中标人应承担由此而引起的一切法律责任和费用。</w:t>
      </w:r>
    </w:p>
    <w:p w14:paraId="39F176A1">
      <w:pPr>
        <w:pStyle w:val="4"/>
        <w:bidi w:val="0"/>
        <w:rPr>
          <w:rFonts w:hint="eastAsia" w:ascii="仿宋" w:hAnsi="仿宋" w:eastAsia="仿宋" w:cs="仿宋"/>
          <w:highlight w:val="none"/>
        </w:rPr>
      </w:pPr>
      <w:bookmarkStart w:id="45" w:name="_Toc644"/>
      <w:bookmarkStart w:id="46" w:name="_Toc4238"/>
      <w:bookmarkStart w:id="47" w:name="_Toc9497"/>
      <w:bookmarkStart w:id="48" w:name="_Toc267320052"/>
      <w:r>
        <w:rPr>
          <w:rFonts w:hint="eastAsia" w:ascii="仿宋" w:hAnsi="仿宋" w:eastAsia="仿宋" w:cs="仿宋"/>
          <w:highlight w:val="none"/>
          <w:lang w:val="en-US" w:eastAsia="zh-CN"/>
        </w:rPr>
        <w:t>六</w:t>
      </w:r>
      <w:r>
        <w:rPr>
          <w:rFonts w:hint="eastAsia" w:ascii="仿宋" w:hAnsi="仿宋" w:eastAsia="仿宋" w:cs="仿宋"/>
          <w:highlight w:val="none"/>
        </w:rPr>
        <w:t>、</w:t>
      </w:r>
      <w:bookmarkEnd w:id="45"/>
      <w:bookmarkEnd w:id="46"/>
      <w:bookmarkEnd w:id="47"/>
      <w:bookmarkEnd w:id="48"/>
      <w:r>
        <w:rPr>
          <w:rFonts w:hint="eastAsia" w:ascii="仿宋" w:hAnsi="仿宋" w:eastAsia="仿宋" w:cs="仿宋"/>
          <w:highlight w:val="none"/>
        </w:rPr>
        <w:t>培训</w:t>
      </w:r>
    </w:p>
    <w:p w14:paraId="00175AA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供应商对其提供产品的使用和操作应尽培训义务。供应商应提供对采购人的基本免费培训，使采购人使用人员能够正常操作。</w:t>
      </w:r>
    </w:p>
    <w:p w14:paraId="5108613F">
      <w:pPr>
        <w:pStyle w:val="4"/>
        <w:bidi w:val="0"/>
        <w:rPr>
          <w:rFonts w:hint="eastAsia" w:ascii="仿宋" w:hAnsi="仿宋" w:eastAsia="仿宋" w:cs="仿宋"/>
          <w:highlight w:val="none"/>
        </w:rPr>
      </w:pPr>
      <w:bookmarkStart w:id="49" w:name="_Toc31949"/>
      <w:bookmarkStart w:id="50" w:name="_Toc28354"/>
      <w:bookmarkStart w:id="51" w:name="_Toc1767"/>
      <w:r>
        <w:rPr>
          <w:rFonts w:hint="eastAsia" w:ascii="仿宋" w:hAnsi="仿宋" w:eastAsia="仿宋" w:cs="仿宋"/>
          <w:highlight w:val="none"/>
          <w:lang w:val="en-US" w:eastAsia="zh-CN"/>
        </w:rPr>
        <w:t>七</w:t>
      </w:r>
      <w:r>
        <w:rPr>
          <w:rFonts w:hint="eastAsia" w:ascii="仿宋" w:hAnsi="仿宋" w:eastAsia="仿宋" w:cs="仿宋"/>
          <w:highlight w:val="none"/>
        </w:rPr>
        <w:t>、其他</w:t>
      </w:r>
      <w:bookmarkEnd w:id="49"/>
      <w:bookmarkEnd w:id="50"/>
      <w:bookmarkEnd w:id="51"/>
    </w:p>
    <w:p w14:paraId="23BF4E1D">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供应商</w:t>
      </w:r>
      <w:r>
        <w:rPr>
          <w:rFonts w:hint="eastAsia" w:ascii="仿宋" w:hAnsi="仿宋" w:eastAsia="仿宋" w:cs="仿宋"/>
          <w:color w:val="auto"/>
          <w:szCs w:val="28"/>
          <w:highlight w:val="none"/>
        </w:rPr>
        <w:t>必须在投标文件中对以上条款和服务承诺明确列出，承诺内容必须达到本篇招标文件其他条款的要求。</w:t>
      </w:r>
    </w:p>
    <w:p w14:paraId="53F7BB6E">
      <w:pPr>
        <w:spacing w:line="480" w:lineRule="exact"/>
        <w:ind w:firstLine="560" w:firstLineChars="200"/>
        <w:rPr>
          <w:rFonts w:hint="eastAsia" w:ascii="仿宋" w:hAnsi="仿宋" w:eastAsia="仿宋" w:cs="仿宋"/>
          <w:color w:val="auto"/>
          <w:szCs w:val="28"/>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Cs w:val="28"/>
          <w:highlight w:val="none"/>
        </w:rPr>
        <w:t>（二）其他未尽事宜由供需双方在采购合同中详细约定。</w:t>
      </w:r>
    </w:p>
    <w:p w14:paraId="563482DE">
      <w:pPr>
        <w:spacing w:line="360" w:lineRule="auto"/>
        <w:rPr>
          <w:rFonts w:hint="eastAsia" w:ascii="仿宋" w:hAnsi="仿宋" w:eastAsia="仿宋" w:cs="仿宋"/>
          <w:color w:val="auto"/>
          <w:szCs w:val="28"/>
          <w:highlight w:val="none"/>
        </w:rPr>
      </w:pPr>
    </w:p>
    <w:p w14:paraId="4DE01DC7">
      <w:pPr>
        <w:pStyle w:val="3"/>
        <w:rPr>
          <w:rFonts w:hint="eastAsia" w:ascii="仿宋" w:hAnsi="仿宋" w:eastAsia="仿宋" w:cs="仿宋"/>
          <w:color w:val="auto"/>
          <w:highlight w:val="none"/>
        </w:rPr>
      </w:pPr>
      <w:bookmarkStart w:id="52" w:name="_Toc2672"/>
      <w:bookmarkStart w:id="53" w:name="_Toc106030393"/>
      <w:bookmarkStart w:id="54" w:name="_Toc2487"/>
      <w:bookmarkStart w:id="55" w:name="_Toc25165"/>
      <w:bookmarkStart w:id="56" w:name="_Toc75793517"/>
      <w:bookmarkStart w:id="57" w:name="_Toc2406"/>
      <w:bookmarkStart w:id="58" w:name="_Toc15693"/>
      <w:bookmarkStart w:id="59" w:name="_Toc23663"/>
      <w:bookmarkStart w:id="60" w:name="_Toc8133"/>
      <w:bookmarkStart w:id="61" w:name="_Toc25911"/>
      <w:bookmarkStart w:id="62" w:name="_Toc25903"/>
      <w:bookmarkStart w:id="63" w:name="_Toc22763"/>
      <w:bookmarkStart w:id="64" w:name="_Toc3533"/>
      <w:bookmarkStart w:id="65" w:name="_Toc24966"/>
      <w:bookmarkStart w:id="66" w:name="_Toc11875"/>
      <w:bookmarkStart w:id="67" w:name="_Toc3339"/>
      <w:bookmarkStart w:id="68" w:name="_Toc23377"/>
      <w:bookmarkStart w:id="69" w:name="_Toc30067"/>
      <w:r>
        <w:rPr>
          <w:rFonts w:hint="eastAsia" w:ascii="仿宋" w:hAnsi="仿宋" w:eastAsia="仿宋" w:cs="仿宋"/>
          <w:color w:val="auto"/>
          <w:highlight w:val="none"/>
        </w:rPr>
        <w:t>第四篇 资格审查及评审办法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DAC88AE">
      <w:pPr>
        <w:pStyle w:val="4"/>
        <w:spacing w:beforeLines="0" w:line="480" w:lineRule="exact"/>
        <w:ind w:firstLine="562"/>
        <w:rPr>
          <w:rFonts w:hint="eastAsia" w:ascii="仿宋" w:hAnsi="仿宋" w:eastAsia="仿宋" w:cs="仿宋"/>
          <w:color w:val="auto"/>
          <w:highlight w:val="none"/>
        </w:rPr>
      </w:pPr>
      <w:bookmarkStart w:id="70" w:name="_Toc27081"/>
      <w:bookmarkStart w:id="71" w:name="_Toc8983"/>
      <w:bookmarkStart w:id="72" w:name="_Toc23973"/>
      <w:bookmarkStart w:id="73" w:name="_Toc20541"/>
      <w:bookmarkStart w:id="74" w:name="_Toc1497"/>
      <w:bookmarkStart w:id="75" w:name="_Toc21859"/>
      <w:bookmarkStart w:id="76" w:name="_Toc25971"/>
      <w:bookmarkStart w:id="77" w:name="_Toc26309"/>
      <w:bookmarkStart w:id="78" w:name="_Toc28903"/>
      <w:bookmarkStart w:id="79" w:name="_Toc12641"/>
      <w:bookmarkStart w:id="80" w:name="_Toc75793518"/>
      <w:bookmarkStart w:id="81" w:name="_Toc4071"/>
      <w:bookmarkStart w:id="82" w:name="_Toc14564"/>
      <w:bookmarkStart w:id="83" w:name="_Toc29755"/>
      <w:bookmarkStart w:id="84" w:name="_Toc28360"/>
      <w:bookmarkStart w:id="85" w:name="_Toc1679"/>
      <w:bookmarkStart w:id="86" w:name="_Toc15440"/>
      <w:bookmarkStart w:id="87" w:name="_Toc106030394"/>
      <w:r>
        <w:rPr>
          <w:rFonts w:hint="eastAsia" w:ascii="仿宋" w:hAnsi="仿宋" w:eastAsia="仿宋" w:cs="仿宋"/>
          <w:color w:val="auto"/>
          <w:highlight w:val="none"/>
        </w:rPr>
        <w:t>一、资格审查</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color w:val="auto"/>
          <w:highlight w:val="none"/>
        </w:rPr>
        <w:t>及符合性审查</w:t>
      </w:r>
      <w:bookmarkEnd w:id="85"/>
      <w:bookmarkEnd w:id="86"/>
      <w:bookmarkEnd w:id="87"/>
    </w:p>
    <w:p w14:paraId="4B1AB59A">
      <w:pPr>
        <w:snapToGrid w:val="0"/>
        <w:spacing w:line="480" w:lineRule="exact"/>
        <w:ind w:firstLine="560" w:firstLineChars="200"/>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若未通过资格审查及符合性审查的响应文件，不进入评审环节。</w:t>
      </w:r>
    </w:p>
    <w:p w14:paraId="1051A6EB">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（一）资格审查</w:t>
      </w:r>
    </w:p>
    <w:p w14:paraId="3F94937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参照政府采购相关法律法规规定，本项目由竞采小组对响应文件中的资格证明文件进行审查。资格审查资料表如下：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43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03AF1E">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vAlign w:val="center"/>
          </w:tcPr>
          <w:p w14:paraId="71A05E41">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vAlign w:val="center"/>
          </w:tcPr>
          <w:p w14:paraId="3F3B1CDD">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2A5A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81FC1E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058E8D6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29A5B66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755ADB8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1.供应商法人营业执照（副本）或个体工商户营业执照（提供复印件）。 </w:t>
            </w:r>
          </w:p>
          <w:p w14:paraId="532A6A5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468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B5AB8E">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17C0D715">
            <w:pPr>
              <w:spacing w:line="400" w:lineRule="exact"/>
              <w:rPr>
                <w:rFonts w:hint="eastAsia" w:ascii="仿宋" w:hAnsi="仿宋" w:eastAsia="仿宋" w:cs="仿宋"/>
                <w:color w:val="auto"/>
                <w:sz w:val="24"/>
                <w:szCs w:val="24"/>
                <w:highlight w:val="none"/>
                <w:lang w:val="zh-CN"/>
              </w:rPr>
            </w:pPr>
          </w:p>
        </w:tc>
        <w:tc>
          <w:tcPr>
            <w:tcW w:w="3118" w:type="dxa"/>
            <w:vAlign w:val="center"/>
          </w:tcPr>
          <w:p w14:paraId="4DAB8DB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0739E5A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供应商提供“基本资格条件承诺函”（格式详见第六篇）</w:t>
            </w:r>
          </w:p>
          <w:p w14:paraId="6E4CB730">
            <w:pPr>
              <w:spacing w:line="400" w:lineRule="exact"/>
              <w:rPr>
                <w:rFonts w:hint="eastAsia" w:ascii="仿宋" w:hAnsi="仿宋" w:eastAsia="仿宋" w:cs="仿宋"/>
                <w:b/>
                <w:color w:val="auto"/>
                <w:sz w:val="24"/>
                <w:szCs w:val="24"/>
                <w:highlight w:val="none"/>
              </w:rPr>
            </w:pPr>
          </w:p>
        </w:tc>
      </w:tr>
      <w:tr w14:paraId="714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BFF855">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3949705">
            <w:pPr>
              <w:spacing w:line="400" w:lineRule="exact"/>
              <w:rPr>
                <w:rFonts w:hint="eastAsia" w:ascii="仿宋" w:hAnsi="仿宋" w:eastAsia="仿宋" w:cs="仿宋"/>
                <w:color w:val="auto"/>
                <w:sz w:val="24"/>
                <w:szCs w:val="24"/>
                <w:highlight w:val="none"/>
                <w:lang w:val="zh-CN"/>
              </w:rPr>
            </w:pPr>
          </w:p>
        </w:tc>
        <w:tc>
          <w:tcPr>
            <w:tcW w:w="3118" w:type="dxa"/>
            <w:vAlign w:val="center"/>
          </w:tcPr>
          <w:p w14:paraId="19A21EB4">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7855D43C">
            <w:pPr>
              <w:spacing w:line="400" w:lineRule="exact"/>
              <w:rPr>
                <w:rFonts w:hint="eastAsia" w:ascii="仿宋" w:hAnsi="仿宋" w:eastAsia="仿宋" w:cs="仿宋"/>
                <w:color w:val="auto"/>
                <w:sz w:val="24"/>
                <w:szCs w:val="24"/>
                <w:highlight w:val="none"/>
              </w:rPr>
            </w:pPr>
          </w:p>
        </w:tc>
      </w:tr>
      <w:tr w14:paraId="729E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CB3DF7">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7667079C">
            <w:pPr>
              <w:spacing w:line="400" w:lineRule="exact"/>
              <w:rPr>
                <w:rFonts w:hint="eastAsia" w:ascii="仿宋" w:hAnsi="仿宋" w:eastAsia="仿宋" w:cs="仿宋"/>
                <w:color w:val="auto"/>
                <w:sz w:val="24"/>
                <w:szCs w:val="24"/>
                <w:highlight w:val="none"/>
                <w:lang w:val="zh-CN"/>
              </w:rPr>
            </w:pPr>
          </w:p>
        </w:tc>
        <w:tc>
          <w:tcPr>
            <w:tcW w:w="3118" w:type="dxa"/>
            <w:vAlign w:val="center"/>
          </w:tcPr>
          <w:p w14:paraId="3876F859">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549C41C9">
            <w:pPr>
              <w:spacing w:line="400" w:lineRule="exact"/>
              <w:rPr>
                <w:rFonts w:hint="eastAsia" w:ascii="仿宋" w:hAnsi="仿宋" w:eastAsia="仿宋" w:cs="仿宋"/>
                <w:color w:val="auto"/>
                <w:sz w:val="24"/>
                <w:szCs w:val="24"/>
                <w:highlight w:val="none"/>
              </w:rPr>
            </w:pPr>
          </w:p>
        </w:tc>
      </w:tr>
      <w:tr w14:paraId="1920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EFAB649">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9DF64EB">
            <w:pPr>
              <w:spacing w:line="400" w:lineRule="exact"/>
              <w:rPr>
                <w:rFonts w:hint="eastAsia" w:ascii="仿宋" w:hAnsi="仿宋" w:eastAsia="仿宋" w:cs="仿宋"/>
                <w:color w:val="auto"/>
                <w:sz w:val="24"/>
                <w:szCs w:val="24"/>
                <w:highlight w:val="none"/>
                <w:lang w:val="zh-CN"/>
              </w:rPr>
            </w:pPr>
          </w:p>
        </w:tc>
        <w:tc>
          <w:tcPr>
            <w:tcW w:w="3118" w:type="dxa"/>
            <w:vAlign w:val="center"/>
          </w:tcPr>
          <w:p w14:paraId="557D61EC">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14:paraId="60BD42FB">
            <w:pPr>
              <w:spacing w:line="400" w:lineRule="exact"/>
              <w:rPr>
                <w:rFonts w:hint="eastAsia" w:ascii="仿宋" w:hAnsi="仿宋" w:eastAsia="仿宋" w:cs="仿宋"/>
                <w:b/>
                <w:color w:val="auto"/>
                <w:sz w:val="24"/>
                <w:szCs w:val="24"/>
                <w:highlight w:val="none"/>
              </w:rPr>
            </w:pPr>
          </w:p>
        </w:tc>
      </w:tr>
      <w:tr w14:paraId="5841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9DD98EB">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5BF42AB">
            <w:pPr>
              <w:spacing w:line="400" w:lineRule="exact"/>
              <w:rPr>
                <w:rFonts w:hint="eastAsia" w:ascii="仿宋" w:hAnsi="仿宋" w:eastAsia="仿宋" w:cs="仿宋"/>
                <w:color w:val="auto"/>
                <w:sz w:val="24"/>
                <w:szCs w:val="24"/>
                <w:highlight w:val="none"/>
              </w:rPr>
            </w:pPr>
          </w:p>
        </w:tc>
        <w:tc>
          <w:tcPr>
            <w:tcW w:w="3118" w:type="dxa"/>
            <w:vAlign w:val="center"/>
          </w:tcPr>
          <w:p w14:paraId="47448F7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284C8C18">
            <w:pPr>
              <w:spacing w:line="400" w:lineRule="exact"/>
              <w:rPr>
                <w:rFonts w:hint="eastAsia" w:ascii="仿宋" w:hAnsi="仿宋" w:eastAsia="仿宋" w:cs="仿宋"/>
                <w:color w:val="auto"/>
                <w:sz w:val="24"/>
                <w:szCs w:val="24"/>
                <w:highlight w:val="none"/>
              </w:rPr>
            </w:pPr>
          </w:p>
        </w:tc>
      </w:tr>
      <w:tr w14:paraId="49D9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46322D">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A1B82E5">
            <w:pPr>
              <w:spacing w:line="400" w:lineRule="exact"/>
              <w:rPr>
                <w:rFonts w:hint="eastAsia" w:ascii="仿宋" w:hAnsi="仿宋" w:eastAsia="仿宋" w:cs="仿宋"/>
                <w:color w:val="auto"/>
                <w:sz w:val="24"/>
                <w:szCs w:val="24"/>
                <w:highlight w:val="none"/>
              </w:rPr>
            </w:pPr>
          </w:p>
        </w:tc>
        <w:tc>
          <w:tcPr>
            <w:tcW w:w="3118" w:type="dxa"/>
            <w:vAlign w:val="center"/>
          </w:tcPr>
          <w:p w14:paraId="7D93759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55A92C5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按“第一篇二、资格条件（二）本项目的特定资格要求”的要求提交（如果有）。</w:t>
            </w:r>
          </w:p>
        </w:tc>
      </w:tr>
    </w:tbl>
    <w:p w14:paraId="0A05992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注：</w:t>
      </w:r>
    </w:p>
    <w:p w14:paraId="285899BE">
      <w:pPr>
        <w:snapToGrid w:val="0"/>
        <w:spacing w:line="480" w:lineRule="exact"/>
        <w:ind w:firstLine="420" w:firstLineChars="200"/>
        <w:rPr>
          <w:rFonts w:hint="eastAsia" w:ascii="仿宋" w:hAnsi="仿宋" w:eastAsia="仿宋" w:cs="仿宋"/>
          <w:color w:val="auto"/>
          <w:kern w:val="0"/>
          <w:szCs w:val="28"/>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kern w:val="0"/>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竞采截止日期前通过 “信用中国”网站（www.creditchina.gov.cn）、"中国政府采购网"（www.ccgp.gov.cn）等渠道查询信用记录。</w:t>
      </w:r>
    </w:p>
    <w:p w14:paraId="5EF9D6DF">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（二）符合性审查</w:t>
      </w:r>
    </w:p>
    <w:p w14:paraId="1EC79199">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竞采小组应当对符合资格的供应商的响应文件进行符合性审查，以确定其是否满足采购文件的实质性要求。符合性审查资料表如下：</w:t>
      </w:r>
    </w:p>
    <w:tbl>
      <w:tblPr>
        <w:tblStyle w:val="2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4BE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6D945BD9">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130" w:type="dxa"/>
            <w:gridSpan w:val="2"/>
            <w:vAlign w:val="center"/>
          </w:tcPr>
          <w:p w14:paraId="60F7FC95">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691" w:type="dxa"/>
            <w:vAlign w:val="center"/>
          </w:tcPr>
          <w:p w14:paraId="5A06A9B2">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7F1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70EBD55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28" w:type="dxa"/>
            <w:vMerge w:val="restart"/>
            <w:vAlign w:val="center"/>
          </w:tcPr>
          <w:p w14:paraId="0273AE7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702" w:type="dxa"/>
            <w:vAlign w:val="center"/>
          </w:tcPr>
          <w:p w14:paraId="4FE6453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相应文件签署或盖章</w:t>
            </w:r>
          </w:p>
        </w:tc>
        <w:tc>
          <w:tcPr>
            <w:tcW w:w="5691" w:type="dxa"/>
            <w:vAlign w:val="center"/>
          </w:tcPr>
          <w:p w14:paraId="5E26E30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响应文件上法定代表人（或其授权代表）或自然人（供应商为自然人）的签署或盖章齐全。</w:t>
            </w:r>
          </w:p>
        </w:tc>
      </w:tr>
      <w:tr w14:paraId="48AE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18C3AB1C">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62DDAFBA">
            <w:pPr>
              <w:spacing w:line="400" w:lineRule="exact"/>
              <w:rPr>
                <w:rFonts w:hint="eastAsia" w:ascii="仿宋" w:hAnsi="仿宋" w:eastAsia="仿宋" w:cs="仿宋"/>
                <w:color w:val="auto"/>
                <w:kern w:val="0"/>
                <w:sz w:val="24"/>
                <w:szCs w:val="24"/>
                <w:highlight w:val="none"/>
              </w:rPr>
            </w:pPr>
          </w:p>
        </w:tc>
        <w:tc>
          <w:tcPr>
            <w:tcW w:w="1702" w:type="dxa"/>
            <w:vAlign w:val="center"/>
          </w:tcPr>
          <w:p w14:paraId="6B13AD4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691" w:type="dxa"/>
            <w:vAlign w:val="center"/>
          </w:tcPr>
          <w:p w14:paraId="72F4951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3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65A85ADB">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72F626F8">
            <w:pPr>
              <w:spacing w:line="400" w:lineRule="exact"/>
              <w:rPr>
                <w:rFonts w:hint="eastAsia" w:ascii="仿宋" w:hAnsi="仿宋" w:eastAsia="仿宋" w:cs="仿宋"/>
                <w:color w:val="auto"/>
                <w:kern w:val="0"/>
                <w:sz w:val="24"/>
                <w:szCs w:val="24"/>
                <w:highlight w:val="none"/>
              </w:rPr>
            </w:pPr>
          </w:p>
        </w:tc>
        <w:tc>
          <w:tcPr>
            <w:tcW w:w="1702" w:type="dxa"/>
            <w:vAlign w:val="center"/>
          </w:tcPr>
          <w:p w14:paraId="68C10F78">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691" w:type="dxa"/>
            <w:vAlign w:val="center"/>
          </w:tcPr>
          <w:p w14:paraId="58C9DFC1">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只能在预算金额和限价内报价，</w:t>
            </w:r>
            <w:r>
              <w:rPr>
                <w:rFonts w:hint="eastAsia" w:ascii="仿宋" w:hAnsi="仿宋" w:eastAsia="仿宋" w:cs="仿宋"/>
                <w:color w:val="auto"/>
                <w:sz w:val="24"/>
                <w:szCs w:val="24"/>
                <w:highlight w:val="none"/>
              </w:rPr>
              <w:t>只能有一个有效报价，不得提交选择性报价。</w:t>
            </w:r>
          </w:p>
        </w:tc>
      </w:tr>
      <w:tr w14:paraId="5250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2BA736DC">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28" w:type="dxa"/>
            <w:vAlign w:val="center"/>
          </w:tcPr>
          <w:p w14:paraId="5F0C26B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702" w:type="dxa"/>
            <w:vAlign w:val="center"/>
          </w:tcPr>
          <w:p w14:paraId="5E70134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691" w:type="dxa"/>
            <w:vAlign w:val="center"/>
          </w:tcPr>
          <w:p w14:paraId="7843E1A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响应文件符合采购文件要求。</w:t>
            </w:r>
          </w:p>
        </w:tc>
      </w:tr>
      <w:tr w14:paraId="1A5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07DEB04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28" w:type="dxa"/>
            <w:vAlign w:val="center"/>
          </w:tcPr>
          <w:p w14:paraId="6FBCB195">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1702" w:type="dxa"/>
            <w:vAlign w:val="center"/>
          </w:tcPr>
          <w:p w14:paraId="12A907D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4F29D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本采购文件第二篇</w:t>
            </w:r>
            <w:r>
              <w:rPr>
                <w:rFonts w:hint="eastAsia" w:ascii="仿宋" w:hAnsi="仿宋" w:eastAsia="仿宋" w:cs="仿宋"/>
                <w:color w:val="auto"/>
                <w:kern w:val="0"/>
                <w:sz w:val="24"/>
                <w:szCs w:val="24"/>
                <w:highlight w:val="none"/>
                <w:lang w:val="en-US" w:eastAsia="zh-CN"/>
              </w:rPr>
              <w:t>项目服务需求内容</w:t>
            </w:r>
            <w:r>
              <w:rPr>
                <w:rFonts w:hint="eastAsia" w:ascii="仿宋" w:hAnsi="仿宋" w:eastAsia="仿宋" w:cs="仿宋"/>
                <w:color w:val="auto"/>
                <w:kern w:val="0"/>
                <w:sz w:val="24"/>
                <w:szCs w:val="24"/>
                <w:highlight w:val="none"/>
              </w:rPr>
              <w:t>。</w:t>
            </w:r>
          </w:p>
        </w:tc>
      </w:tr>
      <w:tr w14:paraId="1119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21ED15C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28" w:type="dxa"/>
            <w:vAlign w:val="center"/>
          </w:tcPr>
          <w:p w14:paraId="7553D6F8">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702" w:type="dxa"/>
            <w:vAlign w:val="center"/>
          </w:tcPr>
          <w:p w14:paraId="53A3FFC0">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679AF6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本采购文件第三篇</w:t>
            </w:r>
            <w:r>
              <w:rPr>
                <w:rFonts w:hint="eastAsia" w:ascii="仿宋" w:hAnsi="仿宋" w:eastAsia="仿宋" w:cs="仿宋"/>
                <w:color w:val="auto"/>
                <w:kern w:val="0"/>
                <w:sz w:val="24"/>
                <w:szCs w:val="24"/>
                <w:highlight w:val="none"/>
                <w:lang w:val="en-US" w:eastAsia="zh-CN"/>
              </w:rPr>
              <w:t>项目商务需求</w:t>
            </w:r>
            <w:r>
              <w:rPr>
                <w:rFonts w:hint="eastAsia" w:ascii="仿宋" w:hAnsi="仿宋" w:eastAsia="仿宋" w:cs="仿宋"/>
                <w:color w:val="auto"/>
                <w:kern w:val="0"/>
                <w:sz w:val="24"/>
                <w:szCs w:val="24"/>
                <w:highlight w:val="none"/>
              </w:rPr>
              <w:t>内容。</w:t>
            </w:r>
          </w:p>
        </w:tc>
      </w:tr>
      <w:tr w14:paraId="3C4B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601CB85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28" w:type="dxa"/>
            <w:vAlign w:val="center"/>
          </w:tcPr>
          <w:p w14:paraId="1047EA6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w:t>
            </w:r>
          </w:p>
        </w:tc>
        <w:tc>
          <w:tcPr>
            <w:tcW w:w="1702" w:type="dxa"/>
            <w:vAlign w:val="center"/>
          </w:tcPr>
          <w:p w14:paraId="2603790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56EF9419">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竞采有效期为竞采截止时间起90天。</w:t>
            </w:r>
          </w:p>
        </w:tc>
      </w:tr>
    </w:tbl>
    <w:p w14:paraId="7CF4133C">
      <w:pPr>
        <w:pStyle w:val="4"/>
        <w:spacing w:beforeLines="0" w:line="480" w:lineRule="exact"/>
        <w:ind w:firstLine="562"/>
        <w:rPr>
          <w:rFonts w:hint="eastAsia" w:ascii="仿宋" w:hAnsi="仿宋" w:eastAsia="仿宋" w:cs="仿宋"/>
          <w:color w:val="auto"/>
          <w:highlight w:val="none"/>
        </w:rPr>
      </w:pPr>
      <w:bookmarkStart w:id="88" w:name="_Toc14824"/>
      <w:bookmarkStart w:id="89" w:name="_Toc5620"/>
      <w:bookmarkStart w:id="90" w:name="_Toc75793519"/>
      <w:bookmarkStart w:id="91" w:name="_Toc27274"/>
      <w:bookmarkStart w:id="92" w:name="_Toc27015"/>
      <w:bookmarkStart w:id="93" w:name="_Toc27633"/>
      <w:bookmarkStart w:id="94" w:name="_Toc26796"/>
      <w:bookmarkStart w:id="95" w:name="_Toc29140"/>
      <w:bookmarkStart w:id="96" w:name="_Toc28549"/>
      <w:bookmarkStart w:id="97" w:name="_Toc21650"/>
      <w:bookmarkStart w:id="98" w:name="_Toc25341"/>
      <w:bookmarkStart w:id="99" w:name="_Toc30011"/>
      <w:bookmarkStart w:id="100" w:name="_Toc31997"/>
      <w:bookmarkStart w:id="101" w:name="_Toc9094"/>
      <w:bookmarkStart w:id="102" w:name="_Toc20171"/>
      <w:bookmarkStart w:id="103" w:name="_Toc30717"/>
      <w:bookmarkStart w:id="104" w:name="_Toc28526"/>
      <w:bookmarkStart w:id="105" w:name="_Toc106030395"/>
      <w:r>
        <w:rPr>
          <w:rFonts w:hint="eastAsia" w:ascii="仿宋" w:hAnsi="仿宋" w:eastAsia="仿宋" w:cs="仿宋"/>
          <w:color w:val="auto"/>
          <w:highlight w:val="none"/>
        </w:rPr>
        <w:t>二、评审方法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BAF8D07">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本项目采用综合评分法进行评审。</w:t>
      </w:r>
    </w:p>
    <w:p w14:paraId="43058051">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综合评分法，是指响应文件满足采购文件全部实质性要求且按照评审因素的量化指标评审得分最高的供应商为成交候选人的评审方法。供应商总得分为价格、技术、商务等评定因素分别按照相应权重值计算分项得分后相加，满分为100分。</w:t>
      </w:r>
    </w:p>
    <w:p w14:paraId="77B3647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澄清有关问题。对响应文件中含义不明确、同类问题表述不一致或者有明显文字和计算错误的内容，竞采小组可以书面形式（应当由竞采小组成员签字）要求供应商作出必要的澄清、说明或者纠正。供应商的澄清、说明或者补正应当采用书面形式，由其法定代表人（或其授权代表）或自然人（供应商为自然人）签字，其澄清的内容不得超出响应文件的范围或者改变响应文件的实质性内容。</w:t>
      </w:r>
    </w:p>
    <w:p w14:paraId="66B1C95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评审：</w:t>
      </w:r>
    </w:p>
    <w:p w14:paraId="537CCA33">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（一）比较与评价</w:t>
      </w:r>
      <w:r>
        <w:rPr>
          <w:rFonts w:hint="eastAsia" w:ascii="仿宋" w:hAnsi="仿宋" w:eastAsia="仿宋" w:cs="仿宋"/>
          <w:color w:val="auto"/>
          <w:szCs w:val="28"/>
          <w:highlight w:val="none"/>
        </w:rPr>
        <w:t>。按照采购文件中规定的评审方法和标准，对资格审查和符合性审查合格的响应文件进行商务和技术评估。</w:t>
      </w:r>
    </w:p>
    <w:p w14:paraId="2FD7AF7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各成员独立对每个有效供应商（通过资格审查、符合性审查的供应商）的响应文件进行评价、打分，然后由竞采小组对各成员打分情况进行核查及复核，个别成员对同一供应商同一评分项的打分偏离较大的，应对供应商的响应文件进行再次核对，确属打分有误的，应及时进行修正。</w:t>
      </w:r>
    </w:p>
    <w:p w14:paraId="247DD241">
      <w:pPr>
        <w:snapToGrid w:val="0"/>
        <w:spacing w:line="48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复核后，竞采小组汇总每个供应商每项评分因素的得分。</w:t>
      </w:r>
    </w:p>
    <w:p w14:paraId="6F620B0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（二）推荐成交候选人名单。</w:t>
      </w:r>
    </w:p>
    <w:p w14:paraId="42ED50F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按评审后得分由高到低的排列顺序推荐综合得分排名</w:t>
      </w:r>
      <w:r>
        <w:rPr>
          <w:rFonts w:hint="eastAsia" w:ascii="仿宋" w:hAnsi="仿宋" w:eastAsia="仿宋" w:cs="仿宋"/>
          <w:bCs/>
          <w:color w:val="auto"/>
          <w:highlight w:val="none"/>
        </w:rPr>
        <w:t>前三</w:t>
      </w:r>
      <w:r>
        <w:rPr>
          <w:rFonts w:hint="eastAsia" w:ascii="仿宋" w:hAnsi="仿宋" w:eastAsia="仿宋" w:cs="仿宋"/>
          <w:color w:val="auto"/>
          <w:szCs w:val="28"/>
          <w:highlight w:val="none"/>
        </w:rPr>
        <w:t>的供应商为本项目或分包成交候选人，排名第一的为第一成交候选人。得分相同的，按竞采报价由低到高顺序排列，得分且竞采报价相同的并列，但技术部分得分为0分的供应商失去成交候选人资格。</w:t>
      </w:r>
    </w:p>
    <w:p w14:paraId="2B73292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成交供应商放弃成交，或者在采购文件规定的时间内不提交履约保证金或不签订采购合同的，采购人将依序确定第二成交候选人为成交供应商或重新组织采购。</w:t>
      </w:r>
    </w:p>
    <w:p w14:paraId="450246BC">
      <w:pPr>
        <w:pStyle w:val="4"/>
        <w:spacing w:beforeLines="0" w:line="480" w:lineRule="exact"/>
        <w:ind w:firstLine="562"/>
        <w:rPr>
          <w:rFonts w:hint="eastAsia" w:ascii="仿宋" w:hAnsi="仿宋" w:eastAsia="仿宋" w:cs="仿宋"/>
          <w:color w:val="auto"/>
          <w:highlight w:val="none"/>
        </w:rPr>
      </w:pPr>
      <w:bookmarkStart w:id="106" w:name="_Toc75793520"/>
      <w:bookmarkStart w:id="107" w:name="_Toc20354"/>
      <w:bookmarkStart w:id="108" w:name="_Toc5799"/>
      <w:bookmarkStart w:id="109" w:name="_Toc22772"/>
      <w:bookmarkStart w:id="110" w:name="_Toc267320057"/>
      <w:bookmarkStart w:id="111" w:name="_Toc15716"/>
      <w:bookmarkStart w:id="112" w:name="_Toc19924"/>
      <w:bookmarkStart w:id="113" w:name="_Toc25814"/>
      <w:bookmarkStart w:id="114" w:name="_Toc17311"/>
      <w:bookmarkStart w:id="115" w:name="_Toc1055"/>
      <w:bookmarkStart w:id="116" w:name="_Toc6342"/>
      <w:bookmarkStart w:id="117" w:name="_Toc20800"/>
      <w:bookmarkStart w:id="118" w:name="_Toc7999"/>
      <w:bookmarkStart w:id="119" w:name="_Toc106030396"/>
      <w:bookmarkStart w:id="120" w:name="_Toc17116"/>
      <w:bookmarkStart w:id="121" w:name="_Toc20699"/>
      <w:bookmarkStart w:id="122" w:name="_Toc16835"/>
      <w:bookmarkStart w:id="123" w:name="_Toc4511"/>
      <w:bookmarkStart w:id="124" w:name="_Toc20875"/>
      <w:r>
        <w:rPr>
          <w:rFonts w:hint="eastAsia" w:ascii="仿宋" w:hAnsi="仿宋" w:eastAsia="仿宋" w:cs="仿宋"/>
          <w:color w:val="auto"/>
          <w:highlight w:val="none"/>
        </w:rPr>
        <w:t>三、评审标准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8950DB">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（一）评审因素</w:t>
      </w:r>
    </w:p>
    <w:tbl>
      <w:tblPr>
        <w:tblStyle w:val="26"/>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7"/>
        <w:gridCol w:w="855"/>
        <w:gridCol w:w="6171"/>
        <w:gridCol w:w="1493"/>
      </w:tblGrid>
      <w:tr w14:paraId="3794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9E612A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07" w:type="dxa"/>
            <w:vAlign w:val="center"/>
          </w:tcPr>
          <w:p w14:paraId="1A793C8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p w14:paraId="52DDFBB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及权重</w:t>
            </w:r>
          </w:p>
        </w:tc>
        <w:tc>
          <w:tcPr>
            <w:tcW w:w="855" w:type="dxa"/>
            <w:vAlign w:val="center"/>
          </w:tcPr>
          <w:p w14:paraId="34FF81F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171" w:type="dxa"/>
            <w:vAlign w:val="center"/>
          </w:tcPr>
          <w:p w14:paraId="40624B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493" w:type="dxa"/>
            <w:vAlign w:val="center"/>
          </w:tcPr>
          <w:p w14:paraId="3BFD76C6">
            <w:pPr>
              <w:pStyle w:val="46"/>
              <w:spacing w:before="0" w:after="0"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p>
        </w:tc>
      </w:tr>
      <w:tr w14:paraId="222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770405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7" w:type="dxa"/>
            <w:vAlign w:val="center"/>
          </w:tcPr>
          <w:p w14:paraId="01DEB1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竞采报价（30%）</w:t>
            </w:r>
          </w:p>
        </w:tc>
        <w:tc>
          <w:tcPr>
            <w:tcW w:w="855" w:type="dxa"/>
            <w:vAlign w:val="center"/>
          </w:tcPr>
          <w:p w14:paraId="4CC9C6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6171" w:type="dxa"/>
            <w:vAlign w:val="center"/>
          </w:tcPr>
          <w:p w14:paraId="1C062D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有效的竞采报价中最低价为评审基准价，其价格分为满分。其他供应商的价格分别统一按照下列公式计算：</w:t>
            </w:r>
          </w:p>
          <w:p w14:paraId="4459FD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竞采报价得分＝（评审基准价/竞采报价）×价格权重×100。（按四舍五入法保留两位小数）</w:t>
            </w:r>
          </w:p>
        </w:tc>
        <w:tc>
          <w:tcPr>
            <w:tcW w:w="1493" w:type="dxa"/>
            <w:vAlign w:val="center"/>
          </w:tcPr>
          <w:p w14:paraId="41FC81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超过采购预算的报价为无效响应</w:t>
            </w:r>
          </w:p>
        </w:tc>
      </w:tr>
      <w:tr w14:paraId="7A65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restart"/>
            <w:vAlign w:val="center"/>
          </w:tcPr>
          <w:p w14:paraId="73FCA4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07" w:type="dxa"/>
            <w:vMerge w:val="restart"/>
            <w:vAlign w:val="center"/>
          </w:tcPr>
          <w:p w14:paraId="507D6D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855" w:type="dxa"/>
            <w:vAlign w:val="center"/>
          </w:tcPr>
          <w:p w14:paraId="289CFD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171" w:type="dxa"/>
            <w:vAlign w:val="center"/>
          </w:tcPr>
          <w:p w14:paraId="676566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1、服务实施预案（20分）</w:t>
            </w:r>
          </w:p>
          <w:p w14:paraId="2EE57A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供应商提供针对本项目的服务实施预案，包含但不限于进度计划安排、</w:t>
            </w:r>
            <w:r>
              <w:rPr>
                <w:rFonts w:hint="eastAsia" w:ascii="仿宋" w:hAnsi="仿宋" w:eastAsia="仿宋" w:cs="仿宋"/>
                <w:color w:val="auto"/>
                <w:sz w:val="22"/>
                <w:szCs w:val="18"/>
                <w:highlight w:val="none"/>
              </w:rPr>
              <w:t>人员设备配置、</w:t>
            </w:r>
            <w:r>
              <w:rPr>
                <w:rFonts w:hint="eastAsia" w:ascii="仿宋" w:hAnsi="仿宋" w:eastAsia="仿宋" w:cs="仿宋"/>
                <w:color w:val="auto"/>
                <w:sz w:val="22"/>
                <w:szCs w:val="18"/>
                <w:highlight w:val="none"/>
                <w:lang w:val="en-US" w:eastAsia="zh-CN"/>
              </w:rPr>
              <w:t>作业实施</w:t>
            </w:r>
            <w:r>
              <w:rPr>
                <w:rFonts w:hint="eastAsia" w:ascii="仿宋" w:hAnsi="仿宋" w:eastAsia="仿宋" w:cs="仿宋"/>
                <w:color w:val="auto"/>
                <w:sz w:val="22"/>
                <w:szCs w:val="18"/>
                <w:highlight w:val="none"/>
              </w:rPr>
              <w:t>预案</w:t>
            </w:r>
            <w:r>
              <w:rPr>
                <w:rFonts w:hint="eastAsia" w:ascii="仿宋" w:hAnsi="仿宋" w:eastAsia="仿宋" w:cs="仿宋"/>
                <w:color w:val="auto"/>
                <w:sz w:val="22"/>
                <w:szCs w:val="18"/>
                <w:highlight w:val="none"/>
                <w:lang w:val="en-US" w:eastAsia="zh-CN"/>
              </w:rPr>
              <w:t>等。</w:t>
            </w:r>
          </w:p>
          <w:p w14:paraId="3D6211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方案内容不存在瑕疵，得20分，</w:t>
            </w:r>
          </w:p>
          <w:p w14:paraId="4C60C6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方案内容存在1处瑕疵，得16分，</w:t>
            </w:r>
          </w:p>
          <w:p w14:paraId="26649D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方案内容存在2处瑕疵，得12分，</w:t>
            </w:r>
          </w:p>
          <w:p w14:paraId="6A32E8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方案内容存在3处瑕疵，得8分，</w:t>
            </w:r>
          </w:p>
          <w:p w14:paraId="77FFAA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方案内容存在4处瑕疵，得4分，</w:t>
            </w:r>
          </w:p>
          <w:p w14:paraId="683F08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restart"/>
            <w:shd w:val="clear" w:color="auto" w:fill="auto"/>
            <w:vAlign w:val="center"/>
          </w:tcPr>
          <w:p w14:paraId="68D3EF12">
            <w:pPr>
              <w:rPr>
                <w:rFonts w:hint="eastAsia" w:ascii="仿宋" w:hAnsi="仿宋" w:eastAsia="仿宋" w:cs="仿宋"/>
                <w:color w:val="auto"/>
                <w:sz w:val="24"/>
                <w:szCs w:val="24"/>
                <w:highlight w:val="none"/>
              </w:rPr>
            </w:pPr>
          </w:p>
          <w:p w14:paraId="0CA8EE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供应商提供书面方案（格式自拟）。竞采小组各成员横向对比有效供应商的方案情况进行评比打分。</w:t>
            </w:r>
          </w:p>
          <w:p w14:paraId="6E8B7D3B">
            <w:pPr>
              <w:rPr>
                <w:rFonts w:hint="eastAsia" w:ascii="仿宋" w:hAnsi="仿宋" w:eastAsia="仿宋" w:cs="仿宋"/>
                <w:color w:val="auto"/>
                <w:sz w:val="24"/>
                <w:szCs w:val="24"/>
                <w:highlight w:val="none"/>
              </w:rPr>
            </w:pPr>
          </w:p>
        </w:tc>
      </w:tr>
      <w:tr w14:paraId="523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0CA39255">
            <w:pPr>
              <w:jc w:val="center"/>
              <w:rPr>
                <w:rFonts w:hint="eastAsia" w:ascii="仿宋" w:hAnsi="仿宋" w:eastAsia="仿宋" w:cs="仿宋"/>
                <w:color w:val="auto"/>
                <w:sz w:val="24"/>
                <w:szCs w:val="24"/>
                <w:highlight w:val="none"/>
              </w:rPr>
            </w:pPr>
          </w:p>
        </w:tc>
        <w:tc>
          <w:tcPr>
            <w:tcW w:w="1207" w:type="dxa"/>
            <w:vMerge w:val="continue"/>
            <w:vAlign w:val="center"/>
          </w:tcPr>
          <w:p w14:paraId="1BA7D7DD">
            <w:pPr>
              <w:jc w:val="center"/>
              <w:rPr>
                <w:rFonts w:hint="eastAsia" w:ascii="仿宋" w:hAnsi="仿宋" w:eastAsia="仿宋" w:cs="仿宋"/>
                <w:color w:val="auto"/>
                <w:sz w:val="24"/>
                <w:szCs w:val="24"/>
                <w:highlight w:val="none"/>
              </w:rPr>
            </w:pPr>
          </w:p>
        </w:tc>
        <w:tc>
          <w:tcPr>
            <w:tcW w:w="855" w:type="dxa"/>
            <w:vAlign w:val="center"/>
          </w:tcPr>
          <w:p w14:paraId="68697A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46938C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2、文明施工方案（15分）</w:t>
            </w:r>
          </w:p>
          <w:p w14:paraId="745A97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供应商提供针对本项目的文明施工方案，包括但不限于文明施工措施</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现场安全管理</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应急保障方案等。</w:t>
            </w:r>
          </w:p>
          <w:p w14:paraId="664BED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66A2B3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341B0E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17285F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5D4481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5F37CA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09ADB8D8">
            <w:pPr>
              <w:rPr>
                <w:rFonts w:hint="eastAsia" w:ascii="仿宋" w:hAnsi="仿宋" w:eastAsia="仿宋" w:cs="仿宋"/>
                <w:color w:val="auto"/>
                <w:sz w:val="24"/>
                <w:szCs w:val="24"/>
                <w:highlight w:val="none"/>
              </w:rPr>
            </w:pPr>
          </w:p>
        </w:tc>
      </w:tr>
      <w:tr w14:paraId="077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49D06B38">
            <w:pPr>
              <w:jc w:val="center"/>
              <w:rPr>
                <w:rFonts w:hint="eastAsia" w:ascii="仿宋" w:hAnsi="仿宋" w:eastAsia="仿宋" w:cs="仿宋"/>
                <w:color w:val="auto"/>
                <w:sz w:val="24"/>
                <w:szCs w:val="24"/>
                <w:highlight w:val="none"/>
              </w:rPr>
            </w:pPr>
          </w:p>
        </w:tc>
        <w:tc>
          <w:tcPr>
            <w:tcW w:w="1207" w:type="dxa"/>
            <w:vMerge w:val="continue"/>
            <w:vAlign w:val="center"/>
          </w:tcPr>
          <w:p w14:paraId="1BD0F370">
            <w:pPr>
              <w:jc w:val="center"/>
              <w:rPr>
                <w:rFonts w:hint="eastAsia" w:ascii="仿宋" w:hAnsi="仿宋" w:eastAsia="仿宋" w:cs="仿宋"/>
                <w:color w:val="auto"/>
                <w:sz w:val="24"/>
                <w:szCs w:val="24"/>
                <w:highlight w:val="none"/>
              </w:rPr>
            </w:pPr>
          </w:p>
        </w:tc>
        <w:tc>
          <w:tcPr>
            <w:tcW w:w="855" w:type="dxa"/>
            <w:vAlign w:val="center"/>
          </w:tcPr>
          <w:p w14:paraId="275FD4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7FB31D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3、售后服务方案（15分）</w:t>
            </w:r>
          </w:p>
          <w:p w14:paraId="2F76AC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供应商提供针对本项目的售后服务方案，包括但不限于质量保障期限、售后服务范围</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响应服务时效等。</w:t>
            </w:r>
          </w:p>
          <w:p w14:paraId="40F75F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3D972C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23B73F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437E1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281C3E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3E23D8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63B638A2">
            <w:pPr>
              <w:rPr>
                <w:rFonts w:hint="eastAsia" w:ascii="仿宋" w:hAnsi="仿宋" w:eastAsia="仿宋" w:cs="仿宋"/>
                <w:color w:val="auto"/>
                <w:sz w:val="24"/>
                <w:szCs w:val="24"/>
                <w:highlight w:val="none"/>
              </w:rPr>
            </w:pPr>
          </w:p>
        </w:tc>
      </w:tr>
      <w:tr w14:paraId="043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E04268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07" w:type="dxa"/>
            <w:vAlign w:val="center"/>
          </w:tcPr>
          <w:p w14:paraId="5DFBBDB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商务部分（20%）</w:t>
            </w:r>
          </w:p>
        </w:tc>
        <w:tc>
          <w:tcPr>
            <w:tcW w:w="855" w:type="dxa"/>
            <w:vAlign w:val="center"/>
          </w:tcPr>
          <w:p w14:paraId="69D15C7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6171" w:type="dxa"/>
            <w:vAlign w:val="center"/>
          </w:tcPr>
          <w:p w14:paraId="197607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1、质保承诺（20分）</w:t>
            </w:r>
          </w:p>
          <w:p w14:paraId="5B0291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供应商可承诺质量保修期在满足项目要求的基础上，每承诺额外提供1年免费质量保修期，得10分，最高得20分。提供承诺函（格式自拟）并加盖供应商公章，未提供或者不符合的不得分。</w:t>
            </w:r>
          </w:p>
        </w:tc>
        <w:tc>
          <w:tcPr>
            <w:tcW w:w="1493" w:type="dxa"/>
            <w:vAlign w:val="center"/>
          </w:tcPr>
          <w:p w14:paraId="5E3B5A4F">
            <w:pPr>
              <w:rPr>
                <w:rFonts w:hint="eastAsia" w:ascii="仿宋" w:hAnsi="仿宋" w:eastAsia="仿宋" w:cs="仿宋"/>
                <w:color w:val="auto"/>
                <w:sz w:val="24"/>
                <w:szCs w:val="24"/>
                <w:highlight w:val="none"/>
              </w:rPr>
            </w:pPr>
            <w:r>
              <w:rPr>
                <w:rFonts w:hint="eastAsia" w:ascii="仿宋" w:hAnsi="仿宋" w:eastAsia="仿宋" w:cs="仿宋"/>
                <w:color w:val="000000"/>
                <w:sz w:val="21"/>
                <w:szCs w:val="21"/>
                <w:highlight w:val="none"/>
                <w:lang w:val="en-US" w:eastAsia="zh-CN"/>
              </w:rPr>
              <w:t>提供证明材料</w:t>
            </w:r>
            <w:r>
              <w:rPr>
                <w:rFonts w:hint="eastAsia" w:ascii="仿宋" w:hAnsi="仿宋" w:eastAsia="仿宋" w:cs="仿宋"/>
                <w:color w:val="000000"/>
                <w:sz w:val="21"/>
                <w:szCs w:val="21"/>
                <w:highlight w:val="none"/>
              </w:rPr>
              <w:t>并</w:t>
            </w:r>
            <w:r>
              <w:rPr>
                <w:rFonts w:hint="eastAsia" w:ascii="仿宋" w:hAnsi="仿宋" w:eastAsia="仿宋" w:cs="仿宋"/>
                <w:color w:val="000000"/>
                <w:sz w:val="21"/>
                <w:szCs w:val="21"/>
                <w:highlight w:val="none"/>
                <w:lang w:val="en-US" w:eastAsia="zh-CN"/>
              </w:rPr>
              <w:t>加盖供应商公章，</w:t>
            </w:r>
            <w:r>
              <w:rPr>
                <w:rFonts w:hint="eastAsia" w:ascii="仿宋" w:hAnsi="仿宋" w:eastAsia="仿宋" w:cs="仿宋"/>
                <w:color w:val="000000"/>
                <w:sz w:val="21"/>
                <w:szCs w:val="21"/>
                <w:highlight w:val="none"/>
              </w:rPr>
              <w:t>未提供或不符合要求的不得分</w:t>
            </w:r>
            <w:r>
              <w:rPr>
                <w:rFonts w:hint="eastAsia" w:ascii="仿宋" w:hAnsi="仿宋" w:eastAsia="仿宋" w:cs="仿宋"/>
                <w:color w:val="000000"/>
                <w:sz w:val="21"/>
                <w:szCs w:val="21"/>
                <w:highlight w:val="none"/>
                <w:lang w:val="en-US" w:eastAsia="zh-CN"/>
              </w:rPr>
              <w:t>。</w:t>
            </w:r>
          </w:p>
        </w:tc>
      </w:tr>
    </w:tbl>
    <w:p w14:paraId="53A1324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7213838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1、上表评审因素内容中所称的“瑕疵”指出现下列任一情形：</w:t>
      </w:r>
    </w:p>
    <w:p w14:paraId="29C8322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（1）方案内容缺项、内容表述不完整；</w:t>
      </w:r>
    </w:p>
    <w:p w14:paraId="40F23733">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（2）缺少针对性描述分析或缺少关键分析点；</w:t>
      </w:r>
    </w:p>
    <w:p w14:paraId="5E4F9395">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（3）表述前后矛盾、无连贯性；</w:t>
      </w:r>
    </w:p>
    <w:p w14:paraId="220F6EF4">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（4）内容存在逻辑漏洞、常识错误、科学原理错误；</w:t>
      </w:r>
    </w:p>
    <w:p w14:paraId="11E814EB">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（5）预案并不适用本项目特性或非专门针对本项目制定；</w:t>
      </w:r>
    </w:p>
    <w:p w14:paraId="374CFA70">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（6）提出的措施举措不利于本项目目标的实现；</w:t>
      </w:r>
    </w:p>
    <w:p w14:paraId="1A5FB2AA">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（7）现有条件下不可能实现的情形。</w:t>
      </w:r>
    </w:p>
    <w:p w14:paraId="3042165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竞采小组认为供应商的报价明显低于其他通过符合性审查的供应商的报价，有可能影响服务质量或者不能诚信履约的，应当要求其在评审现场合理的时间内提供书面说明，必要时提交相关证明材料；供应商不能证明其报价合理性的，竞采小组应当将其作为无效响应处理。</w:t>
      </w:r>
    </w:p>
    <w:p w14:paraId="36E1556B">
      <w:pPr>
        <w:pStyle w:val="4"/>
        <w:spacing w:beforeLines="0" w:line="480" w:lineRule="exact"/>
        <w:ind w:firstLine="562"/>
        <w:rPr>
          <w:rFonts w:hint="eastAsia" w:ascii="仿宋" w:hAnsi="仿宋" w:eastAsia="仿宋" w:cs="仿宋"/>
          <w:color w:val="auto"/>
          <w:highlight w:val="none"/>
        </w:rPr>
      </w:pPr>
      <w:bookmarkStart w:id="125" w:name="_Toc29586"/>
      <w:bookmarkStart w:id="126" w:name="_Toc22167"/>
      <w:bookmarkStart w:id="127" w:name="_Toc27926"/>
      <w:bookmarkStart w:id="128" w:name="_Toc5010"/>
      <w:bookmarkStart w:id="129" w:name="_Toc4045"/>
      <w:bookmarkStart w:id="130" w:name="_Toc12283"/>
      <w:bookmarkStart w:id="131" w:name="_Toc10448"/>
      <w:bookmarkStart w:id="132" w:name="_Toc18716"/>
      <w:bookmarkStart w:id="133" w:name="_Toc75793521"/>
      <w:bookmarkStart w:id="134" w:name="_Toc106030397"/>
      <w:bookmarkStart w:id="135" w:name="_Toc10923"/>
      <w:bookmarkStart w:id="136" w:name="_Toc20423"/>
      <w:bookmarkStart w:id="137" w:name="_Toc13045"/>
      <w:bookmarkStart w:id="138" w:name="_Toc26747"/>
      <w:bookmarkStart w:id="139" w:name="_Toc17065"/>
      <w:bookmarkStart w:id="140" w:name="_Toc30659"/>
      <w:bookmarkStart w:id="141" w:name="_Toc15200"/>
      <w:bookmarkStart w:id="142" w:name="_Toc13232"/>
      <w:r>
        <w:rPr>
          <w:rFonts w:hint="eastAsia" w:ascii="仿宋" w:hAnsi="仿宋" w:eastAsia="仿宋" w:cs="仿宋"/>
          <w:color w:val="auto"/>
          <w:highlight w:val="none"/>
        </w:rPr>
        <w:t>四、无效响应条款</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4A5C7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供应商或其响应文件出现下列情况之一者，应为无效响应：</w:t>
      </w:r>
    </w:p>
    <w:p w14:paraId="572F7EE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（一）供应商不符合规定的资格条件的；</w:t>
      </w:r>
    </w:p>
    <w:p w14:paraId="10108BC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（二）供应商的法定代表人（或其授权代表）或自然人未参加竞采；</w:t>
      </w:r>
    </w:p>
    <w:p w14:paraId="020247F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（三）供应商所提交的响应文件不按“第六篇响应文件格式”要求签署或盖章；</w:t>
      </w:r>
    </w:p>
    <w:p w14:paraId="03C2FE1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（四）供应商的响应报价超过采购预算或最高限价的；</w:t>
      </w:r>
    </w:p>
    <w:p w14:paraId="2A85E82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（五）法定代表人为同一个人的两个及两个以上法人，母公司、全资子公司及其控股公司，在同一批次采购中同时参与竞采；</w:t>
      </w:r>
    </w:p>
    <w:p w14:paraId="392C68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（六）单位负责人为同一人或者存在直接控股、管理关系的不同供应商，参加同一合同项下的政府采购活动的；</w:t>
      </w:r>
    </w:p>
    <w:p w14:paraId="73522E8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（七）为采购项目提供整体设计、规范编制或者项目管理、监理、检测等服务的供应商，再参加该采购项目的其他采购活动；</w:t>
      </w:r>
    </w:p>
    <w:p w14:paraId="786787C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（八）供应商竞采有效期不满足采购文件要求的；</w:t>
      </w:r>
    </w:p>
    <w:p w14:paraId="07CE076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（九）供应商响应文件内容有与国家现行法律法规相违背的内容，或附有采购人无法接受的条件；</w:t>
      </w:r>
    </w:p>
    <w:p w14:paraId="6504C26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（十）法律法规和竞采文件规定的其他无效情形。</w:t>
      </w:r>
    </w:p>
    <w:p w14:paraId="5BCC1A88">
      <w:pPr>
        <w:pStyle w:val="4"/>
        <w:spacing w:beforeLines="0" w:line="480" w:lineRule="exact"/>
        <w:ind w:firstLine="562"/>
        <w:rPr>
          <w:rFonts w:hint="eastAsia" w:ascii="仿宋" w:hAnsi="仿宋" w:eastAsia="仿宋" w:cs="仿宋"/>
          <w:color w:val="auto"/>
          <w:highlight w:val="none"/>
        </w:rPr>
      </w:pPr>
      <w:bookmarkStart w:id="143" w:name="_Toc20005"/>
      <w:bookmarkStart w:id="144" w:name="_Toc6719"/>
      <w:bookmarkStart w:id="145" w:name="_Toc11293"/>
      <w:bookmarkStart w:id="146" w:name="_Toc25549"/>
      <w:bookmarkStart w:id="147" w:name="_Toc25960"/>
      <w:bookmarkStart w:id="148" w:name="_Toc75793522"/>
      <w:bookmarkStart w:id="149" w:name="_Toc6204"/>
      <w:bookmarkStart w:id="150" w:name="_Toc106030398"/>
      <w:bookmarkStart w:id="151" w:name="_Toc4422"/>
      <w:bookmarkStart w:id="152" w:name="_Toc2799"/>
      <w:bookmarkStart w:id="153" w:name="_Toc27133"/>
      <w:bookmarkStart w:id="154" w:name="_Toc6956"/>
      <w:bookmarkStart w:id="155" w:name="_Toc21946"/>
      <w:bookmarkStart w:id="156" w:name="_Toc7802"/>
      <w:bookmarkStart w:id="157" w:name="_Toc14355"/>
      <w:bookmarkStart w:id="158" w:name="_Toc23533"/>
      <w:bookmarkStart w:id="159" w:name="_Toc27180"/>
      <w:bookmarkStart w:id="160" w:name="_Toc30605"/>
      <w:r>
        <w:rPr>
          <w:rFonts w:hint="eastAsia" w:ascii="仿宋" w:hAnsi="仿宋" w:eastAsia="仿宋" w:cs="仿宋"/>
          <w:color w:val="auto"/>
          <w:highlight w:val="none"/>
        </w:rPr>
        <w:t>五、采购终止条款</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368CCB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在采购中，出现下列情形之一的，应予采购终止：</w:t>
      </w:r>
    </w:p>
    <w:p w14:paraId="783A15E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（一）符合专业条件的供应商或者对采购文件做实质响应的供应商不足三家的；</w:t>
      </w:r>
    </w:p>
    <w:p w14:paraId="1792671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（二）供应商的报价均超过了采购预算，采购人不能支付的；</w:t>
      </w:r>
    </w:p>
    <w:p w14:paraId="77C0DD9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（三）出现影响采购公正的违法、违规行为的；</w:t>
      </w:r>
    </w:p>
    <w:p w14:paraId="4155328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（四）因重大变故，采购任务取消的。</w:t>
      </w:r>
    </w:p>
    <w:p w14:paraId="4BAB826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采购终止后，除采购任务取消情形外，应当重新组织采购。</w:t>
      </w:r>
    </w:p>
    <w:bookmarkEnd w:id="37"/>
    <w:p w14:paraId="1B3582B6">
      <w:pPr>
        <w:pStyle w:val="3"/>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61" w:name="_Toc106030399"/>
      <w:bookmarkStart w:id="162" w:name="_Toc18502"/>
      <w:bookmarkStart w:id="163" w:name="_Toc5106"/>
      <w:bookmarkStart w:id="164" w:name="_Toc75793523"/>
      <w:bookmarkStart w:id="165" w:name="_Toc4735"/>
      <w:bookmarkStart w:id="166" w:name="_Toc21000"/>
      <w:bookmarkStart w:id="167" w:name="_Toc20379"/>
      <w:bookmarkStart w:id="168" w:name="_Toc1982"/>
      <w:bookmarkStart w:id="169" w:name="_Toc32211"/>
      <w:bookmarkStart w:id="170" w:name="_Toc22201"/>
      <w:bookmarkStart w:id="171" w:name="_Toc29546"/>
      <w:bookmarkStart w:id="172" w:name="_Toc25755"/>
      <w:bookmarkStart w:id="173" w:name="_Toc18030"/>
      <w:bookmarkStart w:id="174" w:name="_Toc22256"/>
      <w:bookmarkStart w:id="175" w:name="_Toc19831"/>
      <w:bookmarkStart w:id="176" w:name="_Toc25962"/>
      <w:bookmarkStart w:id="177" w:name="_Toc13159"/>
      <w:bookmarkStart w:id="178" w:name="_Toc21720"/>
      <w:bookmarkStart w:id="179" w:name="_Toc12533"/>
      <w:bookmarkStart w:id="180" w:name="_Toc21360"/>
      <w:r>
        <w:rPr>
          <w:rFonts w:hint="eastAsia" w:ascii="仿宋" w:hAnsi="仿宋" w:eastAsia="仿宋" w:cs="仿宋"/>
          <w:color w:val="auto"/>
          <w:highlight w:val="none"/>
        </w:rPr>
        <w:t>第五篇 供应商须知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B45A965">
      <w:pPr>
        <w:pStyle w:val="4"/>
        <w:spacing w:beforeLines="0" w:line="480" w:lineRule="exact"/>
        <w:ind w:firstLine="562"/>
        <w:rPr>
          <w:rFonts w:hint="eastAsia" w:ascii="仿宋" w:hAnsi="仿宋" w:eastAsia="仿宋" w:cs="仿宋"/>
          <w:color w:val="auto"/>
          <w:highlight w:val="none"/>
        </w:rPr>
      </w:pPr>
      <w:bookmarkStart w:id="181" w:name="_Toc14153"/>
      <w:r>
        <w:rPr>
          <w:rFonts w:hint="eastAsia" w:ascii="仿宋" w:hAnsi="仿宋" w:eastAsia="仿宋" w:cs="仿宋"/>
          <w:color w:val="auto"/>
          <w:highlight w:val="none"/>
        </w:rPr>
        <w:t>一、供应商</w:t>
      </w:r>
      <w:bookmarkEnd w:id="181"/>
    </w:p>
    <w:p w14:paraId="760B5249">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（一）供应商</w:t>
      </w:r>
    </w:p>
    <w:p w14:paraId="6114B4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供应商是指响应竞采、参加竞采竞争的法人、其他组织或者自然人。</w:t>
      </w:r>
    </w:p>
    <w:p w14:paraId="1121C80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（二）合格供应商条件</w:t>
      </w:r>
    </w:p>
    <w:p w14:paraId="384B40C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合格供应商应完全符合采购文件第一篇中规定的供应商资格条件，并对采购文件作出实质性响应。</w:t>
      </w:r>
    </w:p>
    <w:p w14:paraId="4E2B4FC6">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（三）供应商的风险</w:t>
      </w:r>
    </w:p>
    <w:p w14:paraId="1FF01EC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供应商没有按照采购文件要求提供全部资料，或者供应商没有对采购文件在各方面作出实质性响应，可能导致响应被拒绝或评定为无效响应。</w:t>
      </w:r>
    </w:p>
    <w:p w14:paraId="2DF6B02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（四）法律责任</w:t>
      </w:r>
    </w:p>
    <w:p w14:paraId="5D668B3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供应商违反《中华人民共和国政府采购法》《中华人民共和国政府采购法实施条例》等相关规定，将按规定追究供应商法律责任。</w:t>
      </w:r>
    </w:p>
    <w:p w14:paraId="2EAADD86">
      <w:pPr>
        <w:pStyle w:val="4"/>
        <w:spacing w:beforeLines="0" w:line="480" w:lineRule="exact"/>
        <w:ind w:firstLine="562"/>
        <w:rPr>
          <w:rFonts w:hint="eastAsia" w:ascii="仿宋" w:hAnsi="仿宋" w:eastAsia="仿宋" w:cs="仿宋"/>
          <w:color w:val="auto"/>
          <w:highlight w:val="none"/>
        </w:rPr>
      </w:pPr>
      <w:bookmarkStart w:id="182" w:name="_Toc24546"/>
      <w:r>
        <w:rPr>
          <w:rFonts w:hint="eastAsia" w:ascii="仿宋" w:hAnsi="仿宋" w:eastAsia="仿宋" w:cs="仿宋"/>
          <w:color w:val="auto"/>
          <w:highlight w:val="none"/>
        </w:rPr>
        <w:t>二、采购文件</w:t>
      </w:r>
      <w:bookmarkEnd w:id="182"/>
    </w:p>
    <w:p w14:paraId="31986B8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采购文件是供应商编制响应文件的依据，是竞采小组评判依据和标准。采购文件也是采购人与成交供应商签订合同的基础。</w:t>
      </w:r>
    </w:p>
    <w:p w14:paraId="5C791AD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（一）采购文件由竞采邀请书、项目技术（质量）需求、项目商务需求、资格审查及评审办法、供应商须知、响应文件格式等六部分组成。</w:t>
      </w:r>
    </w:p>
    <w:p w14:paraId="3EBB2F56">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（二）采购代理机构对采购文件所做的一切有效的书面通知、修改及补充，都是采购文件不可分割的部分。</w:t>
      </w:r>
    </w:p>
    <w:p w14:paraId="14888DC2">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（三）本项目的采购文件、澄清文件（如果有）一律在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（https://www.gec123.com/）上发布，请各供应商注意下载或到采购代理机构处领取；无论供应商下载或领取与否，均视同供应商已知晓本项目采购文件、澄清文件的内容。</w:t>
      </w:r>
    </w:p>
    <w:p w14:paraId="082D4F7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（四）采购代理机构对已发出的采购文件需要进行澄清或修改的，应以书面形式或公告形式通知所有采购文件收受人。该澄清或者修改的内容为采购文件的组成部分。</w:t>
      </w:r>
    </w:p>
    <w:p w14:paraId="2E501979">
      <w:pPr>
        <w:pStyle w:val="4"/>
        <w:spacing w:beforeLines="0" w:line="480" w:lineRule="exact"/>
        <w:ind w:firstLine="562"/>
        <w:rPr>
          <w:rFonts w:hint="eastAsia" w:ascii="仿宋" w:hAnsi="仿宋" w:eastAsia="仿宋" w:cs="仿宋"/>
          <w:color w:val="auto"/>
          <w:highlight w:val="none"/>
        </w:rPr>
      </w:pPr>
      <w:bookmarkStart w:id="183" w:name="_Toc1290"/>
      <w:r>
        <w:rPr>
          <w:rFonts w:hint="eastAsia" w:ascii="仿宋" w:hAnsi="仿宋" w:eastAsia="仿宋" w:cs="仿宋"/>
          <w:color w:val="auto"/>
          <w:highlight w:val="none"/>
        </w:rPr>
        <w:t>三、响应文件</w:t>
      </w:r>
      <w:bookmarkEnd w:id="183"/>
    </w:p>
    <w:p w14:paraId="297FAF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供应商应当按照采购文件的要求编制响应文件，并对采购文件提出的要求和条件作出实质性响应。</w:t>
      </w:r>
    </w:p>
    <w:p w14:paraId="608A3D7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（一）响应文件组成</w:t>
      </w:r>
    </w:p>
    <w:p w14:paraId="11A96FC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5B37EE4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（二）竞采有效期</w:t>
      </w:r>
    </w:p>
    <w:p w14:paraId="2D3CA93E">
      <w:pPr>
        <w:snapToGrid w:val="0"/>
        <w:spacing w:line="48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t>竞采有效期为竞采截止时间起90天。</w:t>
      </w:r>
    </w:p>
    <w:p w14:paraId="1A2029D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（三）响应文件的份数和签署</w:t>
      </w:r>
    </w:p>
    <w:p w14:paraId="68EEA7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1.响应文件</w:t>
      </w:r>
      <w:r>
        <w:rPr>
          <w:rFonts w:hint="eastAsia" w:ascii="仿宋" w:hAnsi="仿宋" w:eastAsia="仿宋" w:cs="仿宋"/>
          <w:bCs/>
          <w:color w:val="auto"/>
          <w:highlight w:val="none"/>
          <w:lang w:val="en-US" w:eastAsia="zh-CN"/>
        </w:rPr>
        <w:t>电子文档一份</w:t>
      </w:r>
      <w:r>
        <w:rPr>
          <w:rFonts w:hint="eastAsia" w:ascii="仿宋" w:hAnsi="仿宋" w:eastAsia="仿宋" w:cs="仿宋"/>
          <w:bCs/>
          <w:color w:val="auto"/>
          <w:highlight w:val="none"/>
        </w:rPr>
        <w:t>。</w:t>
      </w:r>
    </w:p>
    <w:p w14:paraId="0E1CCA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2.在响应文件中，采购文件第六篇响应文件格式中规定签署、盖章的地方必须按其规定签署、盖章。</w:t>
      </w:r>
    </w:p>
    <w:p w14:paraId="1926D11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3.若供应商对响应文件的错处做必要修改，则应在修改处加盖供应商公章或由法定代表人（或其授权代表）或自然人（供应商为自然人）签署确认。</w:t>
      </w:r>
    </w:p>
    <w:p w14:paraId="342B34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4.电报、电话、传真形式的响应文件概不接受。</w:t>
      </w:r>
    </w:p>
    <w:p w14:paraId="426A168F">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（四）竞采报价</w:t>
      </w:r>
    </w:p>
    <w:p w14:paraId="1D9D8AD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1.供应商应严格按照“响应文件格式”中“报价一览表”的格式填写报价。</w:t>
      </w:r>
    </w:p>
    <w:p w14:paraId="1DE1F8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2.供应商的报价为一次性报价，即在竞采有效期内竞采价格固定不变。</w:t>
      </w:r>
    </w:p>
    <w:p w14:paraId="5586A4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3.本项目只接受一个竞采报价，有选择的或有条件的报价将不予接受。</w:t>
      </w:r>
    </w:p>
    <w:p w14:paraId="1ED8192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（五）修正错误</w:t>
      </w:r>
    </w:p>
    <w:p w14:paraId="4699B04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若响应文件出现计算或表达上的错误，修正错误的原则如下：</w:t>
      </w:r>
    </w:p>
    <w:p w14:paraId="72F929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1.响应文件中报价一览表（报价表）内容与响应文件中相应内容不一致的，以报价一览表（报价表）为准；</w:t>
      </w:r>
    </w:p>
    <w:p w14:paraId="1E68F41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2.大写金额和小写金额不一致的，以大写金额为准；</w:t>
      </w:r>
    </w:p>
    <w:p w14:paraId="61F657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3.单价金额小数点或者百分比有明显错位的，以报价一览表的总价为准，并修改单价；</w:t>
      </w:r>
    </w:p>
    <w:p w14:paraId="2426B14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4.总价金额与按单价汇总金额不一致的，以单价金额计算结果为准。</w:t>
      </w:r>
    </w:p>
    <w:p w14:paraId="0F0AD29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按上述修正错误的原则及方法调整或修正供应商竞采报价，若同时出现两种以上不一致的，按照前款规定的顺序修正，由供应商同意并签字确认后，调整后的竞采报价对供应商具有约束作用。如果供应商不接受修正后的报价，则其响应将作为无效响应处理。</w:t>
      </w:r>
    </w:p>
    <w:p w14:paraId="051EC3C1">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（六）响应文件的递交</w:t>
      </w:r>
    </w:p>
    <w:p w14:paraId="691872D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响应文件的正本、副本均应密封送达评审地点，应在封套上注明项目名称、供应商名称。若正本、副本分别进行密封的，还应在封套上注明“正本”“副本”字样。</w:t>
      </w:r>
    </w:p>
    <w:p w14:paraId="5E574565">
      <w:pPr>
        <w:pStyle w:val="4"/>
        <w:spacing w:beforeLines="0" w:line="480" w:lineRule="exact"/>
        <w:ind w:firstLine="562"/>
        <w:rPr>
          <w:rFonts w:hint="eastAsia" w:ascii="仿宋" w:hAnsi="仿宋" w:eastAsia="仿宋" w:cs="仿宋"/>
          <w:color w:val="auto"/>
          <w:highlight w:val="none"/>
        </w:rPr>
      </w:pPr>
      <w:bookmarkStart w:id="184" w:name="_Toc18279"/>
      <w:r>
        <w:rPr>
          <w:rFonts w:hint="eastAsia" w:ascii="仿宋" w:hAnsi="仿宋" w:eastAsia="仿宋" w:cs="仿宋"/>
          <w:color w:val="auto"/>
          <w:highlight w:val="none"/>
        </w:rPr>
        <w:t>四、评审流程</w:t>
      </w:r>
      <w:bookmarkEnd w:id="184"/>
    </w:p>
    <w:p w14:paraId="7D1EE8C3">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（一）采购代理机构和采购人可视采购具体情况，确定开始评审时间、地点。</w:t>
      </w:r>
    </w:p>
    <w:p w14:paraId="709D1B6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（二）评审由采购人或采购代理机构主持。</w:t>
      </w:r>
    </w:p>
    <w:p w14:paraId="560FD5C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（三）评审时，经确认无误后，由采购人或者采购代理机构工作人员当众拆封，宣布供应商名称、竞采价格和《报价一览表》规定的需要宣布的其他内容。</w:t>
      </w:r>
      <w:r>
        <w:rPr>
          <w:rFonts w:hint="eastAsia" w:ascii="仿宋" w:hAnsi="仿宋" w:eastAsia="仿宋" w:cs="仿宋"/>
          <w:bCs/>
          <w:color w:val="auto"/>
          <w:highlight w:val="none"/>
        </w:rPr>
        <w:t>供应商不足三家的</w:t>
      </w:r>
      <w:r>
        <w:rPr>
          <w:rFonts w:hint="eastAsia" w:ascii="仿宋" w:hAnsi="仿宋" w:eastAsia="仿宋" w:cs="仿宋"/>
          <w:color w:val="auto"/>
          <w:szCs w:val="28"/>
          <w:highlight w:val="none"/>
        </w:rPr>
        <w:t>，不得开始评审。</w:t>
      </w:r>
    </w:p>
    <w:p w14:paraId="0FA85761">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（四）未宣读的竞采价格、价格折扣和采购文件允许提供的备选响应方案等实质性内容等，评审时不予承认。</w:t>
      </w:r>
    </w:p>
    <w:p w14:paraId="498F984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（五）评审过程应由采购人或采购代理机构指定专人负责记录，并存档备查。</w:t>
      </w:r>
    </w:p>
    <w:p w14:paraId="5BBAACDC">
      <w:pPr>
        <w:pStyle w:val="4"/>
        <w:spacing w:beforeLines="0" w:line="480" w:lineRule="exact"/>
        <w:ind w:firstLine="562"/>
        <w:rPr>
          <w:rFonts w:hint="eastAsia" w:ascii="仿宋" w:hAnsi="仿宋" w:eastAsia="仿宋" w:cs="仿宋"/>
          <w:color w:val="auto"/>
          <w:highlight w:val="none"/>
        </w:rPr>
      </w:pPr>
      <w:bookmarkStart w:id="185" w:name="_Toc32450"/>
      <w:r>
        <w:rPr>
          <w:rFonts w:hint="eastAsia" w:ascii="仿宋" w:hAnsi="仿宋" w:eastAsia="仿宋" w:cs="仿宋"/>
          <w:color w:val="auto"/>
          <w:highlight w:val="none"/>
        </w:rPr>
        <w:t>五、评审标准</w:t>
      </w:r>
      <w:bookmarkEnd w:id="185"/>
    </w:p>
    <w:p w14:paraId="111D74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见第四篇“评审”内容。</w:t>
      </w:r>
    </w:p>
    <w:p w14:paraId="1B7852A3">
      <w:pPr>
        <w:pStyle w:val="4"/>
        <w:spacing w:beforeLines="0" w:line="480" w:lineRule="exact"/>
        <w:ind w:firstLine="562"/>
        <w:rPr>
          <w:rFonts w:hint="eastAsia" w:ascii="仿宋" w:hAnsi="仿宋" w:eastAsia="仿宋" w:cs="仿宋"/>
          <w:color w:val="auto"/>
          <w:highlight w:val="none"/>
        </w:rPr>
      </w:pPr>
      <w:bookmarkStart w:id="186" w:name="_Toc24968"/>
      <w:r>
        <w:rPr>
          <w:rFonts w:hint="eastAsia" w:ascii="仿宋" w:hAnsi="仿宋" w:eastAsia="仿宋" w:cs="仿宋"/>
          <w:color w:val="auto"/>
          <w:highlight w:val="none"/>
        </w:rPr>
        <w:t>六、确认成交供应商</w:t>
      </w:r>
      <w:bookmarkEnd w:id="186"/>
    </w:p>
    <w:p w14:paraId="06AF7713">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（一）原则</w:t>
      </w:r>
    </w:p>
    <w:p w14:paraId="024C405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采购人或其授权的竞采小组应按照评审报告中推荐的成交候选人排名顺序确定成交供应商。</w:t>
      </w:r>
    </w:p>
    <w:p w14:paraId="2515A41A">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（二）程序</w:t>
      </w:r>
    </w:p>
    <w:p w14:paraId="61F0CF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1.采购代理机构应当在评审结束之日起2个工作日内将评审报告送达采购人。</w:t>
      </w:r>
    </w:p>
    <w:p w14:paraId="56B5182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2.采购人应当自收到评审报告之日起3个工作日内按评审报告推荐的成交候选人顺序确定成交供应商。</w:t>
      </w:r>
    </w:p>
    <w:p w14:paraId="693D32C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3.采购人或者采购代理机构应当自成交供应商确定之日起2个工作日内，在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上公告成交结果。结果公告期限为1个工作日。</w:t>
      </w:r>
    </w:p>
    <w:p w14:paraId="1D5816B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4.成交供应商变更</w:t>
      </w:r>
    </w:p>
    <w:p w14:paraId="570C8BB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成交供应商拒绝与采购人签订合同的，采购人可以按照评审报告推荐的成交候选人顺序，确定排名下一位的候选人为成交供应商，也可以重新开展采购活动。</w:t>
      </w:r>
    </w:p>
    <w:p w14:paraId="014B484B">
      <w:pPr>
        <w:pStyle w:val="4"/>
        <w:spacing w:beforeLines="0" w:line="480" w:lineRule="exact"/>
        <w:ind w:firstLine="562"/>
        <w:rPr>
          <w:rFonts w:hint="eastAsia" w:ascii="仿宋" w:hAnsi="仿宋" w:eastAsia="仿宋" w:cs="仿宋"/>
          <w:color w:val="auto"/>
          <w:highlight w:val="none"/>
        </w:rPr>
      </w:pPr>
      <w:bookmarkStart w:id="187" w:name="_Toc21027"/>
      <w:r>
        <w:rPr>
          <w:rFonts w:hint="eastAsia" w:ascii="仿宋" w:hAnsi="仿宋" w:eastAsia="仿宋" w:cs="仿宋"/>
          <w:color w:val="auto"/>
          <w:highlight w:val="none"/>
        </w:rPr>
        <w:t>七、成交</w:t>
      </w:r>
      <w:bookmarkEnd w:id="187"/>
    </w:p>
    <w:p w14:paraId="3B90F7F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（一）采购人依法确定成交供应商后，采购代理机构进行结果公示。</w:t>
      </w:r>
    </w:p>
    <w:p w14:paraId="57523B2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（二）结果公示，采购人改变成交结果，或者成交供应商放弃成交，应当承担相应的法律责任。</w:t>
      </w:r>
    </w:p>
    <w:p w14:paraId="09677732">
      <w:pPr>
        <w:pStyle w:val="4"/>
        <w:spacing w:beforeLines="0" w:line="480" w:lineRule="exact"/>
        <w:ind w:firstLine="562"/>
        <w:rPr>
          <w:rFonts w:hint="eastAsia" w:ascii="仿宋" w:hAnsi="仿宋" w:eastAsia="仿宋" w:cs="仿宋"/>
          <w:color w:val="auto"/>
          <w:highlight w:val="none"/>
        </w:rPr>
      </w:pPr>
      <w:bookmarkStart w:id="188" w:name="_Toc23353"/>
      <w:r>
        <w:rPr>
          <w:rFonts w:hint="eastAsia" w:ascii="仿宋" w:hAnsi="仿宋" w:eastAsia="仿宋" w:cs="仿宋"/>
          <w:color w:val="auto"/>
          <w:highlight w:val="none"/>
        </w:rPr>
        <w:t>八、采购代理服务费</w:t>
      </w:r>
      <w:bookmarkEnd w:id="188"/>
    </w:p>
    <w:p w14:paraId="0AA8A9C4">
      <w:pPr>
        <w:spacing w:line="480" w:lineRule="exact"/>
        <w:ind w:firstLine="560" w:firstLineChars="200"/>
        <w:rPr>
          <w:rFonts w:hint="eastAsia" w:ascii="仿宋" w:hAnsi="仿宋" w:eastAsia="仿宋" w:cs="仿宋"/>
          <w:color w:val="auto"/>
          <w:szCs w:val="28"/>
          <w:highlight w:val="none"/>
        </w:rPr>
      </w:pPr>
      <w:bookmarkStart w:id="189" w:name="OLE_LINK7"/>
      <w:bookmarkStart w:id="190" w:name="OLE_LINK8"/>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成交后向采购代理机构缴纳采购代理服务费，采购代理服务费的收取标准按照以下标准执行：</w:t>
      </w:r>
    </w:p>
    <w:p w14:paraId="62BD658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1.本项目采购代理服务费由成交供应商支付，按</w:t>
      </w:r>
      <w:r>
        <w:rPr>
          <w:rFonts w:hint="eastAsia" w:ascii="仿宋" w:hAnsi="仿宋" w:eastAsia="仿宋" w:cs="仿宋"/>
          <w:bCs/>
          <w:color w:val="auto"/>
          <w:highlight w:val="none"/>
          <w:lang w:val="en-US" w:eastAsia="zh-CN"/>
        </w:rPr>
        <w:t>固定金额</w:t>
      </w:r>
      <w:r>
        <w:rPr>
          <w:rFonts w:hint="eastAsia" w:ascii="仿宋" w:hAnsi="仿宋" w:eastAsia="仿宋" w:cs="仿宋"/>
          <w:bCs/>
          <w:color w:val="auto"/>
          <w:highlight w:val="none"/>
        </w:rPr>
        <w:t>金额</w:t>
      </w:r>
      <w:r>
        <w:rPr>
          <w:rFonts w:hint="eastAsia" w:ascii="仿宋" w:hAnsi="仿宋" w:eastAsia="仿宋" w:cs="仿宋"/>
          <w:bCs/>
          <w:color w:val="auto"/>
          <w:highlight w:val="none"/>
          <w:lang w:val="en-US" w:eastAsia="zh-CN"/>
        </w:rPr>
        <w:t>3000元</w:t>
      </w:r>
      <w:r>
        <w:rPr>
          <w:rFonts w:hint="eastAsia" w:ascii="仿宋" w:hAnsi="仿宋" w:eastAsia="仿宋" w:cs="仿宋"/>
          <w:bCs/>
          <w:color w:val="auto"/>
          <w:highlight w:val="none"/>
        </w:rPr>
        <w:t>收取</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成交供应商在领取中标通知书前一次性支付给代理机构</w:t>
      </w:r>
      <w:r>
        <w:rPr>
          <w:rFonts w:hint="eastAsia" w:ascii="仿宋" w:hAnsi="仿宋" w:eastAsia="仿宋" w:cs="仿宋"/>
          <w:bCs/>
          <w:color w:val="auto"/>
          <w:highlight w:val="none"/>
        </w:rPr>
        <w:t>。</w:t>
      </w:r>
    </w:p>
    <w:p w14:paraId="38502ECF">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2.采购代理服务费缴纳账户信息：</w:t>
      </w:r>
      <w:r>
        <w:rPr>
          <w:rFonts w:hint="eastAsia" w:ascii="仿宋" w:hAnsi="仿宋" w:eastAsia="仿宋" w:cs="仿宋"/>
          <w:color w:val="auto"/>
          <w:szCs w:val="28"/>
          <w:highlight w:val="none"/>
        </w:rPr>
        <w:tab/>
      </w:r>
    </w:p>
    <w:p w14:paraId="480A0F52">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户  名：重庆海德思哲招标代理有限公司</w:t>
      </w:r>
    </w:p>
    <w:p w14:paraId="6E32BD0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开户行：中国工商银行股份有限公司重庆碚峡路支行</w:t>
      </w:r>
    </w:p>
    <w:p w14:paraId="56F782C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账  号：31000286092001500042</w:t>
      </w:r>
    </w:p>
    <w:bookmarkEnd w:id="189"/>
    <w:bookmarkEnd w:id="190"/>
    <w:p w14:paraId="110A2CA1">
      <w:pPr>
        <w:pStyle w:val="4"/>
        <w:spacing w:beforeLines="0" w:line="480" w:lineRule="exact"/>
        <w:ind w:firstLine="562"/>
        <w:rPr>
          <w:rFonts w:hint="eastAsia" w:ascii="仿宋" w:hAnsi="仿宋" w:eastAsia="仿宋" w:cs="仿宋"/>
          <w:color w:val="auto"/>
          <w:highlight w:val="none"/>
        </w:rPr>
      </w:pPr>
      <w:bookmarkStart w:id="191" w:name="_Toc32308"/>
      <w:r>
        <w:rPr>
          <w:rFonts w:hint="eastAsia" w:ascii="仿宋" w:hAnsi="仿宋" w:eastAsia="仿宋" w:cs="仿宋"/>
          <w:color w:val="auto"/>
          <w:highlight w:val="none"/>
        </w:rPr>
        <w:t>九、签订合同</w:t>
      </w:r>
      <w:bookmarkEnd w:id="191"/>
    </w:p>
    <w:p w14:paraId="351D999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仿宋" w:hAnsi="仿宋" w:eastAsia="仿宋" w:cs="仿宋"/>
          <w:color w:val="auto"/>
          <w:kern w:val="0"/>
          <w:szCs w:val="28"/>
          <w:highlight w:val="none"/>
        </w:rPr>
        <w:t>其他未尽事宜由采购人和成交供应商在采购合同中详细约定。</w:t>
      </w:r>
    </w:p>
    <w:p w14:paraId="56FFEBA8">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（二）采购文件、成交供应商的响应文件及澄清文件等，均为签订采购合同的依据。</w:t>
      </w:r>
    </w:p>
    <w:p w14:paraId="5D53FFA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51C150BD">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（四）合同原则上应按照《重庆市政府采购合同》签订，相关单位要求适用合同通用格式版本的，应按其要求另行签订其他合同。</w:t>
      </w:r>
    </w:p>
    <w:p w14:paraId="32CDF8DD">
      <w:pPr>
        <w:pStyle w:val="4"/>
        <w:spacing w:beforeLines="0" w:line="480" w:lineRule="exact"/>
        <w:ind w:firstLine="562"/>
        <w:rPr>
          <w:rFonts w:hint="eastAsia" w:ascii="仿宋" w:hAnsi="仿宋" w:eastAsia="仿宋" w:cs="仿宋"/>
          <w:color w:val="auto"/>
          <w:highlight w:val="none"/>
        </w:rPr>
      </w:pPr>
      <w:bookmarkStart w:id="192" w:name="_Toc11349"/>
      <w:bookmarkStart w:id="193" w:name="_Toc11558"/>
      <w:bookmarkStart w:id="194" w:name="_Toc23671"/>
      <w:bookmarkStart w:id="195" w:name="_Toc23965"/>
      <w:bookmarkStart w:id="196" w:name="_Toc11714"/>
      <w:bookmarkStart w:id="197" w:name="_Toc25795"/>
      <w:bookmarkStart w:id="198" w:name="_Toc29139"/>
      <w:bookmarkStart w:id="199" w:name="_Toc13027"/>
      <w:bookmarkStart w:id="200" w:name="_Toc26438"/>
      <w:bookmarkStart w:id="201" w:name="_Toc4207"/>
      <w:bookmarkStart w:id="202" w:name="_Toc4923"/>
      <w:bookmarkStart w:id="203" w:name="_Toc1406"/>
      <w:bookmarkStart w:id="204" w:name="_Toc9393"/>
      <w:bookmarkStart w:id="205" w:name="_Toc13934"/>
      <w:bookmarkStart w:id="206" w:name="_Toc106030411"/>
      <w:bookmarkStart w:id="207" w:name="_Toc14102"/>
      <w:r>
        <w:rPr>
          <w:rFonts w:hint="eastAsia" w:ascii="仿宋" w:hAnsi="仿宋" w:eastAsia="仿宋" w:cs="仿宋"/>
          <w:color w:val="auto"/>
          <w:highlight w:val="none"/>
        </w:rPr>
        <w:t>十、</w:t>
      </w:r>
      <w:bookmarkEnd w:id="192"/>
      <w:bookmarkEnd w:id="193"/>
      <w:bookmarkEnd w:id="194"/>
      <w:bookmarkEnd w:id="195"/>
      <w:r>
        <w:rPr>
          <w:rFonts w:hint="eastAsia" w:ascii="仿宋" w:hAnsi="仿宋" w:eastAsia="仿宋" w:cs="仿宋"/>
          <w:color w:val="auto"/>
          <w:highlight w:val="none"/>
        </w:rPr>
        <w:t>项目验收</w:t>
      </w:r>
      <w:bookmarkEnd w:id="196"/>
      <w:bookmarkEnd w:id="197"/>
      <w:bookmarkEnd w:id="198"/>
      <w:bookmarkEnd w:id="199"/>
      <w:bookmarkEnd w:id="200"/>
      <w:bookmarkEnd w:id="201"/>
      <w:bookmarkEnd w:id="202"/>
      <w:bookmarkEnd w:id="203"/>
      <w:bookmarkEnd w:id="204"/>
      <w:bookmarkEnd w:id="205"/>
      <w:bookmarkEnd w:id="206"/>
      <w:bookmarkEnd w:id="207"/>
    </w:p>
    <w:p w14:paraId="693D587A">
      <w:pPr>
        <w:spacing w:line="480" w:lineRule="exact"/>
        <w:ind w:firstLine="560" w:firstLineChars="200"/>
        <w:rPr>
          <w:rFonts w:hint="eastAsia" w:ascii="仿宋" w:hAnsi="仿宋" w:eastAsia="仿宋" w:cs="仿宋"/>
          <w:b/>
          <w:color w:val="auto"/>
          <w:szCs w:val="28"/>
          <w:highlight w:val="none"/>
        </w:rPr>
      </w:pPr>
      <w:r>
        <w:rPr>
          <w:rFonts w:hint="eastAsia" w:ascii="仿宋" w:hAnsi="仿宋" w:eastAsia="仿宋" w:cs="仿宋"/>
          <w:color w:val="auto"/>
          <w:szCs w:val="28"/>
          <w:highlight w:val="none"/>
        </w:rPr>
        <w:t>合同执行完毕，采购人或采购代理机构原则上应在7个工作日内组织履约情况验收，不得无故拖延或附加额外条件。</w:t>
      </w:r>
      <w:bookmarkStart w:id="208" w:name="_Toc20328"/>
      <w:bookmarkStart w:id="209" w:name="_Toc3421"/>
      <w:bookmarkStart w:id="210" w:name="_Toc31383"/>
      <w:bookmarkStart w:id="211" w:name="_Toc75793535"/>
      <w:bookmarkStart w:id="212" w:name="_Toc2195"/>
      <w:bookmarkStart w:id="213" w:name="_Toc15435"/>
      <w:bookmarkStart w:id="214" w:name="_Toc13002"/>
      <w:bookmarkStart w:id="215" w:name="_Toc13050"/>
      <w:bookmarkStart w:id="216" w:name="_Toc13368"/>
      <w:bookmarkStart w:id="217" w:name="_Toc21850"/>
      <w:bookmarkStart w:id="218" w:name="_Toc19188"/>
      <w:bookmarkStart w:id="219" w:name="_Toc31578"/>
    </w:p>
    <w:bookmarkEnd w:id="208"/>
    <w:bookmarkEnd w:id="209"/>
    <w:bookmarkEnd w:id="210"/>
    <w:bookmarkEnd w:id="211"/>
    <w:bookmarkEnd w:id="212"/>
    <w:bookmarkEnd w:id="213"/>
    <w:bookmarkEnd w:id="214"/>
    <w:bookmarkEnd w:id="215"/>
    <w:bookmarkEnd w:id="216"/>
    <w:bookmarkEnd w:id="217"/>
    <w:bookmarkEnd w:id="218"/>
    <w:bookmarkEnd w:id="219"/>
    <w:p w14:paraId="53F7D9F6">
      <w:pPr>
        <w:spacing w:line="360" w:lineRule="auto"/>
        <w:rPr>
          <w:rStyle w:val="36"/>
          <w:rFonts w:hint="eastAsia" w:ascii="仿宋" w:hAnsi="仿宋" w:eastAsia="仿宋" w:cs="仿宋"/>
          <w:color w:val="auto"/>
          <w:highlight w:val="none"/>
        </w:rPr>
      </w:pPr>
    </w:p>
    <w:p w14:paraId="65DC8C4A">
      <w:pPr>
        <w:pStyle w:val="3"/>
        <w:rPr>
          <w:rFonts w:hint="eastAsia" w:ascii="仿宋" w:hAnsi="仿宋" w:eastAsia="仿宋" w:cs="仿宋"/>
          <w:color w:val="auto"/>
          <w:highlight w:val="none"/>
        </w:rPr>
      </w:pPr>
      <w:bookmarkStart w:id="220" w:name="_Toc6070"/>
      <w:bookmarkStart w:id="221" w:name="_Toc24661"/>
      <w:bookmarkStart w:id="222" w:name="_Toc7179"/>
      <w:r>
        <w:rPr>
          <w:rFonts w:hint="eastAsia" w:ascii="仿宋" w:hAnsi="仿宋" w:eastAsia="仿宋" w:cs="仿宋"/>
          <w:color w:val="auto"/>
          <w:highlight w:val="none"/>
        </w:rPr>
        <w:t xml:space="preserve">第六篇 </w:t>
      </w:r>
      <w:bookmarkEnd w:id="180"/>
      <w:bookmarkEnd w:id="220"/>
      <w:r>
        <w:rPr>
          <w:rFonts w:hint="eastAsia" w:ascii="仿宋" w:hAnsi="仿宋" w:eastAsia="仿宋" w:cs="仿宋"/>
          <w:color w:val="auto"/>
          <w:highlight w:val="none"/>
        </w:rPr>
        <w:t>响应文件格式</w:t>
      </w:r>
      <w:bookmarkEnd w:id="221"/>
      <w:bookmarkEnd w:id="222"/>
    </w:p>
    <w:p w14:paraId="01EDDCDF">
      <w:pPr>
        <w:spacing w:line="360" w:lineRule="auto"/>
        <w:ind w:firstLine="562" w:firstLineChars="200"/>
        <w:rPr>
          <w:rFonts w:hint="eastAsia" w:ascii="仿宋" w:hAnsi="仿宋" w:eastAsia="仿宋" w:cs="仿宋"/>
          <w:b/>
          <w:bCs/>
          <w:color w:val="auto"/>
          <w:highlight w:val="none"/>
        </w:rPr>
      </w:pPr>
      <w:bookmarkStart w:id="223" w:name="_Toc30939"/>
      <w:bookmarkStart w:id="224" w:name="_Toc15251"/>
      <w:bookmarkStart w:id="225" w:name="_Toc9790"/>
      <w:bookmarkStart w:id="226" w:name="_Toc22811"/>
      <w:r>
        <w:rPr>
          <w:rFonts w:hint="eastAsia" w:ascii="仿宋" w:hAnsi="仿宋" w:eastAsia="仿宋" w:cs="仿宋"/>
          <w:b/>
          <w:bCs/>
          <w:color w:val="auto"/>
          <w:highlight w:val="none"/>
        </w:rPr>
        <w:t>一、经济</w:t>
      </w:r>
      <w:bookmarkEnd w:id="223"/>
      <w:bookmarkEnd w:id="224"/>
      <w:bookmarkEnd w:id="225"/>
      <w:bookmarkEnd w:id="226"/>
      <w:r>
        <w:rPr>
          <w:rFonts w:hint="eastAsia" w:ascii="仿宋" w:hAnsi="仿宋" w:eastAsia="仿宋" w:cs="仿宋"/>
          <w:b/>
          <w:bCs/>
          <w:color w:val="auto"/>
          <w:highlight w:val="none"/>
        </w:rPr>
        <w:t>文件</w:t>
      </w:r>
    </w:p>
    <w:p w14:paraId="00752CCC">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（一）报价一览表</w:t>
      </w:r>
    </w:p>
    <w:p w14:paraId="5A1D65B3">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（二）报价明细表</w:t>
      </w:r>
    </w:p>
    <w:p w14:paraId="67B257AD">
      <w:pPr>
        <w:spacing w:line="360" w:lineRule="auto"/>
        <w:ind w:firstLine="562" w:firstLineChars="200"/>
        <w:rPr>
          <w:rFonts w:hint="eastAsia" w:ascii="仿宋" w:hAnsi="仿宋" w:eastAsia="仿宋" w:cs="仿宋"/>
          <w:b/>
          <w:bCs/>
          <w:color w:val="auto"/>
          <w:highlight w:val="none"/>
          <w:lang w:eastAsia="zh-CN"/>
        </w:rPr>
      </w:pPr>
      <w:bookmarkStart w:id="227" w:name="_Toc26419"/>
      <w:bookmarkStart w:id="228" w:name="_Toc26002"/>
      <w:bookmarkStart w:id="229" w:name="_Toc254"/>
      <w:bookmarkStart w:id="230" w:name="_Toc18890"/>
      <w:r>
        <w:rPr>
          <w:rFonts w:hint="eastAsia" w:ascii="仿宋" w:hAnsi="仿宋" w:eastAsia="仿宋" w:cs="仿宋"/>
          <w:b/>
          <w:bCs/>
          <w:color w:val="auto"/>
          <w:highlight w:val="none"/>
        </w:rPr>
        <w:t>二、</w:t>
      </w:r>
      <w:bookmarkEnd w:id="227"/>
      <w:bookmarkEnd w:id="228"/>
      <w:bookmarkEnd w:id="229"/>
      <w:bookmarkEnd w:id="230"/>
      <w:r>
        <w:rPr>
          <w:rFonts w:hint="eastAsia" w:ascii="仿宋" w:hAnsi="仿宋" w:eastAsia="仿宋" w:cs="仿宋"/>
          <w:b/>
          <w:bCs/>
          <w:color w:val="auto"/>
          <w:highlight w:val="none"/>
          <w:lang w:eastAsia="zh-CN"/>
        </w:rPr>
        <w:t>资格条件及其他</w:t>
      </w:r>
    </w:p>
    <w:p w14:paraId="1459F4D7">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（一）法人营业执照（副本）或个体工商户营业执照或社会团体法人登记证书复印件</w:t>
      </w:r>
    </w:p>
    <w:p w14:paraId="551815C6">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（二）法定代表人身份证明书（格式）</w:t>
      </w:r>
    </w:p>
    <w:p w14:paraId="2288CBB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（三）法定代表人授权委托书（格式）</w:t>
      </w:r>
    </w:p>
    <w:p w14:paraId="068208F5">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（四）基本资格条件承诺函（格式）</w:t>
      </w:r>
    </w:p>
    <w:p w14:paraId="700814F2">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（五）特定资格条件（如有）</w:t>
      </w:r>
    </w:p>
    <w:p w14:paraId="18D7FED5">
      <w:pPr>
        <w:spacing w:line="360" w:lineRule="auto"/>
        <w:ind w:firstLine="562" w:firstLineChars="200"/>
        <w:rPr>
          <w:rFonts w:hint="eastAsia" w:ascii="仿宋" w:hAnsi="仿宋" w:eastAsia="仿宋" w:cs="仿宋"/>
          <w:b/>
          <w:bCs/>
          <w:color w:val="auto"/>
          <w:highlight w:val="none"/>
          <w:lang w:eastAsia="zh-CN"/>
        </w:rPr>
      </w:pPr>
      <w:bookmarkStart w:id="231" w:name="_Toc16080"/>
      <w:bookmarkStart w:id="232" w:name="_Toc6114"/>
      <w:bookmarkStart w:id="233" w:name="_Toc7698"/>
      <w:bookmarkStart w:id="234" w:name="_Toc19972"/>
      <w:r>
        <w:rPr>
          <w:rFonts w:hint="eastAsia" w:ascii="仿宋" w:hAnsi="仿宋" w:eastAsia="仿宋" w:cs="仿宋"/>
          <w:b/>
          <w:bCs/>
          <w:color w:val="auto"/>
          <w:highlight w:val="none"/>
        </w:rPr>
        <w:t>三、</w:t>
      </w:r>
      <w:bookmarkEnd w:id="231"/>
      <w:bookmarkEnd w:id="232"/>
      <w:bookmarkEnd w:id="233"/>
      <w:bookmarkEnd w:id="234"/>
      <w:r>
        <w:rPr>
          <w:rFonts w:hint="eastAsia" w:ascii="仿宋" w:hAnsi="仿宋" w:eastAsia="仿宋" w:cs="仿宋"/>
          <w:b/>
          <w:bCs/>
          <w:color w:val="auto"/>
          <w:highlight w:val="none"/>
          <w:lang w:eastAsia="zh-CN"/>
        </w:rPr>
        <w:t>项目服务需求</w:t>
      </w:r>
    </w:p>
    <w:p w14:paraId="2C679CEC">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（一）服务条款</w:t>
      </w:r>
      <w:r>
        <w:rPr>
          <w:rFonts w:hint="eastAsia" w:ascii="仿宋" w:hAnsi="仿宋" w:eastAsia="仿宋" w:cs="仿宋"/>
          <w:color w:val="auto"/>
          <w:szCs w:val="28"/>
          <w:highlight w:val="none"/>
          <w:lang w:val="en-US" w:eastAsia="zh-CN"/>
        </w:rPr>
        <w:t>响应函</w:t>
      </w:r>
    </w:p>
    <w:p w14:paraId="0522DF14">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（二）技术服务方案</w:t>
      </w:r>
    </w:p>
    <w:p w14:paraId="732FB20C">
      <w:pPr>
        <w:spacing w:line="360" w:lineRule="auto"/>
        <w:ind w:firstLine="562" w:firstLineChars="200"/>
        <w:rPr>
          <w:rFonts w:hint="eastAsia" w:ascii="仿宋" w:hAnsi="仿宋" w:eastAsia="仿宋" w:cs="仿宋"/>
          <w:b/>
          <w:bCs/>
          <w:color w:val="auto"/>
          <w:highlight w:val="none"/>
        </w:rPr>
      </w:pPr>
      <w:bookmarkStart w:id="235" w:name="_Toc15817"/>
      <w:bookmarkStart w:id="236" w:name="_Toc29209"/>
      <w:bookmarkStart w:id="237" w:name="_Toc32049"/>
      <w:bookmarkStart w:id="238" w:name="_Toc8479"/>
      <w:r>
        <w:rPr>
          <w:rFonts w:hint="eastAsia" w:ascii="仿宋" w:hAnsi="仿宋" w:eastAsia="仿宋" w:cs="仿宋"/>
          <w:b/>
          <w:bCs/>
          <w:color w:val="auto"/>
          <w:highlight w:val="none"/>
        </w:rPr>
        <w:t>四、商务</w:t>
      </w:r>
      <w:bookmarkEnd w:id="235"/>
      <w:bookmarkEnd w:id="236"/>
      <w:bookmarkEnd w:id="237"/>
      <w:bookmarkEnd w:id="238"/>
      <w:r>
        <w:rPr>
          <w:rFonts w:hint="eastAsia" w:ascii="仿宋" w:hAnsi="仿宋" w:eastAsia="仿宋" w:cs="仿宋"/>
          <w:b/>
          <w:bCs/>
          <w:color w:val="auto"/>
          <w:highlight w:val="none"/>
        </w:rPr>
        <w:t>文件</w:t>
      </w:r>
    </w:p>
    <w:p w14:paraId="2245A138">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（一）响应函</w:t>
      </w:r>
    </w:p>
    <w:p w14:paraId="11DC7449">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（二）商务条款</w:t>
      </w:r>
      <w:r>
        <w:rPr>
          <w:rFonts w:hint="eastAsia" w:ascii="仿宋" w:hAnsi="仿宋" w:eastAsia="仿宋" w:cs="仿宋"/>
          <w:color w:val="auto"/>
          <w:szCs w:val="28"/>
          <w:highlight w:val="none"/>
          <w:lang w:val="en-US" w:eastAsia="zh-CN"/>
        </w:rPr>
        <w:t>响应函</w:t>
      </w:r>
    </w:p>
    <w:p w14:paraId="702A892B">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（三）商务评分部分相关证明材料</w:t>
      </w:r>
    </w:p>
    <w:p w14:paraId="2B0264BC">
      <w:pPr>
        <w:spacing w:line="360" w:lineRule="auto"/>
        <w:ind w:firstLine="562" w:firstLineChars="200"/>
        <w:rPr>
          <w:rFonts w:hint="eastAsia" w:ascii="仿宋" w:hAnsi="仿宋" w:eastAsia="仿宋" w:cs="仿宋"/>
          <w:b/>
          <w:bCs/>
          <w:color w:val="auto"/>
          <w:highlight w:val="none"/>
        </w:rPr>
      </w:pPr>
      <w:bookmarkStart w:id="239" w:name="_Toc19746"/>
      <w:bookmarkStart w:id="240" w:name="_Toc28431"/>
      <w:bookmarkStart w:id="241" w:name="_Toc8893"/>
      <w:bookmarkStart w:id="242" w:name="_Toc29564"/>
      <w:r>
        <w:rPr>
          <w:rFonts w:hint="eastAsia" w:ascii="仿宋" w:hAnsi="仿宋" w:eastAsia="仿宋" w:cs="仿宋"/>
          <w:b/>
          <w:bCs/>
          <w:color w:val="auto"/>
          <w:highlight w:val="none"/>
        </w:rPr>
        <w:t>五、</w:t>
      </w:r>
      <w:bookmarkEnd w:id="239"/>
      <w:bookmarkEnd w:id="240"/>
      <w:bookmarkEnd w:id="241"/>
      <w:r>
        <w:rPr>
          <w:rFonts w:hint="eastAsia" w:ascii="仿宋" w:hAnsi="仿宋" w:eastAsia="仿宋" w:cs="仿宋"/>
          <w:b/>
          <w:bCs/>
          <w:color w:val="auto"/>
          <w:highlight w:val="none"/>
        </w:rPr>
        <w:t>其他与项目有关的</w:t>
      </w:r>
      <w:bookmarkEnd w:id="242"/>
      <w:r>
        <w:rPr>
          <w:rFonts w:hint="eastAsia" w:ascii="仿宋" w:hAnsi="仿宋" w:eastAsia="仿宋" w:cs="仿宋"/>
          <w:b/>
          <w:bCs/>
          <w:color w:val="auto"/>
          <w:highlight w:val="none"/>
        </w:rPr>
        <w:t>资料</w:t>
      </w:r>
    </w:p>
    <w:p w14:paraId="1D6D8FA0">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（一）供应商总体情况介绍。</w:t>
      </w:r>
    </w:p>
    <w:p w14:paraId="562B336C">
      <w:pPr>
        <w:pStyle w:val="18"/>
        <w:spacing w:line="360" w:lineRule="auto"/>
        <w:ind w:firstLine="480" w:firstLineChars="200"/>
        <w:rPr>
          <w:rFonts w:hint="eastAsia" w:ascii="仿宋" w:hAnsi="仿宋" w:eastAsia="仿宋" w:cs="仿宋"/>
          <w:color w:val="auto"/>
          <w:highlight w:val="none"/>
        </w:rPr>
      </w:pPr>
    </w:p>
    <w:p w14:paraId="75A7678C">
      <w:pPr>
        <w:pStyle w:val="18"/>
        <w:spacing w:line="360" w:lineRule="auto"/>
        <w:rPr>
          <w:rFonts w:hint="eastAsia" w:ascii="仿宋" w:hAnsi="仿宋" w:eastAsia="仿宋" w:cs="仿宋"/>
          <w:b/>
          <w:bCs/>
          <w:color w:val="auto"/>
          <w:highlight w:val="none"/>
        </w:rPr>
      </w:pPr>
    </w:p>
    <w:p w14:paraId="26E227B2">
      <w:pPr>
        <w:spacing w:line="360" w:lineRule="auto"/>
        <w:rPr>
          <w:rFonts w:hint="eastAsia" w:ascii="仿宋" w:hAnsi="仿宋" w:eastAsia="仿宋" w:cs="仿宋"/>
          <w:b/>
          <w:bCs/>
          <w:color w:val="auto"/>
          <w:highlight w:val="none"/>
        </w:rPr>
      </w:pPr>
    </w:p>
    <w:p w14:paraId="2D200984">
      <w:pPr>
        <w:spacing w:line="360" w:lineRule="auto"/>
        <w:rPr>
          <w:rFonts w:hint="eastAsia" w:ascii="仿宋" w:hAnsi="仿宋" w:eastAsia="仿宋" w:cs="仿宋"/>
          <w:b/>
          <w:color w:val="auto"/>
          <w:szCs w:val="28"/>
          <w:highlight w:val="none"/>
        </w:rPr>
      </w:pPr>
      <w:bookmarkStart w:id="243" w:name="_Toc15893"/>
      <w:bookmarkStart w:id="244" w:name="_Toc27612"/>
      <w:bookmarkStart w:id="245" w:name="_Toc13547"/>
      <w:bookmarkStart w:id="246" w:name="_Toc21561"/>
      <w:bookmarkStart w:id="247" w:name="_Toc75793540"/>
      <w:bookmarkStart w:id="248" w:name="_Toc10124"/>
      <w:bookmarkStart w:id="249" w:name="_Toc23361"/>
      <w:bookmarkStart w:id="250" w:name="_Toc25659"/>
      <w:bookmarkStart w:id="251" w:name="_Toc429584884"/>
      <w:bookmarkStart w:id="252" w:name="_Toc31828"/>
      <w:bookmarkStart w:id="253" w:name="_Toc14568"/>
      <w:bookmarkStart w:id="254" w:name="_Toc14552"/>
      <w:bookmarkStart w:id="255" w:name="_Toc31914"/>
      <w:bookmarkStart w:id="256" w:name="_Toc27943"/>
      <w:bookmarkStart w:id="257" w:name="_Toc29821"/>
      <w:bookmarkStart w:id="258" w:name="_Toc106030417"/>
      <w:bookmarkStart w:id="259" w:name="_Toc17074"/>
      <w:r>
        <w:rPr>
          <w:rFonts w:hint="eastAsia" w:ascii="仿宋" w:hAnsi="仿宋" w:eastAsia="仿宋" w:cs="仿宋"/>
          <w:b/>
          <w:color w:val="auto"/>
          <w:szCs w:val="28"/>
          <w:highlight w:val="none"/>
        </w:rPr>
        <w:br w:type="page"/>
      </w:r>
    </w:p>
    <w:p w14:paraId="237BF99B">
      <w:pPr>
        <w:pStyle w:val="4"/>
        <w:spacing w:beforeLines="0" w:line="360" w:lineRule="auto"/>
        <w:ind w:firstLine="562"/>
        <w:rPr>
          <w:rFonts w:hint="eastAsia" w:ascii="仿宋" w:hAnsi="仿宋" w:eastAsia="仿宋" w:cs="仿宋"/>
          <w:color w:val="auto"/>
          <w:highlight w:val="none"/>
        </w:rPr>
      </w:pPr>
      <w:bookmarkStart w:id="260" w:name="_Toc23145"/>
      <w:bookmarkStart w:id="261" w:name="_Toc11398"/>
      <w:bookmarkStart w:id="262" w:name="_Toc27722"/>
      <w:bookmarkStart w:id="263" w:name="_Toc18180"/>
      <w:r>
        <w:rPr>
          <w:rFonts w:hint="eastAsia" w:ascii="仿宋" w:hAnsi="仿宋" w:eastAsia="仿宋" w:cs="仿宋"/>
          <w:color w:val="auto"/>
          <w:highlight w:val="none"/>
        </w:rPr>
        <w:t>一、经济文件</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0"/>
      <w:bookmarkEnd w:id="261"/>
      <w:bookmarkEnd w:id="262"/>
      <w:bookmarkEnd w:id="263"/>
    </w:p>
    <w:p w14:paraId="23AA63F0">
      <w:pPr>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（一）报价一览表</w:t>
      </w:r>
    </w:p>
    <w:p w14:paraId="463BDA3E">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项目名称：</w:t>
      </w:r>
    </w:p>
    <w:tbl>
      <w:tblPr>
        <w:tblStyle w:val="2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437"/>
        <w:gridCol w:w="3632"/>
      </w:tblGrid>
      <w:tr w14:paraId="458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12801708">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供应商名称</w:t>
            </w:r>
          </w:p>
        </w:tc>
        <w:tc>
          <w:tcPr>
            <w:tcW w:w="8069" w:type="dxa"/>
            <w:gridSpan w:val="2"/>
            <w:vAlign w:val="center"/>
          </w:tcPr>
          <w:p w14:paraId="6752D03E">
            <w:pPr>
              <w:spacing w:line="360" w:lineRule="auto"/>
              <w:jc w:val="center"/>
              <w:rPr>
                <w:rFonts w:hint="eastAsia" w:ascii="仿宋" w:hAnsi="仿宋" w:eastAsia="仿宋" w:cs="仿宋"/>
                <w:color w:val="auto"/>
                <w:szCs w:val="40"/>
                <w:highlight w:val="none"/>
              </w:rPr>
            </w:pPr>
          </w:p>
        </w:tc>
      </w:tr>
      <w:tr w14:paraId="5547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5" w:type="dxa"/>
            <w:gridSpan w:val="2"/>
            <w:vAlign w:val="center"/>
          </w:tcPr>
          <w:p w14:paraId="7505BAAF">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项目名称</w:t>
            </w:r>
          </w:p>
        </w:tc>
        <w:tc>
          <w:tcPr>
            <w:tcW w:w="3632" w:type="dxa"/>
            <w:vAlign w:val="center"/>
          </w:tcPr>
          <w:p w14:paraId="1CE97BC3">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竞采报价（小写）</w:t>
            </w:r>
          </w:p>
        </w:tc>
      </w:tr>
      <w:tr w14:paraId="411D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225" w:type="dxa"/>
            <w:gridSpan w:val="2"/>
            <w:vAlign w:val="center"/>
          </w:tcPr>
          <w:p w14:paraId="06D35469">
            <w:pPr>
              <w:spacing w:line="360" w:lineRule="auto"/>
              <w:rPr>
                <w:rFonts w:hint="eastAsia" w:ascii="仿宋" w:hAnsi="仿宋" w:eastAsia="仿宋" w:cs="仿宋"/>
                <w:color w:val="auto"/>
                <w:szCs w:val="40"/>
                <w:highlight w:val="none"/>
              </w:rPr>
            </w:pPr>
          </w:p>
        </w:tc>
        <w:tc>
          <w:tcPr>
            <w:tcW w:w="3632" w:type="dxa"/>
          </w:tcPr>
          <w:p w14:paraId="2E5518EA">
            <w:pPr>
              <w:spacing w:line="360" w:lineRule="auto"/>
              <w:rPr>
                <w:rFonts w:hint="eastAsia" w:ascii="仿宋" w:hAnsi="仿宋" w:eastAsia="仿宋" w:cs="仿宋"/>
                <w:color w:val="auto"/>
                <w:szCs w:val="40"/>
                <w:highlight w:val="none"/>
              </w:rPr>
            </w:pPr>
          </w:p>
        </w:tc>
      </w:tr>
      <w:tr w14:paraId="6A9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857" w:type="dxa"/>
            <w:gridSpan w:val="3"/>
            <w:vAlign w:val="center"/>
          </w:tcPr>
          <w:p w14:paraId="547046F1">
            <w:pPr>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 xml:space="preserve">竞采报价（大写）：                           </w:t>
            </w:r>
          </w:p>
        </w:tc>
      </w:tr>
      <w:tr w14:paraId="3C86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857" w:type="dxa"/>
            <w:gridSpan w:val="3"/>
            <w:vAlign w:val="center"/>
          </w:tcPr>
          <w:p w14:paraId="0DD38710">
            <w:pPr>
              <w:pStyle w:val="13"/>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备注：</w:t>
            </w:r>
          </w:p>
        </w:tc>
      </w:tr>
    </w:tbl>
    <w:p w14:paraId="08D64A49">
      <w:pPr>
        <w:pStyle w:val="13"/>
        <w:spacing w:line="360" w:lineRule="auto"/>
        <w:rPr>
          <w:rFonts w:hint="eastAsia" w:ascii="仿宋" w:hAnsi="仿宋" w:eastAsia="仿宋" w:cs="仿宋"/>
          <w:color w:val="auto"/>
          <w:szCs w:val="32"/>
          <w:highlight w:val="none"/>
        </w:rPr>
      </w:pPr>
    </w:p>
    <w:p w14:paraId="053582BC">
      <w:pPr>
        <w:spacing w:line="360" w:lineRule="auto"/>
        <w:rPr>
          <w:rFonts w:hint="eastAsia" w:ascii="仿宋" w:hAnsi="仿宋" w:eastAsia="仿宋" w:cs="仿宋"/>
          <w:color w:val="auto"/>
          <w:sz w:val="32"/>
          <w:szCs w:val="21"/>
          <w:highlight w:val="none"/>
        </w:rPr>
      </w:pPr>
    </w:p>
    <w:p w14:paraId="093CFA7A">
      <w:pPr>
        <w:spacing w:line="360" w:lineRule="auto"/>
        <w:rPr>
          <w:rFonts w:hint="eastAsia" w:ascii="仿宋" w:hAnsi="仿宋" w:eastAsia="仿宋" w:cs="仿宋"/>
          <w:color w:val="auto"/>
          <w:szCs w:val="32"/>
          <w:highlight w:val="none"/>
        </w:rPr>
      </w:pPr>
    </w:p>
    <w:p w14:paraId="74532A9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           法定代表人（或法定代表人授权代表）或自然人：</w:t>
      </w:r>
    </w:p>
    <w:p w14:paraId="682C4694">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（供应商公章）                        （签署或盖章）</w:t>
      </w:r>
    </w:p>
    <w:p w14:paraId="4D420416">
      <w:pPr>
        <w:spacing w:line="360" w:lineRule="auto"/>
        <w:rPr>
          <w:rFonts w:hint="eastAsia" w:ascii="仿宋" w:hAnsi="仿宋" w:eastAsia="仿宋" w:cs="仿宋"/>
          <w:color w:val="auto"/>
          <w:szCs w:val="32"/>
          <w:highlight w:val="none"/>
        </w:rPr>
      </w:pPr>
    </w:p>
    <w:p w14:paraId="359E6A88">
      <w:pPr>
        <w:spacing w:line="360" w:lineRule="auto"/>
        <w:rPr>
          <w:rFonts w:hint="eastAsia" w:ascii="仿宋" w:hAnsi="仿宋" w:eastAsia="仿宋" w:cs="仿宋"/>
          <w:color w:val="auto"/>
          <w:szCs w:val="32"/>
          <w:highlight w:val="none"/>
        </w:rPr>
      </w:pPr>
    </w:p>
    <w:p w14:paraId="39F3D2BE">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年   月    日</w:t>
      </w:r>
    </w:p>
    <w:p w14:paraId="557D79C9">
      <w:pPr>
        <w:snapToGrid w:val="0"/>
        <w:spacing w:line="360" w:lineRule="auto"/>
        <w:ind w:firstLine="480" w:firstLineChars="200"/>
        <w:rPr>
          <w:rFonts w:hint="eastAsia" w:ascii="仿宋" w:hAnsi="仿宋" w:eastAsia="仿宋" w:cs="仿宋"/>
          <w:color w:val="auto"/>
          <w:sz w:val="24"/>
          <w:szCs w:val="28"/>
          <w:highlight w:val="none"/>
        </w:rPr>
      </w:pPr>
    </w:p>
    <w:p w14:paraId="2BCAC257">
      <w:pPr>
        <w:snapToGrid w:val="0"/>
        <w:spacing w:line="360" w:lineRule="auto"/>
        <w:ind w:firstLine="480" w:firstLineChars="200"/>
        <w:rPr>
          <w:rFonts w:hint="eastAsia" w:ascii="仿宋" w:hAnsi="仿宋" w:eastAsia="仿宋" w:cs="仿宋"/>
          <w:color w:val="auto"/>
          <w:sz w:val="24"/>
          <w:szCs w:val="28"/>
          <w:highlight w:val="none"/>
        </w:rPr>
      </w:pPr>
    </w:p>
    <w:p w14:paraId="5AA48CC0">
      <w:pPr>
        <w:snapToGrid w:val="0"/>
        <w:spacing w:line="360" w:lineRule="auto"/>
        <w:ind w:firstLine="480" w:firstLineChars="200"/>
        <w:rPr>
          <w:rFonts w:hint="eastAsia" w:ascii="仿宋" w:hAnsi="仿宋" w:eastAsia="仿宋" w:cs="仿宋"/>
          <w:color w:val="auto"/>
          <w:sz w:val="24"/>
          <w:szCs w:val="28"/>
          <w:highlight w:val="none"/>
        </w:rPr>
      </w:pPr>
    </w:p>
    <w:p w14:paraId="7ECC7E35">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注：</w:t>
      </w:r>
    </w:p>
    <w:p w14:paraId="78010393">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1.报价一览表按格式填列；</w:t>
      </w:r>
    </w:p>
    <w:p w14:paraId="6524F904">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2.报价一览表务必填写清楚，准确无误。</w:t>
      </w:r>
    </w:p>
    <w:p w14:paraId="6A1FC16B">
      <w:pPr>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1289621">
      <w:pPr>
        <w:spacing w:line="360" w:lineRule="auto"/>
        <w:rPr>
          <w:rFonts w:hint="eastAsia" w:ascii="仿宋" w:hAnsi="仿宋" w:eastAsia="仿宋" w:cs="仿宋"/>
          <w:b/>
          <w:bCs/>
          <w:color w:val="auto"/>
          <w:highlight w:val="none"/>
        </w:rPr>
      </w:pPr>
      <w:bookmarkStart w:id="264" w:name="_Toc17887"/>
      <w:bookmarkStart w:id="265" w:name="_Toc23238"/>
      <w:r>
        <w:rPr>
          <w:rFonts w:hint="eastAsia" w:ascii="仿宋" w:hAnsi="仿宋" w:eastAsia="仿宋" w:cs="仿宋"/>
          <w:b/>
          <w:bCs/>
          <w:color w:val="auto"/>
          <w:highlight w:val="none"/>
        </w:rPr>
        <w:t>（二）明细报价表</w:t>
      </w:r>
      <w:bookmarkEnd w:id="264"/>
      <w:bookmarkEnd w:id="265"/>
    </w:p>
    <w:p w14:paraId="1E22F33B">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1CCA3DA7">
      <w:pPr>
        <w:snapToGrid w:val="0"/>
        <w:spacing w:line="360" w:lineRule="auto"/>
        <w:rPr>
          <w:rFonts w:hint="eastAsia" w:ascii="仿宋" w:hAnsi="仿宋" w:eastAsia="仿宋" w:cs="仿宋"/>
          <w:color w:val="auto"/>
          <w:szCs w:val="28"/>
          <w:highlight w:val="none"/>
        </w:rPr>
      </w:pPr>
    </w:p>
    <w:p w14:paraId="385D9BD3">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7EC9C752">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w:t>
      </w:r>
      <w:r>
        <w:rPr>
          <w:rFonts w:hint="eastAsia" w:ascii="仿宋" w:hAnsi="仿宋" w:eastAsia="仿宋" w:cs="仿宋"/>
          <w:color w:val="auto"/>
          <w:szCs w:val="28"/>
          <w:highlight w:val="none"/>
          <w:lang w:val="en-US" w:eastAsia="zh-CN"/>
        </w:rPr>
        <w:t>根据项目工程量清单，结合实际情况按照招标文件规定自行填报</w:t>
      </w:r>
      <w:r>
        <w:rPr>
          <w:rFonts w:hint="eastAsia" w:ascii="仿宋" w:hAnsi="仿宋" w:eastAsia="仿宋" w:cs="仿宋"/>
          <w:color w:val="auto"/>
          <w:szCs w:val="28"/>
          <w:highlight w:val="none"/>
        </w:rPr>
        <w:t>。</w:t>
      </w:r>
    </w:p>
    <w:p w14:paraId="4846CFE6">
      <w:pPr>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8"/>
          <w:highlight w:val="none"/>
        </w:rPr>
        <w:t>供应商名称（公章）或自然人签署：</w:t>
      </w:r>
    </w:p>
    <w:p w14:paraId="776544B0">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30599E56">
      <w:pPr>
        <w:spacing w:line="360" w:lineRule="auto"/>
        <w:ind w:firstLine="420"/>
        <w:rPr>
          <w:rFonts w:hint="eastAsia" w:ascii="仿宋" w:hAnsi="仿宋" w:eastAsia="仿宋" w:cs="仿宋"/>
          <w:b/>
          <w:color w:val="auto"/>
          <w:szCs w:val="28"/>
          <w:highlight w:val="none"/>
        </w:rPr>
      </w:pPr>
    </w:p>
    <w:p w14:paraId="3F2028E7">
      <w:pPr>
        <w:spacing w:line="360" w:lineRule="auto"/>
        <w:rPr>
          <w:rFonts w:hint="eastAsia" w:ascii="仿宋" w:hAnsi="仿宋" w:eastAsia="仿宋" w:cs="仿宋"/>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4F5DE0A7">
      <w:pPr>
        <w:pStyle w:val="4"/>
        <w:spacing w:beforeLines="0" w:line="360" w:lineRule="auto"/>
        <w:ind w:firstLine="562"/>
        <w:rPr>
          <w:rFonts w:hint="eastAsia" w:ascii="仿宋" w:hAnsi="仿宋" w:eastAsia="仿宋" w:cs="仿宋"/>
          <w:color w:val="auto"/>
          <w:highlight w:val="none"/>
        </w:rPr>
      </w:pPr>
      <w:bookmarkStart w:id="266" w:name="_Toc18485"/>
      <w:bookmarkStart w:id="267" w:name="_Toc24200"/>
      <w:bookmarkStart w:id="268" w:name="_Toc6124"/>
      <w:bookmarkStart w:id="269" w:name="_Toc23499"/>
      <w:bookmarkStart w:id="270" w:name="_Toc18310"/>
      <w:bookmarkStart w:id="271" w:name="_Toc553"/>
      <w:bookmarkStart w:id="272" w:name="_Toc14140"/>
      <w:bookmarkStart w:id="273" w:name="_Toc4271"/>
      <w:r>
        <w:rPr>
          <w:rFonts w:hint="eastAsia" w:ascii="仿宋" w:hAnsi="仿宋" w:eastAsia="仿宋" w:cs="仿宋"/>
          <w:color w:val="auto"/>
          <w:highlight w:val="none"/>
        </w:rPr>
        <w:t>二、资格条件及其他</w:t>
      </w:r>
      <w:bookmarkEnd w:id="266"/>
      <w:bookmarkEnd w:id="267"/>
      <w:bookmarkEnd w:id="268"/>
      <w:bookmarkEnd w:id="269"/>
      <w:bookmarkEnd w:id="270"/>
      <w:bookmarkEnd w:id="271"/>
      <w:bookmarkEnd w:id="272"/>
      <w:bookmarkEnd w:id="273"/>
    </w:p>
    <w:p w14:paraId="064BE9CF">
      <w:pPr>
        <w:tabs>
          <w:tab w:val="left" w:pos="6300"/>
        </w:tabs>
        <w:snapToGrid w:val="0"/>
        <w:spacing w:line="360" w:lineRule="auto"/>
        <w:ind w:firstLine="57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（一）法人营业执照（副本）或个体工商户营业执照</w:t>
      </w:r>
    </w:p>
    <w:p w14:paraId="7504F6B3">
      <w:pPr>
        <w:spacing w:line="360" w:lineRule="auto"/>
        <w:jc w:val="center"/>
        <w:rPr>
          <w:rFonts w:hint="eastAsia" w:ascii="仿宋" w:hAnsi="仿宋" w:eastAsia="仿宋" w:cs="仿宋"/>
          <w:color w:val="auto"/>
          <w:highlight w:val="none"/>
          <w:u w:val="single"/>
        </w:rPr>
      </w:pPr>
    </w:p>
    <w:p w14:paraId="2A22FF34">
      <w:pPr>
        <w:spacing w:line="360" w:lineRule="auto"/>
        <w:rPr>
          <w:rFonts w:hint="eastAsia" w:ascii="仿宋" w:hAnsi="仿宋" w:eastAsia="仿宋" w:cs="仿宋"/>
          <w:color w:val="auto"/>
          <w:highlight w:val="none"/>
        </w:rPr>
      </w:pPr>
    </w:p>
    <w:p w14:paraId="7C5185D0">
      <w:pPr>
        <w:spacing w:line="360" w:lineRule="auto"/>
        <w:rPr>
          <w:rFonts w:hint="eastAsia" w:ascii="仿宋" w:hAnsi="仿宋" w:eastAsia="仿宋" w:cs="仿宋"/>
          <w:color w:val="auto"/>
          <w:highlight w:val="none"/>
        </w:rPr>
      </w:pPr>
    </w:p>
    <w:p w14:paraId="1034799A">
      <w:pPr>
        <w:spacing w:line="360" w:lineRule="auto"/>
        <w:rPr>
          <w:rFonts w:hint="eastAsia" w:ascii="仿宋" w:hAnsi="仿宋" w:eastAsia="仿宋" w:cs="仿宋"/>
          <w:color w:val="auto"/>
          <w:highlight w:val="none"/>
        </w:rPr>
      </w:pPr>
    </w:p>
    <w:p w14:paraId="04211E44">
      <w:pPr>
        <w:spacing w:line="360" w:lineRule="auto"/>
        <w:rPr>
          <w:rFonts w:hint="eastAsia" w:ascii="仿宋" w:hAnsi="仿宋" w:eastAsia="仿宋" w:cs="仿宋"/>
          <w:color w:val="auto"/>
          <w:highlight w:val="none"/>
        </w:rPr>
      </w:pPr>
    </w:p>
    <w:p w14:paraId="3F6CA370">
      <w:pPr>
        <w:spacing w:line="360" w:lineRule="auto"/>
        <w:rPr>
          <w:rFonts w:hint="eastAsia" w:ascii="仿宋" w:hAnsi="仿宋" w:eastAsia="仿宋" w:cs="仿宋"/>
          <w:color w:val="auto"/>
          <w:highlight w:val="none"/>
        </w:rPr>
      </w:pPr>
    </w:p>
    <w:p w14:paraId="3848BC42">
      <w:pPr>
        <w:spacing w:line="360" w:lineRule="auto"/>
        <w:rPr>
          <w:rFonts w:hint="eastAsia" w:ascii="仿宋" w:hAnsi="仿宋" w:eastAsia="仿宋" w:cs="仿宋"/>
          <w:color w:val="auto"/>
          <w:highlight w:val="none"/>
        </w:rPr>
      </w:pPr>
    </w:p>
    <w:p w14:paraId="1B1BAB61">
      <w:pPr>
        <w:spacing w:line="360" w:lineRule="auto"/>
        <w:rPr>
          <w:rFonts w:hint="eastAsia" w:ascii="仿宋" w:hAnsi="仿宋" w:eastAsia="仿宋" w:cs="仿宋"/>
          <w:color w:val="auto"/>
          <w:highlight w:val="none"/>
        </w:rPr>
      </w:pPr>
    </w:p>
    <w:p w14:paraId="306490AB">
      <w:pPr>
        <w:spacing w:line="360" w:lineRule="auto"/>
        <w:rPr>
          <w:rFonts w:hint="eastAsia" w:ascii="仿宋" w:hAnsi="仿宋" w:eastAsia="仿宋" w:cs="仿宋"/>
          <w:color w:val="auto"/>
          <w:highlight w:val="none"/>
        </w:rPr>
      </w:pPr>
    </w:p>
    <w:p w14:paraId="11E26BD4">
      <w:pPr>
        <w:spacing w:line="360" w:lineRule="auto"/>
        <w:rPr>
          <w:rFonts w:hint="eastAsia" w:ascii="仿宋" w:hAnsi="仿宋" w:eastAsia="仿宋" w:cs="仿宋"/>
          <w:color w:val="auto"/>
          <w:highlight w:val="none"/>
        </w:rPr>
      </w:pPr>
    </w:p>
    <w:p w14:paraId="16B5F8A5">
      <w:pPr>
        <w:spacing w:line="360" w:lineRule="auto"/>
        <w:rPr>
          <w:rFonts w:hint="eastAsia" w:ascii="仿宋" w:hAnsi="仿宋" w:eastAsia="仿宋" w:cs="仿宋"/>
          <w:color w:val="auto"/>
          <w:highlight w:val="none"/>
        </w:rPr>
      </w:pPr>
    </w:p>
    <w:p w14:paraId="7BE87514">
      <w:pPr>
        <w:spacing w:line="360" w:lineRule="auto"/>
        <w:rPr>
          <w:rFonts w:hint="eastAsia" w:ascii="仿宋" w:hAnsi="仿宋" w:eastAsia="仿宋" w:cs="仿宋"/>
          <w:color w:val="auto"/>
          <w:highlight w:val="none"/>
        </w:rPr>
      </w:pPr>
    </w:p>
    <w:p w14:paraId="28229ABB">
      <w:pPr>
        <w:spacing w:line="360" w:lineRule="auto"/>
        <w:rPr>
          <w:rFonts w:hint="eastAsia" w:ascii="仿宋" w:hAnsi="仿宋" w:eastAsia="仿宋" w:cs="仿宋"/>
          <w:color w:val="auto"/>
          <w:highlight w:val="none"/>
        </w:rPr>
      </w:pPr>
    </w:p>
    <w:p w14:paraId="38992AD1">
      <w:pPr>
        <w:spacing w:line="360" w:lineRule="auto"/>
        <w:rPr>
          <w:rFonts w:hint="eastAsia" w:ascii="仿宋" w:hAnsi="仿宋" w:eastAsia="仿宋" w:cs="仿宋"/>
          <w:color w:val="auto"/>
          <w:highlight w:val="none"/>
        </w:rPr>
      </w:pPr>
    </w:p>
    <w:p w14:paraId="60A41CD3">
      <w:pPr>
        <w:spacing w:line="360" w:lineRule="auto"/>
        <w:rPr>
          <w:rFonts w:hint="eastAsia" w:ascii="仿宋" w:hAnsi="仿宋" w:eastAsia="仿宋" w:cs="仿宋"/>
          <w:color w:val="auto"/>
          <w:highlight w:val="none"/>
        </w:rPr>
      </w:pPr>
    </w:p>
    <w:p w14:paraId="59B4A2E6">
      <w:pPr>
        <w:spacing w:line="360" w:lineRule="auto"/>
        <w:rPr>
          <w:rFonts w:hint="eastAsia" w:ascii="仿宋" w:hAnsi="仿宋" w:eastAsia="仿宋" w:cs="仿宋"/>
          <w:color w:val="auto"/>
          <w:highlight w:val="none"/>
        </w:rPr>
      </w:pPr>
    </w:p>
    <w:p w14:paraId="037BEE39">
      <w:pPr>
        <w:spacing w:line="360" w:lineRule="auto"/>
        <w:rPr>
          <w:rFonts w:hint="eastAsia" w:ascii="仿宋" w:hAnsi="仿宋" w:eastAsia="仿宋" w:cs="仿宋"/>
          <w:color w:val="auto"/>
          <w:highlight w:val="none"/>
        </w:rPr>
      </w:pPr>
    </w:p>
    <w:p w14:paraId="3848F19E">
      <w:pPr>
        <w:spacing w:line="360" w:lineRule="auto"/>
        <w:ind w:firstLine="560" w:firstLineChars="200"/>
        <w:jc w:val="left"/>
        <w:rPr>
          <w:rFonts w:hint="eastAsia" w:ascii="仿宋" w:hAnsi="仿宋" w:eastAsia="仿宋" w:cs="仿宋"/>
          <w:b/>
          <w:color w:val="auto"/>
          <w:sz w:val="2"/>
          <w:szCs w:val="2"/>
          <w:highlight w:val="none"/>
        </w:rPr>
      </w:pPr>
      <w:r>
        <w:rPr>
          <w:rFonts w:hint="eastAsia" w:ascii="仿宋" w:hAnsi="仿宋" w:eastAsia="仿宋" w:cs="仿宋"/>
          <w:color w:val="auto"/>
          <w:highlight w:val="none"/>
        </w:rPr>
        <w:br w:type="page"/>
      </w:r>
      <w:bookmarkStart w:id="274" w:name="_Toc13155"/>
      <w:bookmarkStart w:id="275" w:name="_Toc16414"/>
      <w:bookmarkStart w:id="276" w:name="_Toc22071"/>
      <w:bookmarkStart w:id="277" w:name="_Toc15489"/>
      <w:r>
        <w:rPr>
          <w:rFonts w:hint="eastAsia" w:ascii="仿宋" w:hAnsi="仿宋" w:eastAsia="仿宋" w:cs="仿宋"/>
          <w:b/>
          <w:bCs/>
          <w:color w:val="auto"/>
          <w:highlight w:val="none"/>
        </w:rPr>
        <w:t>（二）法定代表人身份证明书</w:t>
      </w:r>
      <w:bookmarkEnd w:id="274"/>
      <w:r>
        <w:rPr>
          <w:rFonts w:hint="eastAsia" w:ascii="仿宋" w:hAnsi="仿宋" w:eastAsia="仿宋" w:cs="仿宋"/>
          <w:b/>
          <w:bCs/>
          <w:color w:val="auto"/>
          <w:highlight w:val="none"/>
        </w:rPr>
        <w:t>（格式）</w:t>
      </w:r>
      <w:bookmarkEnd w:id="275"/>
      <w:bookmarkEnd w:id="276"/>
      <w:bookmarkEnd w:id="277"/>
    </w:p>
    <w:p w14:paraId="2273198B">
      <w:pPr>
        <w:tabs>
          <w:tab w:val="left" w:pos="6300"/>
        </w:tabs>
        <w:snapToGrid w:val="0"/>
        <w:spacing w:line="360" w:lineRule="auto"/>
        <w:ind w:firstLine="480"/>
        <w:rPr>
          <w:rFonts w:hint="eastAsia" w:ascii="仿宋" w:hAnsi="仿宋" w:eastAsia="仿宋" w:cs="仿宋"/>
          <w:color w:val="auto"/>
          <w:highlight w:val="none"/>
        </w:rPr>
      </w:pPr>
    </w:p>
    <w:p w14:paraId="60142D9E">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38A3563E">
      <w:pPr>
        <w:tabs>
          <w:tab w:val="left" w:pos="6300"/>
        </w:tabs>
        <w:snapToGrid w:val="0"/>
        <w:spacing w:line="360" w:lineRule="auto"/>
        <w:ind w:firstLine="570"/>
        <w:rPr>
          <w:rFonts w:hint="eastAsia" w:ascii="仿宋" w:hAnsi="仿宋" w:eastAsia="仿宋" w:cs="仿宋"/>
          <w:color w:val="auto"/>
          <w:szCs w:val="28"/>
          <w:highlight w:val="none"/>
        </w:rPr>
      </w:pPr>
    </w:p>
    <w:p w14:paraId="3398F79D">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71A78D34">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（法定代表人姓名）在</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（职务名称）职务，是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w:t>
      </w:r>
    </w:p>
    <w:p w14:paraId="75524709">
      <w:pPr>
        <w:tabs>
          <w:tab w:val="left" w:pos="6300"/>
        </w:tabs>
        <w:snapToGrid w:val="0"/>
        <w:spacing w:line="360" w:lineRule="auto"/>
        <w:ind w:firstLine="570"/>
        <w:rPr>
          <w:rFonts w:hint="eastAsia" w:ascii="仿宋" w:hAnsi="仿宋" w:eastAsia="仿宋" w:cs="仿宋"/>
          <w:color w:val="auto"/>
          <w:szCs w:val="28"/>
          <w:highlight w:val="none"/>
        </w:rPr>
      </w:pPr>
    </w:p>
    <w:p w14:paraId="7230F4AF">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2413782E">
      <w:pPr>
        <w:tabs>
          <w:tab w:val="left" w:pos="6300"/>
        </w:tabs>
        <w:snapToGrid w:val="0"/>
        <w:spacing w:line="360" w:lineRule="auto"/>
        <w:ind w:firstLine="570"/>
        <w:rPr>
          <w:rFonts w:hint="eastAsia" w:ascii="仿宋" w:hAnsi="仿宋" w:eastAsia="仿宋" w:cs="仿宋"/>
          <w:color w:val="auto"/>
          <w:szCs w:val="28"/>
          <w:highlight w:val="none"/>
        </w:rPr>
      </w:pPr>
    </w:p>
    <w:p w14:paraId="6C3E484F">
      <w:pPr>
        <w:tabs>
          <w:tab w:val="left" w:pos="6300"/>
        </w:tabs>
        <w:snapToGrid w:val="0"/>
        <w:spacing w:line="360" w:lineRule="auto"/>
        <w:ind w:firstLine="570"/>
        <w:rPr>
          <w:rFonts w:hint="eastAsia" w:ascii="仿宋" w:hAnsi="仿宋" w:eastAsia="仿宋" w:cs="仿宋"/>
          <w:color w:val="auto"/>
          <w:szCs w:val="28"/>
          <w:highlight w:val="none"/>
        </w:rPr>
      </w:pPr>
    </w:p>
    <w:p w14:paraId="7C524FA9">
      <w:pPr>
        <w:tabs>
          <w:tab w:val="left" w:pos="6300"/>
        </w:tabs>
        <w:snapToGrid w:val="0"/>
        <w:spacing w:line="360" w:lineRule="auto"/>
        <w:ind w:firstLine="570"/>
        <w:rPr>
          <w:rFonts w:hint="eastAsia" w:ascii="仿宋" w:hAnsi="仿宋" w:eastAsia="仿宋" w:cs="仿宋"/>
          <w:color w:val="auto"/>
          <w:szCs w:val="28"/>
          <w:highlight w:val="none"/>
        </w:rPr>
      </w:pPr>
    </w:p>
    <w:p w14:paraId="3057CB9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（供应商公章）</w:t>
      </w:r>
    </w:p>
    <w:p w14:paraId="060BDDFD">
      <w:pPr>
        <w:tabs>
          <w:tab w:val="left" w:pos="6300"/>
        </w:tabs>
        <w:snapToGrid w:val="0"/>
        <w:spacing w:line="360" w:lineRule="auto"/>
        <w:ind w:firstLine="570"/>
        <w:rPr>
          <w:rFonts w:hint="eastAsia" w:ascii="仿宋" w:hAnsi="仿宋" w:eastAsia="仿宋" w:cs="仿宋"/>
          <w:color w:val="auto"/>
          <w:szCs w:val="28"/>
          <w:highlight w:val="none"/>
        </w:rPr>
      </w:pPr>
    </w:p>
    <w:p w14:paraId="640C8A1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14:paraId="5ACBBE49">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法定代表人电话：XXXXXXX      电子邮箱：XXXXXX@XXXXX（若授权他人办理并签署响应文件的可不填写）</w:t>
      </w:r>
    </w:p>
    <w:p w14:paraId="090C8D0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（附：法定代表人身份证正反面复印件）</w:t>
      </w:r>
    </w:p>
    <w:p w14:paraId="6A2706B3">
      <w:pPr>
        <w:spacing w:line="360" w:lineRule="auto"/>
        <w:rPr>
          <w:rFonts w:hint="eastAsia" w:ascii="仿宋" w:hAnsi="仿宋" w:eastAsia="仿宋" w:cs="仿宋"/>
          <w:b/>
          <w:bCs/>
          <w:color w:val="auto"/>
          <w:highlight w:val="none"/>
        </w:rPr>
      </w:pPr>
    </w:p>
    <w:p w14:paraId="6526F2C0">
      <w:pPr>
        <w:spacing w:line="360" w:lineRule="auto"/>
        <w:rPr>
          <w:rFonts w:hint="eastAsia" w:ascii="仿宋" w:hAnsi="仿宋" w:eastAsia="仿宋" w:cs="仿宋"/>
          <w:color w:val="auto"/>
          <w:highlight w:val="none"/>
        </w:rPr>
      </w:pPr>
    </w:p>
    <w:p w14:paraId="30B56F6A">
      <w:pPr>
        <w:spacing w:line="360" w:lineRule="auto"/>
        <w:rPr>
          <w:rFonts w:hint="eastAsia" w:ascii="仿宋" w:hAnsi="仿宋" w:eastAsia="仿宋" w:cs="仿宋"/>
          <w:b/>
          <w:color w:val="auto"/>
          <w:highlight w:val="none"/>
        </w:rPr>
      </w:pPr>
    </w:p>
    <w:p w14:paraId="1BFDED41">
      <w:pPr>
        <w:spacing w:line="360" w:lineRule="auto"/>
        <w:rPr>
          <w:rFonts w:hint="eastAsia" w:ascii="仿宋" w:hAnsi="仿宋" w:eastAsia="仿宋" w:cs="仿宋"/>
          <w:b/>
          <w:color w:val="auto"/>
          <w:highlight w:val="none"/>
        </w:rPr>
      </w:pPr>
    </w:p>
    <w:p w14:paraId="3623A259">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390318C">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69AD4337">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D02D90E">
      <w:pPr>
        <w:spacing w:line="360" w:lineRule="auto"/>
        <w:rPr>
          <w:rFonts w:hint="eastAsia" w:ascii="仿宋" w:hAnsi="仿宋" w:eastAsia="仿宋" w:cs="仿宋"/>
          <w:b/>
          <w:bCs/>
          <w:color w:val="auto"/>
          <w:highlight w:val="none"/>
        </w:rPr>
      </w:pPr>
      <w:bookmarkStart w:id="278" w:name="_Toc5047"/>
      <w:bookmarkStart w:id="279" w:name="_Toc13955"/>
      <w:bookmarkStart w:id="280" w:name="_Toc13316"/>
      <w:bookmarkStart w:id="281" w:name="_Toc22622"/>
      <w:r>
        <w:rPr>
          <w:rFonts w:hint="eastAsia" w:ascii="仿宋" w:hAnsi="仿宋" w:eastAsia="仿宋" w:cs="仿宋"/>
          <w:b/>
          <w:bCs/>
          <w:color w:val="auto"/>
          <w:highlight w:val="none"/>
        </w:rPr>
        <w:t>（三）法定代表人授权委托书</w:t>
      </w:r>
      <w:bookmarkEnd w:id="278"/>
      <w:r>
        <w:rPr>
          <w:rFonts w:hint="eastAsia" w:ascii="仿宋" w:hAnsi="仿宋" w:eastAsia="仿宋" w:cs="仿宋"/>
          <w:b/>
          <w:bCs/>
          <w:color w:val="auto"/>
          <w:highlight w:val="none"/>
        </w:rPr>
        <w:t>（格式）</w:t>
      </w:r>
      <w:bookmarkEnd w:id="279"/>
      <w:bookmarkEnd w:id="280"/>
      <w:bookmarkEnd w:id="281"/>
    </w:p>
    <w:p w14:paraId="09576780">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23A2C809">
      <w:pPr>
        <w:tabs>
          <w:tab w:val="left" w:pos="6300"/>
        </w:tabs>
        <w:snapToGrid w:val="0"/>
        <w:spacing w:line="360" w:lineRule="auto"/>
        <w:ind w:firstLine="570"/>
        <w:rPr>
          <w:rFonts w:hint="eastAsia" w:ascii="仿宋" w:hAnsi="仿宋" w:eastAsia="仿宋" w:cs="仿宋"/>
          <w:color w:val="auto"/>
          <w:szCs w:val="28"/>
          <w:highlight w:val="none"/>
        </w:rPr>
      </w:pPr>
    </w:p>
    <w:p w14:paraId="7F6BD7E2">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14:paraId="1E36BF7F">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（供应商法定代表人名称）是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（供应商名称）的法定代表人，特授权</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（被授权人姓名及身份证代码）代表我单位全权办理上述项目的竞采、签约等具体工作，并签署全部有关文件、协议及合同。</w:t>
      </w:r>
    </w:p>
    <w:p w14:paraId="52E3904A">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我单位对被授权人的签署负全部责任。</w:t>
      </w:r>
    </w:p>
    <w:p w14:paraId="48349E32">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在撤销授权的书面通知以前，本授权书一直有效。被授权人在授权书有效期内签署的所有文件不因授权的撤销而失效。</w:t>
      </w:r>
    </w:p>
    <w:p w14:paraId="2384264B">
      <w:pPr>
        <w:tabs>
          <w:tab w:val="left" w:pos="6300"/>
        </w:tabs>
        <w:snapToGrid w:val="0"/>
        <w:spacing w:line="360" w:lineRule="auto"/>
        <w:ind w:firstLine="570"/>
        <w:rPr>
          <w:rFonts w:hint="eastAsia" w:ascii="仿宋" w:hAnsi="仿宋" w:eastAsia="仿宋" w:cs="仿宋"/>
          <w:color w:val="auto"/>
          <w:szCs w:val="28"/>
          <w:highlight w:val="none"/>
        </w:rPr>
      </w:pPr>
    </w:p>
    <w:p w14:paraId="5C901E2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                                 供应商法定代表人：</w:t>
      </w:r>
    </w:p>
    <w:p w14:paraId="1E6F80B7">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（签署或盖章）                                （签署或盖章）</w:t>
      </w:r>
    </w:p>
    <w:p w14:paraId="173C58A6">
      <w:pPr>
        <w:tabs>
          <w:tab w:val="left" w:pos="6300"/>
        </w:tabs>
        <w:snapToGrid w:val="0"/>
        <w:spacing w:line="360" w:lineRule="auto"/>
        <w:rPr>
          <w:rFonts w:hint="eastAsia" w:ascii="仿宋" w:hAnsi="仿宋" w:eastAsia="仿宋" w:cs="仿宋"/>
          <w:color w:val="auto"/>
          <w:szCs w:val="28"/>
          <w:highlight w:val="none"/>
        </w:rPr>
      </w:pPr>
    </w:p>
    <w:p w14:paraId="12CD61C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2246BFF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29B60126">
      <w:pPr>
        <w:tabs>
          <w:tab w:val="left" w:pos="6300"/>
        </w:tabs>
        <w:snapToGrid w:val="0"/>
        <w:spacing w:line="360" w:lineRule="auto"/>
        <w:ind w:firstLine="570"/>
        <w:rPr>
          <w:rFonts w:hint="eastAsia" w:ascii="仿宋" w:hAnsi="仿宋" w:eastAsia="仿宋" w:cs="仿宋"/>
          <w:color w:val="auto"/>
          <w:szCs w:val="28"/>
          <w:highlight w:val="none"/>
        </w:rPr>
      </w:pPr>
    </w:p>
    <w:p w14:paraId="77A2E30C">
      <w:pPr>
        <w:tabs>
          <w:tab w:val="left" w:pos="6300"/>
        </w:tabs>
        <w:snapToGrid w:val="0"/>
        <w:spacing w:line="360" w:lineRule="auto"/>
        <w:ind w:firstLine="570"/>
        <w:rPr>
          <w:rFonts w:hint="eastAsia" w:ascii="仿宋" w:hAnsi="仿宋" w:eastAsia="仿宋" w:cs="仿宋"/>
          <w:color w:val="auto"/>
          <w:szCs w:val="28"/>
          <w:highlight w:val="none"/>
        </w:rPr>
      </w:pPr>
    </w:p>
    <w:p w14:paraId="4B52D184">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14:paraId="7F427CBA">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240926F0">
      <w:pPr>
        <w:tabs>
          <w:tab w:val="left" w:pos="6300"/>
        </w:tabs>
        <w:snapToGrid w:val="0"/>
        <w:spacing w:line="360" w:lineRule="auto"/>
        <w:ind w:right="480" w:firstLine="57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被授权人电话：XXXXXXX     电子邮箱：XXXXXX@XXXXX（若法定代表人办理并签署响应文件的可不填写）</w:t>
      </w:r>
    </w:p>
    <w:p w14:paraId="67012D91">
      <w:pPr>
        <w:snapToGrid w:val="0"/>
        <w:spacing w:line="360" w:lineRule="auto"/>
        <w:ind w:firstLine="560" w:firstLineChars="200"/>
        <w:rPr>
          <w:rFonts w:hint="eastAsia" w:ascii="仿宋" w:hAnsi="仿宋" w:eastAsia="仿宋" w:cs="仿宋"/>
          <w:color w:val="auto"/>
          <w:szCs w:val="28"/>
          <w:highlight w:val="none"/>
        </w:rPr>
      </w:pPr>
    </w:p>
    <w:p w14:paraId="0AA3551A">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注：1.若为法定代表人办理并签署相应文件的，不提供此文件。</w:t>
      </w:r>
    </w:p>
    <w:p w14:paraId="63B7D32A">
      <w:pPr>
        <w:snapToGrid w:val="0"/>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br w:type="page"/>
      </w:r>
    </w:p>
    <w:p w14:paraId="4B5CF805">
      <w:pPr>
        <w:spacing w:line="360" w:lineRule="auto"/>
        <w:rPr>
          <w:rFonts w:hint="eastAsia" w:ascii="仿宋" w:hAnsi="仿宋" w:eastAsia="仿宋" w:cs="仿宋"/>
          <w:b/>
          <w:bCs/>
          <w:color w:val="auto"/>
          <w:highlight w:val="none"/>
        </w:rPr>
      </w:pPr>
      <w:bookmarkStart w:id="282" w:name="_Toc16943"/>
      <w:bookmarkStart w:id="283" w:name="_Toc6935"/>
      <w:bookmarkStart w:id="284" w:name="_Toc10882"/>
      <w:bookmarkStart w:id="285" w:name="_Toc30268"/>
      <w:bookmarkStart w:id="286" w:name="_Toc14569"/>
      <w:r>
        <w:rPr>
          <w:rFonts w:hint="eastAsia" w:ascii="仿宋" w:hAnsi="仿宋" w:eastAsia="仿宋" w:cs="仿宋"/>
          <w:b/>
          <w:bCs/>
          <w:color w:val="auto"/>
          <w:highlight w:val="none"/>
        </w:rPr>
        <w:t>（四）</w:t>
      </w:r>
      <w:bookmarkEnd w:id="282"/>
      <w:r>
        <w:rPr>
          <w:rFonts w:hint="eastAsia" w:ascii="仿宋" w:hAnsi="仿宋" w:eastAsia="仿宋" w:cs="仿宋"/>
          <w:b/>
          <w:bCs/>
          <w:color w:val="auto"/>
          <w:highlight w:val="none"/>
        </w:rPr>
        <w:t>基本资格条件承诺函</w:t>
      </w:r>
      <w:bookmarkEnd w:id="283"/>
      <w:r>
        <w:rPr>
          <w:rFonts w:hint="eastAsia" w:ascii="仿宋" w:hAnsi="仿宋" w:eastAsia="仿宋" w:cs="仿宋"/>
          <w:b/>
          <w:bCs/>
          <w:color w:val="auto"/>
          <w:highlight w:val="none"/>
        </w:rPr>
        <w:t>（格式）</w:t>
      </w:r>
      <w:bookmarkEnd w:id="284"/>
      <w:bookmarkEnd w:id="285"/>
      <w:bookmarkEnd w:id="286"/>
    </w:p>
    <w:p w14:paraId="11431578">
      <w:pPr>
        <w:spacing w:line="360" w:lineRule="auto"/>
        <w:ind w:firstLine="562" w:firstLineChars="200"/>
        <w:jc w:val="center"/>
        <w:rPr>
          <w:rFonts w:hint="eastAsia" w:ascii="仿宋" w:hAnsi="仿宋" w:eastAsia="仿宋" w:cs="仿宋"/>
          <w:b/>
          <w:bCs/>
          <w:color w:val="auto"/>
          <w:szCs w:val="32"/>
          <w:highlight w:val="none"/>
        </w:rPr>
      </w:pPr>
    </w:p>
    <w:p w14:paraId="4EA1E78D">
      <w:pPr>
        <w:spacing w:line="360" w:lineRule="auto"/>
        <w:ind w:firstLine="562" w:firstLineChars="200"/>
        <w:jc w:val="center"/>
        <w:rPr>
          <w:rFonts w:hint="eastAsia" w:ascii="仿宋" w:hAnsi="仿宋" w:eastAsia="仿宋" w:cs="仿宋"/>
          <w:color w:val="auto"/>
          <w:sz w:val="24"/>
          <w:highlight w:val="none"/>
        </w:rPr>
      </w:pPr>
      <w:r>
        <w:rPr>
          <w:rFonts w:hint="eastAsia" w:ascii="仿宋" w:hAnsi="仿宋" w:eastAsia="仿宋" w:cs="仿宋"/>
          <w:b/>
          <w:bCs/>
          <w:color w:val="auto"/>
          <w:szCs w:val="32"/>
          <w:highlight w:val="none"/>
        </w:rPr>
        <w:t>基本资格条件承诺函</w:t>
      </w:r>
    </w:p>
    <w:p w14:paraId="0D06725C">
      <w:pPr>
        <w:tabs>
          <w:tab w:val="left" w:pos="6300"/>
        </w:tabs>
        <w:snapToGrid w:val="0"/>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致</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（代理机构名称）：</w:t>
      </w:r>
    </w:p>
    <w:p w14:paraId="0EC2615E">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（供应商名称）郑重承诺：</w:t>
      </w:r>
    </w:p>
    <w:p w14:paraId="2B22B6A1">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1.我方具有良好的商业信誉和健全的财务会计制度，具有履行合同所必需的设备和专业技术能力，具</w:t>
      </w:r>
      <w:r>
        <w:rPr>
          <w:rFonts w:hint="eastAsia" w:ascii="仿宋" w:hAnsi="仿宋" w:eastAsia="仿宋" w:cs="仿宋"/>
          <w:color w:val="auto"/>
          <w:szCs w:val="32"/>
          <w:highlight w:val="none"/>
          <w:lang w:val="zh-CN"/>
        </w:rPr>
        <w:t>有依法缴纳税收和社会保障金的良好记录</w:t>
      </w:r>
      <w:r>
        <w:rPr>
          <w:rFonts w:hint="eastAsia" w:ascii="仿宋" w:hAnsi="仿宋" w:eastAsia="仿宋" w:cs="仿宋"/>
          <w:color w:val="auto"/>
          <w:szCs w:val="32"/>
          <w:highlight w:val="none"/>
        </w:rPr>
        <w:t>，参加本项目采购活动前三年内无重大违法活动记录。</w:t>
      </w:r>
    </w:p>
    <w:p w14:paraId="5F5FC110">
      <w:pPr>
        <w:spacing w:line="360" w:lineRule="auto"/>
        <w:ind w:firstLine="560" w:firstLineChars="200"/>
        <w:jc w:val="left"/>
        <w:rPr>
          <w:rFonts w:hint="eastAsia" w:ascii="仿宋" w:hAnsi="仿宋" w:eastAsia="仿宋" w:cs="仿宋"/>
          <w:color w:val="auto"/>
          <w:szCs w:val="32"/>
          <w:highlight w:val="none"/>
        </w:rPr>
      </w:pPr>
      <w:r>
        <w:rPr>
          <w:rFonts w:hint="eastAsia" w:ascii="仿宋" w:hAnsi="仿宋" w:eastAsia="仿宋" w:cs="仿宋"/>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23327E0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3.我方在采购项目评审（评标）环节结束后，随时接受采购人、采购代理机构的检查验证，配合提供相关证明材料，证明符合《中华人民共和国政府采购法》规定的供应商基本资格条件。</w:t>
      </w:r>
    </w:p>
    <w:p w14:paraId="1FFBE013">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我方对以上承诺负全部法律责任。</w:t>
      </w:r>
    </w:p>
    <w:p w14:paraId="11896676">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特此承诺。</w:t>
      </w:r>
    </w:p>
    <w:p w14:paraId="0C3D5686">
      <w:pPr>
        <w:tabs>
          <w:tab w:val="left" w:pos="6300"/>
        </w:tabs>
        <w:snapToGrid w:val="0"/>
        <w:spacing w:line="360" w:lineRule="auto"/>
        <w:rPr>
          <w:rFonts w:hint="eastAsia" w:ascii="仿宋" w:hAnsi="仿宋" w:eastAsia="仿宋" w:cs="仿宋"/>
          <w:color w:val="auto"/>
          <w:szCs w:val="32"/>
          <w:highlight w:val="none"/>
        </w:rPr>
      </w:pPr>
    </w:p>
    <w:p w14:paraId="5AEFE1C8">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9F1944B">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0F3BEEEE">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EA17B8F">
      <w:pPr>
        <w:tabs>
          <w:tab w:val="left" w:pos="6300"/>
        </w:tabs>
        <w:snapToGrid w:val="0"/>
        <w:spacing w:line="360" w:lineRule="auto"/>
        <w:ind w:right="424"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（供应商公章）</w:t>
      </w:r>
    </w:p>
    <w:p w14:paraId="4E8D6BCF">
      <w:pPr>
        <w:tabs>
          <w:tab w:val="left" w:pos="6300"/>
        </w:tabs>
        <w:snapToGrid w:val="0"/>
        <w:spacing w:line="360" w:lineRule="auto"/>
        <w:ind w:right="480"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年   月   日</w:t>
      </w:r>
    </w:p>
    <w:p w14:paraId="55E64AAD">
      <w:pPr>
        <w:spacing w:line="360" w:lineRule="auto"/>
        <w:ind w:right="540" w:firstLine="3080" w:firstLineChars="1100"/>
        <w:jc w:val="right"/>
        <w:rPr>
          <w:rFonts w:hint="eastAsia" w:ascii="仿宋" w:hAnsi="仿宋" w:eastAsia="仿宋" w:cs="仿宋"/>
          <w:color w:val="auto"/>
          <w:highlight w:val="none"/>
        </w:rPr>
      </w:pPr>
    </w:p>
    <w:bookmarkEnd w:id="259"/>
    <w:p w14:paraId="3559398E">
      <w:pPr>
        <w:spacing w:line="360" w:lineRule="auto"/>
        <w:rPr>
          <w:rFonts w:hint="eastAsia" w:ascii="仿宋" w:hAnsi="仿宋" w:eastAsia="仿宋" w:cs="仿宋"/>
          <w:b/>
          <w:bCs/>
          <w:color w:val="auto"/>
          <w:highlight w:val="none"/>
        </w:rPr>
      </w:pPr>
      <w:bookmarkStart w:id="287" w:name="_Toc31862"/>
      <w:bookmarkStart w:id="288" w:name="_Toc10274"/>
      <w:bookmarkStart w:id="289" w:name="_Toc23748"/>
      <w:bookmarkStart w:id="290" w:name="_Toc32708"/>
      <w:bookmarkStart w:id="291" w:name="_Toc22450"/>
      <w:bookmarkStart w:id="292" w:name="_Toc1814"/>
      <w:bookmarkStart w:id="293" w:name="_Toc13006"/>
      <w:bookmarkStart w:id="294" w:name="_Toc19365"/>
      <w:bookmarkStart w:id="295" w:name="_Toc9726"/>
      <w:r>
        <w:rPr>
          <w:rFonts w:hint="eastAsia" w:ascii="仿宋" w:hAnsi="仿宋" w:eastAsia="仿宋" w:cs="仿宋"/>
          <w:b/>
          <w:bCs/>
          <w:color w:val="auto"/>
          <w:highlight w:val="none"/>
        </w:rPr>
        <w:t>（五）特定资格条件（如有）</w:t>
      </w:r>
    </w:p>
    <w:p w14:paraId="6D3A18BB">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bookmarkEnd w:id="287"/>
    <w:bookmarkEnd w:id="288"/>
    <w:bookmarkEnd w:id="289"/>
    <w:p w14:paraId="502A1E5F">
      <w:pPr>
        <w:pStyle w:val="4"/>
        <w:spacing w:beforeLines="0" w:line="360" w:lineRule="auto"/>
        <w:ind w:firstLine="562"/>
        <w:rPr>
          <w:rFonts w:hint="eastAsia" w:ascii="仿宋" w:hAnsi="仿宋" w:eastAsia="仿宋" w:cs="仿宋"/>
          <w:color w:val="auto"/>
          <w:highlight w:val="none"/>
        </w:rPr>
      </w:pPr>
      <w:bookmarkStart w:id="296" w:name="_Toc29622"/>
      <w:bookmarkStart w:id="297" w:name="_Toc8415"/>
      <w:bookmarkStart w:id="298" w:name="_Toc12587"/>
      <w:r>
        <w:rPr>
          <w:rFonts w:hint="eastAsia" w:ascii="仿宋" w:hAnsi="仿宋" w:eastAsia="仿宋" w:cs="仿宋"/>
          <w:color w:val="auto"/>
          <w:highlight w:val="none"/>
        </w:rPr>
        <w:t>三、</w:t>
      </w:r>
      <w:bookmarkEnd w:id="290"/>
      <w:bookmarkEnd w:id="291"/>
      <w:bookmarkEnd w:id="292"/>
      <w:bookmarkEnd w:id="293"/>
      <w:bookmarkEnd w:id="294"/>
      <w:bookmarkEnd w:id="296"/>
      <w:bookmarkEnd w:id="297"/>
      <w:bookmarkEnd w:id="298"/>
      <w:r>
        <w:rPr>
          <w:rFonts w:hint="eastAsia" w:ascii="仿宋" w:hAnsi="仿宋" w:eastAsia="仿宋" w:cs="仿宋"/>
          <w:color w:val="auto"/>
          <w:highlight w:val="none"/>
        </w:rPr>
        <w:t>项目服务需求</w:t>
      </w:r>
    </w:p>
    <w:p w14:paraId="5409B033">
      <w:pPr>
        <w:spacing w:line="360" w:lineRule="auto"/>
        <w:rPr>
          <w:rFonts w:hint="eastAsia" w:ascii="仿宋" w:hAnsi="仿宋" w:eastAsia="仿宋" w:cs="仿宋"/>
          <w:b/>
          <w:bCs/>
          <w:color w:val="auto"/>
          <w:highlight w:val="none"/>
          <w:lang w:eastAsia="zh-CN"/>
        </w:rPr>
      </w:pPr>
      <w:bookmarkStart w:id="299" w:name="_Toc8181"/>
      <w:bookmarkStart w:id="300" w:name="_Toc17114"/>
      <w:bookmarkStart w:id="301" w:name="_Toc13297"/>
      <w:r>
        <w:rPr>
          <w:rFonts w:hint="eastAsia" w:ascii="仿宋" w:hAnsi="仿宋" w:eastAsia="仿宋" w:cs="仿宋"/>
          <w:b/>
          <w:bCs/>
          <w:color w:val="auto"/>
          <w:highlight w:val="none"/>
        </w:rPr>
        <w:t>（一）</w:t>
      </w:r>
      <w:bookmarkEnd w:id="299"/>
      <w:bookmarkEnd w:id="300"/>
      <w:bookmarkEnd w:id="301"/>
      <w:r>
        <w:rPr>
          <w:rFonts w:hint="eastAsia" w:ascii="仿宋" w:hAnsi="仿宋" w:eastAsia="仿宋" w:cs="仿宋"/>
          <w:b/>
          <w:bCs/>
          <w:color w:val="auto"/>
          <w:highlight w:val="none"/>
        </w:rPr>
        <w:t>服务条款</w:t>
      </w:r>
      <w:r>
        <w:rPr>
          <w:rFonts w:hint="eastAsia" w:ascii="仿宋" w:hAnsi="仿宋" w:eastAsia="仿宋" w:cs="仿宋"/>
          <w:b/>
          <w:bCs/>
          <w:color w:val="auto"/>
          <w:highlight w:val="none"/>
          <w:lang w:val="en-US" w:eastAsia="zh-CN"/>
        </w:rPr>
        <w:t>响应函</w:t>
      </w:r>
    </w:p>
    <w:bookmarkEnd w:id="295"/>
    <w:p w14:paraId="5C626754">
      <w:pPr>
        <w:tabs>
          <w:tab w:val="left" w:pos="720"/>
        </w:tabs>
        <w:spacing w:line="360" w:lineRule="auto"/>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highlight w:val="none"/>
        </w:rPr>
        <w:t>服务条款</w:t>
      </w:r>
      <w:r>
        <w:rPr>
          <w:rFonts w:hint="eastAsia" w:ascii="仿宋" w:hAnsi="仿宋" w:eastAsia="仿宋" w:cs="仿宋"/>
          <w:color w:val="auto"/>
          <w:highlight w:val="none"/>
          <w:lang w:val="en-US" w:eastAsia="zh-CN"/>
        </w:rPr>
        <w:t>响应函（格式）</w:t>
      </w:r>
    </w:p>
    <w:p w14:paraId="06C110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p>
    <w:p w14:paraId="0CA5B1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lang w:val="en-US" w:eastAsia="zh-CN"/>
        </w:rPr>
        <w:t>（采购人）</w:t>
      </w:r>
    </w:p>
    <w:p w14:paraId="042972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w:t>
      </w:r>
      <w:r>
        <w:rPr>
          <w:rFonts w:hint="eastAsia" w:ascii="仿宋" w:hAnsi="仿宋" w:eastAsia="仿宋" w:cs="仿宋"/>
          <w:color w:val="auto"/>
          <w:szCs w:val="28"/>
          <w:highlight w:val="none"/>
          <w:lang w:val="en-US" w:eastAsia="zh-CN"/>
        </w:rPr>
        <w:t>现</w:t>
      </w:r>
      <w:r>
        <w:rPr>
          <w:rFonts w:hint="eastAsia" w:ascii="仿宋" w:hAnsi="仿宋" w:eastAsia="仿宋" w:cs="仿宋"/>
          <w:color w:val="auto"/>
          <w:szCs w:val="28"/>
          <w:highlight w:val="none"/>
        </w:rPr>
        <w:t>参加您单位开展的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b/>
          <w:bCs/>
          <w:color w:val="auto"/>
          <w:szCs w:val="28"/>
          <w:highlight w:val="none"/>
          <w:lang w:val="en-US" w:eastAsia="zh-CN"/>
        </w:rPr>
        <w:t>采购</w:t>
      </w:r>
      <w:r>
        <w:rPr>
          <w:rFonts w:hint="eastAsia" w:ascii="仿宋" w:hAnsi="仿宋" w:eastAsia="仿宋" w:cs="仿宋"/>
          <w:b/>
          <w:bCs/>
          <w:color w:val="auto"/>
          <w:szCs w:val="28"/>
          <w:highlight w:val="none"/>
        </w:rPr>
        <w:t>项目名称）</w:t>
      </w:r>
      <w:r>
        <w:rPr>
          <w:rFonts w:hint="eastAsia" w:ascii="仿宋" w:hAnsi="仿宋" w:eastAsia="仿宋" w:cs="仿宋"/>
          <w:color w:val="auto"/>
          <w:szCs w:val="28"/>
          <w:highlight w:val="none"/>
        </w:rPr>
        <w:t>采购项目。我司完全理解并接受采购文件“第</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篇 项目</w:t>
      </w:r>
      <w:r>
        <w:rPr>
          <w:rFonts w:hint="eastAsia" w:ascii="仿宋" w:hAnsi="仿宋" w:eastAsia="仿宋" w:cs="仿宋"/>
          <w:color w:val="auto"/>
          <w:szCs w:val="28"/>
          <w:highlight w:val="none"/>
          <w:lang w:val="en-US" w:eastAsia="zh-CN"/>
        </w:rPr>
        <w:t>服务</w:t>
      </w:r>
      <w:r>
        <w:rPr>
          <w:rFonts w:hint="eastAsia" w:ascii="仿宋" w:hAnsi="仿宋" w:eastAsia="仿宋" w:cs="仿宋"/>
          <w:color w:val="auto"/>
          <w:szCs w:val="28"/>
          <w:highlight w:val="none"/>
        </w:rPr>
        <w:t>需求”中全部内容及要求。</w:t>
      </w:r>
    </w:p>
    <w:p w14:paraId="05E22A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我司承诺</w:t>
      </w:r>
      <w:r>
        <w:rPr>
          <w:rFonts w:hint="eastAsia" w:ascii="仿宋" w:hAnsi="仿宋" w:eastAsia="仿宋" w:cs="仿宋"/>
          <w:color w:val="auto"/>
          <w:szCs w:val="28"/>
          <w:highlight w:val="none"/>
          <w:lang w:val="en-US" w:eastAsia="zh-CN"/>
        </w:rPr>
        <w:t>对服务条款的响应满足采购文件的全部</w:t>
      </w:r>
      <w:r>
        <w:rPr>
          <w:rFonts w:hint="eastAsia" w:ascii="仿宋" w:hAnsi="仿宋" w:eastAsia="仿宋" w:cs="仿宋"/>
          <w:color w:val="auto"/>
          <w:szCs w:val="28"/>
          <w:highlight w:val="none"/>
        </w:rPr>
        <w:t>要求。</w:t>
      </w:r>
    </w:p>
    <w:p w14:paraId="2C998D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我司</w:t>
      </w:r>
      <w:r>
        <w:rPr>
          <w:rFonts w:hint="eastAsia" w:ascii="仿宋" w:hAnsi="仿宋" w:eastAsia="仿宋" w:cs="仿宋"/>
          <w:color w:val="auto"/>
          <w:szCs w:val="28"/>
          <w:highlight w:val="none"/>
        </w:rPr>
        <w:t>承诺在本次投标活动中，我们将严格遵守相关法律法规和</w:t>
      </w:r>
      <w:r>
        <w:rPr>
          <w:rFonts w:hint="eastAsia" w:ascii="仿宋" w:hAnsi="仿宋" w:eastAsia="仿宋" w:cs="仿宋"/>
          <w:color w:val="auto"/>
          <w:szCs w:val="28"/>
          <w:highlight w:val="none"/>
          <w:lang w:val="en-US" w:eastAsia="zh-CN"/>
        </w:rPr>
        <w:t>采购</w:t>
      </w:r>
      <w:r>
        <w:rPr>
          <w:rFonts w:hint="eastAsia" w:ascii="仿宋" w:hAnsi="仿宋" w:eastAsia="仿宋" w:cs="仿宋"/>
          <w:color w:val="auto"/>
          <w:szCs w:val="28"/>
          <w:highlight w:val="none"/>
        </w:rPr>
        <w:t>文件的规定，提供真实、有效的</w:t>
      </w:r>
      <w:r>
        <w:rPr>
          <w:rFonts w:hint="eastAsia" w:ascii="仿宋" w:hAnsi="仿宋" w:eastAsia="仿宋" w:cs="仿宋"/>
          <w:color w:val="auto"/>
          <w:szCs w:val="28"/>
          <w:highlight w:val="none"/>
          <w:lang w:val="en-US" w:eastAsia="zh-CN"/>
        </w:rPr>
        <w:t>服务条款</w:t>
      </w: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若我司提供的产品或服务未能达到本承诺函所承诺的</w:t>
      </w:r>
      <w:r>
        <w:rPr>
          <w:rFonts w:hint="eastAsia" w:ascii="仿宋" w:hAnsi="仿宋" w:eastAsia="仿宋" w:cs="仿宋"/>
          <w:color w:val="auto"/>
          <w:szCs w:val="28"/>
          <w:highlight w:val="none"/>
          <w:lang w:val="en-US" w:eastAsia="zh-CN"/>
        </w:rPr>
        <w:t>相关</w:t>
      </w:r>
      <w:r>
        <w:rPr>
          <w:rFonts w:hint="eastAsia" w:ascii="仿宋" w:hAnsi="仿宋" w:eastAsia="仿宋" w:cs="仿宋"/>
          <w:color w:val="auto"/>
          <w:szCs w:val="28"/>
          <w:highlight w:val="none"/>
        </w:rPr>
        <w:t>要求，我司愿承担相应的违约责任，包括但不限于取消中选资格</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投标保证金不予退还</w:t>
      </w:r>
      <w:r>
        <w:rPr>
          <w:rFonts w:hint="eastAsia" w:ascii="仿宋" w:hAnsi="仿宋" w:eastAsia="仿宋" w:cs="仿宋"/>
          <w:color w:val="auto"/>
          <w:szCs w:val="28"/>
          <w:highlight w:val="none"/>
          <w:lang w:eastAsia="zh-CN"/>
        </w:rPr>
        <w:t>，退货、换货、赔偿损失</w:t>
      </w:r>
      <w:r>
        <w:rPr>
          <w:rFonts w:hint="eastAsia" w:ascii="仿宋" w:hAnsi="仿宋" w:eastAsia="仿宋" w:cs="仿宋"/>
          <w:color w:val="auto"/>
          <w:szCs w:val="28"/>
          <w:highlight w:val="none"/>
        </w:rPr>
        <w:t>等</w:t>
      </w:r>
      <w:r>
        <w:rPr>
          <w:rFonts w:hint="eastAsia" w:ascii="仿宋" w:hAnsi="仿宋" w:eastAsia="仿宋" w:cs="仿宋"/>
          <w:color w:val="auto"/>
          <w:szCs w:val="28"/>
          <w:highlight w:val="none"/>
          <w:lang w:val="en-US" w:eastAsia="zh-CN"/>
        </w:rPr>
        <w:t>事项。</w:t>
      </w:r>
    </w:p>
    <w:p w14:paraId="360640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特此承诺！</w:t>
      </w:r>
    </w:p>
    <w:p w14:paraId="774ED881">
      <w:pPr>
        <w:spacing w:line="360" w:lineRule="auto"/>
        <w:rPr>
          <w:rFonts w:hint="eastAsia" w:ascii="仿宋" w:hAnsi="仿宋" w:eastAsia="仿宋" w:cs="仿宋"/>
          <w:color w:val="auto"/>
          <w:szCs w:val="28"/>
          <w:highlight w:val="none"/>
          <w:lang w:val="en-US" w:eastAsia="zh-CN"/>
        </w:rPr>
      </w:pPr>
    </w:p>
    <w:p w14:paraId="45234A96">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供应商名称（公章）：</w:t>
      </w:r>
    </w:p>
    <w:p w14:paraId="287444E8">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月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日</w:t>
      </w:r>
    </w:p>
    <w:p w14:paraId="0FAB8FD2">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13F4DF5D">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1.本响应承诺函</w:t>
      </w:r>
      <w:r>
        <w:rPr>
          <w:rFonts w:hint="eastAsia" w:ascii="仿宋" w:hAnsi="仿宋" w:eastAsia="仿宋" w:cs="仿宋"/>
          <w:color w:val="auto"/>
          <w:szCs w:val="28"/>
          <w:highlight w:val="none"/>
          <w:lang w:val="en-US" w:eastAsia="zh-CN"/>
        </w:rPr>
        <w:t>是对采购文件“第二篇 项目服务需求”中内容作出的无差异响应承诺，须按格式填写完整并加盖供应商公章</w:t>
      </w:r>
      <w:r>
        <w:rPr>
          <w:rFonts w:hint="eastAsia" w:ascii="仿宋" w:hAnsi="仿宋" w:eastAsia="仿宋" w:cs="仿宋"/>
          <w:color w:val="auto"/>
          <w:szCs w:val="28"/>
          <w:highlight w:val="none"/>
        </w:rPr>
        <w:t>；</w:t>
      </w:r>
    </w:p>
    <w:p w14:paraId="526A8819">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2.本承诺函</w:t>
      </w:r>
      <w:r>
        <w:rPr>
          <w:rFonts w:hint="eastAsia" w:ascii="仿宋" w:hAnsi="仿宋" w:eastAsia="仿宋" w:cs="仿宋"/>
          <w:color w:val="auto"/>
          <w:szCs w:val="28"/>
          <w:highlight w:val="none"/>
          <w:lang w:val="en-US" w:eastAsia="zh-CN"/>
        </w:rPr>
        <w:t>为响应性承诺，项目服务需求中如有要求提供支撑材料或相关承诺的，应另行提供</w:t>
      </w:r>
      <w:r>
        <w:rPr>
          <w:rFonts w:hint="eastAsia" w:ascii="仿宋" w:hAnsi="仿宋" w:eastAsia="仿宋" w:cs="仿宋"/>
          <w:color w:val="auto"/>
          <w:szCs w:val="28"/>
          <w:highlight w:val="none"/>
        </w:rPr>
        <w:t>；</w:t>
      </w:r>
    </w:p>
    <w:p w14:paraId="012E657F">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5A073AC7">
      <w:pPr>
        <w:spacing w:line="360" w:lineRule="auto"/>
        <w:rPr>
          <w:rFonts w:hint="eastAsia" w:ascii="仿宋" w:hAnsi="仿宋" w:eastAsia="仿宋" w:cs="仿宋"/>
          <w:b/>
          <w:bCs/>
          <w:color w:val="auto"/>
          <w:highlight w:val="none"/>
        </w:rPr>
      </w:pPr>
      <w:bookmarkStart w:id="302" w:name="_Toc13717"/>
      <w:r>
        <w:rPr>
          <w:rFonts w:hint="eastAsia" w:ascii="仿宋" w:hAnsi="仿宋" w:eastAsia="仿宋" w:cs="仿宋"/>
          <w:b/>
          <w:bCs/>
          <w:color w:val="auto"/>
          <w:highlight w:val="none"/>
        </w:rPr>
        <w:t>（二）技术服务方案</w:t>
      </w:r>
      <w:bookmarkEnd w:id="302"/>
    </w:p>
    <w:p w14:paraId="0960DB9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br w:type="page"/>
      </w:r>
    </w:p>
    <w:p w14:paraId="715057F3">
      <w:pPr>
        <w:pStyle w:val="4"/>
        <w:spacing w:beforeLines="0" w:line="360" w:lineRule="auto"/>
        <w:ind w:firstLine="562"/>
        <w:rPr>
          <w:rFonts w:hint="eastAsia" w:ascii="仿宋" w:hAnsi="仿宋" w:eastAsia="仿宋" w:cs="仿宋"/>
          <w:color w:val="auto"/>
          <w:highlight w:val="none"/>
        </w:rPr>
      </w:pPr>
      <w:bookmarkStart w:id="303" w:name="_Toc5262"/>
      <w:bookmarkStart w:id="304" w:name="_Toc27337"/>
      <w:bookmarkStart w:id="305" w:name="_Toc18349"/>
      <w:bookmarkStart w:id="306" w:name="_Toc16264"/>
      <w:bookmarkStart w:id="307" w:name="_Toc2630"/>
      <w:bookmarkStart w:id="308" w:name="_Toc28286"/>
      <w:bookmarkStart w:id="309" w:name="_Toc17521"/>
      <w:bookmarkStart w:id="310" w:name="_Toc2208"/>
      <w:r>
        <w:rPr>
          <w:rFonts w:hint="eastAsia" w:ascii="仿宋" w:hAnsi="仿宋" w:eastAsia="仿宋" w:cs="仿宋"/>
          <w:color w:val="auto"/>
          <w:highlight w:val="none"/>
        </w:rPr>
        <w:t>四、商务</w:t>
      </w:r>
      <w:bookmarkEnd w:id="303"/>
      <w:bookmarkEnd w:id="304"/>
      <w:bookmarkEnd w:id="305"/>
      <w:bookmarkEnd w:id="306"/>
      <w:r>
        <w:rPr>
          <w:rFonts w:hint="eastAsia" w:ascii="仿宋" w:hAnsi="仿宋" w:eastAsia="仿宋" w:cs="仿宋"/>
          <w:color w:val="auto"/>
          <w:highlight w:val="none"/>
        </w:rPr>
        <w:t>文件</w:t>
      </w:r>
      <w:bookmarkEnd w:id="307"/>
      <w:bookmarkEnd w:id="308"/>
      <w:bookmarkEnd w:id="309"/>
      <w:bookmarkEnd w:id="310"/>
    </w:p>
    <w:p w14:paraId="25C951E2">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（一）响应函</w:t>
      </w:r>
    </w:p>
    <w:p w14:paraId="243F182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58165CD4">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2BE12F1F">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（供应商名称）系中华人民共和国刑法企业，注册地址：</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。我方就参加本次竞采有关事项郑重声明如下：</w:t>
      </w:r>
    </w:p>
    <w:p w14:paraId="466B4047">
      <w:pPr>
        <w:snapToGrid w:val="0"/>
        <w:spacing w:line="288" w:lineRule="auto"/>
        <w:ind w:firstLine="560" w:firstLineChars="200"/>
        <w:rPr>
          <w:rFonts w:hint="eastAsia" w:ascii="仿宋" w:hAnsi="仿宋" w:eastAsia="仿宋" w:cs="仿宋"/>
          <w:color w:val="auto"/>
          <w:szCs w:val="28"/>
          <w:highlight w:val="none"/>
        </w:rPr>
      </w:pPr>
      <w:bookmarkStart w:id="311" w:name="_Toc8065"/>
      <w:bookmarkStart w:id="312" w:name="_Toc15412"/>
      <w:r>
        <w:rPr>
          <w:rFonts w:hint="eastAsia" w:ascii="仿宋" w:hAnsi="仿宋" w:eastAsia="仿宋" w:cs="仿宋"/>
          <w:color w:val="auto"/>
          <w:szCs w:val="28"/>
          <w:highlight w:val="none"/>
        </w:rPr>
        <w:t>一、我方完全理解并接受该项目采购文件所有要求。</w:t>
      </w:r>
      <w:bookmarkEnd w:id="311"/>
      <w:bookmarkEnd w:id="312"/>
    </w:p>
    <w:p w14:paraId="60C044CC">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二、我方提交的所有响应文件、资料都是准确和真实的，如有虚假或隐瞒，我方愿意承担一切法律责任。</w:t>
      </w:r>
    </w:p>
    <w:p w14:paraId="50AD863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三、我方承诺按照采购文件要求，提供竞采项目的技术（质量）服务。</w:t>
      </w:r>
    </w:p>
    <w:p w14:paraId="3D022640">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四、我方按采购文件要求提交的响应文件为：响应文件</w:t>
      </w:r>
      <w:r>
        <w:rPr>
          <w:rFonts w:hint="eastAsia" w:ascii="仿宋" w:hAnsi="仿宋" w:eastAsia="仿宋" w:cs="仿宋"/>
          <w:color w:val="auto"/>
          <w:szCs w:val="28"/>
          <w:highlight w:val="none"/>
          <w:lang w:val="en-US" w:eastAsia="zh-CN"/>
        </w:rPr>
        <w:t>电子</w:t>
      </w:r>
      <w:r>
        <w:rPr>
          <w:rFonts w:hint="eastAsia" w:ascii="仿宋" w:hAnsi="仿宋" w:eastAsia="仿宋" w:cs="仿宋"/>
          <w:color w:val="auto"/>
          <w:szCs w:val="28"/>
          <w:highlight w:val="none"/>
        </w:rPr>
        <w:t>文档</w:t>
      </w:r>
      <w:r>
        <w:rPr>
          <w:rFonts w:hint="eastAsia" w:ascii="仿宋" w:hAnsi="仿宋" w:eastAsia="仿宋" w:cs="仿宋"/>
          <w:color w:val="auto"/>
          <w:szCs w:val="28"/>
          <w:highlight w:val="none"/>
          <w:u w:val="single"/>
        </w:rPr>
        <w:t xml:space="preserve"> 1 </w:t>
      </w:r>
      <w:r>
        <w:rPr>
          <w:rFonts w:hint="eastAsia" w:ascii="仿宋" w:hAnsi="仿宋" w:eastAsia="仿宋" w:cs="仿宋"/>
          <w:color w:val="auto"/>
          <w:szCs w:val="28"/>
          <w:highlight w:val="none"/>
        </w:rPr>
        <w:t>份。</w:t>
      </w:r>
    </w:p>
    <w:p w14:paraId="052C5409">
      <w:pPr>
        <w:snapToGrid w:val="0"/>
        <w:spacing w:line="288" w:lineRule="auto"/>
        <w:ind w:firstLine="560" w:firstLineChars="200"/>
        <w:rPr>
          <w:rFonts w:hint="eastAsia" w:ascii="仿宋" w:hAnsi="仿宋" w:eastAsia="仿宋" w:cs="仿宋"/>
          <w:color w:val="auto"/>
          <w:szCs w:val="28"/>
          <w:highlight w:val="none"/>
        </w:rPr>
      </w:pPr>
      <w:bookmarkStart w:id="313" w:name="_Toc10192"/>
      <w:bookmarkStart w:id="314" w:name="_Toc5527"/>
      <w:r>
        <w:rPr>
          <w:rFonts w:hint="eastAsia" w:ascii="仿宋" w:hAnsi="仿宋" w:eastAsia="仿宋" w:cs="仿宋"/>
          <w:color w:val="auto"/>
          <w:szCs w:val="28"/>
          <w:highlight w:val="none"/>
        </w:rPr>
        <w:t>五、我方承诺：本次竞采的竞采有效期为竞采截止时间起90天。</w:t>
      </w:r>
      <w:bookmarkEnd w:id="313"/>
      <w:bookmarkEnd w:id="314"/>
    </w:p>
    <w:p w14:paraId="720E65C5">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六、我方竞采报价为闭口价。即在竞采有效期和合同有效期内，该报价固定不变。</w:t>
      </w:r>
    </w:p>
    <w:p w14:paraId="5E7C7C4D">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七、如果我方成为成交供应商，我方将履行采购文件中规定的各项要求以及我方响应文件的各项承诺，按照《中华人民共和国政府采购法》《中华人民共和国民法典》及合同约定条款承担我方责任。</w:t>
      </w:r>
    </w:p>
    <w:p w14:paraId="757CB69A">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八、我方未为采购项目提供整体设计、规范编制或者项目管理、监理、检测等服务。</w:t>
      </w:r>
    </w:p>
    <w:p w14:paraId="2771154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九、我方理解，最低报价不是成交的唯一条件。</w:t>
      </w:r>
    </w:p>
    <w:p w14:paraId="60BF6FF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十、我方同意按有关规定及采购文件要求，缴纳足额保证金。</w:t>
      </w:r>
    </w:p>
    <w:p w14:paraId="567D583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十一、若我方成为成交供应商，愿意按有关规定及采购文件要求缴纳采购代理服务费和交易服务费。</w:t>
      </w:r>
    </w:p>
    <w:p w14:paraId="59EF51CF">
      <w:pPr>
        <w:tabs>
          <w:tab w:val="left" w:pos="6300"/>
        </w:tabs>
        <w:snapToGrid w:val="0"/>
        <w:spacing w:line="360" w:lineRule="auto"/>
        <w:ind w:firstLine="6370" w:firstLineChars="2275"/>
        <w:rPr>
          <w:rFonts w:hint="eastAsia" w:ascii="仿宋" w:hAnsi="仿宋" w:eastAsia="仿宋" w:cs="仿宋"/>
          <w:color w:val="auto"/>
          <w:szCs w:val="28"/>
          <w:highlight w:val="none"/>
        </w:rPr>
      </w:pPr>
    </w:p>
    <w:p w14:paraId="55B9A786">
      <w:pPr>
        <w:tabs>
          <w:tab w:val="left" w:pos="6300"/>
        </w:tabs>
        <w:snapToGrid w:val="0"/>
        <w:spacing w:line="360" w:lineRule="auto"/>
        <w:ind w:firstLine="6370" w:firstLineChars="2275"/>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（供应商公章或自然人签署）</w:t>
      </w:r>
    </w:p>
    <w:p w14:paraId="572F53C7">
      <w:pPr>
        <w:tabs>
          <w:tab w:val="left" w:pos="6300"/>
        </w:tabs>
        <w:snapToGrid w:val="0"/>
        <w:spacing w:line="360" w:lineRule="auto"/>
        <w:ind w:firstLine="7280" w:firstLineChars="2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1DC3EA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Cs w:val="28"/>
          <w:highlight w:val="none"/>
        </w:rPr>
        <w:br w:type="page"/>
      </w:r>
      <w:bookmarkStart w:id="315" w:name="_Toc19167"/>
      <w:bookmarkStart w:id="316" w:name="_Toc17279"/>
      <w:bookmarkStart w:id="317" w:name="_Toc10242"/>
      <w:r>
        <w:rPr>
          <w:rFonts w:hint="eastAsia" w:ascii="仿宋" w:hAnsi="仿宋" w:eastAsia="仿宋" w:cs="仿宋"/>
          <w:b/>
          <w:bCs/>
          <w:color w:val="auto"/>
          <w:highlight w:val="none"/>
        </w:rPr>
        <w:t>（二）商务条款</w:t>
      </w:r>
      <w:r>
        <w:rPr>
          <w:rFonts w:hint="eastAsia" w:ascii="仿宋" w:hAnsi="仿宋" w:eastAsia="仿宋" w:cs="仿宋"/>
          <w:b/>
          <w:bCs/>
          <w:color w:val="auto"/>
          <w:highlight w:val="none"/>
          <w:lang w:val="en-US" w:eastAsia="zh-CN"/>
        </w:rPr>
        <w:t>响应</w:t>
      </w:r>
      <w:bookmarkEnd w:id="315"/>
      <w:bookmarkEnd w:id="316"/>
      <w:bookmarkEnd w:id="317"/>
      <w:r>
        <w:rPr>
          <w:rFonts w:hint="eastAsia" w:ascii="仿宋" w:hAnsi="仿宋" w:eastAsia="仿宋" w:cs="仿宋"/>
          <w:b/>
          <w:bCs/>
          <w:color w:val="auto"/>
          <w:highlight w:val="none"/>
          <w:lang w:val="en-US" w:eastAsia="zh-CN"/>
        </w:rPr>
        <w:t>函</w:t>
      </w:r>
    </w:p>
    <w:p w14:paraId="21C25F2A">
      <w:pPr>
        <w:jc w:val="center"/>
        <w:rPr>
          <w:rFonts w:hint="eastAsia" w:ascii="仿宋" w:hAnsi="仿宋" w:eastAsia="仿宋" w:cs="仿宋"/>
          <w:b/>
          <w:bCs/>
          <w:color w:val="auto"/>
          <w:highlight w:val="none"/>
        </w:rPr>
      </w:pPr>
      <w:bookmarkStart w:id="318" w:name="_Toc20137"/>
      <w:bookmarkStart w:id="319" w:name="_Toc28259"/>
      <w:bookmarkStart w:id="320" w:name="_Toc25826"/>
      <w:bookmarkStart w:id="321" w:name="_Toc13056"/>
      <w:bookmarkStart w:id="322" w:name="_Toc13132"/>
      <w:bookmarkStart w:id="323" w:name="_Toc30526"/>
      <w:r>
        <w:rPr>
          <w:rFonts w:hint="eastAsia" w:ascii="仿宋" w:hAnsi="仿宋" w:eastAsia="仿宋" w:cs="仿宋"/>
          <w:b/>
          <w:bCs/>
          <w:color w:val="auto"/>
          <w:highlight w:val="none"/>
        </w:rPr>
        <w:t>商务条款</w:t>
      </w:r>
      <w:r>
        <w:rPr>
          <w:rFonts w:hint="eastAsia" w:ascii="仿宋" w:hAnsi="仿宋" w:eastAsia="仿宋" w:cs="仿宋"/>
          <w:b/>
          <w:bCs/>
          <w:color w:val="auto"/>
          <w:highlight w:val="none"/>
          <w:lang w:val="en-US" w:eastAsia="zh-CN"/>
        </w:rPr>
        <w:t>响应函（格式）</w:t>
      </w:r>
    </w:p>
    <w:p w14:paraId="254F11F0">
      <w:pPr>
        <w:rPr>
          <w:rFonts w:hint="eastAsia" w:ascii="仿宋" w:hAnsi="仿宋" w:eastAsia="仿宋" w:cs="仿宋"/>
          <w:b/>
          <w:bCs/>
          <w:color w:val="auto"/>
          <w:highlight w:val="none"/>
          <w:lang w:val="en-US" w:eastAsia="zh-CN"/>
        </w:rPr>
      </w:pPr>
    </w:p>
    <w:p w14:paraId="7F2E95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致：</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lang w:val="en-US" w:eastAsia="zh-CN"/>
        </w:rPr>
        <w:t>（采购人）</w:t>
      </w:r>
    </w:p>
    <w:p w14:paraId="2060B8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w:t>
      </w:r>
      <w:r>
        <w:rPr>
          <w:rFonts w:hint="eastAsia" w:ascii="仿宋" w:hAnsi="仿宋" w:eastAsia="仿宋" w:cs="仿宋"/>
          <w:b w:val="0"/>
          <w:bCs w:val="0"/>
          <w:color w:val="auto"/>
          <w:highlight w:val="none"/>
          <w:lang w:val="en-US" w:eastAsia="zh-CN"/>
        </w:rPr>
        <w:t>现</w:t>
      </w:r>
      <w:r>
        <w:rPr>
          <w:rFonts w:hint="eastAsia" w:ascii="仿宋" w:hAnsi="仿宋" w:eastAsia="仿宋" w:cs="仿宋"/>
          <w:b w:val="0"/>
          <w:bCs w:val="0"/>
          <w:color w:val="auto"/>
          <w:highlight w:val="none"/>
        </w:rPr>
        <w:t>参加您单位开展的</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项目名称）</w:t>
      </w:r>
      <w:r>
        <w:rPr>
          <w:rFonts w:hint="eastAsia" w:ascii="仿宋" w:hAnsi="仿宋" w:eastAsia="仿宋" w:cs="仿宋"/>
          <w:b w:val="0"/>
          <w:bCs w:val="0"/>
          <w:color w:val="auto"/>
          <w:highlight w:val="none"/>
        </w:rPr>
        <w:t>采购项目。我司完全理解并接受采购文件“第</w:t>
      </w:r>
      <w:r>
        <w:rPr>
          <w:rFonts w:hint="eastAsia" w:ascii="仿宋" w:hAnsi="仿宋" w:eastAsia="仿宋" w:cs="仿宋"/>
          <w:b w:val="0"/>
          <w:bCs w:val="0"/>
          <w:color w:val="auto"/>
          <w:highlight w:val="none"/>
          <w:lang w:val="en-US" w:eastAsia="zh-CN"/>
        </w:rPr>
        <w:t>三</w:t>
      </w:r>
      <w:r>
        <w:rPr>
          <w:rFonts w:hint="eastAsia" w:ascii="仿宋" w:hAnsi="仿宋" w:eastAsia="仿宋" w:cs="仿宋"/>
          <w:b w:val="0"/>
          <w:bCs w:val="0"/>
          <w:color w:val="auto"/>
          <w:highlight w:val="none"/>
        </w:rPr>
        <w:t>篇 项目</w:t>
      </w:r>
      <w:r>
        <w:rPr>
          <w:rFonts w:hint="eastAsia" w:ascii="仿宋" w:hAnsi="仿宋" w:eastAsia="仿宋" w:cs="仿宋"/>
          <w:b w:val="0"/>
          <w:bCs w:val="0"/>
          <w:color w:val="auto"/>
          <w:highlight w:val="none"/>
          <w:lang w:val="en-US" w:eastAsia="zh-CN"/>
        </w:rPr>
        <w:t>商务</w:t>
      </w:r>
      <w:r>
        <w:rPr>
          <w:rFonts w:hint="eastAsia" w:ascii="仿宋" w:hAnsi="仿宋" w:eastAsia="仿宋" w:cs="仿宋"/>
          <w:b w:val="0"/>
          <w:bCs w:val="0"/>
          <w:color w:val="auto"/>
          <w:highlight w:val="none"/>
        </w:rPr>
        <w:t>需求”中</w:t>
      </w:r>
      <w:r>
        <w:rPr>
          <w:rFonts w:hint="eastAsia" w:ascii="仿宋" w:hAnsi="仿宋" w:eastAsia="仿宋" w:cs="仿宋"/>
          <w:b w:val="0"/>
          <w:bCs w:val="0"/>
          <w:color w:val="auto"/>
          <w:highlight w:val="none"/>
          <w:lang w:val="en-US" w:eastAsia="zh-CN"/>
        </w:rPr>
        <w:t>全部内容及要求</w:t>
      </w:r>
      <w:r>
        <w:rPr>
          <w:rFonts w:hint="eastAsia" w:ascii="仿宋" w:hAnsi="仿宋" w:eastAsia="仿宋" w:cs="仿宋"/>
          <w:b w:val="0"/>
          <w:bCs w:val="0"/>
          <w:color w:val="auto"/>
          <w:highlight w:val="none"/>
        </w:rPr>
        <w:t>。</w:t>
      </w:r>
    </w:p>
    <w:p w14:paraId="50A549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我司承诺</w:t>
      </w:r>
      <w:r>
        <w:rPr>
          <w:rFonts w:hint="eastAsia" w:ascii="仿宋" w:hAnsi="仿宋" w:eastAsia="仿宋" w:cs="仿宋"/>
          <w:b w:val="0"/>
          <w:bCs w:val="0"/>
          <w:color w:val="auto"/>
          <w:highlight w:val="none"/>
          <w:lang w:val="en-US" w:eastAsia="zh-CN"/>
        </w:rPr>
        <w:t>对商务条款的响应满足采购文件的全部</w:t>
      </w:r>
      <w:r>
        <w:rPr>
          <w:rFonts w:hint="eastAsia" w:ascii="仿宋" w:hAnsi="仿宋" w:eastAsia="仿宋" w:cs="仿宋"/>
          <w:b w:val="0"/>
          <w:bCs w:val="0"/>
          <w:color w:val="auto"/>
          <w:highlight w:val="none"/>
        </w:rPr>
        <w:t>要求。</w:t>
      </w:r>
    </w:p>
    <w:p w14:paraId="6444D2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我司</w:t>
      </w:r>
      <w:r>
        <w:rPr>
          <w:rFonts w:hint="eastAsia" w:ascii="仿宋" w:hAnsi="仿宋" w:eastAsia="仿宋" w:cs="仿宋"/>
          <w:b w:val="0"/>
          <w:bCs w:val="0"/>
          <w:color w:val="auto"/>
          <w:highlight w:val="none"/>
        </w:rPr>
        <w:t>承诺在本次投标活动中，我们将严格遵守相关法律法规和</w:t>
      </w:r>
      <w:r>
        <w:rPr>
          <w:rFonts w:hint="eastAsia" w:ascii="仿宋" w:hAnsi="仿宋" w:eastAsia="仿宋" w:cs="仿宋"/>
          <w:b w:val="0"/>
          <w:bCs w:val="0"/>
          <w:color w:val="auto"/>
          <w:highlight w:val="none"/>
          <w:lang w:val="en-US" w:eastAsia="zh-CN"/>
        </w:rPr>
        <w:t>采购</w:t>
      </w:r>
      <w:r>
        <w:rPr>
          <w:rFonts w:hint="eastAsia" w:ascii="仿宋" w:hAnsi="仿宋" w:eastAsia="仿宋" w:cs="仿宋"/>
          <w:b w:val="0"/>
          <w:bCs w:val="0"/>
          <w:color w:val="auto"/>
          <w:highlight w:val="none"/>
        </w:rPr>
        <w:t>文件的规定，提供真实、有效的</w:t>
      </w:r>
      <w:r>
        <w:rPr>
          <w:rFonts w:hint="eastAsia" w:ascii="仿宋" w:hAnsi="仿宋" w:eastAsia="仿宋" w:cs="仿宋"/>
          <w:b w:val="0"/>
          <w:bCs w:val="0"/>
          <w:color w:val="auto"/>
          <w:highlight w:val="none"/>
          <w:lang w:val="en-US" w:eastAsia="zh-CN"/>
        </w:rPr>
        <w:t>商务条款</w:t>
      </w:r>
      <w:r>
        <w:rPr>
          <w:rFonts w:hint="eastAsia" w:ascii="仿宋" w:hAnsi="仿宋" w:eastAsia="仿宋" w:cs="仿宋"/>
          <w:b w:val="0"/>
          <w:bCs w:val="0"/>
          <w:color w:val="auto"/>
          <w:highlight w:val="none"/>
        </w:rPr>
        <w:t>响应</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若我司提供的产品或服务未能达到本承诺函所承诺的</w:t>
      </w:r>
      <w:r>
        <w:rPr>
          <w:rFonts w:hint="eastAsia" w:ascii="仿宋" w:hAnsi="仿宋" w:eastAsia="仿宋" w:cs="仿宋"/>
          <w:b w:val="0"/>
          <w:bCs w:val="0"/>
          <w:color w:val="auto"/>
          <w:highlight w:val="none"/>
          <w:lang w:val="en-US" w:eastAsia="zh-CN"/>
        </w:rPr>
        <w:t>相关</w:t>
      </w:r>
      <w:r>
        <w:rPr>
          <w:rFonts w:hint="eastAsia" w:ascii="仿宋" w:hAnsi="仿宋" w:eastAsia="仿宋" w:cs="仿宋"/>
          <w:b w:val="0"/>
          <w:bCs w:val="0"/>
          <w:color w:val="auto"/>
          <w:highlight w:val="none"/>
        </w:rPr>
        <w:t>要求，我司愿承担相应的违约责任，包括但不限于取消中选资格</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投标保证金不予退还</w:t>
      </w:r>
      <w:r>
        <w:rPr>
          <w:rFonts w:hint="eastAsia" w:ascii="仿宋" w:hAnsi="仿宋" w:eastAsia="仿宋" w:cs="仿宋"/>
          <w:b w:val="0"/>
          <w:bCs w:val="0"/>
          <w:color w:val="auto"/>
          <w:highlight w:val="none"/>
          <w:lang w:eastAsia="zh-CN"/>
        </w:rPr>
        <w:t>，退货、换货、赔偿损失</w:t>
      </w:r>
      <w:r>
        <w:rPr>
          <w:rFonts w:hint="eastAsia" w:ascii="仿宋" w:hAnsi="仿宋" w:eastAsia="仿宋" w:cs="仿宋"/>
          <w:b w:val="0"/>
          <w:bCs w:val="0"/>
          <w:color w:val="auto"/>
          <w:highlight w:val="none"/>
        </w:rPr>
        <w:t>等</w:t>
      </w:r>
      <w:r>
        <w:rPr>
          <w:rFonts w:hint="eastAsia" w:ascii="仿宋" w:hAnsi="仿宋" w:eastAsia="仿宋" w:cs="仿宋"/>
          <w:b w:val="0"/>
          <w:bCs w:val="0"/>
          <w:color w:val="auto"/>
          <w:highlight w:val="none"/>
          <w:lang w:val="en-US" w:eastAsia="zh-CN"/>
        </w:rPr>
        <w:t>事项。</w:t>
      </w:r>
    </w:p>
    <w:p w14:paraId="6330A9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特此承诺！</w:t>
      </w:r>
    </w:p>
    <w:p w14:paraId="4955FE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FAA87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BD42AA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供应商名称（公章）：</w:t>
      </w:r>
    </w:p>
    <w:p w14:paraId="1871E72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年</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月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日</w:t>
      </w:r>
    </w:p>
    <w:p w14:paraId="7F9BDE1D">
      <w:pPr>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7D6B414F">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1.本响应承诺函</w:t>
      </w:r>
      <w:r>
        <w:rPr>
          <w:rFonts w:hint="eastAsia" w:ascii="仿宋" w:hAnsi="仿宋" w:eastAsia="仿宋" w:cs="仿宋"/>
          <w:b w:val="0"/>
          <w:bCs w:val="0"/>
          <w:color w:val="auto"/>
          <w:highlight w:val="none"/>
          <w:lang w:val="en-US" w:eastAsia="zh-CN"/>
        </w:rPr>
        <w:t>是对采购文件“第三篇 项目商务需求”中内容作出的无差异响应承诺，须按格式填写完整并加盖供应商公章</w:t>
      </w:r>
      <w:r>
        <w:rPr>
          <w:rFonts w:hint="eastAsia" w:ascii="仿宋" w:hAnsi="仿宋" w:eastAsia="仿宋" w:cs="仿宋"/>
          <w:b w:val="0"/>
          <w:bCs w:val="0"/>
          <w:color w:val="auto"/>
          <w:highlight w:val="none"/>
        </w:rPr>
        <w:t>；</w:t>
      </w:r>
    </w:p>
    <w:p w14:paraId="5A0985C2">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2.本承诺函</w:t>
      </w:r>
      <w:r>
        <w:rPr>
          <w:rFonts w:hint="eastAsia" w:ascii="仿宋" w:hAnsi="仿宋" w:eastAsia="仿宋" w:cs="仿宋"/>
          <w:b w:val="0"/>
          <w:bCs w:val="0"/>
          <w:color w:val="auto"/>
          <w:highlight w:val="none"/>
          <w:lang w:val="en-US" w:eastAsia="zh-CN"/>
        </w:rPr>
        <w:t>为响应性承诺，项目商务需求中如有要求提供支撑材料或相关承诺的，应另行提供</w:t>
      </w:r>
      <w:r>
        <w:rPr>
          <w:rFonts w:hint="eastAsia" w:ascii="仿宋" w:hAnsi="仿宋" w:eastAsia="仿宋" w:cs="仿宋"/>
          <w:b w:val="0"/>
          <w:bCs w:val="0"/>
          <w:color w:val="auto"/>
          <w:highlight w:val="none"/>
        </w:rPr>
        <w:t>；</w:t>
      </w:r>
    </w:p>
    <w:p w14:paraId="2582D2C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BE7FC4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（三）商务评分部分相关证明材料</w:t>
      </w:r>
      <w:r>
        <w:rPr>
          <w:rFonts w:hint="eastAsia" w:ascii="仿宋" w:hAnsi="仿宋" w:eastAsia="仿宋" w:cs="仿宋"/>
          <w:color w:val="auto"/>
          <w:highlight w:val="none"/>
        </w:rPr>
        <w:br w:type="page"/>
      </w:r>
    </w:p>
    <w:p w14:paraId="3984824B">
      <w:pPr>
        <w:pStyle w:val="4"/>
        <w:spacing w:beforeLines="0" w:line="360" w:lineRule="auto"/>
        <w:ind w:firstLine="562"/>
        <w:rPr>
          <w:rFonts w:hint="eastAsia" w:ascii="仿宋" w:hAnsi="仿宋" w:eastAsia="仿宋" w:cs="仿宋"/>
          <w:color w:val="auto"/>
          <w:highlight w:val="none"/>
        </w:rPr>
      </w:pPr>
      <w:bookmarkStart w:id="324" w:name="_Toc2353"/>
      <w:bookmarkStart w:id="325" w:name="_Toc10430"/>
      <w:r>
        <w:rPr>
          <w:rFonts w:hint="eastAsia" w:ascii="仿宋" w:hAnsi="仿宋" w:eastAsia="仿宋" w:cs="仿宋"/>
          <w:color w:val="auto"/>
          <w:highlight w:val="none"/>
        </w:rPr>
        <w:t>五、</w:t>
      </w:r>
      <w:bookmarkEnd w:id="318"/>
      <w:bookmarkEnd w:id="319"/>
      <w:bookmarkEnd w:id="320"/>
      <w:r>
        <w:rPr>
          <w:rFonts w:hint="eastAsia" w:ascii="仿宋" w:hAnsi="仿宋" w:eastAsia="仿宋" w:cs="仿宋"/>
          <w:color w:val="auto"/>
          <w:highlight w:val="none"/>
        </w:rPr>
        <w:t>其他与项目有关的资料</w:t>
      </w:r>
      <w:bookmarkEnd w:id="321"/>
      <w:bookmarkEnd w:id="322"/>
      <w:bookmarkEnd w:id="323"/>
      <w:bookmarkEnd w:id="324"/>
      <w:bookmarkEnd w:id="325"/>
    </w:p>
    <w:p w14:paraId="52D2288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格式自拟</w:t>
      </w:r>
    </w:p>
    <w:p w14:paraId="6375029D">
      <w:pPr>
        <w:spacing w:line="360" w:lineRule="auto"/>
        <w:rPr>
          <w:rFonts w:hint="eastAsia" w:ascii="仿宋" w:hAnsi="仿宋" w:eastAsia="仿宋" w:cs="仿宋"/>
          <w:color w:val="auto"/>
          <w:highlight w:val="none"/>
        </w:rPr>
      </w:pPr>
    </w:p>
    <w:p w14:paraId="73331DD1">
      <w:pPr>
        <w:spacing w:line="360" w:lineRule="auto"/>
        <w:rPr>
          <w:rFonts w:hint="eastAsia" w:ascii="仿宋" w:hAnsi="仿宋" w:eastAsia="仿宋" w:cs="仿宋"/>
          <w:color w:val="auto"/>
          <w:highlight w:val="none"/>
        </w:rPr>
      </w:pPr>
    </w:p>
    <w:p w14:paraId="740AD27D">
      <w:pPr>
        <w:spacing w:line="360" w:lineRule="auto"/>
        <w:rPr>
          <w:rFonts w:hint="eastAsia" w:ascii="仿宋" w:hAnsi="仿宋" w:eastAsia="仿宋" w:cs="仿宋"/>
          <w:color w:val="auto"/>
          <w:highlight w:val="none"/>
        </w:rPr>
      </w:pPr>
    </w:p>
    <w:p w14:paraId="126A59FA">
      <w:pPr>
        <w:spacing w:line="360" w:lineRule="auto"/>
        <w:rPr>
          <w:rFonts w:hint="eastAsia" w:ascii="仿宋" w:hAnsi="仿宋" w:eastAsia="仿宋" w:cs="仿宋"/>
          <w:color w:val="auto"/>
          <w:highlight w:val="none"/>
        </w:rPr>
      </w:pPr>
    </w:p>
    <w:sectPr>
      <w:footerReference r:id="rId8" w:type="default"/>
      <w:pgSz w:w="11906" w:h="16838"/>
      <w:pgMar w:top="1440" w:right="1080" w:bottom="1440" w:left="1080" w:header="794"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6D340A2-6F35-44CC-9142-E813165548B1}"/>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9C72F254-EE33-4C8F-B9EE-2B35B6F79137}"/>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C339">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D173">
    <w:pPr>
      <w:snapToGrid w:val="0"/>
      <w:ind w:firstLine="360"/>
      <w:rPr>
        <w:rFonts w:ascii="Calibri" w:hAnsi="Calibri"/>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C16B">
    <w:pPr>
      <w:snapToGrid w:val="0"/>
      <w:ind w:firstLine="360"/>
      <w:rPr>
        <w:rFonts w:ascii="Calibri" w:hAnsi="Calibri"/>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956B">
    <w:pPr>
      <w:pStyle w:val="17"/>
      <w:pBdr>
        <w:top w:val="none" w:color="auto" w:sz="0" w:space="0"/>
        <w:left w:val="none" w:color="auto" w:sz="0" w:space="0"/>
        <w:bottom w:val="none" w:color="auto" w:sz="0" w:space="0"/>
        <w:right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5C70">
    <w:pPr>
      <w:pStyle w:val="1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5FBA">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92F0E"/>
    <w:multiLevelType w:val="singleLevel"/>
    <w:tmpl w:val="DFB92F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2IzYTMzZjlkNDQ4ZDAwMGZhOTM0YTVmNzc0NmYifQ=="/>
  </w:docVars>
  <w:rsids>
    <w:rsidRoot w:val="00E76546"/>
    <w:rsid w:val="000B7BB0"/>
    <w:rsid w:val="000F0616"/>
    <w:rsid w:val="001546D8"/>
    <w:rsid w:val="001A731B"/>
    <w:rsid w:val="00244317"/>
    <w:rsid w:val="002C41BC"/>
    <w:rsid w:val="002F611A"/>
    <w:rsid w:val="002F73F9"/>
    <w:rsid w:val="00305A99"/>
    <w:rsid w:val="003B7256"/>
    <w:rsid w:val="00431785"/>
    <w:rsid w:val="004C6C22"/>
    <w:rsid w:val="004D59BD"/>
    <w:rsid w:val="004F1736"/>
    <w:rsid w:val="005140DE"/>
    <w:rsid w:val="00547DE2"/>
    <w:rsid w:val="005749D1"/>
    <w:rsid w:val="00602398"/>
    <w:rsid w:val="00607AF2"/>
    <w:rsid w:val="00652113"/>
    <w:rsid w:val="006526F0"/>
    <w:rsid w:val="00702A04"/>
    <w:rsid w:val="00744DCC"/>
    <w:rsid w:val="0076588D"/>
    <w:rsid w:val="00785378"/>
    <w:rsid w:val="008B5614"/>
    <w:rsid w:val="00950240"/>
    <w:rsid w:val="00967CE9"/>
    <w:rsid w:val="00A138F2"/>
    <w:rsid w:val="00AD7CCC"/>
    <w:rsid w:val="00B057ED"/>
    <w:rsid w:val="00B9150C"/>
    <w:rsid w:val="00BA3672"/>
    <w:rsid w:val="00BD3DD0"/>
    <w:rsid w:val="00BD5B71"/>
    <w:rsid w:val="00C20F6C"/>
    <w:rsid w:val="00C326CF"/>
    <w:rsid w:val="00C51699"/>
    <w:rsid w:val="00CD31C9"/>
    <w:rsid w:val="00D2237F"/>
    <w:rsid w:val="00DA4CCE"/>
    <w:rsid w:val="00DC5E0F"/>
    <w:rsid w:val="00E170D3"/>
    <w:rsid w:val="00E76546"/>
    <w:rsid w:val="00ED11F8"/>
    <w:rsid w:val="01135060"/>
    <w:rsid w:val="01237FC0"/>
    <w:rsid w:val="013400FE"/>
    <w:rsid w:val="016073E8"/>
    <w:rsid w:val="019404F8"/>
    <w:rsid w:val="01D408F4"/>
    <w:rsid w:val="01FA7548"/>
    <w:rsid w:val="01FF3BC3"/>
    <w:rsid w:val="021533E7"/>
    <w:rsid w:val="022C6982"/>
    <w:rsid w:val="02921448"/>
    <w:rsid w:val="031514EA"/>
    <w:rsid w:val="039262B2"/>
    <w:rsid w:val="03BC224B"/>
    <w:rsid w:val="040D00EE"/>
    <w:rsid w:val="044A3E16"/>
    <w:rsid w:val="04CB5550"/>
    <w:rsid w:val="04D00CE7"/>
    <w:rsid w:val="04F738DE"/>
    <w:rsid w:val="050140F6"/>
    <w:rsid w:val="052971A9"/>
    <w:rsid w:val="05537D1C"/>
    <w:rsid w:val="057A03EE"/>
    <w:rsid w:val="05AF1FFD"/>
    <w:rsid w:val="06204E2B"/>
    <w:rsid w:val="06277B8D"/>
    <w:rsid w:val="06C74ECC"/>
    <w:rsid w:val="07140111"/>
    <w:rsid w:val="0714213C"/>
    <w:rsid w:val="07584A57"/>
    <w:rsid w:val="076F17EB"/>
    <w:rsid w:val="076F1953"/>
    <w:rsid w:val="07A07E80"/>
    <w:rsid w:val="07AB0349"/>
    <w:rsid w:val="07DE49D9"/>
    <w:rsid w:val="08017366"/>
    <w:rsid w:val="082F0085"/>
    <w:rsid w:val="085B58CB"/>
    <w:rsid w:val="088600B2"/>
    <w:rsid w:val="08A3556C"/>
    <w:rsid w:val="08F00707"/>
    <w:rsid w:val="09361183"/>
    <w:rsid w:val="098378C2"/>
    <w:rsid w:val="09B036B1"/>
    <w:rsid w:val="09DC429A"/>
    <w:rsid w:val="0A2134F6"/>
    <w:rsid w:val="0A21725C"/>
    <w:rsid w:val="0A283D19"/>
    <w:rsid w:val="0A2F7010"/>
    <w:rsid w:val="0A4D717D"/>
    <w:rsid w:val="0A595E3B"/>
    <w:rsid w:val="0A6412C1"/>
    <w:rsid w:val="0A771CA1"/>
    <w:rsid w:val="0A7C7EC1"/>
    <w:rsid w:val="0ABE27BB"/>
    <w:rsid w:val="0AD020DC"/>
    <w:rsid w:val="0B3A2110"/>
    <w:rsid w:val="0B667275"/>
    <w:rsid w:val="0B700B15"/>
    <w:rsid w:val="0B823D5A"/>
    <w:rsid w:val="0B8D2240"/>
    <w:rsid w:val="0B957346"/>
    <w:rsid w:val="0BB35E1A"/>
    <w:rsid w:val="0BCF0AAA"/>
    <w:rsid w:val="0BDA11FD"/>
    <w:rsid w:val="0BDF05C2"/>
    <w:rsid w:val="0BDF7A94"/>
    <w:rsid w:val="0C05627A"/>
    <w:rsid w:val="0C1F4E62"/>
    <w:rsid w:val="0C405504"/>
    <w:rsid w:val="0CDA0C9B"/>
    <w:rsid w:val="0CDA5095"/>
    <w:rsid w:val="0D171B83"/>
    <w:rsid w:val="0D2B5AC6"/>
    <w:rsid w:val="0D700794"/>
    <w:rsid w:val="0D7C256C"/>
    <w:rsid w:val="0D894C89"/>
    <w:rsid w:val="0DAB10A3"/>
    <w:rsid w:val="0DC161D1"/>
    <w:rsid w:val="0DC44E57"/>
    <w:rsid w:val="0DCF2D42"/>
    <w:rsid w:val="0E0242F5"/>
    <w:rsid w:val="0E3A7E29"/>
    <w:rsid w:val="0E715E49"/>
    <w:rsid w:val="0E87566C"/>
    <w:rsid w:val="0EAE7F1E"/>
    <w:rsid w:val="0EB2020F"/>
    <w:rsid w:val="0F354A38"/>
    <w:rsid w:val="0F7D0389"/>
    <w:rsid w:val="0F8C280E"/>
    <w:rsid w:val="0F8C39A9"/>
    <w:rsid w:val="0FE30FA9"/>
    <w:rsid w:val="10224CB2"/>
    <w:rsid w:val="10587DF7"/>
    <w:rsid w:val="10741C20"/>
    <w:rsid w:val="107A6B0B"/>
    <w:rsid w:val="10851A12"/>
    <w:rsid w:val="10B169D0"/>
    <w:rsid w:val="10C33691"/>
    <w:rsid w:val="10DD5097"/>
    <w:rsid w:val="10FE598E"/>
    <w:rsid w:val="110D0786"/>
    <w:rsid w:val="1156269E"/>
    <w:rsid w:val="11AF1711"/>
    <w:rsid w:val="11C46F35"/>
    <w:rsid w:val="11E15F7C"/>
    <w:rsid w:val="11F17D2B"/>
    <w:rsid w:val="11F624FE"/>
    <w:rsid w:val="11F636B4"/>
    <w:rsid w:val="121B4B2A"/>
    <w:rsid w:val="12216040"/>
    <w:rsid w:val="12243C6A"/>
    <w:rsid w:val="12323B41"/>
    <w:rsid w:val="12337F00"/>
    <w:rsid w:val="125A3098"/>
    <w:rsid w:val="12AD766B"/>
    <w:rsid w:val="12AF41F6"/>
    <w:rsid w:val="12BA7A0D"/>
    <w:rsid w:val="12F86309"/>
    <w:rsid w:val="13002CF4"/>
    <w:rsid w:val="13044E54"/>
    <w:rsid w:val="131E40C5"/>
    <w:rsid w:val="13501A80"/>
    <w:rsid w:val="13795923"/>
    <w:rsid w:val="137F156C"/>
    <w:rsid w:val="13AC6743"/>
    <w:rsid w:val="13CB7DA9"/>
    <w:rsid w:val="13D74D7F"/>
    <w:rsid w:val="13E454B0"/>
    <w:rsid w:val="13EB21F9"/>
    <w:rsid w:val="14061086"/>
    <w:rsid w:val="141860EE"/>
    <w:rsid w:val="14533497"/>
    <w:rsid w:val="149A29C7"/>
    <w:rsid w:val="14B13266"/>
    <w:rsid w:val="14B7799A"/>
    <w:rsid w:val="14C15580"/>
    <w:rsid w:val="14CA0ED3"/>
    <w:rsid w:val="150A7F85"/>
    <w:rsid w:val="152A7C39"/>
    <w:rsid w:val="153D78B4"/>
    <w:rsid w:val="154843B8"/>
    <w:rsid w:val="15AD4406"/>
    <w:rsid w:val="15D46CBD"/>
    <w:rsid w:val="15E038B4"/>
    <w:rsid w:val="15E909BB"/>
    <w:rsid w:val="15FE4D67"/>
    <w:rsid w:val="1629423D"/>
    <w:rsid w:val="16913548"/>
    <w:rsid w:val="16DB50B2"/>
    <w:rsid w:val="16E80B41"/>
    <w:rsid w:val="17253C74"/>
    <w:rsid w:val="17285513"/>
    <w:rsid w:val="172C5003"/>
    <w:rsid w:val="172D4605"/>
    <w:rsid w:val="177249E0"/>
    <w:rsid w:val="179D48DD"/>
    <w:rsid w:val="17DE3DD1"/>
    <w:rsid w:val="17FF63F7"/>
    <w:rsid w:val="187D1E98"/>
    <w:rsid w:val="187F0273"/>
    <w:rsid w:val="188C5BDD"/>
    <w:rsid w:val="18F56188"/>
    <w:rsid w:val="191C4C03"/>
    <w:rsid w:val="19B4071D"/>
    <w:rsid w:val="19FC5530"/>
    <w:rsid w:val="1A2B1944"/>
    <w:rsid w:val="1A4234C3"/>
    <w:rsid w:val="1A5D2CFD"/>
    <w:rsid w:val="1A5F7E08"/>
    <w:rsid w:val="1A622AE9"/>
    <w:rsid w:val="1A911621"/>
    <w:rsid w:val="1AAF3F5E"/>
    <w:rsid w:val="1AD27C6F"/>
    <w:rsid w:val="1B0E2C71"/>
    <w:rsid w:val="1BB23EFF"/>
    <w:rsid w:val="1BEA723A"/>
    <w:rsid w:val="1BFA24B9"/>
    <w:rsid w:val="1BFD62C4"/>
    <w:rsid w:val="1C0A51E7"/>
    <w:rsid w:val="1C306A81"/>
    <w:rsid w:val="1C4701E9"/>
    <w:rsid w:val="1C542199"/>
    <w:rsid w:val="1C874A89"/>
    <w:rsid w:val="1C972ECE"/>
    <w:rsid w:val="1CD75A11"/>
    <w:rsid w:val="1CE73F57"/>
    <w:rsid w:val="1D035AC0"/>
    <w:rsid w:val="1D5726AE"/>
    <w:rsid w:val="1D762229"/>
    <w:rsid w:val="1DA9187F"/>
    <w:rsid w:val="1DC6338F"/>
    <w:rsid w:val="1E1355AC"/>
    <w:rsid w:val="1E454B05"/>
    <w:rsid w:val="1E4C5F8A"/>
    <w:rsid w:val="1E810F7F"/>
    <w:rsid w:val="1EE2069D"/>
    <w:rsid w:val="1F6D77C8"/>
    <w:rsid w:val="1F921598"/>
    <w:rsid w:val="1FBC045E"/>
    <w:rsid w:val="1FBF2370"/>
    <w:rsid w:val="20B17B77"/>
    <w:rsid w:val="20BB4EC2"/>
    <w:rsid w:val="20BC1B9D"/>
    <w:rsid w:val="21390135"/>
    <w:rsid w:val="21486EDD"/>
    <w:rsid w:val="215E2EEF"/>
    <w:rsid w:val="21617F9F"/>
    <w:rsid w:val="217958F6"/>
    <w:rsid w:val="217C0935"/>
    <w:rsid w:val="217C0CE7"/>
    <w:rsid w:val="21D10BB0"/>
    <w:rsid w:val="21DC5A1B"/>
    <w:rsid w:val="22001566"/>
    <w:rsid w:val="220B70F2"/>
    <w:rsid w:val="221528DF"/>
    <w:rsid w:val="2237485C"/>
    <w:rsid w:val="22737F8A"/>
    <w:rsid w:val="22915559"/>
    <w:rsid w:val="22F976ED"/>
    <w:rsid w:val="23420D70"/>
    <w:rsid w:val="23AA4215"/>
    <w:rsid w:val="242623B1"/>
    <w:rsid w:val="242F6132"/>
    <w:rsid w:val="24592486"/>
    <w:rsid w:val="24B16B47"/>
    <w:rsid w:val="24C70119"/>
    <w:rsid w:val="24DB3BC4"/>
    <w:rsid w:val="24FB6014"/>
    <w:rsid w:val="24FE5B05"/>
    <w:rsid w:val="250824DF"/>
    <w:rsid w:val="2527505B"/>
    <w:rsid w:val="252C0F6A"/>
    <w:rsid w:val="25306065"/>
    <w:rsid w:val="25333A00"/>
    <w:rsid w:val="253B210F"/>
    <w:rsid w:val="256052B1"/>
    <w:rsid w:val="25695F41"/>
    <w:rsid w:val="257528BF"/>
    <w:rsid w:val="25DE1FA0"/>
    <w:rsid w:val="25DF678E"/>
    <w:rsid w:val="25E42F4C"/>
    <w:rsid w:val="25EC17F4"/>
    <w:rsid w:val="26136E77"/>
    <w:rsid w:val="26485289"/>
    <w:rsid w:val="26597496"/>
    <w:rsid w:val="26995AE5"/>
    <w:rsid w:val="269C55D5"/>
    <w:rsid w:val="26BA5C25"/>
    <w:rsid w:val="26CA2C15"/>
    <w:rsid w:val="26CD1C32"/>
    <w:rsid w:val="26D6070D"/>
    <w:rsid w:val="26EA3CCE"/>
    <w:rsid w:val="272F01F7"/>
    <w:rsid w:val="272F6449"/>
    <w:rsid w:val="27442996"/>
    <w:rsid w:val="278236BA"/>
    <w:rsid w:val="27845454"/>
    <w:rsid w:val="27894419"/>
    <w:rsid w:val="28481EEB"/>
    <w:rsid w:val="286133A8"/>
    <w:rsid w:val="28B27CA3"/>
    <w:rsid w:val="28D86DCB"/>
    <w:rsid w:val="28DB0A53"/>
    <w:rsid w:val="28F006E3"/>
    <w:rsid w:val="29E11C7D"/>
    <w:rsid w:val="29E4043D"/>
    <w:rsid w:val="2A2E0C3A"/>
    <w:rsid w:val="2A6102EC"/>
    <w:rsid w:val="2A7228D5"/>
    <w:rsid w:val="2A941B30"/>
    <w:rsid w:val="2A952A67"/>
    <w:rsid w:val="2AB47391"/>
    <w:rsid w:val="2ABC1DA2"/>
    <w:rsid w:val="2ACC030F"/>
    <w:rsid w:val="2B05199B"/>
    <w:rsid w:val="2B084FE7"/>
    <w:rsid w:val="2B4D3342"/>
    <w:rsid w:val="2B510F91"/>
    <w:rsid w:val="2B8F74B6"/>
    <w:rsid w:val="2B927BF0"/>
    <w:rsid w:val="2BAA609E"/>
    <w:rsid w:val="2BC068CC"/>
    <w:rsid w:val="2BD870AF"/>
    <w:rsid w:val="2C3C763E"/>
    <w:rsid w:val="2CAC2710"/>
    <w:rsid w:val="2CE43832"/>
    <w:rsid w:val="2CF54F37"/>
    <w:rsid w:val="2D170DFB"/>
    <w:rsid w:val="2D686211"/>
    <w:rsid w:val="2D6B5B76"/>
    <w:rsid w:val="2D6F57F1"/>
    <w:rsid w:val="2DCB5F48"/>
    <w:rsid w:val="2DEC299E"/>
    <w:rsid w:val="2E1B14D5"/>
    <w:rsid w:val="2E577CCC"/>
    <w:rsid w:val="2EBA6F40"/>
    <w:rsid w:val="2EBE597C"/>
    <w:rsid w:val="2F192425"/>
    <w:rsid w:val="2F491405"/>
    <w:rsid w:val="2F700004"/>
    <w:rsid w:val="2F750AF6"/>
    <w:rsid w:val="2F8310E0"/>
    <w:rsid w:val="2FA21B63"/>
    <w:rsid w:val="2FAC6889"/>
    <w:rsid w:val="2FB11EED"/>
    <w:rsid w:val="2FB674D6"/>
    <w:rsid w:val="30627CFF"/>
    <w:rsid w:val="30762746"/>
    <w:rsid w:val="30A612CD"/>
    <w:rsid w:val="30D13CEA"/>
    <w:rsid w:val="30D75E76"/>
    <w:rsid w:val="30EE4C7F"/>
    <w:rsid w:val="31385912"/>
    <w:rsid w:val="315E0057"/>
    <w:rsid w:val="31623B36"/>
    <w:rsid w:val="318D7151"/>
    <w:rsid w:val="31D310EC"/>
    <w:rsid w:val="31D76BE3"/>
    <w:rsid w:val="31DE2F46"/>
    <w:rsid w:val="31E656F2"/>
    <w:rsid w:val="31F10E53"/>
    <w:rsid w:val="31F84007"/>
    <w:rsid w:val="32677044"/>
    <w:rsid w:val="326A3B99"/>
    <w:rsid w:val="32855BAD"/>
    <w:rsid w:val="328B65FB"/>
    <w:rsid w:val="32935ADE"/>
    <w:rsid w:val="32936105"/>
    <w:rsid w:val="32A0771A"/>
    <w:rsid w:val="32F32A21"/>
    <w:rsid w:val="32FB6D81"/>
    <w:rsid w:val="330A3CD4"/>
    <w:rsid w:val="33522C72"/>
    <w:rsid w:val="33C65A3F"/>
    <w:rsid w:val="342A06A6"/>
    <w:rsid w:val="347B74B6"/>
    <w:rsid w:val="34CE1050"/>
    <w:rsid w:val="35C2236D"/>
    <w:rsid w:val="35CC12CF"/>
    <w:rsid w:val="35E05EC2"/>
    <w:rsid w:val="35EB58C9"/>
    <w:rsid w:val="35FD497C"/>
    <w:rsid w:val="36174C78"/>
    <w:rsid w:val="36651083"/>
    <w:rsid w:val="369037A3"/>
    <w:rsid w:val="36965B9D"/>
    <w:rsid w:val="36D30B9F"/>
    <w:rsid w:val="36FD79CA"/>
    <w:rsid w:val="372B2789"/>
    <w:rsid w:val="373A6E70"/>
    <w:rsid w:val="37490E61"/>
    <w:rsid w:val="377C1237"/>
    <w:rsid w:val="382316B2"/>
    <w:rsid w:val="38325D99"/>
    <w:rsid w:val="383C09C6"/>
    <w:rsid w:val="38CF5396"/>
    <w:rsid w:val="392576AC"/>
    <w:rsid w:val="392C1B53"/>
    <w:rsid w:val="393A3FC5"/>
    <w:rsid w:val="39596A2A"/>
    <w:rsid w:val="398D772B"/>
    <w:rsid w:val="39DA2245"/>
    <w:rsid w:val="39FE1322"/>
    <w:rsid w:val="3A402774"/>
    <w:rsid w:val="3A4F746C"/>
    <w:rsid w:val="3A5244D1"/>
    <w:rsid w:val="3A7E72BE"/>
    <w:rsid w:val="3AC32FB7"/>
    <w:rsid w:val="3B0A4CF0"/>
    <w:rsid w:val="3B581673"/>
    <w:rsid w:val="3BC1546A"/>
    <w:rsid w:val="3BF13876"/>
    <w:rsid w:val="3C2A2785"/>
    <w:rsid w:val="3C942B7F"/>
    <w:rsid w:val="3CAA735A"/>
    <w:rsid w:val="3D0374A9"/>
    <w:rsid w:val="3D193084"/>
    <w:rsid w:val="3D595B76"/>
    <w:rsid w:val="3D624E1A"/>
    <w:rsid w:val="3D755FB3"/>
    <w:rsid w:val="3D9B23FA"/>
    <w:rsid w:val="3DC079A3"/>
    <w:rsid w:val="3DC47D28"/>
    <w:rsid w:val="3E686071"/>
    <w:rsid w:val="3E703177"/>
    <w:rsid w:val="3E733D99"/>
    <w:rsid w:val="3EAE3246"/>
    <w:rsid w:val="3F052628"/>
    <w:rsid w:val="3F0D6C18"/>
    <w:rsid w:val="3F213DF6"/>
    <w:rsid w:val="3F3E3276"/>
    <w:rsid w:val="3F5E1222"/>
    <w:rsid w:val="3F977E85"/>
    <w:rsid w:val="3FC27A03"/>
    <w:rsid w:val="3FFF2A05"/>
    <w:rsid w:val="406311E6"/>
    <w:rsid w:val="407A3AE6"/>
    <w:rsid w:val="408D68F6"/>
    <w:rsid w:val="40F0234E"/>
    <w:rsid w:val="40F77F61"/>
    <w:rsid w:val="410C5D6B"/>
    <w:rsid w:val="41135599"/>
    <w:rsid w:val="41280BE1"/>
    <w:rsid w:val="412F731A"/>
    <w:rsid w:val="413F5BE3"/>
    <w:rsid w:val="414813D4"/>
    <w:rsid w:val="417536AE"/>
    <w:rsid w:val="41953B3B"/>
    <w:rsid w:val="41B56B45"/>
    <w:rsid w:val="41DE71C7"/>
    <w:rsid w:val="41E77BF5"/>
    <w:rsid w:val="41FF0A9A"/>
    <w:rsid w:val="421309EA"/>
    <w:rsid w:val="4250579A"/>
    <w:rsid w:val="42650DDE"/>
    <w:rsid w:val="4269045F"/>
    <w:rsid w:val="42962FAA"/>
    <w:rsid w:val="43192030"/>
    <w:rsid w:val="43486471"/>
    <w:rsid w:val="43986235"/>
    <w:rsid w:val="43A833B4"/>
    <w:rsid w:val="43AB6BB3"/>
    <w:rsid w:val="43E0686A"/>
    <w:rsid w:val="43F87E97"/>
    <w:rsid w:val="43F91FF0"/>
    <w:rsid w:val="441B65CB"/>
    <w:rsid w:val="44476729"/>
    <w:rsid w:val="44621098"/>
    <w:rsid w:val="44625D23"/>
    <w:rsid w:val="447110FA"/>
    <w:rsid w:val="44A06B0A"/>
    <w:rsid w:val="44CD1324"/>
    <w:rsid w:val="44D02BC2"/>
    <w:rsid w:val="450C4AD6"/>
    <w:rsid w:val="45140D01"/>
    <w:rsid w:val="451E30B0"/>
    <w:rsid w:val="45FC3543"/>
    <w:rsid w:val="4615491C"/>
    <w:rsid w:val="46BA7AEA"/>
    <w:rsid w:val="46F96A56"/>
    <w:rsid w:val="47174147"/>
    <w:rsid w:val="472323D9"/>
    <w:rsid w:val="4723522B"/>
    <w:rsid w:val="47393878"/>
    <w:rsid w:val="47507FEA"/>
    <w:rsid w:val="47BB36B5"/>
    <w:rsid w:val="484D103A"/>
    <w:rsid w:val="48651873"/>
    <w:rsid w:val="48780FA3"/>
    <w:rsid w:val="4893018E"/>
    <w:rsid w:val="48BD16AF"/>
    <w:rsid w:val="48DA3031"/>
    <w:rsid w:val="49046CCB"/>
    <w:rsid w:val="49830203"/>
    <w:rsid w:val="49AD01A5"/>
    <w:rsid w:val="49EB5DA8"/>
    <w:rsid w:val="4A19424D"/>
    <w:rsid w:val="4A4831FA"/>
    <w:rsid w:val="4AC13A05"/>
    <w:rsid w:val="4AEE71F6"/>
    <w:rsid w:val="4B115AA3"/>
    <w:rsid w:val="4B50680B"/>
    <w:rsid w:val="4B6776B0"/>
    <w:rsid w:val="4B9660C9"/>
    <w:rsid w:val="4BE3142D"/>
    <w:rsid w:val="4BF058F8"/>
    <w:rsid w:val="4C325F10"/>
    <w:rsid w:val="4C4A325A"/>
    <w:rsid w:val="4C743681"/>
    <w:rsid w:val="4C982217"/>
    <w:rsid w:val="4CC92CDF"/>
    <w:rsid w:val="4CCE170B"/>
    <w:rsid w:val="4CE8358B"/>
    <w:rsid w:val="4D176FCD"/>
    <w:rsid w:val="4D1E7B0E"/>
    <w:rsid w:val="4DF2028E"/>
    <w:rsid w:val="4DF770FA"/>
    <w:rsid w:val="4E013DEC"/>
    <w:rsid w:val="4E0A230C"/>
    <w:rsid w:val="4E4C33F2"/>
    <w:rsid w:val="4E564073"/>
    <w:rsid w:val="4E703C12"/>
    <w:rsid w:val="4E724CEA"/>
    <w:rsid w:val="4E997076"/>
    <w:rsid w:val="4ED829E2"/>
    <w:rsid w:val="4F181B87"/>
    <w:rsid w:val="4F381A8F"/>
    <w:rsid w:val="4F700690"/>
    <w:rsid w:val="4F8810DB"/>
    <w:rsid w:val="4F9053B1"/>
    <w:rsid w:val="4FB541B4"/>
    <w:rsid w:val="4FC83A77"/>
    <w:rsid w:val="4FCA0E8E"/>
    <w:rsid w:val="501911CB"/>
    <w:rsid w:val="50217B7B"/>
    <w:rsid w:val="50440650"/>
    <w:rsid w:val="50600216"/>
    <w:rsid w:val="50642410"/>
    <w:rsid w:val="506571FF"/>
    <w:rsid w:val="50AC7896"/>
    <w:rsid w:val="50B218AD"/>
    <w:rsid w:val="50BE5FC4"/>
    <w:rsid w:val="510C1348"/>
    <w:rsid w:val="513A1AEF"/>
    <w:rsid w:val="516721B8"/>
    <w:rsid w:val="517B3BF2"/>
    <w:rsid w:val="51BF42C7"/>
    <w:rsid w:val="521A722A"/>
    <w:rsid w:val="521D4F6D"/>
    <w:rsid w:val="523E434D"/>
    <w:rsid w:val="52660640"/>
    <w:rsid w:val="52B729E6"/>
    <w:rsid w:val="52D054FF"/>
    <w:rsid w:val="52F0195D"/>
    <w:rsid w:val="53227120"/>
    <w:rsid w:val="53590F5E"/>
    <w:rsid w:val="53877FA0"/>
    <w:rsid w:val="53966D85"/>
    <w:rsid w:val="53E44E00"/>
    <w:rsid w:val="53F106D9"/>
    <w:rsid w:val="540262EE"/>
    <w:rsid w:val="54642849"/>
    <w:rsid w:val="548B2661"/>
    <w:rsid w:val="54A343DE"/>
    <w:rsid w:val="54B0392B"/>
    <w:rsid w:val="54E70732"/>
    <w:rsid w:val="55075628"/>
    <w:rsid w:val="550D12C8"/>
    <w:rsid w:val="55AB6D79"/>
    <w:rsid w:val="55DA73FC"/>
    <w:rsid w:val="5724310E"/>
    <w:rsid w:val="576820AD"/>
    <w:rsid w:val="576B365D"/>
    <w:rsid w:val="57741358"/>
    <w:rsid w:val="57833AC4"/>
    <w:rsid w:val="57957FD1"/>
    <w:rsid w:val="579B0E0D"/>
    <w:rsid w:val="57D34F8E"/>
    <w:rsid w:val="587D49B7"/>
    <w:rsid w:val="58950E5A"/>
    <w:rsid w:val="58954E55"/>
    <w:rsid w:val="589C3E71"/>
    <w:rsid w:val="58BA1767"/>
    <w:rsid w:val="58D5317F"/>
    <w:rsid w:val="58F82952"/>
    <w:rsid w:val="59012EF2"/>
    <w:rsid w:val="590D7AE9"/>
    <w:rsid w:val="59411541"/>
    <w:rsid w:val="59417793"/>
    <w:rsid w:val="595347AB"/>
    <w:rsid w:val="59611BE3"/>
    <w:rsid w:val="598D29D8"/>
    <w:rsid w:val="59B91A1F"/>
    <w:rsid w:val="59C776F0"/>
    <w:rsid w:val="59CC5ED0"/>
    <w:rsid w:val="59D00860"/>
    <w:rsid w:val="59FE19ED"/>
    <w:rsid w:val="5A9B5A37"/>
    <w:rsid w:val="5B060C94"/>
    <w:rsid w:val="5B0A0784"/>
    <w:rsid w:val="5B4E4D05"/>
    <w:rsid w:val="5B565263"/>
    <w:rsid w:val="5BBE156E"/>
    <w:rsid w:val="5BCF552A"/>
    <w:rsid w:val="5C1178F0"/>
    <w:rsid w:val="5C44617F"/>
    <w:rsid w:val="5C620B30"/>
    <w:rsid w:val="5C692729"/>
    <w:rsid w:val="5D217743"/>
    <w:rsid w:val="5D663C6C"/>
    <w:rsid w:val="5D9D1696"/>
    <w:rsid w:val="5DB379C1"/>
    <w:rsid w:val="5DBC7D30"/>
    <w:rsid w:val="5DBE147D"/>
    <w:rsid w:val="5DE747B5"/>
    <w:rsid w:val="5DF248D5"/>
    <w:rsid w:val="5E1D0563"/>
    <w:rsid w:val="5E6261E1"/>
    <w:rsid w:val="5ED86A3F"/>
    <w:rsid w:val="5EE25C8C"/>
    <w:rsid w:val="5EFA10F2"/>
    <w:rsid w:val="5F3202A9"/>
    <w:rsid w:val="5F4B254F"/>
    <w:rsid w:val="5F841E36"/>
    <w:rsid w:val="5F893C41"/>
    <w:rsid w:val="5F8E0463"/>
    <w:rsid w:val="5F9F159A"/>
    <w:rsid w:val="5FA00EA2"/>
    <w:rsid w:val="5FBC4017"/>
    <w:rsid w:val="602B6AA7"/>
    <w:rsid w:val="607C0194"/>
    <w:rsid w:val="6083177B"/>
    <w:rsid w:val="60A919DB"/>
    <w:rsid w:val="60BE175D"/>
    <w:rsid w:val="60D11424"/>
    <w:rsid w:val="60DD5FF3"/>
    <w:rsid w:val="6151253D"/>
    <w:rsid w:val="61535926"/>
    <w:rsid w:val="61592F11"/>
    <w:rsid w:val="615C0C4D"/>
    <w:rsid w:val="615F567B"/>
    <w:rsid w:val="61A255D6"/>
    <w:rsid w:val="61FE0917"/>
    <w:rsid w:val="626926F0"/>
    <w:rsid w:val="63170A80"/>
    <w:rsid w:val="6344075B"/>
    <w:rsid w:val="635E4BF7"/>
    <w:rsid w:val="63A728E8"/>
    <w:rsid w:val="63B1777A"/>
    <w:rsid w:val="63B21468"/>
    <w:rsid w:val="63F172BF"/>
    <w:rsid w:val="63F55D49"/>
    <w:rsid w:val="641206A9"/>
    <w:rsid w:val="642301C1"/>
    <w:rsid w:val="64570A13"/>
    <w:rsid w:val="646F565A"/>
    <w:rsid w:val="6476316D"/>
    <w:rsid w:val="64947547"/>
    <w:rsid w:val="64AD1B28"/>
    <w:rsid w:val="64E5191A"/>
    <w:rsid w:val="656A1E1F"/>
    <w:rsid w:val="65ED1C09"/>
    <w:rsid w:val="65F812AB"/>
    <w:rsid w:val="66331170"/>
    <w:rsid w:val="663568D1"/>
    <w:rsid w:val="66404FB3"/>
    <w:rsid w:val="6649508B"/>
    <w:rsid w:val="66B63D8D"/>
    <w:rsid w:val="66B912B0"/>
    <w:rsid w:val="66C36BD2"/>
    <w:rsid w:val="66D93700"/>
    <w:rsid w:val="66E86CF7"/>
    <w:rsid w:val="670F164E"/>
    <w:rsid w:val="67431CB5"/>
    <w:rsid w:val="675246B1"/>
    <w:rsid w:val="675A4A8D"/>
    <w:rsid w:val="677D408C"/>
    <w:rsid w:val="679E3484"/>
    <w:rsid w:val="67A2353A"/>
    <w:rsid w:val="67C972D1"/>
    <w:rsid w:val="67E97973"/>
    <w:rsid w:val="681B3FAD"/>
    <w:rsid w:val="681D0B0D"/>
    <w:rsid w:val="68280C00"/>
    <w:rsid w:val="685E3EBD"/>
    <w:rsid w:val="68796A01"/>
    <w:rsid w:val="68C1256E"/>
    <w:rsid w:val="68DB402C"/>
    <w:rsid w:val="68F51E81"/>
    <w:rsid w:val="692C6C65"/>
    <w:rsid w:val="693E3CEF"/>
    <w:rsid w:val="69692B1A"/>
    <w:rsid w:val="697D533D"/>
    <w:rsid w:val="69CF3DD6"/>
    <w:rsid w:val="69E91EAC"/>
    <w:rsid w:val="6A570BC4"/>
    <w:rsid w:val="6A9E2C97"/>
    <w:rsid w:val="6B200BDE"/>
    <w:rsid w:val="6B5D73DB"/>
    <w:rsid w:val="6B8D6B7B"/>
    <w:rsid w:val="6C59228F"/>
    <w:rsid w:val="6C67530A"/>
    <w:rsid w:val="6C7A6930"/>
    <w:rsid w:val="6CB85CBF"/>
    <w:rsid w:val="6CDE55CC"/>
    <w:rsid w:val="6CDF6505"/>
    <w:rsid w:val="6D321474"/>
    <w:rsid w:val="6D8E55F4"/>
    <w:rsid w:val="6DB12CE1"/>
    <w:rsid w:val="6DE76703"/>
    <w:rsid w:val="6E0A51B8"/>
    <w:rsid w:val="6E7F693B"/>
    <w:rsid w:val="6E8C2E06"/>
    <w:rsid w:val="6EBC7B8F"/>
    <w:rsid w:val="6ED21161"/>
    <w:rsid w:val="6F150831"/>
    <w:rsid w:val="6F3865AC"/>
    <w:rsid w:val="6F4522A6"/>
    <w:rsid w:val="6F5D1122"/>
    <w:rsid w:val="6F683017"/>
    <w:rsid w:val="6F891E77"/>
    <w:rsid w:val="6FC22F83"/>
    <w:rsid w:val="70AA1FD4"/>
    <w:rsid w:val="70D50A94"/>
    <w:rsid w:val="70D53FA0"/>
    <w:rsid w:val="715C2938"/>
    <w:rsid w:val="71CF59F3"/>
    <w:rsid w:val="71F426C7"/>
    <w:rsid w:val="72600832"/>
    <w:rsid w:val="72C07522"/>
    <w:rsid w:val="72FC46DC"/>
    <w:rsid w:val="73261A7B"/>
    <w:rsid w:val="73800C14"/>
    <w:rsid w:val="738F7621"/>
    <w:rsid w:val="740775BE"/>
    <w:rsid w:val="7408115C"/>
    <w:rsid w:val="746D1DF6"/>
    <w:rsid w:val="746F4033"/>
    <w:rsid w:val="74767B94"/>
    <w:rsid w:val="74AC4202"/>
    <w:rsid w:val="750B717B"/>
    <w:rsid w:val="753E4413"/>
    <w:rsid w:val="755058C8"/>
    <w:rsid w:val="75554C81"/>
    <w:rsid w:val="75630D65"/>
    <w:rsid w:val="75744A38"/>
    <w:rsid w:val="762A53DF"/>
    <w:rsid w:val="765132FA"/>
    <w:rsid w:val="7690784E"/>
    <w:rsid w:val="76C008D7"/>
    <w:rsid w:val="76E41A31"/>
    <w:rsid w:val="76F37EC6"/>
    <w:rsid w:val="771321CF"/>
    <w:rsid w:val="779A6D27"/>
    <w:rsid w:val="78054C6E"/>
    <w:rsid w:val="782B7AC9"/>
    <w:rsid w:val="7831514A"/>
    <w:rsid w:val="784C4F03"/>
    <w:rsid w:val="784E382D"/>
    <w:rsid w:val="788566A9"/>
    <w:rsid w:val="790C75C7"/>
    <w:rsid w:val="79195277"/>
    <w:rsid w:val="79245111"/>
    <w:rsid w:val="7953219F"/>
    <w:rsid w:val="796E5F2A"/>
    <w:rsid w:val="79914366"/>
    <w:rsid w:val="7997330A"/>
    <w:rsid w:val="79E85CDC"/>
    <w:rsid w:val="79EF201E"/>
    <w:rsid w:val="7AB14320"/>
    <w:rsid w:val="7AB47064"/>
    <w:rsid w:val="7AD1051F"/>
    <w:rsid w:val="7AD7365B"/>
    <w:rsid w:val="7AF0377E"/>
    <w:rsid w:val="7B291F31"/>
    <w:rsid w:val="7B364826"/>
    <w:rsid w:val="7B4A207F"/>
    <w:rsid w:val="7B67341C"/>
    <w:rsid w:val="7B966C22"/>
    <w:rsid w:val="7BA34766"/>
    <w:rsid w:val="7BDA5FBB"/>
    <w:rsid w:val="7C1202D2"/>
    <w:rsid w:val="7C205F1C"/>
    <w:rsid w:val="7C5546E4"/>
    <w:rsid w:val="7CEE4153"/>
    <w:rsid w:val="7D230B44"/>
    <w:rsid w:val="7DA243F4"/>
    <w:rsid w:val="7E7B63E5"/>
    <w:rsid w:val="7ECF1219"/>
    <w:rsid w:val="7F3B2693"/>
    <w:rsid w:val="7F446BDE"/>
    <w:rsid w:val="7F606315"/>
    <w:rsid w:val="7FD9329F"/>
    <w:rsid w:val="FFFD9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6"/>
    <w:qFormat/>
    <w:uiPriority w:val="99"/>
    <w:pPr>
      <w:keepNext/>
      <w:keepLines/>
      <w:spacing w:line="360" w:lineRule="auto"/>
      <w:jc w:val="center"/>
      <w:outlineLvl w:val="0"/>
    </w:pPr>
    <w:rPr>
      <w:b/>
      <w:bCs/>
      <w:sz w:val="32"/>
      <w:szCs w:val="32"/>
    </w:rPr>
  </w:style>
  <w:style w:type="paragraph" w:styleId="4">
    <w:name w:val="heading 2"/>
    <w:basedOn w:val="1"/>
    <w:next w:val="1"/>
    <w:link w:val="29"/>
    <w:qFormat/>
    <w:uiPriority w:val="99"/>
    <w:pPr>
      <w:keepNext/>
      <w:keepLines/>
      <w:spacing w:beforeLines="50"/>
      <w:ind w:firstLine="1680" w:firstLineChars="200"/>
      <w:outlineLvl w:val="1"/>
    </w:pPr>
    <w:rPr>
      <w:rFonts w:ascii="Arial" w:hAnsi="Arial"/>
      <w:b/>
      <w:bCs/>
      <w:szCs w:val="32"/>
    </w:rPr>
  </w:style>
  <w:style w:type="paragraph" w:styleId="2">
    <w:name w:val="heading 3"/>
    <w:basedOn w:val="1"/>
    <w:next w:val="1"/>
    <w:link w:val="30"/>
    <w:qFormat/>
    <w:uiPriority w:val="99"/>
    <w:pPr>
      <w:keepNext/>
      <w:keepLines/>
      <w:spacing w:line="360" w:lineRule="auto"/>
      <w:ind w:firstLine="560" w:firstLineChars="200"/>
      <w:jc w:val="left"/>
      <w:outlineLvl w:val="2"/>
    </w:pPr>
    <w:rPr>
      <w:b/>
      <w:kern w:val="0"/>
      <w:sz w:val="20"/>
    </w:rPr>
  </w:style>
  <w:style w:type="paragraph" w:styleId="5">
    <w:name w:val="heading 4"/>
    <w:basedOn w:val="1"/>
    <w:next w:val="1"/>
    <w:link w:val="31"/>
    <w:qFormat/>
    <w:uiPriority w:val="99"/>
    <w:pPr>
      <w:keepNext/>
      <w:keepLines/>
      <w:spacing w:line="360" w:lineRule="auto"/>
      <w:ind w:firstLine="562" w:firstLineChars="200"/>
      <w:jc w:val="left"/>
      <w:outlineLvl w:val="3"/>
    </w:pPr>
    <w:rPr>
      <w:rFonts w:ascii="Arial" w:hAnsi="Arial"/>
      <w:b/>
      <w:kern w:val="0"/>
      <w:sz w:val="20"/>
    </w:rPr>
  </w:style>
  <w:style w:type="paragraph" w:styleId="6">
    <w:name w:val="heading 5"/>
    <w:basedOn w:val="1"/>
    <w:next w:val="1"/>
    <w:link w:val="32"/>
    <w:qFormat/>
    <w:uiPriority w:val="99"/>
    <w:pPr>
      <w:keepNext/>
      <w:keepLines/>
      <w:spacing w:line="360" w:lineRule="auto"/>
      <w:jc w:val="center"/>
      <w:outlineLvl w:val="4"/>
    </w:pPr>
    <w:rPr>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semiHidden/>
    <w:qFormat/>
    <w:uiPriority w:val="99"/>
    <w:pPr>
      <w:adjustRightInd w:val="0"/>
      <w:snapToGrid w:val="0"/>
      <w:spacing w:line="360" w:lineRule="auto"/>
      <w:ind w:left="100" w:leftChars="400" w:hanging="200" w:hangingChars="200"/>
    </w:pPr>
  </w:style>
  <w:style w:type="paragraph" w:styleId="8">
    <w:name w:val="toa heading"/>
    <w:basedOn w:val="1"/>
    <w:next w:val="1"/>
    <w:qFormat/>
    <w:locked/>
    <w:uiPriority w:val="0"/>
    <w:pPr>
      <w:spacing w:before="120"/>
    </w:pPr>
    <w:rPr>
      <w:rFonts w:ascii="Arial" w:hAnsi="Arial"/>
      <w:sz w:val="24"/>
    </w:rPr>
  </w:style>
  <w:style w:type="paragraph" w:styleId="9">
    <w:name w:val="annotation text"/>
    <w:basedOn w:val="1"/>
    <w:link w:val="39"/>
    <w:qFormat/>
    <w:uiPriority w:val="99"/>
    <w:pPr>
      <w:jc w:val="left"/>
    </w:pPr>
  </w:style>
  <w:style w:type="paragraph" w:styleId="10">
    <w:name w:val="Body Text"/>
    <w:basedOn w:val="1"/>
    <w:next w:val="11"/>
    <w:link w:val="37"/>
    <w:qFormat/>
    <w:uiPriority w:val="99"/>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styleId="12">
    <w:name w:val="Body Text Indent"/>
    <w:basedOn w:val="1"/>
    <w:link w:val="40"/>
    <w:qFormat/>
    <w:uiPriority w:val="99"/>
    <w:pPr>
      <w:spacing w:after="120"/>
      <w:ind w:left="420" w:leftChars="200"/>
    </w:pPr>
  </w:style>
  <w:style w:type="paragraph" w:styleId="13">
    <w:name w:val="Date"/>
    <w:basedOn w:val="1"/>
    <w:next w:val="1"/>
    <w:link w:val="41"/>
    <w:qFormat/>
    <w:uiPriority w:val="99"/>
  </w:style>
  <w:style w:type="paragraph" w:styleId="14">
    <w:name w:val="footer"/>
    <w:basedOn w:val="1"/>
    <w:next w:val="15"/>
    <w:link w:val="42"/>
    <w:qFormat/>
    <w:uiPriority w:val="99"/>
    <w:pPr>
      <w:tabs>
        <w:tab w:val="center" w:pos="4153"/>
        <w:tab w:val="right" w:pos="8306"/>
      </w:tabs>
      <w:snapToGrid w:val="0"/>
      <w:jc w:val="left"/>
    </w:pPr>
    <w:rPr>
      <w:sz w:val="18"/>
    </w:rPr>
  </w:style>
  <w:style w:type="paragraph" w:customStyle="1" w:styleId="15">
    <w:name w:val="索引 51"/>
    <w:basedOn w:val="1"/>
    <w:next w:val="1"/>
    <w:qFormat/>
    <w:uiPriority w:val="0"/>
    <w:pPr>
      <w:ind w:left="1680"/>
    </w:pPr>
    <w:rPr>
      <w:rFonts w:eastAsia="宋体"/>
    </w:rPr>
  </w:style>
  <w:style w:type="paragraph" w:styleId="16">
    <w:name w:val="envelope return"/>
    <w:basedOn w:val="1"/>
    <w:semiHidden/>
    <w:qFormat/>
    <w:uiPriority w:val="99"/>
    <w:pPr>
      <w:snapToGrid w:val="0"/>
    </w:pPr>
    <w:rPr>
      <w:rFonts w:ascii="Arial" w:hAnsi="Arial" w:cs="Arial"/>
    </w:rPr>
  </w:style>
  <w:style w:type="paragraph" w:styleId="17">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spacing w:line="320" w:lineRule="exact"/>
      <w:jc w:val="left"/>
    </w:pPr>
    <w:rPr>
      <w:rFonts w:ascii="宋体" w:hAnsi="宋体"/>
      <w:sz w:val="24"/>
    </w:rPr>
  </w:style>
  <w:style w:type="paragraph" w:styleId="19">
    <w:name w:val="toc 2"/>
    <w:basedOn w:val="1"/>
    <w:next w:val="1"/>
    <w:qFormat/>
    <w:uiPriority w:val="99"/>
    <w:pPr>
      <w:ind w:left="420" w:leftChars="200"/>
    </w:pPr>
  </w:style>
  <w:style w:type="paragraph" w:styleId="20">
    <w:name w:val="HTML Preformatted"/>
    <w:basedOn w:val="1"/>
    <w:link w:val="44"/>
    <w:qFormat/>
    <w:uiPriority w:val="99"/>
    <w:rPr>
      <w:rFonts w:ascii="Courier New" w:hAnsi="Courier New"/>
      <w:sz w:val="21"/>
      <w:szCs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locked/>
    <w:uiPriority w:val="0"/>
    <w:pPr>
      <w:widowControl/>
      <w:spacing w:after="240" w:line="360" w:lineRule="auto"/>
      <w:jc w:val="center"/>
    </w:pPr>
    <w:rPr>
      <w:rFonts w:ascii="Arial" w:hAnsi="Arial"/>
      <w:b/>
      <w:smallCaps/>
      <w:kern w:val="28"/>
      <w:sz w:val="36"/>
      <w:lang w:eastAsia="en-US"/>
    </w:rPr>
  </w:style>
  <w:style w:type="paragraph" w:styleId="23">
    <w:name w:val="Body Text First Indent"/>
    <w:basedOn w:val="10"/>
    <w:next w:val="7"/>
    <w:link w:val="38"/>
    <w:semiHidden/>
    <w:qFormat/>
    <w:uiPriority w:val="99"/>
    <w:pPr>
      <w:spacing w:line="360" w:lineRule="auto"/>
      <w:ind w:firstLine="420"/>
    </w:pPr>
    <w:rPr>
      <w:sz w:val="24"/>
      <w:szCs w:val="24"/>
    </w:rPr>
  </w:style>
  <w:style w:type="paragraph" w:styleId="24">
    <w:name w:val="Body Text First Indent 2"/>
    <w:basedOn w:val="12"/>
    <w:link w:val="45"/>
    <w:qFormat/>
    <w:uiPriority w:val="99"/>
    <w:pPr>
      <w:ind w:firstLine="420" w:firstLineChars="200"/>
    </w:pPr>
  </w:style>
  <w:style w:type="table" w:styleId="26">
    <w:name w:val="Table Grid"/>
    <w:basedOn w:val="2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qFormat/>
    <w:uiPriority w:val="99"/>
    <w:rPr>
      <w:rFonts w:cs="Times New Roman"/>
      <w:sz w:val="21"/>
      <w:szCs w:val="21"/>
    </w:rPr>
  </w:style>
  <w:style w:type="character" w:customStyle="1" w:styleId="29">
    <w:name w:val="标题 2 Char"/>
    <w:basedOn w:val="27"/>
    <w:link w:val="4"/>
    <w:qFormat/>
    <w:locked/>
    <w:uiPriority w:val="99"/>
    <w:rPr>
      <w:rFonts w:ascii="Arial" w:hAnsi="Arial" w:eastAsia="宋体" w:cs="Times New Roman"/>
      <w:b/>
      <w:kern w:val="2"/>
      <w:sz w:val="32"/>
      <w:lang w:val="en-US" w:eastAsia="zh-CN"/>
    </w:rPr>
  </w:style>
  <w:style w:type="character" w:customStyle="1" w:styleId="30">
    <w:name w:val="标题 3 Char"/>
    <w:basedOn w:val="27"/>
    <w:link w:val="2"/>
    <w:qFormat/>
    <w:locked/>
    <w:uiPriority w:val="99"/>
    <w:rPr>
      <w:rFonts w:ascii="Times New Roman" w:hAnsi="Times New Roman" w:eastAsia="宋体" w:cs="Times New Roman"/>
      <w:b/>
    </w:rPr>
  </w:style>
  <w:style w:type="character" w:customStyle="1" w:styleId="31">
    <w:name w:val="标题 4 Char"/>
    <w:basedOn w:val="27"/>
    <w:link w:val="5"/>
    <w:qFormat/>
    <w:locked/>
    <w:uiPriority w:val="99"/>
    <w:rPr>
      <w:rFonts w:ascii="Arial" w:hAnsi="Arial" w:eastAsia="宋体" w:cs="Times New Roman"/>
      <w:b/>
    </w:rPr>
  </w:style>
  <w:style w:type="character" w:customStyle="1" w:styleId="32">
    <w:name w:val="标题 5 Char"/>
    <w:basedOn w:val="27"/>
    <w:link w:val="6"/>
    <w:semiHidden/>
    <w:qFormat/>
    <w:locked/>
    <w:uiPriority w:val="99"/>
    <w:rPr>
      <w:rFonts w:cs="Times New Roman"/>
      <w:b/>
      <w:bCs/>
      <w:sz w:val="28"/>
      <w:szCs w:val="28"/>
    </w:rPr>
  </w:style>
  <w:style w:type="paragraph" w:styleId="33">
    <w:name w:val="List Paragraph"/>
    <w:basedOn w:val="1"/>
    <w:qFormat/>
    <w:uiPriority w:val="99"/>
    <w:pPr>
      <w:ind w:left="388" w:hanging="213"/>
    </w:pPr>
    <w:rPr>
      <w:rFonts w:ascii="宋体" w:hAnsi="宋体" w:cs="宋体"/>
      <w:lang w:val="zh-CN"/>
    </w:rPr>
  </w:style>
  <w:style w:type="character" w:customStyle="1" w:styleId="34">
    <w:name w:val="标题 1 Char"/>
    <w:qFormat/>
    <w:locked/>
    <w:uiPriority w:val="99"/>
    <w:rPr>
      <w:rFonts w:ascii="Times New Roman" w:hAnsi="Times New Roman" w:eastAsia="宋体"/>
      <w:b/>
      <w:kern w:val="2"/>
      <w:sz w:val="32"/>
      <w:lang w:val="en-US" w:eastAsia="zh-CN"/>
    </w:rPr>
  </w:style>
  <w:style w:type="paragraph" w:customStyle="1" w:styleId="35">
    <w:name w:val="BodyTextIndent2"/>
    <w:basedOn w:val="1"/>
    <w:next w:val="1"/>
    <w:qFormat/>
    <w:uiPriority w:val="0"/>
    <w:pPr>
      <w:widowControl/>
      <w:spacing w:after="120" w:line="480" w:lineRule="auto"/>
      <w:ind w:left="420" w:leftChars="200"/>
      <w:textAlignment w:val="baseline"/>
    </w:pPr>
    <w:rPr>
      <w:rFonts w:eastAsia="楷体"/>
      <w:sz w:val="21"/>
      <w:szCs w:val="22"/>
    </w:rPr>
  </w:style>
  <w:style w:type="character" w:customStyle="1" w:styleId="36">
    <w:name w:val="标题 1 Char1"/>
    <w:basedOn w:val="27"/>
    <w:link w:val="3"/>
    <w:qFormat/>
    <w:locked/>
    <w:uiPriority w:val="99"/>
    <w:rPr>
      <w:rFonts w:ascii="Times New Roman" w:hAnsi="Times New Roman" w:eastAsia="宋体" w:cs="Times New Roman"/>
      <w:kern w:val="44"/>
      <w:sz w:val="32"/>
    </w:rPr>
  </w:style>
  <w:style w:type="character" w:customStyle="1" w:styleId="37">
    <w:name w:val="正文文本 Char"/>
    <w:basedOn w:val="27"/>
    <w:link w:val="10"/>
    <w:semiHidden/>
    <w:qFormat/>
    <w:locked/>
    <w:uiPriority w:val="99"/>
    <w:rPr>
      <w:rFonts w:cs="Times New Roman"/>
      <w:sz w:val="20"/>
      <w:szCs w:val="20"/>
    </w:rPr>
  </w:style>
  <w:style w:type="character" w:customStyle="1" w:styleId="38">
    <w:name w:val="正文首行缩进 Char"/>
    <w:basedOn w:val="37"/>
    <w:link w:val="23"/>
    <w:semiHidden/>
    <w:qFormat/>
    <w:locked/>
    <w:uiPriority w:val="99"/>
    <w:rPr>
      <w:rFonts w:cs="Times New Roman"/>
      <w:sz w:val="20"/>
      <w:szCs w:val="20"/>
    </w:rPr>
  </w:style>
  <w:style w:type="character" w:customStyle="1" w:styleId="39">
    <w:name w:val="批注文字 Char"/>
    <w:basedOn w:val="27"/>
    <w:link w:val="9"/>
    <w:semiHidden/>
    <w:qFormat/>
    <w:locked/>
    <w:uiPriority w:val="99"/>
    <w:rPr>
      <w:rFonts w:cs="Times New Roman"/>
      <w:sz w:val="20"/>
      <w:szCs w:val="20"/>
    </w:rPr>
  </w:style>
  <w:style w:type="character" w:customStyle="1" w:styleId="40">
    <w:name w:val="正文文本缩进 Char"/>
    <w:basedOn w:val="27"/>
    <w:link w:val="12"/>
    <w:semiHidden/>
    <w:qFormat/>
    <w:locked/>
    <w:uiPriority w:val="99"/>
    <w:rPr>
      <w:rFonts w:cs="Times New Roman"/>
      <w:sz w:val="20"/>
      <w:szCs w:val="20"/>
    </w:rPr>
  </w:style>
  <w:style w:type="character" w:customStyle="1" w:styleId="41">
    <w:name w:val="日期 Char"/>
    <w:basedOn w:val="27"/>
    <w:link w:val="13"/>
    <w:semiHidden/>
    <w:qFormat/>
    <w:locked/>
    <w:uiPriority w:val="99"/>
    <w:rPr>
      <w:rFonts w:cs="Times New Roman"/>
      <w:sz w:val="20"/>
      <w:szCs w:val="20"/>
    </w:rPr>
  </w:style>
  <w:style w:type="character" w:customStyle="1" w:styleId="42">
    <w:name w:val="页脚 Char"/>
    <w:basedOn w:val="27"/>
    <w:link w:val="14"/>
    <w:semiHidden/>
    <w:qFormat/>
    <w:locked/>
    <w:uiPriority w:val="99"/>
    <w:rPr>
      <w:rFonts w:cs="Times New Roman"/>
      <w:sz w:val="18"/>
      <w:szCs w:val="18"/>
    </w:rPr>
  </w:style>
  <w:style w:type="character" w:customStyle="1" w:styleId="43">
    <w:name w:val="页眉 Char"/>
    <w:basedOn w:val="27"/>
    <w:link w:val="17"/>
    <w:semiHidden/>
    <w:qFormat/>
    <w:locked/>
    <w:uiPriority w:val="99"/>
    <w:rPr>
      <w:rFonts w:cs="Times New Roman"/>
      <w:sz w:val="18"/>
      <w:szCs w:val="18"/>
    </w:rPr>
  </w:style>
  <w:style w:type="character" w:customStyle="1" w:styleId="44">
    <w:name w:val="HTML 预设格式 Char"/>
    <w:basedOn w:val="27"/>
    <w:link w:val="20"/>
    <w:semiHidden/>
    <w:qFormat/>
    <w:locked/>
    <w:uiPriority w:val="99"/>
    <w:rPr>
      <w:rFonts w:ascii="Courier New" w:hAnsi="Courier New" w:cs="Courier New"/>
      <w:sz w:val="20"/>
      <w:szCs w:val="20"/>
    </w:rPr>
  </w:style>
  <w:style w:type="character" w:customStyle="1" w:styleId="45">
    <w:name w:val="正文首行缩进 2 Char"/>
    <w:basedOn w:val="40"/>
    <w:link w:val="24"/>
    <w:semiHidden/>
    <w:qFormat/>
    <w:locked/>
    <w:uiPriority w:val="99"/>
    <w:rPr>
      <w:rFonts w:cs="Times New Roman"/>
      <w:sz w:val="20"/>
      <w:szCs w:val="20"/>
    </w:rPr>
  </w:style>
  <w:style w:type="paragraph" w:customStyle="1" w:styleId="46">
    <w:name w:val="图例"/>
    <w:basedOn w:val="1"/>
    <w:qFormat/>
    <w:uiPriority w:val="99"/>
    <w:pPr>
      <w:spacing w:before="120" w:after="120" w:line="360" w:lineRule="auto"/>
      <w:jc w:val="center"/>
    </w:pPr>
    <w:rPr>
      <w:rFonts w:eastAsia="仿宋_GB2312"/>
      <w:b/>
      <w:sz w:val="24"/>
    </w:rPr>
  </w:style>
  <w:style w:type="paragraph" w:customStyle="1" w:styleId="47">
    <w:name w:val="授权书和信息卡行距"/>
    <w:qFormat/>
    <w:uiPriority w:val="99"/>
    <w:pPr>
      <w:spacing w:line="560" w:lineRule="exact"/>
    </w:pPr>
    <w:rPr>
      <w:rFonts w:ascii="Times New Roman" w:hAnsi="Times New Roman" w:eastAsia="仿宋_GB2312" w:cs="Times New Roman"/>
      <w:kern w:val="2"/>
      <w:sz w:val="24"/>
      <w:szCs w:val="24"/>
      <w:lang w:val="en-US" w:eastAsia="zh-CN" w:bidi="ar-SA"/>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9">
    <w:name w:val="font41"/>
    <w:basedOn w:val="27"/>
    <w:qFormat/>
    <w:uiPriority w:val="99"/>
    <w:rPr>
      <w:rFonts w:ascii="宋体" w:hAnsi="宋体" w:eastAsia="宋体" w:cs="宋体"/>
      <w:color w:val="000000"/>
      <w:sz w:val="20"/>
      <w:szCs w:val="20"/>
      <w:u w:val="none"/>
    </w:rPr>
  </w:style>
  <w:style w:type="character" w:customStyle="1" w:styleId="50">
    <w:name w:val="font171"/>
    <w:basedOn w:val="27"/>
    <w:qFormat/>
    <w:uiPriority w:val="99"/>
    <w:rPr>
      <w:rFonts w:ascii="Times New Roman" w:hAnsi="Times New Roman" w:cs="Times New Roman"/>
      <w:color w:val="000000"/>
      <w:sz w:val="20"/>
      <w:szCs w:val="20"/>
      <w:u w:val="none"/>
    </w:rPr>
  </w:style>
  <w:style w:type="character" w:customStyle="1" w:styleId="51">
    <w:name w:val="font161"/>
    <w:basedOn w:val="27"/>
    <w:qFormat/>
    <w:uiPriority w:val="99"/>
    <w:rPr>
      <w:rFonts w:ascii="Times New Roman" w:hAnsi="Times New Roman" w:cs="Times New Roman"/>
      <w:color w:val="000000"/>
      <w:sz w:val="22"/>
      <w:szCs w:val="22"/>
      <w:u w:val="none"/>
    </w:rPr>
  </w:style>
  <w:style w:type="character" w:customStyle="1" w:styleId="52">
    <w:name w:val="font01"/>
    <w:basedOn w:val="27"/>
    <w:qFormat/>
    <w:uiPriority w:val="99"/>
    <w:rPr>
      <w:rFonts w:ascii="宋体" w:hAnsi="宋体" w:eastAsia="宋体" w:cs="宋体"/>
      <w:color w:val="000000"/>
      <w:sz w:val="22"/>
      <w:szCs w:val="22"/>
      <w:u w:val="none"/>
    </w:rPr>
  </w:style>
  <w:style w:type="character" w:customStyle="1" w:styleId="53">
    <w:name w:val="font11"/>
    <w:basedOn w:val="27"/>
    <w:qFormat/>
    <w:uiPriority w:val="99"/>
    <w:rPr>
      <w:rFonts w:ascii="宋体" w:hAnsi="宋体" w:eastAsia="宋体" w:cs="宋体"/>
      <w:color w:val="FF0000"/>
      <w:sz w:val="24"/>
      <w:szCs w:val="24"/>
      <w:u w:val="none"/>
    </w:rPr>
  </w:style>
  <w:style w:type="character" w:customStyle="1" w:styleId="54">
    <w:name w:val="font21"/>
    <w:basedOn w:val="27"/>
    <w:qFormat/>
    <w:uiPriority w:val="99"/>
    <w:rPr>
      <w:rFonts w:ascii="方正书宋_GBK" w:hAnsi="方正书宋_GBK" w:eastAsia="方正书宋_GBK" w:cs="方正书宋_GBK"/>
      <w:color w:val="FF0000"/>
      <w:sz w:val="24"/>
      <w:szCs w:val="24"/>
      <w:u w:val="none"/>
    </w:rPr>
  </w:style>
  <w:style w:type="paragraph" w:customStyle="1" w:styleId="55">
    <w:name w:val="p0"/>
    <w:basedOn w:val="1"/>
    <w:qFormat/>
    <w:uiPriority w:val="0"/>
    <w:pPr>
      <w:widowControl/>
    </w:pPr>
    <w:rPr>
      <w:rFonts w:ascii="Calibri" w:hAnsi="Calibri" w:eastAsia="宋体" w:cs="Times New Roman"/>
      <w:kern w:val="0"/>
      <w:szCs w:val="21"/>
    </w:rPr>
  </w:style>
  <w:style w:type="paragraph" w:customStyle="1" w:styleId="5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11926</Words>
  <Characters>12294</Characters>
  <Lines>105</Lines>
  <Paragraphs>29</Paragraphs>
  <TotalTime>10</TotalTime>
  <ScaleCrop>false</ScaleCrop>
  <LinksUpToDate>false</LinksUpToDate>
  <CharactersWithSpaces>13219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2024-05-27T13:40:00Z</dcterms:created>
  <dc:creator>Admin</dc:creator>
  <cp:lastModifiedBy>Lucky丶杰</cp:lastModifiedBy>
  <dcterms:modified xsi:type="dcterms:W3CDTF">2025-08-06T06:37:22Z</dcterms:modified>
  <dc:title>重庆市政府采购云平台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685CA259A1814BAC92B5CEA589A5D36D_13</vt:lpwstr>
  </property>
  <property fmtid="{D5CDD505-2E9C-101B-9397-08002B2CF9AE}" pid="4" name="KSOTemplateDocerSaveRecord">
    <vt:lpwstr>eyJoZGlkIjoiZDM5N2U4ZWUyM2JkZjhkY2JlNWNiOWUyOGU3YTFiZTciLCJ1c2VySWQiOiIyNDk1MDE1MDEifQ==</vt:lpwstr>
  </property>
</Properties>
</file>