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Fonts w:ascii="仿宋" w:hAnsi="仿宋" w:eastAsia="仿宋"/>
          <w:b/>
          <w:sz w:val="100"/>
        </w:rPr>
      </w:pPr>
      <w:r>
        <w:rPr>
          <w:rFonts w:hint="eastAsia" w:ascii="仿宋" w:hAnsi="仿宋" w:eastAsia="仿宋"/>
          <w:b/>
          <w:sz w:val="100"/>
        </w:rPr>
        <w:t xml:space="preserve"> </w:t>
      </w:r>
    </w:p>
    <w:p>
      <w:pPr>
        <w:pStyle w:val="18"/>
      </w:pPr>
    </w:p>
    <w:p>
      <w:pPr>
        <w:spacing w:line="1600" w:lineRule="exact"/>
        <w:jc w:val="center"/>
        <w:outlineLvl w:val="0"/>
        <w:rPr>
          <w:rFonts w:ascii="仿宋" w:hAnsi="仿宋" w:eastAsia="仿宋"/>
          <w:sz w:val="120"/>
          <w:szCs w:val="120"/>
        </w:rPr>
      </w:pPr>
      <w:bookmarkStart w:id="0" w:name="OLE_LINK1"/>
      <w:r>
        <w:rPr>
          <w:rFonts w:hint="eastAsia" w:ascii="仿宋" w:hAnsi="仿宋" w:eastAsia="仿宋"/>
          <w:b/>
          <w:sz w:val="120"/>
          <w:szCs w:val="120"/>
        </w:rPr>
        <w:t>网上竞采文件</w:t>
      </w:r>
    </w:p>
    <w:bookmarkEnd w:id="0"/>
    <w:p>
      <w:pPr>
        <w:pStyle w:val="25"/>
        <w:spacing w:line="500" w:lineRule="exact"/>
        <w:ind w:left="0"/>
        <w:jc w:val="center"/>
        <w:rPr>
          <w:rFonts w:ascii="仿宋" w:hAnsi="仿宋" w:eastAsia="仿宋"/>
          <w:sz w:val="32"/>
        </w:rPr>
      </w:pPr>
    </w:p>
    <w:p>
      <w:pPr>
        <w:pStyle w:val="25"/>
        <w:spacing w:line="500" w:lineRule="exact"/>
        <w:ind w:left="0"/>
        <w:jc w:val="center"/>
        <w:rPr>
          <w:rFonts w:ascii="仿宋" w:hAnsi="仿宋" w:eastAsia="仿宋"/>
          <w:b/>
          <w:bCs/>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rPr>
          <w:rFonts w:ascii="仿宋" w:hAnsi="仿宋" w:eastAsia="仿宋"/>
          <w:sz w:val="32"/>
        </w:rPr>
      </w:pPr>
    </w:p>
    <w:p>
      <w:pPr>
        <w:pStyle w:val="25"/>
        <w:spacing w:line="500" w:lineRule="exact"/>
        <w:ind w:left="0"/>
        <w:jc w:val="center"/>
        <w:rPr>
          <w:rFonts w:ascii="仿宋" w:hAnsi="仿宋" w:eastAsia="仿宋"/>
          <w:sz w:val="32"/>
        </w:rPr>
      </w:pPr>
    </w:p>
    <w:p>
      <w:pPr>
        <w:spacing w:line="500" w:lineRule="exact"/>
        <w:ind w:left="543" w:leftChars="194"/>
        <w:outlineLvl w:val="0"/>
        <w:rPr>
          <w:rFonts w:hint="default" w:ascii="仿宋" w:hAnsi="仿宋" w:eastAsia="仿宋"/>
          <w:sz w:val="32"/>
          <w:lang w:val="en-US" w:eastAsia="zh-CN"/>
        </w:rPr>
      </w:pPr>
      <w:r>
        <w:rPr>
          <w:rFonts w:hint="eastAsia" w:ascii="仿宋" w:hAnsi="仿宋" w:eastAsia="仿宋"/>
          <w:sz w:val="32"/>
        </w:rPr>
        <w:t>项目名称：</w:t>
      </w:r>
      <w:r>
        <w:rPr>
          <w:rFonts w:hint="eastAsia" w:ascii="仿宋" w:hAnsi="仿宋" w:eastAsia="仿宋"/>
          <w:sz w:val="32"/>
          <w:lang w:val="en-US" w:eastAsia="zh-CN"/>
        </w:rPr>
        <w:t>沙坪坝区土主社区卫生服务中心微波治疗机</w:t>
      </w:r>
    </w:p>
    <w:p>
      <w:pPr>
        <w:spacing w:line="500" w:lineRule="exact"/>
        <w:ind w:firstLine="2080" w:firstLineChars="650"/>
        <w:outlineLvl w:val="0"/>
        <w:rPr>
          <w:rFonts w:ascii="仿宋" w:hAnsi="仿宋" w:eastAsia="仿宋"/>
          <w:sz w:val="32"/>
        </w:rPr>
      </w:pPr>
    </w:p>
    <w:p>
      <w:pPr>
        <w:pStyle w:val="25"/>
        <w:spacing w:line="500" w:lineRule="exact"/>
        <w:ind w:left="0"/>
        <w:jc w:val="center"/>
        <w:rPr>
          <w:rFonts w:ascii="仿宋" w:hAnsi="仿宋" w:eastAsia="仿宋"/>
          <w:sz w:val="32"/>
        </w:rPr>
      </w:pPr>
    </w:p>
    <w:p/>
    <w:p/>
    <w:p>
      <w:pPr>
        <w:pStyle w:val="18"/>
      </w:pPr>
    </w:p>
    <w:p>
      <w:pPr>
        <w:pStyle w:val="3"/>
      </w:pPr>
    </w:p>
    <w:p>
      <w:pPr>
        <w:pStyle w:val="73"/>
        <w:rPr>
          <w:color w:val="auto"/>
        </w:rPr>
      </w:pPr>
    </w:p>
    <w:p>
      <w:pPr>
        <w:spacing w:line="500" w:lineRule="exact"/>
        <w:ind w:firstLine="1500" w:firstLineChars="500"/>
        <w:outlineLvl w:val="0"/>
        <w:rPr>
          <w:rFonts w:hint="eastAsia" w:ascii="仿宋" w:hAnsi="仿宋" w:eastAsia="仿宋"/>
          <w:sz w:val="32"/>
          <w:lang w:eastAsia="zh-CN"/>
        </w:rPr>
      </w:pPr>
      <w:r>
        <w:rPr>
          <w:rFonts w:hint="eastAsia" w:ascii="仿宋" w:hAnsi="仿宋" w:eastAsia="仿宋"/>
          <w:sz w:val="30"/>
          <w:szCs w:val="30"/>
        </w:rPr>
        <w:t>采购人：</w:t>
      </w:r>
      <w:r>
        <w:rPr>
          <w:rFonts w:hint="eastAsia" w:ascii="仿宋" w:hAnsi="仿宋" w:eastAsia="仿宋"/>
          <w:sz w:val="32"/>
          <w:lang w:val="en-US" w:eastAsia="zh-CN"/>
        </w:rPr>
        <w:t>沙坪坝区土主社区卫生服务中心</w:t>
      </w:r>
    </w:p>
    <w:p>
      <w:pPr>
        <w:pStyle w:val="6"/>
      </w:pPr>
    </w:p>
    <w:p>
      <w:pPr>
        <w:snapToGrid w:val="0"/>
        <w:spacing w:line="500" w:lineRule="exact"/>
        <w:jc w:val="center"/>
        <w:rPr>
          <w:rFonts w:ascii="仿宋" w:hAnsi="仿宋" w:eastAsia="仿宋"/>
          <w:sz w:val="44"/>
          <w:szCs w:val="28"/>
        </w:rPr>
      </w:pPr>
      <w:r>
        <w:rPr>
          <w:rFonts w:hint="eastAsia" w:ascii="仿宋" w:hAnsi="仿宋" w:eastAsia="仿宋"/>
          <w:sz w:val="32"/>
          <w:szCs w:val="32"/>
        </w:rPr>
        <w:t>二○二</w:t>
      </w:r>
      <w:r>
        <w:rPr>
          <w:rFonts w:hint="eastAsia" w:ascii="仿宋" w:hAnsi="仿宋" w:eastAsia="仿宋"/>
          <w:sz w:val="32"/>
          <w:szCs w:val="32"/>
          <w:lang w:val="en-US" w:eastAsia="zh-CN"/>
        </w:rPr>
        <w:t>五</w:t>
      </w:r>
      <w:r>
        <w:rPr>
          <w:rFonts w:hint="eastAsia" w:ascii="仿宋" w:hAnsi="仿宋" w:eastAsia="仿宋"/>
          <w:sz w:val="32"/>
          <w:szCs w:val="32"/>
        </w:rPr>
        <w:t>年</w:t>
      </w:r>
      <w:r>
        <w:rPr>
          <w:rFonts w:hint="eastAsia" w:ascii="仿宋" w:hAnsi="仿宋" w:eastAsia="仿宋"/>
          <w:sz w:val="32"/>
          <w:szCs w:val="32"/>
          <w:lang w:val="en-US" w:eastAsia="zh-CN"/>
        </w:rPr>
        <w:t>七</w:t>
      </w:r>
      <w:r>
        <w:rPr>
          <w:rFonts w:hint="eastAsia" w:ascii="仿宋" w:hAnsi="仿宋" w:eastAsia="仿宋"/>
          <w:sz w:val="32"/>
          <w:szCs w:val="32"/>
        </w:rPr>
        <w:t>月</w:t>
      </w:r>
    </w:p>
    <w:p>
      <w:pPr>
        <w:spacing w:line="480" w:lineRule="exact"/>
        <w:jc w:val="center"/>
        <w:outlineLvl w:val="0"/>
        <w:rPr>
          <w:rFonts w:ascii="仿宋" w:hAnsi="仿宋" w:eastAsia="仿宋"/>
          <w:sz w:val="44"/>
          <w:szCs w:val="28"/>
        </w:rPr>
      </w:pPr>
    </w:p>
    <w:p>
      <w:pPr>
        <w:pStyle w:val="18"/>
        <w:ind w:left="0" w:leftChars="0" w:firstLine="0" w:firstLineChars="0"/>
      </w:pPr>
    </w:p>
    <w:p>
      <w:pPr>
        <w:pStyle w:val="18"/>
        <w:ind w:left="0" w:leftChars="0" w:firstLine="0" w:firstLineChars="0"/>
      </w:pPr>
    </w:p>
    <w:p>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pPr>
        <w:pStyle w:val="48"/>
        <w:tabs>
          <w:tab w:val="right" w:leader="dot" w:pos="9412"/>
        </w:tabs>
      </w:pPr>
      <w:r>
        <w:rPr>
          <w:rFonts w:hint="eastAsia" w:ascii="仿宋" w:hAnsi="仿宋" w:eastAsia="仿宋"/>
          <w:sz w:val="24"/>
          <w:szCs w:val="24"/>
        </w:rPr>
        <w:fldChar w:fldCharType="begin"/>
      </w:r>
      <w:r>
        <w:rPr>
          <w:rFonts w:hint="eastAsia" w:ascii="仿宋" w:hAnsi="仿宋" w:eastAsia="仿宋"/>
          <w:sz w:val="24"/>
          <w:szCs w:val="24"/>
        </w:rPr>
        <w:instrText xml:space="preserve"> TOC \o "1-3" \h \z </w:instrText>
      </w:r>
      <w:r>
        <w:rPr>
          <w:rFonts w:hint="eastAsia" w:ascii="仿宋" w:hAnsi="仿宋" w:eastAsia="仿宋"/>
          <w:sz w:val="24"/>
          <w:szCs w:val="24"/>
        </w:rPr>
        <w:fldChar w:fldCharType="separate"/>
      </w:r>
      <w:r>
        <w:rPr>
          <w:rFonts w:hint="eastAsia" w:ascii="仿宋" w:hAnsi="仿宋" w:eastAsia="仿宋"/>
          <w:szCs w:val="24"/>
        </w:rPr>
        <w:fldChar w:fldCharType="begin"/>
      </w:r>
      <w:r>
        <w:rPr>
          <w:rFonts w:hint="eastAsia" w:ascii="仿宋" w:hAnsi="仿宋" w:eastAsia="仿宋"/>
          <w:szCs w:val="24"/>
        </w:rPr>
        <w:instrText xml:space="preserve"> HYPERLINK \l _Toc876 </w:instrText>
      </w:r>
      <w:r>
        <w:rPr>
          <w:rFonts w:hint="eastAsia" w:ascii="仿宋" w:hAnsi="仿宋" w:eastAsia="仿宋"/>
          <w:szCs w:val="24"/>
        </w:rPr>
        <w:fldChar w:fldCharType="separate"/>
      </w:r>
      <w:r>
        <w:rPr>
          <w:rFonts w:hint="eastAsia" w:ascii="仿宋" w:hAnsi="仿宋" w:eastAsia="仿宋"/>
          <w:bCs/>
          <w:szCs w:val="30"/>
        </w:rPr>
        <w:t>第一篇 采购</w:t>
      </w:r>
      <w:r>
        <w:rPr>
          <w:rFonts w:hint="eastAsia" w:ascii="仿宋" w:hAnsi="仿宋" w:eastAsia="仿宋"/>
          <w:bCs/>
          <w:szCs w:val="30"/>
          <w:lang w:val="en-US" w:eastAsia="zh-CN"/>
        </w:rPr>
        <w:t>公告</w:t>
      </w:r>
      <w:r>
        <w:tab/>
      </w:r>
      <w:r>
        <w:fldChar w:fldCharType="begin"/>
      </w:r>
      <w:r>
        <w:instrText xml:space="preserve"> PAGEREF _Toc876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_Toc30071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项目概况</w:t>
      </w:r>
      <w:r>
        <w:tab/>
      </w:r>
      <w:r>
        <w:fldChar w:fldCharType="begin"/>
      </w:r>
      <w:r>
        <w:instrText xml:space="preserve"> PAGEREF _Toc30071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_Toc8690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资金来源</w:t>
      </w:r>
      <w:r>
        <w:tab/>
      </w:r>
      <w:r>
        <w:fldChar w:fldCharType="begin"/>
      </w:r>
      <w:r>
        <w:instrText xml:space="preserve"> PAGEREF _Toc8690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_Toc29922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供应商资格条件</w:t>
      </w:r>
      <w:r>
        <w:tab/>
      </w:r>
      <w:r>
        <w:fldChar w:fldCharType="begin"/>
      </w:r>
      <w:r>
        <w:instrText xml:space="preserve"> PAGEREF _Toc29922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_Toc4702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采购有关说明</w:t>
      </w:r>
      <w:r>
        <w:tab/>
      </w:r>
      <w:r>
        <w:fldChar w:fldCharType="begin"/>
      </w:r>
      <w:r>
        <w:instrText xml:space="preserve"> PAGEREF _Toc4702 \h </w:instrText>
      </w:r>
      <w:r>
        <w:fldChar w:fldCharType="separate"/>
      </w:r>
      <w:r>
        <w:t>- 3 -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_Toc22706 </w:instrText>
      </w:r>
      <w:r>
        <w:rPr>
          <w:rFonts w:hint="eastAsia" w:ascii="仿宋" w:hAnsi="仿宋" w:eastAsia="仿宋"/>
          <w:szCs w:val="24"/>
        </w:rPr>
        <w:fldChar w:fldCharType="separate"/>
      </w:r>
      <w:r>
        <w:rPr>
          <w:rFonts w:hint="eastAsia" w:ascii="仿宋" w:hAnsi="仿宋" w:eastAsia="仿宋"/>
          <w:szCs w:val="24"/>
        </w:rPr>
        <w:t>五</w:t>
      </w:r>
      <w:r>
        <w:rPr>
          <w:rFonts w:hint="eastAsia" w:ascii="仿宋" w:hAnsi="仿宋" w:eastAsia="仿宋"/>
          <w:szCs w:val="24"/>
          <w:lang w:eastAsia="zh-CN"/>
        </w:rPr>
        <w:t>.</w:t>
      </w:r>
      <w:r>
        <w:rPr>
          <w:rFonts w:hint="eastAsia" w:ascii="仿宋" w:hAnsi="仿宋" w:eastAsia="仿宋"/>
          <w:szCs w:val="24"/>
        </w:rPr>
        <w:t>保证金</w:t>
      </w:r>
      <w:r>
        <w:tab/>
      </w:r>
      <w:r>
        <w:fldChar w:fldCharType="begin"/>
      </w:r>
      <w:r>
        <w:instrText xml:space="preserve"> PAGEREF _Toc22706 \h </w:instrText>
      </w:r>
      <w:r>
        <w:fldChar w:fldCharType="separate"/>
      </w:r>
      <w:r>
        <w:t>- 4 -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_Toc17481 </w:instrText>
      </w:r>
      <w:r>
        <w:rPr>
          <w:rFonts w:hint="eastAsia" w:ascii="仿宋" w:hAnsi="仿宋" w:eastAsia="仿宋"/>
          <w:szCs w:val="24"/>
        </w:rPr>
        <w:fldChar w:fldCharType="separate"/>
      </w:r>
      <w:r>
        <w:rPr>
          <w:rFonts w:hint="eastAsia" w:ascii="仿宋" w:hAnsi="仿宋" w:eastAsia="仿宋"/>
          <w:szCs w:val="24"/>
        </w:rPr>
        <w:t>六</w:t>
      </w:r>
      <w:r>
        <w:rPr>
          <w:rFonts w:hint="eastAsia" w:ascii="仿宋" w:hAnsi="仿宋" w:eastAsia="仿宋"/>
          <w:szCs w:val="24"/>
          <w:lang w:eastAsia="zh-CN"/>
        </w:rPr>
        <w:t>.其他</w:t>
      </w:r>
      <w:r>
        <w:rPr>
          <w:rFonts w:hint="eastAsia" w:ascii="仿宋" w:hAnsi="仿宋" w:eastAsia="仿宋"/>
          <w:szCs w:val="24"/>
        </w:rPr>
        <w:t>有关规定</w:t>
      </w:r>
      <w:r>
        <w:tab/>
      </w:r>
      <w:r>
        <w:fldChar w:fldCharType="begin"/>
      </w:r>
      <w:r>
        <w:instrText xml:space="preserve"> PAGEREF _Toc17481 \h </w:instrText>
      </w:r>
      <w:r>
        <w:fldChar w:fldCharType="separate"/>
      </w:r>
      <w:r>
        <w:t>- 4 -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_Toc13565 </w:instrText>
      </w:r>
      <w:r>
        <w:rPr>
          <w:rFonts w:hint="eastAsia" w:ascii="仿宋" w:hAnsi="仿宋" w:eastAsia="仿宋"/>
          <w:szCs w:val="24"/>
        </w:rPr>
        <w:fldChar w:fldCharType="separate"/>
      </w:r>
      <w:r>
        <w:rPr>
          <w:rFonts w:hint="eastAsia" w:ascii="仿宋" w:hAnsi="仿宋" w:eastAsia="仿宋"/>
          <w:szCs w:val="24"/>
        </w:rPr>
        <w:t>七</w:t>
      </w:r>
      <w:r>
        <w:rPr>
          <w:rFonts w:hint="eastAsia" w:ascii="仿宋" w:hAnsi="仿宋" w:eastAsia="仿宋"/>
          <w:szCs w:val="24"/>
          <w:lang w:eastAsia="zh-CN"/>
        </w:rPr>
        <w:t>.</w:t>
      </w:r>
      <w:r>
        <w:rPr>
          <w:rFonts w:hint="eastAsia" w:ascii="仿宋" w:hAnsi="仿宋" w:eastAsia="仿宋"/>
          <w:szCs w:val="24"/>
        </w:rPr>
        <w:t>联系方式</w:t>
      </w:r>
      <w:r>
        <w:tab/>
      </w:r>
      <w:r>
        <w:fldChar w:fldCharType="begin"/>
      </w:r>
      <w:r>
        <w:instrText xml:space="preserve"> PAGEREF _Toc13565 \h </w:instrText>
      </w:r>
      <w:r>
        <w:fldChar w:fldCharType="separate"/>
      </w:r>
      <w:r>
        <w:t>- 4 -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_Toc15077 </w:instrText>
      </w:r>
      <w:r>
        <w:rPr>
          <w:rFonts w:hint="eastAsia" w:ascii="仿宋" w:hAnsi="仿宋" w:eastAsia="仿宋"/>
          <w:szCs w:val="24"/>
        </w:rPr>
        <w:fldChar w:fldCharType="separate"/>
      </w:r>
      <w:r>
        <w:rPr>
          <w:rFonts w:hint="eastAsia" w:ascii="仿宋" w:hAnsi="仿宋" w:eastAsia="仿宋"/>
          <w:bCs/>
          <w:szCs w:val="30"/>
        </w:rPr>
        <w:t>第二篇 采购项目技术需求</w:t>
      </w:r>
      <w:r>
        <w:tab/>
      </w:r>
      <w:r>
        <w:fldChar w:fldCharType="begin"/>
      </w:r>
      <w:r>
        <w:instrText xml:space="preserve"> PAGEREF _Toc15077 \h </w:instrText>
      </w:r>
      <w:r>
        <w:fldChar w:fldCharType="separate"/>
      </w:r>
      <w:r>
        <w:t>- 5 -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_Toc251 </w:instrText>
      </w:r>
      <w:r>
        <w:rPr>
          <w:rFonts w:hint="eastAsia" w:ascii="仿宋" w:hAnsi="仿宋" w:eastAsia="仿宋"/>
          <w:szCs w:val="24"/>
        </w:rPr>
        <w:fldChar w:fldCharType="separate"/>
      </w:r>
      <w:r>
        <w:rPr>
          <w:rFonts w:hint="eastAsia" w:ascii="仿宋" w:hAnsi="仿宋" w:eastAsia="仿宋"/>
          <w:bCs/>
          <w:szCs w:val="30"/>
        </w:rPr>
        <w:t>第三篇 采购项目商务需求</w:t>
      </w:r>
      <w:r>
        <w:tab/>
      </w:r>
      <w:r>
        <w:fldChar w:fldCharType="begin"/>
      </w:r>
      <w:r>
        <w:instrText xml:space="preserve"> PAGEREF _Toc251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_Toc7640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交货</w:t>
      </w:r>
      <w:r>
        <w:rPr>
          <w:rFonts w:hint="eastAsia" w:ascii="仿宋" w:hAnsi="仿宋" w:eastAsia="仿宋"/>
          <w:szCs w:val="24"/>
        </w:rPr>
        <w:t>时间</w:t>
      </w:r>
      <w:r>
        <w:rPr>
          <w:rFonts w:hint="eastAsia" w:ascii="仿宋" w:hAnsi="仿宋" w:eastAsia="仿宋"/>
          <w:szCs w:val="24"/>
          <w:lang w:eastAsia="zh-CN"/>
        </w:rPr>
        <w:t>.</w:t>
      </w:r>
      <w:r>
        <w:rPr>
          <w:rFonts w:hint="eastAsia" w:ascii="仿宋" w:hAnsi="仿宋" w:eastAsia="仿宋"/>
          <w:szCs w:val="24"/>
        </w:rPr>
        <w:t>地点</w:t>
      </w:r>
      <w:r>
        <w:rPr>
          <w:rFonts w:hint="eastAsia" w:ascii="仿宋" w:hAnsi="仿宋" w:eastAsia="仿宋"/>
          <w:szCs w:val="24"/>
          <w:lang w:eastAsia="zh-CN"/>
        </w:rPr>
        <w:t>.</w:t>
      </w:r>
      <w:r>
        <w:rPr>
          <w:rFonts w:hint="eastAsia" w:ascii="仿宋" w:hAnsi="仿宋" w:eastAsia="仿宋"/>
          <w:szCs w:val="24"/>
        </w:rPr>
        <w:t>验收方式及报价方式</w:t>
      </w:r>
      <w:r>
        <w:tab/>
      </w:r>
      <w:r>
        <w:fldChar w:fldCharType="begin"/>
      </w:r>
      <w:r>
        <w:instrText xml:space="preserve"> PAGEREF _Toc7640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_Toc30148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付款方式</w:t>
      </w:r>
      <w:r>
        <w:tab/>
      </w:r>
      <w:r>
        <w:fldChar w:fldCharType="begin"/>
      </w:r>
      <w:r>
        <w:instrText xml:space="preserve"> PAGEREF _Toc30148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_Toc549 </w:instrText>
      </w:r>
      <w:r>
        <w:rPr>
          <w:rFonts w:hint="eastAsia" w:ascii="仿宋" w:hAnsi="仿宋" w:eastAsia="仿宋"/>
          <w:szCs w:val="24"/>
        </w:rPr>
        <w:fldChar w:fldCharType="separate"/>
      </w:r>
      <w:r>
        <w:rPr>
          <w:rFonts w:hint="eastAsia" w:ascii="仿宋" w:hAnsi="仿宋" w:eastAsia="仿宋" w:cs="Times New Roman"/>
          <w:szCs w:val="24"/>
        </w:rPr>
        <w:t>三</w:t>
      </w:r>
      <w:r>
        <w:rPr>
          <w:rFonts w:hint="eastAsia" w:ascii="仿宋" w:hAnsi="仿宋" w:eastAsia="仿宋" w:cs="Times New Roman"/>
          <w:szCs w:val="24"/>
          <w:lang w:eastAsia="zh-CN"/>
        </w:rPr>
        <w:t>.</w:t>
      </w:r>
      <w:r>
        <w:rPr>
          <w:rFonts w:hint="eastAsia" w:ascii="仿宋" w:hAnsi="仿宋" w:eastAsia="仿宋" w:cs="Times New Roman"/>
          <w:szCs w:val="24"/>
        </w:rPr>
        <w:t>知识产权</w:t>
      </w:r>
      <w:r>
        <w:tab/>
      </w:r>
      <w:r>
        <w:fldChar w:fldCharType="begin"/>
      </w:r>
      <w:r>
        <w:instrText xml:space="preserve"> PAGEREF _Toc549 \h </w:instrText>
      </w:r>
      <w:r>
        <w:fldChar w:fldCharType="separate"/>
      </w:r>
      <w:r>
        <w:t>- 5 -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_Toc390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其他</w:t>
      </w:r>
      <w:r>
        <w:tab/>
      </w:r>
      <w:r>
        <w:fldChar w:fldCharType="begin"/>
      </w:r>
      <w:r>
        <w:instrText xml:space="preserve"> PAGEREF _Toc390 \h </w:instrText>
      </w:r>
      <w:r>
        <w:fldChar w:fldCharType="separate"/>
      </w:r>
      <w:r>
        <w:t>- 6 -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_Toc13058 </w:instrText>
      </w:r>
      <w:r>
        <w:rPr>
          <w:rFonts w:hint="eastAsia" w:ascii="仿宋" w:hAnsi="仿宋" w:eastAsia="仿宋"/>
          <w:szCs w:val="24"/>
        </w:rPr>
        <w:fldChar w:fldCharType="separate"/>
      </w:r>
      <w:r>
        <w:rPr>
          <w:rFonts w:hint="eastAsia" w:ascii="仿宋" w:hAnsi="仿宋" w:eastAsia="仿宋"/>
          <w:bCs/>
          <w:spacing w:val="-11"/>
          <w:szCs w:val="30"/>
        </w:rPr>
        <w:t xml:space="preserve">第四篇 </w:t>
      </w:r>
      <w:r>
        <w:rPr>
          <w:rFonts w:hint="eastAsia" w:ascii="仿宋" w:hAnsi="仿宋" w:eastAsia="仿宋"/>
          <w:bCs/>
          <w:spacing w:val="-11"/>
          <w:szCs w:val="30"/>
          <w:lang w:val="en-US" w:eastAsia="zh-CN"/>
        </w:rPr>
        <w:t>评标办法</w:t>
      </w:r>
      <w:r>
        <w:tab/>
      </w:r>
      <w:r>
        <w:fldChar w:fldCharType="begin"/>
      </w:r>
      <w:r>
        <w:instrText xml:space="preserve"> PAGEREF _Toc13058 \h </w:instrText>
      </w:r>
      <w:r>
        <w:fldChar w:fldCharType="separate"/>
      </w:r>
      <w:r>
        <w:t>- 7 -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_Toc30753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lang w:val="en-US" w:eastAsia="zh-CN"/>
        </w:rPr>
        <w:t>评标程序</w:t>
      </w:r>
      <w:r>
        <w:tab/>
      </w:r>
      <w:r>
        <w:fldChar w:fldCharType="begin"/>
      </w:r>
      <w:r>
        <w:instrText xml:space="preserve"> PAGEREF _Toc30753 \h </w:instrText>
      </w:r>
      <w:r>
        <w:fldChar w:fldCharType="separate"/>
      </w:r>
      <w:r>
        <w:t>- 7 -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_Toc8893 </w:instrText>
      </w:r>
      <w:r>
        <w:rPr>
          <w:rFonts w:hint="eastAsia" w:ascii="仿宋" w:hAnsi="仿宋" w:eastAsia="仿宋"/>
          <w:szCs w:val="24"/>
        </w:rPr>
        <w:fldChar w:fldCharType="separate"/>
      </w:r>
      <w:r>
        <w:rPr>
          <w:rFonts w:hint="eastAsia" w:ascii="仿宋" w:hAnsi="仿宋" w:eastAsia="仿宋" w:cs="Times New Roman"/>
          <w:szCs w:val="24"/>
        </w:rPr>
        <w:t>二</w:t>
      </w:r>
      <w:r>
        <w:rPr>
          <w:rFonts w:hint="eastAsia" w:ascii="仿宋" w:hAnsi="仿宋" w:eastAsia="仿宋" w:cs="Times New Roman"/>
          <w:szCs w:val="24"/>
          <w:lang w:eastAsia="zh-CN"/>
        </w:rPr>
        <w:t>.</w:t>
      </w:r>
      <w:r>
        <w:rPr>
          <w:rFonts w:hint="eastAsia" w:ascii="仿宋" w:hAnsi="仿宋" w:eastAsia="仿宋" w:cs="Times New Roman"/>
          <w:szCs w:val="24"/>
        </w:rPr>
        <w:t>响应无效</w:t>
      </w:r>
      <w:r>
        <w:tab/>
      </w:r>
      <w:r>
        <w:fldChar w:fldCharType="begin"/>
      </w:r>
      <w:r>
        <w:instrText xml:space="preserve"> PAGEREF _Toc8893 \h </w:instrText>
      </w:r>
      <w:r>
        <w:fldChar w:fldCharType="separate"/>
      </w:r>
      <w:r>
        <w:t>- 8 -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_Toc24810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采购终止</w:t>
      </w:r>
      <w:r>
        <w:tab/>
      </w:r>
      <w:r>
        <w:fldChar w:fldCharType="begin"/>
      </w:r>
      <w:r>
        <w:instrText xml:space="preserve"> PAGEREF _Toc24810 \h </w:instrText>
      </w:r>
      <w:r>
        <w:fldChar w:fldCharType="separate"/>
      </w:r>
      <w:r>
        <w:t>- 9 -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_Toc10384 </w:instrText>
      </w:r>
      <w:r>
        <w:rPr>
          <w:rFonts w:hint="eastAsia" w:ascii="仿宋" w:hAnsi="仿宋" w:eastAsia="仿宋"/>
          <w:szCs w:val="24"/>
        </w:rPr>
        <w:fldChar w:fldCharType="separate"/>
      </w:r>
      <w:r>
        <w:rPr>
          <w:rFonts w:hint="eastAsia" w:ascii="仿宋" w:hAnsi="仿宋" w:eastAsia="仿宋"/>
          <w:bCs/>
          <w:szCs w:val="30"/>
        </w:rPr>
        <w:t>第五篇  供应商须知</w:t>
      </w:r>
      <w:r>
        <w:tab/>
      </w:r>
      <w:r>
        <w:fldChar w:fldCharType="begin"/>
      </w:r>
      <w:r>
        <w:instrText xml:space="preserve"> PAGEREF _Toc10384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_Toc22156 </w:instrText>
      </w:r>
      <w:r>
        <w:rPr>
          <w:rFonts w:hint="eastAsia" w:ascii="仿宋" w:hAnsi="仿宋" w:eastAsia="仿宋"/>
          <w:szCs w:val="24"/>
        </w:rPr>
        <w:fldChar w:fldCharType="separate"/>
      </w:r>
      <w:r>
        <w:rPr>
          <w:rFonts w:hint="eastAsia" w:ascii="仿宋" w:hAnsi="仿宋" w:eastAsia="仿宋"/>
          <w:szCs w:val="24"/>
        </w:rPr>
        <w:t>一</w:t>
      </w:r>
      <w:r>
        <w:rPr>
          <w:rFonts w:hint="eastAsia" w:ascii="仿宋" w:hAnsi="仿宋" w:eastAsia="仿宋"/>
          <w:szCs w:val="24"/>
          <w:lang w:eastAsia="zh-CN"/>
        </w:rPr>
        <w:t>.</w:t>
      </w:r>
      <w:r>
        <w:rPr>
          <w:rFonts w:hint="eastAsia" w:ascii="仿宋" w:hAnsi="仿宋" w:eastAsia="仿宋"/>
          <w:szCs w:val="24"/>
        </w:rPr>
        <w:t>网上竞采费用</w:t>
      </w:r>
      <w:r>
        <w:tab/>
      </w:r>
      <w:r>
        <w:fldChar w:fldCharType="begin"/>
      </w:r>
      <w:r>
        <w:instrText xml:space="preserve"> PAGEREF _Toc22156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_Toc23428 </w:instrText>
      </w:r>
      <w:r>
        <w:rPr>
          <w:rFonts w:hint="eastAsia" w:ascii="仿宋" w:hAnsi="仿宋" w:eastAsia="仿宋"/>
          <w:szCs w:val="24"/>
        </w:rPr>
        <w:fldChar w:fldCharType="separate"/>
      </w:r>
      <w:r>
        <w:rPr>
          <w:rFonts w:hint="eastAsia" w:ascii="仿宋" w:hAnsi="仿宋" w:eastAsia="仿宋"/>
          <w:szCs w:val="24"/>
        </w:rPr>
        <w:t>二</w:t>
      </w:r>
      <w:r>
        <w:rPr>
          <w:rFonts w:hint="eastAsia" w:ascii="仿宋" w:hAnsi="仿宋" w:eastAsia="仿宋"/>
          <w:szCs w:val="24"/>
          <w:lang w:eastAsia="zh-CN"/>
        </w:rPr>
        <w:t>.</w:t>
      </w:r>
      <w:r>
        <w:rPr>
          <w:rFonts w:hint="eastAsia" w:ascii="仿宋" w:hAnsi="仿宋" w:eastAsia="仿宋"/>
          <w:szCs w:val="24"/>
        </w:rPr>
        <w:t>网上竞采文件</w:t>
      </w:r>
      <w:r>
        <w:tab/>
      </w:r>
      <w:r>
        <w:fldChar w:fldCharType="begin"/>
      </w:r>
      <w:r>
        <w:instrText xml:space="preserve"> PAGEREF _Toc23428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_Toc1734 </w:instrText>
      </w:r>
      <w:r>
        <w:rPr>
          <w:rFonts w:hint="eastAsia" w:ascii="仿宋" w:hAnsi="仿宋" w:eastAsia="仿宋"/>
          <w:szCs w:val="24"/>
        </w:rPr>
        <w:fldChar w:fldCharType="separate"/>
      </w:r>
      <w:r>
        <w:rPr>
          <w:rFonts w:hint="eastAsia" w:ascii="仿宋" w:hAnsi="仿宋" w:eastAsia="仿宋"/>
          <w:szCs w:val="24"/>
        </w:rPr>
        <w:t>三</w:t>
      </w:r>
      <w:r>
        <w:rPr>
          <w:rFonts w:hint="eastAsia" w:ascii="仿宋" w:hAnsi="仿宋" w:eastAsia="仿宋"/>
          <w:szCs w:val="24"/>
          <w:lang w:eastAsia="zh-CN"/>
        </w:rPr>
        <w:t>.</w:t>
      </w:r>
      <w:r>
        <w:rPr>
          <w:rFonts w:hint="eastAsia" w:ascii="仿宋" w:hAnsi="仿宋" w:eastAsia="仿宋"/>
          <w:szCs w:val="24"/>
        </w:rPr>
        <w:t>网上竞采要求</w:t>
      </w:r>
      <w:r>
        <w:tab/>
      </w:r>
      <w:r>
        <w:fldChar w:fldCharType="begin"/>
      </w:r>
      <w:r>
        <w:instrText xml:space="preserve"> PAGEREF _Toc1734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_Toc25011 </w:instrText>
      </w:r>
      <w:r>
        <w:rPr>
          <w:rFonts w:hint="eastAsia" w:ascii="仿宋" w:hAnsi="仿宋" w:eastAsia="仿宋"/>
          <w:szCs w:val="24"/>
        </w:rPr>
        <w:fldChar w:fldCharType="separate"/>
      </w:r>
      <w:r>
        <w:rPr>
          <w:rFonts w:hint="eastAsia" w:ascii="仿宋" w:hAnsi="仿宋" w:eastAsia="仿宋"/>
          <w:szCs w:val="24"/>
        </w:rPr>
        <w:t>四</w:t>
      </w:r>
      <w:r>
        <w:rPr>
          <w:rFonts w:hint="eastAsia" w:ascii="仿宋" w:hAnsi="仿宋" w:eastAsia="仿宋"/>
          <w:szCs w:val="24"/>
          <w:lang w:eastAsia="zh-CN"/>
        </w:rPr>
        <w:t>.</w:t>
      </w:r>
      <w:r>
        <w:rPr>
          <w:rFonts w:hint="eastAsia" w:ascii="仿宋" w:hAnsi="仿宋" w:eastAsia="仿宋"/>
          <w:szCs w:val="24"/>
        </w:rPr>
        <w:t>成交供应商的确认和变更</w:t>
      </w:r>
      <w:r>
        <w:tab/>
      </w:r>
      <w:r>
        <w:fldChar w:fldCharType="begin"/>
      </w:r>
      <w:r>
        <w:instrText xml:space="preserve"> PAGEREF _Toc25011 \h </w:instrText>
      </w:r>
      <w:r>
        <w:fldChar w:fldCharType="separate"/>
      </w:r>
      <w:r>
        <w:t>- 10 -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_Toc22845 </w:instrText>
      </w:r>
      <w:r>
        <w:rPr>
          <w:rFonts w:hint="eastAsia" w:ascii="仿宋" w:hAnsi="仿宋" w:eastAsia="仿宋"/>
          <w:szCs w:val="24"/>
        </w:rPr>
        <w:fldChar w:fldCharType="separate"/>
      </w:r>
      <w:r>
        <w:rPr>
          <w:rFonts w:hint="eastAsia" w:ascii="仿宋" w:hAnsi="仿宋" w:eastAsia="仿宋"/>
          <w:szCs w:val="24"/>
        </w:rPr>
        <w:t>五</w:t>
      </w:r>
      <w:r>
        <w:rPr>
          <w:rFonts w:hint="eastAsia" w:ascii="仿宋" w:hAnsi="仿宋" w:eastAsia="仿宋"/>
          <w:szCs w:val="24"/>
          <w:lang w:eastAsia="zh-CN"/>
        </w:rPr>
        <w:t>.</w:t>
      </w:r>
      <w:r>
        <w:rPr>
          <w:rFonts w:hint="eastAsia" w:ascii="仿宋" w:hAnsi="仿宋" w:eastAsia="仿宋"/>
          <w:szCs w:val="24"/>
        </w:rPr>
        <w:t>成交通知</w:t>
      </w:r>
      <w:r>
        <w:tab/>
      </w:r>
      <w:r>
        <w:fldChar w:fldCharType="begin"/>
      </w:r>
      <w:r>
        <w:instrText xml:space="preserve"> PAGEREF _Toc22845 \h </w:instrText>
      </w:r>
      <w:r>
        <w:fldChar w:fldCharType="separate"/>
      </w:r>
      <w:r>
        <w:t>- 11 -</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_Toc15963 </w:instrText>
      </w:r>
      <w:r>
        <w:rPr>
          <w:rFonts w:hint="eastAsia" w:ascii="仿宋" w:hAnsi="仿宋" w:eastAsia="仿宋"/>
          <w:szCs w:val="24"/>
        </w:rPr>
        <w:fldChar w:fldCharType="separate"/>
      </w:r>
      <w:r>
        <w:rPr>
          <w:rFonts w:hint="eastAsia" w:ascii="仿宋" w:hAnsi="仿宋" w:eastAsia="仿宋"/>
          <w:szCs w:val="24"/>
        </w:rPr>
        <w:t>六</w:t>
      </w:r>
      <w:r>
        <w:rPr>
          <w:rFonts w:hint="eastAsia" w:ascii="仿宋" w:hAnsi="仿宋" w:eastAsia="仿宋"/>
          <w:szCs w:val="24"/>
          <w:lang w:eastAsia="zh-CN"/>
        </w:rPr>
        <w:t>.</w:t>
      </w:r>
      <w:r>
        <w:rPr>
          <w:rFonts w:hint="eastAsia" w:ascii="仿宋" w:hAnsi="仿宋" w:eastAsia="仿宋"/>
          <w:szCs w:val="24"/>
        </w:rPr>
        <w:t>采购代理服务费</w:t>
      </w:r>
      <w:r>
        <w:tab/>
      </w:r>
      <w:r>
        <w:fldChar w:fldCharType="begin"/>
      </w:r>
      <w:r>
        <w:instrText xml:space="preserve"> PAGEREF _Toc15963 \h </w:instrText>
      </w:r>
      <w:r>
        <w:fldChar w:fldCharType="separate"/>
      </w:r>
      <w:r>
        <w:rPr>
          <w:b/>
        </w:rPr>
        <w:t>错误！未定义书签。</w:t>
      </w:r>
      <w:r>
        <w:fldChar w:fldCharType="end"/>
      </w:r>
      <w:r>
        <w:rPr>
          <w:rFonts w:hint="eastAsia" w:ascii="仿宋" w:hAnsi="仿宋" w:eastAsia="仿宋"/>
          <w:szCs w:val="24"/>
        </w:rPr>
        <w:fldChar w:fldCharType="end"/>
      </w:r>
    </w:p>
    <w:p>
      <w:pPr>
        <w:pStyle w:val="32"/>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_Toc15806 </w:instrText>
      </w:r>
      <w:r>
        <w:rPr>
          <w:rFonts w:hint="eastAsia" w:ascii="仿宋" w:hAnsi="仿宋" w:eastAsia="仿宋"/>
          <w:szCs w:val="24"/>
        </w:rPr>
        <w:fldChar w:fldCharType="separate"/>
      </w:r>
      <w:r>
        <w:rPr>
          <w:rFonts w:hint="eastAsia" w:ascii="仿宋" w:hAnsi="仿宋" w:eastAsia="仿宋"/>
          <w:szCs w:val="24"/>
          <w:lang w:val="en-US" w:eastAsia="zh-CN"/>
        </w:rPr>
        <w:t>七</w:t>
      </w:r>
      <w:r>
        <w:rPr>
          <w:rFonts w:hint="eastAsia" w:ascii="仿宋" w:hAnsi="仿宋" w:eastAsia="仿宋"/>
          <w:szCs w:val="24"/>
          <w:lang w:eastAsia="zh-CN"/>
        </w:rPr>
        <w:t>.</w:t>
      </w:r>
      <w:r>
        <w:rPr>
          <w:rFonts w:hint="eastAsia" w:ascii="仿宋" w:hAnsi="仿宋" w:eastAsia="仿宋"/>
          <w:szCs w:val="24"/>
        </w:rPr>
        <w:t>签订合同</w:t>
      </w:r>
      <w:r>
        <w:tab/>
      </w:r>
      <w:r>
        <w:fldChar w:fldCharType="begin"/>
      </w:r>
      <w:r>
        <w:instrText xml:space="preserve"> PAGEREF _Toc15806 \h </w:instrText>
      </w:r>
      <w:r>
        <w:fldChar w:fldCharType="separate"/>
      </w:r>
      <w:r>
        <w:t>- 11 -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_Toc15760 </w:instrText>
      </w:r>
      <w:r>
        <w:rPr>
          <w:rFonts w:hint="eastAsia" w:ascii="仿宋" w:hAnsi="仿宋" w:eastAsia="仿宋"/>
          <w:szCs w:val="24"/>
        </w:rPr>
        <w:fldChar w:fldCharType="separate"/>
      </w:r>
      <w:r>
        <w:rPr>
          <w:rFonts w:hint="eastAsia" w:ascii="仿宋" w:hAnsi="仿宋" w:eastAsia="仿宋"/>
          <w:szCs w:val="36"/>
        </w:rPr>
        <w:t>第六篇  合同草案条款和格式合同</w:t>
      </w:r>
      <w:r>
        <w:tab/>
      </w:r>
      <w:r>
        <w:fldChar w:fldCharType="begin"/>
      </w:r>
      <w:r>
        <w:instrText xml:space="preserve"> PAGEREF _Toc15760 \h </w:instrText>
      </w:r>
      <w:r>
        <w:fldChar w:fldCharType="separate"/>
      </w:r>
      <w:r>
        <w:t>- 11 -</w:t>
      </w:r>
      <w:r>
        <w:fldChar w:fldCharType="end"/>
      </w:r>
      <w:r>
        <w:rPr>
          <w:rFonts w:hint="eastAsia" w:ascii="仿宋" w:hAnsi="仿宋" w:eastAsia="仿宋"/>
          <w:szCs w:val="24"/>
        </w:rPr>
        <w:fldChar w:fldCharType="end"/>
      </w:r>
    </w:p>
    <w:p>
      <w:pPr>
        <w:pStyle w:val="48"/>
        <w:tabs>
          <w:tab w:val="right" w:leader="dot" w:pos="9412"/>
        </w:tabs>
      </w:pPr>
      <w:r>
        <w:rPr>
          <w:rFonts w:hint="eastAsia" w:ascii="仿宋" w:hAnsi="仿宋" w:eastAsia="仿宋"/>
          <w:szCs w:val="24"/>
        </w:rPr>
        <w:fldChar w:fldCharType="begin"/>
      </w:r>
      <w:r>
        <w:rPr>
          <w:rFonts w:hint="eastAsia" w:ascii="仿宋" w:hAnsi="仿宋" w:eastAsia="仿宋"/>
          <w:szCs w:val="24"/>
        </w:rPr>
        <w:instrText xml:space="preserve"> HYPERLINK \l _Toc26013 </w:instrText>
      </w:r>
      <w:r>
        <w:rPr>
          <w:rFonts w:hint="eastAsia" w:ascii="仿宋" w:hAnsi="仿宋" w:eastAsia="仿宋"/>
          <w:szCs w:val="24"/>
        </w:rPr>
        <w:fldChar w:fldCharType="separate"/>
      </w:r>
      <w:r>
        <w:rPr>
          <w:rFonts w:hint="eastAsia" w:ascii="仿宋" w:hAnsi="仿宋" w:eastAsia="仿宋"/>
          <w:bCs/>
          <w:szCs w:val="30"/>
        </w:rPr>
        <w:t>第七篇  响应文件编制要求</w:t>
      </w:r>
      <w:r>
        <w:tab/>
      </w:r>
      <w:r>
        <w:fldChar w:fldCharType="begin"/>
      </w:r>
      <w:r>
        <w:instrText xml:space="preserve"> PAGEREF _Toc26013 \h </w:instrText>
      </w:r>
      <w:r>
        <w:fldChar w:fldCharType="separate"/>
      </w:r>
      <w:r>
        <w:t>- 16 -</w:t>
      </w:r>
      <w:r>
        <w:fldChar w:fldCharType="end"/>
      </w:r>
      <w:r>
        <w:rPr>
          <w:rFonts w:hint="eastAsia" w:ascii="仿宋" w:hAnsi="仿宋" w:eastAsia="仿宋"/>
          <w:szCs w:val="24"/>
        </w:rPr>
        <w:fldChar w:fldCharType="end"/>
      </w:r>
    </w:p>
    <w:p>
      <w:pPr>
        <w:pStyle w:val="48"/>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4"/>
        </w:rPr>
        <w:fldChar w:fldCharType="end"/>
      </w:r>
      <w:bookmarkStart w:id="1" w:name="_Toc12789052"/>
      <w:bookmarkStart w:id="2" w:name="_Toc11641050"/>
    </w:p>
    <w:bookmarkEnd w:id="1"/>
    <w:bookmarkEnd w:id="2"/>
    <w:p>
      <w:pPr>
        <w:pStyle w:val="6"/>
        <w:spacing w:before="0" w:after="0" w:line="360" w:lineRule="auto"/>
        <w:jc w:val="center"/>
        <w:rPr>
          <w:rFonts w:ascii="仿宋" w:hAnsi="仿宋" w:eastAsia="仿宋"/>
          <w:sz w:val="24"/>
          <w:szCs w:val="24"/>
        </w:rPr>
      </w:pPr>
      <w:bookmarkStart w:id="3" w:name="_Toc16094"/>
      <w:bookmarkStart w:id="4" w:name="_Toc876"/>
      <w:r>
        <w:rPr>
          <w:rFonts w:hint="eastAsia" w:ascii="仿宋" w:hAnsi="仿宋" w:eastAsia="仿宋"/>
          <w:b/>
          <w:bCs/>
          <w:sz w:val="36"/>
          <w:szCs w:val="30"/>
        </w:rPr>
        <w:t>第一篇 采购</w:t>
      </w:r>
      <w:bookmarkEnd w:id="3"/>
      <w:r>
        <w:rPr>
          <w:rFonts w:hint="eastAsia" w:ascii="仿宋" w:hAnsi="仿宋" w:eastAsia="仿宋"/>
          <w:b/>
          <w:bCs/>
          <w:sz w:val="36"/>
          <w:szCs w:val="30"/>
          <w:lang w:val="en-US" w:eastAsia="zh-CN"/>
        </w:rPr>
        <w:t>公告</w:t>
      </w:r>
      <w:bookmarkEnd w:id="4"/>
    </w:p>
    <w:p>
      <w:pPr>
        <w:pStyle w:val="7"/>
        <w:spacing w:before="0" w:after="0" w:line="360" w:lineRule="auto"/>
        <w:rPr>
          <w:rFonts w:ascii="仿宋" w:hAnsi="仿宋" w:eastAsia="仿宋"/>
          <w:sz w:val="24"/>
          <w:szCs w:val="24"/>
        </w:rPr>
      </w:pPr>
      <w:bookmarkStart w:id="5" w:name="_Toc22851"/>
      <w:bookmarkStart w:id="6" w:name="_Toc313893526"/>
      <w:bookmarkStart w:id="7" w:name="_Toc30071"/>
      <w:bookmarkStart w:id="8" w:name="_Toc317775175"/>
      <w:r>
        <w:rPr>
          <w:rFonts w:hint="eastAsia" w:ascii="仿宋" w:hAnsi="仿宋" w:eastAsia="仿宋"/>
          <w:sz w:val="24"/>
          <w:szCs w:val="24"/>
          <w:lang w:eastAsia="zh-CN"/>
        </w:rPr>
        <w:t>一、</w:t>
      </w:r>
      <w:r>
        <w:rPr>
          <w:rFonts w:hint="eastAsia" w:ascii="仿宋" w:hAnsi="仿宋" w:eastAsia="仿宋"/>
          <w:sz w:val="24"/>
          <w:szCs w:val="24"/>
          <w:lang w:val="en-US" w:eastAsia="zh-CN"/>
        </w:rPr>
        <w:t>项目概况</w:t>
      </w:r>
      <w:bookmarkEnd w:id="5"/>
      <w:bookmarkEnd w:id="6"/>
      <w:bookmarkEnd w:id="7"/>
      <w:bookmarkEnd w:id="8"/>
    </w:p>
    <w:tbl>
      <w:tblPr>
        <w:tblStyle w:val="6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362"/>
        <w:gridCol w:w="1167"/>
        <w:gridCol w:w="1233"/>
        <w:gridCol w:w="1250"/>
        <w:gridCol w:w="156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6" w:type="dxa"/>
            <w:tcBorders>
              <w:top w:val="single" w:color="auto" w:sz="4" w:space="0"/>
              <w:left w:val="single" w:color="auto" w:sz="4" w:space="0"/>
              <w:right w:val="single" w:color="auto" w:sz="4" w:space="0"/>
            </w:tcBorders>
            <w:vAlign w:val="center"/>
          </w:tcPr>
          <w:p>
            <w:pPr>
              <w:widowControl/>
              <w:spacing w:line="360" w:lineRule="auto"/>
              <w:jc w:val="center"/>
              <w:rPr>
                <w:rFonts w:ascii="仿宋" w:eastAsia="仿宋" w:cs="宋体"/>
                <w:b/>
                <w:bCs/>
                <w:kern w:val="0"/>
                <w:sz w:val="24"/>
                <w:szCs w:val="24"/>
              </w:rPr>
            </w:pPr>
            <w:bookmarkStart w:id="9" w:name="_Toc373860293"/>
            <w:bookmarkStart w:id="10" w:name="_Toc317775178"/>
            <w:r>
              <w:rPr>
                <w:rFonts w:hint="eastAsia" w:ascii="仿宋" w:eastAsia="仿宋" w:cs="宋体"/>
                <w:b/>
                <w:bCs/>
                <w:kern w:val="0"/>
                <w:sz w:val="24"/>
                <w:szCs w:val="24"/>
              </w:rPr>
              <w:t>序号</w:t>
            </w:r>
          </w:p>
        </w:tc>
        <w:tc>
          <w:tcPr>
            <w:tcW w:w="3362"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项目名称</w:t>
            </w:r>
          </w:p>
        </w:tc>
        <w:tc>
          <w:tcPr>
            <w:tcW w:w="1167"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数量</w:t>
            </w:r>
          </w:p>
        </w:tc>
        <w:tc>
          <w:tcPr>
            <w:tcW w:w="1233" w:type="dxa"/>
            <w:tcBorders>
              <w:top w:val="single" w:color="auto" w:sz="4" w:space="0"/>
              <w:left w:val="single" w:color="auto" w:sz="4" w:space="0"/>
              <w:right w:val="single" w:color="auto" w:sz="4" w:space="0"/>
            </w:tcBorders>
            <w:vAlign w:val="center"/>
          </w:tcPr>
          <w:p>
            <w:pPr>
              <w:spacing w:line="360" w:lineRule="auto"/>
              <w:jc w:val="center"/>
              <w:rPr>
                <w:rFonts w:hint="default" w:ascii="仿宋" w:eastAsia="仿宋" w:cs="宋体"/>
                <w:b/>
                <w:bCs/>
                <w:kern w:val="0"/>
                <w:sz w:val="24"/>
                <w:szCs w:val="24"/>
                <w:lang w:val="en-US" w:eastAsia="zh-CN"/>
              </w:rPr>
            </w:pPr>
            <w:r>
              <w:rPr>
                <w:rFonts w:hint="eastAsia" w:ascii="仿宋" w:eastAsia="仿宋" w:cs="宋体"/>
                <w:b/>
                <w:bCs/>
                <w:kern w:val="0"/>
                <w:sz w:val="24"/>
                <w:szCs w:val="24"/>
                <w:lang w:val="en-US" w:eastAsia="zh-CN"/>
              </w:rPr>
              <w:t>最高单价</w:t>
            </w:r>
            <w:r>
              <w:rPr>
                <w:rFonts w:hint="eastAsia" w:ascii="仿宋" w:eastAsia="仿宋" w:cs="宋体"/>
                <w:b/>
                <w:bCs/>
                <w:kern w:val="0"/>
                <w:sz w:val="24"/>
                <w:szCs w:val="24"/>
              </w:rPr>
              <w:t>（万元）</w:t>
            </w:r>
          </w:p>
        </w:tc>
        <w:tc>
          <w:tcPr>
            <w:tcW w:w="1250"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最高</w:t>
            </w:r>
            <w:r>
              <w:rPr>
                <w:rFonts w:hint="eastAsia" w:ascii="仿宋" w:eastAsia="仿宋" w:cs="宋体"/>
                <w:b/>
                <w:bCs/>
                <w:kern w:val="0"/>
                <w:sz w:val="24"/>
                <w:szCs w:val="24"/>
                <w:lang w:val="en-US" w:eastAsia="zh-CN"/>
              </w:rPr>
              <w:t>总</w:t>
            </w:r>
            <w:r>
              <w:rPr>
                <w:rFonts w:hint="eastAsia" w:ascii="仿宋" w:eastAsia="仿宋" w:cs="宋体"/>
                <w:b/>
                <w:bCs/>
                <w:kern w:val="0"/>
                <w:sz w:val="24"/>
                <w:szCs w:val="24"/>
              </w:rPr>
              <w:t>价</w:t>
            </w:r>
          </w:p>
          <w:p>
            <w:pPr>
              <w:spacing w:line="360" w:lineRule="auto"/>
              <w:jc w:val="center"/>
              <w:rPr>
                <w:rFonts w:ascii="仿宋" w:eastAsia="微软雅黑" w:cs="宋体"/>
                <w:b/>
                <w:bCs/>
                <w:kern w:val="0"/>
                <w:sz w:val="24"/>
                <w:szCs w:val="24"/>
              </w:rPr>
            </w:pPr>
            <w:r>
              <w:rPr>
                <w:rFonts w:hint="eastAsia" w:ascii="仿宋" w:eastAsia="仿宋" w:cs="宋体"/>
                <w:b/>
                <w:bCs/>
                <w:kern w:val="0"/>
                <w:sz w:val="24"/>
                <w:szCs w:val="24"/>
              </w:rPr>
              <w:t>（万元）</w:t>
            </w:r>
          </w:p>
        </w:tc>
        <w:tc>
          <w:tcPr>
            <w:tcW w:w="1567"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成交供应商数量（名）</w:t>
            </w:r>
          </w:p>
        </w:tc>
        <w:tc>
          <w:tcPr>
            <w:tcW w:w="891" w:type="dxa"/>
            <w:tcBorders>
              <w:top w:val="single" w:color="auto" w:sz="4" w:space="0"/>
              <w:left w:val="single" w:color="auto" w:sz="4" w:space="0"/>
              <w:right w:val="single" w:color="auto" w:sz="4" w:space="0"/>
            </w:tcBorders>
            <w:vAlign w:val="center"/>
          </w:tcPr>
          <w:p>
            <w:pPr>
              <w:spacing w:line="360" w:lineRule="auto"/>
              <w:jc w:val="center"/>
              <w:rPr>
                <w:rFonts w:ascii="仿宋" w:eastAsia="仿宋" w:cs="宋体"/>
                <w:b/>
                <w:bCs/>
                <w:kern w:val="0"/>
                <w:sz w:val="24"/>
                <w:szCs w:val="24"/>
              </w:rPr>
            </w:pPr>
            <w:r>
              <w:rPr>
                <w:rFonts w:hint="eastAsia" w:ascii="仿宋" w:eastAsia="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eastAsia="仿宋"/>
                <w:sz w:val="24"/>
                <w:szCs w:val="24"/>
              </w:rPr>
            </w:pPr>
            <w:bookmarkStart w:id="11" w:name="_Hlk344477914"/>
            <w:r>
              <w:rPr>
                <w:rFonts w:hint="eastAsia" w:ascii="仿宋" w:eastAsia="仿宋"/>
                <w:sz w:val="24"/>
                <w:szCs w:val="24"/>
              </w:rPr>
              <w:t>1</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eastAsia="仿宋"/>
                <w:sz w:val="24"/>
                <w:szCs w:val="24"/>
                <w:lang w:val="en-US" w:eastAsia="zh-CN"/>
              </w:rPr>
            </w:pPr>
            <w:r>
              <w:rPr>
                <w:rFonts w:hint="eastAsia" w:ascii="仿宋" w:hAnsi="仿宋" w:eastAsia="仿宋"/>
                <w:sz w:val="24"/>
                <w:szCs w:val="24"/>
                <w:lang w:eastAsia="zh-CN"/>
              </w:rPr>
              <w:t>沙坪坝区土主社区卫生服务中心</w:t>
            </w:r>
            <w:r>
              <w:rPr>
                <w:rFonts w:hint="eastAsia" w:ascii="仿宋" w:hAnsi="仿宋" w:eastAsia="仿宋"/>
                <w:sz w:val="24"/>
                <w:szCs w:val="24"/>
                <w:lang w:val="en-US" w:eastAsia="zh-CN"/>
              </w:rPr>
              <w:t>微波治疗机</w:t>
            </w:r>
          </w:p>
        </w:tc>
        <w:tc>
          <w:tcPr>
            <w:tcW w:w="1167"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233"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2.9</w:t>
            </w:r>
          </w:p>
        </w:tc>
        <w:tc>
          <w:tcPr>
            <w:tcW w:w="1250"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2.9</w:t>
            </w:r>
          </w:p>
        </w:tc>
        <w:tc>
          <w:tcPr>
            <w:tcW w:w="1567" w:type="dxa"/>
            <w:tcBorders>
              <w:top w:val="single" w:color="auto" w:sz="4" w:space="0"/>
              <w:left w:val="single" w:color="auto" w:sz="4" w:space="0"/>
              <w:right w:val="single" w:color="auto" w:sz="4" w:space="0"/>
            </w:tcBorders>
            <w:vAlign w:val="center"/>
          </w:tcPr>
          <w:p>
            <w:pPr>
              <w:spacing w:line="400" w:lineRule="exact"/>
              <w:jc w:val="center"/>
              <w:rPr>
                <w:rFonts w:ascii="仿宋" w:eastAsia="仿宋"/>
                <w:sz w:val="24"/>
                <w:szCs w:val="24"/>
              </w:rPr>
            </w:pPr>
            <w:r>
              <w:rPr>
                <w:rFonts w:hint="eastAsia" w:ascii="仿宋" w:eastAsia="仿宋"/>
                <w:sz w:val="24"/>
                <w:szCs w:val="24"/>
              </w:rPr>
              <w:t>1</w:t>
            </w:r>
          </w:p>
        </w:tc>
        <w:tc>
          <w:tcPr>
            <w:tcW w:w="891" w:type="dxa"/>
            <w:tcBorders>
              <w:top w:val="single" w:color="auto" w:sz="4" w:space="0"/>
              <w:left w:val="single" w:color="auto" w:sz="4" w:space="0"/>
              <w:right w:val="single" w:color="auto" w:sz="4" w:space="0"/>
            </w:tcBorders>
            <w:vAlign w:val="center"/>
          </w:tcPr>
          <w:p>
            <w:pPr>
              <w:spacing w:line="400" w:lineRule="exact"/>
              <w:jc w:val="center"/>
              <w:rPr>
                <w:rFonts w:ascii="仿宋" w:eastAsia="仿宋"/>
                <w:sz w:val="24"/>
                <w:szCs w:val="24"/>
              </w:rPr>
            </w:pPr>
          </w:p>
        </w:tc>
      </w:tr>
      <w:bookmarkEnd w:id="11"/>
    </w:tbl>
    <w:p>
      <w:pPr>
        <w:pStyle w:val="7"/>
        <w:spacing w:before="0" w:after="0" w:line="360" w:lineRule="auto"/>
        <w:rPr>
          <w:rFonts w:ascii="仿宋" w:hAnsi="仿宋" w:eastAsia="仿宋"/>
          <w:sz w:val="24"/>
          <w:szCs w:val="24"/>
        </w:rPr>
      </w:pPr>
      <w:bookmarkStart w:id="12" w:name="_Toc8690"/>
      <w:bookmarkStart w:id="13" w:name="_Toc28115"/>
      <w:r>
        <w:rPr>
          <w:rFonts w:hint="eastAsia" w:ascii="仿宋" w:hAnsi="仿宋" w:eastAsia="仿宋"/>
          <w:sz w:val="24"/>
          <w:szCs w:val="24"/>
          <w:lang w:eastAsia="zh-CN"/>
        </w:rPr>
        <w:t>二、</w:t>
      </w:r>
      <w:r>
        <w:rPr>
          <w:rFonts w:hint="eastAsia" w:ascii="仿宋" w:hAnsi="仿宋" w:eastAsia="仿宋"/>
          <w:sz w:val="24"/>
          <w:szCs w:val="24"/>
        </w:rPr>
        <w:t>资金来源</w:t>
      </w:r>
      <w:bookmarkEnd w:id="12"/>
      <w:bookmarkEnd w:id="13"/>
    </w:p>
    <w:p>
      <w:pPr>
        <w:spacing w:line="360" w:lineRule="auto"/>
        <w:ind w:firstLine="480" w:firstLineChars="200"/>
        <w:rPr>
          <w:rFonts w:ascii="仿宋" w:hAnsi="仿宋" w:eastAsia="仿宋"/>
          <w:sz w:val="24"/>
          <w:szCs w:val="24"/>
        </w:rPr>
      </w:pPr>
      <w:r>
        <w:rPr>
          <w:rFonts w:hint="eastAsia" w:ascii="仿宋" w:eastAsia="仿宋"/>
          <w:sz w:val="24"/>
          <w:szCs w:val="24"/>
        </w:rPr>
        <w:t>财政资金。</w:t>
      </w:r>
    </w:p>
    <w:p>
      <w:pPr>
        <w:pStyle w:val="7"/>
        <w:spacing w:before="0" w:after="0" w:line="360" w:lineRule="auto"/>
        <w:rPr>
          <w:rFonts w:ascii="仿宋" w:hAnsi="仿宋" w:eastAsia="仿宋"/>
          <w:sz w:val="24"/>
          <w:szCs w:val="24"/>
        </w:rPr>
      </w:pPr>
      <w:bookmarkStart w:id="14" w:name="_Toc29922"/>
      <w:bookmarkStart w:id="15" w:name="_Toc15957"/>
      <w:r>
        <w:rPr>
          <w:rFonts w:hint="eastAsia" w:ascii="仿宋" w:hAnsi="仿宋" w:eastAsia="仿宋"/>
          <w:sz w:val="24"/>
          <w:szCs w:val="24"/>
          <w:lang w:eastAsia="zh-CN"/>
        </w:rPr>
        <w:t>三、</w:t>
      </w:r>
      <w:r>
        <w:rPr>
          <w:rFonts w:hint="eastAsia" w:ascii="仿宋" w:hAnsi="仿宋" w:eastAsia="仿宋"/>
          <w:sz w:val="24"/>
          <w:szCs w:val="24"/>
        </w:rPr>
        <w:t>供应商资格条件</w:t>
      </w:r>
      <w:bookmarkEnd w:id="14"/>
      <w:bookmarkEnd w:id="15"/>
    </w:p>
    <w:p>
      <w:pPr>
        <w:spacing w:line="360" w:lineRule="auto"/>
        <w:ind w:firstLine="480" w:firstLineChars="200"/>
        <w:rPr>
          <w:rFonts w:ascii="仿宋" w:hAnsi="仿宋" w:eastAsia="仿宋"/>
          <w:sz w:val="24"/>
          <w:szCs w:val="24"/>
        </w:rPr>
      </w:pPr>
      <w:bookmarkStart w:id="16" w:name="_Toc13803"/>
      <w:r>
        <w:rPr>
          <w:rFonts w:hint="eastAsia" w:ascii="仿宋" w:hAnsi="仿宋" w:eastAsia="仿宋"/>
          <w:sz w:val="24"/>
          <w:szCs w:val="24"/>
        </w:rPr>
        <w:t>（一）满足《中华人民共和国政府采购法》第二十二条规定。</w:t>
      </w:r>
      <w:bookmarkStart w:id="129" w:name="_GoBack"/>
      <w:bookmarkEnd w:id="129"/>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独立承担民事责任的能力；</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良好的商业信誉和健全的财务会计制度；</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3.具</w:t>
      </w:r>
      <w:r>
        <w:rPr>
          <w:rFonts w:hint="eastAsia" w:ascii="仿宋" w:hAnsi="仿宋" w:eastAsia="仿宋" w:cs="Times New Roman"/>
          <w:sz w:val="24"/>
          <w:szCs w:val="24"/>
          <w:lang w:val="en-US" w:eastAsia="zh-CN"/>
        </w:rPr>
        <w:t>备</w:t>
      </w:r>
      <w:r>
        <w:rPr>
          <w:rFonts w:hint="eastAsia" w:ascii="仿宋" w:hAnsi="仿宋" w:eastAsia="仿宋" w:cs="Times New Roman"/>
          <w:sz w:val="24"/>
          <w:szCs w:val="24"/>
        </w:rPr>
        <w:t>履行合同所必需的设备和专业技术能力；</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4.有依法缴纳税收和社会保障资金的良好记录；</w:t>
      </w:r>
    </w:p>
    <w:p>
      <w:pPr>
        <w:spacing w:line="36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rPr>
        <w:t>5.近3年无重大违法记录及行业不良记录</w:t>
      </w:r>
      <w:r>
        <w:rPr>
          <w:rFonts w:hint="eastAsia" w:ascii="仿宋" w:hAnsi="仿宋" w:eastAsia="仿宋" w:cs="Times New Roman"/>
          <w:sz w:val="24"/>
          <w:szCs w:val="24"/>
          <w:lang w:eastAsia="zh-CN"/>
        </w:rPr>
        <w:t>；</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6.法律</w:t>
      </w:r>
      <w:r>
        <w:rPr>
          <w:rFonts w:hint="eastAsia" w:ascii="仿宋" w:hAnsi="仿宋" w:eastAsia="仿宋" w:cs="Times New Roman"/>
          <w:sz w:val="24"/>
          <w:szCs w:val="24"/>
          <w:lang w:eastAsia="zh-CN"/>
        </w:rPr>
        <w:t>.</w:t>
      </w:r>
      <w:r>
        <w:rPr>
          <w:rFonts w:hint="eastAsia" w:ascii="仿宋" w:hAnsi="仿宋" w:eastAsia="仿宋" w:cs="Times New Roman"/>
          <w:sz w:val="24"/>
          <w:szCs w:val="24"/>
        </w:rPr>
        <w:t>行政法规规定的其他条件。</w:t>
      </w:r>
    </w:p>
    <w:p>
      <w:pPr>
        <w:spacing w:line="480" w:lineRule="exact"/>
        <w:ind w:firstLine="480" w:firstLineChars="200"/>
        <w:jc w:val="left"/>
        <w:rPr>
          <w:rFonts w:hint="eastAsia" w:ascii="仿宋" w:hAnsi="仿宋" w:eastAsia="仿宋"/>
          <w:sz w:val="24"/>
          <w:szCs w:val="24"/>
        </w:rPr>
      </w:pPr>
      <w:r>
        <w:rPr>
          <w:rFonts w:hint="eastAsia" w:ascii="仿宋" w:hAnsi="仿宋" w:eastAsia="仿宋"/>
          <w:sz w:val="24"/>
          <w:szCs w:val="24"/>
        </w:rPr>
        <w:t>（二）本项目的特定资格要求：</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销售商应具</w:t>
      </w:r>
      <w:r>
        <w:rPr>
          <w:rFonts w:hint="eastAsia" w:ascii="仿宋" w:hAnsi="仿宋" w:eastAsia="仿宋" w:cs="仿宋"/>
          <w:color w:val="auto"/>
          <w:sz w:val="24"/>
          <w:szCs w:val="24"/>
          <w:lang w:val="en-US" w:eastAsia="zh-CN"/>
        </w:rPr>
        <w:t>备</w:t>
      </w:r>
      <w:r>
        <w:rPr>
          <w:rFonts w:hint="eastAsia" w:ascii="仿宋" w:hAnsi="仿宋" w:eastAsia="仿宋" w:cs="仿宋"/>
          <w:color w:val="auto"/>
          <w:sz w:val="24"/>
          <w:szCs w:val="24"/>
        </w:rPr>
        <w:t>有效的《医疗器械经营许可证》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所投产品属二类医疗器械的，响应供应商须具备有效的《第二类医疗器械经营备案凭证》。</w:t>
      </w:r>
    </w:p>
    <w:p>
      <w:pPr>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响应产品生产厂家有效期内的《营业执照》《医疗器械生产许可证》或《医疗器械生产备案凭证》，且本采购项目属于其经营或生产范围。</w:t>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有效的《医疗器械注册证》若注册证有附件的，还须提供附件《医疗器械产品注册登记表》。</w:t>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有效的法定医疗器械产品质量监督部门的准产注册检验报告。</w:t>
      </w:r>
    </w:p>
    <w:p>
      <w:pPr>
        <w:snapToGrid w:val="0"/>
        <w:spacing w:line="500" w:lineRule="exact"/>
        <w:ind w:firstLine="480" w:firstLineChars="200"/>
        <w:rPr>
          <w:rFonts w:ascii="仿宋" w:hAnsi="仿宋" w:eastAsia="仿宋"/>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若为经销商参与</w:t>
      </w:r>
      <w:r>
        <w:rPr>
          <w:rFonts w:hint="eastAsia" w:ascii="仿宋" w:hAnsi="仿宋" w:eastAsia="仿宋" w:cs="仿宋"/>
          <w:color w:val="auto"/>
          <w:sz w:val="24"/>
          <w:szCs w:val="24"/>
          <w:lang w:eastAsia="zh-CN"/>
        </w:rPr>
        <w:t>竞采</w:t>
      </w:r>
      <w:r>
        <w:rPr>
          <w:rFonts w:hint="eastAsia" w:ascii="仿宋" w:hAnsi="仿宋" w:eastAsia="仿宋" w:cs="仿宋"/>
          <w:color w:val="auto"/>
          <w:sz w:val="24"/>
          <w:szCs w:val="24"/>
        </w:rPr>
        <w:t>的，须具备所投产品制造商认可的经销资格。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提供原件并加盖公章</w:t>
      </w:r>
      <w:r>
        <w:rPr>
          <w:rFonts w:hint="eastAsia" w:ascii="仿宋" w:hAnsi="仿宋" w:eastAsia="仿宋" w:cs="仿宋"/>
          <w:color w:val="auto"/>
          <w:sz w:val="24"/>
          <w:szCs w:val="24"/>
          <w:lang w:eastAsia="zh-CN"/>
        </w:rPr>
        <w:t>）。</w:t>
      </w:r>
    </w:p>
    <w:p>
      <w:pPr>
        <w:pStyle w:val="7"/>
        <w:spacing w:before="0" w:after="0" w:line="360" w:lineRule="auto"/>
        <w:rPr>
          <w:rFonts w:ascii="仿宋" w:hAnsi="仿宋" w:eastAsia="仿宋"/>
          <w:sz w:val="24"/>
          <w:szCs w:val="24"/>
        </w:rPr>
      </w:pPr>
      <w:bookmarkStart w:id="17" w:name="_Toc4702"/>
      <w:r>
        <w:rPr>
          <w:rFonts w:hint="eastAsia" w:ascii="仿宋" w:hAnsi="仿宋" w:eastAsia="仿宋"/>
          <w:sz w:val="24"/>
          <w:szCs w:val="24"/>
          <w:lang w:eastAsia="zh-CN"/>
        </w:rPr>
        <w:t>四、</w:t>
      </w:r>
      <w:r>
        <w:rPr>
          <w:rFonts w:hint="eastAsia" w:ascii="仿宋" w:hAnsi="仿宋" w:eastAsia="仿宋"/>
          <w:sz w:val="24"/>
          <w:szCs w:val="24"/>
        </w:rPr>
        <w:t>采购有关说明</w:t>
      </w:r>
      <w:bookmarkEnd w:id="9"/>
      <w:bookmarkEnd w:id="16"/>
      <w:bookmarkEnd w:id="17"/>
    </w:p>
    <w:p>
      <w:pPr>
        <w:spacing w:line="360" w:lineRule="auto"/>
        <w:ind w:firstLine="480" w:firstLineChars="200"/>
        <w:rPr>
          <w:rFonts w:ascii="仿宋" w:hAnsi="仿宋" w:eastAsia="仿宋"/>
          <w:sz w:val="24"/>
          <w:szCs w:val="24"/>
        </w:rPr>
      </w:pPr>
      <w:bookmarkStart w:id="18" w:name="_Toc373860294"/>
      <w:r>
        <w:rPr>
          <w:rFonts w:hint="eastAsia" w:ascii="仿宋" w:hAnsi="仿宋" w:eastAsia="仿宋"/>
          <w:sz w:val="24"/>
          <w:szCs w:val="24"/>
        </w:rPr>
        <w:t>（</w:t>
      </w:r>
      <w:r>
        <w:rPr>
          <w:rFonts w:hint="eastAsia" w:ascii="仿宋" w:hAnsi="仿宋" w:eastAsia="仿宋" w:cs="仿宋"/>
          <w:sz w:val="24"/>
          <w:szCs w:val="24"/>
        </w:rPr>
        <w:t>一）供应商应通过重庆市政府采购网（</w:t>
      </w:r>
      <w:r>
        <w:rPr>
          <w:rFonts w:hint="eastAsia"/>
        </w:rPr>
        <w:fldChar w:fldCharType="begin"/>
      </w:r>
      <w:r>
        <w:instrText xml:space="preserve"> HYPERLINK "http://www.cqgp.gov.cn" </w:instrText>
      </w:r>
      <w:r>
        <w:rPr>
          <w:rFonts w:hint="eastAsia"/>
        </w:rP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（二）凡有意参加采购的供应商，请在竞采中心网上下载本项目网上竞采文件以及补遗等所有项目资料，无论供应商下载与否，均视为已知晓所有采购实质性要求内容。</w:t>
      </w:r>
    </w:p>
    <w:p>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（三）</w:t>
      </w:r>
      <w:r>
        <w:rPr>
          <w:rFonts w:hint="eastAsia" w:ascii="仿宋" w:hAnsi="仿宋" w:eastAsia="仿宋" w:cs="仿宋_GB2312"/>
          <w:bCs/>
          <w:sz w:val="24"/>
          <w:szCs w:val="24"/>
          <w:lang w:val="en-US" w:eastAsia="zh-CN"/>
        </w:rPr>
        <w:t>采购</w:t>
      </w:r>
      <w:r>
        <w:rPr>
          <w:rFonts w:hint="eastAsia" w:ascii="仿宋" w:hAnsi="仿宋" w:eastAsia="仿宋" w:cs="仿宋_GB2312"/>
          <w:bCs/>
          <w:sz w:val="24"/>
          <w:szCs w:val="24"/>
        </w:rPr>
        <w:t>文件公告期限：自公告发布之日起三个工作日。</w:t>
      </w:r>
    </w:p>
    <w:p>
      <w:pPr>
        <w:spacing w:line="360" w:lineRule="auto"/>
        <w:ind w:firstLine="480" w:firstLineChars="200"/>
        <w:rPr>
          <w:rFonts w:ascii="仿宋" w:hAnsi="仿宋" w:eastAsia="仿宋" w:cs="仿宋_GB2312"/>
          <w:bCs/>
          <w:sz w:val="24"/>
          <w:szCs w:val="24"/>
        </w:rPr>
      </w:pPr>
      <w:r>
        <w:rPr>
          <w:rFonts w:hint="eastAsia" w:ascii="仿宋" w:hAnsi="仿宋" w:eastAsia="仿宋"/>
          <w:sz w:val="24"/>
          <w:szCs w:val="24"/>
        </w:rPr>
        <w:t>（四）</w:t>
      </w:r>
      <w:r>
        <w:rPr>
          <w:rFonts w:hint="eastAsia" w:ascii="仿宋" w:hAnsi="仿宋" w:eastAsia="仿宋" w:cs="仿宋_GB2312"/>
          <w:bCs/>
          <w:sz w:val="24"/>
          <w:szCs w:val="24"/>
        </w:rPr>
        <w:t>报</w:t>
      </w:r>
      <w:r>
        <w:rPr>
          <w:rFonts w:hint="eastAsia" w:ascii="仿宋" w:hAnsi="仿宋" w:eastAsia="仿宋" w:cs="仿宋_GB2312"/>
          <w:bCs/>
          <w:sz w:val="24"/>
          <w:szCs w:val="24"/>
          <w:lang w:val="en-US" w:eastAsia="zh-CN"/>
        </w:rPr>
        <w:t>价</w:t>
      </w:r>
      <w:r>
        <w:rPr>
          <w:rFonts w:hint="eastAsia" w:ascii="仿宋" w:hAnsi="仿宋" w:eastAsia="仿宋" w:cs="仿宋_GB2312"/>
          <w:bCs/>
          <w:sz w:val="24"/>
          <w:szCs w:val="24"/>
        </w:rPr>
        <w:t>及响应文件递交：</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线上</w:t>
      </w:r>
      <w:r>
        <w:rPr>
          <w:rFonts w:hint="eastAsia" w:ascii="仿宋" w:hAnsi="仿宋" w:eastAsia="仿宋"/>
          <w:sz w:val="24"/>
          <w:szCs w:val="24"/>
          <w:lang w:val="en-US" w:eastAsia="zh-CN"/>
        </w:rPr>
        <w:t>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线上报价时间：按本项目网上公告规定的报价时间为准。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线上报价要求：</w:t>
      </w:r>
      <w:r>
        <w:rPr>
          <w:rFonts w:hint="eastAsia" w:ascii="仿宋" w:hAnsi="仿宋" w:eastAsia="仿宋"/>
          <w:sz w:val="24"/>
          <w:szCs w:val="24"/>
          <w:lang w:val="en-US" w:eastAsia="zh-CN"/>
        </w:rPr>
        <w:t>投标供应商须在规定的报价时间内，</w:t>
      </w:r>
      <w:r>
        <w:rPr>
          <w:rFonts w:hint="eastAsia" w:ascii="仿宋" w:hAnsi="仿宋" w:eastAsia="仿宋"/>
          <w:sz w:val="24"/>
          <w:szCs w:val="24"/>
        </w:rPr>
        <w:t>在重庆市政府采购网上竞采中心进行网上报价，并上传</w:t>
      </w:r>
      <w:r>
        <w:rPr>
          <w:rFonts w:hint="eastAsia" w:ascii="仿宋" w:hAnsi="仿宋" w:eastAsia="仿宋"/>
          <w:sz w:val="24"/>
          <w:szCs w:val="24"/>
          <w:lang w:val="en-US" w:eastAsia="zh-CN"/>
        </w:rPr>
        <w:t>按照采购文件要求编制的</w:t>
      </w:r>
      <w:r>
        <w:rPr>
          <w:rFonts w:hint="eastAsia" w:ascii="仿宋" w:hAnsi="仿宋" w:eastAsia="仿宋"/>
          <w:sz w:val="24"/>
          <w:szCs w:val="24"/>
        </w:rPr>
        <w:t>响应文件电子文档</w:t>
      </w:r>
      <w:r>
        <w:rPr>
          <w:rFonts w:hint="eastAsia" w:ascii="仿宋" w:hAnsi="仿宋" w:eastAsia="仿宋"/>
          <w:sz w:val="24"/>
          <w:szCs w:val="24"/>
          <w:lang w:val="en-US" w:eastAsia="zh-CN"/>
        </w:rPr>
        <w:t>一份</w:t>
      </w:r>
      <w:r>
        <w:rPr>
          <w:rFonts w:hint="eastAsia" w:ascii="仿宋" w:hAnsi="仿宋" w:eastAsia="仿宋"/>
          <w:sz w:val="24"/>
          <w:szCs w:val="24"/>
          <w:lang w:eastAsia="zh-CN"/>
        </w:rPr>
        <w:t>（</w:t>
      </w:r>
      <w:r>
        <w:rPr>
          <w:rFonts w:hint="eastAsia" w:ascii="仿宋" w:hAnsi="仿宋" w:eastAsia="仿宋"/>
          <w:sz w:val="24"/>
          <w:szCs w:val="24"/>
        </w:rPr>
        <w:t>以pdf格式的文档上传</w:t>
      </w:r>
      <w:r>
        <w:rPr>
          <w:rFonts w:hint="eastAsia" w:ascii="仿宋" w:hAnsi="仿宋" w:eastAsia="仿宋"/>
          <w:sz w:val="24"/>
          <w:szCs w:val="24"/>
          <w:lang w:eastAsia="zh-CN"/>
        </w:rPr>
        <w:t>）</w:t>
      </w:r>
      <w:r>
        <w:rPr>
          <w:rFonts w:hint="eastAsia" w:ascii="仿宋" w:hAnsi="仿宋" w:eastAsia="仿宋"/>
          <w:sz w:val="24"/>
          <w:szCs w:val="24"/>
        </w:rPr>
        <w:t>。未在规定时间内报价</w:t>
      </w:r>
      <w:r>
        <w:rPr>
          <w:rFonts w:hint="eastAsia" w:ascii="仿宋" w:hAnsi="仿宋" w:eastAsia="仿宋"/>
          <w:sz w:val="24"/>
          <w:szCs w:val="24"/>
          <w:lang w:val="en-US" w:eastAsia="zh-CN"/>
        </w:rPr>
        <w:t>或</w:t>
      </w:r>
      <w:r>
        <w:rPr>
          <w:rFonts w:hint="eastAsia" w:ascii="仿宋" w:hAnsi="仿宋" w:eastAsia="仿宋"/>
          <w:sz w:val="24"/>
          <w:szCs w:val="24"/>
        </w:rPr>
        <w:t>上传响应文件电子文档的供应商不具备竞标资格。</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本项目采用线上</w:t>
      </w:r>
      <w:r>
        <w:rPr>
          <w:rFonts w:hint="eastAsia" w:ascii="仿宋" w:hAnsi="仿宋" w:eastAsia="仿宋"/>
          <w:sz w:val="24"/>
          <w:szCs w:val="24"/>
          <w:lang w:val="en-US" w:eastAsia="zh-CN"/>
        </w:rPr>
        <w:t>评审</w:t>
      </w:r>
      <w:r>
        <w:rPr>
          <w:rFonts w:hint="eastAsia" w:ascii="仿宋" w:hAnsi="仿宋" w:eastAsia="仿宋"/>
          <w:sz w:val="24"/>
          <w:szCs w:val="24"/>
        </w:rPr>
        <w:t>的方式</w:t>
      </w:r>
      <w:r>
        <w:rPr>
          <w:rFonts w:hint="eastAsia" w:ascii="仿宋" w:hAnsi="仿宋" w:eastAsia="仿宋"/>
          <w:sz w:val="24"/>
          <w:szCs w:val="24"/>
          <w:lang w:eastAsia="zh-CN"/>
        </w:rPr>
        <w:t>。</w:t>
      </w:r>
      <w:r>
        <w:rPr>
          <w:rFonts w:hint="eastAsia" w:ascii="仿宋" w:hAnsi="仿宋" w:eastAsia="仿宋"/>
          <w:sz w:val="24"/>
          <w:szCs w:val="24"/>
          <w:lang w:val="en-US" w:eastAsia="zh-CN"/>
        </w:rPr>
        <w:t>投标供应商上传的响应</w:t>
      </w:r>
      <w:r>
        <w:rPr>
          <w:rFonts w:hint="eastAsia" w:ascii="仿宋" w:hAnsi="仿宋" w:eastAsia="仿宋"/>
          <w:sz w:val="24"/>
          <w:szCs w:val="24"/>
        </w:rPr>
        <w:t>文件内容应清晰</w:t>
      </w:r>
      <w:r>
        <w:rPr>
          <w:rFonts w:hint="eastAsia" w:ascii="仿宋" w:hAnsi="仿宋" w:eastAsia="仿宋"/>
          <w:sz w:val="24"/>
          <w:szCs w:val="24"/>
          <w:lang w:eastAsia="zh-CN"/>
        </w:rPr>
        <w:t>、</w:t>
      </w:r>
      <w:r>
        <w:rPr>
          <w:rFonts w:hint="eastAsia" w:ascii="仿宋" w:hAnsi="仿宋" w:eastAsia="仿宋"/>
          <w:sz w:val="24"/>
          <w:szCs w:val="24"/>
        </w:rPr>
        <w:t>无涂改，若因文件内容模糊导致无法进行评审，由此造成的后果由供应商自行承担。</w:t>
      </w:r>
    </w:p>
    <w:p>
      <w:pPr>
        <w:pStyle w:val="7"/>
        <w:spacing w:before="0" w:after="0" w:line="360" w:lineRule="auto"/>
        <w:rPr>
          <w:rFonts w:ascii="仿宋" w:hAnsi="仿宋" w:eastAsia="仿宋"/>
          <w:sz w:val="24"/>
          <w:szCs w:val="24"/>
        </w:rPr>
      </w:pPr>
      <w:bookmarkStart w:id="19" w:name="_Toc22706"/>
      <w:bookmarkStart w:id="20" w:name="_Toc6341"/>
      <w:r>
        <w:rPr>
          <w:rFonts w:hint="eastAsia" w:ascii="仿宋" w:hAnsi="仿宋" w:eastAsia="仿宋"/>
          <w:sz w:val="24"/>
          <w:szCs w:val="24"/>
          <w:lang w:eastAsia="zh-CN"/>
        </w:rPr>
        <w:t>五、</w:t>
      </w:r>
      <w:r>
        <w:rPr>
          <w:rFonts w:hint="eastAsia" w:ascii="仿宋" w:hAnsi="仿宋" w:eastAsia="仿宋"/>
          <w:sz w:val="24"/>
          <w:szCs w:val="24"/>
        </w:rPr>
        <w:t>保证金</w:t>
      </w:r>
      <w:bookmarkEnd w:id="18"/>
      <w:bookmarkEnd w:id="19"/>
      <w:bookmarkEnd w:id="20"/>
    </w:p>
    <w:p>
      <w:pPr>
        <w:spacing w:line="360" w:lineRule="auto"/>
        <w:ind w:firstLine="480" w:firstLineChars="200"/>
        <w:rPr>
          <w:rFonts w:ascii="仿宋" w:hAnsi="仿宋" w:eastAsia="仿宋"/>
          <w:sz w:val="24"/>
          <w:szCs w:val="24"/>
        </w:rPr>
      </w:pPr>
      <w:r>
        <w:rPr>
          <w:rFonts w:hint="eastAsia" w:ascii="仿宋" w:hAnsi="仿宋" w:eastAsia="仿宋"/>
          <w:sz w:val="24"/>
          <w:szCs w:val="24"/>
        </w:rPr>
        <w:t>本项目不递交保证金。</w:t>
      </w:r>
    </w:p>
    <w:bookmarkEnd w:id="10"/>
    <w:p>
      <w:pPr>
        <w:pStyle w:val="7"/>
        <w:spacing w:before="0" w:after="0" w:line="360" w:lineRule="auto"/>
        <w:rPr>
          <w:rFonts w:ascii="仿宋" w:hAnsi="仿宋" w:eastAsia="仿宋"/>
          <w:sz w:val="24"/>
          <w:szCs w:val="24"/>
        </w:rPr>
      </w:pPr>
      <w:bookmarkStart w:id="21" w:name="_Toc17481"/>
      <w:bookmarkStart w:id="22" w:name="_Toc480466699"/>
      <w:bookmarkStart w:id="23" w:name="_Toc17560"/>
      <w:r>
        <w:rPr>
          <w:rFonts w:hint="eastAsia" w:ascii="仿宋" w:hAnsi="仿宋" w:eastAsia="仿宋"/>
          <w:sz w:val="24"/>
          <w:szCs w:val="24"/>
          <w:lang w:eastAsia="zh-CN"/>
        </w:rPr>
        <w:t>六、其他</w:t>
      </w:r>
      <w:r>
        <w:rPr>
          <w:rFonts w:hint="eastAsia" w:ascii="仿宋" w:hAnsi="仿宋" w:eastAsia="仿宋"/>
          <w:sz w:val="24"/>
          <w:szCs w:val="24"/>
        </w:rPr>
        <w:t>有关规定</w:t>
      </w:r>
      <w:bookmarkEnd w:id="21"/>
      <w:bookmarkEnd w:id="22"/>
      <w:bookmarkEnd w:id="23"/>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w:t>
      </w:r>
      <w:r>
        <w:rPr>
          <w:rFonts w:hint="eastAsia" w:ascii="仿宋" w:hAnsi="仿宋" w:eastAsia="仿宋"/>
          <w:sz w:val="24"/>
          <w:szCs w:val="24"/>
          <w:lang w:eastAsia="zh-CN"/>
        </w:rPr>
        <w:t>、</w:t>
      </w:r>
      <w:r>
        <w:rPr>
          <w:rFonts w:hint="eastAsia" w:ascii="仿宋" w:hAnsi="仿宋" w:eastAsia="仿宋"/>
          <w:sz w:val="24"/>
          <w:szCs w:val="24"/>
        </w:rPr>
        <w:t>管理关系的不同供应商，</w:t>
      </w:r>
      <w:r>
        <w:rPr>
          <w:rFonts w:ascii="仿宋" w:hAnsi="仿宋" w:eastAsia="仿宋"/>
          <w:sz w:val="24"/>
          <w:szCs w:val="24"/>
        </w:rPr>
        <w:t>不得参加同一合同</w:t>
      </w:r>
      <w:r>
        <w:rPr>
          <w:rFonts w:hint="eastAsia" w:ascii="仿宋" w:hAnsi="仿宋" w:eastAsia="仿宋"/>
          <w:sz w:val="24"/>
          <w:szCs w:val="24"/>
          <w:lang w:eastAsia="zh-CN"/>
        </w:rPr>
        <w:t>项目</w:t>
      </w:r>
      <w:r>
        <w:rPr>
          <w:rFonts w:hint="eastAsia" w:ascii="仿宋" w:hAnsi="仿宋" w:eastAsia="仿宋"/>
          <w:sz w:val="24"/>
          <w:szCs w:val="24"/>
        </w:rPr>
        <w:t>（分包）</w:t>
      </w:r>
      <w:r>
        <w:rPr>
          <w:rFonts w:ascii="仿宋" w:hAnsi="仿宋" w:eastAsia="仿宋"/>
          <w:sz w:val="24"/>
          <w:szCs w:val="24"/>
        </w:rPr>
        <w:t>下的政府采购活动</w:t>
      </w:r>
      <w:r>
        <w:rPr>
          <w:rFonts w:hint="eastAsia" w:ascii="仿宋" w:hAnsi="仿宋" w:eastAsia="仿宋"/>
          <w:sz w:val="24"/>
          <w:szCs w:val="24"/>
        </w:rPr>
        <w:t>，否则均为响应无效。</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（二）为采购项目提供整体设计</w:t>
      </w:r>
      <w:r>
        <w:rPr>
          <w:rFonts w:hint="eastAsia" w:ascii="仿宋" w:hAnsi="仿宋" w:eastAsia="仿宋"/>
          <w:sz w:val="24"/>
          <w:szCs w:val="24"/>
          <w:lang w:eastAsia="zh-CN"/>
        </w:rPr>
        <w:t>、</w:t>
      </w:r>
      <w:r>
        <w:rPr>
          <w:rFonts w:hint="eastAsia" w:ascii="仿宋" w:hAnsi="仿宋" w:eastAsia="仿宋"/>
          <w:sz w:val="24"/>
          <w:szCs w:val="24"/>
        </w:rPr>
        <w:t>规范编制或者项目管理</w:t>
      </w:r>
      <w:r>
        <w:rPr>
          <w:rFonts w:hint="eastAsia" w:ascii="仿宋" w:hAnsi="仿宋" w:eastAsia="仿宋"/>
          <w:sz w:val="24"/>
          <w:szCs w:val="24"/>
          <w:lang w:eastAsia="zh-CN"/>
        </w:rPr>
        <w:t>、</w:t>
      </w:r>
      <w:r>
        <w:rPr>
          <w:rFonts w:hint="eastAsia" w:ascii="仿宋" w:hAnsi="仿宋" w:eastAsia="仿宋"/>
          <w:sz w:val="24"/>
          <w:szCs w:val="24"/>
        </w:rPr>
        <w:t>监理</w:t>
      </w:r>
      <w:r>
        <w:rPr>
          <w:rFonts w:hint="eastAsia" w:ascii="仿宋" w:hAnsi="仿宋" w:eastAsia="仿宋"/>
          <w:sz w:val="24"/>
          <w:szCs w:val="24"/>
          <w:lang w:eastAsia="zh-CN"/>
        </w:rPr>
        <w:t>、</w:t>
      </w:r>
      <w:r>
        <w:rPr>
          <w:rFonts w:hint="eastAsia" w:ascii="仿宋" w:hAnsi="仿宋" w:eastAsia="仿宋"/>
          <w:sz w:val="24"/>
          <w:szCs w:val="24"/>
        </w:rPr>
        <w:t>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三</w:t>
      </w:r>
      <w:r>
        <w:rPr>
          <w:rFonts w:hint="eastAsia" w:ascii="仿宋" w:hAnsi="仿宋" w:eastAsia="仿宋"/>
          <w:sz w:val="24"/>
          <w:szCs w:val="24"/>
        </w:rPr>
        <w:t>）本项目的补遗文件（如果有）一律在重庆市政府采购网上竞采中心上发布，请各供应商注意下载；无论供应商下载与否，均视同供应商已知晓本项目补遗文件（如果有）的内容。</w:t>
      </w:r>
    </w:p>
    <w:p>
      <w:pPr>
        <w:snapToGrid w:val="0"/>
        <w:spacing w:line="360" w:lineRule="auto"/>
        <w:ind w:firstLine="360" w:firstLineChars="150"/>
        <w:rPr>
          <w:rFonts w:ascii="仿宋" w:hAnsi="仿宋" w:eastAsia="仿宋"/>
          <w:b w:val="0"/>
          <w:bCs w:val="0"/>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）网上竞采费用：无论网上竞采结果如何，供应商参与本项目网上竞采的所有费用</w:t>
      </w:r>
      <w:r>
        <w:rPr>
          <w:rFonts w:hint="eastAsia" w:ascii="仿宋" w:hAnsi="仿宋" w:eastAsia="仿宋"/>
          <w:b w:val="0"/>
          <w:bCs w:val="0"/>
          <w:sz w:val="24"/>
          <w:szCs w:val="24"/>
        </w:rPr>
        <w:t>均应由供应商自行承担。</w:t>
      </w:r>
    </w:p>
    <w:p>
      <w:pPr>
        <w:snapToGrid w:val="0"/>
        <w:spacing w:line="360" w:lineRule="auto"/>
        <w:ind w:firstLine="360" w:firstLineChars="150"/>
        <w:rPr>
          <w:rFonts w:ascii="仿宋" w:hAnsi="仿宋" w:eastAsia="仿宋"/>
          <w:b w:val="0"/>
          <w:bCs w:val="0"/>
          <w:sz w:val="24"/>
          <w:szCs w:val="24"/>
        </w:rPr>
      </w:pPr>
      <w:bookmarkStart w:id="24" w:name="_Toc480466700"/>
      <w:r>
        <w:rPr>
          <w:rFonts w:hint="eastAsia" w:ascii="仿宋" w:hAnsi="仿宋" w:eastAsia="仿宋"/>
          <w:b w:val="0"/>
          <w:bCs w:val="0"/>
          <w:sz w:val="24"/>
          <w:szCs w:val="24"/>
        </w:rPr>
        <w:t>（</w:t>
      </w:r>
      <w:r>
        <w:rPr>
          <w:rFonts w:hint="eastAsia" w:ascii="仿宋" w:hAnsi="仿宋" w:eastAsia="仿宋"/>
          <w:b w:val="0"/>
          <w:bCs w:val="0"/>
          <w:sz w:val="24"/>
          <w:szCs w:val="24"/>
          <w:lang w:val="en-US" w:eastAsia="zh-CN"/>
        </w:rPr>
        <w:t>五</w:t>
      </w:r>
      <w:r>
        <w:rPr>
          <w:rFonts w:hint="eastAsia" w:ascii="仿宋" w:hAnsi="仿宋" w:eastAsia="仿宋"/>
          <w:b w:val="0"/>
          <w:bCs w:val="0"/>
          <w:sz w:val="24"/>
          <w:szCs w:val="24"/>
        </w:rPr>
        <w:t>）本项目不接受合同分包。</w:t>
      </w:r>
    </w:p>
    <w:p>
      <w:pPr>
        <w:snapToGrid w:val="0"/>
        <w:spacing w:line="360" w:lineRule="auto"/>
        <w:ind w:firstLine="360" w:firstLineChars="1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六</w:t>
      </w:r>
      <w:r>
        <w:rPr>
          <w:rFonts w:hint="eastAsia" w:ascii="仿宋" w:hAnsi="仿宋" w:eastAsia="仿宋"/>
          <w:sz w:val="24"/>
          <w:szCs w:val="24"/>
        </w:rPr>
        <w:t>）按照《财政部关于在政府采购活动中查询及使用信用记录有关问题的通知》财库〔2016〕125号，供应商列入失信被执行人</w:t>
      </w:r>
      <w:r>
        <w:rPr>
          <w:rFonts w:hint="eastAsia" w:ascii="仿宋" w:hAnsi="仿宋" w:eastAsia="仿宋"/>
          <w:sz w:val="24"/>
          <w:szCs w:val="24"/>
          <w:lang w:eastAsia="zh-CN"/>
        </w:rPr>
        <w:t>、</w:t>
      </w:r>
      <w:r>
        <w:rPr>
          <w:rFonts w:hint="eastAsia" w:ascii="仿宋" w:hAnsi="仿宋" w:eastAsia="仿宋"/>
          <w:sz w:val="24"/>
          <w:szCs w:val="24"/>
        </w:rPr>
        <w:t>重大税收违法案件当事人名单</w:t>
      </w:r>
      <w:r>
        <w:rPr>
          <w:rFonts w:hint="eastAsia" w:ascii="仿宋" w:hAnsi="仿宋" w:eastAsia="仿宋"/>
          <w:sz w:val="24"/>
          <w:szCs w:val="24"/>
          <w:lang w:eastAsia="zh-CN"/>
        </w:rPr>
        <w:t>、</w:t>
      </w:r>
      <w:r>
        <w:rPr>
          <w:rFonts w:hint="eastAsia" w:ascii="仿宋" w:hAnsi="仿宋" w:eastAsia="仿宋"/>
          <w:sz w:val="24"/>
          <w:szCs w:val="24"/>
        </w:rPr>
        <w:t>政府采购严重违法失信行为记录名单及其他不符合《中华人民共和国政府采购法》第二十二条规定条件的供应商，将拒绝其参与政府采购活动。</w:t>
      </w:r>
    </w:p>
    <w:p>
      <w:pPr>
        <w:pStyle w:val="7"/>
        <w:spacing w:before="0" w:after="0" w:line="360" w:lineRule="auto"/>
        <w:rPr>
          <w:rFonts w:ascii="仿宋" w:hAnsi="仿宋" w:eastAsia="仿宋"/>
          <w:sz w:val="24"/>
          <w:szCs w:val="24"/>
        </w:rPr>
      </w:pPr>
      <w:bookmarkStart w:id="25" w:name="_Toc13565"/>
      <w:bookmarkStart w:id="26" w:name="_Toc28780"/>
      <w:r>
        <w:rPr>
          <w:rFonts w:hint="eastAsia" w:ascii="仿宋" w:hAnsi="仿宋" w:eastAsia="仿宋"/>
          <w:sz w:val="24"/>
          <w:szCs w:val="24"/>
          <w:lang w:eastAsia="zh-CN"/>
        </w:rPr>
        <w:t>七、</w:t>
      </w:r>
      <w:r>
        <w:rPr>
          <w:rFonts w:hint="eastAsia" w:ascii="仿宋" w:hAnsi="仿宋" w:eastAsia="仿宋"/>
          <w:sz w:val="24"/>
          <w:szCs w:val="24"/>
        </w:rPr>
        <w:t>联系方式</w:t>
      </w:r>
      <w:bookmarkEnd w:id="24"/>
      <w:bookmarkEnd w:id="25"/>
      <w:bookmarkEnd w:id="26"/>
    </w:p>
    <w:p>
      <w:pPr>
        <w:snapToGrid w:val="0"/>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（一）采购人：沙坪坝区土主社区卫生服务中心</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val="en-US" w:eastAsia="zh-CN"/>
        </w:rPr>
        <w:t>李</w:t>
      </w:r>
      <w:r>
        <w:rPr>
          <w:rFonts w:hint="eastAsia" w:ascii="仿宋" w:hAnsi="仿宋" w:eastAsia="仿宋"/>
          <w:sz w:val="24"/>
          <w:szCs w:val="24"/>
        </w:rPr>
        <w:t>老师</w:t>
      </w:r>
    </w:p>
    <w:p>
      <w:pPr>
        <w:snapToGrid w:val="0"/>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电话：1</w:t>
      </w:r>
      <w:r>
        <w:rPr>
          <w:rFonts w:hint="eastAsia" w:ascii="仿宋" w:hAnsi="仿宋" w:eastAsia="仿宋"/>
          <w:sz w:val="24"/>
          <w:szCs w:val="24"/>
          <w:lang w:val="en-US" w:eastAsia="zh-CN"/>
        </w:rPr>
        <w:t>7723169643</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地址：重庆市沙坪坝区土主社区卫生服务中心    </w:t>
      </w:r>
      <w:r>
        <w:rPr>
          <w:rFonts w:ascii="仿宋" w:hAnsi="仿宋" w:eastAsia="仿宋"/>
          <w:sz w:val="24"/>
          <w:szCs w:val="24"/>
        </w:rPr>
        <w:t xml:space="preserve">                </w:t>
      </w:r>
    </w:p>
    <w:p>
      <w:pPr>
        <w:pStyle w:val="6"/>
        <w:spacing w:before="0" w:after="0" w:line="360" w:lineRule="auto"/>
        <w:jc w:val="center"/>
        <w:rPr>
          <w:rFonts w:ascii="仿宋" w:hAnsi="仿宋" w:eastAsia="仿宋"/>
          <w:b/>
          <w:bCs/>
          <w:sz w:val="30"/>
          <w:szCs w:val="30"/>
        </w:rPr>
      </w:pPr>
      <w:bookmarkStart w:id="27" w:name="_Toc6581"/>
      <w:bookmarkStart w:id="28" w:name="_Toc15077"/>
      <w:r>
        <w:rPr>
          <w:rFonts w:hint="eastAsia" w:ascii="仿宋" w:hAnsi="仿宋" w:eastAsia="仿宋"/>
          <w:b/>
          <w:bCs/>
          <w:sz w:val="36"/>
          <w:szCs w:val="30"/>
        </w:rPr>
        <w:t>第二篇 采购项目技术需求</w:t>
      </w:r>
      <w:bookmarkEnd w:id="27"/>
      <w:bookmarkEnd w:id="28"/>
    </w:p>
    <w:p>
      <w:pPr>
        <w:pStyle w:val="7"/>
        <w:spacing w:before="0" w:after="0" w:line="360" w:lineRule="auto"/>
        <w:rPr>
          <w:rFonts w:hint="default" w:ascii="仿宋" w:hAnsi="仿宋" w:eastAsia="仿宋" w:cs="Times New Roman"/>
          <w:sz w:val="24"/>
          <w:szCs w:val="24"/>
          <w:lang w:val="en-US"/>
        </w:rPr>
      </w:pPr>
      <w:bookmarkStart w:id="29" w:name="_Toc22047738"/>
      <w:bookmarkStart w:id="30" w:name="_Toc10113"/>
      <w:bookmarkStart w:id="31" w:name="_Toc2517"/>
      <w:bookmarkStart w:id="32" w:name="_Toc12789058"/>
      <w:r>
        <w:rPr>
          <w:rFonts w:hint="eastAsia" w:ascii="仿宋" w:hAnsi="仿宋" w:eastAsia="仿宋" w:cs="Times New Roman"/>
          <w:sz w:val="24"/>
          <w:szCs w:val="24"/>
          <w:lang w:eastAsia="zh-CN"/>
        </w:rPr>
        <w:t>一、</w:t>
      </w:r>
      <w:bookmarkEnd w:id="29"/>
      <w:bookmarkEnd w:id="30"/>
      <w:r>
        <w:rPr>
          <w:rFonts w:hint="eastAsia" w:ascii="仿宋" w:hAnsi="仿宋" w:eastAsia="仿宋" w:cs="Times New Roman"/>
          <w:sz w:val="24"/>
          <w:szCs w:val="24"/>
          <w:lang w:val="en-US" w:eastAsia="zh-CN"/>
        </w:rPr>
        <w:t>采购设备技术参数要求及清单</w:t>
      </w:r>
      <w:bookmarkEnd w:id="31"/>
    </w:p>
    <w:p>
      <w:pPr>
        <w:spacing w:line="360" w:lineRule="auto"/>
        <w:rPr>
          <w:rFonts w:hint="default" w:ascii="仿宋" w:eastAsia="仿宋"/>
          <w:sz w:val="24"/>
          <w:szCs w:val="24"/>
          <w:lang w:val="en-US" w:eastAsia="zh-CN"/>
        </w:rPr>
      </w:pPr>
      <w:bookmarkStart w:id="33" w:name="_Toc9863"/>
      <w:bookmarkStart w:id="34" w:name="_Toc344475116"/>
      <w:bookmarkStart w:id="35" w:name="_Toc3669"/>
      <w:bookmarkStart w:id="36" w:name="_Toc29018"/>
      <w:bookmarkStart w:id="37" w:name="_Toc31288"/>
      <w:bookmarkStart w:id="38" w:name="_Toc313536013"/>
      <w:bookmarkStart w:id="39" w:name="_Toc530144826"/>
      <w:r>
        <w:rPr>
          <w:rFonts w:hint="eastAsia" w:ascii="仿宋" w:eastAsia="仿宋"/>
          <w:sz w:val="24"/>
          <w:szCs w:val="24"/>
          <w:lang w:val="en-US" w:eastAsia="zh-CN"/>
        </w:rPr>
        <w:t xml:space="preserve">    见附件参数</w:t>
      </w:r>
    </w:p>
    <w:bookmarkEnd w:id="33"/>
    <w:bookmarkEnd w:id="34"/>
    <w:bookmarkEnd w:id="35"/>
    <w:bookmarkEnd w:id="36"/>
    <w:bookmarkEnd w:id="37"/>
    <w:bookmarkEnd w:id="38"/>
    <w:bookmarkEnd w:id="39"/>
    <w:p>
      <w:pPr>
        <w:pStyle w:val="36"/>
        <w:spacing w:line="360" w:lineRule="auto"/>
        <w:ind w:left="0" w:leftChars="0" w:firstLine="0" w:firstLineChars="0"/>
        <w:rPr>
          <w:rFonts w:hint="default" w:ascii="仿宋" w:eastAsia="仿宋" w:cs="Times New Roman"/>
          <w:sz w:val="24"/>
          <w:szCs w:val="24"/>
          <w:lang w:val="en-US" w:eastAsia="zh-CN"/>
        </w:rPr>
      </w:pPr>
      <w:bookmarkStart w:id="40" w:name="_Toc12675"/>
      <w:r>
        <w:rPr>
          <w:rFonts w:hint="eastAsia" w:ascii="仿宋" w:eastAsia="仿宋" w:cs="Times New Roman"/>
          <w:sz w:val="24"/>
          <w:szCs w:val="24"/>
          <w:lang w:val="en-US" w:eastAsia="zh-CN"/>
        </w:rPr>
        <w:t>二、其他要求</w:t>
      </w:r>
    </w:p>
    <w:p>
      <w:pPr>
        <w:pStyle w:val="36"/>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1.投标人应在响应文件中提供相应技术参数的证明文件，并加盖投标人公章。投标</w:t>
      </w:r>
      <w:r>
        <w:rPr>
          <w:rFonts w:hint="eastAsia" w:ascii="仿宋" w:eastAsia="仿宋" w:cs="Times New Roman"/>
          <w:sz w:val="24"/>
          <w:szCs w:val="24"/>
        </w:rPr>
        <w:t>若不满足将按照评标因素中相关规定处理。</w:t>
      </w:r>
    </w:p>
    <w:p>
      <w:pPr>
        <w:pStyle w:val="36"/>
        <w:spacing w:line="360" w:lineRule="auto"/>
        <w:ind w:firstLine="480" w:firstLineChars="200"/>
        <w:rPr>
          <w:rFonts w:hint="eastAsia" w:ascii="仿宋" w:eastAsia="仿宋" w:cs="Times New Roman"/>
          <w:sz w:val="24"/>
          <w:szCs w:val="24"/>
        </w:rPr>
      </w:pPr>
      <w:r>
        <w:rPr>
          <w:rFonts w:hint="eastAsia" w:ascii="微软雅黑" w:hAnsi="微软雅黑" w:eastAsia="微软雅黑" w:cs="微软雅黑"/>
          <w:sz w:val="24"/>
          <w:szCs w:val="24"/>
          <w:lang w:val="en-US" w:eastAsia="zh-CN"/>
        </w:rPr>
        <w:t>2</w:t>
      </w:r>
      <w:r>
        <w:rPr>
          <w:rFonts w:hint="eastAsia" w:ascii="仿宋" w:eastAsia="仿宋" w:cs="Times New Roman"/>
          <w:sz w:val="24"/>
          <w:szCs w:val="24"/>
          <w:lang w:eastAsia="zh-CN"/>
        </w:rPr>
        <w:t>.</w:t>
      </w:r>
      <w:r>
        <w:rPr>
          <w:rFonts w:hint="eastAsia" w:ascii="仿宋" w:eastAsia="仿宋" w:cs="Times New Roman"/>
          <w:sz w:val="24"/>
          <w:szCs w:val="24"/>
        </w:rPr>
        <w:t>为保证本项目商品售后服务质量，投标人须提供原厂售后服务承诺函，原件加盖</w:t>
      </w:r>
      <w:r>
        <w:rPr>
          <w:rFonts w:hint="eastAsia" w:ascii="仿宋" w:eastAsia="仿宋" w:cs="Times New Roman"/>
          <w:sz w:val="24"/>
          <w:szCs w:val="24"/>
          <w:lang w:val="en-US" w:eastAsia="zh-CN"/>
        </w:rPr>
        <w:t>制造商及</w:t>
      </w:r>
      <w:r>
        <w:rPr>
          <w:rFonts w:hint="eastAsia" w:ascii="仿宋" w:eastAsia="仿宋" w:cs="Times New Roman"/>
          <w:sz w:val="24"/>
          <w:szCs w:val="24"/>
        </w:rPr>
        <w:t>投标人公章。</w:t>
      </w:r>
    </w:p>
    <w:p>
      <w:pPr>
        <w:pStyle w:val="36"/>
        <w:spacing w:line="360" w:lineRule="auto"/>
        <w:ind w:firstLine="480" w:firstLineChars="200"/>
        <w:rPr>
          <w:rFonts w:hint="eastAsia" w:ascii="仿宋" w:eastAsia="仿宋" w:cs="Times New Roman"/>
          <w:sz w:val="24"/>
          <w:szCs w:val="24"/>
        </w:rPr>
      </w:pPr>
      <w:r>
        <w:rPr>
          <w:rFonts w:hint="eastAsia" w:ascii="仿宋" w:eastAsia="仿宋" w:cs="Times New Roman"/>
          <w:sz w:val="24"/>
          <w:szCs w:val="24"/>
          <w:lang w:val="en-US" w:eastAsia="zh-CN"/>
        </w:rPr>
        <w:t>3</w:t>
      </w:r>
      <w:r>
        <w:rPr>
          <w:rFonts w:hint="eastAsia" w:ascii="仿宋" w:eastAsia="仿宋" w:cs="Times New Roman"/>
          <w:sz w:val="24"/>
          <w:szCs w:val="24"/>
          <w:lang w:eastAsia="zh-CN"/>
        </w:rPr>
        <w:t>.</w:t>
      </w:r>
      <w:r>
        <w:rPr>
          <w:rFonts w:hint="eastAsia" w:ascii="仿宋" w:eastAsia="仿宋" w:cs="Times New Roman"/>
          <w:sz w:val="24"/>
          <w:szCs w:val="24"/>
        </w:rPr>
        <w:t>所投产品必须为原厂全新整机，不接受定制产品。</w:t>
      </w:r>
    </w:p>
    <w:p>
      <w:pPr>
        <w:pStyle w:val="36"/>
        <w:spacing w:line="360" w:lineRule="auto"/>
        <w:ind w:firstLine="480" w:firstLineChars="200"/>
        <w:rPr>
          <w:rFonts w:hint="eastAsia" w:ascii="仿宋" w:eastAsia="仿宋" w:cs="Times New Roman"/>
          <w:sz w:val="24"/>
          <w:szCs w:val="24"/>
          <w:lang w:val="en-US" w:eastAsia="zh-CN"/>
        </w:rPr>
      </w:pPr>
      <w:r>
        <w:rPr>
          <w:rFonts w:hint="eastAsia" w:ascii="微软雅黑" w:hAnsi="微软雅黑" w:eastAsia="微软雅黑" w:cs="微软雅黑"/>
          <w:sz w:val="24"/>
          <w:szCs w:val="24"/>
          <w:lang w:val="en-US" w:eastAsia="zh-CN"/>
        </w:rPr>
        <w:t>4</w:t>
      </w:r>
      <w:r>
        <w:rPr>
          <w:rFonts w:hint="eastAsia" w:ascii="仿宋" w:eastAsia="仿宋" w:cs="Times New Roman"/>
          <w:sz w:val="24"/>
          <w:szCs w:val="24"/>
          <w:lang w:val="en-US" w:eastAsia="zh-CN"/>
        </w:rPr>
        <w:t>.本项目为总价包干，成交价（签约合同价）即达到项目验收合格标准所需的所有费用，包括但不限于安装费、主材费、辅材费、调试费、运输费、二次转运费等所有费用。</w:t>
      </w:r>
    </w:p>
    <w:p>
      <w:pPr>
        <w:pStyle w:val="6"/>
        <w:spacing w:before="0" w:after="0" w:line="360" w:lineRule="auto"/>
        <w:jc w:val="center"/>
        <w:rPr>
          <w:rFonts w:ascii="仿宋" w:hAnsi="仿宋" w:eastAsia="仿宋"/>
          <w:b/>
          <w:bCs/>
          <w:sz w:val="36"/>
          <w:szCs w:val="30"/>
        </w:rPr>
      </w:pPr>
      <w:bookmarkStart w:id="41" w:name="_Toc251"/>
      <w:r>
        <w:rPr>
          <w:rFonts w:hint="eastAsia" w:ascii="仿宋" w:hAnsi="仿宋" w:eastAsia="仿宋"/>
          <w:b/>
          <w:bCs/>
          <w:sz w:val="36"/>
          <w:szCs w:val="30"/>
        </w:rPr>
        <w:t>第三篇</w:t>
      </w:r>
      <w:bookmarkEnd w:id="32"/>
      <w:r>
        <w:rPr>
          <w:rFonts w:hint="eastAsia" w:ascii="仿宋" w:hAnsi="仿宋" w:eastAsia="仿宋"/>
          <w:b/>
          <w:bCs/>
          <w:sz w:val="36"/>
          <w:szCs w:val="30"/>
        </w:rPr>
        <w:t xml:space="preserve"> 采购项目商务需求</w:t>
      </w:r>
      <w:bookmarkEnd w:id="40"/>
      <w:bookmarkEnd w:id="41"/>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42" w:name="_Toc19343"/>
      <w:bookmarkStart w:id="43" w:name="_Toc13038"/>
      <w:bookmarkStart w:id="44" w:name="_Toc7640"/>
      <w:r>
        <w:rPr>
          <w:rFonts w:hint="eastAsia" w:ascii="仿宋" w:hAnsi="仿宋" w:eastAsia="仿宋"/>
          <w:sz w:val="24"/>
          <w:szCs w:val="24"/>
          <w:lang w:eastAsia="zh-CN"/>
        </w:rPr>
        <w:t>一、</w:t>
      </w:r>
      <w:r>
        <w:rPr>
          <w:rFonts w:hint="eastAsia" w:ascii="仿宋" w:hAnsi="仿宋" w:eastAsia="仿宋"/>
          <w:sz w:val="24"/>
          <w:szCs w:val="24"/>
          <w:lang w:val="en-US" w:eastAsia="zh-CN"/>
        </w:rPr>
        <w:t>交货</w:t>
      </w:r>
      <w:r>
        <w:rPr>
          <w:rFonts w:hint="eastAsia" w:ascii="仿宋" w:hAnsi="仿宋" w:eastAsia="仿宋"/>
          <w:sz w:val="24"/>
          <w:szCs w:val="24"/>
        </w:rPr>
        <w:t>时间</w:t>
      </w:r>
      <w:r>
        <w:rPr>
          <w:rFonts w:hint="eastAsia" w:ascii="仿宋" w:hAnsi="仿宋" w:eastAsia="仿宋"/>
          <w:sz w:val="24"/>
          <w:szCs w:val="24"/>
          <w:lang w:eastAsia="zh-CN"/>
        </w:rPr>
        <w:t>、</w:t>
      </w:r>
      <w:r>
        <w:rPr>
          <w:rFonts w:hint="eastAsia" w:ascii="仿宋" w:hAnsi="仿宋" w:eastAsia="仿宋"/>
          <w:sz w:val="24"/>
          <w:szCs w:val="24"/>
        </w:rPr>
        <w:t>地点</w:t>
      </w:r>
      <w:r>
        <w:rPr>
          <w:rFonts w:hint="eastAsia" w:ascii="仿宋" w:hAnsi="仿宋" w:eastAsia="仿宋"/>
          <w:sz w:val="24"/>
          <w:szCs w:val="24"/>
          <w:lang w:eastAsia="zh-CN"/>
        </w:rPr>
        <w:t>、</w:t>
      </w:r>
      <w:r>
        <w:rPr>
          <w:rFonts w:hint="eastAsia" w:ascii="仿宋" w:hAnsi="仿宋" w:eastAsia="仿宋"/>
          <w:sz w:val="24"/>
          <w:szCs w:val="24"/>
        </w:rPr>
        <w:t>验收方式及报价方式</w:t>
      </w:r>
      <w:bookmarkEnd w:id="42"/>
      <w:bookmarkEnd w:id="43"/>
      <w:bookmarkEnd w:id="44"/>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bookmarkStart w:id="45" w:name="_Toc506192852"/>
      <w:bookmarkStart w:id="46" w:name="_Toc24209"/>
      <w:bookmarkStart w:id="47" w:name="_Toc30218"/>
      <w:r>
        <w:rPr>
          <w:rFonts w:hint="eastAsia" w:ascii="仿宋" w:eastAsia="仿宋"/>
          <w:sz w:val="24"/>
          <w:szCs w:val="24"/>
        </w:rPr>
        <w:t>（一）</w:t>
      </w:r>
      <w:r>
        <w:rPr>
          <w:rFonts w:hint="eastAsia" w:ascii="仿宋" w:eastAsia="仿宋"/>
          <w:sz w:val="24"/>
          <w:szCs w:val="24"/>
          <w:lang w:val="en-US" w:eastAsia="zh-CN"/>
        </w:rPr>
        <w:t>交货</w:t>
      </w:r>
      <w:r>
        <w:rPr>
          <w:rFonts w:hint="eastAsia" w:ascii="仿宋" w:eastAsia="仿宋"/>
          <w:sz w:val="24"/>
          <w:szCs w:val="24"/>
        </w:rPr>
        <w:t>时间</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eastAsia="仿宋"/>
          <w:sz w:val="24"/>
          <w:szCs w:val="24"/>
        </w:rPr>
      </w:pPr>
      <w:r>
        <w:rPr>
          <w:rFonts w:hint="eastAsia" w:ascii="仿宋" w:eastAsia="仿宋"/>
          <w:sz w:val="24"/>
          <w:szCs w:val="24"/>
          <w:lang w:val="en-US" w:eastAsia="zh-CN"/>
        </w:rPr>
        <w:t>交货</w:t>
      </w:r>
      <w:r>
        <w:rPr>
          <w:rFonts w:hint="eastAsia" w:ascii="仿宋" w:eastAsia="仿宋"/>
          <w:sz w:val="24"/>
          <w:szCs w:val="24"/>
        </w:rPr>
        <w:t>时间：</w:t>
      </w:r>
      <w:r>
        <w:rPr>
          <w:rFonts w:hint="eastAsia" w:ascii="仿宋" w:eastAsia="仿宋"/>
          <w:sz w:val="24"/>
          <w:szCs w:val="24"/>
          <w:lang w:val="en-US" w:eastAsia="zh-CN"/>
        </w:rPr>
        <w:t>合同签订后20日内</w:t>
      </w:r>
      <w:r>
        <w:rPr>
          <w:rFonts w:hint="eastAsia" w:ascii="仿宋" w:eastAsia="仿宋"/>
          <w:sz w:val="24"/>
          <w:szCs w:val="24"/>
        </w:rPr>
        <w:t>。</w:t>
      </w:r>
    </w:p>
    <w:p>
      <w:pPr>
        <w:pStyle w:val="36"/>
        <w:pageBreakBefore w:val="0"/>
        <w:widowControl w:val="0"/>
        <w:numPr>
          <w:ilvl w:val="0"/>
          <w:numId w:val="14"/>
        </w:numPr>
        <w:kinsoku/>
        <w:wordWrap/>
        <w:overflowPunct/>
        <w:topLinePunct w:val="0"/>
        <w:autoSpaceDE/>
        <w:autoSpaceDN/>
        <w:bidi w:val="0"/>
        <w:adjustRightInd/>
        <w:spacing w:line="48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交货及安装</w:t>
      </w:r>
      <w:r>
        <w:rPr>
          <w:rFonts w:hint="eastAsia" w:ascii="仿宋" w:hAnsi="仿宋" w:eastAsia="仿宋"/>
          <w:sz w:val="24"/>
          <w:szCs w:val="24"/>
        </w:rPr>
        <w:t>地点</w:t>
      </w:r>
    </w:p>
    <w:p>
      <w:pPr>
        <w:pStyle w:val="36"/>
        <w:pageBreakBefore w:val="0"/>
        <w:widowControl w:val="0"/>
        <w:numPr>
          <w:ilvl w:val="0"/>
          <w:numId w:val="0"/>
        </w:numPr>
        <w:kinsoku/>
        <w:wordWrap/>
        <w:overflowPunct/>
        <w:topLinePunct w:val="0"/>
        <w:autoSpaceDE/>
        <w:autoSpaceDN/>
        <w:bidi w:val="0"/>
        <w:adjustRightInd/>
        <w:spacing w:line="480" w:lineRule="exact"/>
        <w:ind w:firstLine="720" w:firstLineChars="3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采购人指定地点</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（三）验收方式</w:t>
      </w:r>
    </w:p>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采购人组织验收，成交供应商予以协助。</w:t>
      </w:r>
    </w:p>
    <w:p>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（四）报价方式</w:t>
      </w:r>
      <w:bookmarkStart w:id="48" w:name="_Toc530694353"/>
    </w:p>
    <w:bookmarkEnd w:id="48"/>
    <w:p>
      <w:pPr>
        <w:pStyle w:val="36"/>
        <w:pageBreakBefore w:val="0"/>
        <w:widowControl w:val="0"/>
        <w:kinsoku/>
        <w:wordWrap/>
        <w:overflowPunct/>
        <w:topLinePunct w:val="0"/>
        <w:autoSpaceDE/>
        <w:autoSpaceDN/>
        <w:bidi w:val="0"/>
        <w:adjustRightInd/>
        <w:spacing w:line="480" w:lineRule="exact"/>
        <w:ind w:firstLine="480" w:firstLineChars="200"/>
        <w:textAlignment w:val="auto"/>
        <w:rPr>
          <w:rFonts w:ascii="仿宋" w:hAnsi="仿宋" w:eastAsia="仿宋" w:cs="仿宋"/>
          <w:sz w:val="24"/>
          <w:szCs w:val="24"/>
        </w:rPr>
      </w:pPr>
      <w:bookmarkStart w:id="49" w:name="_Toc32652"/>
      <w:bookmarkStart w:id="50" w:name="_Toc4713"/>
      <w:bookmarkStart w:id="51" w:name="_Toc24284"/>
      <w:bookmarkStart w:id="52" w:name="_Toc11730"/>
      <w:r>
        <w:rPr>
          <w:rFonts w:hint="eastAsia" w:ascii="仿宋" w:hAnsi="仿宋" w:eastAsia="仿宋" w:cs="仿宋"/>
          <w:sz w:val="24"/>
          <w:szCs w:val="24"/>
        </w:rPr>
        <w:t>本次报价为人民币报价，</w:t>
      </w:r>
      <w:r>
        <w:rPr>
          <w:rFonts w:hint="eastAsia" w:ascii="仿宋" w:hAnsi="仿宋" w:eastAsia="仿宋" w:cs="仿宋"/>
          <w:sz w:val="24"/>
          <w:szCs w:val="24"/>
          <w:lang w:val="en-US" w:eastAsia="zh-CN"/>
        </w:rPr>
        <w:t>总价包干，投标</w:t>
      </w:r>
      <w:r>
        <w:rPr>
          <w:rFonts w:hint="eastAsia" w:ascii="仿宋" w:hAnsi="仿宋" w:eastAsia="仿宋" w:cs="仿宋"/>
          <w:sz w:val="24"/>
          <w:szCs w:val="24"/>
        </w:rPr>
        <w:t>报价</w:t>
      </w:r>
      <w:bookmarkEnd w:id="49"/>
      <w:bookmarkEnd w:id="50"/>
      <w:bookmarkEnd w:id="51"/>
      <w:bookmarkEnd w:id="52"/>
      <w:bookmarkStart w:id="53" w:name="_Toc8644"/>
      <w:r>
        <w:rPr>
          <w:rFonts w:hint="eastAsia" w:ascii="仿宋" w:hAnsi="仿宋" w:eastAsia="仿宋" w:cs="仿宋"/>
          <w:sz w:val="24"/>
          <w:szCs w:val="24"/>
          <w:lang w:eastAsia="zh-CN"/>
        </w:rPr>
        <w:t>即</w:t>
      </w:r>
      <w:r>
        <w:rPr>
          <w:rFonts w:hint="eastAsia" w:ascii="仿宋" w:eastAsia="仿宋" w:cs="Times New Roman"/>
          <w:sz w:val="24"/>
          <w:szCs w:val="24"/>
          <w:lang w:val="en-US" w:eastAsia="zh-CN"/>
        </w:rPr>
        <w:t>达到项目验收合格标准所需的所有费用，包括但不限于安装费、主材费、辅材费、调试费、运输费、二次转运费等所有费用。</w:t>
      </w:r>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54" w:name="_Toc30148"/>
      <w:r>
        <w:rPr>
          <w:rFonts w:hint="eastAsia" w:ascii="仿宋" w:hAnsi="仿宋" w:eastAsia="仿宋"/>
          <w:sz w:val="24"/>
          <w:szCs w:val="24"/>
          <w:lang w:eastAsia="zh-CN"/>
        </w:rPr>
        <w:t>二、</w:t>
      </w:r>
      <w:r>
        <w:rPr>
          <w:rFonts w:hint="eastAsia" w:ascii="仿宋" w:hAnsi="仿宋" w:eastAsia="仿宋"/>
          <w:sz w:val="24"/>
          <w:szCs w:val="24"/>
        </w:rPr>
        <w:t>付款方式</w:t>
      </w:r>
      <w:bookmarkEnd w:id="45"/>
      <w:bookmarkEnd w:id="46"/>
      <w:bookmarkEnd w:id="47"/>
      <w:bookmarkEnd w:id="53"/>
      <w:bookmarkEnd w:id="54"/>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kern w:val="2"/>
          <w:sz w:val="24"/>
          <w:szCs w:val="24"/>
          <w:highlight w:val="none"/>
          <w:lang w:val="en-US" w:eastAsia="zh-CN" w:bidi="ar-SA"/>
        </w:rPr>
      </w:pPr>
      <w:bookmarkStart w:id="55" w:name="_Toc24177"/>
      <w:bookmarkStart w:id="56" w:name="_Toc16472"/>
      <w:bookmarkStart w:id="57" w:name="_Toc344475123"/>
      <w:bookmarkStart w:id="58" w:name="_Toc414610283"/>
      <w:bookmarkStart w:id="59" w:name="_Toc24069"/>
      <w:bookmarkStart w:id="60" w:name="_Toc506192854"/>
      <w:r>
        <w:rPr>
          <w:rFonts w:hint="eastAsia" w:ascii="仿宋" w:hAnsi="仿宋" w:eastAsia="仿宋" w:cs="仿宋"/>
          <w:kern w:val="2"/>
          <w:sz w:val="24"/>
          <w:szCs w:val="24"/>
          <w:highlight w:val="none"/>
          <w:lang w:val="en-US" w:eastAsia="zh-CN" w:bidi="ar-SA"/>
        </w:rPr>
        <w:t>在经采购人组织综合验收合格后，中标人出具相应金额的正式发票，采购人根据沙坪坝区财政制度全额支付合同金额；质保期1年。</w:t>
      </w:r>
    </w:p>
    <w:p>
      <w:pPr>
        <w:pStyle w:val="7"/>
        <w:pageBreakBefore w:val="0"/>
        <w:widowControl w:val="0"/>
        <w:kinsoku/>
        <w:wordWrap/>
        <w:overflowPunct/>
        <w:topLinePunct w:val="0"/>
        <w:autoSpaceDE/>
        <w:autoSpaceDN/>
        <w:bidi w:val="0"/>
        <w:adjustRightInd/>
        <w:spacing w:before="0" w:after="0" w:line="480" w:lineRule="exact"/>
        <w:textAlignment w:val="auto"/>
        <w:rPr>
          <w:rFonts w:hint="eastAsia" w:ascii="仿宋" w:hAnsi="仿宋" w:eastAsia="仿宋" w:cs="Times New Roman"/>
          <w:sz w:val="24"/>
          <w:szCs w:val="24"/>
        </w:rPr>
      </w:pPr>
      <w:bookmarkStart w:id="61" w:name="_Toc549"/>
      <w:r>
        <w:rPr>
          <w:rFonts w:hint="eastAsia" w:ascii="仿宋" w:hAnsi="仿宋" w:eastAsia="仿宋" w:cs="Times New Roman"/>
          <w:sz w:val="24"/>
          <w:szCs w:val="24"/>
          <w:lang w:eastAsia="zh-CN"/>
        </w:rPr>
        <w:t>三、</w:t>
      </w:r>
      <w:r>
        <w:rPr>
          <w:rFonts w:hint="eastAsia" w:ascii="仿宋" w:hAnsi="仿宋" w:eastAsia="仿宋" w:cs="Times New Roman"/>
          <w:sz w:val="24"/>
          <w:szCs w:val="24"/>
        </w:rPr>
        <w:t>知识产权</w:t>
      </w:r>
      <w:bookmarkEnd w:id="55"/>
      <w:bookmarkEnd w:id="56"/>
      <w:bookmarkEnd w:id="57"/>
      <w:bookmarkEnd w:id="58"/>
      <w:bookmarkEnd w:id="59"/>
      <w:bookmarkEnd w:id="60"/>
      <w:bookmarkEnd w:id="61"/>
    </w:p>
    <w:p>
      <w:pPr>
        <w:pageBreakBefore w:val="0"/>
        <w:widowControl w:val="0"/>
        <w:kinsoku/>
        <w:wordWrap/>
        <w:overflowPunct/>
        <w:topLinePunct w:val="0"/>
        <w:autoSpaceDE/>
        <w:autoSpaceDN/>
        <w:bidi w:val="0"/>
        <w:adjustRightInd/>
        <w:snapToGrid w:val="0"/>
        <w:spacing w:line="480" w:lineRule="exact"/>
        <w:ind w:firstLine="540"/>
        <w:textAlignment w:val="auto"/>
        <w:rPr>
          <w:rFonts w:ascii="仿宋" w:hAnsi="仿宋" w:eastAsia="仿宋"/>
          <w:sz w:val="24"/>
          <w:szCs w:val="24"/>
        </w:rPr>
      </w:pPr>
      <w:r>
        <w:rPr>
          <w:rFonts w:hint="eastAsia" w:ascii="仿宋" w:hAnsi="仿宋" w:eastAsia="仿宋"/>
          <w:sz w:val="24"/>
          <w:szCs w:val="24"/>
        </w:rPr>
        <w:t>采购人在中华人民共和国境内使用成交供应商提供的项目内容及服务时免受第三方提出的侵犯其专利权或</w:t>
      </w:r>
      <w:r>
        <w:rPr>
          <w:rFonts w:hint="eastAsia" w:ascii="仿宋" w:hAnsi="仿宋" w:eastAsia="仿宋"/>
          <w:sz w:val="24"/>
          <w:szCs w:val="24"/>
          <w:lang w:eastAsia="zh-CN"/>
        </w:rPr>
        <w:t>其他</w:t>
      </w:r>
      <w:r>
        <w:rPr>
          <w:rFonts w:hint="eastAsia" w:ascii="仿宋" w:hAnsi="仿宋" w:eastAsia="仿宋"/>
          <w:sz w:val="24"/>
          <w:szCs w:val="24"/>
        </w:rPr>
        <w:t>知识产权的起诉。如果第三方提出侵权指控，成交供应商应承担由此而引起的一切法律责任和费用。</w:t>
      </w:r>
    </w:p>
    <w:p>
      <w:pPr>
        <w:pStyle w:val="7"/>
        <w:pageBreakBefore w:val="0"/>
        <w:widowControl w:val="0"/>
        <w:kinsoku/>
        <w:wordWrap/>
        <w:overflowPunct/>
        <w:topLinePunct w:val="0"/>
        <w:autoSpaceDE/>
        <w:autoSpaceDN/>
        <w:bidi w:val="0"/>
        <w:adjustRightInd/>
        <w:spacing w:before="0" w:after="0" w:line="480" w:lineRule="exact"/>
        <w:textAlignment w:val="auto"/>
        <w:rPr>
          <w:rFonts w:ascii="仿宋" w:hAnsi="仿宋" w:eastAsia="仿宋"/>
          <w:sz w:val="24"/>
          <w:szCs w:val="24"/>
        </w:rPr>
      </w:pPr>
      <w:bookmarkStart w:id="62" w:name="_Toc9614"/>
      <w:bookmarkStart w:id="63" w:name="_Toc21712"/>
      <w:bookmarkStart w:id="64" w:name="_Toc31551"/>
      <w:bookmarkStart w:id="65" w:name="_Toc390"/>
      <w:bookmarkStart w:id="66" w:name="_Toc414610285"/>
      <w:bookmarkStart w:id="67" w:name="_Toc506192855"/>
      <w:r>
        <w:rPr>
          <w:rFonts w:hint="eastAsia" w:ascii="仿宋" w:hAnsi="仿宋" w:eastAsia="仿宋"/>
          <w:sz w:val="24"/>
          <w:szCs w:val="24"/>
          <w:lang w:eastAsia="zh-CN"/>
        </w:rPr>
        <w:t>四、</w:t>
      </w:r>
      <w:bookmarkStart w:id="68" w:name="_Toc344475125"/>
      <w:r>
        <w:rPr>
          <w:rFonts w:hint="eastAsia" w:ascii="仿宋" w:hAnsi="仿宋" w:eastAsia="仿宋"/>
          <w:sz w:val="24"/>
          <w:szCs w:val="24"/>
        </w:rPr>
        <w:t>其他</w:t>
      </w:r>
      <w:bookmarkEnd w:id="62"/>
      <w:bookmarkEnd w:id="63"/>
      <w:bookmarkEnd w:id="64"/>
      <w:bookmarkEnd w:id="65"/>
      <w:bookmarkEnd w:id="66"/>
      <w:bookmarkEnd w:id="67"/>
    </w:p>
    <w:bookmarkEnd w:id="68"/>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（一）供应商必须在响应文件中对以上条款和服务承诺明确列出，承诺内容必须达到本篇及采购文件其他条款的要求。</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s="仿宋"/>
          <w:sz w:val="24"/>
          <w:szCs w:val="24"/>
          <w:lang w:eastAsia="zh-CN"/>
        </w:rPr>
      </w:pPr>
      <w:r>
        <w:rPr>
          <w:rFonts w:hint="eastAsia" w:ascii="仿宋" w:eastAsia="仿宋" w:cs="仿宋"/>
          <w:sz w:val="24"/>
          <w:szCs w:val="24"/>
          <w:lang w:eastAsia="zh-CN"/>
        </w:rPr>
        <w:t>（</w:t>
      </w:r>
      <w:r>
        <w:rPr>
          <w:rFonts w:hint="eastAsia" w:ascii="仿宋" w:eastAsia="仿宋" w:cs="仿宋"/>
          <w:sz w:val="24"/>
          <w:szCs w:val="24"/>
          <w:lang w:val="en-US" w:eastAsia="zh-CN"/>
        </w:rPr>
        <w:t>二</w:t>
      </w:r>
      <w:r>
        <w:rPr>
          <w:rFonts w:hint="eastAsia" w:ascii="仿宋" w:eastAsia="仿宋" w:cs="仿宋"/>
          <w:sz w:val="24"/>
          <w:szCs w:val="24"/>
          <w:lang w:eastAsia="zh-CN"/>
        </w:rPr>
        <w:t>）施工</w:t>
      </w:r>
      <w:r>
        <w:rPr>
          <w:rFonts w:hint="eastAsia" w:ascii="仿宋" w:eastAsia="仿宋" w:cs="仿宋"/>
          <w:sz w:val="24"/>
          <w:szCs w:val="24"/>
          <w:lang w:val="en-US" w:eastAsia="zh-CN"/>
        </w:rPr>
        <w:t>过程</w:t>
      </w:r>
      <w:r>
        <w:rPr>
          <w:rFonts w:hint="eastAsia" w:ascii="仿宋" w:eastAsia="仿宋" w:cs="仿宋"/>
          <w:sz w:val="24"/>
          <w:szCs w:val="24"/>
          <w:lang w:eastAsia="zh-CN"/>
        </w:rPr>
        <w:t>中的安全责任由</w:t>
      </w:r>
      <w:r>
        <w:rPr>
          <w:rFonts w:hint="eastAsia" w:ascii="仿宋" w:eastAsia="仿宋" w:cs="仿宋"/>
          <w:sz w:val="24"/>
          <w:szCs w:val="24"/>
          <w:lang w:val="en-US" w:eastAsia="zh-CN"/>
        </w:rPr>
        <w:t>成交供应商</w:t>
      </w:r>
      <w:r>
        <w:rPr>
          <w:rFonts w:hint="eastAsia" w:ascii="仿宋" w:eastAsia="仿宋" w:cs="仿宋"/>
          <w:sz w:val="24"/>
          <w:szCs w:val="24"/>
          <w:lang w:eastAsia="zh-CN"/>
        </w:rPr>
        <w:t>承担，</w:t>
      </w:r>
      <w:r>
        <w:rPr>
          <w:rFonts w:hint="eastAsia" w:ascii="仿宋" w:eastAsia="仿宋" w:cs="仿宋"/>
          <w:sz w:val="24"/>
          <w:szCs w:val="24"/>
          <w:lang w:val="en-US" w:eastAsia="zh-CN"/>
        </w:rPr>
        <w:t>采购人</w:t>
      </w:r>
      <w:r>
        <w:rPr>
          <w:rFonts w:hint="eastAsia" w:ascii="仿宋" w:eastAsia="仿宋" w:cs="仿宋"/>
          <w:sz w:val="24"/>
          <w:szCs w:val="24"/>
          <w:lang w:eastAsia="zh-CN"/>
        </w:rPr>
        <w:t>不承担任何安全责任。</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三</w:t>
      </w:r>
      <w:r>
        <w:rPr>
          <w:rFonts w:hint="eastAsia" w:ascii="仿宋" w:eastAsia="仿宋" w:cs="仿宋"/>
          <w:sz w:val="24"/>
          <w:szCs w:val="24"/>
        </w:rPr>
        <w:t>）其他未尽事宜由供需双方在采购合同中详细约定。</w:t>
      </w:r>
    </w:p>
    <w:p>
      <w:pPr>
        <w:pStyle w:val="6"/>
        <w:pageBreakBefore/>
        <w:spacing w:before="0" w:after="0" w:line="360" w:lineRule="auto"/>
        <w:jc w:val="center"/>
        <w:rPr>
          <w:rFonts w:hint="eastAsia" w:ascii="仿宋" w:hAnsi="仿宋" w:eastAsia="仿宋"/>
          <w:b/>
          <w:bCs/>
          <w:spacing w:val="-11"/>
          <w:sz w:val="36"/>
          <w:szCs w:val="30"/>
          <w:lang w:eastAsia="zh-CN"/>
        </w:rPr>
      </w:pPr>
      <w:bookmarkStart w:id="69" w:name="_Toc20152"/>
      <w:bookmarkStart w:id="70" w:name="_Toc13058"/>
      <w:r>
        <w:rPr>
          <w:rFonts w:hint="eastAsia" w:ascii="仿宋" w:hAnsi="仿宋" w:eastAsia="仿宋"/>
          <w:b/>
          <w:bCs/>
          <w:spacing w:val="-11"/>
          <w:sz w:val="36"/>
          <w:szCs w:val="30"/>
        </w:rPr>
        <w:t xml:space="preserve">第四篇 </w:t>
      </w:r>
      <w:bookmarkEnd w:id="69"/>
      <w:r>
        <w:rPr>
          <w:rFonts w:hint="eastAsia" w:ascii="仿宋" w:hAnsi="仿宋" w:eastAsia="仿宋"/>
          <w:b/>
          <w:bCs/>
          <w:spacing w:val="-11"/>
          <w:sz w:val="36"/>
          <w:szCs w:val="30"/>
          <w:lang w:val="en-US" w:eastAsia="zh-CN"/>
        </w:rPr>
        <w:t>评标办法</w:t>
      </w:r>
      <w:bookmarkEnd w:id="70"/>
    </w:p>
    <w:p>
      <w:pPr>
        <w:pStyle w:val="7"/>
        <w:spacing w:before="0" w:after="0" w:line="360" w:lineRule="auto"/>
        <w:rPr>
          <w:rFonts w:hint="eastAsia" w:ascii="仿宋" w:hAnsi="仿宋" w:eastAsia="仿宋"/>
          <w:sz w:val="24"/>
          <w:szCs w:val="24"/>
          <w:lang w:eastAsia="zh-CN"/>
        </w:rPr>
      </w:pPr>
      <w:bookmarkStart w:id="71" w:name="_Toc13797"/>
      <w:bookmarkStart w:id="72" w:name="_Toc30753"/>
      <w:r>
        <w:rPr>
          <w:rFonts w:hint="eastAsia" w:ascii="仿宋" w:hAnsi="仿宋" w:eastAsia="仿宋"/>
          <w:sz w:val="24"/>
          <w:szCs w:val="24"/>
          <w:lang w:eastAsia="zh-CN"/>
        </w:rPr>
        <w:t>一、</w:t>
      </w:r>
      <w:bookmarkEnd w:id="71"/>
      <w:r>
        <w:rPr>
          <w:rFonts w:hint="eastAsia" w:ascii="仿宋" w:hAnsi="仿宋" w:eastAsia="仿宋"/>
          <w:sz w:val="24"/>
          <w:szCs w:val="24"/>
          <w:lang w:val="en-US" w:eastAsia="zh-CN"/>
        </w:rPr>
        <w:t>评标程序</w:t>
      </w:r>
      <w:bookmarkEnd w:id="72"/>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）评审小组对各供应商的资格条件</w:t>
      </w:r>
      <w:r>
        <w:rPr>
          <w:rFonts w:hint="eastAsia" w:ascii="仿宋" w:hAnsi="仿宋" w:eastAsia="仿宋"/>
          <w:sz w:val="24"/>
          <w:szCs w:val="24"/>
          <w:lang w:eastAsia="zh-CN"/>
        </w:rPr>
        <w:t>、</w:t>
      </w:r>
      <w:r>
        <w:rPr>
          <w:rFonts w:hint="eastAsia" w:ascii="仿宋" w:hAnsi="仿宋" w:eastAsia="仿宋"/>
          <w:sz w:val="24"/>
          <w:szCs w:val="24"/>
        </w:rPr>
        <w:t>响应文件的有效性</w:t>
      </w:r>
      <w:r>
        <w:rPr>
          <w:rFonts w:hint="eastAsia" w:ascii="仿宋" w:hAnsi="仿宋" w:eastAsia="仿宋"/>
          <w:sz w:val="24"/>
          <w:szCs w:val="24"/>
          <w:lang w:eastAsia="zh-CN"/>
        </w:rPr>
        <w:t>、</w:t>
      </w:r>
      <w:r>
        <w:rPr>
          <w:rFonts w:hint="eastAsia" w:ascii="仿宋" w:hAnsi="仿宋" w:eastAsia="仿宋"/>
          <w:sz w:val="24"/>
          <w:szCs w:val="24"/>
        </w:rPr>
        <w:t>完整性和响应程度进行审查。</w:t>
      </w:r>
    </w:p>
    <w:p>
      <w:pPr>
        <w:snapToGrid w:val="0"/>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资格性检查。依据法律法规和网上竞采文件的规定，对响应文件中的资格证明进行审查。资格性检查资料表如下：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391"/>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6" w:type="dxa"/>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序号</w:t>
            </w:r>
          </w:p>
        </w:tc>
        <w:tc>
          <w:tcPr>
            <w:tcW w:w="4100" w:type="dxa"/>
            <w:gridSpan w:val="2"/>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检查因素</w:t>
            </w:r>
          </w:p>
        </w:tc>
        <w:tc>
          <w:tcPr>
            <w:tcW w:w="4852" w:type="dxa"/>
            <w:vAlign w:val="center"/>
          </w:tcPr>
          <w:p>
            <w:pPr>
              <w:spacing w:line="240" w:lineRule="exact"/>
              <w:jc w:val="center"/>
              <w:rPr>
                <w:rFonts w:ascii="仿宋" w:hAnsi="仿宋" w:eastAsia="仿宋" w:cs="宋体"/>
                <w:b/>
                <w:kern w:val="0"/>
                <w:sz w:val="22"/>
                <w:szCs w:val="22"/>
              </w:rPr>
            </w:pPr>
            <w:r>
              <w:rPr>
                <w:rFonts w:ascii="仿宋" w:hAnsi="仿宋" w:eastAsia="仿宋" w:cs="宋体"/>
                <w:b/>
                <w:kern w:val="0"/>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仿宋" w:hAnsi="仿宋" w:eastAsia="仿宋"/>
                <w:sz w:val="22"/>
                <w:szCs w:val="22"/>
              </w:rPr>
            </w:pPr>
            <w:r>
              <w:rPr>
                <w:rFonts w:ascii="仿宋" w:hAnsi="仿宋" w:eastAsia="仿宋"/>
                <w:sz w:val="22"/>
                <w:szCs w:val="22"/>
              </w:rPr>
              <w:t>1</w:t>
            </w:r>
          </w:p>
        </w:tc>
        <w:tc>
          <w:tcPr>
            <w:tcW w:w="709" w:type="dxa"/>
            <w:vMerge w:val="restart"/>
            <w:vAlign w:val="center"/>
          </w:tcPr>
          <w:p>
            <w:pPr>
              <w:spacing w:line="240" w:lineRule="exact"/>
              <w:rPr>
                <w:rFonts w:ascii="仿宋" w:hAnsi="仿宋" w:eastAsia="仿宋" w:cs="仿宋_GB2312"/>
                <w:sz w:val="22"/>
                <w:szCs w:val="22"/>
                <w:lang w:val="zh-CN"/>
              </w:rPr>
            </w:pPr>
            <w:r>
              <w:rPr>
                <w:rFonts w:hint="eastAsia" w:ascii="仿宋" w:hAnsi="仿宋" w:eastAsia="仿宋"/>
                <w:sz w:val="22"/>
                <w:szCs w:val="22"/>
                <w:lang w:val="zh-CN"/>
              </w:rPr>
              <w:t>《中华人民共和国政府采购法》第二十二条规定</w:t>
            </w:r>
          </w:p>
        </w:tc>
        <w:tc>
          <w:tcPr>
            <w:tcW w:w="3391" w:type="dxa"/>
            <w:vAlign w:val="center"/>
          </w:tcPr>
          <w:p>
            <w:pPr>
              <w:spacing w:line="240" w:lineRule="exact"/>
              <w:rPr>
                <w:rFonts w:ascii="仿宋" w:hAnsi="仿宋" w:eastAsia="仿宋"/>
                <w:sz w:val="22"/>
                <w:szCs w:val="22"/>
              </w:rPr>
            </w:pPr>
            <w:r>
              <w:rPr>
                <w:rFonts w:ascii="仿宋" w:hAnsi="仿宋" w:eastAsia="仿宋"/>
                <w:sz w:val="22"/>
                <w:szCs w:val="22"/>
              </w:rPr>
              <w:t>（1）具有独立承担民事责任的能力</w:t>
            </w:r>
          </w:p>
        </w:tc>
        <w:tc>
          <w:tcPr>
            <w:tcW w:w="4852" w:type="dxa"/>
            <w:vAlign w:val="center"/>
          </w:tcPr>
          <w:p>
            <w:pPr>
              <w:spacing w:line="240" w:lineRule="exact"/>
              <w:rPr>
                <w:rFonts w:ascii="仿宋" w:hAnsi="仿宋" w:eastAsia="仿宋"/>
                <w:sz w:val="22"/>
                <w:szCs w:val="22"/>
              </w:rPr>
            </w:pPr>
            <w:r>
              <w:rPr>
                <w:rFonts w:hint="eastAsia" w:ascii="仿宋" w:hAnsi="仿宋" w:eastAsia="仿宋"/>
                <w:sz w:val="22"/>
                <w:szCs w:val="22"/>
              </w:rPr>
              <w:t xml:space="preserve">1.供应商法人营业执照（副本）或事业单位法人证书（副本）或个体工商户营业执照或有效的自然人身份证明或社会团体法人登记证书（提供复印件）。 </w:t>
            </w:r>
          </w:p>
          <w:p>
            <w:pPr>
              <w:spacing w:line="240" w:lineRule="exact"/>
              <w:rPr>
                <w:rFonts w:ascii="仿宋" w:hAnsi="仿宋" w:eastAsia="仿宋"/>
                <w:sz w:val="22"/>
                <w:szCs w:val="22"/>
              </w:rPr>
            </w:pPr>
            <w:r>
              <w:rPr>
                <w:rFonts w:hint="eastAsia" w:ascii="仿宋" w:hAnsi="仿宋" w:eastAsia="仿宋"/>
                <w:sz w:val="22"/>
                <w:szCs w:val="22"/>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ascii="仿宋" w:hAnsi="仿宋" w:eastAsia="仿宋" w:cs="仿宋_GB2312"/>
                <w:sz w:val="22"/>
                <w:szCs w:val="22"/>
                <w:lang w:val="zh-CN"/>
              </w:rPr>
              <w:t>（2）</w:t>
            </w:r>
            <w:r>
              <w:rPr>
                <w:rFonts w:ascii="仿宋" w:hAnsi="仿宋" w:eastAsia="仿宋"/>
                <w:sz w:val="22"/>
                <w:szCs w:val="22"/>
              </w:rPr>
              <w:t>具有良好的商业信誉和健全的财务会计制度</w:t>
            </w:r>
          </w:p>
        </w:tc>
        <w:tc>
          <w:tcPr>
            <w:tcW w:w="4852" w:type="dxa"/>
            <w:vMerge w:val="restart"/>
            <w:vAlign w:val="center"/>
          </w:tcPr>
          <w:p>
            <w:pPr>
              <w:tabs>
                <w:tab w:val="left" w:pos="6300"/>
              </w:tabs>
              <w:snapToGrid w:val="0"/>
              <w:jc w:val="left"/>
              <w:rPr>
                <w:rFonts w:ascii="仿宋" w:hAnsi="仿宋" w:eastAsia="仿宋"/>
                <w:sz w:val="22"/>
                <w:szCs w:val="22"/>
              </w:rPr>
            </w:pPr>
            <w:r>
              <w:rPr>
                <w:rFonts w:hint="eastAsia" w:ascii="仿宋" w:hAnsi="仿宋" w:eastAsia="仿宋"/>
                <w:sz w:val="22"/>
                <w:szCs w:val="22"/>
              </w:rPr>
              <w:t>供应商提供“基本资格条件承诺函”（详见第七篇）。</w:t>
            </w:r>
          </w:p>
          <w:p>
            <w:pPr>
              <w:spacing w:line="240" w:lineRule="exact"/>
              <w:jc w:val="lef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（3）具有履行合同所必需的设备和专业技术能力</w:t>
            </w:r>
          </w:p>
        </w:tc>
        <w:tc>
          <w:tcPr>
            <w:tcW w:w="4852" w:type="dxa"/>
            <w:vMerge w:val="continue"/>
            <w:vAlign w:val="center"/>
          </w:tcPr>
          <w:p>
            <w:pPr>
              <w:spacing w:line="240" w:lineRule="exac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cs="仿宋_GB2312"/>
                <w:sz w:val="22"/>
                <w:szCs w:val="22"/>
                <w:lang w:val="zh-CN"/>
              </w:rPr>
              <w:t>（4）有依法缴纳税收和社会保障金的良好记录</w:t>
            </w:r>
          </w:p>
        </w:tc>
        <w:tc>
          <w:tcPr>
            <w:tcW w:w="4852" w:type="dxa"/>
            <w:vMerge w:val="continue"/>
            <w:vAlign w:val="center"/>
          </w:tcPr>
          <w:p>
            <w:pPr>
              <w:spacing w:line="240" w:lineRule="exact"/>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cs="仿宋_GB2312"/>
                <w:sz w:val="22"/>
                <w:szCs w:val="22"/>
                <w:lang w:val="zh-CN"/>
              </w:rPr>
            </w:pPr>
            <w:r>
              <w:rPr>
                <w:rFonts w:ascii="仿宋" w:hAnsi="仿宋" w:eastAsia="仿宋"/>
                <w:sz w:val="22"/>
                <w:szCs w:val="22"/>
              </w:rPr>
              <w:t>（5）参加政府采购活动前三年内，在经营活动中没有重大违法记录（注</w:t>
            </w:r>
            <w:r>
              <w:rPr>
                <w:rFonts w:hint="eastAsia" w:ascii="仿宋" w:hAnsi="仿宋" w:eastAsia="仿宋"/>
                <w:sz w:val="22"/>
                <w:szCs w:val="22"/>
              </w:rPr>
              <w:t>①</w:t>
            </w:r>
            <w:r>
              <w:rPr>
                <w:rFonts w:ascii="仿宋" w:hAnsi="仿宋" w:eastAsia="仿宋"/>
                <w:sz w:val="22"/>
                <w:szCs w:val="22"/>
              </w:rPr>
              <w:t>）</w:t>
            </w:r>
          </w:p>
        </w:tc>
        <w:tc>
          <w:tcPr>
            <w:tcW w:w="4852" w:type="dxa"/>
            <w:vAlign w:val="center"/>
          </w:tcPr>
          <w:p>
            <w:pPr>
              <w:spacing w:line="240" w:lineRule="exact"/>
              <w:rPr>
                <w:rFonts w:ascii="仿宋" w:hAnsi="仿宋" w:eastAsia="仿宋"/>
                <w:sz w:val="22"/>
                <w:szCs w:val="22"/>
              </w:rPr>
            </w:pPr>
            <w:r>
              <w:rPr>
                <w:rFonts w:hint="eastAsia" w:ascii="仿宋" w:hAnsi="仿宋" w:eastAsia="仿宋"/>
                <w:sz w:val="22"/>
                <w:szCs w:val="22"/>
              </w:rPr>
              <w:t>1.供应商提供“基本资格条件承诺函”（详见第七篇）。</w:t>
            </w:r>
          </w:p>
          <w:p>
            <w:pPr>
              <w:spacing w:line="240" w:lineRule="exact"/>
              <w:rPr>
                <w:rFonts w:hint="eastAsia" w:ascii="仿宋" w:hAnsi="仿宋" w:eastAsia="仿宋"/>
                <w:sz w:val="22"/>
                <w:szCs w:val="22"/>
                <w:lang w:eastAsia="zh-CN"/>
              </w:rPr>
            </w:pPr>
            <w:r>
              <w:rPr>
                <w:rFonts w:hint="eastAsia" w:ascii="仿宋" w:hAnsi="仿宋" w:eastAsia="仿宋"/>
                <w:sz w:val="22"/>
                <w:szCs w:val="22"/>
              </w:rPr>
              <w:t>2.采购人或采购代理机构将通过 “信用中国”网站</w:t>
            </w:r>
            <w:r>
              <w:rPr>
                <w:rFonts w:hint="eastAsia" w:ascii="仿宋" w:hAnsi="仿宋" w:eastAsia="仿宋"/>
                <w:sz w:val="22"/>
                <w:szCs w:val="22"/>
                <w:lang w:eastAsia="zh-CN"/>
              </w:rPr>
              <w:t>（</w:t>
            </w:r>
            <w:r>
              <w:rPr>
                <w:rFonts w:hint="eastAsia" w:ascii="仿宋" w:hAnsi="仿宋" w:eastAsia="仿宋"/>
                <w:sz w:val="22"/>
                <w:szCs w:val="22"/>
              </w:rPr>
              <w:t>www.creditchina.gov.cn</w:t>
            </w:r>
            <w:r>
              <w:rPr>
                <w:rFonts w:hint="eastAsia" w:ascii="仿宋" w:hAnsi="仿宋" w:eastAsia="仿宋"/>
                <w:sz w:val="22"/>
                <w:szCs w:val="22"/>
                <w:lang w:eastAsia="zh-CN"/>
              </w:rPr>
              <w:t>）.</w:t>
            </w:r>
          </w:p>
          <w:p>
            <w:pPr>
              <w:spacing w:line="240" w:lineRule="exact"/>
              <w:rPr>
                <w:rFonts w:ascii="仿宋" w:hAnsi="仿宋" w:eastAsia="仿宋"/>
                <w:sz w:val="22"/>
                <w:szCs w:val="22"/>
              </w:rPr>
            </w:pPr>
            <w:r>
              <w:rPr>
                <w:rFonts w:hint="eastAsia" w:ascii="仿宋" w:hAnsi="仿宋" w:eastAsia="仿宋"/>
                <w:sz w:val="22"/>
                <w:szCs w:val="22"/>
                <w:lang w:eastAsia="zh-CN"/>
              </w:rPr>
              <w:t>“</w:t>
            </w:r>
            <w:r>
              <w:rPr>
                <w:rFonts w:hint="eastAsia" w:ascii="仿宋" w:hAnsi="仿宋" w:eastAsia="仿宋"/>
                <w:sz w:val="22"/>
                <w:szCs w:val="22"/>
              </w:rPr>
              <w:t>中国政府采购网</w:t>
            </w:r>
            <w:r>
              <w:rPr>
                <w:rFonts w:hint="eastAsia" w:ascii="仿宋" w:hAnsi="仿宋" w:eastAsia="仿宋"/>
                <w:sz w:val="22"/>
                <w:szCs w:val="22"/>
                <w:lang w:eastAsia="zh-CN"/>
              </w:rPr>
              <w:t>”（</w:t>
            </w:r>
            <w:r>
              <w:rPr>
                <w:rFonts w:hint="eastAsia" w:ascii="仿宋" w:hAnsi="仿宋" w:eastAsia="仿宋"/>
                <w:sz w:val="22"/>
                <w:szCs w:val="22"/>
              </w:rPr>
              <w:t>www.ccgp.gov.cn</w:t>
            </w:r>
            <w:r>
              <w:rPr>
                <w:rFonts w:hint="eastAsia" w:ascii="仿宋" w:hAnsi="仿宋" w:eastAsia="仿宋"/>
                <w:sz w:val="22"/>
                <w:szCs w:val="22"/>
                <w:lang w:eastAsia="zh-CN"/>
              </w:rPr>
              <w:t>）</w:t>
            </w:r>
            <w:r>
              <w:rPr>
                <w:rFonts w:hint="eastAsia" w:ascii="仿宋" w:hAnsi="仿宋" w:eastAsia="仿宋"/>
                <w:sz w:val="22"/>
                <w:szCs w:val="22"/>
              </w:rPr>
              <w:t>等渠道查询投标人信用记录，对列入失信被执行人</w:t>
            </w:r>
            <w:r>
              <w:rPr>
                <w:rFonts w:hint="eastAsia" w:ascii="仿宋" w:hAnsi="仿宋" w:eastAsia="仿宋"/>
                <w:sz w:val="22"/>
                <w:szCs w:val="22"/>
                <w:lang w:eastAsia="zh-CN"/>
              </w:rPr>
              <w:t>、</w:t>
            </w:r>
            <w:r>
              <w:rPr>
                <w:rFonts w:hint="eastAsia" w:ascii="仿宋" w:hAnsi="仿宋" w:eastAsia="仿宋"/>
                <w:sz w:val="22"/>
                <w:szCs w:val="22"/>
              </w:rPr>
              <w:t>重大税收违法案件当事人名单</w:t>
            </w:r>
            <w:r>
              <w:rPr>
                <w:rFonts w:hint="eastAsia" w:ascii="仿宋" w:hAnsi="仿宋" w:eastAsia="仿宋"/>
                <w:sz w:val="22"/>
                <w:szCs w:val="22"/>
                <w:lang w:eastAsia="zh-CN"/>
              </w:rPr>
              <w:t>、</w:t>
            </w:r>
            <w:r>
              <w:rPr>
                <w:rFonts w:hint="eastAsia" w:ascii="仿宋" w:hAnsi="仿宋" w:eastAsia="仿宋"/>
                <w:sz w:val="22"/>
                <w:szCs w:val="22"/>
              </w:rPr>
              <w:t>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ascii="仿宋" w:hAnsi="仿宋" w:eastAsia="仿宋"/>
                <w:sz w:val="22"/>
                <w:szCs w:val="22"/>
              </w:rPr>
              <w:t>（6）法律</w:t>
            </w:r>
            <w:r>
              <w:rPr>
                <w:rFonts w:hint="eastAsia" w:ascii="仿宋" w:hAnsi="仿宋" w:eastAsia="仿宋"/>
                <w:sz w:val="22"/>
                <w:szCs w:val="22"/>
                <w:lang w:eastAsia="zh-CN"/>
              </w:rPr>
              <w:t>、</w:t>
            </w:r>
            <w:r>
              <w:rPr>
                <w:rFonts w:ascii="仿宋" w:hAnsi="仿宋" w:eastAsia="仿宋"/>
                <w:sz w:val="22"/>
                <w:szCs w:val="22"/>
              </w:rPr>
              <w:t>行政法规规定的其他条件</w:t>
            </w:r>
          </w:p>
        </w:tc>
        <w:tc>
          <w:tcPr>
            <w:tcW w:w="4852" w:type="dxa"/>
            <w:vAlign w:val="center"/>
          </w:tcPr>
          <w:p>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仿宋" w:hAnsi="仿宋" w:eastAsia="仿宋"/>
                <w:sz w:val="22"/>
                <w:szCs w:val="22"/>
              </w:rPr>
            </w:pPr>
          </w:p>
        </w:tc>
        <w:tc>
          <w:tcPr>
            <w:tcW w:w="709" w:type="dxa"/>
            <w:vMerge w:val="continue"/>
            <w:vAlign w:val="center"/>
          </w:tcPr>
          <w:p>
            <w:pPr>
              <w:spacing w:line="240" w:lineRule="exact"/>
              <w:rPr>
                <w:rFonts w:ascii="仿宋" w:hAnsi="仿宋" w:eastAsia="仿宋" w:cs="仿宋_GB2312"/>
                <w:sz w:val="22"/>
                <w:szCs w:val="22"/>
                <w:lang w:val="zh-CN"/>
              </w:rPr>
            </w:pPr>
          </w:p>
        </w:tc>
        <w:tc>
          <w:tcPr>
            <w:tcW w:w="3391" w:type="dxa"/>
            <w:vAlign w:val="center"/>
          </w:tcPr>
          <w:p>
            <w:pPr>
              <w:spacing w:line="240" w:lineRule="exact"/>
              <w:rPr>
                <w:rFonts w:ascii="仿宋" w:hAnsi="仿宋" w:eastAsia="仿宋"/>
                <w:sz w:val="22"/>
                <w:szCs w:val="22"/>
              </w:rPr>
            </w:pPr>
            <w:r>
              <w:rPr>
                <w:rFonts w:hint="eastAsia" w:ascii="仿宋" w:hAnsi="仿宋" w:eastAsia="仿宋"/>
                <w:sz w:val="22"/>
                <w:szCs w:val="22"/>
              </w:rPr>
              <w:t>（7）本项目的特定资格要求</w:t>
            </w:r>
          </w:p>
        </w:tc>
        <w:tc>
          <w:tcPr>
            <w:tcW w:w="4852" w:type="dxa"/>
            <w:vAlign w:val="center"/>
          </w:tcPr>
          <w:p>
            <w:pPr>
              <w:spacing w:line="240" w:lineRule="exact"/>
              <w:rPr>
                <w:rFonts w:hint="eastAsia" w:ascii="仿宋" w:hAnsi="仿宋" w:eastAsia="仿宋"/>
                <w:sz w:val="22"/>
                <w:szCs w:val="22"/>
                <w:lang w:val="en-US" w:eastAsia="zh-CN"/>
              </w:rPr>
            </w:pPr>
            <w:r>
              <w:rPr>
                <w:rFonts w:hint="eastAsia" w:ascii="仿宋" w:hAnsi="仿宋" w:eastAsia="仿宋"/>
                <w:sz w:val="22"/>
                <w:szCs w:val="22"/>
                <w:lang w:val="en-US" w:eastAsia="zh-CN"/>
              </w:rPr>
              <w:t>/</w:t>
            </w: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注：①根据《中华人民共和国政府采购法实施条例》第十九条“参加政府采购活动前三年内，在经营活动中没有重大违法记录”中“重大违法记录”，是指供应商因违法经营受到刑事处罚或者责令停产停业</w:t>
      </w:r>
      <w:r>
        <w:rPr>
          <w:rFonts w:hint="eastAsia" w:ascii="仿宋" w:hAnsi="仿宋" w:eastAsia="仿宋"/>
          <w:sz w:val="24"/>
          <w:szCs w:val="24"/>
          <w:lang w:eastAsia="zh-CN"/>
        </w:rPr>
        <w:t>、</w:t>
      </w:r>
      <w:r>
        <w:rPr>
          <w:rFonts w:hint="eastAsia" w:ascii="仿宋" w:hAnsi="仿宋" w:eastAsia="仿宋"/>
          <w:sz w:val="24"/>
          <w:szCs w:val="24"/>
        </w:rPr>
        <w:t>吊销许可证或者执照</w:t>
      </w:r>
      <w:r>
        <w:rPr>
          <w:rFonts w:hint="eastAsia" w:ascii="仿宋" w:hAnsi="仿宋" w:eastAsia="仿宋"/>
          <w:sz w:val="24"/>
          <w:szCs w:val="24"/>
          <w:lang w:eastAsia="zh-CN"/>
        </w:rPr>
        <w:t>、</w:t>
      </w:r>
      <w:r>
        <w:rPr>
          <w:rFonts w:hint="eastAsia" w:ascii="仿宋" w:hAnsi="仿宋" w:eastAsia="仿宋"/>
          <w:sz w:val="24"/>
          <w:szCs w:val="24"/>
        </w:rPr>
        <w:t>较大数额罚款等行政处罚。行政处罚中“较大数额”的认定标准，按照“财政部关于《中华人民共和国政府采购法实施条例》第十九条第一款“较大数额罚款”具体适用问题的意见（财库〔2022〕3 号）”执行。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2.符合性检查。依据网上竞采文件的规定，从响应文件的有效性</w:t>
      </w:r>
      <w:r>
        <w:rPr>
          <w:rFonts w:hint="eastAsia" w:ascii="仿宋" w:hAnsi="仿宋" w:eastAsia="仿宋"/>
          <w:sz w:val="24"/>
          <w:szCs w:val="24"/>
          <w:lang w:eastAsia="zh-CN"/>
        </w:rPr>
        <w:t>、</w:t>
      </w:r>
      <w:r>
        <w:rPr>
          <w:rFonts w:hint="eastAsia" w:ascii="仿宋" w:hAnsi="仿宋" w:eastAsia="仿宋"/>
          <w:sz w:val="24"/>
          <w:szCs w:val="24"/>
        </w:rPr>
        <w:t>完整性和对网上竞采文件的响应程度进行审查。符合性检查资料表如下：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序号</w:t>
            </w:r>
          </w:p>
        </w:tc>
        <w:tc>
          <w:tcPr>
            <w:tcW w:w="3544" w:type="dxa"/>
            <w:gridSpan w:val="2"/>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评审因素</w:t>
            </w:r>
          </w:p>
        </w:tc>
        <w:tc>
          <w:tcPr>
            <w:tcW w:w="5409" w:type="dxa"/>
            <w:vAlign w:val="center"/>
          </w:tcPr>
          <w:p>
            <w:pPr>
              <w:spacing w:line="240" w:lineRule="exact"/>
              <w:jc w:val="center"/>
              <w:rPr>
                <w:rFonts w:ascii="仿宋" w:hAnsi="仿宋" w:eastAsia="仿宋" w:cs="宋体"/>
                <w:b/>
                <w:kern w:val="0"/>
                <w:sz w:val="22"/>
                <w:szCs w:val="22"/>
              </w:rPr>
            </w:pPr>
            <w:r>
              <w:rPr>
                <w:rFonts w:hint="eastAsia" w:ascii="仿宋" w:hAnsi="仿宋" w:eastAsia="仿宋" w:cs="宋体"/>
                <w:b/>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560" w:type="dxa"/>
            <w:vMerge w:val="restart"/>
            <w:vAlign w:val="center"/>
          </w:tcPr>
          <w:p>
            <w:pPr>
              <w:spacing w:line="240" w:lineRule="exact"/>
              <w:rPr>
                <w:rFonts w:ascii="仿宋" w:hAnsi="仿宋" w:eastAsia="仿宋"/>
                <w:sz w:val="22"/>
                <w:szCs w:val="22"/>
              </w:rPr>
            </w:pPr>
            <w:r>
              <w:rPr>
                <w:rFonts w:hint="eastAsia" w:ascii="仿宋" w:hAnsi="仿宋" w:eastAsia="仿宋"/>
                <w:sz w:val="22"/>
                <w:szCs w:val="22"/>
              </w:rPr>
              <w:t>有效性审查</w:t>
            </w:r>
          </w:p>
        </w:tc>
        <w:tc>
          <w:tcPr>
            <w:tcW w:w="1984" w:type="dxa"/>
            <w:vAlign w:val="center"/>
          </w:tcPr>
          <w:p>
            <w:pPr>
              <w:spacing w:line="240" w:lineRule="exact"/>
              <w:rPr>
                <w:rFonts w:ascii="仿宋" w:hAnsi="仿宋" w:eastAsia="仿宋"/>
                <w:sz w:val="22"/>
                <w:szCs w:val="22"/>
              </w:rPr>
            </w:pPr>
            <w:r>
              <w:rPr>
                <w:rFonts w:hint="eastAsia" w:ascii="仿宋" w:hAnsi="仿宋" w:eastAsia="仿宋"/>
                <w:sz w:val="22"/>
                <w:szCs w:val="22"/>
              </w:rPr>
              <w:t>响应文件签署</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sz w:val="22"/>
                <w:szCs w:val="18"/>
              </w:rPr>
              <w:t>响应文件</w:t>
            </w:r>
            <w:r>
              <w:rPr>
                <w:rFonts w:hint="eastAsia" w:ascii="仿宋" w:hAnsi="仿宋" w:eastAsia="仿宋"/>
                <w:sz w:val="22"/>
                <w:szCs w:val="22"/>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sz w:val="22"/>
                <w:szCs w:val="22"/>
              </w:rPr>
            </w:pPr>
          </w:p>
        </w:tc>
        <w:tc>
          <w:tcPr>
            <w:tcW w:w="1984" w:type="dxa"/>
            <w:vAlign w:val="center"/>
          </w:tcPr>
          <w:p>
            <w:pPr>
              <w:spacing w:line="240" w:lineRule="exact"/>
              <w:rPr>
                <w:rFonts w:ascii="仿宋" w:hAnsi="仿宋" w:eastAsia="仿宋"/>
                <w:sz w:val="22"/>
                <w:szCs w:val="22"/>
              </w:rPr>
            </w:pPr>
            <w:r>
              <w:rPr>
                <w:rFonts w:hint="eastAsia" w:ascii="仿宋" w:hAnsi="仿宋" w:eastAsia="仿宋"/>
                <w:sz w:val="22"/>
                <w:szCs w:val="22"/>
              </w:rPr>
              <w:t>法定代表人身份证明及授权委托书</w:t>
            </w:r>
          </w:p>
        </w:tc>
        <w:tc>
          <w:tcPr>
            <w:tcW w:w="5409" w:type="dxa"/>
            <w:vAlign w:val="center"/>
          </w:tcPr>
          <w:p>
            <w:pPr>
              <w:spacing w:line="240" w:lineRule="exact"/>
              <w:rPr>
                <w:rFonts w:ascii="仿宋" w:hAnsi="仿宋" w:eastAsia="仿宋"/>
                <w:sz w:val="22"/>
                <w:szCs w:val="22"/>
              </w:rPr>
            </w:pPr>
            <w:r>
              <w:rPr>
                <w:rFonts w:hint="eastAsia" w:ascii="仿宋" w:hAnsi="仿宋" w:eastAsia="仿宋"/>
                <w:sz w:val="22"/>
                <w:szCs w:val="22"/>
              </w:rPr>
              <w:t>法定代表人身份证明及授权委托书有效，符合网上竞采文件规定的格式，签字或盖章齐全。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宋体"/>
                <w:kern w:val="0"/>
                <w:sz w:val="22"/>
                <w:szCs w:val="22"/>
              </w:rPr>
            </w:pPr>
          </w:p>
        </w:tc>
        <w:tc>
          <w:tcPr>
            <w:tcW w:w="1984" w:type="dxa"/>
            <w:vAlign w:val="center"/>
          </w:tcPr>
          <w:p>
            <w:pPr>
              <w:spacing w:line="240" w:lineRule="exact"/>
              <w:rPr>
                <w:rFonts w:ascii="仿宋" w:hAnsi="仿宋" w:eastAsia="仿宋" w:cs="仿宋_GB2312"/>
                <w:sz w:val="22"/>
                <w:szCs w:val="22"/>
                <w:lang w:val="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只能有一个</w:t>
            </w:r>
            <w:r>
              <w:rPr>
                <w:rFonts w:hint="eastAsia" w:ascii="仿宋" w:hAnsi="仿宋" w:eastAsia="仿宋" w:cs="仿宋_GB2312"/>
                <w:sz w:val="22"/>
                <w:szCs w:val="22"/>
              </w:rPr>
              <w:t>响应</w:t>
            </w:r>
            <w:r>
              <w:rPr>
                <w:rFonts w:hint="eastAsia" w:ascii="仿宋" w:hAnsi="仿宋" w:eastAsia="仿宋" w:cs="仿宋_GB2312"/>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宋体"/>
                <w:kern w:val="0"/>
                <w:sz w:val="22"/>
                <w:szCs w:val="22"/>
              </w:rPr>
            </w:pPr>
          </w:p>
        </w:tc>
        <w:tc>
          <w:tcPr>
            <w:tcW w:w="1984" w:type="dxa"/>
            <w:vAlign w:val="center"/>
          </w:tcPr>
          <w:p>
            <w:pPr>
              <w:spacing w:line="240" w:lineRule="exact"/>
              <w:rPr>
                <w:rFonts w:ascii="仿宋" w:hAnsi="仿宋" w:eastAsia="仿宋" w:cs="仿宋_GB2312"/>
                <w:sz w:val="22"/>
                <w:szCs w:val="22"/>
                <w:lang w:val="zh-CN"/>
              </w:rPr>
            </w:pPr>
            <w:r>
              <w:rPr>
                <w:rFonts w:hint="eastAsia" w:ascii="仿宋" w:hAnsi="仿宋" w:eastAsia="仿宋"/>
                <w:sz w:val="22"/>
                <w:szCs w:val="22"/>
              </w:rPr>
              <w:t>报价唯一</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只能在采购预算范围内报价，</w:t>
            </w:r>
            <w:r>
              <w:rPr>
                <w:rFonts w:hint="eastAsia" w:ascii="仿宋" w:hAnsi="仿宋" w:eastAsia="仿宋"/>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560"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完整性审查</w:t>
            </w:r>
          </w:p>
        </w:tc>
        <w:tc>
          <w:tcPr>
            <w:tcW w:w="1984" w:type="dxa"/>
            <w:vAlign w:val="center"/>
          </w:tcPr>
          <w:p>
            <w:pPr>
              <w:spacing w:line="240" w:lineRule="exact"/>
              <w:rPr>
                <w:rFonts w:hint="eastAsia" w:ascii="仿宋" w:hAnsi="仿宋" w:eastAsia="仿宋" w:cs="宋体"/>
                <w:kern w:val="0"/>
                <w:sz w:val="22"/>
                <w:szCs w:val="22"/>
                <w:lang w:val="en-US" w:eastAsia="zh-CN"/>
              </w:rPr>
            </w:pPr>
            <w:r>
              <w:rPr>
                <w:rFonts w:hint="eastAsia" w:ascii="仿宋" w:hAnsi="仿宋" w:eastAsia="仿宋" w:cs="仿宋_GB2312"/>
                <w:sz w:val="22"/>
                <w:szCs w:val="22"/>
              </w:rPr>
              <w:t>响应</w:t>
            </w:r>
            <w:r>
              <w:rPr>
                <w:rFonts w:hint="eastAsia" w:ascii="仿宋" w:hAnsi="仿宋" w:eastAsia="仿宋" w:cs="仿宋_GB2312"/>
                <w:sz w:val="22"/>
                <w:szCs w:val="22"/>
                <w:lang w:val="zh-CN"/>
              </w:rPr>
              <w:t>文件</w:t>
            </w:r>
            <w:r>
              <w:rPr>
                <w:rFonts w:hint="eastAsia" w:ascii="仿宋" w:hAnsi="仿宋" w:eastAsia="仿宋" w:cs="仿宋_GB2312"/>
                <w:sz w:val="22"/>
                <w:szCs w:val="22"/>
                <w:lang w:val="en-US" w:eastAsia="zh-CN"/>
              </w:rPr>
              <w:t>完整性</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仿宋_GB2312"/>
                <w:sz w:val="22"/>
                <w:szCs w:val="22"/>
                <w:lang w:val="zh-CN"/>
              </w:rPr>
              <w:t>符合</w:t>
            </w:r>
            <w:r>
              <w:rPr>
                <w:rFonts w:hint="eastAsia" w:ascii="仿宋" w:hAnsi="仿宋" w:eastAsia="仿宋" w:cs="仿宋_GB2312"/>
                <w:sz w:val="22"/>
                <w:szCs w:val="22"/>
                <w:lang w:val="en-US" w:eastAsia="zh-CN"/>
              </w:rPr>
              <w:t>采购文件</w:t>
            </w:r>
            <w:r>
              <w:rPr>
                <w:rFonts w:hint="eastAsia" w:ascii="仿宋" w:hAnsi="仿宋" w:eastAsia="仿宋" w:cs="仿宋_GB2312"/>
                <w:sz w:val="22"/>
                <w:szCs w:val="22"/>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5" w:type="dxa"/>
            <w:vMerge w:val="restart"/>
            <w:vAlign w:val="center"/>
          </w:tcPr>
          <w:p>
            <w:pPr>
              <w:spacing w:line="240" w:lineRule="exact"/>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560" w:type="dxa"/>
            <w:vMerge w:val="restart"/>
            <w:vAlign w:val="center"/>
          </w:tcPr>
          <w:p>
            <w:pPr>
              <w:spacing w:line="240" w:lineRule="exact"/>
              <w:rPr>
                <w:rFonts w:ascii="仿宋" w:hAnsi="仿宋" w:eastAsia="仿宋" w:cs="仿宋_GB2312"/>
                <w:sz w:val="22"/>
                <w:szCs w:val="22"/>
                <w:lang w:val="zh-CN"/>
              </w:rPr>
            </w:pPr>
            <w:r>
              <w:rPr>
                <w:rFonts w:hint="eastAsia" w:ascii="仿宋" w:hAnsi="仿宋" w:eastAsia="仿宋" w:cs="宋体"/>
                <w:kern w:val="0"/>
                <w:sz w:val="22"/>
                <w:szCs w:val="22"/>
              </w:rPr>
              <w:t>网上竞采文件的响应程度审查</w:t>
            </w:r>
          </w:p>
        </w:tc>
        <w:tc>
          <w:tcPr>
            <w:tcW w:w="1984"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响应文件内容</w:t>
            </w:r>
          </w:p>
        </w:tc>
        <w:tc>
          <w:tcPr>
            <w:tcW w:w="5409" w:type="dxa"/>
            <w:vAlign w:val="center"/>
          </w:tcPr>
          <w:p>
            <w:pPr>
              <w:pStyle w:val="35"/>
              <w:spacing w:line="240" w:lineRule="exact"/>
              <w:rPr>
                <w:rFonts w:ascii="仿宋" w:hAnsi="仿宋" w:eastAsia="仿宋" w:cs="宋体"/>
                <w:kern w:val="0"/>
                <w:sz w:val="22"/>
                <w:szCs w:val="22"/>
              </w:rPr>
            </w:pPr>
            <w:r>
              <w:rPr>
                <w:rFonts w:hint="eastAsia" w:ascii="仿宋" w:hAnsi="仿宋" w:eastAsia="仿宋" w:cs="宋体"/>
                <w:kern w:val="0"/>
                <w:sz w:val="22"/>
                <w:szCs w:val="22"/>
              </w:rPr>
              <w:t>对</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文件第二篇</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vAlign w:val="center"/>
          </w:tcPr>
          <w:p>
            <w:pPr>
              <w:spacing w:line="240" w:lineRule="exact"/>
              <w:jc w:val="center"/>
              <w:rPr>
                <w:rFonts w:ascii="仿宋" w:hAnsi="仿宋" w:eastAsia="仿宋" w:cs="宋体"/>
                <w:kern w:val="0"/>
                <w:sz w:val="22"/>
                <w:szCs w:val="22"/>
              </w:rPr>
            </w:pPr>
          </w:p>
        </w:tc>
        <w:tc>
          <w:tcPr>
            <w:tcW w:w="1560" w:type="dxa"/>
            <w:vMerge w:val="continue"/>
            <w:vAlign w:val="center"/>
          </w:tcPr>
          <w:p>
            <w:pPr>
              <w:spacing w:line="240" w:lineRule="exact"/>
              <w:rPr>
                <w:rFonts w:ascii="仿宋" w:hAnsi="仿宋" w:eastAsia="仿宋" w:cs="仿宋_GB2312"/>
                <w:sz w:val="22"/>
                <w:szCs w:val="22"/>
                <w:lang w:val="zh-CN"/>
              </w:rPr>
            </w:pPr>
          </w:p>
        </w:tc>
        <w:tc>
          <w:tcPr>
            <w:tcW w:w="1984"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有效期</w:t>
            </w:r>
          </w:p>
        </w:tc>
        <w:tc>
          <w:tcPr>
            <w:tcW w:w="5409" w:type="dxa"/>
            <w:vAlign w:val="center"/>
          </w:tcPr>
          <w:p>
            <w:pPr>
              <w:spacing w:line="240" w:lineRule="exact"/>
              <w:rPr>
                <w:rFonts w:ascii="仿宋" w:hAnsi="仿宋" w:eastAsia="仿宋" w:cs="宋体"/>
                <w:kern w:val="0"/>
                <w:sz w:val="22"/>
                <w:szCs w:val="22"/>
              </w:rPr>
            </w:pPr>
            <w:r>
              <w:rPr>
                <w:rFonts w:hint="eastAsia" w:ascii="仿宋" w:hAnsi="仿宋" w:eastAsia="仿宋" w:cs="宋体"/>
                <w:kern w:val="0"/>
                <w:sz w:val="22"/>
                <w:szCs w:val="22"/>
              </w:rPr>
              <w:t>满足</w:t>
            </w:r>
            <w:r>
              <w:rPr>
                <w:rFonts w:hint="eastAsia" w:ascii="仿宋" w:hAnsi="仿宋" w:eastAsia="仿宋" w:cs="宋体"/>
                <w:kern w:val="0"/>
                <w:sz w:val="22"/>
                <w:szCs w:val="22"/>
                <w:lang w:val="en-US" w:eastAsia="zh-CN"/>
              </w:rPr>
              <w:t>采购</w:t>
            </w:r>
            <w:r>
              <w:rPr>
                <w:rFonts w:hint="eastAsia" w:ascii="仿宋" w:hAnsi="仿宋" w:eastAsia="仿宋" w:cs="宋体"/>
                <w:kern w:val="0"/>
                <w:sz w:val="22"/>
                <w:szCs w:val="22"/>
              </w:rPr>
              <w:t>文件</w:t>
            </w:r>
            <w:r>
              <w:rPr>
                <w:rFonts w:hint="eastAsia" w:ascii="仿宋" w:hAnsi="仿宋" w:eastAsia="仿宋" w:cs="仿宋_GB2312"/>
                <w:sz w:val="22"/>
                <w:szCs w:val="22"/>
                <w:lang w:val="zh-CN"/>
              </w:rPr>
              <w:t>规定。</w:t>
            </w:r>
          </w:p>
        </w:tc>
      </w:tr>
    </w:tbl>
    <w:p>
      <w:pPr>
        <w:numPr>
          <w:ilvl w:val="0"/>
          <w:numId w:val="15"/>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澄清有关问题。</w:t>
      </w:r>
    </w:p>
    <w:p>
      <w:pPr>
        <w:numPr>
          <w:ilvl w:val="0"/>
          <w:numId w:val="0"/>
        </w:numPr>
        <w:spacing w:line="360" w:lineRule="auto"/>
        <w:ind w:firstLine="720" w:firstLineChars="300"/>
        <w:rPr>
          <w:rFonts w:ascii="仿宋" w:hAnsi="仿宋" w:eastAsia="仿宋"/>
          <w:sz w:val="24"/>
          <w:szCs w:val="24"/>
        </w:rPr>
      </w:pPr>
      <w:r>
        <w:rPr>
          <w:rFonts w:hint="eastAsia" w:ascii="仿宋" w:hAnsi="仿宋" w:eastAsia="仿宋"/>
          <w:sz w:val="24"/>
          <w:szCs w:val="24"/>
        </w:rPr>
        <w:t>评审小组在对响应文件的有效性</w:t>
      </w:r>
      <w:r>
        <w:rPr>
          <w:rFonts w:hint="eastAsia" w:ascii="仿宋" w:hAnsi="仿宋" w:eastAsia="仿宋"/>
          <w:sz w:val="24"/>
          <w:szCs w:val="24"/>
          <w:lang w:eastAsia="zh-CN"/>
        </w:rPr>
        <w:t>、</w:t>
      </w:r>
      <w:r>
        <w:rPr>
          <w:rFonts w:hint="eastAsia" w:ascii="仿宋" w:hAnsi="仿宋" w:eastAsia="仿宋"/>
          <w:sz w:val="24"/>
          <w:szCs w:val="24"/>
        </w:rPr>
        <w:t>完整性和响应程度进行审查时，可以要求供应商对响应文件中含义不明确</w:t>
      </w:r>
      <w:r>
        <w:rPr>
          <w:rFonts w:hint="eastAsia" w:ascii="仿宋" w:hAnsi="仿宋" w:eastAsia="仿宋"/>
          <w:sz w:val="24"/>
          <w:szCs w:val="24"/>
          <w:lang w:eastAsia="zh-CN"/>
        </w:rPr>
        <w:t>、</w:t>
      </w:r>
      <w:r>
        <w:rPr>
          <w:rFonts w:hint="eastAsia" w:ascii="仿宋" w:hAnsi="仿宋" w:eastAsia="仿宋"/>
          <w:sz w:val="24"/>
          <w:szCs w:val="24"/>
        </w:rPr>
        <w:t>同类问题表述不一致或者有明显文字和计算错误的内容等作出必要的澄清</w:t>
      </w:r>
      <w:r>
        <w:rPr>
          <w:rFonts w:hint="eastAsia" w:ascii="仿宋" w:hAnsi="仿宋" w:eastAsia="仿宋"/>
          <w:sz w:val="24"/>
          <w:szCs w:val="24"/>
          <w:lang w:eastAsia="zh-CN"/>
        </w:rPr>
        <w:t>、</w:t>
      </w:r>
      <w:r>
        <w:rPr>
          <w:rFonts w:hint="eastAsia" w:ascii="仿宋" w:hAnsi="仿宋" w:eastAsia="仿宋"/>
          <w:sz w:val="24"/>
          <w:szCs w:val="24"/>
        </w:rPr>
        <w:t>说明或者更正。供应商的澄清</w:t>
      </w:r>
      <w:r>
        <w:rPr>
          <w:rFonts w:hint="eastAsia" w:ascii="仿宋" w:hAnsi="仿宋" w:eastAsia="仿宋"/>
          <w:sz w:val="24"/>
          <w:szCs w:val="24"/>
          <w:lang w:eastAsia="zh-CN"/>
        </w:rPr>
        <w:t>、</w:t>
      </w:r>
      <w:r>
        <w:rPr>
          <w:rFonts w:hint="eastAsia" w:ascii="仿宋" w:hAnsi="仿宋" w:eastAsia="仿宋"/>
          <w:sz w:val="24"/>
          <w:szCs w:val="24"/>
        </w:rPr>
        <w:t>说明或者更正不得超出响应文件的范围或者改变响应文件的实质性内容。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供应商的澄清</w:t>
      </w:r>
      <w:r>
        <w:rPr>
          <w:rFonts w:hint="eastAsia" w:ascii="仿宋" w:hAnsi="仿宋" w:eastAsia="仿宋"/>
          <w:sz w:val="24"/>
          <w:szCs w:val="24"/>
          <w:lang w:eastAsia="zh-CN"/>
        </w:rPr>
        <w:t>、</w:t>
      </w:r>
      <w:r>
        <w:rPr>
          <w:rFonts w:hint="eastAsia" w:ascii="仿宋" w:hAnsi="仿宋" w:eastAsia="仿宋"/>
          <w:sz w:val="24"/>
          <w:szCs w:val="24"/>
        </w:rPr>
        <w:t>说明或者更正应当由法定代表人或其授权代表签字或者加盖公章。由授权代表签字的，应当附法定代表人授权书。供应商为自然人的，应当由本人签字并附身份证明。</w:t>
      </w:r>
    </w:p>
    <w:p>
      <w:pPr>
        <w:numPr>
          <w:ilvl w:val="0"/>
          <w:numId w:val="15"/>
        </w:numPr>
        <w:spacing w:line="360" w:lineRule="auto"/>
        <w:ind w:left="0"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评标结果</w:t>
      </w:r>
    </w:p>
    <w:p>
      <w:pPr>
        <w:numPr>
          <w:ilvl w:val="0"/>
          <w:numId w:val="16"/>
        </w:numPr>
        <w:spacing w:line="360" w:lineRule="auto"/>
        <w:ind w:left="0" w:leftChars="0" w:firstLine="559" w:firstLineChars="233"/>
        <w:rPr>
          <w:rFonts w:hint="eastAsia" w:ascii="仿宋" w:hAnsi="仿宋" w:eastAsia="仿宋"/>
          <w:sz w:val="24"/>
          <w:szCs w:val="24"/>
        </w:rPr>
      </w:pPr>
      <w:r>
        <w:rPr>
          <w:rFonts w:hint="eastAsia" w:ascii="仿宋" w:hAnsi="仿宋" w:eastAsia="仿宋"/>
          <w:sz w:val="24"/>
          <w:szCs w:val="24"/>
        </w:rPr>
        <w:t>评审小组采取最低评标价法确定成交供应商。最低评标价法是指投标文件满足</w:t>
      </w:r>
      <w:r>
        <w:rPr>
          <w:rFonts w:hint="eastAsia" w:ascii="仿宋" w:hAnsi="仿宋" w:eastAsia="仿宋"/>
          <w:sz w:val="24"/>
          <w:szCs w:val="24"/>
          <w:lang w:val="en-US" w:eastAsia="zh-CN"/>
        </w:rPr>
        <w:t>采购</w:t>
      </w:r>
      <w:r>
        <w:rPr>
          <w:rFonts w:hint="eastAsia" w:ascii="仿宋" w:hAnsi="仿宋" w:eastAsia="仿宋"/>
          <w:sz w:val="24"/>
          <w:szCs w:val="24"/>
        </w:rPr>
        <w:t>文件全部实质性要求且投标报价最低的投标人为中标候选人的评标方法。</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推荐中标候选人名单。</w:t>
      </w:r>
      <w:r>
        <w:rPr>
          <w:rFonts w:hint="eastAsia" w:ascii="仿宋" w:hAnsi="仿宋" w:eastAsia="仿宋"/>
          <w:sz w:val="24"/>
          <w:szCs w:val="24"/>
          <w:lang w:val="en-US" w:eastAsia="zh-CN"/>
        </w:rPr>
        <w:t>评标委员会</w:t>
      </w:r>
      <w:r>
        <w:rPr>
          <w:rFonts w:hint="eastAsia" w:ascii="仿宋" w:hAnsi="仿宋" w:eastAsia="仿宋"/>
          <w:sz w:val="24"/>
          <w:szCs w:val="24"/>
        </w:rPr>
        <w:t>按照由低到高的顺序排名前三的投标人为中标候选人，其中排名第一的投标人为第一中标候选人。若出现两个及以上相同最低报价的，采购人以</w:t>
      </w:r>
      <w:r>
        <w:rPr>
          <w:rFonts w:hint="eastAsia" w:ascii="仿宋" w:hAnsi="仿宋" w:eastAsia="仿宋"/>
          <w:sz w:val="24"/>
          <w:szCs w:val="24"/>
          <w:lang w:val="en-US" w:eastAsia="zh-CN"/>
        </w:rPr>
        <w:t>竞采中心网上</w:t>
      </w:r>
      <w:r>
        <w:rPr>
          <w:rFonts w:hint="eastAsia" w:ascii="仿宋" w:hAnsi="仿宋" w:eastAsia="仿宋"/>
          <w:sz w:val="24"/>
          <w:szCs w:val="24"/>
        </w:rPr>
        <w:t>随机抽取方式决定中标候选人顺序。</w:t>
      </w:r>
    </w:p>
    <w:p>
      <w:pPr>
        <w:pStyle w:val="7"/>
        <w:spacing w:before="0" w:after="0" w:line="360" w:lineRule="auto"/>
        <w:rPr>
          <w:rFonts w:hint="eastAsia" w:ascii="仿宋" w:hAnsi="仿宋" w:eastAsia="仿宋" w:cs="Times New Roman"/>
          <w:sz w:val="24"/>
          <w:szCs w:val="24"/>
        </w:rPr>
      </w:pPr>
      <w:bookmarkStart w:id="73" w:name="_Toc8893"/>
      <w:bookmarkStart w:id="74" w:name="_Toc32110"/>
      <w:bookmarkStart w:id="75" w:name="_Toc102227320"/>
      <w:bookmarkStart w:id="76" w:name="_Toc342913394"/>
      <w:r>
        <w:rPr>
          <w:rFonts w:hint="eastAsia" w:ascii="仿宋" w:hAnsi="仿宋" w:eastAsia="仿宋" w:cs="Times New Roman"/>
          <w:sz w:val="24"/>
          <w:szCs w:val="24"/>
          <w:lang w:eastAsia="zh-CN"/>
        </w:rPr>
        <w:t>二、</w:t>
      </w:r>
      <w:r>
        <w:rPr>
          <w:rFonts w:hint="eastAsia" w:ascii="仿宋" w:hAnsi="仿宋" w:eastAsia="仿宋" w:cs="Times New Roman"/>
          <w:sz w:val="24"/>
          <w:szCs w:val="24"/>
        </w:rPr>
        <w:t>响应无效</w:t>
      </w:r>
      <w:bookmarkEnd w:id="73"/>
      <w:bookmarkEnd w:id="74"/>
    </w:p>
    <w:p>
      <w:pPr>
        <w:snapToGrid w:val="0"/>
        <w:spacing w:line="360" w:lineRule="auto"/>
        <w:ind w:firstLine="465"/>
        <w:rPr>
          <w:rFonts w:ascii="仿宋" w:hAnsi="仿宋" w:eastAsia="仿宋"/>
          <w:sz w:val="24"/>
          <w:szCs w:val="24"/>
        </w:rPr>
      </w:pPr>
      <w:r>
        <w:rPr>
          <w:rFonts w:hint="eastAsia" w:ascii="仿宋" w:hAnsi="仿宋" w:eastAsia="仿宋"/>
          <w:sz w:val="24"/>
          <w:szCs w:val="24"/>
        </w:rPr>
        <w:t>供应商发生以下条款情况之一者，视为响应无效，其响应文件将被拒绝：</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1.响应</w:t>
      </w:r>
      <w:r>
        <w:rPr>
          <w:rFonts w:hint="eastAsia" w:ascii="仿宋" w:hAnsi="仿宋" w:eastAsia="仿宋"/>
          <w:sz w:val="24"/>
          <w:szCs w:val="24"/>
        </w:rPr>
        <w:t>文件未按照采购文件要求由法定代表人或授权代表签字，或未按采购文件要求的格式加盖公章的；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lang w:val="en-US" w:eastAsia="zh-CN"/>
        </w:rPr>
        <w:t>响应</w:t>
      </w:r>
      <w:r>
        <w:rPr>
          <w:rFonts w:hint="eastAsia" w:ascii="仿宋" w:hAnsi="仿宋" w:eastAsia="仿宋"/>
          <w:sz w:val="24"/>
          <w:szCs w:val="24"/>
        </w:rPr>
        <w:t>文件未按规定格式和要求填写，内容不全或字迹模糊，辨认不清而影响评审</w:t>
      </w:r>
      <w:r>
        <w:rPr>
          <w:rFonts w:hint="eastAsia" w:ascii="仿宋" w:hAnsi="仿宋" w:eastAsia="仿宋"/>
          <w:sz w:val="24"/>
          <w:szCs w:val="24"/>
          <w:lang w:val="en-US" w:eastAsia="zh-CN"/>
        </w:rPr>
        <w:t>的</w:t>
      </w:r>
      <w:r>
        <w:rPr>
          <w:rFonts w:hint="eastAsia" w:ascii="仿宋" w:hAnsi="仿宋" w:eastAsia="仿宋"/>
          <w:sz w:val="24"/>
          <w:szCs w:val="24"/>
        </w:rPr>
        <w:t>；</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供应商超出经营范围的或不具备采购文件规定的资格要求的；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4.响应</w:t>
      </w:r>
      <w:r>
        <w:rPr>
          <w:rFonts w:hint="eastAsia" w:ascii="仿宋" w:hAnsi="仿宋" w:eastAsia="仿宋"/>
          <w:sz w:val="24"/>
          <w:szCs w:val="24"/>
        </w:rPr>
        <w:t>文件出现多个方案或报价的；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未提供符合要求的法定代表人授权委托书的；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未按采购文件要求提供必要有效证明文件或提供了虚假文件的；</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7.响应</w:t>
      </w:r>
      <w:r>
        <w:rPr>
          <w:rFonts w:hint="eastAsia" w:ascii="仿宋" w:hAnsi="仿宋" w:eastAsia="仿宋"/>
          <w:sz w:val="24"/>
          <w:szCs w:val="24"/>
        </w:rPr>
        <w:t>文件附有采购人不能接受的条件;</w:t>
      </w:r>
    </w:p>
    <w:p>
      <w:pPr>
        <w:snapToGrid w:val="0"/>
        <w:spacing w:line="360" w:lineRule="auto"/>
        <w:ind w:firstLine="465"/>
        <w:rPr>
          <w:rFonts w:hint="eastAsia" w:ascii="仿宋" w:hAnsi="仿宋" w:eastAsia="仿宋"/>
          <w:sz w:val="24"/>
          <w:szCs w:val="24"/>
        </w:rPr>
      </w:pPr>
      <w:r>
        <w:rPr>
          <w:rFonts w:hint="eastAsia" w:ascii="仿宋" w:hAnsi="仿宋" w:eastAsia="仿宋"/>
          <w:sz w:val="24"/>
          <w:szCs w:val="24"/>
          <w:lang w:val="en-US" w:eastAsia="zh-CN"/>
        </w:rPr>
        <w:t>8.响应</w:t>
      </w:r>
      <w:r>
        <w:rPr>
          <w:rFonts w:hint="eastAsia" w:ascii="仿宋" w:hAnsi="仿宋" w:eastAsia="仿宋"/>
          <w:sz w:val="24"/>
          <w:szCs w:val="24"/>
        </w:rPr>
        <w:t>文件未在平台上传的；</w:t>
      </w:r>
    </w:p>
    <w:p>
      <w:pPr>
        <w:snapToGrid w:val="0"/>
        <w:spacing w:line="360" w:lineRule="auto"/>
        <w:ind w:firstLine="465"/>
        <w:rPr>
          <w:rFonts w:hint="default" w:eastAsia="仿宋"/>
          <w:lang w:val="en-US" w:eastAsia="zh-CN"/>
        </w:rPr>
      </w:pPr>
      <w:r>
        <w:rPr>
          <w:rFonts w:hint="eastAsia" w:ascii="仿宋" w:hAnsi="仿宋" w:eastAsia="仿宋"/>
          <w:sz w:val="24"/>
          <w:szCs w:val="24"/>
          <w:lang w:val="en-US" w:eastAsia="zh-CN"/>
        </w:rPr>
        <w:t>9.响应</w:t>
      </w:r>
      <w:r>
        <w:rPr>
          <w:rFonts w:hint="eastAsia" w:ascii="仿宋" w:hAnsi="仿宋" w:eastAsia="仿宋"/>
          <w:sz w:val="24"/>
          <w:szCs w:val="24"/>
        </w:rPr>
        <w:t>文件缺少</w:t>
      </w:r>
      <w:r>
        <w:rPr>
          <w:rFonts w:hint="eastAsia" w:ascii="仿宋" w:hAnsi="仿宋" w:eastAsia="仿宋"/>
          <w:sz w:val="24"/>
          <w:szCs w:val="24"/>
          <w:lang w:val="en-US" w:eastAsia="zh-CN"/>
        </w:rPr>
        <w:t>采购</w:t>
      </w:r>
      <w:r>
        <w:rPr>
          <w:rFonts w:hint="eastAsia" w:ascii="仿宋" w:hAnsi="仿宋" w:eastAsia="仿宋"/>
          <w:sz w:val="24"/>
          <w:szCs w:val="24"/>
        </w:rPr>
        <w:t>文件所列要件或者投标要件达不到本采购文件要求的；</w:t>
      </w:r>
    </w:p>
    <w:p>
      <w:pPr>
        <w:pStyle w:val="7"/>
        <w:spacing w:before="0" w:after="0" w:line="360" w:lineRule="auto"/>
        <w:rPr>
          <w:rFonts w:ascii="仿宋" w:hAnsi="仿宋" w:eastAsia="仿宋"/>
          <w:sz w:val="24"/>
          <w:szCs w:val="24"/>
        </w:rPr>
      </w:pPr>
      <w:bookmarkStart w:id="77" w:name="_Toc24810"/>
      <w:bookmarkStart w:id="78" w:name="_Toc18788"/>
      <w:r>
        <w:rPr>
          <w:rFonts w:hint="eastAsia" w:ascii="仿宋" w:hAnsi="仿宋" w:eastAsia="仿宋"/>
          <w:sz w:val="24"/>
          <w:szCs w:val="24"/>
          <w:lang w:eastAsia="zh-CN"/>
        </w:rPr>
        <w:t>三、</w:t>
      </w:r>
      <w:bookmarkEnd w:id="75"/>
      <w:bookmarkEnd w:id="76"/>
      <w:r>
        <w:rPr>
          <w:rFonts w:hint="eastAsia" w:ascii="仿宋" w:hAnsi="仿宋" w:eastAsia="仿宋"/>
          <w:sz w:val="24"/>
          <w:szCs w:val="24"/>
        </w:rPr>
        <w:t>采购终止</w:t>
      </w:r>
      <w:bookmarkEnd w:id="77"/>
      <w:bookmarkEnd w:id="78"/>
    </w:p>
    <w:p>
      <w:pPr>
        <w:snapToGrid w:val="0"/>
        <w:spacing w:line="360" w:lineRule="auto"/>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出现下列情形之一的，采购人或者采购代理机构应当终止网上竞采活动，发布项目终止公告并说明原因，重新开展采购活动：</w:t>
      </w:r>
    </w:p>
    <w:p>
      <w:pPr>
        <w:snapToGrid w:val="0"/>
        <w:spacing w:line="360" w:lineRule="auto"/>
        <w:ind w:firstLine="465"/>
        <w:rPr>
          <w:rFonts w:ascii="仿宋" w:hAnsi="仿宋" w:eastAsia="仿宋"/>
          <w:sz w:val="24"/>
          <w:szCs w:val="24"/>
        </w:rPr>
      </w:pPr>
      <w:r>
        <w:rPr>
          <w:rFonts w:hint="eastAsia" w:ascii="仿宋" w:hAnsi="仿宋" w:eastAsia="仿宋"/>
          <w:sz w:val="24"/>
          <w:szCs w:val="24"/>
        </w:rPr>
        <w:t>（一）因情况变化，不再符合规定的网上竞采采购方式适用情形的。</w:t>
      </w:r>
    </w:p>
    <w:p>
      <w:pPr>
        <w:snapToGrid w:val="0"/>
        <w:spacing w:line="360" w:lineRule="auto"/>
        <w:ind w:firstLine="465"/>
        <w:rPr>
          <w:rFonts w:ascii="仿宋" w:hAnsi="仿宋" w:eastAsia="仿宋"/>
          <w:sz w:val="24"/>
          <w:szCs w:val="24"/>
        </w:rPr>
      </w:pPr>
      <w:r>
        <w:rPr>
          <w:rFonts w:hint="eastAsia" w:ascii="仿宋" w:hAnsi="仿宋" w:eastAsia="仿宋"/>
          <w:sz w:val="24"/>
          <w:szCs w:val="24"/>
        </w:rPr>
        <w:t>（二）出现影响采购公正的违法</w:t>
      </w:r>
      <w:r>
        <w:rPr>
          <w:rFonts w:hint="eastAsia" w:ascii="仿宋" w:hAnsi="仿宋" w:eastAsia="仿宋"/>
          <w:sz w:val="24"/>
          <w:szCs w:val="24"/>
          <w:lang w:eastAsia="zh-CN"/>
        </w:rPr>
        <w:t>、</w:t>
      </w:r>
      <w:r>
        <w:rPr>
          <w:rFonts w:hint="eastAsia" w:ascii="仿宋" w:hAnsi="仿宋" w:eastAsia="仿宋"/>
          <w:sz w:val="24"/>
          <w:szCs w:val="24"/>
        </w:rPr>
        <w:t>违规行为的。</w:t>
      </w:r>
    </w:p>
    <w:p>
      <w:pPr>
        <w:snapToGrid w:val="0"/>
        <w:spacing w:line="360" w:lineRule="auto"/>
        <w:ind w:firstLine="465"/>
      </w:pPr>
      <w:r>
        <w:rPr>
          <w:rFonts w:hint="eastAsia" w:ascii="仿宋" w:hAnsi="仿宋" w:eastAsia="仿宋"/>
          <w:sz w:val="24"/>
          <w:szCs w:val="24"/>
        </w:rPr>
        <w:t>（三）所有供应商都未通过资格性审查的，终止本次采购活动，并发布终止采购活动公告</w:t>
      </w:r>
      <w:bookmarkStart w:id="79" w:name="_Toc102227313"/>
      <w:r>
        <w:rPr>
          <w:rFonts w:hint="eastAsia" w:ascii="仿宋" w:hAnsi="仿宋" w:eastAsia="仿宋"/>
          <w:sz w:val="24"/>
          <w:szCs w:val="24"/>
        </w:rPr>
        <w:t>。</w:t>
      </w:r>
    </w:p>
    <w:p>
      <w:pPr>
        <w:pStyle w:val="6"/>
        <w:spacing w:line="360" w:lineRule="auto"/>
        <w:jc w:val="center"/>
        <w:rPr>
          <w:rFonts w:ascii="仿宋" w:hAnsi="仿宋" w:eastAsia="仿宋"/>
          <w:b/>
          <w:bCs/>
          <w:szCs w:val="30"/>
        </w:rPr>
      </w:pPr>
      <w:r>
        <w:rPr>
          <w:rFonts w:hint="eastAsia" w:ascii="仿宋" w:hAnsi="仿宋" w:eastAsia="仿宋"/>
          <w:b w:val="0"/>
          <w:sz w:val="36"/>
          <w:szCs w:val="30"/>
        </w:rPr>
        <w:br w:type="page"/>
      </w:r>
      <w:bookmarkStart w:id="80" w:name="_Toc21054"/>
      <w:bookmarkStart w:id="81" w:name="_Toc10384"/>
      <w:r>
        <w:rPr>
          <w:rFonts w:hint="eastAsia" w:ascii="仿宋" w:hAnsi="仿宋" w:eastAsia="仿宋"/>
          <w:b/>
          <w:bCs/>
          <w:sz w:val="36"/>
          <w:szCs w:val="30"/>
        </w:rPr>
        <w:t>第五篇  供应商须知</w:t>
      </w:r>
      <w:bookmarkEnd w:id="79"/>
      <w:bookmarkEnd w:id="80"/>
      <w:bookmarkEnd w:id="81"/>
    </w:p>
    <w:p>
      <w:pPr>
        <w:pStyle w:val="7"/>
        <w:spacing w:before="0" w:after="0" w:line="360" w:lineRule="auto"/>
        <w:rPr>
          <w:rFonts w:ascii="仿宋" w:hAnsi="仿宋" w:eastAsia="仿宋"/>
          <w:sz w:val="24"/>
          <w:szCs w:val="24"/>
        </w:rPr>
      </w:pPr>
      <w:bookmarkStart w:id="82" w:name="_Toc18927"/>
      <w:bookmarkStart w:id="83" w:name="_Toc22156"/>
      <w:bookmarkStart w:id="84" w:name="_Toc342913389"/>
      <w:r>
        <w:rPr>
          <w:rFonts w:hint="eastAsia" w:ascii="仿宋" w:hAnsi="仿宋" w:eastAsia="仿宋"/>
          <w:sz w:val="24"/>
          <w:szCs w:val="24"/>
          <w:lang w:eastAsia="zh-CN"/>
        </w:rPr>
        <w:t>一、</w:t>
      </w:r>
      <w:r>
        <w:rPr>
          <w:rFonts w:hint="eastAsia" w:ascii="仿宋" w:hAnsi="仿宋" w:eastAsia="仿宋"/>
          <w:sz w:val="24"/>
          <w:szCs w:val="24"/>
        </w:rPr>
        <w:t>网上竞采费用</w:t>
      </w:r>
      <w:bookmarkEnd w:id="82"/>
      <w:bookmarkEnd w:id="83"/>
      <w:bookmarkEnd w:id="84"/>
    </w:p>
    <w:p>
      <w:pPr>
        <w:pStyle w:val="264"/>
        <w:spacing w:line="360" w:lineRule="auto"/>
        <w:ind w:firstLine="480" w:firstLineChars="200"/>
        <w:rPr>
          <w:rFonts w:ascii="仿宋" w:hAnsi="仿宋" w:eastAsia="仿宋"/>
          <w:sz w:val="24"/>
          <w:szCs w:val="24"/>
        </w:rPr>
      </w:pPr>
      <w:r>
        <w:rPr>
          <w:rFonts w:hint="eastAsia" w:ascii="仿宋" w:hAnsi="仿宋" w:eastAsia="仿宋"/>
          <w:sz w:val="24"/>
          <w:szCs w:val="24"/>
        </w:rPr>
        <w:t>参与网上竞采的供应商应承担其编制响应文件与递交响应文件所涉及的一切费用。</w:t>
      </w:r>
    </w:p>
    <w:p>
      <w:pPr>
        <w:pStyle w:val="7"/>
        <w:tabs>
          <w:tab w:val="left" w:pos="2640"/>
        </w:tabs>
        <w:spacing w:before="0" w:after="0" w:line="360" w:lineRule="auto"/>
        <w:rPr>
          <w:rFonts w:ascii="仿宋" w:hAnsi="仿宋" w:eastAsia="仿宋"/>
          <w:sz w:val="24"/>
          <w:szCs w:val="24"/>
        </w:rPr>
      </w:pPr>
      <w:bookmarkStart w:id="85" w:name="_Toc23428"/>
      <w:bookmarkStart w:id="86" w:name="_Toc342913391"/>
      <w:bookmarkStart w:id="87" w:name="_Toc25299"/>
      <w:r>
        <w:rPr>
          <w:rFonts w:hint="eastAsia" w:ascii="仿宋" w:hAnsi="仿宋" w:eastAsia="仿宋"/>
          <w:sz w:val="24"/>
          <w:szCs w:val="24"/>
          <w:lang w:eastAsia="zh-CN"/>
        </w:rPr>
        <w:t>二、</w:t>
      </w:r>
      <w:r>
        <w:rPr>
          <w:rFonts w:hint="eastAsia" w:ascii="仿宋" w:hAnsi="仿宋" w:eastAsia="仿宋"/>
          <w:sz w:val="24"/>
          <w:szCs w:val="24"/>
        </w:rPr>
        <w:t>网上竞采文件</w:t>
      </w:r>
      <w:bookmarkEnd w:id="85"/>
      <w:bookmarkEnd w:id="86"/>
      <w:bookmarkEnd w:id="87"/>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（一）网上竞采文件由采购</w:t>
      </w:r>
      <w:r>
        <w:rPr>
          <w:rFonts w:hint="eastAsia" w:ascii="仿宋" w:hAnsi="仿宋" w:eastAsia="仿宋"/>
          <w:sz w:val="24"/>
          <w:szCs w:val="24"/>
          <w:lang w:val="en-US" w:eastAsia="zh-CN"/>
        </w:rPr>
        <w:t>公告、</w:t>
      </w:r>
      <w:r>
        <w:rPr>
          <w:rFonts w:hint="eastAsia" w:ascii="仿宋" w:hAnsi="仿宋" w:eastAsia="仿宋"/>
          <w:sz w:val="24"/>
          <w:szCs w:val="24"/>
        </w:rPr>
        <w:t>采购项目技术需求</w:t>
      </w:r>
      <w:r>
        <w:rPr>
          <w:rFonts w:hint="eastAsia" w:ascii="仿宋" w:hAnsi="仿宋" w:eastAsia="仿宋"/>
          <w:sz w:val="24"/>
          <w:szCs w:val="24"/>
          <w:lang w:eastAsia="zh-CN"/>
        </w:rPr>
        <w:t>、</w:t>
      </w:r>
      <w:r>
        <w:rPr>
          <w:rFonts w:hint="eastAsia" w:ascii="仿宋" w:hAnsi="仿宋" w:eastAsia="仿宋"/>
          <w:sz w:val="24"/>
          <w:szCs w:val="24"/>
        </w:rPr>
        <w:t>采购项目商务需求</w:t>
      </w:r>
      <w:r>
        <w:rPr>
          <w:rFonts w:hint="eastAsia" w:ascii="仿宋" w:hAnsi="仿宋" w:eastAsia="仿宋"/>
          <w:sz w:val="24"/>
          <w:szCs w:val="24"/>
          <w:lang w:eastAsia="zh-CN"/>
        </w:rPr>
        <w:t>、</w:t>
      </w:r>
      <w:r>
        <w:rPr>
          <w:rFonts w:hint="eastAsia" w:ascii="仿宋" w:hAnsi="仿宋" w:eastAsia="仿宋"/>
          <w:sz w:val="24"/>
          <w:szCs w:val="24"/>
          <w:lang w:val="en-US" w:eastAsia="zh-CN"/>
        </w:rPr>
        <w:t>评标办法</w:t>
      </w:r>
      <w:r>
        <w:rPr>
          <w:rFonts w:hint="eastAsia" w:ascii="仿宋" w:hAnsi="仿宋" w:eastAsia="仿宋"/>
          <w:sz w:val="24"/>
          <w:szCs w:val="24"/>
          <w:lang w:eastAsia="zh-CN"/>
        </w:rPr>
        <w:t>、</w:t>
      </w:r>
      <w:r>
        <w:rPr>
          <w:rFonts w:hint="eastAsia" w:ascii="仿宋" w:hAnsi="仿宋" w:eastAsia="仿宋"/>
          <w:sz w:val="24"/>
          <w:szCs w:val="24"/>
        </w:rPr>
        <w:t>供应商须知</w:t>
      </w:r>
      <w:r>
        <w:rPr>
          <w:rFonts w:hint="eastAsia" w:ascii="仿宋" w:hAnsi="仿宋" w:eastAsia="仿宋"/>
          <w:b/>
          <w:sz w:val="24"/>
          <w:szCs w:val="24"/>
          <w:lang w:eastAsia="zh-CN"/>
        </w:rPr>
        <w:t>、</w:t>
      </w:r>
      <w:r>
        <w:rPr>
          <w:rFonts w:hint="eastAsia" w:ascii="仿宋" w:hAnsi="仿宋" w:eastAsia="仿宋"/>
          <w:sz w:val="24"/>
          <w:szCs w:val="24"/>
        </w:rPr>
        <w:t>合同主要条款和格式合同</w:t>
      </w:r>
      <w:r>
        <w:rPr>
          <w:rFonts w:hint="eastAsia" w:ascii="仿宋" w:hAnsi="仿宋" w:eastAsia="仿宋"/>
          <w:b/>
          <w:sz w:val="24"/>
          <w:szCs w:val="24"/>
          <w:lang w:eastAsia="zh-CN"/>
        </w:rPr>
        <w:t>、</w:t>
      </w:r>
      <w:r>
        <w:rPr>
          <w:rFonts w:hint="eastAsia" w:ascii="仿宋" w:hAnsi="仿宋" w:eastAsia="仿宋"/>
          <w:sz w:val="24"/>
          <w:szCs w:val="24"/>
        </w:rPr>
        <w:t>响应文件编制要求七部分组成。</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w:t>
      </w:r>
      <w:r>
        <w:rPr>
          <w:rFonts w:hint="eastAsia" w:ascii="仿宋" w:hAnsi="仿宋" w:eastAsia="仿宋"/>
          <w:sz w:val="24"/>
          <w:szCs w:val="24"/>
          <w:lang w:eastAsia="zh-CN"/>
        </w:rPr>
        <w:t>、</w:t>
      </w:r>
      <w:r>
        <w:rPr>
          <w:rFonts w:hint="eastAsia" w:ascii="仿宋" w:hAnsi="仿宋" w:eastAsia="仿宋"/>
          <w:sz w:val="24"/>
          <w:szCs w:val="24"/>
        </w:rPr>
        <w:t>修改及补充，都是网上竞采文件不可分割的部分。</w:t>
      </w:r>
    </w:p>
    <w:p>
      <w:pPr>
        <w:pStyle w:val="7"/>
        <w:spacing w:before="0" w:after="0" w:line="360" w:lineRule="auto"/>
        <w:rPr>
          <w:rFonts w:ascii="仿宋" w:hAnsi="仿宋" w:eastAsia="仿宋"/>
          <w:sz w:val="24"/>
          <w:szCs w:val="24"/>
        </w:rPr>
      </w:pPr>
      <w:bookmarkStart w:id="88" w:name="_Toc179714297"/>
      <w:bookmarkStart w:id="89" w:name="_Toc13364"/>
      <w:bookmarkStart w:id="90" w:name="_Toc1734"/>
      <w:bookmarkStart w:id="91" w:name="_Toc102227318"/>
      <w:bookmarkStart w:id="92" w:name="_Toc342913392"/>
      <w:r>
        <w:rPr>
          <w:rFonts w:hint="eastAsia" w:ascii="仿宋" w:hAnsi="仿宋" w:eastAsia="仿宋"/>
          <w:sz w:val="24"/>
          <w:szCs w:val="24"/>
          <w:lang w:eastAsia="zh-CN"/>
        </w:rPr>
        <w:t>三、</w:t>
      </w:r>
      <w:r>
        <w:rPr>
          <w:rFonts w:hint="eastAsia" w:ascii="仿宋" w:hAnsi="仿宋" w:eastAsia="仿宋"/>
          <w:sz w:val="24"/>
          <w:szCs w:val="24"/>
        </w:rPr>
        <w:t>网上竞采要求</w:t>
      </w:r>
      <w:bookmarkEnd w:id="88"/>
      <w:bookmarkEnd w:id="89"/>
      <w:bookmarkEnd w:id="90"/>
      <w:bookmarkEnd w:id="91"/>
      <w:bookmarkEnd w:id="92"/>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（一）响应文件</w:t>
      </w:r>
      <w:r>
        <w:rPr>
          <w:rFonts w:hint="eastAsia" w:ascii="仿宋" w:hAnsi="仿宋" w:eastAsia="仿宋"/>
          <w:sz w:val="24"/>
          <w:szCs w:val="24"/>
          <w:lang w:val="en-US" w:eastAsia="zh-CN"/>
        </w:rPr>
        <w:t>编制要求</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供应商应当按照</w:t>
      </w:r>
      <w:r>
        <w:rPr>
          <w:rFonts w:hint="eastAsia" w:ascii="仿宋" w:hAnsi="仿宋" w:eastAsia="仿宋"/>
          <w:sz w:val="24"/>
          <w:szCs w:val="24"/>
          <w:lang w:val="en-US" w:eastAsia="zh-CN"/>
        </w:rPr>
        <w:t>采购</w:t>
      </w:r>
      <w:r>
        <w:rPr>
          <w:rFonts w:hint="eastAsia" w:ascii="仿宋" w:hAnsi="仿宋" w:eastAsia="仿宋"/>
          <w:sz w:val="24"/>
          <w:szCs w:val="24"/>
        </w:rPr>
        <w:t>文件的要求编制响应文件，</w:t>
      </w:r>
      <w:r>
        <w:rPr>
          <w:rFonts w:hint="eastAsia" w:ascii="仿宋" w:hAnsi="仿宋" w:eastAsia="仿宋"/>
          <w:sz w:val="24"/>
          <w:szCs w:val="24"/>
          <w:lang w:val="en-US" w:eastAsia="zh-CN"/>
        </w:rPr>
        <w:t>并上传至网上竞采平台</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响应文件组成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w:t>
      </w:r>
      <w:r>
        <w:rPr>
          <w:rFonts w:hint="eastAsia" w:ascii="仿宋" w:hAnsi="仿宋" w:eastAsia="仿宋"/>
          <w:sz w:val="24"/>
          <w:szCs w:val="24"/>
          <w:lang w:eastAsia="zh-CN"/>
        </w:rPr>
        <w:t>、</w:t>
      </w:r>
      <w:r>
        <w:rPr>
          <w:rFonts w:hint="eastAsia" w:ascii="仿宋" w:hAnsi="仿宋" w:eastAsia="仿宋"/>
          <w:sz w:val="24"/>
          <w:szCs w:val="24"/>
        </w:rPr>
        <w:t>修改和承诺等文件组成，供应商应按照第七篇“响应文件编制要求”规定的目录顺序组织编写，也可在基本格式基础上对表格进行扩展，未规定格式的由供应商自定格式。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（二）联合体</w:t>
      </w:r>
    </w:p>
    <w:p>
      <w:pPr>
        <w:spacing w:line="360" w:lineRule="auto"/>
        <w:ind w:firstLine="480" w:firstLineChars="200"/>
        <w:rPr>
          <w:rFonts w:ascii="仿宋" w:hAnsi="仿宋" w:eastAsia="仿宋"/>
          <w:b w:val="0"/>
          <w:bCs/>
          <w:sz w:val="24"/>
          <w:szCs w:val="24"/>
        </w:rPr>
      </w:pPr>
      <w:r>
        <w:rPr>
          <w:rFonts w:hint="eastAsia" w:ascii="仿宋" w:hAnsi="仿宋" w:eastAsia="仿宋"/>
          <w:b w:val="0"/>
          <w:bCs/>
          <w:sz w:val="24"/>
          <w:szCs w:val="24"/>
        </w:rPr>
        <w:t>本项目不接受联合体竞标。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（三）网上竞采有效期：响应文件及有关承诺文件有效期为提交响应文件截止时间起90天。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（四）修正错误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1.若供应商所递交的响应文件中的价格出现大写金额和小写金额不一致的错误，以大写金额修正为准。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2.评审小组按上述修正错误的原则及方法修正供应商的报价，修正后的报价对供应商具有约束作用。如果供应商不接受修正后的价格，将失去成为</w:t>
      </w:r>
      <w:r>
        <w:rPr>
          <w:rFonts w:hint="eastAsia" w:ascii="仿宋" w:hAnsi="仿宋" w:eastAsia="仿宋"/>
          <w:sz w:val="24"/>
          <w:szCs w:val="24"/>
          <w:lang w:val="en-US" w:eastAsia="zh-CN"/>
        </w:rPr>
        <w:t>中标人</w:t>
      </w:r>
      <w:r>
        <w:rPr>
          <w:rFonts w:hint="eastAsia" w:ascii="仿宋" w:hAnsi="仿宋" w:eastAsia="仿宋"/>
          <w:sz w:val="24"/>
          <w:szCs w:val="24"/>
        </w:rPr>
        <w:t>的资格。</w:t>
      </w:r>
    </w:p>
    <w:p>
      <w:pPr>
        <w:pStyle w:val="7"/>
        <w:spacing w:before="0" w:after="0" w:line="360" w:lineRule="auto"/>
        <w:rPr>
          <w:rFonts w:ascii="仿宋" w:hAnsi="仿宋" w:eastAsia="仿宋"/>
          <w:sz w:val="24"/>
          <w:szCs w:val="24"/>
        </w:rPr>
      </w:pPr>
      <w:bookmarkStart w:id="93" w:name="_Toc22553"/>
      <w:bookmarkStart w:id="94" w:name="_Toc25011"/>
      <w:r>
        <w:rPr>
          <w:rFonts w:hint="eastAsia" w:ascii="仿宋" w:hAnsi="仿宋" w:eastAsia="仿宋"/>
          <w:sz w:val="24"/>
          <w:szCs w:val="24"/>
          <w:lang w:eastAsia="zh-CN"/>
        </w:rPr>
        <w:t>四、</w:t>
      </w:r>
      <w:r>
        <w:rPr>
          <w:rFonts w:hint="eastAsia" w:ascii="仿宋" w:hAnsi="仿宋" w:eastAsia="仿宋"/>
          <w:sz w:val="24"/>
          <w:szCs w:val="24"/>
        </w:rPr>
        <w:t>成交供应商的确认和变更</w:t>
      </w:r>
      <w:bookmarkEnd w:id="93"/>
      <w:bookmarkEnd w:id="94"/>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（一）成交供应商的确认</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采购人在</w:t>
      </w:r>
      <w:r>
        <w:rPr>
          <w:rFonts w:hint="eastAsia" w:ascii="仿宋" w:hAnsi="仿宋" w:eastAsia="仿宋"/>
          <w:sz w:val="24"/>
          <w:szCs w:val="24"/>
          <w:lang w:val="en-US" w:eastAsia="zh-CN"/>
        </w:rPr>
        <w:t>结束评审</w:t>
      </w:r>
      <w:r>
        <w:rPr>
          <w:rFonts w:ascii="仿宋" w:hAnsi="仿宋" w:eastAsia="仿宋"/>
          <w:sz w:val="24"/>
          <w:szCs w:val="24"/>
        </w:rPr>
        <w:t>后5个工作日内</w:t>
      </w:r>
      <w:r>
        <w:rPr>
          <w:rFonts w:hint="eastAsia" w:ascii="仿宋" w:hAnsi="仿宋" w:eastAsia="仿宋"/>
          <w:sz w:val="24"/>
          <w:szCs w:val="24"/>
        </w:rPr>
        <w:t>，按照排序由高到低的原则确定成交供应商。采购人逾期未确定成交供应商且不提出异议的，视为确定评审报告提出的排序第一的供应商为成交供应商。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（二）成交供应商的变更</w:t>
      </w:r>
    </w:p>
    <w:p>
      <w:pPr>
        <w:snapToGrid w:val="0"/>
        <w:spacing w:line="360" w:lineRule="auto"/>
        <w:ind w:firstLine="480" w:firstLineChars="200"/>
        <w:rPr>
          <w:rFonts w:ascii="仿宋" w:hAnsi="仿宋" w:eastAsia="仿宋"/>
          <w:sz w:val="24"/>
          <w:szCs w:val="24"/>
        </w:rPr>
      </w:pPr>
      <w:r>
        <w:rPr>
          <w:rFonts w:hint="eastAsia" w:ascii="仿宋" w:hAnsi="仿宋" w:eastAsia="仿宋"/>
          <w:sz w:val="24"/>
        </w:rPr>
        <w:t>成交供应商拒绝与采购人签订合同的，采购人可以按照评标报告推荐的成交候选供应商顺序，确定排名下一位的候选人为成交供应商，也可以重新开展采购活动。</w:t>
      </w:r>
    </w:p>
    <w:p>
      <w:pPr>
        <w:pStyle w:val="7"/>
        <w:spacing w:before="0" w:after="0" w:line="360" w:lineRule="auto"/>
        <w:rPr>
          <w:rFonts w:ascii="仿宋" w:hAnsi="仿宋" w:eastAsia="仿宋"/>
          <w:sz w:val="24"/>
          <w:szCs w:val="24"/>
        </w:rPr>
      </w:pPr>
      <w:bookmarkStart w:id="95" w:name="_Toc22845"/>
      <w:bookmarkStart w:id="96" w:name="_Toc102227321"/>
      <w:bookmarkStart w:id="97" w:name="_Toc8128"/>
      <w:bookmarkStart w:id="98" w:name="_Toc342913395"/>
      <w:r>
        <w:rPr>
          <w:rFonts w:hint="eastAsia" w:ascii="仿宋" w:hAnsi="仿宋" w:eastAsia="仿宋"/>
          <w:sz w:val="24"/>
          <w:szCs w:val="24"/>
          <w:lang w:eastAsia="zh-CN"/>
        </w:rPr>
        <w:t>五、</w:t>
      </w:r>
      <w:r>
        <w:rPr>
          <w:rFonts w:hint="eastAsia" w:ascii="仿宋" w:hAnsi="仿宋" w:eastAsia="仿宋"/>
          <w:sz w:val="24"/>
          <w:szCs w:val="24"/>
        </w:rPr>
        <w:t>成交通知</w:t>
      </w:r>
      <w:bookmarkEnd w:id="95"/>
      <w:bookmarkEnd w:id="96"/>
      <w:bookmarkEnd w:id="97"/>
      <w:bookmarkEnd w:id="98"/>
    </w:p>
    <w:p>
      <w:pPr>
        <w:spacing w:line="360" w:lineRule="auto"/>
        <w:ind w:firstLine="480" w:firstLineChars="200"/>
        <w:rPr>
          <w:rFonts w:ascii="仿宋" w:hAnsi="仿宋" w:eastAsia="仿宋"/>
          <w:sz w:val="24"/>
          <w:szCs w:val="24"/>
        </w:rPr>
      </w:pPr>
      <w:r>
        <w:rPr>
          <w:rFonts w:hint="eastAsia" w:ascii="仿宋" w:hAnsi="仿宋" w:eastAsia="仿宋"/>
          <w:sz w:val="24"/>
          <w:szCs w:val="24"/>
        </w:rPr>
        <w:t>（一）成交供应商确定后，采购人将在重庆市政府采购网上竞采中心上发布成交结果公告。</w:t>
      </w:r>
    </w:p>
    <w:p>
      <w:pPr>
        <w:pStyle w:val="7"/>
        <w:spacing w:before="0" w:after="0" w:line="360" w:lineRule="auto"/>
        <w:rPr>
          <w:rFonts w:ascii="仿宋" w:hAnsi="仿宋" w:eastAsia="仿宋"/>
          <w:sz w:val="24"/>
          <w:szCs w:val="24"/>
        </w:rPr>
      </w:pPr>
      <w:bookmarkStart w:id="99" w:name="_Toc102227322"/>
      <w:bookmarkStart w:id="100" w:name="_Toc15806"/>
      <w:bookmarkStart w:id="101" w:name="_Toc342913396"/>
      <w:bookmarkStart w:id="102" w:name="_Toc14365"/>
      <w:bookmarkStart w:id="103" w:name="_Toc11641055"/>
      <w:bookmarkStart w:id="104" w:name="_Toc12789059"/>
      <w:r>
        <w:rPr>
          <w:rFonts w:hint="eastAsia" w:ascii="仿宋" w:hAnsi="仿宋" w:eastAsia="仿宋"/>
          <w:sz w:val="24"/>
          <w:szCs w:val="24"/>
          <w:lang w:val="en-US" w:eastAsia="zh-CN"/>
        </w:rPr>
        <w:t>六、</w:t>
      </w:r>
      <w:r>
        <w:rPr>
          <w:rFonts w:hint="eastAsia" w:ascii="仿宋" w:hAnsi="仿宋" w:eastAsia="仿宋"/>
          <w:sz w:val="24"/>
          <w:szCs w:val="24"/>
        </w:rPr>
        <w:t>签订</w:t>
      </w:r>
      <w:bookmarkEnd w:id="99"/>
      <w:r>
        <w:rPr>
          <w:rFonts w:hint="eastAsia" w:ascii="仿宋" w:hAnsi="仿宋" w:eastAsia="仿宋"/>
          <w:sz w:val="24"/>
          <w:szCs w:val="24"/>
        </w:rPr>
        <w:t>合同</w:t>
      </w:r>
      <w:bookmarkEnd w:id="100"/>
      <w:bookmarkEnd w:id="101"/>
      <w:bookmarkEnd w:id="102"/>
    </w:p>
    <w:p>
      <w:pPr>
        <w:spacing w:line="360" w:lineRule="auto"/>
        <w:ind w:firstLine="360" w:firstLineChars="150"/>
        <w:rPr>
          <w:rFonts w:ascii="仿宋" w:hAnsi="仿宋" w:eastAsia="仿宋"/>
          <w:sz w:val="24"/>
          <w:szCs w:val="24"/>
        </w:rPr>
      </w:pPr>
      <w:r>
        <w:rPr>
          <w:rFonts w:hint="eastAsia" w:ascii="仿宋" w:hAnsi="仿宋" w:eastAsia="仿宋"/>
          <w:sz w:val="24"/>
          <w:szCs w:val="24"/>
        </w:rPr>
        <w:t>（一）采购人应当自</w:t>
      </w:r>
      <w:r>
        <w:rPr>
          <w:rFonts w:hint="eastAsia" w:ascii="仿宋" w:hAnsi="仿宋" w:eastAsia="仿宋"/>
          <w:sz w:val="24"/>
          <w:szCs w:val="24"/>
          <w:highlight w:val="none"/>
        </w:rPr>
        <w:t>成交通知书发出之日起五日内，按照</w:t>
      </w:r>
      <w:r>
        <w:rPr>
          <w:rFonts w:hint="eastAsia" w:ascii="仿宋" w:hAnsi="仿宋" w:eastAsia="仿宋"/>
          <w:sz w:val="24"/>
          <w:szCs w:val="24"/>
        </w:rPr>
        <w:t>网上竞采文件和成交供应商响应文件的约定，与成交供应商签订书面合同。所签订的合同不得对网上竞采文件和供应商的响应文件作实质性修改。</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（二）网上竞采文件</w:t>
      </w:r>
      <w:r>
        <w:rPr>
          <w:rFonts w:hint="eastAsia" w:ascii="仿宋" w:hAnsi="仿宋" w:eastAsia="仿宋"/>
          <w:sz w:val="24"/>
          <w:szCs w:val="24"/>
          <w:lang w:eastAsia="zh-CN"/>
        </w:rPr>
        <w:t>、</w:t>
      </w:r>
      <w:r>
        <w:rPr>
          <w:rFonts w:hint="eastAsia" w:ascii="仿宋" w:hAnsi="仿宋" w:eastAsia="仿宋"/>
          <w:sz w:val="24"/>
          <w:szCs w:val="24"/>
        </w:rPr>
        <w:t>供应商的响应文件及澄清文件等，均为签订采购合同的依据。</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（三）合同生效条款由供需双方约定，法律</w:t>
      </w:r>
      <w:r>
        <w:rPr>
          <w:rFonts w:hint="eastAsia" w:ascii="仿宋" w:hAnsi="仿宋" w:eastAsia="仿宋"/>
          <w:sz w:val="24"/>
          <w:szCs w:val="24"/>
          <w:lang w:eastAsia="zh-CN"/>
        </w:rPr>
        <w:t>、</w:t>
      </w:r>
      <w:r>
        <w:rPr>
          <w:rFonts w:hint="eastAsia" w:ascii="仿宋" w:hAnsi="仿宋" w:eastAsia="仿宋"/>
          <w:sz w:val="24"/>
          <w:szCs w:val="24"/>
        </w:rPr>
        <w:t>行政法规规定应当办理批准</w:t>
      </w:r>
      <w:r>
        <w:rPr>
          <w:rFonts w:hint="eastAsia" w:ascii="仿宋" w:hAnsi="仿宋" w:eastAsia="仿宋"/>
          <w:sz w:val="24"/>
          <w:szCs w:val="24"/>
          <w:lang w:eastAsia="zh-CN"/>
        </w:rPr>
        <w:t>、</w:t>
      </w:r>
      <w:r>
        <w:rPr>
          <w:rFonts w:hint="eastAsia" w:ascii="仿宋" w:hAnsi="仿宋" w:eastAsia="仿宋"/>
          <w:sz w:val="24"/>
          <w:szCs w:val="24"/>
        </w:rPr>
        <w:t>登记等手续后生效的合同，依照其规定。</w:t>
      </w:r>
    </w:p>
    <w:p>
      <w:pPr>
        <w:spacing w:line="360" w:lineRule="auto"/>
        <w:ind w:firstLine="360" w:firstLineChars="150"/>
        <w:rPr>
          <w:rFonts w:hint="eastAsia"/>
        </w:rPr>
      </w:pPr>
      <w:r>
        <w:rPr>
          <w:rFonts w:hint="eastAsia" w:ascii="仿宋" w:hAnsi="仿宋" w:eastAsia="仿宋"/>
          <w:sz w:val="24"/>
          <w:szCs w:val="24"/>
        </w:rPr>
        <w:t>（四）合同原则上应按照《采购合同》签订，相关单位要求适用合同通用格式版本的，应按其要求另行签订其他合同。</w:t>
      </w:r>
      <w:bookmarkEnd w:id="103"/>
      <w:bookmarkEnd w:id="104"/>
      <w:bookmarkStart w:id="105" w:name="_Toc27139866"/>
      <w:bookmarkStart w:id="106" w:name="_Toc28449"/>
    </w:p>
    <w:p>
      <w:pPr>
        <w:pStyle w:val="6"/>
        <w:spacing w:line="360" w:lineRule="auto"/>
        <w:jc w:val="center"/>
        <w:rPr>
          <w:rFonts w:ascii="仿宋" w:hAnsi="仿宋" w:eastAsia="仿宋" w:cs="仿宋"/>
          <w:b w:val="0"/>
          <w:sz w:val="36"/>
          <w:szCs w:val="36"/>
        </w:rPr>
      </w:pPr>
      <w:bookmarkStart w:id="107" w:name="_Toc15760"/>
      <w:r>
        <w:rPr>
          <w:rFonts w:hint="eastAsia" w:ascii="仿宋" w:hAnsi="仿宋" w:eastAsia="仿宋"/>
          <w:sz w:val="36"/>
          <w:szCs w:val="36"/>
        </w:rPr>
        <w:t>第六篇</w:t>
      </w:r>
      <w:bookmarkEnd w:id="105"/>
      <w:r>
        <w:rPr>
          <w:rFonts w:hint="eastAsia" w:ascii="仿宋" w:hAnsi="仿宋" w:eastAsia="仿宋"/>
          <w:sz w:val="36"/>
          <w:szCs w:val="36"/>
        </w:rPr>
        <w:t xml:space="preserve">  合同草案条款和格式合同</w:t>
      </w:r>
      <w:bookmarkEnd w:id="106"/>
      <w:bookmarkEnd w:id="107"/>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定义</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（一）甲方（需方）即采购人，是指通过网上竞采，接受合同货物和服务的各级国家机关</w:t>
      </w:r>
      <w:r>
        <w:rPr>
          <w:rFonts w:hint="eastAsia" w:ascii="仿宋" w:hAnsi="仿宋" w:eastAsia="仿宋"/>
          <w:sz w:val="24"/>
          <w:szCs w:val="24"/>
          <w:lang w:eastAsia="zh-CN"/>
        </w:rPr>
        <w:t>、</w:t>
      </w:r>
      <w:r>
        <w:rPr>
          <w:rFonts w:hint="eastAsia" w:ascii="仿宋" w:hAnsi="仿宋" w:eastAsia="仿宋"/>
          <w:sz w:val="24"/>
          <w:szCs w:val="24"/>
        </w:rPr>
        <w:t>事业单位和团体组织。</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（二）乙方（供方）即成交供应商，是指成交后提供合同货物和服务的自然人</w:t>
      </w:r>
      <w:r>
        <w:rPr>
          <w:rFonts w:hint="eastAsia" w:ascii="仿宋" w:hAnsi="仿宋" w:eastAsia="仿宋"/>
          <w:sz w:val="24"/>
          <w:szCs w:val="24"/>
          <w:lang w:eastAsia="zh-CN"/>
        </w:rPr>
        <w:t>、</w:t>
      </w:r>
      <w:r>
        <w:rPr>
          <w:rFonts w:hint="eastAsia" w:ascii="仿宋" w:hAnsi="仿宋" w:eastAsia="仿宋"/>
          <w:sz w:val="24"/>
          <w:szCs w:val="24"/>
        </w:rPr>
        <w:t>法人及其他组织。</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（三）合同是指由甲乙双方按照网上竞采文件和响应文件的实质性内容，通过协商一致达成的书面协议。</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（四）合同价格指以成交价格为依据，在供方全面履行合同义务后，需方应支付给供方的金额。</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服务内容</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合同包括以下内容：服务名称</w:t>
      </w:r>
      <w:r>
        <w:rPr>
          <w:rFonts w:hint="eastAsia" w:ascii="仿宋" w:hAnsi="仿宋" w:eastAsia="仿宋"/>
          <w:sz w:val="24"/>
          <w:szCs w:val="24"/>
          <w:lang w:eastAsia="zh-CN"/>
        </w:rPr>
        <w:t>、</w:t>
      </w:r>
      <w:r>
        <w:rPr>
          <w:rFonts w:hint="eastAsia" w:ascii="仿宋" w:hAnsi="仿宋" w:eastAsia="仿宋"/>
          <w:sz w:val="24"/>
          <w:szCs w:val="24"/>
        </w:rPr>
        <w:t>服务时间</w:t>
      </w:r>
      <w:r>
        <w:rPr>
          <w:rFonts w:hint="eastAsia" w:ascii="仿宋" w:hAnsi="仿宋" w:eastAsia="仿宋"/>
          <w:sz w:val="24"/>
          <w:szCs w:val="24"/>
          <w:lang w:eastAsia="zh-CN"/>
        </w:rPr>
        <w:t>、</w:t>
      </w:r>
      <w:r>
        <w:rPr>
          <w:rFonts w:hint="eastAsia" w:ascii="仿宋" w:hAnsi="仿宋" w:eastAsia="仿宋"/>
          <w:sz w:val="24"/>
          <w:szCs w:val="24"/>
        </w:rPr>
        <w:t>服务地点</w:t>
      </w:r>
      <w:r>
        <w:rPr>
          <w:rFonts w:hint="eastAsia" w:ascii="仿宋" w:hAnsi="仿宋" w:eastAsia="仿宋"/>
          <w:sz w:val="24"/>
          <w:szCs w:val="24"/>
          <w:lang w:eastAsia="zh-CN"/>
        </w:rPr>
        <w:t>、</w:t>
      </w:r>
      <w:r>
        <w:rPr>
          <w:rFonts w:hint="eastAsia" w:ascii="仿宋" w:hAnsi="仿宋" w:eastAsia="仿宋"/>
          <w:sz w:val="24"/>
          <w:szCs w:val="24"/>
        </w:rPr>
        <w:t>质量要求</w:t>
      </w:r>
      <w:r>
        <w:rPr>
          <w:rFonts w:hint="eastAsia" w:ascii="仿宋" w:hAnsi="仿宋" w:eastAsia="仿宋"/>
          <w:sz w:val="24"/>
          <w:szCs w:val="24"/>
          <w:lang w:eastAsia="zh-CN"/>
        </w:rPr>
        <w:t>、</w:t>
      </w:r>
      <w:r>
        <w:rPr>
          <w:rFonts w:hint="eastAsia" w:ascii="仿宋" w:hAnsi="仿宋" w:eastAsia="仿宋"/>
          <w:sz w:val="24"/>
          <w:szCs w:val="24"/>
        </w:rPr>
        <w:t>服务要求等内容。</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三、</w:t>
      </w:r>
      <w:r>
        <w:rPr>
          <w:rFonts w:hint="eastAsia" w:ascii="仿宋" w:hAnsi="仿宋" w:eastAsia="仿宋"/>
          <w:sz w:val="24"/>
          <w:szCs w:val="24"/>
        </w:rPr>
        <w:t>合同价格</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（一）合同价格即合同总价。</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（二）合同价格包括提供服务所需提供的所有人</w:t>
      </w:r>
      <w:r>
        <w:rPr>
          <w:rFonts w:hint="eastAsia" w:ascii="仿宋" w:hAnsi="仿宋" w:eastAsia="仿宋"/>
          <w:sz w:val="24"/>
          <w:szCs w:val="24"/>
          <w:lang w:eastAsia="zh-CN"/>
        </w:rPr>
        <w:t>、</w:t>
      </w:r>
      <w:r>
        <w:rPr>
          <w:rFonts w:hint="eastAsia" w:ascii="仿宋" w:hAnsi="仿宋" w:eastAsia="仿宋"/>
          <w:sz w:val="24"/>
          <w:szCs w:val="24"/>
        </w:rPr>
        <w:t>财</w:t>
      </w:r>
      <w:r>
        <w:rPr>
          <w:rFonts w:hint="eastAsia" w:ascii="仿宋" w:hAnsi="仿宋" w:eastAsia="仿宋"/>
          <w:sz w:val="24"/>
          <w:szCs w:val="24"/>
          <w:lang w:eastAsia="zh-CN"/>
        </w:rPr>
        <w:t>、</w:t>
      </w:r>
      <w:r>
        <w:rPr>
          <w:rFonts w:hint="eastAsia" w:ascii="仿宋" w:hAnsi="仿宋" w:eastAsia="仿宋"/>
          <w:sz w:val="24"/>
          <w:szCs w:val="24"/>
        </w:rPr>
        <w:t>物</w:t>
      </w:r>
      <w:r>
        <w:rPr>
          <w:rFonts w:hint="eastAsia" w:ascii="仿宋" w:hAnsi="仿宋" w:eastAsia="仿宋"/>
          <w:sz w:val="24"/>
          <w:szCs w:val="24"/>
          <w:lang w:eastAsia="zh-CN"/>
        </w:rPr>
        <w:t>、</w:t>
      </w:r>
      <w:r>
        <w:rPr>
          <w:rFonts w:hint="eastAsia" w:ascii="仿宋" w:hAnsi="仿宋" w:eastAsia="仿宋"/>
          <w:sz w:val="24"/>
          <w:szCs w:val="24"/>
        </w:rPr>
        <w:t>税费等一切费用，所有税费由乙方负担。</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（三）合同价格为不变价。</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转包或分包</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（二）非经甲方书面同意，乙方不得将本合同范围的服务全部或部分分包给他人供应；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质量保证及售后服务</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（一）乙方应按网上竞采文件规定的服务要求</w:t>
      </w:r>
      <w:r>
        <w:rPr>
          <w:rFonts w:hint="eastAsia" w:ascii="仿宋" w:hAnsi="仿宋" w:eastAsia="仿宋"/>
          <w:sz w:val="24"/>
          <w:szCs w:val="24"/>
          <w:lang w:eastAsia="zh-CN"/>
        </w:rPr>
        <w:t>、</w:t>
      </w:r>
      <w:r>
        <w:rPr>
          <w:rFonts w:hint="eastAsia" w:ascii="仿宋" w:hAnsi="仿宋" w:eastAsia="仿宋"/>
          <w:sz w:val="24"/>
          <w:szCs w:val="24"/>
        </w:rPr>
        <w:t>质量标准向甲方保质保量</w:t>
      </w:r>
      <w:r>
        <w:rPr>
          <w:rFonts w:hint="eastAsia" w:ascii="仿宋" w:hAnsi="仿宋" w:eastAsia="仿宋"/>
          <w:sz w:val="24"/>
          <w:szCs w:val="24"/>
          <w:lang w:eastAsia="zh-CN"/>
        </w:rPr>
        <w:t>地</w:t>
      </w:r>
      <w:r>
        <w:rPr>
          <w:rFonts w:hint="eastAsia" w:ascii="仿宋" w:hAnsi="仿宋" w:eastAsia="仿宋"/>
          <w:sz w:val="24"/>
          <w:szCs w:val="24"/>
        </w:rPr>
        <w:t>提供服务。</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（二）乙方提供的服务如果存在质量问题，乙方应负责更正。对达不到服务要求者，根据实际情况，经双方协商，可按以下办法处理：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1.重做：由乙方承担所发生的全部费用。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2.乙方应对服务过程中出现的安全问题负责处理解决并承担一切费用。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（三）如在使用过程中发生质量问题，乙方应同本项目“第三篇采购项目商务需求”对质量保证期及售后服务内容的约定。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（四）在质保期内，乙方应对货物或服务出现的质量及安全问题负责处理解决并承担一切费用。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付款</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（一）本合同使用货币币制如未作特别说明均为人民币。</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（二）付款方式：银行转账</w:t>
      </w:r>
      <w:r>
        <w:rPr>
          <w:rFonts w:hint="eastAsia" w:ascii="仿宋" w:hAnsi="仿宋" w:eastAsia="仿宋"/>
          <w:sz w:val="24"/>
          <w:szCs w:val="24"/>
          <w:lang w:eastAsia="zh-CN"/>
        </w:rPr>
        <w:t>、</w:t>
      </w:r>
      <w:r>
        <w:rPr>
          <w:rFonts w:hint="eastAsia" w:ascii="仿宋" w:hAnsi="仿宋" w:eastAsia="仿宋"/>
          <w:sz w:val="24"/>
          <w:szCs w:val="24"/>
        </w:rPr>
        <w:t>现金支票。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（三）付款方法：同本项目“第三篇采购项目商务需求”中关于付款方式的约定。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七、</w:t>
      </w:r>
      <w:r>
        <w:rPr>
          <w:rFonts w:hint="eastAsia" w:ascii="仿宋" w:hAnsi="仿宋" w:eastAsia="仿宋"/>
          <w:sz w:val="24"/>
          <w:szCs w:val="24"/>
        </w:rPr>
        <w:t>检查验收</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（一）供方所供服务的各种指标不得低于网上竞采文件和响应文件的约定，服务质量要求按照网上竞采文件和响应文件的内容执行。</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（二）验收报告应由需方</w:t>
      </w:r>
      <w:r>
        <w:rPr>
          <w:rFonts w:hint="eastAsia" w:ascii="仿宋" w:hAnsi="仿宋" w:eastAsia="仿宋"/>
          <w:sz w:val="24"/>
          <w:szCs w:val="24"/>
          <w:lang w:eastAsia="zh-CN"/>
        </w:rPr>
        <w:t>、</w:t>
      </w:r>
      <w:r>
        <w:rPr>
          <w:rFonts w:hint="eastAsia" w:ascii="仿宋" w:hAnsi="仿宋" w:eastAsia="仿宋"/>
          <w:sz w:val="24"/>
          <w:szCs w:val="24"/>
        </w:rPr>
        <w:t>供方经办人签字，并加盖双方公章，以此作为支付凭据。</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八、</w:t>
      </w:r>
      <w:r>
        <w:rPr>
          <w:rFonts w:hint="eastAsia" w:ascii="仿宋" w:hAnsi="仿宋" w:eastAsia="仿宋"/>
          <w:sz w:val="24"/>
          <w:szCs w:val="24"/>
        </w:rPr>
        <w:t>索赔</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供方对所提供服务与合同要求不符负有责任，并且需方提出索赔，供方应按需方同意的下述一种或多种方法解决索赔事宜。</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（一）供方同意需方拒绝服务并把拒绝部分的金额以合同规定的同类货币付给需方，供方负担发生的一切损失和费用。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（二）根据服务的疵劣和受损程度以及需方遭受损失的金额，经双方同意降低服务价格。</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九、</w:t>
      </w:r>
      <w:r>
        <w:rPr>
          <w:rFonts w:hint="eastAsia" w:ascii="仿宋" w:hAnsi="仿宋" w:eastAsia="仿宋"/>
          <w:sz w:val="24"/>
          <w:szCs w:val="24"/>
        </w:rPr>
        <w:t>知识产权</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（一）甲方在中华人民共和国境内使用乙方提供的货物及服务时免受第三方提出的侵犯其专利权或</w:t>
      </w:r>
      <w:r>
        <w:rPr>
          <w:rFonts w:hint="eastAsia" w:ascii="仿宋" w:hAnsi="仿宋" w:eastAsia="仿宋"/>
          <w:sz w:val="24"/>
          <w:szCs w:val="24"/>
          <w:lang w:eastAsia="zh-CN"/>
        </w:rPr>
        <w:t>其他</w:t>
      </w:r>
      <w:r>
        <w:rPr>
          <w:rFonts w:hint="eastAsia" w:ascii="仿宋" w:hAnsi="仿宋" w:eastAsia="仿宋"/>
          <w:sz w:val="24"/>
          <w:szCs w:val="24"/>
        </w:rPr>
        <w:t>知识产权的起诉。如果第三方提出侵权指控，乙方承担由此而引起的一切法律责任和费用。</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（二）若涉及软件开发等服务类项目知识产权的，知识产权归采购人所有。</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十、</w:t>
      </w:r>
      <w:r>
        <w:rPr>
          <w:rFonts w:hint="eastAsia" w:ascii="仿宋" w:hAnsi="仿宋" w:eastAsia="仿宋"/>
          <w:sz w:val="24"/>
          <w:szCs w:val="24"/>
        </w:rPr>
        <w:t>合同争议的解决</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（一）当事人友好协商达成一致</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（二）在60天内当事人协商不能达成协议的，可提请采购人当地仲裁机构仲裁。</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lang w:eastAsia="zh-CN"/>
        </w:rPr>
        <w:t>十一、</w:t>
      </w:r>
      <w:r>
        <w:rPr>
          <w:rFonts w:hint="eastAsia" w:ascii="仿宋" w:hAnsi="仿宋" w:eastAsia="仿宋"/>
          <w:sz w:val="24"/>
          <w:szCs w:val="24"/>
        </w:rPr>
        <w:t>违约责任</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按《中华人民共和国民法典》</w:t>
      </w:r>
      <w:r>
        <w:rPr>
          <w:rFonts w:hint="eastAsia" w:ascii="仿宋" w:hAnsi="仿宋" w:eastAsia="仿宋"/>
          <w:sz w:val="24"/>
          <w:szCs w:val="24"/>
          <w:lang w:eastAsia="zh-CN"/>
        </w:rPr>
        <w:t>.</w:t>
      </w:r>
      <w:r>
        <w:rPr>
          <w:rFonts w:hint="eastAsia" w:ascii="仿宋" w:hAnsi="仿宋" w:eastAsia="仿宋"/>
          <w:sz w:val="24"/>
          <w:szCs w:val="24"/>
        </w:rPr>
        <w:t>《中华人民共和国政府采购法》有关条款，或由供需双方约定。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hint="eastAsia" w:ascii="仿宋" w:hAnsi="仿宋" w:eastAsia="仿宋"/>
          <w:sz w:val="24"/>
          <w:szCs w:val="24"/>
          <w:lang w:eastAsia="zh-CN"/>
        </w:rPr>
      </w:pPr>
      <w:r>
        <w:rPr>
          <w:rFonts w:hint="eastAsia" w:ascii="仿宋" w:hAnsi="仿宋" w:eastAsia="仿宋"/>
          <w:sz w:val="24"/>
          <w:szCs w:val="24"/>
          <w:lang w:eastAsia="zh-CN"/>
        </w:rPr>
        <w:t>十二、</w:t>
      </w:r>
      <w:r>
        <w:rPr>
          <w:rFonts w:hint="eastAsia" w:ascii="仿宋" w:hAnsi="仿宋" w:eastAsia="仿宋"/>
          <w:sz w:val="24"/>
          <w:szCs w:val="24"/>
        </w:rPr>
        <w:t>合同生效及</w:t>
      </w:r>
      <w:r>
        <w:rPr>
          <w:rFonts w:hint="eastAsia" w:ascii="仿宋" w:hAnsi="仿宋" w:eastAsia="仿宋"/>
          <w:sz w:val="24"/>
          <w:szCs w:val="24"/>
          <w:lang w:eastAsia="zh-CN"/>
        </w:rPr>
        <w:t>其他</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（一）合同生效及其效力应符合《中华人民共和国民法典》有关规定。</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（二）合同应经当事人法定代表人或委托代理人签字，加盖双方合同专用章或公章。</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（三）合同所包括附件，是合同不可分割的一部分，具有同等法律效力。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四</w:t>
      </w:r>
      <w:r>
        <w:rPr>
          <w:rFonts w:hint="eastAsia" w:ascii="仿宋" w:hAnsi="仿宋" w:eastAsia="仿宋"/>
          <w:sz w:val="24"/>
          <w:szCs w:val="24"/>
        </w:rPr>
        <w:t>）本合同条件未尽事宜依照《中华人民共和国民法典》，由供需双方共同协商确定。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sz w:val="32"/>
          <w:szCs w:val="32"/>
        </w:rPr>
      </w:pPr>
    </w:p>
    <w:p/>
    <w:p/>
    <w:p>
      <w:pPr>
        <w:rPr>
          <w:rFonts w:hint="eastAsia" w:ascii="仿宋" w:hAnsi="仿宋" w:eastAsia="仿宋" w:cs="仿宋"/>
          <w:sz w:val="24"/>
        </w:rPr>
      </w:pPr>
      <w:bookmarkStart w:id="108" w:name="_Toc148265480"/>
      <w:bookmarkStart w:id="109" w:name="_Toc303945820"/>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rPr>
          <w:rFonts w:hint="eastAsia" w:ascii="仿宋" w:hAnsi="仿宋" w:eastAsia="仿宋" w:cs="仿宋"/>
          <w:sz w:val="24"/>
        </w:rPr>
      </w:pPr>
    </w:p>
    <w:p>
      <w:r>
        <w:rPr>
          <w:rFonts w:hint="eastAsia" w:ascii="仿宋" w:hAnsi="仿宋" w:eastAsia="仿宋" w:cs="仿宋"/>
          <w:sz w:val="24"/>
        </w:rPr>
        <w:t>附页：合同格式</w:t>
      </w:r>
      <w:bookmarkEnd w:id="108"/>
      <w:bookmarkEnd w:id="109"/>
    </w:p>
    <w:p>
      <w:pPr>
        <w:spacing w:line="500" w:lineRule="exact"/>
        <w:jc w:val="center"/>
        <w:rPr>
          <w:rFonts w:ascii="仿宋" w:hAnsi="仿宋" w:eastAsia="仿宋" w:cs="仿宋"/>
          <w:b/>
          <w:sz w:val="32"/>
          <w:szCs w:val="32"/>
        </w:rPr>
      </w:pPr>
      <w:bookmarkStart w:id="110" w:name="_Toc30030"/>
      <w:r>
        <w:rPr>
          <w:rFonts w:hint="eastAsia" w:ascii="仿宋" w:hAnsi="仿宋" w:eastAsia="仿宋" w:cs="仿宋"/>
          <w:b/>
          <w:sz w:val="32"/>
          <w:szCs w:val="32"/>
        </w:rPr>
        <w:t>采购合同</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名称</w:t>
            </w:r>
          </w:p>
        </w:tc>
        <w:tc>
          <w:tcPr>
            <w:tcW w:w="2529"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数量</w:t>
            </w:r>
          </w:p>
        </w:tc>
        <w:tc>
          <w:tcPr>
            <w:tcW w:w="1298" w:type="dxa"/>
            <w:gridSpan w:val="2"/>
            <w:vAlign w:val="center"/>
          </w:tcPr>
          <w:p>
            <w:pPr>
              <w:spacing w:line="240" w:lineRule="atLeast"/>
              <w:jc w:val="center"/>
              <w:rPr>
                <w:rFonts w:ascii="仿宋" w:hAnsi="仿宋" w:eastAsia="仿宋"/>
                <w:sz w:val="24"/>
                <w:szCs w:val="24"/>
              </w:rPr>
            </w:pPr>
            <w:r>
              <w:rPr>
                <w:rFonts w:hint="eastAsia" w:ascii="仿宋" w:hAnsi="仿宋" w:eastAsia="仿宋"/>
                <w:sz w:val="24"/>
                <w:szCs w:val="24"/>
              </w:rPr>
              <w:t>综合单价</w:t>
            </w:r>
          </w:p>
        </w:tc>
        <w:tc>
          <w:tcPr>
            <w:tcW w:w="1134"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总价</w:t>
            </w:r>
          </w:p>
        </w:tc>
        <w:tc>
          <w:tcPr>
            <w:tcW w:w="1559"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服务时间</w:t>
            </w:r>
          </w:p>
        </w:tc>
        <w:tc>
          <w:tcPr>
            <w:tcW w:w="1567" w:type="dxa"/>
            <w:vAlign w:val="center"/>
          </w:tcPr>
          <w:p>
            <w:pPr>
              <w:spacing w:line="240" w:lineRule="atLeast"/>
              <w:jc w:val="center"/>
              <w:rPr>
                <w:rFonts w:ascii="仿宋" w:hAnsi="仿宋" w:eastAsia="仿宋"/>
                <w:sz w:val="24"/>
                <w:szCs w:val="24"/>
              </w:rPr>
            </w:pPr>
            <w:r>
              <w:rPr>
                <w:rFonts w:hint="eastAsia" w:ascii="仿宋" w:hAnsi="仿宋" w:eastAsia="仿宋"/>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pPr>
              <w:spacing w:line="240" w:lineRule="atLeast"/>
              <w:jc w:val="center"/>
              <w:rPr>
                <w:rFonts w:ascii="仿宋" w:hAnsi="仿宋" w:eastAsia="仿宋"/>
                <w:sz w:val="24"/>
                <w:szCs w:val="24"/>
              </w:rPr>
            </w:pPr>
          </w:p>
        </w:tc>
        <w:tc>
          <w:tcPr>
            <w:tcW w:w="2529" w:type="dxa"/>
            <w:vAlign w:val="center"/>
          </w:tcPr>
          <w:p>
            <w:pPr>
              <w:spacing w:line="240" w:lineRule="atLeast"/>
              <w:jc w:val="center"/>
              <w:rPr>
                <w:rFonts w:ascii="仿宋" w:hAnsi="仿宋" w:eastAsia="仿宋"/>
                <w:sz w:val="24"/>
                <w:szCs w:val="24"/>
              </w:rPr>
            </w:pPr>
          </w:p>
        </w:tc>
        <w:tc>
          <w:tcPr>
            <w:tcW w:w="1298" w:type="dxa"/>
            <w:gridSpan w:val="2"/>
            <w:vAlign w:val="center"/>
          </w:tcPr>
          <w:p>
            <w:pPr>
              <w:spacing w:line="240" w:lineRule="atLeast"/>
              <w:jc w:val="center"/>
              <w:rPr>
                <w:rFonts w:ascii="仿宋" w:hAnsi="仿宋" w:eastAsia="仿宋"/>
                <w:sz w:val="24"/>
                <w:szCs w:val="24"/>
              </w:rPr>
            </w:pPr>
          </w:p>
        </w:tc>
        <w:tc>
          <w:tcPr>
            <w:tcW w:w="1134" w:type="dxa"/>
            <w:vAlign w:val="center"/>
          </w:tcPr>
          <w:p>
            <w:pPr>
              <w:spacing w:line="240" w:lineRule="atLeast"/>
              <w:jc w:val="center"/>
              <w:rPr>
                <w:rFonts w:ascii="仿宋" w:hAnsi="仿宋" w:eastAsia="仿宋"/>
                <w:sz w:val="24"/>
                <w:szCs w:val="24"/>
              </w:rPr>
            </w:pPr>
          </w:p>
        </w:tc>
        <w:tc>
          <w:tcPr>
            <w:tcW w:w="1559" w:type="dxa"/>
            <w:vAlign w:val="center"/>
          </w:tcPr>
          <w:p>
            <w:pPr>
              <w:spacing w:line="240" w:lineRule="atLeast"/>
              <w:jc w:val="center"/>
              <w:rPr>
                <w:rFonts w:ascii="仿宋" w:hAnsi="仿宋" w:eastAsia="仿宋"/>
                <w:sz w:val="24"/>
                <w:szCs w:val="24"/>
              </w:rPr>
            </w:pPr>
          </w:p>
        </w:tc>
        <w:tc>
          <w:tcPr>
            <w:tcW w:w="1567" w:type="dxa"/>
            <w:vAlign w:val="center"/>
          </w:tcPr>
          <w:p>
            <w:pPr>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rPr>
                <w:rFonts w:ascii="仿宋" w:hAnsi="仿宋" w:eastAsia="仿宋"/>
                <w:sz w:val="24"/>
                <w:szCs w:val="24"/>
              </w:rPr>
            </w:pPr>
            <w:r>
              <w:rPr>
                <w:rFonts w:hint="eastAsia" w:ascii="仿宋" w:hAnsi="仿宋" w:eastAsia="仿宋"/>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240" w:lineRule="atLeast"/>
              <w:rPr>
                <w:rFonts w:ascii="仿宋" w:hAnsi="仿宋" w:eastAsia="仿宋"/>
                <w:sz w:val="24"/>
                <w:szCs w:val="24"/>
              </w:rPr>
            </w:pPr>
            <w:r>
              <w:rPr>
                <w:rFonts w:hint="eastAsia" w:ascii="仿宋" w:hAnsi="仿宋" w:eastAsia="仿宋"/>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240" w:lineRule="atLeast"/>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质量要求和技术标准。供方须根据需方要求及本招标文件规定的国家相关标准进行服务，服务承诺如下：</w:t>
            </w:r>
          </w:p>
          <w:p>
            <w:pPr>
              <w:snapToGrid w:val="0"/>
              <w:spacing w:line="400" w:lineRule="exact"/>
              <w:jc w:val="left"/>
              <w:rPr>
                <w:rFonts w:ascii="仿宋" w:hAnsi="仿宋" w:eastAsia="仿宋"/>
                <w:sz w:val="24"/>
                <w:szCs w:val="24"/>
              </w:rPr>
            </w:pPr>
            <w:r>
              <w:rPr>
                <w:rFonts w:hint="eastAsia" w:ascii="仿宋" w:hAnsi="仿宋" w:eastAsia="仿宋"/>
                <w:sz w:val="24"/>
                <w:szCs w:val="24"/>
              </w:rPr>
              <w:t>（一）质量要求</w:t>
            </w:r>
          </w:p>
          <w:p>
            <w:pPr>
              <w:snapToGrid w:val="0"/>
              <w:spacing w:line="400" w:lineRule="exact"/>
              <w:jc w:val="left"/>
              <w:rPr>
                <w:rFonts w:ascii="仿宋" w:hAnsi="仿宋" w:eastAsia="仿宋"/>
                <w:sz w:val="24"/>
                <w:szCs w:val="24"/>
              </w:rPr>
            </w:pPr>
            <w:r>
              <w:rPr>
                <w:rFonts w:hint="eastAsia" w:ascii="仿宋" w:hAnsi="仿宋" w:eastAsia="仿宋"/>
                <w:sz w:val="24"/>
                <w:szCs w:val="24"/>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pPr>
              <w:spacing w:line="240" w:lineRule="atLeast"/>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执行标准：</w:t>
            </w:r>
          </w:p>
          <w:p>
            <w:pPr>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三、</w:t>
            </w:r>
            <w:r>
              <w:rPr>
                <w:rFonts w:hint="eastAsia" w:ascii="仿宋" w:hAnsi="仿宋" w:eastAsia="仿宋"/>
                <w:sz w:val="24"/>
                <w:szCs w:val="24"/>
              </w:rPr>
              <w:t>验收标准</w:t>
            </w:r>
            <w:r>
              <w:rPr>
                <w:rFonts w:hint="eastAsia" w:ascii="仿宋" w:hAnsi="仿宋" w:eastAsia="仿宋"/>
                <w:sz w:val="24"/>
                <w:szCs w:val="24"/>
                <w:lang w:eastAsia="zh-CN"/>
              </w:rPr>
              <w:t>、</w:t>
            </w:r>
            <w:r>
              <w:rPr>
                <w:rFonts w:hint="eastAsia" w:ascii="仿宋" w:hAnsi="仿宋" w:eastAsia="仿宋"/>
                <w:sz w:val="24"/>
                <w:szCs w:val="24"/>
              </w:rPr>
              <w:t>方法：</w:t>
            </w:r>
          </w:p>
          <w:p>
            <w:pPr>
              <w:spacing w:line="240" w:lineRule="atLeast"/>
              <w:rPr>
                <w:rFonts w:ascii="仿宋" w:hAnsi="仿宋" w:eastAsia="仿宋"/>
                <w:sz w:val="24"/>
                <w:szCs w:val="24"/>
              </w:rPr>
            </w:pPr>
            <w:r>
              <w:rPr>
                <w:rFonts w:hint="eastAsia" w:ascii="仿宋" w:hAnsi="仿宋" w:eastAsia="仿宋"/>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付款方式：</w:t>
            </w:r>
          </w:p>
          <w:p>
            <w:pPr>
              <w:pStyle w:val="35"/>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违约责任：</w:t>
            </w:r>
          </w:p>
          <w:p>
            <w:pPr>
              <w:spacing w:line="240" w:lineRule="atLeas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lang w:eastAsia="zh-CN"/>
              </w:rPr>
              <w:t>六、</w:t>
            </w:r>
            <w:r>
              <w:rPr>
                <w:rFonts w:hint="eastAsia" w:ascii="仿宋" w:hAnsi="仿宋" w:eastAsia="仿宋"/>
                <w:sz w:val="24"/>
                <w:szCs w:val="24"/>
              </w:rPr>
              <w:t>其他约定事项：</w:t>
            </w:r>
          </w:p>
          <w:p>
            <w:pPr>
              <w:spacing w:line="240" w:lineRule="atLeast"/>
              <w:rPr>
                <w:rFonts w:ascii="仿宋" w:hAnsi="仿宋" w:eastAsia="仿宋"/>
                <w:sz w:val="24"/>
                <w:szCs w:val="24"/>
              </w:rPr>
            </w:pPr>
            <w:r>
              <w:rPr>
                <w:rFonts w:hint="eastAsia" w:ascii="仿宋" w:hAnsi="仿宋" w:eastAsia="仿宋"/>
                <w:sz w:val="24"/>
                <w:szCs w:val="24"/>
              </w:rPr>
              <w:t>1.招标文件及其补遗文件</w:t>
            </w:r>
            <w:r>
              <w:rPr>
                <w:rFonts w:hint="eastAsia" w:ascii="仿宋" w:hAnsi="仿宋" w:eastAsia="仿宋"/>
                <w:sz w:val="24"/>
                <w:szCs w:val="24"/>
                <w:lang w:eastAsia="zh-CN"/>
              </w:rPr>
              <w:t>、</w:t>
            </w:r>
            <w:r>
              <w:rPr>
                <w:rFonts w:hint="eastAsia" w:ascii="仿宋" w:hAnsi="仿宋" w:eastAsia="仿宋"/>
                <w:sz w:val="24"/>
                <w:szCs w:val="24"/>
              </w:rPr>
              <w:t>投标文件和承诺是本合同不可分割的部分。</w:t>
            </w:r>
          </w:p>
          <w:p>
            <w:pPr>
              <w:spacing w:line="240" w:lineRule="atLeast"/>
              <w:rPr>
                <w:rFonts w:ascii="仿宋" w:hAnsi="仿宋" w:eastAsia="仿宋"/>
                <w:sz w:val="24"/>
                <w:szCs w:val="24"/>
              </w:rPr>
            </w:pPr>
            <w:r>
              <w:rPr>
                <w:rFonts w:hint="eastAsia" w:ascii="仿宋" w:hAnsi="仿宋" w:eastAsia="仿宋"/>
                <w:sz w:val="24"/>
                <w:szCs w:val="24"/>
              </w:rPr>
              <w:t>2.本合同如发生争议由双方协商解决，协商不成向需方所在人民法院提请诉讼。</w:t>
            </w:r>
          </w:p>
          <w:p>
            <w:pPr>
              <w:spacing w:line="240" w:lineRule="atLeast"/>
              <w:rPr>
                <w:rFonts w:ascii="仿宋" w:hAnsi="仿宋" w:eastAsia="仿宋"/>
                <w:sz w:val="24"/>
                <w:szCs w:val="24"/>
              </w:rPr>
            </w:pPr>
            <w:r>
              <w:rPr>
                <w:rFonts w:hint="eastAsia" w:ascii="仿宋" w:hAnsi="仿宋" w:eastAsia="仿宋"/>
                <w:sz w:val="24"/>
                <w:szCs w:val="24"/>
              </w:rPr>
              <w:t>3.本合同一式_</w:t>
            </w:r>
            <w:r>
              <w:rPr>
                <w:rFonts w:hint="eastAsia" w:ascii="仿宋" w:hAnsi="仿宋" w:eastAsia="仿宋"/>
                <w:sz w:val="24"/>
                <w:szCs w:val="24"/>
                <w:lang w:val="en-US" w:eastAsia="zh-CN"/>
              </w:rPr>
              <w:t>肆</w:t>
            </w:r>
            <w:r>
              <w:rPr>
                <w:rFonts w:hint="eastAsia" w:ascii="仿宋" w:hAnsi="仿宋" w:eastAsia="仿宋"/>
                <w:sz w:val="24"/>
                <w:szCs w:val="24"/>
              </w:rPr>
              <w:t>_份，需方_</w:t>
            </w:r>
            <w:r>
              <w:rPr>
                <w:rFonts w:hint="eastAsia" w:ascii="仿宋" w:hAnsi="仿宋" w:eastAsia="仿宋"/>
                <w:sz w:val="24"/>
                <w:szCs w:val="24"/>
                <w:lang w:val="en-US" w:eastAsia="zh-CN"/>
              </w:rPr>
              <w:t>叁</w:t>
            </w:r>
            <w:r>
              <w:rPr>
                <w:rFonts w:hint="eastAsia" w:ascii="仿宋" w:hAnsi="仿宋" w:eastAsia="仿宋"/>
                <w:sz w:val="24"/>
                <w:szCs w:val="24"/>
              </w:rPr>
              <w:t>_份，供方__份，具备同等法律效力。</w:t>
            </w:r>
          </w:p>
          <w:p>
            <w:pPr>
              <w:spacing w:line="240" w:lineRule="atLeast"/>
              <w:rPr>
                <w:rFonts w:ascii="仿宋" w:hAnsi="仿宋" w:eastAsia="仿宋"/>
                <w:sz w:val="24"/>
                <w:szCs w:val="24"/>
              </w:rPr>
            </w:pPr>
            <w:r>
              <w:rPr>
                <w:rFonts w:hint="eastAsia" w:ascii="仿宋" w:hAnsi="仿宋" w:eastAsia="仿宋"/>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240" w:lineRule="atLeast"/>
              <w:rPr>
                <w:rFonts w:hint="default" w:ascii="仿宋" w:hAnsi="仿宋" w:eastAsia="仿宋"/>
                <w:sz w:val="24"/>
                <w:szCs w:val="24"/>
                <w:lang w:val="en-US" w:eastAsia="zh-CN"/>
              </w:rPr>
            </w:pPr>
            <w:r>
              <w:rPr>
                <w:rFonts w:hint="eastAsia" w:ascii="仿宋" w:hAnsi="仿宋" w:eastAsia="仿宋"/>
                <w:sz w:val="24"/>
                <w:szCs w:val="24"/>
              </w:rPr>
              <w:t>需方：</w:t>
            </w:r>
            <w:r>
              <w:rPr>
                <w:rFonts w:hint="eastAsia" w:ascii="仿宋" w:hAnsi="仿宋" w:eastAsia="仿宋"/>
                <w:sz w:val="24"/>
                <w:szCs w:val="24"/>
                <w:lang w:val="en-US" w:eastAsia="zh-CN"/>
              </w:rPr>
              <w:t>重庆市沙坪坝区土主社区卫生服务中心</w:t>
            </w:r>
          </w:p>
          <w:p>
            <w:pPr>
              <w:spacing w:line="240" w:lineRule="atLeast"/>
              <w:rPr>
                <w:rFonts w:hint="default" w:ascii="仿宋" w:hAnsi="仿宋" w:eastAsia="仿宋"/>
                <w:sz w:val="24"/>
                <w:szCs w:val="24"/>
                <w:lang w:val="en-US"/>
              </w:rPr>
            </w:pPr>
            <w:r>
              <w:rPr>
                <w:rFonts w:hint="eastAsia" w:ascii="仿宋" w:hAnsi="仿宋" w:eastAsia="仿宋"/>
                <w:sz w:val="24"/>
                <w:szCs w:val="24"/>
              </w:rPr>
              <w:t>地址：</w:t>
            </w:r>
            <w:r>
              <w:rPr>
                <w:rFonts w:hint="eastAsia" w:ascii="仿宋" w:hAnsi="仿宋" w:eastAsia="仿宋"/>
                <w:sz w:val="24"/>
                <w:szCs w:val="24"/>
                <w:lang w:val="en-US" w:eastAsia="zh-CN"/>
              </w:rPr>
              <w:t>重庆市沙坪坝区土主正街58号</w:t>
            </w:r>
          </w:p>
          <w:p>
            <w:pPr>
              <w:spacing w:line="240" w:lineRule="atLeast"/>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65017981</w:t>
            </w:r>
          </w:p>
          <w:p>
            <w:pPr>
              <w:spacing w:line="240" w:lineRule="atLeast"/>
              <w:rPr>
                <w:rFonts w:ascii="仿宋" w:hAnsi="仿宋" w:eastAsia="仿宋"/>
                <w:sz w:val="24"/>
                <w:szCs w:val="24"/>
              </w:rPr>
            </w:pPr>
            <w:r>
              <w:rPr>
                <w:rFonts w:hint="eastAsia" w:ascii="仿宋" w:hAnsi="仿宋" w:eastAsia="仿宋"/>
                <w:sz w:val="24"/>
                <w:szCs w:val="24"/>
                <w:lang w:val="en-US" w:eastAsia="zh-CN"/>
              </w:rPr>
              <w:t>法人/</w:t>
            </w:r>
            <w:r>
              <w:rPr>
                <w:rFonts w:hint="eastAsia" w:ascii="仿宋" w:hAnsi="仿宋" w:eastAsia="仿宋"/>
                <w:sz w:val="24"/>
                <w:szCs w:val="24"/>
              </w:rPr>
              <w:t>授权代表：</w:t>
            </w:r>
          </w:p>
        </w:tc>
        <w:tc>
          <w:tcPr>
            <w:tcW w:w="5125" w:type="dxa"/>
            <w:gridSpan w:val="5"/>
          </w:tcPr>
          <w:p>
            <w:pPr>
              <w:spacing w:line="240" w:lineRule="atLeast"/>
              <w:rPr>
                <w:rFonts w:ascii="仿宋" w:hAnsi="仿宋" w:eastAsia="仿宋"/>
                <w:sz w:val="24"/>
                <w:szCs w:val="24"/>
              </w:rPr>
            </w:pPr>
            <w:r>
              <w:rPr>
                <w:rFonts w:hint="eastAsia" w:ascii="仿宋" w:hAnsi="仿宋" w:eastAsia="仿宋"/>
                <w:sz w:val="24"/>
                <w:szCs w:val="24"/>
              </w:rPr>
              <w:t>供方：</w:t>
            </w:r>
          </w:p>
          <w:p>
            <w:pPr>
              <w:spacing w:line="240" w:lineRule="atLeast"/>
              <w:rPr>
                <w:rFonts w:ascii="仿宋" w:hAnsi="仿宋" w:eastAsia="仿宋"/>
                <w:sz w:val="24"/>
                <w:szCs w:val="24"/>
              </w:rPr>
            </w:pPr>
            <w:r>
              <w:rPr>
                <w:rFonts w:hint="eastAsia" w:ascii="仿宋" w:hAnsi="仿宋" w:eastAsia="仿宋"/>
                <w:sz w:val="24"/>
                <w:szCs w:val="24"/>
              </w:rPr>
              <w:t>地址：</w:t>
            </w:r>
          </w:p>
          <w:p>
            <w:pPr>
              <w:spacing w:line="240" w:lineRule="atLeast"/>
              <w:rPr>
                <w:rFonts w:ascii="仿宋" w:hAnsi="仿宋" w:eastAsia="仿宋"/>
                <w:sz w:val="24"/>
                <w:szCs w:val="24"/>
              </w:rPr>
            </w:pPr>
            <w:r>
              <w:rPr>
                <w:rFonts w:hint="eastAsia" w:ascii="仿宋" w:hAnsi="仿宋" w:eastAsia="仿宋"/>
                <w:sz w:val="24"/>
                <w:szCs w:val="24"/>
              </w:rPr>
              <w:t>电话：</w:t>
            </w:r>
          </w:p>
          <w:p>
            <w:pPr>
              <w:spacing w:line="240" w:lineRule="atLeast"/>
              <w:rPr>
                <w:rFonts w:ascii="仿宋" w:hAnsi="仿宋" w:eastAsia="仿宋"/>
                <w:sz w:val="24"/>
                <w:szCs w:val="24"/>
              </w:rPr>
            </w:pPr>
            <w:r>
              <w:rPr>
                <w:rFonts w:hint="eastAsia" w:ascii="仿宋" w:hAnsi="仿宋" w:eastAsia="仿宋"/>
                <w:sz w:val="24"/>
                <w:szCs w:val="24"/>
              </w:rPr>
              <w:t>传真：</w:t>
            </w:r>
          </w:p>
          <w:p>
            <w:pPr>
              <w:spacing w:line="240" w:lineRule="atLeast"/>
              <w:rPr>
                <w:rFonts w:ascii="仿宋" w:hAnsi="仿宋" w:eastAsia="仿宋"/>
                <w:sz w:val="24"/>
                <w:szCs w:val="24"/>
              </w:rPr>
            </w:pPr>
            <w:r>
              <w:rPr>
                <w:rFonts w:hint="eastAsia" w:ascii="仿宋" w:hAnsi="仿宋" w:eastAsia="仿宋"/>
                <w:sz w:val="24"/>
                <w:szCs w:val="24"/>
              </w:rPr>
              <w:t>开户银行：</w:t>
            </w:r>
          </w:p>
          <w:p>
            <w:pPr>
              <w:spacing w:line="240" w:lineRule="atLeast"/>
              <w:rPr>
                <w:rFonts w:ascii="仿宋" w:hAnsi="仿宋" w:eastAsia="仿宋"/>
                <w:sz w:val="24"/>
                <w:szCs w:val="24"/>
              </w:rPr>
            </w:pPr>
            <w:r>
              <w:rPr>
                <w:rFonts w:hint="eastAsia" w:ascii="仿宋" w:hAnsi="仿宋" w:eastAsia="仿宋"/>
                <w:sz w:val="24"/>
                <w:szCs w:val="24"/>
              </w:rPr>
              <w:t>账号：</w:t>
            </w:r>
          </w:p>
          <w:p>
            <w:pPr>
              <w:spacing w:line="240" w:lineRule="atLeast"/>
              <w:rPr>
                <w:rFonts w:ascii="仿宋" w:hAnsi="仿宋" w:eastAsia="仿宋"/>
                <w:sz w:val="24"/>
                <w:szCs w:val="24"/>
              </w:rPr>
            </w:pPr>
            <w:r>
              <w:rPr>
                <w:rFonts w:hint="eastAsia" w:ascii="仿宋" w:hAnsi="仿宋" w:eastAsia="仿宋"/>
                <w:sz w:val="24"/>
                <w:szCs w:val="24"/>
                <w:lang w:val="en-US" w:eastAsia="zh-CN"/>
              </w:rPr>
              <w:t>法人/</w:t>
            </w:r>
            <w:r>
              <w:rPr>
                <w:rFonts w:hint="eastAsia" w:ascii="仿宋" w:hAnsi="仿宋" w:eastAsia="仿宋"/>
                <w:sz w:val="24"/>
                <w:szCs w:val="24"/>
              </w:rPr>
              <w:t>授权代表：</w:t>
            </w:r>
          </w:p>
          <w:p>
            <w:pPr>
              <w:widowControl/>
              <w:spacing w:line="240" w:lineRule="atLeas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240" w:lineRule="atLeast"/>
              <w:rPr>
                <w:rFonts w:ascii="仿宋" w:hAnsi="仿宋" w:eastAsia="仿宋"/>
                <w:sz w:val="24"/>
                <w:szCs w:val="24"/>
              </w:rPr>
            </w:pPr>
            <w:r>
              <w:rPr>
                <w:rFonts w:hint="eastAsia" w:ascii="仿宋" w:hAnsi="仿宋" w:eastAsia="仿宋"/>
                <w:sz w:val="24"/>
                <w:szCs w:val="24"/>
              </w:rPr>
              <w:t>备注：</w:t>
            </w:r>
          </w:p>
          <w:p>
            <w:pPr>
              <w:spacing w:line="240" w:lineRule="atLeast"/>
              <w:rPr>
                <w:rFonts w:ascii="仿宋" w:hAnsi="仿宋" w:eastAsia="仿宋"/>
                <w:sz w:val="24"/>
                <w:szCs w:val="24"/>
              </w:rPr>
            </w:pPr>
          </w:p>
          <w:p>
            <w:pPr>
              <w:spacing w:line="240" w:lineRule="atLeast"/>
              <w:rPr>
                <w:rFonts w:ascii="仿宋" w:hAnsi="仿宋" w:eastAsia="仿宋"/>
                <w:sz w:val="24"/>
                <w:szCs w:val="24"/>
              </w:rPr>
            </w:pPr>
          </w:p>
        </w:tc>
      </w:tr>
    </w:tbl>
    <w:p>
      <w:pPr>
        <w:spacing w:line="500" w:lineRule="exact"/>
        <w:ind w:firstLine="480" w:firstLineChars="200"/>
        <w:rPr>
          <w:rFonts w:ascii="仿宋" w:hAnsi="仿宋" w:eastAsia="仿宋" w:cs="仿宋"/>
          <w:sz w:val="24"/>
        </w:rPr>
      </w:pPr>
      <w:r>
        <w:rPr>
          <w:rFonts w:hint="eastAsia" w:ascii="仿宋" w:hAnsi="仿宋" w:eastAsia="仿宋" w:cs="仿宋"/>
          <w:sz w:val="24"/>
        </w:rPr>
        <w:t>签约时间：</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                                  签约地点：</w:t>
      </w:r>
    </w:p>
    <w:p/>
    <w:p/>
    <w:p>
      <w:pPr>
        <w:tabs>
          <w:tab w:val="center" w:pos="4706"/>
        </w:tabs>
        <w:jc w:val="left"/>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rPr>
        <w:tab/>
      </w:r>
    </w:p>
    <w:p>
      <w:pPr>
        <w:pStyle w:val="6"/>
        <w:spacing w:before="0" w:after="0" w:line="360" w:lineRule="auto"/>
        <w:jc w:val="center"/>
        <w:rPr>
          <w:rFonts w:ascii="仿宋" w:hAnsi="仿宋" w:eastAsia="仿宋"/>
          <w:bCs/>
          <w:sz w:val="36"/>
          <w:szCs w:val="30"/>
        </w:rPr>
      </w:pPr>
      <w:bookmarkStart w:id="111" w:name="_Toc26013"/>
      <w:r>
        <w:rPr>
          <w:rFonts w:hint="eastAsia" w:ascii="仿宋" w:hAnsi="仿宋" w:eastAsia="仿宋"/>
          <w:bCs/>
          <w:sz w:val="36"/>
          <w:szCs w:val="30"/>
        </w:rPr>
        <w:t>第七篇  响应文件编制要求</w:t>
      </w:r>
      <w:bookmarkEnd w:id="110"/>
      <w:bookmarkEnd w:id="111"/>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经济部分</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（一）网上竞采报价函</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（二）分项报价明细表</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技术</w:t>
      </w:r>
      <w:r>
        <w:rPr>
          <w:rFonts w:hint="eastAsia" w:ascii="仿宋" w:hAnsi="仿宋" w:eastAsia="仿宋"/>
          <w:sz w:val="24"/>
          <w:szCs w:val="24"/>
          <w:lang w:val="en-US" w:eastAsia="zh-CN"/>
        </w:rPr>
        <w:t>及商务</w:t>
      </w:r>
      <w:r>
        <w:rPr>
          <w:rFonts w:hint="eastAsia" w:ascii="仿宋" w:hAnsi="仿宋" w:eastAsia="仿宋"/>
          <w:sz w:val="24"/>
          <w:szCs w:val="24"/>
        </w:rPr>
        <w:t>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一</w:t>
      </w:r>
      <w:r>
        <w:rPr>
          <w:rFonts w:hint="eastAsia" w:ascii="仿宋" w:hAnsi="仿宋" w:eastAsia="仿宋"/>
          <w:sz w:val="24"/>
          <w:szCs w:val="24"/>
        </w:rPr>
        <w:t>）投标人技术及商务条款应答承诺书</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四、</w:t>
      </w:r>
      <w:r>
        <w:rPr>
          <w:rFonts w:hint="eastAsia" w:ascii="仿宋" w:hAnsi="仿宋" w:eastAsia="仿宋"/>
          <w:sz w:val="24"/>
          <w:szCs w:val="24"/>
        </w:rPr>
        <w:t>资格条件及其他</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（四）基本资格条件承诺函（格式）</w:t>
      </w:r>
    </w:p>
    <w:p>
      <w:pPr>
        <w:spacing w:line="440" w:lineRule="exact"/>
        <w:ind w:firstLine="480" w:firstLineChars="200"/>
        <w:rPr>
          <w:rFonts w:ascii="仿宋" w:hAnsi="仿宋" w:eastAsia="仿宋"/>
          <w:sz w:val="24"/>
          <w:szCs w:val="24"/>
        </w:rPr>
      </w:pPr>
      <w:r>
        <w:rPr>
          <w:rFonts w:hint="eastAsia" w:ascii="仿宋" w:hAnsi="仿宋" w:eastAsia="仿宋"/>
          <w:sz w:val="24"/>
          <w:szCs w:val="24"/>
          <w:lang w:eastAsia="zh-CN"/>
        </w:rPr>
        <w:t>五、</w:t>
      </w:r>
      <w:r>
        <w:rPr>
          <w:rFonts w:hint="eastAsia" w:ascii="仿宋" w:hAnsi="仿宋" w:eastAsia="仿宋"/>
          <w:sz w:val="24"/>
          <w:szCs w:val="24"/>
        </w:rPr>
        <w:t>其他应提供的资料</w:t>
      </w:r>
    </w:p>
    <w:p>
      <w:pPr>
        <w:snapToGrid w:val="0"/>
        <w:spacing w:line="400" w:lineRule="exact"/>
        <w:ind w:firstLine="480" w:firstLineChars="200"/>
        <w:rPr>
          <w:rFonts w:ascii="仿宋" w:hAnsi="仿宋" w:eastAsia="仿宋"/>
          <w:sz w:val="24"/>
          <w:szCs w:val="24"/>
        </w:rPr>
      </w:pPr>
      <w:bookmarkStart w:id="112" w:name="_Toc313008356"/>
      <w:bookmarkStart w:id="113" w:name="_Toc313888360"/>
      <w:bookmarkStart w:id="114" w:name="_Toc342913419"/>
      <w:bookmarkStart w:id="115" w:name="_Toc283382454"/>
      <w:bookmarkStart w:id="116" w:name="_Toc12789073"/>
      <w:r>
        <w:rPr>
          <w:rFonts w:hint="eastAsia" w:ascii="仿宋" w:hAnsi="仿宋" w:eastAsia="仿宋"/>
          <w:sz w:val="24"/>
          <w:szCs w:val="24"/>
        </w:rPr>
        <w:t>其他与项目有关的资料（自附）</w:t>
      </w:r>
    </w:p>
    <w:p>
      <w:pPr>
        <w:snapToGrid w:val="0"/>
        <w:spacing w:line="360" w:lineRule="auto"/>
        <w:rPr>
          <w:rFonts w:ascii="仿宋" w:hAnsi="仿宋" w:eastAsia="仿宋"/>
          <w:sz w:val="24"/>
          <w:szCs w:val="24"/>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bookmarkStart w:id="117" w:name="_Toc25359"/>
      <w:r>
        <w:rPr>
          <w:rFonts w:hint="eastAsia"/>
          <w:lang w:eastAsia="zh-CN"/>
        </w:rPr>
        <w:t>一、</w:t>
      </w:r>
      <w:r>
        <w:rPr>
          <w:rFonts w:hint="eastAsia"/>
        </w:rPr>
        <w:t>经济部分</w:t>
      </w:r>
      <w:bookmarkEnd w:id="112"/>
      <w:bookmarkEnd w:id="113"/>
      <w:bookmarkEnd w:id="114"/>
      <w:bookmarkEnd w:id="117"/>
    </w:p>
    <w:bookmarkEnd w:id="115"/>
    <w:bookmarkEnd w:id="116"/>
    <w:p>
      <w:r>
        <w:rPr>
          <w:rFonts w:hint="eastAsia"/>
        </w:rPr>
        <w:t>（一）网上竞采报价函</w:t>
      </w:r>
    </w:p>
    <w:p>
      <w:pPr>
        <w:jc w:val="center"/>
      </w:pPr>
      <w:r>
        <w:rPr>
          <w:rFonts w:hint="eastAsia"/>
        </w:rPr>
        <w:t>网上竞采报价函</w:t>
      </w:r>
    </w:p>
    <w:p>
      <w:pPr>
        <w:tabs>
          <w:tab w:val="left" w:pos="6300"/>
        </w:tabs>
        <w:snapToGrid w:val="0"/>
        <w:spacing w:line="312" w:lineRule="auto"/>
        <w:rPr>
          <w:rFonts w:ascii="仿宋" w:hAnsi="仿宋" w:eastAsia="仿宋"/>
          <w:sz w:val="24"/>
          <w:szCs w:val="24"/>
        </w:rPr>
      </w:pPr>
      <w:r>
        <w:rPr>
          <w:rFonts w:hint="eastAsia" w:ascii="仿宋" w:hAnsi="仿宋" w:eastAsia="仿宋"/>
          <w:sz w:val="24"/>
          <w:szCs w:val="24"/>
          <w:u w:val="single"/>
        </w:rPr>
        <w:t>（采购</w:t>
      </w:r>
      <w:r>
        <w:rPr>
          <w:rFonts w:hint="eastAsia" w:ascii="仿宋" w:hAnsi="仿宋" w:eastAsia="仿宋"/>
          <w:sz w:val="24"/>
          <w:szCs w:val="24"/>
          <w:u w:val="single"/>
          <w:lang w:val="en-US" w:eastAsia="zh-CN"/>
        </w:rPr>
        <w:t>机构或</w:t>
      </w:r>
      <w:r>
        <w:rPr>
          <w:rFonts w:hint="eastAsia" w:ascii="仿宋" w:hAnsi="仿宋" w:eastAsia="仿宋"/>
          <w:sz w:val="24"/>
          <w:szCs w:val="24"/>
          <w:u w:val="single"/>
        </w:rPr>
        <w:t>代理机构名称）</w:t>
      </w:r>
      <w:r>
        <w:rPr>
          <w:rFonts w:hint="eastAsia" w:ascii="仿宋" w:hAnsi="仿宋" w:eastAsia="仿宋"/>
          <w:sz w:val="24"/>
          <w:szCs w:val="24"/>
        </w:rPr>
        <w:t>：</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我方收到____________________________（项目名称）的网上竞采文件，经详细研究，决定参加该项目的网上竞采。</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1.愿意按照网上竞采文件中的一切要求，提供本项目采购内容及相关服务，竞采报价为人民币大写：</w:t>
      </w:r>
      <w:r>
        <w:rPr>
          <w:rFonts w:hint="eastAsia" w:ascii="仿宋" w:hAnsi="仿宋" w:eastAsia="仿宋"/>
          <w:sz w:val="24"/>
          <w:szCs w:val="24"/>
          <w:u w:val="single"/>
        </w:rPr>
        <w:t xml:space="preserve">          </w:t>
      </w:r>
      <w:r>
        <w:rPr>
          <w:rFonts w:hint="eastAsia" w:ascii="仿宋" w:hAnsi="仿宋" w:eastAsia="仿宋"/>
          <w:sz w:val="24"/>
          <w:szCs w:val="24"/>
        </w:rPr>
        <w:t>，人民币小写：</w:t>
      </w:r>
      <w:r>
        <w:rPr>
          <w:rFonts w:hint="eastAsia" w:ascii="仿宋" w:hAnsi="仿宋" w:eastAsia="仿宋"/>
          <w:sz w:val="24"/>
          <w:szCs w:val="24"/>
          <w:u w:val="single"/>
        </w:rPr>
        <w:t xml:space="preserve">          </w:t>
      </w:r>
      <w:r>
        <w:rPr>
          <w:rFonts w:hint="eastAsia" w:ascii="仿宋" w:hAnsi="仿宋" w:eastAsia="仿宋"/>
          <w:sz w:val="24"/>
          <w:szCs w:val="24"/>
        </w:rPr>
        <w:t>元。</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.我方承诺：本次网上竞采的有效期为90天。</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.我方完全理解和接受贵方网上竞采文件的一切规定和要求及评审办法。</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.在整个网上竞采过程中，我方若有违规行为，接受按照《中华人民共和国政府采购法》和</w:t>
      </w:r>
      <w:r>
        <w:rPr>
          <w:rFonts w:hint="eastAsia" w:ascii="仿宋" w:hAnsi="仿宋" w:eastAsia="仿宋"/>
          <w:sz w:val="24"/>
          <w:szCs w:val="24"/>
          <w:lang w:val="en-US" w:eastAsia="zh-CN"/>
        </w:rPr>
        <w:t>本项目竞采文件</w:t>
      </w:r>
      <w:r>
        <w:rPr>
          <w:rFonts w:hint="eastAsia" w:ascii="仿宋" w:hAnsi="仿宋" w:eastAsia="仿宋"/>
          <w:sz w:val="24"/>
          <w:szCs w:val="24"/>
        </w:rPr>
        <w:t>之规定给予惩罚。</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.我方若成为成交供应商，将按照最终网上竞采结果签订合同，并且严格履行合同义务。本承诺函将成为合同不可分割的一部分，与合同具有同等的法律效力。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.我方同意按网上竞采文件规定。如果我方成为成交供应商，保证在接到成交通知书前，向采购代理机构缴纳网上竞采文件规定的采购代理服务费。</w:t>
      </w:r>
    </w:p>
    <w:p>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8"/>
        </w:rPr>
        <w:t>我方未</w:t>
      </w:r>
      <w:r>
        <w:rPr>
          <w:rFonts w:ascii="仿宋" w:hAnsi="仿宋" w:eastAsia="仿宋"/>
          <w:sz w:val="24"/>
          <w:szCs w:val="24"/>
        </w:rPr>
        <w:t>为采购项目提供整体设计</w:t>
      </w:r>
      <w:r>
        <w:rPr>
          <w:rFonts w:hint="eastAsia" w:ascii="仿宋" w:hAnsi="仿宋" w:eastAsia="仿宋"/>
          <w:sz w:val="24"/>
          <w:szCs w:val="24"/>
          <w:lang w:eastAsia="zh-CN"/>
        </w:rPr>
        <w:t>、</w:t>
      </w:r>
      <w:r>
        <w:rPr>
          <w:rFonts w:ascii="仿宋" w:hAnsi="仿宋" w:eastAsia="仿宋"/>
          <w:sz w:val="24"/>
          <w:szCs w:val="24"/>
        </w:rPr>
        <w:t>规范编制或者项目管理</w:t>
      </w:r>
      <w:r>
        <w:rPr>
          <w:rFonts w:hint="eastAsia" w:ascii="仿宋" w:hAnsi="仿宋" w:eastAsia="仿宋"/>
          <w:sz w:val="24"/>
          <w:szCs w:val="24"/>
          <w:lang w:eastAsia="zh-CN"/>
        </w:rPr>
        <w:t>、</w:t>
      </w:r>
      <w:r>
        <w:rPr>
          <w:rFonts w:ascii="仿宋" w:hAnsi="仿宋" w:eastAsia="仿宋"/>
          <w:sz w:val="24"/>
          <w:szCs w:val="24"/>
        </w:rPr>
        <w:t>监理</w:t>
      </w:r>
      <w:r>
        <w:rPr>
          <w:rFonts w:hint="eastAsia" w:ascii="仿宋" w:hAnsi="仿宋" w:eastAsia="仿宋"/>
          <w:sz w:val="24"/>
          <w:szCs w:val="24"/>
          <w:lang w:eastAsia="zh-CN"/>
        </w:rPr>
        <w:t>、</w:t>
      </w:r>
      <w:r>
        <w:rPr>
          <w:rFonts w:ascii="仿宋" w:hAnsi="仿宋" w:eastAsia="仿宋"/>
          <w:sz w:val="24"/>
          <w:szCs w:val="24"/>
        </w:rPr>
        <w:t>检测等服务。</w:t>
      </w: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供应商（公章）：</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地址：</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电话：                                 传真：</w:t>
      </w:r>
    </w:p>
    <w:p>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联系人：</w:t>
      </w:r>
    </w:p>
    <w:p>
      <w:pPr>
        <w:snapToGrid w:val="0"/>
        <w:spacing w:line="312" w:lineRule="auto"/>
        <w:ind w:firstLine="5280" w:firstLineChars="2200"/>
        <w:rPr>
          <w:rFonts w:ascii="仿宋" w:hAnsi="仿宋" w:eastAsia="仿宋"/>
          <w:sz w:val="24"/>
          <w:szCs w:val="24"/>
        </w:rPr>
      </w:pPr>
      <w:r>
        <w:rPr>
          <w:rFonts w:hint="eastAsia" w:ascii="仿宋" w:hAnsi="仿宋" w:eastAsia="仿宋"/>
          <w:sz w:val="24"/>
          <w:szCs w:val="24"/>
        </w:rPr>
        <w:t>年月日</w:t>
      </w: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pStyle w:val="70"/>
        <w:rPr>
          <w:rFonts w:eastAsia="仿宋"/>
        </w:rPr>
      </w:pPr>
    </w:p>
    <w:p>
      <w:pPr>
        <w:snapToGrid w:val="0"/>
        <w:spacing w:line="500" w:lineRule="exact"/>
        <w:ind w:firstLine="560"/>
        <w:rPr>
          <w:rFonts w:ascii="仿宋" w:hAnsi="仿宋" w:eastAsia="仿宋"/>
          <w:b/>
          <w:szCs w:val="22"/>
        </w:rPr>
      </w:pPr>
      <w:r>
        <w:rPr>
          <w:rFonts w:hint="eastAsia" w:ascii="仿宋" w:hAnsi="仿宋" w:eastAsia="仿宋"/>
          <w:b/>
        </w:rPr>
        <w:t>（二）分项报价明细表</w:t>
      </w:r>
    </w:p>
    <w:p>
      <w:pPr>
        <w:snapToGrid w:val="0"/>
        <w:spacing w:line="500" w:lineRule="exact"/>
        <w:jc w:val="center"/>
        <w:rPr>
          <w:rFonts w:ascii="仿宋" w:hAnsi="仿宋" w:eastAsia="仿宋"/>
          <w:sz w:val="24"/>
        </w:rPr>
      </w:pPr>
      <w:r>
        <w:rPr>
          <w:rFonts w:hint="eastAsia" w:ascii="仿宋" w:hAnsi="仿宋" w:eastAsia="仿宋"/>
          <w:sz w:val="24"/>
        </w:rPr>
        <w:t>分项报价明细表</w:t>
      </w:r>
    </w:p>
    <w:p>
      <w:pPr>
        <w:snapToGrid w:val="0"/>
        <w:spacing w:line="500" w:lineRule="exact"/>
        <w:rPr>
          <w:rFonts w:ascii="仿宋" w:hAnsi="仿宋" w:eastAsia="仿宋"/>
          <w:sz w:val="24"/>
        </w:rPr>
      </w:pPr>
      <w:r>
        <w:rPr>
          <w:rFonts w:hint="eastAsia" w:ascii="仿宋" w:hAnsi="仿宋" w:eastAsia="仿宋"/>
          <w:sz w:val="24"/>
        </w:rPr>
        <w:t>项目名称：</w:t>
      </w:r>
    </w:p>
    <w:tbl>
      <w:tblPr>
        <w:tblStyle w:val="60"/>
        <w:tblW w:w="9965" w:type="dxa"/>
        <w:jc w:val="center"/>
        <w:tblLayout w:type="fixed"/>
        <w:tblCellMar>
          <w:top w:w="0" w:type="dxa"/>
          <w:left w:w="0" w:type="dxa"/>
          <w:bottom w:w="0" w:type="dxa"/>
          <w:right w:w="0" w:type="dxa"/>
        </w:tblCellMar>
      </w:tblPr>
      <w:tblGrid>
        <w:gridCol w:w="719"/>
        <w:gridCol w:w="2594"/>
        <w:gridCol w:w="3513"/>
        <w:gridCol w:w="934"/>
        <w:gridCol w:w="934"/>
        <w:gridCol w:w="1271"/>
      </w:tblGrid>
      <w:tr>
        <w:tblPrEx>
          <w:tblCellMar>
            <w:top w:w="0" w:type="dxa"/>
            <w:left w:w="0" w:type="dxa"/>
            <w:bottom w:w="0" w:type="dxa"/>
            <w:right w:w="0" w:type="dxa"/>
          </w:tblCellMar>
        </w:tblPrEx>
        <w:trPr>
          <w:trHeight w:val="535"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序号</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设备名称</w:t>
            </w: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参数明细</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4"/>
                <w:szCs w:val="24"/>
              </w:rPr>
            </w:pPr>
            <w:r>
              <w:rPr>
                <w:rFonts w:hint="eastAsia" w:ascii="仿宋" w:hAnsi="仿宋" w:eastAsia="仿宋"/>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单位</w:t>
            </w: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4"/>
                <w:szCs w:val="24"/>
                <w:lang w:eastAsia="zh-CN"/>
              </w:rPr>
            </w:pPr>
            <w:r>
              <w:rPr>
                <w:rFonts w:hint="eastAsia" w:ascii="仿宋" w:hAnsi="仿宋" w:eastAsia="仿宋"/>
                <w:bCs/>
                <w:sz w:val="24"/>
                <w:szCs w:val="24"/>
              </w:rPr>
              <w:t>单价</w:t>
            </w:r>
            <w:r>
              <w:rPr>
                <w:rFonts w:hint="eastAsia" w:ascii="仿宋" w:hAnsi="仿宋" w:eastAsia="仿宋"/>
                <w:bCs/>
                <w:sz w:val="24"/>
                <w:szCs w:val="24"/>
                <w:lang w:eastAsia="zh-CN"/>
              </w:rPr>
              <w:t>（</w:t>
            </w:r>
            <w:r>
              <w:rPr>
                <w:rFonts w:hint="eastAsia" w:ascii="仿宋" w:hAnsi="仿宋" w:eastAsia="仿宋"/>
                <w:bCs/>
                <w:sz w:val="24"/>
                <w:szCs w:val="24"/>
                <w:lang w:val="en-US" w:eastAsia="zh-CN"/>
              </w:rPr>
              <w:t>元</w:t>
            </w:r>
            <w:r>
              <w:rPr>
                <w:rFonts w:hint="eastAsia" w:ascii="仿宋" w:hAnsi="仿宋" w:eastAsia="仿宋"/>
                <w:bCs/>
                <w:sz w:val="24"/>
                <w:szCs w:val="24"/>
                <w:lang w:eastAsia="zh-CN"/>
              </w:rPr>
              <w:t>）</w:t>
            </w: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1</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both"/>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both"/>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2</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3</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4</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5</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6</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7</w:t>
            </w:r>
          </w:p>
        </w:tc>
        <w:tc>
          <w:tcPr>
            <w:tcW w:w="25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3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ascii="仿宋" w:hAnsi="仿宋" w:eastAsia="仿宋"/>
                <w:bCs/>
                <w:sz w:val="22"/>
                <w:szCs w:val="22"/>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8</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397" w:hRule="exact"/>
          <w:jc w:val="center"/>
        </w:trPr>
        <w:tc>
          <w:tcPr>
            <w:tcW w:w="7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ascii="仿宋" w:hAnsi="仿宋" w:eastAsia="仿宋"/>
                <w:bCs/>
                <w:sz w:val="22"/>
                <w:szCs w:val="22"/>
              </w:rPr>
            </w:pPr>
            <w:r>
              <w:rPr>
                <w:rFonts w:hint="eastAsia" w:ascii="仿宋" w:hAnsi="仿宋" w:eastAsia="仿宋"/>
                <w:bCs/>
                <w:sz w:val="22"/>
                <w:szCs w:val="22"/>
              </w:rPr>
              <w:t>9</w:t>
            </w:r>
          </w:p>
        </w:tc>
        <w:tc>
          <w:tcPr>
            <w:tcW w:w="61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default" w:ascii="仿宋" w:hAnsi="仿宋" w:eastAsia="仿宋"/>
                <w:bCs/>
                <w:sz w:val="22"/>
                <w:szCs w:val="22"/>
                <w:lang w:val="en-US"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eastAsia="zh-CN"/>
              </w:rPr>
            </w:pPr>
          </w:p>
        </w:tc>
        <w:tc>
          <w:tcPr>
            <w:tcW w:w="9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rFonts w:hint="eastAsia" w:ascii="仿宋" w:hAnsi="仿宋" w:eastAsia="仿宋"/>
                <w:bCs/>
                <w:sz w:val="22"/>
                <w:szCs w:val="22"/>
                <w:lang w:val="en-US" w:eastAsia="zh-CN"/>
              </w:rPr>
            </w:pPr>
          </w:p>
        </w:tc>
        <w:tc>
          <w:tcPr>
            <w:tcW w:w="1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center"/>
              <w:rPr>
                <w:rFonts w:ascii="仿宋" w:hAnsi="仿宋" w:eastAsia="仿宋"/>
                <w:bCs/>
                <w:sz w:val="22"/>
                <w:szCs w:val="22"/>
              </w:rPr>
            </w:pPr>
          </w:p>
        </w:tc>
      </w:tr>
      <w:tr>
        <w:tblPrEx>
          <w:tblCellMar>
            <w:top w:w="0" w:type="dxa"/>
            <w:left w:w="0" w:type="dxa"/>
            <w:bottom w:w="0" w:type="dxa"/>
            <w:right w:w="0" w:type="dxa"/>
          </w:tblCellMar>
        </w:tblPrEx>
        <w:trPr>
          <w:trHeight w:val="706" w:hRule="exact"/>
          <w:jc w:val="center"/>
        </w:trPr>
        <w:tc>
          <w:tcPr>
            <w:tcW w:w="331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jc w:val="center"/>
              <w:rPr>
                <w:rFonts w:hint="eastAsia" w:ascii="仿宋" w:hAnsi="仿宋" w:eastAsia="仿宋"/>
                <w:bCs/>
                <w:sz w:val="24"/>
                <w:szCs w:val="24"/>
                <w:lang w:eastAsia="zh-CN"/>
              </w:rPr>
            </w:pPr>
            <w:r>
              <w:rPr>
                <w:rFonts w:hint="eastAsia" w:ascii="仿宋" w:hAnsi="仿宋" w:eastAsia="仿宋"/>
                <w:bCs/>
                <w:sz w:val="24"/>
                <w:szCs w:val="24"/>
                <w:lang w:val="en-US" w:eastAsia="zh-CN"/>
              </w:rPr>
              <w:t xml:space="preserve"> </w:t>
            </w:r>
            <w:r>
              <w:rPr>
                <w:rFonts w:hint="eastAsia" w:ascii="仿宋" w:hAnsi="仿宋" w:eastAsia="仿宋"/>
                <w:bCs/>
                <w:sz w:val="24"/>
                <w:szCs w:val="24"/>
              </w:rPr>
              <w:t>总计</w:t>
            </w:r>
          </w:p>
        </w:tc>
        <w:tc>
          <w:tcPr>
            <w:tcW w:w="665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rFonts w:ascii="仿宋" w:hAnsi="仿宋" w:eastAsia="仿宋"/>
                <w:bCs/>
                <w:sz w:val="24"/>
                <w:szCs w:val="24"/>
              </w:rPr>
            </w:pPr>
          </w:p>
        </w:tc>
      </w:tr>
    </w:tbl>
    <w:p>
      <w:pPr>
        <w:snapToGrid w:val="0"/>
        <w:spacing w:line="500" w:lineRule="exact"/>
        <w:ind w:firstLine="480"/>
        <w:rPr>
          <w:rFonts w:ascii="仿宋" w:hAnsi="仿宋" w:eastAsia="仿宋"/>
          <w:sz w:val="24"/>
        </w:rPr>
      </w:pPr>
    </w:p>
    <w:p>
      <w:pPr>
        <w:snapToGrid w:val="0"/>
        <w:spacing w:line="500" w:lineRule="exact"/>
        <w:ind w:firstLine="600"/>
        <w:rPr>
          <w:rFonts w:ascii="仿宋" w:hAnsi="仿宋" w:eastAsia="仿宋"/>
          <w:sz w:val="24"/>
        </w:rPr>
      </w:pPr>
      <w:r>
        <w:rPr>
          <w:rFonts w:hint="eastAsia" w:ascii="仿宋" w:hAnsi="仿宋" w:eastAsia="仿宋"/>
          <w:sz w:val="24"/>
        </w:rPr>
        <w:t>供应商：                             法定代表人或法定代表人授权代表：</w:t>
      </w:r>
    </w:p>
    <w:p>
      <w:pPr>
        <w:snapToGrid w:val="0"/>
        <w:spacing w:line="500" w:lineRule="exact"/>
        <w:rPr>
          <w:rFonts w:ascii="仿宋" w:hAnsi="仿宋" w:eastAsia="仿宋"/>
          <w:sz w:val="24"/>
        </w:rPr>
      </w:pPr>
      <w:r>
        <w:rPr>
          <w:rFonts w:hint="eastAsia" w:ascii="仿宋" w:hAnsi="仿宋" w:eastAsia="仿宋"/>
          <w:sz w:val="24"/>
        </w:rPr>
        <w:t>（供应商公章）                                  （签字或盖章）</w:t>
      </w:r>
    </w:p>
    <w:p>
      <w:pPr>
        <w:snapToGrid w:val="0"/>
        <w:spacing w:line="500" w:lineRule="exact"/>
        <w:rPr>
          <w:rFonts w:ascii="仿宋" w:hAnsi="仿宋" w:eastAsia="仿宋"/>
          <w:sz w:val="24"/>
        </w:rPr>
      </w:pPr>
    </w:p>
    <w:p>
      <w:pPr>
        <w:snapToGrid w:val="0"/>
        <w:spacing w:line="500" w:lineRule="exact"/>
        <w:rPr>
          <w:rFonts w:ascii="仿宋" w:hAnsi="仿宋" w:eastAsia="仿宋"/>
          <w:sz w:val="24"/>
        </w:rPr>
      </w:pPr>
    </w:p>
    <w:p>
      <w:pPr>
        <w:snapToGrid w:val="0"/>
        <w:spacing w:line="500" w:lineRule="exact"/>
        <w:ind w:firstLine="480"/>
        <w:rPr>
          <w:rFonts w:ascii="仿宋" w:hAnsi="仿宋" w:eastAsia="仿宋"/>
          <w:sz w:val="24"/>
        </w:rPr>
      </w:pPr>
      <w:r>
        <w:rPr>
          <w:rFonts w:hint="eastAsia" w:ascii="仿宋" w:hAnsi="仿宋" w:eastAsia="仿宋"/>
          <w:sz w:val="24"/>
        </w:rPr>
        <w:t>年月日</w:t>
      </w:r>
    </w:p>
    <w:p>
      <w:pPr>
        <w:snapToGrid w:val="0"/>
        <w:spacing w:line="500" w:lineRule="exact"/>
        <w:ind w:firstLine="480"/>
        <w:rPr>
          <w:rFonts w:ascii="仿宋" w:hAnsi="仿宋" w:eastAsia="仿宋"/>
          <w:sz w:val="24"/>
        </w:rPr>
      </w:pPr>
    </w:p>
    <w:p>
      <w:pPr>
        <w:snapToGrid w:val="0"/>
        <w:spacing w:line="360" w:lineRule="auto"/>
        <w:ind w:firstLine="480"/>
        <w:rPr>
          <w:rFonts w:ascii="仿宋" w:hAnsi="仿宋" w:eastAsia="仿宋"/>
          <w:sz w:val="24"/>
        </w:rPr>
      </w:pPr>
      <w:r>
        <w:rPr>
          <w:rFonts w:hint="eastAsia" w:ascii="仿宋" w:hAnsi="仿宋" w:eastAsia="仿宋"/>
          <w:sz w:val="24"/>
        </w:rPr>
        <w:t>注：</w:t>
      </w:r>
    </w:p>
    <w:p>
      <w:pPr>
        <w:snapToGrid w:val="0"/>
        <w:spacing w:line="360" w:lineRule="auto"/>
        <w:ind w:firstLine="480"/>
        <w:rPr>
          <w:rFonts w:ascii="仿宋" w:hAnsi="仿宋" w:eastAsia="仿宋"/>
          <w:sz w:val="24"/>
        </w:rPr>
      </w:pPr>
      <w:r>
        <w:rPr>
          <w:rFonts w:hint="eastAsia" w:ascii="仿宋" w:hAnsi="仿宋" w:eastAsia="仿宋"/>
          <w:sz w:val="24"/>
        </w:rPr>
        <w:t>1.请供应商完整填写本表；</w:t>
      </w:r>
    </w:p>
    <w:p>
      <w:pPr>
        <w:pStyle w:val="70"/>
        <w:spacing w:line="360" w:lineRule="auto"/>
        <w:ind w:firstLine="480" w:firstLineChars="200"/>
        <w:rPr>
          <w:rFonts w:ascii="仿宋" w:hAnsi="仿宋" w:eastAsia="仿宋"/>
          <w:sz w:val="24"/>
        </w:rPr>
      </w:pPr>
      <w:r>
        <w:rPr>
          <w:rFonts w:hint="eastAsia" w:ascii="仿宋" w:hAnsi="仿宋" w:eastAsia="仿宋"/>
          <w:sz w:val="24"/>
        </w:rPr>
        <w:t>2.该表可扩展，并逐页签字或盖章。</w:t>
      </w:r>
    </w:p>
    <w:p>
      <w:pPr>
        <w:tabs>
          <w:tab w:val="center" w:pos="4706"/>
        </w:tabs>
        <w:jc w:val="left"/>
        <w:sectPr>
          <w:footerReference r:id="rId12" w:type="default"/>
          <w:pgSz w:w="11907" w:h="16840"/>
          <w:pgMar w:top="1134" w:right="1191" w:bottom="1134" w:left="1304" w:header="851" w:footer="992" w:gutter="0"/>
          <w:pgNumType w:fmt="numberInDash"/>
          <w:cols w:space="720" w:num="1"/>
          <w:docGrid w:linePitch="380" w:charSpace="-5735"/>
        </w:sectPr>
      </w:pPr>
    </w:p>
    <w:p>
      <w:pPr>
        <w:rPr>
          <w:rFonts w:cs="仿宋"/>
          <w:b/>
          <w:bCs/>
          <w:szCs w:val="28"/>
        </w:rPr>
      </w:pPr>
      <w:bookmarkStart w:id="118" w:name="_Toc21280"/>
      <w:bookmarkStart w:id="119" w:name="_Toc313888361"/>
      <w:bookmarkStart w:id="120" w:name="_Toc342913420"/>
      <w:bookmarkStart w:id="121" w:name="_Toc313008357"/>
      <w:r>
        <w:rPr>
          <w:rFonts w:hint="eastAsia"/>
          <w:lang w:eastAsia="zh-CN"/>
        </w:rPr>
        <w:t>二、</w:t>
      </w:r>
      <w:r>
        <w:rPr>
          <w:rFonts w:hint="eastAsia"/>
        </w:rPr>
        <w:t>技术</w:t>
      </w:r>
      <w:r>
        <w:rPr>
          <w:rFonts w:hint="eastAsia"/>
          <w:lang w:val="en-US" w:eastAsia="zh-CN"/>
        </w:rPr>
        <w:t>及商务</w:t>
      </w:r>
      <w:r>
        <w:rPr>
          <w:rFonts w:hint="eastAsia"/>
        </w:rPr>
        <w:t>部分</w:t>
      </w:r>
      <w:bookmarkEnd w:id="118"/>
      <w:bookmarkEnd w:id="119"/>
      <w:bookmarkEnd w:id="120"/>
      <w:bookmarkEnd w:id="121"/>
    </w:p>
    <w:p>
      <w:pPr>
        <w:pStyle w:val="70"/>
        <w:rPr>
          <w:rFonts w:ascii="仿宋" w:hAnsi="仿宋" w:eastAsia="仿宋" w:cs="仿宋"/>
          <w:b/>
          <w:bCs/>
          <w:szCs w:val="28"/>
        </w:rPr>
      </w:pPr>
    </w:p>
    <w:p>
      <w:pPr>
        <w:tabs>
          <w:tab w:val="left" w:pos="6300"/>
        </w:tabs>
        <w:snapToGrid w:val="0"/>
        <w:spacing w:line="540" w:lineRule="exact"/>
        <w:ind w:firstLine="570"/>
        <w:jc w:val="center"/>
        <w:rPr>
          <w:rFonts w:hint="eastAsia" w:ascii="仿宋" w:hAnsi="仿宋" w:eastAsia="仿宋" w:cs="仿宋"/>
          <w:b/>
          <w:bCs/>
          <w:sz w:val="36"/>
          <w:szCs w:val="36"/>
        </w:rPr>
      </w:pPr>
      <w:bookmarkStart w:id="122" w:name="_Toc283382459"/>
      <w:r>
        <w:rPr>
          <w:rFonts w:hint="eastAsia" w:ascii="仿宋" w:hAnsi="仿宋" w:eastAsia="仿宋" w:cs="仿宋"/>
          <w:b/>
          <w:bCs/>
          <w:sz w:val="36"/>
          <w:szCs w:val="36"/>
        </w:rPr>
        <w:t>投标人技术及商务条款应答承诺书</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val="en-US" w:eastAsia="zh-CN"/>
        </w:rPr>
        <w:t>代理机构</w:t>
      </w:r>
      <w:r>
        <w:rPr>
          <w:rFonts w:hint="eastAsia" w:ascii="仿宋" w:hAnsi="仿宋" w:eastAsia="仿宋" w:cs="仿宋"/>
          <w:sz w:val="24"/>
          <w:szCs w:val="24"/>
        </w:rPr>
        <w:t>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根据你方制发的采购文件，我方针对采购文件第二篇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第三篇</w:t>
      </w:r>
      <w:r>
        <w:rPr>
          <w:rFonts w:hint="eastAsia" w:ascii="仿宋" w:hAnsi="仿宋" w:eastAsia="仿宋" w:cs="仿宋"/>
          <w:sz w:val="24"/>
          <w:szCs w:val="24"/>
        </w:rPr>
        <w:t>的相关内容作出应答承诺如下：</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我方完全同意此采购文件提出的各项技术及商务条款，并保证：我方的投标产品</w:t>
      </w:r>
      <w:r>
        <w:rPr>
          <w:rFonts w:hint="eastAsia" w:ascii="仿宋" w:hAnsi="仿宋" w:eastAsia="仿宋" w:cs="仿宋"/>
          <w:sz w:val="24"/>
          <w:szCs w:val="24"/>
          <w:lang w:val="en-US" w:eastAsia="zh-CN"/>
        </w:rPr>
        <w:t>和提供的服务</w:t>
      </w:r>
      <w:r>
        <w:rPr>
          <w:rFonts w:hint="eastAsia" w:ascii="仿宋" w:hAnsi="仿宋" w:eastAsia="仿宋" w:cs="仿宋"/>
          <w:sz w:val="24"/>
          <w:szCs w:val="24"/>
        </w:rPr>
        <w:t>完全符合采购文件中的技术及商务要求；若有不符，愿意被视为无效投标并承担相关责任。</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结合我方生产</w:t>
      </w:r>
      <w:r>
        <w:rPr>
          <w:rFonts w:hint="eastAsia" w:ascii="仿宋" w:hAnsi="仿宋" w:eastAsia="仿宋" w:cs="仿宋"/>
          <w:sz w:val="24"/>
          <w:szCs w:val="24"/>
          <w:lang w:eastAsia="zh-CN"/>
        </w:rPr>
        <w:t>、</w:t>
      </w:r>
      <w:r>
        <w:rPr>
          <w:rFonts w:hint="eastAsia" w:ascii="仿宋" w:hAnsi="仿宋" w:eastAsia="仿宋" w:cs="仿宋"/>
          <w:sz w:val="24"/>
          <w:szCs w:val="24"/>
        </w:rPr>
        <w:t>经营活动以及此次采购项目实际情况，我方特做出以下更优惠高质的承诺</w:t>
      </w:r>
      <w:r>
        <w:rPr>
          <w:rFonts w:hint="eastAsia" w:ascii="仿宋" w:hAnsi="仿宋" w:eastAsia="仿宋" w:cs="仿宋"/>
          <w:sz w:val="24"/>
          <w:szCs w:val="24"/>
          <w:lang w:val="en-US" w:eastAsia="zh-CN"/>
        </w:rPr>
        <w:t>如下</w:t>
      </w:r>
      <w:r>
        <w:rPr>
          <w:rFonts w:hint="eastAsia" w:ascii="仿宋" w:hAnsi="仿宋" w:eastAsia="仿宋" w:cs="仿宋"/>
          <w:sz w:val="24"/>
          <w:szCs w:val="24"/>
        </w:rPr>
        <w:t>（如果有）：</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更优惠高质的商务承诺：</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法定代表人（或代理人）签名或盖章：              </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r>
        <w:br w:type="page"/>
      </w:r>
      <w:bookmarkEnd w:id="122"/>
      <w:bookmarkStart w:id="123" w:name="_Toc1030"/>
      <w:bookmarkStart w:id="124" w:name="_Toc313888363"/>
      <w:bookmarkStart w:id="125" w:name="_Toc342913422"/>
      <w:bookmarkStart w:id="126" w:name="_Toc313008359"/>
      <w:r>
        <w:rPr>
          <w:rFonts w:hint="eastAsia"/>
          <w:lang w:eastAsia="zh-CN"/>
        </w:rPr>
        <w:t>三、</w:t>
      </w:r>
      <w:r>
        <w:rPr>
          <w:rFonts w:hint="eastAsia"/>
        </w:rPr>
        <w:t>资格条件及其他</w:t>
      </w:r>
      <w:bookmarkEnd w:id="123"/>
      <w:bookmarkEnd w:id="124"/>
      <w:bookmarkEnd w:id="125"/>
      <w:bookmarkEnd w:id="126"/>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仿宋" w:hAnsi="仿宋" w:eastAsia="仿宋"/>
          <w:sz w:val="24"/>
          <w:szCs w:val="24"/>
        </w:rPr>
      </w:pPr>
    </w:p>
    <w:p>
      <w:pPr>
        <w:tabs>
          <w:tab w:val="left" w:pos="6300"/>
        </w:tabs>
        <w:snapToGrid w:val="0"/>
        <w:spacing w:line="500" w:lineRule="exact"/>
        <w:ind w:firstLine="570"/>
        <w:rPr>
          <w:rFonts w:ascii="仿宋" w:hAnsi="仿宋" w:eastAsia="仿宋"/>
        </w:rPr>
      </w:pPr>
    </w:p>
    <w:p>
      <w:pPr>
        <w:tabs>
          <w:tab w:val="left" w:pos="6300"/>
        </w:tabs>
        <w:snapToGrid w:val="0"/>
        <w:spacing w:line="500" w:lineRule="exact"/>
        <w:ind w:firstLine="570"/>
        <w:rPr>
          <w:rFonts w:ascii="仿宋" w:hAnsi="仿宋" w:eastAsia="仿宋"/>
        </w:rPr>
      </w:pPr>
    </w:p>
    <w:p>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法定代表人电话：XXXXXXX      电子邮箱：XXXXXX@XXXXX（若授权他人办理并签署响应文件的可不填写）</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（被授权人姓名及身份证号码）代表我单位全权办理上述项目的磋商</w:t>
      </w:r>
      <w:r>
        <w:rPr>
          <w:rFonts w:hint="eastAsia" w:ascii="仿宋" w:hAnsi="仿宋" w:eastAsia="仿宋"/>
          <w:sz w:val="24"/>
          <w:lang w:eastAsia="zh-CN"/>
        </w:rPr>
        <w:t>、</w:t>
      </w:r>
      <w:r>
        <w:rPr>
          <w:rFonts w:hint="eastAsia" w:ascii="仿宋" w:hAnsi="仿宋" w:eastAsia="仿宋"/>
          <w:sz w:val="24"/>
        </w:rPr>
        <w:t>签约等具体工作，并签署全部有关文件</w:t>
      </w:r>
      <w:r>
        <w:rPr>
          <w:rFonts w:hint="eastAsia" w:ascii="仿宋" w:hAnsi="仿宋" w:eastAsia="仿宋"/>
          <w:sz w:val="24"/>
          <w:lang w:eastAsia="zh-CN"/>
        </w:rPr>
        <w:t>、</w:t>
      </w:r>
      <w:r>
        <w:rPr>
          <w:rFonts w:hint="eastAsia" w:ascii="仿宋" w:hAnsi="仿宋" w:eastAsia="仿宋"/>
          <w:sz w:val="24"/>
        </w:rPr>
        <w:t>协议及合同。</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w:t>
      </w:r>
      <w:r>
        <w:rPr>
          <w:rFonts w:hint="eastAsia" w:ascii="仿宋" w:hAnsi="仿宋" w:eastAsia="仿宋"/>
          <w:sz w:val="24"/>
          <w:lang w:eastAsia="zh-CN"/>
        </w:rPr>
        <w:t>撤销</w:t>
      </w:r>
      <w:r>
        <w:rPr>
          <w:rFonts w:hint="eastAsia" w:ascii="仿宋" w:hAnsi="仿宋" w:eastAsia="仿宋"/>
          <w:sz w:val="24"/>
        </w:rPr>
        <w:t>授权的书面通知以前，本授权书一直有效。被授权人在授权书有效期内签署的所有文件不因授权</w:t>
      </w:r>
      <w:r>
        <w:rPr>
          <w:rFonts w:hint="eastAsia" w:ascii="仿宋" w:hAnsi="仿宋" w:eastAsia="仿宋"/>
          <w:sz w:val="24"/>
          <w:lang w:eastAsia="zh-CN"/>
        </w:rPr>
        <w:t>的撤销</w:t>
      </w:r>
      <w:r>
        <w:rPr>
          <w:rFonts w:hint="eastAsia" w:ascii="仿宋" w:hAnsi="仿宋" w:eastAsia="仿宋"/>
          <w:sz w:val="24"/>
        </w:rPr>
        <w:t>而失效。</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ascii="仿宋" w:hAnsi="仿宋" w:eastAsia="仿宋"/>
          <w:sz w:val="24"/>
          <w:szCs w:val="28"/>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2"/>
        </w:rPr>
        <w:t>被授权人电话：XXXXXXX     电子邮箱：XXXXXX@XXXXX（若法定代表人办理并签署响应文件的可不填写）</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pPr>
        <w:tabs>
          <w:tab w:val="left" w:pos="6300"/>
        </w:tabs>
        <w:snapToGrid w:val="0"/>
        <w:spacing w:line="500" w:lineRule="exact"/>
        <w:ind w:firstLine="570"/>
        <w:rPr>
          <w:rFonts w:ascii="仿宋" w:hAnsi="仿宋" w:eastAsia="仿宋"/>
          <w:sz w:val="24"/>
          <w:szCs w:val="22"/>
        </w:rPr>
      </w:pPr>
      <w:r>
        <w:rPr>
          <w:rFonts w:hint="eastAsia" w:ascii="仿宋" w:hAnsi="仿宋" w:eastAsia="仿宋"/>
          <w:sz w:val="24"/>
          <w:szCs w:val="22"/>
        </w:rPr>
        <w:t>注：若为法定代表人办理并签署响应文件的，不提供此文件。</w:t>
      </w:r>
    </w:p>
    <w:p>
      <w:pPr>
        <w:tabs>
          <w:tab w:val="left" w:pos="6300"/>
        </w:tabs>
        <w:snapToGrid w:val="0"/>
        <w:spacing w:line="500" w:lineRule="exact"/>
        <w:ind w:right="480" w:firstLine="570"/>
        <w:jc w:val="right"/>
        <w:rPr>
          <w:rFonts w:ascii="仿宋" w:hAnsi="仿宋" w:eastAsia="仿宋"/>
          <w:sz w:val="24"/>
        </w:rPr>
      </w:pPr>
    </w:p>
    <w:p>
      <w:pPr>
        <w:tabs>
          <w:tab w:val="left" w:pos="6300"/>
        </w:tabs>
        <w:snapToGrid w:val="0"/>
        <w:spacing w:line="500" w:lineRule="exact"/>
        <w:rPr>
          <w:rFonts w:ascii="仿宋" w:hAnsi="仿宋" w:eastAsia="仿宋"/>
          <w:sz w:val="24"/>
          <w:szCs w:val="24"/>
        </w:rPr>
      </w:pPr>
    </w:p>
    <w:p>
      <w:pPr>
        <w:tabs>
          <w:tab w:val="left" w:pos="6300"/>
        </w:tabs>
        <w:snapToGrid w:val="0"/>
        <w:spacing w:line="500" w:lineRule="exact"/>
        <w:rPr>
          <w:rFonts w:ascii="仿宋" w:hAnsi="仿宋" w:eastAsia="仿宋"/>
          <w:sz w:val="24"/>
        </w:rPr>
      </w:pPr>
      <w:r>
        <w:rPr>
          <w:rFonts w:ascii="仿宋" w:hAnsi="仿宋" w:eastAsia="仿宋"/>
          <w:sz w:val="24"/>
          <w:szCs w:val="24"/>
        </w:rPr>
        <w:br w:type="page"/>
      </w:r>
      <w:r>
        <w:rPr>
          <w:rFonts w:hint="eastAsia" w:ascii="仿宋" w:hAnsi="仿宋" w:eastAsia="仿宋"/>
          <w:sz w:val="24"/>
          <w:szCs w:val="24"/>
        </w:rPr>
        <w:t>（四）基本资格条件承诺函</w:t>
      </w:r>
    </w:p>
    <w:p>
      <w:pPr>
        <w:tabs>
          <w:tab w:val="left" w:pos="6300"/>
        </w:tabs>
        <w:snapToGrid w:val="0"/>
        <w:spacing w:line="500" w:lineRule="exact"/>
        <w:ind w:firstLine="570"/>
        <w:rPr>
          <w:rFonts w:ascii="仿宋" w:hAnsi="仿宋" w:eastAsia="仿宋"/>
          <w:sz w:val="24"/>
        </w:rPr>
      </w:pPr>
    </w:p>
    <w:p>
      <w:pPr>
        <w:tabs>
          <w:tab w:val="left" w:pos="6300"/>
        </w:tabs>
        <w:snapToGrid w:val="0"/>
        <w:spacing w:line="530" w:lineRule="exact"/>
        <w:jc w:val="center"/>
        <w:rPr>
          <w:rFonts w:ascii="仿宋" w:hAnsi="仿宋" w:eastAsia="仿宋" w:cs="仿宋"/>
          <w:sz w:val="24"/>
          <w:szCs w:val="24"/>
        </w:rPr>
      </w:pPr>
      <w:r>
        <w:rPr>
          <w:rFonts w:hint="eastAsia" w:ascii="仿宋" w:hAnsi="仿宋" w:eastAsia="仿宋" w:cs="仿宋"/>
          <w:sz w:val="24"/>
          <w:szCs w:val="24"/>
        </w:rPr>
        <w:t>基本资格条件承诺函</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（采购代理机构名称）：</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（供应商名称）郑重承诺：</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2.我方未列入在信用中国网站（www.creditchina.gov.cn）“失信被执行人”</w:t>
      </w:r>
      <w:r>
        <w:rPr>
          <w:rFonts w:hint="eastAsia" w:ascii="仿宋" w:hAnsi="仿宋" w:eastAsia="仿宋" w:cs="仿宋"/>
          <w:sz w:val="24"/>
          <w:szCs w:val="24"/>
          <w:lang w:eastAsia="zh-CN"/>
        </w:rPr>
        <w:t>.</w:t>
      </w:r>
      <w:r>
        <w:rPr>
          <w:rFonts w:hint="eastAsia" w:ascii="仿宋" w:hAnsi="仿宋" w:eastAsia="仿宋" w:cs="仿宋"/>
          <w:sz w:val="24"/>
          <w:szCs w:val="24"/>
        </w:rPr>
        <w:t>“重大税收违法案件当事人名单”中，也未列入中国政府采购网（www.ccgp.gov.cn）“政府采购严重违法失信行为记录名单”中。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3.我方在采购项目评审（评标）环节结束后，随时接受采购人</w:t>
      </w:r>
      <w:r>
        <w:rPr>
          <w:rFonts w:hint="eastAsia" w:ascii="仿宋" w:hAnsi="仿宋" w:eastAsia="仿宋" w:cs="仿宋"/>
          <w:sz w:val="24"/>
          <w:szCs w:val="24"/>
          <w:lang w:eastAsia="zh-CN"/>
        </w:rPr>
        <w:t>、</w:t>
      </w:r>
      <w:r>
        <w:rPr>
          <w:rFonts w:hint="eastAsia" w:ascii="仿宋" w:hAnsi="仿宋" w:eastAsia="仿宋" w:cs="仿宋"/>
          <w:sz w:val="24"/>
          <w:szCs w:val="24"/>
        </w:rPr>
        <w:t>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我方对以上承诺负全部法律责任。</w:t>
      </w:r>
    </w:p>
    <w:p>
      <w:pPr>
        <w:tabs>
          <w:tab w:val="left" w:pos="6300"/>
        </w:tabs>
        <w:snapToGrid w:val="0"/>
        <w:spacing w:line="53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tabs>
          <w:tab w:val="left" w:pos="6300"/>
        </w:tabs>
        <w:snapToGrid w:val="0"/>
        <w:spacing w:line="530" w:lineRule="exact"/>
        <w:rPr>
          <w:rFonts w:ascii="仿宋" w:hAnsi="仿宋" w:eastAsia="仿宋" w:cs="仿宋"/>
          <w:sz w:val="24"/>
          <w:szCs w:val="24"/>
        </w:rPr>
      </w:pPr>
    </w:p>
    <w:p>
      <w:pPr>
        <w:tabs>
          <w:tab w:val="left" w:pos="6300"/>
        </w:tabs>
        <w:snapToGrid w:val="0"/>
        <w:spacing w:line="530" w:lineRule="exact"/>
        <w:ind w:right="424" w:firstLine="570"/>
        <w:jc w:val="right"/>
        <w:rPr>
          <w:rFonts w:ascii="仿宋" w:hAnsi="仿宋" w:eastAsia="仿宋" w:cs="仿宋"/>
          <w:sz w:val="24"/>
          <w:szCs w:val="24"/>
        </w:rPr>
      </w:pPr>
      <w:r>
        <w:rPr>
          <w:rFonts w:hint="eastAsia" w:ascii="仿宋" w:hAnsi="仿宋" w:eastAsia="仿宋" w:cs="仿宋"/>
          <w:sz w:val="24"/>
          <w:szCs w:val="24"/>
        </w:rPr>
        <w:t>（供应商公章）</w:t>
      </w:r>
    </w:p>
    <w:p>
      <w:pPr>
        <w:tabs>
          <w:tab w:val="left" w:pos="6300"/>
        </w:tabs>
        <w:snapToGrid w:val="0"/>
        <w:spacing w:line="500" w:lineRule="exact"/>
        <w:ind w:firstLine="7680" w:firstLineChars="3200"/>
        <w:rPr>
          <w:rFonts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right="424" w:firstLine="570"/>
        <w:jc w:val="right"/>
        <w:rPr>
          <w:rFonts w:ascii="仿宋" w:hAnsi="仿宋" w:eastAsia="仿宋" w:cs="仿宋"/>
          <w:sz w:val="24"/>
          <w:szCs w:val="24"/>
        </w:rPr>
      </w:pPr>
    </w:p>
    <w:p>
      <w:pPr>
        <w:tabs>
          <w:tab w:val="left" w:pos="6300"/>
        </w:tabs>
        <w:snapToGrid w:val="0"/>
        <w:spacing w:line="500" w:lineRule="exact"/>
        <w:ind w:right="1680"/>
        <w:rPr>
          <w:rFonts w:ascii="仿宋" w:hAnsi="仿宋" w:eastAsia="仿宋"/>
          <w:sz w:val="24"/>
        </w:rPr>
      </w:pPr>
    </w:p>
    <w:p>
      <w:pPr>
        <w:tabs>
          <w:tab w:val="left" w:pos="6300"/>
        </w:tabs>
        <w:snapToGrid w:val="0"/>
        <w:spacing w:line="360" w:lineRule="auto"/>
        <w:ind w:firstLine="560" w:firstLineChars="200"/>
        <w:rPr>
          <w:rFonts w:ascii="仿宋" w:hAnsi="仿宋" w:eastAsia="仿宋"/>
          <w:sz w:val="24"/>
          <w:szCs w:val="24"/>
        </w:rPr>
      </w:pPr>
      <w:r>
        <w:rPr>
          <w:rFonts w:ascii="仿宋" w:hAnsi="仿宋" w:eastAsia="仿宋"/>
        </w:rPr>
        <w:br w:type="page"/>
      </w:r>
    </w:p>
    <w:p>
      <w:bookmarkStart w:id="127" w:name="_Toc15318"/>
      <w:bookmarkStart w:id="128" w:name="_Toc14422"/>
      <w:r>
        <w:rPr>
          <w:rFonts w:hint="eastAsia"/>
          <w:lang w:val="en-US" w:eastAsia="zh-CN"/>
        </w:rPr>
        <w:t>四、</w:t>
      </w:r>
      <w:r>
        <w:rPr>
          <w:rFonts w:hint="eastAsia"/>
        </w:rPr>
        <w:t>其他应提供的资料</w:t>
      </w:r>
      <w:bookmarkEnd w:id="127"/>
      <w:bookmarkEnd w:id="128"/>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其他与项目有关的资料（自附）</w:t>
      </w: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rPr>
          <w:rFonts w:ascii="仿宋" w:hAnsi="仿宋" w:eastAsia="仿宋"/>
          <w:sz w:val="24"/>
          <w:szCs w:val="24"/>
        </w:rPr>
      </w:pPr>
    </w:p>
    <w:p>
      <w:pPr>
        <w:pStyle w:val="70"/>
        <w:spacing w:line="20" w:lineRule="atLeast"/>
        <w:jc w:val="center"/>
      </w:pPr>
      <w:r>
        <w:rPr>
          <w:rFonts w:hint="eastAsia" w:ascii="仿宋" w:hAnsi="仿宋" w:eastAsia="仿宋"/>
          <w:sz w:val="24"/>
          <w:szCs w:val="24"/>
        </w:rPr>
        <w:t>（结束）</w:t>
      </w: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- 2 -</w:t>
    </w:r>
    <w:r>
      <w:rPr>
        <w:rFonts w:ascii="宋体"/>
        <w:sz w:val="21"/>
        <w:szCs w:val="21"/>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p>
  <w:p>
    <w:pPr>
      <w:pStyle w:val="3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- 14 -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- 29 -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310" w:firstLineChars="11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2730" w:firstLineChars="1300"/>
      <w:jc w:val="both"/>
      <w:rPr>
        <w:rFonts w:ascii="仿宋" w:hAnsi="仿宋" w:eastAsia="仿宋" w:cs="仿宋"/>
        <w:sz w:val="24"/>
        <w:szCs w:val="24"/>
      </w:rPr>
    </w:pPr>
    <w:r>
      <w:rPr>
        <w:rFonts w:hint="eastAsia" w:ascii="方正仿宋_GBK" w:eastAsia="方正仿宋_GBK"/>
        <w:sz w:val="21"/>
        <w:szCs w:val="21"/>
      </w:rPr>
      <w:t xml:space="preserve">                                                 </w:t>
    </w:r>
    <w:r>
      <w:rPr>
        <w:rFonts w:hint="eastAsia" w:ascii="仿宋" w:hAnsi="仿宋" w:eastAsia="仿宋" w:cs="仿宋"/>
        <w:sz w:val="24"/>
        <w:szCs w:val="24"/>
      </w:rPr>
      <w:t>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6BA82"/>
    <w:multiLevelType w:val="singleLevel"/>
    <w:tmpl w:val="E926BA82"/>
    <w:lvl w:ilvl="0" w:tentative="0">
      <w:start w:val="1"/>
      <w:numFmt w:val="decimal"/>
      <w:suff w:val="nothing"/>
      <w:lvlText w:val="%1、"/>
      <w:lvlJc w:val="left"/>
    </w:lvl>
  </w:abstractNum>
  <w:abstractNum w:abstractNumId="1">
    <w:nsid w:val="FBCD15FC"/>
    <w:multiLevelType w:val="singleLevel"/>
    <w:tmpl w:val="FBCD15FC"/>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0"/>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6"/>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4"/>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42BA989"/>
    <w:multiLevelType w:val="singleLevel"/>
    <w:tmpl w:val="242BA989"/>
    <w:lvl w:ilvl="0" w:tentative="0">
      <w:start w:val="2"/>
      <w:numFmt w:val="chineseCounting"/>
      <w:suff w:val="nothing"/>
      <w:lvlText w:val="（%1）"/>
      <w:lvlJc w:val="left"/>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5"/>
  </w:num>
  <w:num w:numId="10">
    <w:abstractNumId w:val="8"/>
  </w:num>
  <w:num w:numId="11">
    <w:abstractNumId w:val="9"/>
  </w:num>
  <w:num w:numId="12">
    <w:abstractNumId w:val="5"/>
  </w:num>
  <w:num w:numId="13">
    <w:abstractNumId w:val="13"/>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NmY0OGE0YmVmZDg3MDZmNDgzZDRmMjFlMDkzY2EifQ=="/>
  </w:docVars>
  <w:rsids>
    <w:rsidRoot w:val="00172A27"/>
    <w:rsid w:val="00003626"/>
    <w:rsid w:val="00003672"/>
    <w:rsid w:val="000040DE"/>
    <w:rsid w:val="00005F84"/>
    <w:rsid w:val="000074B1"/>
    <w:rsid w:val="000075E8"/>
    <w:rsid w:val="00010E90"/>
    <w:rsid w:val="00011B4B"/>
    <w:rsid w:val="00016273"/>
    <w:rsid w:val="00016B79"/>
    <w:rsid w:val="00016C0C"/>
    <w:rsid w:val="00017816"/>
    <w:rsid w:val="000207DA"/>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B5A"/>
    <w:rsid w:val="00067275"/>
    <w:rsid w:val="00067704"/>
    <w:rsid w:val="00070F05"/>
    <w:rsid w:val="00072ED6"/>
    <w:rsid w:val="000745D7"/>
    <w:rsid w:val="00075D20"/>
    <w:rsid w:val="00076322"/>
    <w:rsid w:val="000820FF"/>
    <w:rsid w:val="000834C1"/>
    <w:rsid w:val="00083A03"/>
    <w:rsid w:val="00084999"/>
    <w:rsid w:val="00090C5A"/>
    <w:rsid w:val="00091B1C"/>
    <w:rsid w:val="00091D22"/>
    <w:rsid w:val="0009304D"/>
    <w:rsid w:val="000A164E"/>
    <w:rsid w:val="000A3057"/>
    <w:rsid w:val="000A7112"/>
    <w:rsid w:val="000B42F4"/>
    <w:rsid w:val="000B46D1"/>
    <w:rsid w:val="000B6731"/>
    <w:rsid w:val="000B7377"/>
    <w:rsid w:val="000B7F54"/>
    <w:rsid w:val="000C37C8"/>
    <w:rsid w:val="000C6553"/>
    <w:rsid w:val="000C65C8"/>
    <w:rsid w:val="000C6D7A"/>
    <w:rsid w:val="000C6D89"/>
    <w:rsid w:val="000D1A63"/>
    <w:rsid w:val="000D7358"/>
    <w:rsid w:val="000D787D"/>
    <w:rsid w:val="000E0061"/>
    <w:rsid w:val="000E01C9"/>
    <w:rsid w:val="000E0DD7"/>
    <w:rsid w:val="000E3259"/>
    <w:rsid w:val="000E5799"/>
    <w:rsid w:val="000F1AEC"/>
    <w:rsid w:val="000F7DBF"/>
    <w:rsid w:val="0010014A"/>
    <w:rsid w:val="00100639"/>
    <w:rsid w:val="00105638"/>
    <w:rsid w:val="00107162"/>
    <w:rsid w:val="00111729"/>
    <w:rsid w:val="0011315B"/>
    <w:rsid w:val="00115337"/>
    <w:rsid w:val="00116856"/>
    <w:rsid w:val="00116FBF"/>
    <w:rsid w:val="0011780F"/>
    <w:rsid w:val="00120259"/>
    <w:rsid w:val="00121E78"/>
    <w:rsid w:val="00122009"/>
    <w:rsid w:val="00122F9D"/>
    <w:rsid w:val="001266BF"/>
    <w:rsid w:val="0013018A"/>
    <w:rsid w:val="00130513"/>
    <w:rsid w:val="00132A86"/>
    <w:rsid w:val="00132DC3"/>
    <w:rsid w:val="00133D16"/>
    <w:rsid w:val="00133E15"/>
    <w:rsid w:val="00134037"/>
    <w:rsid w:val="00134E3D"/>
    <w:rsid w:val="001351C4"/>
    <w:rsid w:val="00142356"/>
    <w:rsid w:val="00144305"/>
    <w:rsid w:val="00147FB4"/>
    <w:rsid w:val="0015011C"/>
    <w:rsid w:val="00150429"/>
    <w:rsid w:val="00152B00"/>
    <w:rsid w:val="00154A1E"/>
    <w:rsid w:val="00157DBF"/>
    <w:rsid w:val="00164202"/>
    <w:rsid w:val="00164ACC"/>
    <w:rsid w:val="001673BF"/>
    <w:rsid w:val="00171E05"/>
    <w:rsid w:val="00172A27"/>
    <w:rsid w:val="001738A2"/>
    <w:rsid w:val="001757CE"/>
    <w:rsid w:val="00180ACB"/>
    <w:rsid w:val="00183B60"/>
    <w:rsid w:val="00183F9B"/>
    <w:rsid w:val="00186623"/>
    <w:rsid w:val="001879FD"/>
    <w:rsid w:val="00190C8E"/>
    <w:rsid w:val="00194CF2"/>
    <w:rsid w:val="001A6DCC"/>
    <w:rsid w:val="001B16EE"/>
    <w:rsid w:val="001B25AF"/>
    <w:rsid w:val="001B3DBD"/>
    <w:rsid w:val="001B4377"/>
    <w:rsid w:val="001B666A"/>
    <w:rsid w:val="001C50F0"/>
    <w:rsid w:val="001C7054"/>
    <w:rsid w:val="001C7351"/>
    <w:rsid w:val="001D0B28"/>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C32"/>
    <w:rsid w:val="002100EE"/>
    <w:rsid w:val="00210E74"/>
    <w:rsid w:val="00216A93"/>
    <w:rsid w:val="0021704D"/>
    <w:rsid w:val="0021749D"/>
    <w:rsid w:val="00222097"/>
    <w:rsid w:val="00224BA8"/>
    <w:rsid w:val="002259EB"/>
    <w:rsid w:val="00227202"/>
    <w:rsid w:val="00227377"/>
    <w:rsid w:val="00227851"/>
    <w:rsid w:val="002348E0"/>
    <w:rsid w:val="00234984"/>
    <w:rsid w:val="002351C5"/>
    <w:rsid w:val="0023753B"/>
    <w:rsid w:val="00240BD3"/>
    <w:rsid w:val="002426DA"/>
    <w:rsid w:val="00242AB7"/>
    <w:rsid w:val="00244225"/>
    <w:rsid w:val="00252F55"/>
    <w:rsid w:val="002537A8"/>
    <w:rsid w:val="00253A6B"/>
    <w:rsid w:val="00253E8A"/>
    <w:rsid w:val="00255F7F"/>
    <w:rsid w:val="002575D8"/>
    <w:rsid w:val="002608DC"/>
    <w:rsid w:val="00261CE4"/>
    <w:rsid w:val="0026418D"/>
    <w:rsid w:val="002643C1"/>
    <w:rsid w:val="00265203"/>
    <w:rsid w:val="0026652A"/>
    <w:rsid w:val="0027199E"/>
    <w:rsid w:val="00271D47"/>
    <w:rsid w:val="002721EA"/>
    <w:rsid w:val="0027413A"/>
    <w:rsid w:val="00280E8A"/>
    <w:rsid w:val="00283084"/>
    <w:rsid w:val="00285164"/>
    <w:rsid w:val="00290F05"/>
    <w:rsid w:val="00292821"/>
    <w:rsid w:val="00294BEC"/>
    <w:rsid w:val="00296713"/>
    <w:rsid w:val="00297B53"/>
    <w:rsid w:val="002A090F"/>
    <w:rsid w:val="002A25E7"/>
    <w:rsid w:val="002A4956"/>
    <w:rsid w:val="002A6710"/>
    <w:rsid w:val="002B51B5"/>
    <w:rsid w:val="002B578B"/>
    <w:rsid w:val="002B7904"/>
    <w:rsid w:val="002C2507"/>
    <w:rsid w:val="002C2E6E"/>
    <w:rsid w:val="002C3623"/>
    <w:rsid w:val="002C3ACC"/>
    <w:rsid w:val="002C56F2"/>
    <w:rsid w:val="002C6C41"/>
    <w:rsid w:val="002C75D0"/>
    <w:rsid w:val="002C7927"/>
    <w:rsid w:val="002D269B"/>
    <w:rsid w:val="002D5F4A"/>
    <w:rsid w:val="002D7725"/>
    <w:rsid w:val="002E70E8"/>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03C5"/>
    <w:rsid w:val="00341DEB"/>
    <w:rsid w:val="00346A3D"/>
    <w:rsid w:val="00350C20"/>
    <w:rsid w:val="00351616"/>
    <w:rsid w:val="0035412A"/>
    <w:rsid w:val="003548FA"/>
    <w:rsid w:val="00355A74"/>
    <w:rsid w:val="00355FE3"/>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71F3"/>
    <w:rsid w:val="003A7A91"/>
    <w:rsid w:val="003B19F5"/>
    <w:rsid w:val="003B787B"/>
    <w:rsid w:val="003C0734"/>
    <w:rsid w:val="003D0E0A"/>
    <w:rsid w:val="003D1C64"/>
    <w:rsid w:val="003D3684"/>
    <w:rsid w:val="003D3B22"/>
    <w:rsid w:val="003D4380"/>
    <w:rsid w:val="003D66F3"/>
    <w:rsid w:val="003D7B3D"/>
    <w:rsid w:val="003E1D18"/>
    <w:rsid w:val="003E2F53"/>
    <w:rsid w:val="003E30AE"/>
    <w:rsid w:val="003E5DE4"/>
    <w:rsid w:val="003F626F"/>
    <w:rsid w:val="00401C02"/>
    <w:rsid w:val="00402B32"/>
    <w:rsid w:val="004061B4"/>
    <w:rsid w:val="00407A1A"/>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26C1"/>
    <w:rsid w:val="004D3ED5"/>
    <w:rsid w:val="004D43AC"/>
    <w:rsid w:val="004D4C7A"/>
    <w:rsid w:val="004E156F"/>
    <w:rsid w:val="004E2F56"/>
    <w:rsid w:val="004E55DB"/>
    <w:rsid w:val="004E67C6"/>
    <w:rsid w:val="004F294F"/>
    <w:rsid w:val="004F7C44"/>
    <w:rsid w:val="00501E63"/>
    <w:rsid w:val="00502B2F"/>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3AE3"/>
    <w:rsid w:val="00573B55"/>
    <w:rsid w:val="00573EA8"/>
    <w:rsid w:val="0058355F"/>
    <w:rsid w:val="00584701"/>
    <w:rsid w:val="00585F00"/>
    <w:rsid w:val="005902D9"/>
    <w:rsid w:val="00591E34"/>
    <w:rsid w:val="005954E2"/>
    <w:rsid w:val="00596AB7"/>
    <w:rsid w:val="005A16EC"/>
    <w:rsid w:val="005A1D76"/>
    <w:rsid w:val="005A1EA7"/>
    <w:rsid w:val="005A5F58"/>
    <w:rsid w:val="005B0724"/>
    <w:rsid w:val="005B1E46"/>
    <w:rsid w:val="005B7E66"/>
    <w:rsid w:val="005C0587"/>
    <w:rsid w:val="005C3F4B"/>
    <w:rsid w:val="005C42AC"/>
    <w:rsid w:val="005C4F84"/>
    <w:rsid w:val="005D37D0"/>
    <w:rsid w:val="005D636E"/>
    <w:rsid w:val="005D703E"/>
    <w:rsid w:val="005E5525"/>
    <w:rsid w:val="005E73BA"/>
    <w:rsid w:val="005F1360"/>
    <w:rsid w:val="005F3C63"/>
    <w:rsid w:val="005F7390"/>
    <w:rsid w:val="0060078B"/>
    <w:rsid w:val="00601DEA"/>
    <w:rsid w:val="00602911"/>
    <w:rsid w:val="006055C2"/>
    <w:rsid w:val="00611E32"/>
    <w:rsid w:val="00613410"/>
    <w:rsid w:val="00617664"/>
    <w:rsid w:val="00617986"/>
    <w:rsid w:val="006212A6"/>
    <w:rsid w:val="00621ADA"/>
    <w:rsid w:val="00621C82"/>
    <w:rsid w:val="006238EF"/>
    <w:rsid w:val="00624E6D"/>
    <w:rsid w:val="00627729"/>
    <w:rsid w:val="00627F21"/>
    <w:rsid w:val="0063458A"/>
    <w:rsid w:val="006376A5"/>
    <w:rsid w:val="00637716"/>
    <w:rsid w:val="0064583B"/>
    <w:rsid w:val="00647F2D"/>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87CEE"/>
    <w:rsid w:val="00696C07"/>
    <w:rsid w:val="006A100B"/>
    <w:rsid w:val="006A143A"/>
    <w:rsid w:val="006A1805"/>
    <w:rsid w:val="006A3285"/>
    <w:rsid w:val="006B0567"/>
    <w:rsid w:val="006B43E0"/>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4E12"/>
    <w:rsid w:val="006E5BFD"/>
    <w:rsid w:val="006E6D5F"/>
    <w:rsid w:val="006F0FB7"/>
    <w:rsid w:val="006F43A4"/>
    <w:rsid w:val="006F56BC"/>
    <w:rsid w:val="006F5925"/>
    <w:rsid w:val="00701D7F"/>
    <w:rsid w:val="00702166"/>
    <w:rsid w:val="00704569"/>
    <w:rsid w:val="00704E5D"/>
    <w:rsid w:val="00705739"/>
    <w:rsid w:val="00705C94"/>
    <w:rsid w:val="00707482"/>
    <w:rsid w:val="00710AE5"/>
    <w:rsid w:val="00714BF1"/>
    <w:rsid w:val="00715BCB"/>
    <w:rsid w:val="00715EFF"/>
    <w:rsid w:val="00715FB5"/>
    <w:rsid w:val="007171A6"/>
    <w:rsid w:val="0071799D"/>
    <w:rsid w:val="00726088"/>
    <w:rsid w:val="0072684E"/>
    <w:rsid w:val="00730B6A"/>
    <w:rsid w:val="0073172B"/>
    <w:rsid w:val="00736D88"/>
    <w:rsid w:val="00736DD2"/>
    <w:rsid w:val="00740EC7"/>
    <w:rsid w:val="0074514E"/>
    <w:rsid w:val="0074681C"/>
    <w:rsid w:val="00746EC2"/>
    <w:rsid w:val="00757E02"/>
    <w:rsid w:val="0077305F"/>
    <w:rsid w:val="00786134"/>
    <w:rsid w:val="00787FCA"/>
    <w:rsid w:val="00790B21"/>
    <w:rsid w:val="00794382"/>
    <w:rsid w:val="007959AC"/>
    <w:rsid w:val="007A0CDD"/>
    <w:rsid w:val="007A20E0"/>
    <w:rsid w:val="007B2204"/>
    <w:rsid w:val="007B4B60"/>
    <w:rsid w:val="007B6BEB"/>
    <w:rsid w:val="007C17F1"/>
    <w:rsid w:val="007C4014"/>
    <w:rsid w:val="007C62A7"/>
    <w:rsid w:val="007C6B0F"/>
    <w:rsid w:val="007D132C"/>
    <w:rsid w:val="007D47A4"/>
    <w:rsid w:val="007D5365"/>
    <w:rsid w:val="007D763D"/>
    <w:rsid w:val="007D7A44"/>
    <w:rsid w:val="007D7E65"/>
    <w:rsid w:val="007E19E0"/>
    <w:rsid w:val="007E2EAF"/>
    <w:rsid w:val="007E78B4"/>
    <w:rsid w:val="007F411F"/>
    <w:rsid w:val="008041D4"/>
    <w:rsid w:val="0081156A"/>
    <w:rsid w:val="00812C9B"/>
    <w:rsid w:val="00813391"/>
    <w:rsid w:val="00825D43"/>
    <w:rsid w:val="00827398"/>
    <w:rsid w:val="00830FAD"/>
    <w:rsid w:val="00834ABA"/>
    <w:rsid w:val="00842974"/>
    <w:rsid w:val="00842BB3"/>
    <w:rsid w:val="00842F87"/>
    <w:rsid w:val="008517D1"/>
    <w:rsid w:val="008521A5"/>
    <w:rsid w:val="0085550A"/>
    <w:rsid w:val="0086008B"/>
    <w:rsid w:val="008616EF"/>
    <w:rsid w:val="00862EF1"/>
    <w:rsid w:val="00863C25"/>
    <w:rsid w:val="00863CCF"/>
    <w:rsid w:val="008641B7"/>
    <w:rsid w:val="0086422A"/>
    <w:rsid w:val="00864DC1"/>
    <w:rsid w:val="00866A28"/>
    <w:rsid w:val="008705BC"/>
    <w:rsid w:val="0087167F"/>
    <w:rsid w:val="00875A42"/>
    <w:rsid w:val="008904A8"/>
    <w:rsid w:val="00891D94"/>
    <w:rsid w:val="00895C23"/>
    <w:rsid w:val="00897489"/>
    <w:rsid w:val="008A19AF"/>
    <w:rsid w:val="008A20FB"/>
    <w:rsid w:val="008A34D7"/>
    <w:rsid w:val="008A77DF"/>
    <w:rsid w:val="008B3EE4"/>
    <w:rsid w:val="008C2CDC"/>
    <w:rsid w:val="008C3A07"/>
    <w:rsid w:val="008C4C84"/>
    <w:rsid w:val="008C510F"/>
    <w:rsid w:val="008C7C27"/>
    <w:rsid w:val="008D067F"/>
    <w:rsid w:val="008D599A"/>
    <w:rsid w:val="008E510A"/>
    <w:rsid w:val="008E66B8"/>
    <w:rsid w:val="008E7F09"/>
    <w:rsid w:val="008F0A2E"/>
    <w:rsid w:val="008F1988"/>
    <w:rsid w:val="008F5CE3"/>
    <w:rsid w:val="008F6252"/>
    <w:rsid w:val="008F7095"/>
    <w:rsid w:val="009023F3"/>
    <w:rsid w:val="0090383C"/>
    <w:rsid w:val="00910AE5"/>
    <w:rsid w:val="00912132"/>
    <w:rsid w:val="00914E7A"/>
    <w:rsid w:val="00921161"/>
    <w:rsid w:val="00922FAD"/>
    <w:rsid w:val="00923FFD"/>
    <w:rsid w:val="00924930"/>
    <w:rsid w:val="00924F0A"/>
    <w:rsid w:val="00926157"/>
    <w:rsid w:val="0092708B"/>
    <w:rsid w:val="0093049D"/>
    <w:rsid w:val="00937713"/>
    <w:rsid w:val="009460FF"/>
    <w:rsid w:val="0094759E"/>
    <w:rsid w:val="00947BE4"/>
    <w:rsid w:val="00950969"/>
    <w:rsid w:val="0095455E"/>
    <w:rsid w:val="0095547F"/>
    <w:rsid w:val="009614A0"/>
    <w:rsid w:val="00962BF1"/>
    <w:rsid w:val="0096682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B69FB"/>
    <w:rsid w:val="009C12CA"/>
    <w:rsid w:val="009C149E"/>
    <w:rsid w:val="009C17F8"/>
    <w:rsid w:val="009C1C14"/>
    <w:rsid w:val="009C3034"/>
    <w:rsid w:val="009C57D3"/>
    <w:rsid w:val="009C69FB"/>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D2D"/>
    <w:rsid w:val="00A13E12"/>
    <w:rsid w:val="00A1417E"/>
    <w:rsid w:val="00A15281"/>
    <w:rsid w:val="00A22646"/>
    <w:rsid w:val="00A230F5"/>
    <w:rsid w:val="00A26FF7"/>
    <w:rsid w:val="00A30174"/>
    <w:rsid w:val="00A30230"/>
    <w:rsid w:val="00A31363"/>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72"/>
    <w:rsid w:val="00A9064A"/>
    <w:rsid w:val="00A94259"/>
    <w:rsid w:val="00A95D95"/>
    <w:rsid w:val="00A977EC"/>
    <w:rsid w:val="00AA1320"/>
    <w:rsid w:val="00AA1809"/>
    <w:rsid w:val="00AA2851"/>
    <w:rsid w:val="00AA3FD1"/>
    <w:rsid w:val="00AA52DE"/>
    <w:rsid w:val="00AA61AF"/>
    <w:rsid w:val="00AB11B3"/>
    <w:rsid w:val="00AB35AC"/>
    <w:rsid w:val="00AB5C37"/>
    <w:rsid w:val="00AB5ED3"/>
    <w:rsid w:val="00AB6B0C"/>
    <w:rsid w:val="00AB70CD"/>
    <w:rsid w:val="00AB763B"/>
    <w:rsid w:val="00AC0153"/>
    <w:rsid w:val="00AC4898"/>
    <w:rsid w:val="00AC48B3"/>
    <w:rsid w:val="00AC7AC9"/>
    <w:rsid w:val="00AD387D"/>
    <w:rsid w:val="00AD7A01"/>
    <w:rsid w:val="00AE1920"/>
    <w:rsid w:val="00AF01B3"/>
    <w:rsid w:val="00AF0F13"/>
    <w:rsid w:val="00AF1E76"/>
    <w:rsid w:val="00AF7992"/>
    <w:rsid w:val="00B00AB3"/>
    <w:rsid w:val="00B100B0"/>
    <w:rsid w:val="00B11266"/>
    <w:rsid w:val="00B12F22"/>
    <w:rsid w:val="00B14C52"/>
    <w:rsid w:val="00B1648A"/>
    <w:rsid w:val="00B200AA"/>
    <w:rsid w:val="00B2010B"/>
    <w:rsid w:val="00B22A4D"/>
    <w:rsid w:val="00B24669"/>
    <w:rsid w:val="00B2488E"/>
    <w:rsid w:val="00B25EB3"/>
    <w:rsid w:val="00B30F32"/>
    <w:rsid w:val="00B310AA"/>
    <w:rsid w:val="00B35AD9"/>
    <w:rsid w:val="00B40B6C"/>
    <w:rsid w:val="00B414F1"/>
    <w:rsid w:val="00B478C3"/>
    <w:rsid w:val="00B504BC"/>
    <w:rsid w:val="00B52715"/>
    <w:rsid w:val="00B55E04"/>
    <w:rsid w:val="00B5720F"/>
    <w:rsid w:val="00B60B09"/>
    <w:rsid w:val="00B60EF6"/>
    <w:rsid w:val="00B61348"/>
    <w:rsid w:val="00B6263F"/>
    <w:rsid w:val="00B65DA9"/>
    <w:rsid w:val="00B67114"/>
    <w:rsid w:val="00B7521D"/>
    <w:rsid w:val="00B75449"/>
    <w:rsid w:val="00B7754B"/>
    <w:rsid w:val="00B81284"/>
    <w:rsid w:val="00B8134B"/>
    <w:rsid w:val="00B81DB1"/>
    <w:rsid w:val="00B878A8"/>
    <w:rsid w:val="00B97CB5"/>
    <w:rsid w:val="00BA14A1"/>
    <w:rsid w:val="00BA29D8"/>
    <w:rsid w:val="00BA527C"/>
    <w:rsid w:val="00BA7F6B"/>
    <w:rsid w:val="00BB17AE"/>
    <w:rsid w:val="00BB57DB"/>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0676C"/>
    <w:rsid w:val="00C1090C"/>
    <w:rsid w:val="00C229E8"/>
    <w:rsid w:val="00C240C8"/>
    <w:rsid w:val="00C26513"/>
    <w:rsid w:val="00C328C9"/>
    <w:rsid w:val="00C3366E"/>
    <w:rsid w:val="00C35BA8"/>
    <w:rsid w:val="00C37F72"/>
    <w:rsid w:val="00C41DFE"/>
    <w:rsid w:val="00C420C1"/>
    <w:rsid w:val="00C43FEE"/>
    <w:rsid w:val="00C4414C"/>
    <w:rsid w:val="00C44772"/>
    <w:rsid w:val="00C45963"/>
    <w:rsid w:val="00C472B8"/>
    <w:rsid w:val="00C529FD"/>
    <w:rsid w:val="00C53124"/>
    <w:rsid w:val="00C53AEE"/>
    <w:rsid w:val="00C53B2E"/>
    <w:rsid w:val="00C55915"/>
    <w:rsid w:val="00C56961"/>
    <w:rsid w:val="00C573AA"/>
    <w:rsid w:val="00C57FD0"/>
    <w:rsid w:val="00C6160A"/>
    <w:rsid w:val="00C626B9"/>
    <w:rsid w:val="00C65711"/>
    <w:rsid w:val="00C76ECD"/>
    <w:rsid w:val="00C807ED"/>
    <w:rsid w:val="00C80FB2"/>
    <w:rsid w:val="00C82883"/>
    <w:rsid w:val="00C82DE1"/>
    <w:rsid w:val="00C84A3C"/>
    <w:rsid w:val="00C84E04"/>
    <w:rsid w:val="00C87582"/>
    <w:rsid w:val="00C87D18"/>
    <w:rsid w:val="00C910BE"/>
    <w:rsid w:val="00C91EB8"/>
    <w:rsid w:val="00C922BE"/>
    <w:rsid w:val="00C93D9D"/>
    <w:rsid w:val="00C97722"/>
    <w:rsid w:val="00CA1C37"/>
    <w:rsid w:val="00CA1E23"/>
    <w:rsid w:val="00CA45E6"/>
    <w:rsid w:val="00CA583F"/>
    <w:rsid w:val="00CA5844"/>
    <w:rsid w:val="00CA7415"/>
    <w:rsid w:val="00CB265C"/>
    <w:rsid w:val="00CB32BC"/>
    <w:rsid w:val="00CB4540"/>
    <w:rsid w:val="00CB6CFA"/>
    <w:rsid w:val="00CB7A07"/>
    <w:rsid w:val="00CC0E5B"/>
    <w:rsid w:val="00CC2A03"/>
    <w:rsid w:val="00CC59BB"/>
    <w:rsid w:val="00CC5A52"/>
    <w:rsid w:val="00CC5CAF"/>
    <w:rsid w:val="00CD01DD"/>
    <w:rsid w:val="00CD0464"/>
    <w:rsid w:val="00CD3BD4"/>
    <w:rsid w:val="00CD5DFA"/>
    <w:rsid w:val="00CD635D"/>
    <w:rsid w:val="00CD6DEE"/>
    <w:rsid w:val="00CD7CED"/>
    <w:rsid w:val="00CE04C7"/>
    <w:rsid w:val="00CE54A3"/>
    <w:rsid w:val="00CF156B"/>
    <w:rsid w:val="00CF1E02"/>
    <w:rsid w:val="00CF4ACB"/>
    <w:rsid w:val="00CF5056"/>
    <w:rsid w:val="00CF597A"/>
    <w:rsid w:val="00D0103F"/>
    <w:rsid w:val="00D05BAA"/>
    <w:rsid w:val="00D06BC8"/>
    <w:rsid w:val="00D07904"/>
    <w:rsid w:val="00D07F26"/>
    <w:rsid w:val="00D10F16"/>
    <w:rsid w:val="00D11A09"/>
    <w:rsid w:val="00D13B7A"/>
    <w:rsid w:val="00D16045"/>
    <w:rsid w:val="00D1725B"/>
    <w:rsid w:val="00D226DA"/>
    <w:rsid w:val="00D22C4B"/>
    <w:rsid w:val="00D230C7"/>
    <w:rsid w:val="00D23E7D"/>
    <w:rsid w:val="00D2405F"/>
    <w:rsid w:val="00D25F38"/>
    <w:rsid w:val="00D26213"/>
    <w:rsid w:val="00D30C7F"/>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673E"/>
    <w:rsid w:val="00D71E3E"/>
    <w:rsid w:val="00D745E0"/>
    <w:rsid w:val="00D7537C"/>
    <w:rsid w:val="00D76AA3"/>
    <w:rsid w:val="00D80136"/>
    <w:rsid w:val="00D80604"/>
    <w:rsid w:val="00D838B0"/>
    <w:rsid w:val="00D841D8"/>
    <w:rsid w:val="00D86F6B"/>
    <w:rsid w:val="00D870DF"/>
    <w:rsid w:val="00D87346"/>
    <w:rsid w:val="00D901C3"/>
    <w:rsid w:val="00D92475"/>
    <w:rsid w:val="00D95190"/>
    <w:rsid w:val="00D9706F"/>
    <w:rsid w:val="00DA0040"/>
    <w:rsid w:val="00DA086B"/>
    <w:rsid w:val="00DA1D7A"/>
    <w:rsid w:val="00DA5DF4"/>
    <w:rsid w:val="00DA6834"/>
    <w:rsid w:val="00DA6CBB"/>
    <w:rsid w:val="00DA7145"/>
    <w:rsid w:val="00DA7E05"/>
    <w:rsid w:val="00DB283F"/>
    <w:rsid w:val="00DB4794"/>
    <w:rsid w:val="00DB5C3E"/>
    <w:rsid w:val="00DB628E"/>
    <w:rsid w:val="00DB6F22"/>
    <w:rsid w:val="00DC0195"/>
    <w:rsid w:val="00DD2D56"/>
    <w:rsid w:val="00DE1E39"/>
    <w:rsid w:val="00DE20B3"/>
    <w:rsid w:val="00DE79FC"/>
    <w:rsid w:val="00DF3959"/>
    <w:rsid w:val="00DF47D6"/>
    <w:rsid w:val="00DF4D5A"/>
    <w:rsid w:val="00DF5425"/>
    <w:rsid w:val="00DF70A5"/>
    <w:rsid w:val="00DF782C"/>
    <w:rsid w:val="00E01EAE"/>
    <w:rsid w:val="00E030A0"/>
    <w:rsid w:val="00E04F16"/>
    <w:rsid w:val="00E075A1"/>
    <w:rsid w:val="00E124E3"/>
    <w:rsid w:val="00E14812"/>
    <w:rsid w:val="00E15231"/>
    <w:rsid w:val="00E15DDE"/>
    <w:rsid w:val="00E17B01"/>
    <w:rsid w:val="00E2339E"/>
    <w:rsid w:val="00E24151"/>
    <w:rsid w:val="00E3245B"/>
    <w:rsid w:val="00E32DCD"/>
    <w:rsid w:val="00E33FF6"/>
    <w:rsid w:val="00E3707B"/>
    <w:rsid w:val="00E373EE"/>
    <w:rsid w:val="00E40AC4"/>
    <w:rsid w:val="00E43307"/>
    <w:rsid w:val="00E43BCD"/>
    <w:rsid w:val="00E46D1B"/>
    <w:rsid w:val="00E50685"/>
    <w:rsid w:val="00E57F6B"/>
    <w:rsid w:val="00E6234F"/>
    <w:rsid w:val="00E62E89"/>
    <w:rsid w:val="00E67AC7"/>
    <w:rsid w:val="00E7076B"/>
    <w:rsid w:val="00E71CFD"/>
    <w:rsid w:val="00E720F4"/>
    <w:rsid w:val="00E7342C"/>
    <w:rsid w:val="00E736F7"/>
    <w:rsid w:val="00E753F9"/>
    <w:rsid w:val="00E75D8A"/>
    <w:rsid w:val="00E76363"/>
    <w:rsid w:val="00E77C78"/>
    <w:rsid w:val="00E8398A"/>
    <w:rsid w:val="00E84D0F"/>
    <w:rsid w:val="00E90BE3"/>
    <w:rsid w:val="00E90D6F"/>
    <w:rsid w:val="00E91D81"/>
    <w:rsid w:val="00E9272C"/>
    <w:rsid w:val="00E92BC2"/>
    <w:rsid w:val="00E93F53"/>
    <w:rsid w:val="00E97617"/>
    <w:rsid w:val="00EA010E"/>
    <w:rsid w:val="00EA5B63"/>
    <w:rsid w:val="00EA5E18"/>
    <w:rsid w:val="00EA6389"/>
    <w:rsid w:val="00EB1E33"/>
    <w:rsid w:val="00EB700A"/>
    <w:rsid w:val="00EB7AE1"/>
    <w:rsid w:val="00EC06D9"/>
    <w:rsid w:val="00EC0881"/>
    <w:rsid w:val="00EC1CF8"/>
    <w:rsid w:val="00EC5A3D"/>
    <w:rsid w:val="00ED3ED6"/>
    <w:rsid w:val="00EE1C19"/>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6399"/>
    <w:rsid w:val="00F57615"/>
    <w:rsid w:val="00F614F8"/>
    <w:rsid w:val="00F62561"/>
    <w:rsid w:val="00F6270D"/>
    <w:rsid w:val="00F62A08"/>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B10C5"/>
    <w:rsid w:val="00FB5358"/>
    <w:rsid w:val="00FB60B3"/>
    <w:rsid w:val="00FC3C96"/>
    <w:rsid w:val="00FC4EC2"/>
    <w:rsid w:val="00FC63AB"/>
    <w:rsid w:val="00FC7633"/>
    <w:rsid w:val="00FD05E5"/>
    <w:rsid w:val="00FD2470"/>
    <w:rsid w:val="00FD567B"/>
    <w:rsid w:val="00FD5823"/>
    <w:rsid w:val="00FD6DD9"/>
    <w:rsid w:val="00FE1C27"/>
    <w:rsid w:val="00FE1CF1"/>
    <w:rsid w:val="00FE34AE"/>
    <w:rsid w:val="00FE5C31"/>
    <w:rsid w:val="00FF1B0E"/>
    <w:rsid w:val="00FF46C6"/>
    <w:rsid w:val="00FF748B"/>
    <w:rsid w:val="00FF77B6"/>
    <w:rsid w:val="01056664"/>
    <w:rsid w:val="011C0103"/>
    <w:rsid w:val="01246812"/>
    <w:rsid w:val="01266B4B"/>
    <w:rsid w:val="012F50E1"/>
    <w:rsid w:val="0132783D"/>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47E56"/>
    <w:rsid w:val="017768FF"/>
    <w:rsid w:val="01815229"/>
    <w:rsid w:val="01962FD2"/>
    <w:rsid w:val="01964B22"/>
    <w:rsid w:val="01985A6F"/>
    <w:rsid w:val="019953A2"/>
    <w:rsid w:val="019A5CA0"/>
    <w:rsid w:val="01AE557C"/>
    <w:rsid w:val="01B63701"/>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D3FD4"/>
    <w:rsid w:val="02516F48"/>
    <w:rsid w:val="025C1016"/>
    <w:rsid w:val="02624152"/>
    <w:rsid w:val="02637303"/>
    <w:rsid w:val="0265564A"/>
    <w:rsid w:val="026F7C66"/>
    <w:rsid w:val="027431B7"/>
    <w:rsid w:val="027B7EDC"/>
    <w:rsid w:val="027E49FA"/>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705FE"/>
    <w:rsid w:val="03391357"/>
    <w:rsid w:val="033C5E0D"/>
    <w:rsid w:val="034B7137"/>
    <w:rsid w:val="035345EF"/>
    <w:rsid w:val="03545863"/>
    <w:rsid w:val="03574F05"/>
    <w:rsid w:val="035B58BA"/>
    <w:rsid w:val="036B4775"/>
    <w:rsid w:val="038C0E81"/>
    <w:rsid w:val="038F1A25"/>
    <w:rsid w:val="038F2C54"/>
    <w:rsid w:val="03953737"/>
    <w:rsid w:val="039706A5"/>
    <w:rsid w:val="0398181B"/>
    <w:rsid w:val="03984DDF"/>
    <w:rsid w:val="039876CD"/>
    <w:rsid w:val="039B63FA"/>
    <w:rsid w:val="039C7443"/>
    <w:rsid w:val="03A31DA0"/>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3544B"/>
    <w:rsid w:val="04186EF4"/>
    <w:rsid w:val="041D77FC"/>
    <w:rsid w:val="043826BA"/>
    <w:rsid w:val="04383E6E"/>
    <w:rsid w:val="044131A2"/>
    <w:rsid w:val="044272AF"/>
    <w:rsid w:val="04480C5A"/>
    <w:rsid w:val="04491E61"/>
    <w:rsid w:val="044B17BC"/>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92FB5"/>
    <w:rsid w:val="04DA7714"/>
    <w:rsid w:val="04E226A3"/>
    <w:rsid w:val="04E5490C"/>
    <w:rsid w:val="04EC056D"/>
    <w:rsid w:val="04F27A0F"/>
    <w:rsid w:val="04F60562"/>
    <w:rsid w:val="04F86C6C"/>
    <w:rsid w:val="05055A52"/>
    <w:rsid w:val="050C6C36"/>
    <w:rsid w:val="05121E5F"/>
    <w:rsid w:val="051D030C"/>
    <w:rsid w:val="05205AFD"/>
    <w:rsid w:val="05261CB8"/>
    <w:rsid w:val="05334DC9"/>
    <w:rsid w:val="05380D96"/>
    <w:rsid w:val="053E4293"/>
    <w:rsid w:val="05401C2D"/>
    <w:rsid w:val="05410997"/>
    <w:rsid w:val="054D6798"/>
    <w:rsid w:val="05515A58"/>
    <w:rsid w:val="055A7C97"/>
    <w:rsid w:val="056E3781"/>
    <w:rsid w:val="057220CC"/>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342E1"/>
    <w:rsid w:val="06243E1D"/>
    <w:rsid w:val="062A71AC"/>
    <w:rsid w:val="06325BF4"/>
    <w:rsid w:val="063B590B"/>
    <w:rsid w:val="063D2F0C"/>
    <w:rsid w:val="063D47E5"/>
    <w:rsid w:val="06401EF3"/>
    <w:rsid w:val="06415F8F"/>
    <w:rsid w:val="06431377"/>
    <w:rsid w:val="06547798"/>
    <w:rsid w:val="06615EC2"/>
    <w:rsid w:val="06645072"/>
    <w:rsid w:val="066F6244"/>
    <w:rsid w:val="067322B0"/>
    <w:rsid w:val="06747E2F"/>
    <w:rsid w:val="06795232"/>
    <w:rsid w:val="067B126A"/>
    <w:rsid w:val="067D155B"/>
    <w:rsid w:val="067D21B2"/>
    <w:rsid w:val="06833B6B"/>
    <w:rsid w:val="068511F9"/>
    <w:rsid w:val="068D312B"/>
    <w:rsid w:val="06921C7D"/>
    <w:rsid w:val="069D20B4"/>
    <w:rsid w:val="06A04B10"/>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66EB"/>
    <w:rsid w:val="074841EC"/>
    <w:rsid w:val="0749550B"/>
    <w:rsid w:val="07535BC6"/>
    <w:rsid w:val="075823FB"/>
    <w:rsid w:val="076B0951"/>
    <w:rsid w:val="076C5619"/>
    <w:rsid w:val="07777405"/>
    <w:rsid w:val="077C1812"/>
    <w:rsid w:val="077F1302"/>
    <w:rsid w:val="078538A6"/>
    <w:rsid w:val="078D428E"/>
    <w:rsid w:val="078F66BB"/>
    <w:rsid w:val="079469D8"/>
    <w:rsid w:val="07950BB8"/>
    <w:rsid w:val="079B438E"/>
    <w:rsid w:val="079B5A9B"/>
    <w:rsid w:val="07A025FC"/>
    <w:rsid w:val="07A30258"/>
    <w:rsid w:val="07A37377"/>
    <w:rsid w:val="07A65996"/>
    <w:rsid w:val="07B0189D"/>
    <w:rsid w:val="07B01B10"/>
    <w:rsid w:val="07B21FEE"/>
    <w:rsid w:val="07C5140B"/>
    <w:rsid w:val="07CB5F71"/>
    <w:rsid w:val="07CE6F21"/>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7A025D"/>
    <w:rsid w:val="087A061F"/>
    <w:rsid w:val="087C5E83"/>
    <w:rsid w:val="088613DE"/>
    <w:rsid w:val="08982261"/>
    <w:rsid w:val="089963F4"/>
    <w:rsid w:val="089C5A04"/>
    <w:rsid w:val="08A444E1"/>
    <w:rsid w:val="08AE1E9F"/>
    <w:rsid w:val="08B20F06"/>
    <w:rsid w:val="08BA3379"/>
    <w:rsid w:val="08C84E5F"/>
    <w:rsid w:val="08CF4B03"/>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D6E32"/>
    <w:rsid w:val="09460B2C"/>
    <w:rsid w:val="094C4C74"/>
    <w:rsid w:val="095078F6"/>
    <w:rsid w:val="09547283"/>
    <w:rsid w:val="0955056D"/>
    <w:rsid w:val="095C1E56"/>
    <w:rsid w:val="09617E80"/>
    <w:rsid w:val="09657494"/>
    <w:rsid w:val="09741D15"/>
    <w:rsid w:val="0978475E"/>
    <w:rsid w:val="097C06E7"/>
    <w:rsid w:val="099059EB"/>
    <w:rsid w:val="099318F4"/>
    <w:rsid w:val="09945541"/>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1902"/>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C5B9C"/>
    <w:rsid w:val="0B0F74C9"/>
    <w:rsid w:val="0B1535D5"/>
    <w:rsid w:val="0B1773D1"/>
    <w:rsid w:val="0B1C6496"/>
    <w:rsid w:val="0B1E164C"/>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E00DB"/>
    <w:rsid w:val="0BBA5F6F"/>
    <w:rsid w:val="0BBD3C62"/>
    <w:rsid w:val="0BC07C10"/>
    <w:rsid w:val="0BC12B5D"/>
    <w:rsid w:val="0BC7722C"/>
    <w:rsid w:val="0BC82FE5"/>
    <w:rsid w:val="0BCF528E"/>
    <w:rsid w:val="0BD2745A"/>
    <w:rsid w:val="0BD954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A3F33"/>
    <w:rsid w:val="0C2B38F0"/>
    <w:rsid w:val="0C2E7655"/>
    <w:rsid w:val="0C311A54"/>
    <w:rsid w:val="0C316624"/>
    <w:rsid w:val="0C377C06"/>
    <w:rsid w:val="0C43388C"/>
    <w:rsid w:val="0C4C60A6"/>
    <w:rsid w:val="0C4F5B19"/>
    <w:rsid w:val="0C5D2722"/>
    <w:rsid w:val="0C5E145C"/>
    <w:rsid w:val="0C612659"/>
    <w:rsid w:val="0C612C5C"/>
    <w:rsid w:val="0C6F2BF3"/>
    <w:rsid w:val="0C716AE3"/>
    <w:rsid w:val="0C8068C9"/>
    <w:rsid w:val="0C833FFA"/>
    <w:rsid w:val="0C843673"/>
    <w:rsid w:val="0C865540"/>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70CC"/>
    <w:rsid w:val="0CE865C3"/>
    <w:rsid w:val="0CED11B7"/>
    <w:rsid w:val="0CF2202E"/>
    <w:rsid w:val="0D0425B6"/>
    <w:rsid w:val="0D075E3F"/>
    <w:rsid w:val="0D0A17D8"/>
    <w:rsid w:val="0D0B0CD9"/>
    <w:rsid w:val="0D0E115E"/>
    <w:rsid w:val="0D137A8C"/>
    <w:rsid w:val="0D137FC4"/>
    <w:rsid w:val="0D150730"/>
    <w:rsid w:val="0D242BD2"/>
    <w:rsid w:val="0D2619B3"/>
    <w:rsid w:val="0D2A76B4"/>
    <w:rsid w:val="0D2B10B1"/>
    <w:rsid w:val="0D2F0EA5"/>
    <w:rsid w:val="0D383ABB"/>
    <w:rsid w:val="0D3A01A5"/>
    <w:rsid w:val="0D424DB8"/>
    <w:rsid w:val="0D4252AC"/>
    <w:rsid w:val="0D4255C5"/>
    <w:rsid w:val="0D4C4C43"/>
    <w:rsid w:val="0D6C2A58"/>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B1369"/>
    <w:rsid w:val="0E786D24"/>
    <w:rsid w:val="0E7F1819"/>
    <w:rsid w:val="0E7F235C"/>
    <w:rsid w:val="0E823C27"/>
    <w:rsid w:val="0E843C55"/>
    <w:rsid w:val="0E8631D1"/>
    <w:rsid w:val="0E8E30AE"/>
    <w:rsid w:val="0E8F20EF"/>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D4036"/>
    <w:rsid w:val="0EDF2EF7"/>
    <w:rsid w:val="0EE247D9"/>
    <w:rsid w:val="0EE309BA"/>
    <w:rsid w:val="0EE4486D"/>
    <w:rsid w:val="0EEC2D4A"/>
    <w:rsid w:val="0EED7365"/>
    <w:rsid w:val="0EF209AB"/>
    <w:rsid w:val="0EF4268D"/>
    <w:rsid w:val="0EFE6BA6"/>
    <w:rsid w:val="0F016078"/>
    <w:rsid w:val="0F022360"/>
    <w:rsid w:val="0F164AFD"/>
    <w:rsid w:val="0F2B48BF"/>
    <w:rsid w:val="0F2D4960"/>
    <w:rsid w:val="0F375198"/>
    <w:rsid w:val="0F3B3437"/>
    <w:rsid w:val="0F3E1484"/>
    <w:rsid w:val="0F421325"/>
    <w:rsid w:val="0F4366A5"/>
    <w:rsid w:val="0F4437CE"/>
    <w:rsid w:val="0F460CBE"/>
    <w:rsid w:val="0F474774"/>
    <w:rsid w:val="0F4864ED"/>
    <w:rsid w:val="0F492155"/>
    <w:rsid w:val="0F4C1DC9"/>
    <w:rsid w:val="0F4C20AF"/>
    <w:rsid w:val="0F5565E1"/>
    <w:rsid w:val="0F6E00F9"/>
    <w:rsid w:val="0F6E5828"/>
    <w:rsid w:val="0F790EA8"/>
    <w:rsid w:val="0F792383"/>
    <w:rsid w:val="0F794C09"/>
    <w:rsid w:val="0F7979C1"/>
    <w:rsid w:val="0F824B26"/>
    <w:rsid w:val="0F927F95"/>
    <w:rsid w:val="0F930A6E"/>
    <w:rsid w:val="0F9631F9"/>
    <w:rsid w:val="0F9B283C"/>
    <w:rsid w:val="0FA37174"/>
    <w:rsid w:val="0FAA274B"/>
    <w:rsid w:val="0FAD464E"/>
    <w:rsid w:val="0FB0279A"/>
    <w:rsid w:val="0FB14BA2"/>
    <w:rsid w:val="0FB5389D"/>
    <w:rsid w:val="0FBE3C62"/>
    <w:rsid w:val="0FBF5D4B"/>
    <w:rsid w:val="0FC9397E"/>
    <w:rsid w:val="0FD10748"/>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A34F3"/>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D017C"/>
    <w:rsid w:val="112D4261"/>
    <w:rsid w:val="112D4BA4"/>
    <w:rsid w:val="11365128"/>
    <w:rsid w:val="1139431F"/>
    <w:rsid w:val="113D0264"/>
    <w:rsid w:val="113E16DA"/>
    <w:rsid w:val="114268CC"/>
    <w:rsid w:val="114952B5"/>
    <w:rsid w:val="114A7A50"/>
    <w:rsid w:val="114C5709"/>
    <w:rsid w:val="114D4E4D"/>
    <w:rsid w:val="1151565E"/>
    <w:rsid w:val="115A722B"/>
    <w:rsid w:val="1160162E"/>
    <w:rsid w:val="11614235"/>
    <w:rsid w:val="11614619"/>
    <w:rsid w:val="1179708C"/>
    <w:rsid w:val="117A6C71"/>
    <w:rsid w:val="118D0D7D"/>
    <w:rsid w:val="118E17F0"/>
    <w:rsid w:val="118E434D"/>
    <w:rsid w:val="11915109"/>
    <w:rsid w:val="11A169D9"/>
    <w:rsid w:val="11A31F0C"/>
    <w:rsid w:val="11AB147C"/>
    <w:rsid w:val="11AF0BB2"/>
    <w:rsid w:val="11BC3F35"/>
    <w:rsid w:val="11C05193"/>
    <w:rsid w:val="11C646FD"/>
    <w:rsid w:val="11C67F8F"/>
    <w:rsid w:val="11CC3396"/>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F2541E"/>
    <w:rsid w:val="13F7521A"/>
    <w:rsid w:val="14005867"/>
    <w:rsid w:val="14015067"/>
    <w:rsid w:val="14051B60"/>
    <w:rsid w:val="1405356D"/>
    <w:rsid w:val="1408524F"/>
    <w:rsid w:val="141642BD"/>
    <w:rsid w:val="1418501A"/>
    <w:rsid w:val="14185AFB"/>
    <w:rsid w:val="14191294"/>
    <w:rsid w:val="14193025"/>
    <w:rsid w:val="141A6514"/>
    <w:rsid w:val="142A3A14"/>
    <w:rsid w:val="142E590A"/>
    <w:rsid w:val="14327133"/>
    <w:rsid w:val="143369AC"/>
    <w:rsid w:val="14353475"/>
    <w:rsid w:val="1439188B"/>
    <w:rsid w:val="143A631E"/>
    <w:rsid w:val="1441660B"/>
    <w:rsid w:val="1443582D"/>
    <w:rsid w:val="144834E1"/>
    <w:rsid w:val="14496F20"/>
    <w:rsid w:val="144A0171"/>
    <w:rsid w:val="144C5802"/>
    <w:rsid w:val="146E06FC"/>
    <w:rsid w:val="146F3559"/>
    <w:rsid w:val="146F6CB7"/>
    <w:rsid w:val="14745611"/>
    <w:rsid w:val="1476702E"/>
    <w:rsid w:val="147A5E14"/>
    <w:rsid w:val="1494473E"/>
    <w:rsid w:val="149A307E"/>
    <w:rsid w:val="149F4798"/>
    <w:rsid w:val="14A0526E"/>
    <w:rsid w:val="14A37835"/>
    <w:rsid w:val="14A87052"/>
    <w:rsid w:val="14B103C4"/>
    <w:rsid w:val="14B11E44"/>
    <w:rsid w:val="14B64A7C"/>
    <w:rsid w:val="14B7140E"/>
    <w:rsid w:val="14C2547A"/>
    <w:rsid w:val="14CA0061"/>
    <w:rsid w:val="14CC4BF5"/>
    <w:rsid w:val="14CD18FF"/>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114340"/>
    <w:rsid w:val="15153C42"/>
    <w:rsid w:val="15191180"/>
    <w:rsid w:val="15284C2D"/>
    <w:rsid w:val="152A6C00"/>
    <w:rsid w:val="1530301B"/>
    <w:rsid w:val="1534372C"/>
    <w:rsid w:val="15376E6C"/>
    <w:rsid w:val="15377344"/>
    <w:rsid w:val="154170A3"/>
    <w:rsid w:val="154C35C8"/>
    <w:rsid w:val="15656C74"/>
    <w:rsid w:val="15686972"/>
    <w:rsid w:val="15695ACC"/>
    <w:rsid w:val="156C7641"/>
    <w:rsid w:val="15724B60"/>
    <w:rsid w:val="15765873"/>
    <w:rsid w:val="15791C5F"/>
    <w:rsid w:val="158444BD"/>
    <w:rsid w:val="15916DD0"/>
    <w:rsid w:val="15971754"/>
    <w:rsid w:val="159C62BF"/>
    <w:rsid w:val="159E7527"/>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46586F"/>
    <w:rsid w:val="1749410C"/>
    <w:rsid w:val="175023C0"/>
    <w:rsid w:val="1750713D"/>
    <w:rsid w:val="1757379D"/>
    <w:rsid w:val="17575DF8"/>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C7A8D"/>
    <w:rsid w:val="17DE5931"/>
    <w:rsid w:val="17EC3984"/>
    <w:rsid w:val="17EC65EE"/>
    <w:rsid w:val="17F16E39"/>
    <w:rsid w:val="17FA4BA6"/>
    <w:rsid w:val="18073F68"/>
    <w:rsid w:val="180F18CE"/>
    <w:rsid w:val="18107A5B"/>
    <w:rsid w:val="181E077D"/>
    <w:rsid w:val="182C2055"/>
    <w:rsid w:val="183801FB"/>
    <w:rsid w:val="18425EE3"/>
    <w:rsid w:val="184616E8"/>
    <w:rsid w:val="184749BF"/>
    <w:rsid w:val="18494338"/>
    <w:rsid w:val="185A16FC"/>
    <w:rsid w:val="186708C6"/>
    <w:rsid w:val="186B0157"/>
    <w:rsid w:val="186B6F29"/>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A18A1"/>
    <w:rsid w:val="192D0833"/>
    <w:rsid w:val="192E171E"/>
    <w:rsid w:val="192E3783"/>
    <w:rsid w:val="193625B1"/>
    <w:rsid w:val="193A1B5C"/>
    <w:rsid w:val="19466FFD"/>
    <w:rsid w:val="194A2F52"/>
    <w:rsid w:val="194D3ADA"/>
    <w:rsid w:val="194D5C4F"/>
    <w:rsid w:val="19566367"/>
    <w:rsid w:val="196579A7"/>
    <w:rsid w:val="196865C4"/>
    <w:rsid w:val="196B2F1B"/>
    <w:rsid w:val="1972036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17474"/>
    <w:rsid w:val="19E679C4"/>
    <w:rsid w:val="19F04E00"/>
    <w:rsid w:val="1A05647A"/>
    <w:rsid w:val="1A0E4AA5"/>
    <w:rsid w:val="1A106391"/>
    <w:rsid w:val="1A122E3C"/>
    <w:rsid w:val="1A136B8B"/>
    <w:rsid w:val="1A1F0E4F"/>
    <w:rsid w:val="1A2128A4"/>
    <w:rsid w:val="1A3366A8"/>
    <w:rsid w:val="1A371556"/>
    <w:rsid w:val="1A384B78"/>
    <w:rsid w:val="1A3A18BF"/>
    <w:rsid w:val="1A3D0133"/>
    <w:rsid w:val="1A451D07"/>
    <w:rsid w:val="1A5124B6"/>
    <w:rsid w:val="1A532233"/>
    <w:rsid w:val="1A6051EC"/>
    <w:rsid w:val="1A6D25DE"/>
    <w:rsid w:val="1A6E76E0"/>
    <w:rsid w:val="1A705ED5"/>
    <w:rsid w:val="1A727F5D"/>
    <w:rsid w:val="1A7C4584"/>
    <w:rsid w:val="1A8062A0"/>
    <w:rsid w:val="1A830C81"/>
    <w:rsid w:val="1A835C66"/>
    <w:rsid w:val="1A851247"/>
    <w:rsid w:val="1A977C51"/>
    <w:rsid w:val="1A99742B"/>
    <w:rsid w:val="1A9A68CF"/>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962ED"/>
    <w:rsid w:val="1B923200"/>
    <w:rsid w:val="1B9367A2"/>
    <w:rsid w:val="1B9470D9"/>
    <w:rsid w:val="1B962411"/>
    <w:rsid w:val="1B9C5331"/>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34DB3"/>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614AB"/>
    <w:rsid w:val="1CDB1DBD"/>
    <w:rsid w:val="1CDF00A2"/>
    <w:rsid w:val="1CDF48C5"/>
    <w:rsid w:val="1CE011A0"/>
    <w:rsid w:val="1CE23FA2"/>
    <w:rsid w:val="1CE4528A"/>
    <w:rsid w:val="1CE63109"/>
    <w:rsid w:val="1CEF156C"/>
    <w:rsid w:val="1CF029E0"/>
    <w:rsid w:val="1CF41CE4"/>
    <w:rsid w:val="1CF43EE9"/>
    <w:rsid w:val="1CFD77ED"/>
    <w:rsid w:val="1CFE1560"/>
    <w:rsid w:val="1D057ED5"/>
    <w:rsid w:val="1D073A3F"/>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801D4"/>
    <w:rsid w:val="1D584BAA"/>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37ECD"/>
    <w:rsid w:val="1DB52F6A"/>
    <w:rsid w:val="1DBB7F76"/>
    <w:rsid w:val="1DBC4C07"/>
    <w:rsid w:val="1DC83080"/>
    <w:rsid w:val="1DC945BE"/>
    <w:rsid w:val="1DCC1C5F"/>
    <w:rsid w:val="1DD44E24"/>
    <w:rsid w:val="1DD56B3D"/>
    <w:rsid w:val="1DD731EA"/>
    <w:rsid w:val="1DD96B7E"/>
    <w:rsid w:val="1DDC4B35"/>
    <w:rsid w:val="1DDD69E8"/>
    <w:rsid w:val="1DDF0D4A"/>
    <w:rsid w:val="1DE627C9"/>
    <w:rsid w:val="1DEA64CB"/>
    <w:rsid w:val="1DF319EF"/>
    <w:rsid w:val="1E013C56"/>
    <w:rsid w:val="1E0C11FD"/>
    <w:rsid w:val="1E143C52"/>
    <w:rsid w:val="1E1B095F"/>
    <w:rsid w:val="1E1D1445"/>
    <w:rsid w:val="1E281582"/>
    <w:rsid w:val="1E2846B0"/>
    <w:rsid w:val="1E2A0088"/>
    <w:rsid w:val="1E2F37B8"/>
    <w:rsid w:val="1E3D6BE6"/>
    <w:rsid w:val="1E413094"/>
    <w:rsid w:val="1E444326"/>
    <w:rsid w:val="1E4A5DFA"/>
    <w:rsid w:val="1E50151E"/>
    <w:rsid w:val="1E603AF0"/>
    <w:rsid w:val="1E6C0801"/>
    <w:rsid w:val="1E6E1460"/>
    <w:rsid w:val="1E73014A"/>
    <w:rsid w:val="1E7A16CF"/>
    <w:rsid w:val="1E7F69A3"/>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90FDB"/>
    <w:rsid w:val="1EDA17A6"/>
    <w:rsid w:val="1EDD0402"/>
    <w:rsid w:val="1EE45408"/>
    <w:rsid w:val="1EE61E60"/>
    <w:rsid w:val="1EF6426B"/>
    <w:rsid w:val="1EF91E69"/>
    <w:rsid w:val="1EFB0950"/>
    <w:rsid w:val="1EFC62F8"/>
    <w:rsid w:val="1F0277FC"/>
    <w:rsid w:val="1F086BF9"/>
    <w:rsid w:val="1F0D218A"/>
    <w:rsid w:val="1F135806"/>
    <w:rsid w:val="1F194344"/>
    <w:rsid w:val="1F1A4F85"/>
    <w:rsid w:val="1F261ACE"/>
    <w:rsid w:val="1F2A4495"/>
    <w:rsid w:val="1F2C5771"/>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806CF"/>
    <w:rsid w:val="1F9D1251"/>
    <w:rsid w:val="1F9E6739"/>
    <w:rsid w:val="1F9F20EA"/>
    <w:rsid w:val="1FA0657D"/>
    <w:rsid w:val="1FA75DB9"/>
    <w:rsid w:val="1FA97F72"/>
    <w:rsid w:val="1FB94B3E"/>
    <w:rsid w:val="1FC01CD7"/>
    <w:rsid w:val="1FC71731"/>
    <w:rsid w:val="1FC73423"/>
    <w:rsid w:val="1FCA22C7"/>
    <w:rsid w:val="1FD12E7C"/>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90771"/>
    <w:rsid w:val="203B7034"/>
    <w:rsid w:val="203B74C0"/>
    <w:rsid w:val="20562545"/>
    <w:rsid w:val="20580C04"/>
    <w:rsid w:val="20621A95"/>
    <w:rsid w:val="20633E52"/>
    <w:rsid w:val="20697EC2"/>
    <w:rsid w:val="2073587B"/>
    <w:rsid w:val="20785704"/>
    <w:rsid w:val="20790B8D"/>
    <w:rsid w:val="20796E14"/>
    <w:rsid w:val="207A35A6"/>
    <w:rsid w:val="207A41B7"/>
    <w:rsid w:val="20841E90"/>
    <w:rsid w:val="208756D8"/>
    <w:rsid w:val="20A41963"/>
    <w:rsid w:val="20A61458"/>
    <w:rsid w:val="20B06444"/>
    <w:rsid w:val="20B36A21"/>
    <w:rsid w:val="20C31E08"/>
    <w:rsid w:val="20C441EE"/>
    <w:rsid w:val="20CF69FF"/>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154AC"/>
    <w:rsid w:val="212A5BB3"/>
    <w:rsid w:val="21333304"/>
    <w:rsid w:val="21350F58"/>
    <w:rsid w:val="214361CB"/>
    <w:rsid w:val="21474687"/>
    <w:rsid w:val="214A0A6B"/>
    <w:rsid w:val="214A116A"/>
    <w:rsid w:val="214B31F1"/>
    <w:rsid w:val="2153731E"/>
    <w:rsid w:val="21553DA3"/>
    <w:rsid w:val="21573F6C"/>
    <w:rsid w:val="215D4269"/>
    <w:rsid w:val="21640F19"/>
    <w:rsid w:val="216C642E"/>
    <w:rsid w:val="216E72AC"/>
    <w:rsid w:val="21761581"/>
    <w:rsid w:val="217854BE"/>
    <w:rsid w:val="217A351F"/>
    <w:rsid w:val="2188761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43F2B"/>
    <w:rsid w:val="21CD4909"/>
    <w:rsid w:val="21CF76D0"/>
    <w:rsid w:val="21CF78AD"/>
    <w:rsid w:val="21D133B8"/>
    <w:rsid w:val="21D84800"/>
    <w:rsid w:val="21DA40C7"/>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5469"/>
    <w:rsid w:val="229359F1"/>
    <w:rsid w:val="229D24E9"/>
    <w:rsid w:val="22AA6722"/>
    <w:rsid w:val="22AE2B11"/>
    <w:rsid w:val="22B70195"/>
    <w:rsid w:val="22BA2DBA"/>
    <w:rsid w:val="22C0475B"/>
    <w:rsid w:val="22CC733E"/>
    <w:rsid w:val="22D96782"/>
    <w:rsid w:val="22E02531"/>
    <w:rsid w:val="22E469A1"/>
    <w:rsid w:val="22E705F3"/>
    <w:rsid w:val="22F4099F"/>
    <w:rsid w:val="22F62969"/>
    <w:rsid w:val="22F81011"/>
    <w:rsid w:val="2306254D"/>
    <w:rsid w:val="23077789"/>
    <w:rsid w:val="230E044D"/>
    <w:rsid w:val="23107950"/>
    <w:rsid w:val="2319615B"/>
    <w:rsid w:val="23257B58"/>
    <w:rsid w:val="233B54BE"/>
    <w:rsid w:val="233E3C9A"/>
    <w:rsid w:val="23414E65"/>
    <w:rsid w:val="2348017C"/>
    <w:rsid w:val="234F0D41"/>
    <w:rsid w:val="235377C7"/>
    <w:rsid w:val="235758FC"/>
    <w:rsid w:val="235A5E50"/>
    <w:rsid w:val="235B7383"/>
    <w:rsid w:val="236F3EF7"/>
    <w:rsid w:val="237A5348"/>
    <w:rsid w:val="23824830"/>
    <w:rsid w:val="238D0D16"/>
    <w:rsid w:val="238D2780"/>
    <w:rsid w:val="238E3552"/>
    <w:rsid w:val="239E2117"/>
    <w:rsid w:val="23A979DB"/>
    <w:rsid w:val="23AC3027"/>
    <w:rsid w:val="23B2253D"/>
    <w:rsid w:val="23C4147D"/>
    <w:rsid w:val="23C44080"/>
    <w:rsid w:val="23CD12AE"/>
    <w:rsid w:val="23DB492B"/>
    <w:rsid w:val="23DD35E4"/>
    <w:rsid w:val="23DE002D"/>
    <w:rsid w:val="23F2607F"/>
    <w:rsid w:val="23F776D8"/>
    <w:rsid w:val="23FD1B6C"/>
    <w:rsid w:val="2400155A"/>
    <w:rsid w:val="2402179C"/>
    <w:rsid w:val="240E6F19"/>
    <w:rsid w:val="24105FA5"/>
    <w:rsid w:val="24126CC7"/>
    <w:rsid w:val="241F1CB2"/>
    <w:rsid w:val="242071FD"/>
    <w:rsid w:val="242C2E95"/>
    <w:rsid w:val="24333A79"/>
    <w:rsid w:val="24382039"/>
    <w:rsid w:val="24382188"/>
    <w:rsid w:val="243A72F1"/>
    <w:rsid w:val="243C48D8"/>
    <w:rsid w:val="243D7D25"/>
    <w:rsid w:val="24400FCA"/>
    <w:rsid w:val="244514B2"/>
    <w:rsid w:val="24463DBE"/>
    <w:rsid w:val="24482D50"/>
    <w:rsid w:val="244E747A"/>
    <w:rsid w:val="244F690B"/>
    <w:rsid w:val="24597766"/>
    <w:rsid w:val="245B63E1"/>
    <w:rsid w:val="245E13E6"/>
    <w:rsid w:val="245E3E0C"/>
    <w:rsid w:val="245E432F"/>
    <w:rsid w:val="2462791D"/>
    <w:rsid w:val="246C62EA"/>
    <w:rsid w:val="246F50DB"/>
    <w:rsid w:val="2479295A"/>
    <w:rsid w:val="247C2A99"/>
    <w:rsid w:val="247D28A4"/>
    <w:rsid w:val="247D372C"/>
    <w:rsid w:val="248D1408"/>
    <w:rsid w:val="249127AF"/>
    <w:rsid w:val="249227FD"/>
    <w:rsid w:val="249347F1"/>
    <w:rsid w:val="24982B2B"/>
    <w:rsid w:val="249A2692"/>
    <w:rsid w:val="249B24BC"/>
    <w:rsid w:val="249C261E"/>
    <w:rsid w:val="24A02CDA"/>
    <w:rsid w:val="24A57C58"/>
    <w:rsid w:val="24AD6BD8"/>
    <w:rsid w:val="24AF2491"/>
    <w:rsid w:val="24BF043E"/>
    <w:rsid w:val="24BF0F25"/>
    <w:rsid w:val="24CB67BB"/>
    <w:rsid w:val="24D46CDA"/>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B00EE"/>
    <w:rsid w:val="252E729F"/>
    <w:rsid w:val="25350B0A"/>
    <w:rsid w:val="25384EE8"/>
    <w:rsid w:val="253A2A46"/>
    <w:rsid w:val="253D691F"/>
    <w:rsid w:val="25487A7F"/>
    <w:rsid w:val="25504B68"/>
    <w:rsid w:val="25550187"/>
    <w:rsid w:val="25550B8A"/>
    <w:rsid w:val="255C6D00"/>
    <w:rsid w:val="255E3FBB"/>
    <w:rsid w:val="25631BB1"/>
    <w:rsid w:val="2566431A"/>
    <w:rsid w:val="25707530"/>
    <w:rsid w:val="25745A66"/>
    <w:rsid w:val="257A4807"/>
    <w:rsid w:val="258B0CB9"/>
    <w:rsid w:val="25994967"/>
    <w:rsid w:val="259C7404"/>
    <w:rsid w:val="259D70CC"/>
    <w:rsid w:val="25A3263C"/>
    <w:rsid w:val="25A84C83"/>
    <w:rsid w:val="25AA7315"/>
    <w:rsid w:val="25B612CE"/>
    <w:rsid w:val="25BE115C"/>
    <w:rsid w:val="25C10173"/>
    <w:rsid w:val="25C35365"/>
    <w:rsid w:val="25CA22E5"/>
    <w:rsid w:val="25CA3BA8"/>
    <w:rsid w:val="25CB1854"/>
    <w:rsid w:val="25CC2942"/>
    <w:rsid w:val="25CC669B"/>
    <w:rsid w:val="25CC6B47"/>
    <w:rsid w:val="25D01DD5"/>
    <w:rsid w:val="25DC1ECC"/>
    <w:rsid w:val="25E12C4F"/>
    <w:rsid w:val="25EB7E37"/>
    <w:rsid w:val="25F1288B"/>
    <w:rsid w:val="25F21EE0"/>
    <w:rsid w:val="26011914"/>
    <w:rsid w:val="260B109B"/>
    <w:rsid w:val="2611159E"/>
    <w:rsid w:val="26115306"/>
    <w:rsid w:val="26167EAA"/>
    <w:rsid w:val="261F13E2"/>
    <w:rsid w:val="26213683"/>
    <w:rsid w:val="262670C1"/>
    <w:rsid w:val="26282757"/>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B2033A"/>
    <w:rsid w:val="26B33B01"/>
    <w:rsid w:val="26B837DA"/>
    <w:rsid w:val="26CE1E76"/>
    <w:rsid w:val="26D60AE7"/>
    <w:rsid w:val="26E3525B"/>
    <w:rsid w:val="26F32F14"/>
    <w:rsid w:val="26F414BD"/>
    <w:rsid w:val="26F50B23"/>
    <w:rsid w:val="26F61BE2"/>
    <w:rsid w:val="27086959"/>
    <w:rsid w:val="270A47D0"/>
    <w:rsid w:val="270B2296"/>
    <w:rsid w:val="270D71E3"/>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4C5F"/>
    <w:rsid w:val="278359BC"/>
    <w:rsid w:val="27857434"/>
    <w:rsid w:val="27886B4A"/>
    <w:rsid w:val="279474E1"/>
    <w:rsid w:val="27A10C29"/>
    <w:rsid w:val="27A961FC"/>
    <w:rsid w:val="27AC65CB"/>
    <w:rsid w:val="27AD7FAB"/>
    <w:rsid w:val="27AE550B"/>
    <w:rsid w:val="27B00DB9"/>
    <w:rsid w:val="27B05962"/>
    <w:rsid w:val="27B257E6"/>
    <w:rsid w:val="27B57501"/>
    <w:rsid w:val="27C065BA"/>
    <w:rsid w:val="27C2427E"/>
    <w:rsid w:val="27C303A3"/>
    <w:rsid w:val="27CE764C"/>
    <w:rsid w:val="27CF5FD4"/>
    <w:rsid w:val="27CF7A19"/>
    <w:rsid w:val="27D16E8D"/>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8014B5"/>
    <w:rsid w:val="28812CD5"/>
    <w:rsid w:val="2881461D"/>
    <w:rsid w:val="28882CBE"/>
    <w:rsid w:val="28892808"/>
    <w:rsid w:val="28920D22"/>
    <w:rsid w:val="289871C2"/>
    <w:rsid w:val="28A40E75"/>
    <w:rsid w:val="28A41443"/>
    <w:rsid w:val="28A7177D"/>
    <w:rsid w:val="28AB65DF"/>
    <w:rsid w:val="28AE27F3"/>
    <w:rsid w:val="28B96D7F"/>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5D6E89"/>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C3F81"/>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D5961"/>
    <w:rsid w:val="2A8E62C9"/>
    <w:rsid w:val="2A900A00"/>
    <w:rsid w:val="2AA247BE"/>
    <w:rsid w:val="2AAA07C5"/>
    <w:rsid w:val="2AAF3887"/>
    <w:rsid w:val="2AB32EED"/>
    <w:rsid w:val="2AB93496"/>
    <w:rsid w:val="2ABB0709"/>
    <w:rsid w:val="2ABC35A1"/>
    <w:rsid w:val="2AC210CC"/>
    <w:rsid w:val="2AD34A0A"/>
    <w:rsid w:val="2AD6727E"/>
    <w:rsid w:val="2ADC0696"/>
    <w:rsid w:val="2AE213F6"/>
    <w:rsid w:val="2AE65071"/>
    <w:rsid w:val="2AF6758A"/>
    <w:rsid w:val="2AFC349E"/>
    <w:rsid w:val="2B0025D7"/>
    <w:rsid w:val="2B044780"/>
    <w:rsid w:val="2B08626C"/>
    <w:rsid w:val="2B105922"/>
    <w:rsid w:val="2B120584"/>
    <w:rsid w:val="2B1F5DEE"/>
    <w:rsid w:val="2B290EC9"/>
    <w:rsid w:val="2B2C493D"/>
    <w:rsid w:val="2B362A0F"/>
    <w:rsid w:val="2B3C674C"/>
    <w:rsid w:val="2B403850"/>
    <w:rsid w:val="2B4201F8"/>
    <w:rsid w:val="2B4926CC"/>
    <w:rsid w:val="2B50238A"/>
    <w:rsid w:val="2B5102DE"/>
    <w:rsid w:val="2B5A47FC"/>
    <w:rsid w:val="2B626FC3"/>
    <w:rsid w:val="2B74267D"/>
    <w:rsid w:val="2B7A4A43"/>
    <w:rsid w:val="2B7A51CB"/>
    <w:rsid w:val="2B894C35"/>
    <w:rsid w:val="2B8C45DA"/>
    <w:rsid w:val="2B8F0135"/>
    <w:rsid w:val="2B9274C4"/>
    <w:rsid w:val="2B964E6E"/>
    <w:rsid w:val="2BA64F9D"/>
    <w:rsid w:val="2BA74026"/>
    <w:rsid w:val="2BAD0059"/>
    <w:rsid w:val="2BAD3B6A"/>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60C1B"/>
    <w:rsid w:val="2C047D98"/>
    <w:rsid w:val="2C091002"/>
    <w:rsid w:val="2C0B756F"/>
    <w:rsid w:val="2C0F03C8"/>
    <w:rsid w:val="2C10416B"/>
    <w:rsid w:val="2C152C2D"/>
    <w:rsid w:val="2C2045B2"/>
    <w:rsid w:val="2C2D15DD"/>
    <w:rsid w:val="2C2D3788"/>
    <w:rsid w:val="2C335C64"/>
    <w:rsid w:val="2C3502BE"/>
    <w:rsid w:val="2C3D7EBB"/>
    <w:rsid w:val="2C4341AC"/>
    <w:rsid w:val="2C4958B7"/>
    <w:rsid w:val="2C4C248F"/>
    <w:rsid w:val="2C4E7569"/>
    <w:rsid w:val="2C512033"/>
    <w:rsid w:val="2C513A99"/>
    <w:rsid w:val="2C5C6B56"/>
    <w:rsid w:val="2C5C7768"/>
    <w:rsid w:val="2C6D67C4"/>
    <w:rsid w:val="2C755126"/>
    <w:rsid w:val="2C7A54B8"/>
    <w:rsid w:val="2C7B7F24"/>
    <w:rsid w:val="2C7E4100"/>
    <w:rsid w:val="2C7E70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C1B03"/>
    <w:rsid w:val="2D4C7C52"/>
    <w:rsid w:val="2D5015B6"/>
    <w:rsid w:val="2D520565"/>
    <w:rsid w:val="2D5B38DD"/>
    <w:rsid w:val="2D5C151C"/>
    <w:rsid w:val="2D624A33"/>
    <w:rsid w:val="2D642FCF"/>
    <w:rsid w:val="2D693ED2"/>
    <w:rsid w:val="2D6A1952"/>
    <w:rsid w:val="2D746E52"/>
    <w:rsid w:val="2D7B5571"/>
    <w:rsid w:val="2D890723"/>
    <w:rsid w:val="2D917516"/>
    <w:rsid w:val="2D956DC9"/>
    <w:rsid w:val="2D96573A"/>
    <w:rsid w:val="2D981C83"/>
    <w:rsid w:val="2D9D5DE8"/>
    <w:rsid w:val="2D9E1E7A"/>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B55A5"/>
    <w:rsid w:val="2E421EC8"/>
    <w:rsid w:val="2E4A16A0"/>
    <w:rsid w:val="2E4C6A2A"/>
    <w:rsid w:val="2E554436"/>
    <w:rsid w:val="2E56199B"/>
    <w:rsid w:val="2E592149"/>
    <w:rsid w:val="2E636C20"/>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A587E"/>
    <w:rsid w:val="2EBD3064"/>
    <w:rsid w:val="2EC05FE7"/>
    <w:rsid w:val="2EC26466"/>
    <w:rsid w:val="2ED43BD2"/>
    <w:rsid w:val="2EE9585B"/>
    <w:rsid w:val="2EEB6B28"/>
    <w:rsid w:val="2EEE2378"/>
    <w:rsid w:val="2EF204E5"/>
    <w:rsid w:val="2EFC62E0"/>
    <w:rsid w:val="2F0429CA"/>
    <w:rsid w:val="2F0B46A2"/>
    <w:rsid w:val="2F0E335D"/>
    <w:rsid w:val="2F0E677D"/>
    <w:rsid w:val="2F144012"/>
    <w:rsid w:val="2F1D5D39"/>
    <w:rsid w:val="2F2617A7"/>
    <w:rsid w:val="2F282F9A"/>
    <w:rsid w:val="2F34515A"/>
    <w:rsid w:val="2F3B7C94"/>
    <w:rsid w:val="2F4108DB"/>
    <w:rsid w:val="2F4901B4"/>
    <w:rsid w:val="2F544D2A"/>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A2B11"/>
    <w:rsid w:val="2FAF2E51"/>
    <w:rsid w:val="2FB2109E"/>
    <w:rsid w:val="2FB9600E"/>
    <w:rsid w:val="2FBA3784"/>
    <w:rsid w:val="2FC0182E"/>
    <w:rsid w:val="2FC115B8"/>
    <w:rsid w:val="2FC55434"/>
    <w:rsid w:val="2FCA3920"/>
    <w:rsid w:val="2FCF7B64"/>
    <w:rsid w:val="2FD437A7"/>
    <w:rsid w:val="2FD64A53"/>
    <w:rsid w:val="2FD81D8F"/>
    <w:rsid w:val="2FE17C3A"/>
    <w:rsid w:val="2FF12D33"/>
    <w:rsid w:val="2FF2327A"/>
    <w:rsid w:val="2FF320B7"/>
    <w:rsid w:val="2FF8610C"/>
    <w:rsid w:val="300970E3"/>
    <w:rsid w:val="300B0AFF"/>
    <w:rsid w:val="3012545F"/>
    <w:rsid w:val="301723DF"/>
    <w:rsid w:val="301B48DC"/>
    <w:rsid w:val="30236634"/>
    <w:rsid w:val="3028012C"/>
    <w:rsid w:val="302A32D4"/>
    <w:rsid w:val="302E3742"/>
    <w:rsid w:val="303A44D4"/>
    <w:rsid w:val="303D5733"/>
    <w:rsid w:val="30451368"/>
    <w:rsid w:val="304567D2"/>
    <w:rsid w:val="30456BFD"/>
    <w:rsid w:val="30463635"/>
    <w:rsid w:val="304F4103"/>
    <w:rsid w:val="30530618"/>
    <w:rsid w:val="305848C0"/>
    <w:rsid w:val="30625E54"/>
    <w:rsid w:val="30753DAD"/>
    <w:rsid w:val="3078676B"/>
    <w:rsid w:val="307F507C"/>
    <w:rsid w:val="3083623A"/>
    <w:rsid w:val="3086412A"/>
    <w:rsid w:val="308D5315"/>
    <w:rsid w:val="308F0018"/>
    <w:rsid w:val="30910409"/>
    <w:rsid w:val="30A212D0"/>
    <w:rsid w:val="30A22559"/>
    <w:rsid w:val="30A73F48"/>
    <w:rsid w:val="30A92D0C"/>
    <w:rsid w:val="30AB6B41"/>
    <w:rsid w:val="30B95E9D"/>
    <w:rsid w:val="30BE2FB2"/>
    <w:rsid w:val="30BF2369"/>
    <w:rsid w:val="30BF2F44"/>
    <w:rsid w:val="30C8357A"/>
    <w:rsid w:val="30CC3EF1"/>
    <w:rsid w:val="30CC4D09"/>
    <w:rsid w:val="30CE0A5C"/>
    <w:rsid w:val="30DD67AD"/>
    <w:rsid w:val="30E06F3B"/>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4A45AB"/>
    <w:rsid w:val="316173E5"/>
    <w:rsid w:val="316513E5"/>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F0F21"/>
    <w:rsid w:val="31D00075"/>
    <w:rsid w:val="31D27AC8"/>
    <w:rsid w:val="31D60939"/>
    <w:rsid w:val="31DF692A"/>
    <w:rsid w:val="31E171EF"/>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E6910"/>
    <w:rsid w:val="32701107"/>
    <w:rsid w:val="3274719C"/>
    <w:rsid w:val="327F6D67"/>
    <w:rsid w:val="32821C93"/>
    <w:rsid w:val="328343EB"/>
    <w:rsid w:val="32854A29"/>
    <w:rsid w:val="3288244A"/>
    <w:rsid w:val="328D7C9C"/>
    <w:rsid w:val="329676FC"/>
    <w:rsid w:val="329A7EE5"/>
    <w:rsid w:val="329E5737"/>
    <w:rsid w:val="32B461E4"/>
    <w:rsid w:val="32BA306B"/>
    <w:rsid w:val="32C20171"/>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462E5"/>
    <w:rsid w:val="33751CEA"/>
    <w:rsid w:val="33792FE2"/>
    <w:rsid w:val="338120A0"/>
    <w:rsid w:val="33845ABC"/>
    <w:rsid w:val="338B5A94"/>
    <w:rsid w:val="338E7B48"/>
    <w:rsid w:val="3390450B"/>
    <w:rsid w:val="3396271C"/>
    <w:rsid w:val="339E3411"/>
    <w:rsid w:val="339F6214"/>
    <w:rsid w:val="33A35ED7"/>
    <w:rsid w:val="33AD30C5"/>
    <w:rsid w:val="33B05E45"/>
    <w:rsid w:val="33B31AE9"/>
    <w:rsid w:val="33C841B4"/>
    <w:rsid w:val="33CD110B"/>
    <w:rsid w:val="33D15F2E"/>
    <w:rsid w:val="33D7795C"/>
    <w:rsid w:val="33DD580A"/>
    <w:rsid w:val="33E727C5"/>
    <w:rsid w:val="33ED755A"/>
    <w:rsid w:val="33F015C1"/>
    <w:rsid w:val="33F16EEC"/>
    <w:rsid w:val="33F40E24"/>
    <w:rsid w:val="33FC25CA"/>
    <w:rsid w:val="3404036F"/>
    <w:rsid w:val="340B4D34"/>
    <w:rsid w:val="340C4058"/>
    <w:rsid w:val="340C4DD2"/>
    <w:rsid w:val="341E06F7"/>
    <w:rsid w:val="34243721"/>
    <w:rsid w:val="342A4F5F"/>
    <w:rsid w:val="342D23D8"/>
    <w:rsid w:val="343132D5"/>
    <w:rsid w:val="3438573F"/>
    <w:rsid w:val="343C247D"/>
    <w:rsid w:val="34414159"/>
    <w:rsid w:val="34430EE4"/>
    <w:rsid w:val="344E1DC8"/>
    <w:rsid w:val="345309D9"/>
    <w:rsid w:val="3455236F"/>
    <w:rsid w:val="34672BEA"/>
    <w:rsid w:val="34690186"/>
    <w:rsid w:val="347B6A3A"/>
    <w:rsid w:val="34802C6C"/>
    <w:rsid w:val="34816DB7"/>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73938"/>
    <w:rsid w:val="34E96194"/>
    <w:rsid w:val="34FA4928"/>
    <w:rsid w:val="34FA62E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10178"/>
    <w:rsid w:val="356E5AE8"/>
    <w:rsid w:val="357912CE"/>
    <w:rsid w:val="357D67E7"/>
    <w:rsid w:val="358019E7"/>
    <w:rsid w:val="35803AE3"/>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11D2"/>
    <w:rsid w:val="35F60334"/>
    <w:rsid w:val="360044D8"/>
    <w:rsid w:val="360213C9"/>
    <w:rsid w:val="360369A3"/>
    <w:rsid w:val="36051BF9"/>
    <w:rsid w:val="360A07B9"/>
    <w:rsid w:val="360E6900"/>
    <w:rsid w:val="3610546C"/>
    <w:rsid w:val="3615104D"/>
    <w:rsid w:val="36154AF5"/>
    <w:rsid w:val="36177DD9"/>
    <w:rsid w:val="361F5EE3"/>
    <w:rsid w:val="362D3F50"/>
    <w:rsid w:val="362D624A"/>
    <w:rsid w:val="36330C6B"/>
    <w:rsid w:val="3635736B"/>
    <w:rsid w:val="363B0641"/>
    <w:rsid w:val="363F0394"/>
    <w:rsid w:val="364C5483"/>
    <w:rsid w:val="364D71DB"/>
    <w:rsid w:val="365577FA"/>
    <w:rsid w:val="36635E01"/>
    <w:rsid w:val="3666142C"/>
    <w:rsid w:val="36721879"/>
    <w:rsid w:val="367F70AF"/>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D21C0"/>
    <w:rsid w:val="37522959"/>
    <w:rsid w:val="375542A1"/>
    <w:rsid w:val="37573D84"/>
    <w:rsid w:val="37575797"/>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33B9D"/>
    <w:rsid w:val="3849282D"/>
    <w:rsid w:val="384E69DC"/>
    <w:rsid w:val="385432AE"/>
    <w:rsid w:val="385E0E01"/>
    <w:rsid w:val="386606BD"/>
    <w:rsid w:val="38671983"/>
    <w:rsid w:val="38675216"/>
    <w:rsid w:val="386D2443"/>
    <w:rsid w:val="386D52D3"/>
    <w:rsid w:val="386F48F8"/>
    <w:rsid w:val="386F66A6"/>
    <w:rsid w:val="386F73EA"/>
    <w:rsid w:val="3870332A"/>
    <w:rsid w:val="3872150C"/>
    <w:rsid w:val="387271FD"/>
    <w:rsid w:val="387E44BB"/>
    <w:rsid w:val="388151B6"/>
    <w:rsid w:val="38866F49"/>
    <w:rsid w:val="388E5799"/>
    <w:rsid w:val="38950D8F"/>
    <w:rsid w:val="38984884"/>
    <w:rsid w:val="389D1465"/>
    <w:rsid w:val="38A00F55"/>
    <w:rsid w:val="38A11150"/>
    <w:rsid w:val="38A14DA4"/>
    <w:rsid w:val="38B52EC0"/>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D7091"/>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24ABE"/>
    <w:rsid w:val="39F33306"/>
    <w:rsid w:val="39F51F21"/>
    <w:rsid w:val="39F8049F"/>
    <w:rsid w:val="39FA45AC"/>
    <w:rsid w:val="3A0F770C"/>
    <w:rsid w:val="3A1C2DA4"/>
    <w:rsid w:val="3A2033EB"/>
    <w:rsid w:val="3A232A86"/>
    <w:rsid w:val="3A267272"/>
    <w:rsid w:val="3A27373A"/>
    <w:rsid w:val="3A33443A"/>
    <w:rsid w:val="3A340151"/>
    <w:rsid w:val="3A3858F9"/>
    <w:rsid w:val="3A3B2355"/>
    <w:rsid w:val="3A40013B"/>
    <w:rsid w:val="3A421A17"/>
    <w:rsid w:val="3A4224D5"/>
    <w:rsid w:val="3A48295E"/>
    <w:rsid w:val="3A4C73EF"/>
    <w:rsid w:val="3A553058"/>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51A3B"/>
    <w:rsid w:val="3B7D557D"/>
    <w:rsid w:val="3B7D788E"/>
    <w:rsid w:val="3B8139DF"/>
    <w:rsid w:val="3B844E86"/>
    <w:rsid w:val="3B846452"/>
    <w:rsid w:val="3B8A1951"/>
    <w:rsid w:val="3B96722B"/>
    <w:rsid w:val="3B9A6336"/>
    <w:rsid w:val="3BA4450D"/>
    <w:rsid w:val="3BA66882"/>
    <w:rsid w:val="3BAE7642"/>
    <w:rsid w:val="3BB24B3E"/>
    <w:rsid w:val="3BB32E97"/>
    <w:rsid w:val="3BB65D6F"/>
    <w:rsid w:val="3BB830F6"/>
    <w:rsid w:val="3BBF02F7"/>
    <w:rsid w:val="3BC91515"/>
    <w:rsid w:val="3BC97A93"/>
    <w:rsid w:val="3BCF06D3"/>
    <w:rsid w:val="3BD500FA"/>
    <w:rsid w:val="3BDA06A1"/>
    <w:rsid w:val="3BDF072D"/>
    <w:rsid w:val="3BDF7FE6"/>
    <w:rsid w:val="3BEA2118"/>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117B4D"/>
    <w:rsid w:val="3D140DE7"/>
    <w:rsid w:val="3D154789"/>
    <w:rsid w:val="3D197C01"/>
    <w:rsid w:val="3D1F7AE1"/>
    <w:rsid w:val="3D210E7F"/>
    <w:rsid w:val="3D2248E4"/>
    <w:rsid w:val="3D32550F"/>
    <w:rsid w:val="3D331834"/>
    <w:rsid w:val="3D3B5C9C"/>
    <w:rsid w:val="3D3C603D"/>
    <w:rsid w:val="3D424260"/>
    <w:rsid w:val="3D48471F"/>
    <w:rsid w:val="3D503B25"/>
    <w:rsid w:val="3D5310AC"/>
    <w:rsid w:val="3D56190A"/>
    <w:rsid w:val="3D5C2EDA"/>
    <w:rsid w:val="3D6C4CDF"/>
    <w:rsid w:val="3D70175E"/>
    <w:rsid w:val="3D7059F2"/>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0CE5"/>
    <w:rsid w:val="3E221DB3"/>
    <w:rsid w:val="3E24348A"/>
    <w:rsid w:val="3E24651C"/>
    <w:rsid w:val="3E2F7120"/>
    <w:rsid w:val="3E384399"/>
    <w:rsid w:val="3E396A91"/>
    <w:rsid w:val="3E3A265F"/>
    <w:rsid w:val="3E3B240D"/>
    <w:rsid w:val="3E3F28BA"/>
    <w:rsid w:val="3E47632C"/>
    <w:rsid w:val="3E4B0167"/>
    <w:rsid w:val="3E4D7D55"/>
    <w:rsid w:val="3E514939"/>
    <w:rsid w:val="3E58649D"/>
    <w:rsid w:val="3E591AE0"/>
    <w:rsid w:val="3E5B30CB"/>
    <w:rsid w:val="3E5F4971"/>
    <w:rsid w:val="3E62067B"/>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3152B"/>
    <w:rsid w:val="3ED839E3"/>
    <w:rsid w:val="3EE109A2"/>
    <w:rsid w:val="3EE55989"/>
    <w:rsid w:val="3EE77BB4"/>
    <w:rsid w:val="3EEB3C31"/>
    <w:rsid w:val="3EED3002"/>
    <w:rsid w:val="3EF1250A"/>
    <w:rsid w:val="3EF86514"/>
    <w:rsid w:val="3F00011B"/>
    <w:rsid w:val="3F024306"/>
    <w:rsid w:val="3F025978"/>
    <w:rsid w:val="3F0575FD"/>
    <w:rsid w:val="3F057C4F"/>
    <w:rsid w:val="3F0A3495"/>
    <w:rsid w:val="3F0D2D41"/>
    <w:rsid w:val="3F1415AC"/>
    <w:rsid w:val="3F1922E8"/>
    <w:rsid w:val="3F197C8D"/>
    <w:rsid w:val="3F1A5923"/>
    <w:rsid w:val="3F1F53C6"/>
    <w:rsid w:val="3F250DF5"/>
    <w:rsid w:val="3F2B6202"/>
    <w:rsid w:val="3F310C2D"/>
    <w:rsid w:val="3F324920"/>
    <w:rsid w:val="3F374CF1"/>
    <w:rsid w:val="3F376C36"/>
    <w:rsid w:val="3F3A01BA"/>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7C1DF6"/>
    <w:rsid w:val="3F853E20"/>
    <w:rsid w:val="3F87017F"/>
    <w:rsid w:val="3F8A6905"/>
    <w:rsid w:val="3F9726D8"/>
    <w:rsid w:val="3F990508"/>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878C8"/>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D3CFC"/>
    <w:rsid w:val="403846D3"/>
    <w:rsid w:val="4039429A"/>
    <w:rsid w:val="403A000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254497"/>
    <w:rsid w:val="41270465"/>
    <w:rsid w:val="41352357"/>
    <w:rsid w:val="41393B69"/>
    <w:rsid w:val="41407C91"/>
    <w:rsid w:val="414F037B"/>
    <w:rsid w:val="4150378E"/>
    <w:rsid w:val="415A6E4E"/>
    <w:rsid w:val="415B5E34"/>
    <w:rsid w:val="415D0EE1"/>
    <w:rsid w:val="415F127D"/>
    <w:rsid w:val="41657D9D"/>
    <w:rsid w:val="41660088"/>
    <w:rsid w:val="416923E0"/>
    <w:rsid w:val="416C357C"/>
    <w:rsid w:val="41747D87"/>
    <w:rsid w:val="41760089"/>
    <w:rsid w:val="41773868"/>
    <w:rsid w:val="417F7261"/>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11F16"/>
    <w:rsid w:val="4207296E"/>
    <w:rsid w:val="42093990"/>
    <w:rsid w:val="4212581D"/>
    <w:rsid w:val="42145338"/>
    <w:rsid w:val="421D0F3B"/>
    <w:rsid w:val="423215B5"/>
    <w:rsid w:val="423834B4"/>
    <w:rsid w:val="423861CA"/>
    <w:rsid w:val="424E5AAB"/>
    <w:rsid w:val="42541CFD"/>
    <w:rsid w:val="42546E00"/>
    <w:rsid w:val="4255725B"/>
    <w:rsid w:val="425D7EB7"/>
    <w:rsid w:val="42691F68"/>
    <w:rsid w:val="42743533"/>
    <w:rsid w:val="427E424F"/>
    <w:rsid w:val="428E12F9"/>
    <w:rsid w:val="4290510B"/>
    <w:rsid w:val="42983814"/>
    <w:rsid w:val="42AA5EA1"/>
    <w:rsid w:val="42BA105B"/>
    <w:rsid w:val="42C5116B"/>
    <w:rsid w:val="42C85FA9"/>
    <w:rsid w:val="42CC188F"/>
    <w:rsid w:val="42D40B2B"/>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8A5840"/>
    <w:rsid w:val="43900072"/>
    <w:rsid w:val="439A525B"/>
    <w:rsid w:val="439C6A6F"/>
    <w:rsid w:val="43A26866"/>
    <w:rsid w:val="43A750B5"/>
    <w:rsid w:val="43B34873"/>
    <w:rsid w:val="43B93A97"/>
    <w:rsid w:val="43C07F99"/>
    <w:rsid w:val="43C10DD6"/>
    <w:rsid w:val="43C64077"/>
    <w:rsid w:val="43D60EE5"/>
    <w:rsid w:val="43DE2CBF"/>
    <w:rsid w:val="43E2349D"/>
    <w:rsid w:val="43E308C1"/>
    <w:rsid w:val="43F04D02"/>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90027"/>
    <w:rsid w:val="445E2ECB"/>
    <w:rsid w:val="44660DC1"/>
    <w:rsid w:val="44827449"/>
    <w:rsid w:val="44894051"/>
    <w:rsid w:val="448B40C8"/>
    <w:rsid w:val="448D5671"/>
    <w:rsid w:val="449617CF"/>
    <w:rsid w:val="449C2CF6"/>
    <w:rsid w:val="449F464A"/>
    <w:rsid w:val="44AB052A"/>
    <w:rsid w:val="44AB284E"/>
    <w:rsid w:val="44AB4F09"/>
    <w:rsid w:val="44AC3B6B"/>
    <w:rsid w:val="44B90E31"/>
    <w:rsid w:val="44BF10AF"/>
    <w:rsid w:val="44C12064"/>
    <w:rsid w:val="44C3143B"/>
    <w:rsid w:val="44C3365F"/>
    <w:rsid w:val="44C7452D"/>
    <w:rsid w:val="44D6350C"/>
    <w:rsid w:val="44D64676"/>
    <w:rsid w:val="44D77066"/>
    <w:rsid w:val="44E21AE8"/>
    <w:rsid w:val="44E41861"/>
    <w:rsid w:val="44ED5E56"/>
    <w:rsid w:val="44EF7A37"/>
    <w:rsid w:val="450244F8"/>
    <w:rsid w:val="45034D45"/>
    <w:rsid w:val="45060231"/>
    <w:rsid w:val="450C61F8"/>
    <w:rsid w:val="450D704A"/>
    <w:rsid w:val="450E7C7C"/>
    <w:rsid w:val="45143D6B"/>
    <w:rsid w:val="45157171"/>
    <w:rsid w:val="451D02E5"/>
    <w:rsid w:val="452659EF"/>
    <w:rsid w:val="452A4C00"/>
    <w:rsid w:val="452D1CC9"/>
    <w:rsid w:val="45374519"/>
    <w:rsid w:val="453C5C7C"/>
    <w:rsid w:val="454364DB"/>
    <w:rsid w:val="454855B2"/>
    <w:rsid w:val="454A4722"/>
    <w:rsid w:val="454E2A38"/>
    <w:rsid w:val="45577E7A"/>
    <w:rsid w:val="45593E62"/>
    <w:rsid w:val="455F1731"/>
    <w:rsid w:val="4569773B"/>
    <w:rsid w:val="456A6AE6"/>
    <w:rsid w:val="456C7DC9"/>
    <w:rsid w:val="4577EE25"/>
    <w:rsid w:val="45820E8D"/>
    <w:rsid w:val="45861105"/>
    <w:rsid w:val="459067EA"/>
    <w:rsid w:val="45A33765"/>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52C8"/>
    <w:rsid w:val="46251554"/>
    <w:rsid w:val="4632261E"/>
    <w:rsid w:val="46332848"/>
    <w:rsid w:val="4638733C"/>
    <w:rsid w:val="463A6B3C"/>
    <w:rsid w:val="463E0106"/>
    <w:rsid w:val="46405B25"/>
    <w:rsid w:val="46433CCF"/>
    <w:rsid w:val="464376B2"/>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80D6C"/>
    <w:rsid w:val="46E52D85"/>
    <w:rsid w:val="46F87D23"/>
    <w:rsid w:val="46FA102C"/>
    <w:rsid w:val="46FD25C1"/>
    <w:rsid w:val="46FD7665"/>
    <w:rsid w:val="46FE49F2"/>
    <w:rsid w:val="47042CE7"/>
    <w:rsid w:val="4713035E"/>
    <w:rsid w:val="471657A9"/>
    <w:rsid w:val="471D65CB"/>
    <w:rsid w:val="471F1494"/>
    <w:rsid w:val="47236D39"/>
    <w:rsid w:val="472668EF"/>
    <w:rsid w:val="472670F7"/>
    <w:rsid w:val="47301EDA"/>
    <w:rsid w:val="473242CA"/>
    <w:rsid w:val="47390DDF"/>
    <w:rsid w:val="473D598E"/>
    <w:rsid w:val="474E43B5"/>
    <w:rsid w:val="475070B3"/>
    <w:rsid w:val="47532228"/>
    <w:rsid w:val="475E1903"/>
    <w:rsid w:val="475E6263"/>
    <w:rsid w:val="476358C8"/>
    <w:rsid w:val="47654703"/>
    <w:rsid w:val="4769407F"/>
    <w:rsid w:val="476A28CE"/>
    <w:rsid w:val="477067B2"/>
    <w:rsid w:val="47732CD5"/>
    <w:rsid w:val="47774339"/>
    <w:rsid w:val="47885C49"/>
    <w:rsid w:val="479D6E11"/>
    <w:rsid w:val="47A543EA"/>
    <w:rsid w:val="47AF5AAA"/>
    <w:rsid w:val="47B15014"/>
    <w:rsid w:val="47B32C82"/>
    <w:rsid w:val="47B71EFB"/>
    <w:rsid w:val="47C923E1"/>
    <w:rsid w:val="47D4481E"/>
    <w:rsid w:val="47E5574E"/>
    <w:rsid w:val="47F16BCC"/>
    <w:rsid w:val="47FA5701"/>
    <w:rsid w:val="47FB39EA"/>
    <w:rsid w:val="47FE691F"/>
    <w:rsid w:val="48036331"/>
    <w:rsid w:val="480A1D14"/>
    <w:rsid w:val="480D00FD"/>
    <w:rsid w:val="4815506E"/>
    <w:rsid w:val="481D7912"/>
    <w:rsid w:val="481F1B20"/>
    <w:rsid w:val="48282B55"/>
    <w:rsid w:val="482C36D6"/>
    <w:rsid w:val="482F4C92"/>
    <w:rsid w:val="48316C4E"/>
    <w:rsid w:val="48330A04"/>
    <w:rsid w:val="48352352"/>
    <w:rsid w:val="483B30B0"/>
    <w:rsid w:val="48425B85"/>
    <w:rsid w:val="484511D1"/>
    <w:rsid w:val="48466F0D"/>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66D09"/>
    <w:rsid w:val="48BB69FD"/>
    <w:rsid w:val="48CB277A"/>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50DD6"/>
    <w:rsid w:val="49331D62"/>
    <w:rsid w:val="49336F31"/>
    <w:rsid w:val="49344E4A"/>
    <w:rsid w:val="493665C0"/>
    <w:rsid w:val="493C5A7C"/>
    <w:rsid w:val="4940267F"/>
    <w:rsid w:val="49417979"/>
    <w:rsid w:val="49444D7A"/>
    <w:rsid w:val="49450563"/>
    <w:rsid w:val="494C0DF4"/>
    <w:rsid w:val="49504F5F"/>
    <w:rsid w:val="49645788"/>
    <w:rsid w:val="49685F0B"/>
    <w:rsid w:val="49706721"/>
    <w:rsid w:val="498B2241"/>
    <w:rsid w:val="499A1140"/>
    <w:rsid w:val="499A2F46"/>
    <w:rsid w:val="499A379E"/>
    <w:rsid w:val="499A70D7"/>
    <w:rsid w:val="49A16698"/>
    <w:rsid w:val="49AD5226"/>
    <w:rsid w:val="49B00E94"/>
    <w:rsid w:val="49C72BFC"/>
    <w:rsid w:val="49D136A3"/>
    <w:rsid w:val="49DA6F3E"/>
    <w:rsid w:val="49E2751A"/>
    <w:rsid w:val="49E4179C"/>
    <w:rsid w:val="49EB6CBC"/>
    <w:rsid w:val="49EF241A"/>
    <w:rsid w:val="49EF3D8A"/>
    <w:rsid w:val="49EF678D"/>
    <w:rsid w:val="49FB2C20"/>
    <w:rsid w:val="49FC7EA1"/>
    <w:rsid w:val="4A0330F2"/>
    <w:rsid w:val="4A056C41"/>
    <w:rsid w:val="4A0D2CA4"/>
    <w:rsid w:val="4A0E4BCC"/>
    <w:rsid w:val="4A116E69"/>
    <w:rsid w:val="4A16242F"/>
    <w:rsid w:val="4A1E58CD"/>
    <w:rsid w:val="4A1F4D4C"/>
    <w:rsid w:val="4A266D62"/>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051AA"/>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87DBF"/>
    <w:rsid w:val="4B9A076E"/>
    <w:rsid w:val="4BA01AC0"/>
    <w:rsid w:val="4BAA33FD"/>
    <w:rsid w:val="4BB53328"/>
    <w:rsid w:val="4BB97283"/>
    <w:rsid w:val="4BC5033F"/>
    <w:rsid w:val="4BC75ED6"/>
    <w:rsid w:val="4BD1438E"/>
    <w:rsid w:val="4BD73A90"/>
    <w:rsid w:val="4BDA73F8"/>
    <w:rsid w:val="4BDC02A6"/>
    <w:rsid w:val="4BDD219B"/>
    <w:rsid w:val="4BDD69C7"/>
    <w:rsid w:val="4BE30200"/>
    <w:rsid w:val="4BE72B2E"/>
    <w:rsid w:val="4BF06D96"/>
    <w:rsid w:val="4BF712C5"/>
    <w:rsid w:val="4BFE136E"/>
    <w:rsid w:val="4C003730"/>
    <w:rsid w:val="4C124170"/>
    <w:rsid w:val="4C1476A4"/>
    <w:rsid w:val="4C162619"/>
    <w:rsid w:val="4C24087F"/>
    <w:rsid w:val="4C2835AE"/>
    <w:rsid w:val="4C3F2608"/>
    <w:rsid w:val="4C44267F"/>
    <w:rsid w:val="4C45458F"/>
    <w:rsid w:val="4C4548C3"/>
    <w:rsid w:val="4C4951B3"/>
    <w:rsid w:val="4C513763"/>
    <w:rsid w:val="4C5964D0"/>
    <w:rsid w:val="4C5A4A29"/>
    <w:rsid w:val="4C5E29FE"/>
    <w:rsid w:val="4C5E68E4"/>
    <w:rsid w:val="4C696A6D"/>
    <w:rsid w:val="4C6A6789"/>
    <w:rsid w:val="4C6D7A4F"/>
    <w:rsid w:val="4C700260"/>
    <w:rsid w:val="4C792D67"/>
    <w:rsid w:val="4C7C43F6"/>
    <w:rsid w:val="4C7D4F23"/>
    <w:rsid w:val="4C991609"/>
    <w:rsid w:val="4C9A35A9"/>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947F6"/>
    <w:rsid w:val="4D3D494A"/>
    <w:rsid w:val="4D410984"/>
    <w:rsid w:val="4D443A5F"/>
    <w:rsid w:val="4D526D7C"/>
    <w:rsid w:val="4D550108"/>
    <w:rsid w:val="4D560E09"/>
    <w:rsid w:val="4D56709A"/>
    <w:rsid w:val="4D585332"/>
    <w:rsid w:val="4D5A4F33"/>
    <w:rsid w:val="4D5C08E8"/>
    <w:rsid w:val="4D617324"/>
    <w:rsid w:val="4D632E8A"/>
    <w:rsid w:val="4D6B3828"/>
    <w:rsid w:val="4D72317E"/>
    <w:rsid w:val="4D7B4665"/>
    <w:rsid w:val="4D8261A3"/>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E72219"/>
    <w:rsid w:val="4DF87CD8"/>
    <w:rsid w:val="4DFB4584"/>
    <w:rsid w:val="4DFD5471"/>
    <w:rsid w:val="4E025801"/>
    <w:rsid w:val="4E063D0D"/>
    <w:rsid w:val="4E0B31BD"/>
    <w:rsid w:val="4E0B4C6B"/>
    <w:rsid w:val="4E0E4371"/>
    <w:rsid w:val="4E101FCE"/>
    <w:rsid w:val="4E10623F"/>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50357"/>
    <w:rsid w:val="4F432EAC"/>
    <w:rsid w:val="4F471CD3"/>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51C6"/>
    <w:rsid w:val="502C6E90"/>
    <w:rsid w:val="50313108"/>
    <w:rsid w:val="50326C49"/>
    <w:rsid w:val="503944E8"/>
    <w:rsid w:val="503C1682"/>
    <w:rsid w:val="503C37A9"/>
    <w:rsid w:val="503E14B7"/>
    <w:rsid w:val="504B3690"/>
    <w:rsid w:val="50526EF4"/>
    <w:rsid w:val="505271FA"/>
    <w:rsid w:val="505358A3"/>
    <w:rsid w:val="50544708"/>
    <w:rsid w:val="5057261F"/>
    <w:rsid w:val="505866C6"/>
    <w:rsid w:val="506223F9"/>
    <w:rsid w:val="506D0237"/>
    <w:rsid w:val="506D4B46"/>
    <w:rsid w:val="5077108F"/>
    <w:rsid w:val="50774BC1"/>
    <w:rsid w:val="50834D92"/>
    <w:rsid w:val="50953316"/>
    <w:rsid w:val="509842B1"/>
    <w:rsid w:val="509C733A"/>
    <w:rsid w:val="509F36DF"/>
    <w:rsid w:val="50A02266"/>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10C04"/>
    <w:rsid w:val="51F249D6"/>
    <w:rsid w:val="51F24E6A"/>
    <w:rsid w:val="51F70E08"/>
    <w:rsid w:val="51F714EE"/>
    <w:rsid w:val="520C29D0"/>
    <w:rsid w:val="520E1591"/>
    <w:rsid w:val="52175A06"/>
    <w:rsid w:val="52224FAA"/>
    <w:rsid w:val="522555D2"/>
    <w:rsid w:val="52290CB4"/>
    <w:rsid w:val="52402881"/>
    <w:rsid w:val="525311D5"/>
    <w:rsid w:val="52661320"/>
    <w:rsid w:val="52664F6E"/>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131D0B"/>
    <w:rsid w:val="531819A1"/>
    <w:rsid w:val="531D16E0"/>
    <w:rsid w:val="531E1D87"/>
    <w:rsid w:val="53254B0C"/>
    <w:rsid w:val="532847DC"/>
    <w:rsid w:val="53354B5C"/>
    <w:rsid w:val="53406ACC"/>
    <w:rsid w:val="5343356D"/>
    <w:rsid w:val="53546E0A"/>
    <w:rsid w:val="53547D59"/>
    <w:rsid w:val="535760F6"/>
    <w:rsid w:val="53674EA9"/>
    <w:rsid w:val="536A058E"/>
    <w:rsid w:val="537625F2"/>
    <w:rsid w:val="53786887"/>
    <w:rsid w:val="53791837"/>
    <w:rsid w:val="538452A3"/>
    <w:rsid w:val="53852DC9"/>
    <w:rsid w:val="538724AF"/>
    <w:rsid w:val="53997B82"/>
    <w:rsid w:val="539D3DD1"/>
    <w:rsid w:val="539D6290"/>
    <w:rsid w:val="53A03969"/>
    <w:rsid w:val="53AE0C0A"/>
    <w:rsid w:val="53B904F8"/>
    <w:rsid w:val="53BD060C"/>
    <w:rsid w:val="53BF3C96"/>
    <w:rsid w:val="53D47BA2"/>
    <w:rsid w:val="53D710AA"/>
    <w:rsid w:val="53D82F21"/>
    <w:rsid w:val="53ED3AA5"/>
    <w:rsid w:val="53F14963"/>
    <w:rsid w:val="53F36916"/>
    <w:rsid w:val="53FB0385"/>
    <w:rsid w:val="53FB3DF0"/>
    <w:rsid w:val="53FC659A"/>
    <w:rsid w:val="540C5299"/>
    <w:rsid w:val="541175DE"/>
    <w:rsid w:val="541A1764"/>
    <w:rsid w:val="541F1122"/>
    <w:rsid w:val="54226686"/>
    <w:rsid w:val="5434170B"/>
    <w:rsid w:val="54362112"/>
    <w:rsid w:val="54383A6E"/>
    <w:rsid w:val="543A407E"/>
    <w:rsid w:val="543D3585"/>
    <w:rsid w:val="543E304D"/>
    <w:rsid w:val="544220A4"/>
    <w:rsid w:val="5447369C"/>
    <w:rsid w:val="544A573B"/>
    <w:rsid w:val="544E410C"/>
    <w:rsid w:val="54526581"/>
    <w:rsid w:val="545966A9"/>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2A59D6"/>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5231"/>
    <w:rsid w:val="55A162D3"/>
    <w:rsid w:val="55AF24DA"/>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557F7C"/>
    <w:rsid w:val="565A678F"/>
    <w:rsid w:val="565A69FD"/>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F7712"/>
    <w:rsid w:val="56E03993"/>
    <w:rsid w:val="56E36785"/>
    <w:rsid w:val="56E45187"/>
    <w:rsid w:val="56E514A1"/>
    <w:rsid w:val="56E92A63"/>
    <w:rsid w:val="56F112B1"/>
    <w:rsid w:val="56F40860"/>
    <w:rsid w:val="56F74F00"/>
    <w:rsid w:val="56F7571D"/>
    <w:rsid w:val="570120A9"/>
    <w:rsid w:val="57075EAC"/>
    <w:rsid w:val="57076301"/>
    <w:rsid w:val="570A59B7"/>
    <w:rsid w:val="570D53A0"/>
    <w:rsid w:val="57113B7B"/>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94D69"/>
    <w:rsid w:val="57AE0B41"/>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D35E3"/>
    <w:rsid w:val="58076D29"/>
    <w:rsid w:val="580C4B64"/>
    <w:rsid w:val="580C501E"/>
    <w:rsid w:val="580F5097"/>
    <w:rsid w:val="58100D70"/>
    <w:rsid w:val="581D0E40"/>
    <w:rsid w:val="58233747"/>
    <w:rsid w:val="5834793C"/>
    <w:rsid w:val="58377008"/>
    <w:rsid w:val="58377264"/>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5C43B1"/>
    <w:rsid w:val="596429D6"/>
    <w:rsid w:val="59651CAE"/>
    <w:rsid w:val="5971064D"/>
    <w:rsid w:val="59752418"/>
    <w:rsid w:val="597C468B"/>
    <w:rsid w:val="597D6C89"/>
    <w:rsid w:val="59976FEB"/>
    <w:rsid w:val="599E4BE5"/>
    <w:rsid w:val="59A00EDC"/>
    <w:rsid w:val="59A02CF1"/>
    <w:rsid w:val="59A47020"/>
    <w:rsid w:val="59A57581"/>
    <w:rsid w:val="59AB2444"/>
    <w:rsid w:val="59AB4344"/>
    <w:rsid w:val="59AC701E"/>
    <w:rsid w:val="59AD01A7"/>
    <w:rsid w:val="59AD3B63"/>
    <w:rsid w:val="59B6533D"/>
    <w:rsid w:val="59B941E0"/>
    <w:rsid w:val="59BC13A7"/>
    <w:rsid w:val="59C10F62"/>
    <w:rsid w:val="59C2730A"/>
    <w:rsid w:val="59C462B0"/>
    <w:rsid w:val="59C503C4"/>
    <w:rsid w:val="59C707D0"/>
    <w:rsid w:val="59C817EE"/>
    <w:rsid w:val="59CF317E"/>
    <w:rsid w:val="59E549BE"/>
    <w:rsid w:val="59F740F1"/>
    <w:rsid w:val="59F902DA"/>
    <w:rsid w:val="59F972F7"/>
    <w:rsid w:val="5A1C3EF8"/>
    <w:rsid w:val="5A226ECE"/>
    <w:rsid w:val="5A2B27D6"/>
    <w:rsid w:val="5A2F594A"/>
    <w:rsid w:val="5A3E5ABB"/>
    <w:rsid w:val="5A4049FD"/>
    <w:rsid w:val="5A430D8D"/>
    <w:rsid w:val="5A525013"/>
    <w:rsid w:val="5A587D48"/>
    <w:rsid w:val="5A5D73C6"/>
    <w:rsid w:val="5A6C32D3"/>
    <w:rsid w:val="5A6D2B5A"/>
    <w:rsid w:val="5A702884"/>
    <w:rsid w:val="5A703622"/>
    <w:rsid w:val="5A796801"/>
    <w:rsid w:val="5A7F4A16"/>
    <w:rsid w:val="5A8126F4"/>
    <w:rsid w:val="5A814A82"/>
    <w:rsid w:val="5A8F2D2B"/>
    <w:rsid w:val="5A9030E7"/>
    <w:rsid w:val="5A9261B6"/>
    <w:rsid w:val="5A9474D4"/>
    <w:rsid w:val="5A977542"/>
    <w:rsid w:val="5A9F3C87"/>
    <w:rsid w:val="5AA3470B"/>
    <w:rsid w:val="5AA53C49"/>
    <w:rsid w:val="5AB21842"/>
    <w:rsid w:val="5AB96EC4"/>
    <w:rsid w:val="5ABA75F5"/>
    <w:rsid w:val="5AC00736"/>
    <w:rsid w:val="5ACC58A9"/>
    <w:rsid w:val="5AD07020"/>
    <w:rsid w:val="5AD20FEA"/>
    <w:rsid w:val="5AD50C84"/>
    <w:rsid w:val="5AD87AA0"/>
    <w:rsid w:val="5AE1312B"/>
    <w:rsid w:val="5AE53EED"/>
    <w:rsid w:val="5AE56ED8"/>
    <w:rsid w:val="5AEB179F"/>
    <w:rsid w:val="5AEC28E9"/>
    <w:rsid w:val="5AF873F9"/>
    <w:rsid w:val="5AFC4D5A"/>
    <w:rsid w:val="5AFD5CA1"/>
    <w:rsid w:val="5B0516D1"/>
    <w:rsid w:val="5B0A144B"/>
    <w:rsid w:val="5B0E2BE7"/>
    <w:rsid w:val="5B194774"/>
    <w:rsid w:val="5B215A6F"/>
    <w:rsid w:val="5B2272B8"/>
    <w:rsid w:val="5B2452CA"/>
    <w:rsid w:val="5B246C93"/>
    <w:rsid w:val="5B293FA4"/>
    <w:rsid w:val="5B3B1E10"/>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E97626"/>
    <w:rsid w:val="5BF93486"/>
    <w:rsid w:val="5BF96C0C"/>
    <w:rsid w:val="5C050C37"/>
    <w:rsid w:val="5C0B6BEB"/>
    <w:rsid w:val="5C196691"/>
    <w:rsid w:val="5C214C1A"/>
    <w:rsid w:val="5C2C2452"/>
    <w:rsid w:val="5C2D0C32"/>
    <w:rsid w:val="5C2E0656"/>
    <w:rsid w:val="5C2F4ED9"/>
    <w:rsid w:val="5C363AC4"/>
    <w:rsid w:val="5C39587B"/>
    <w:rsid w:val="5C45759A"/>
    <w:rsid w:val="5C487098"/>
    <w:rsid w:val="5C5210C9"/>
    <w:rsid w:val="5C551E2B"/>
    <w:rsid w:val="5C566ADD"/>
    <w:rsid w:val="5C5804DA"/>
    <w:rsid w:val="5C584FCD"/>
    <w:rsid w:val="5C663F65"/>
    <w:rsid w:val="5C675762"/>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B024C"/>
    <w:rsid w:val="5CE2665E"/>
    <w:rsid w:val="5CE9646E"/>
    <w:rsid w:val="5CEB65B4"/>
    <w:rsid w:val="5CF30508"/>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85594"/>
    <w:rsid w:val="5D4B02C3"/>
    <w:rsid w:val="5D5217C8"/>
    <w:rsid w:val="5D5C0CC1"/>
    <w:rsid w:val="5D666FAB"/>
    <w:rsid w:val="5D68574F"/>
    <w:rsid w:val="5D69123B"/>
    <w:rsid w:val="5D6B3030"/>
    <w:rsid w:val="5D777C70"/>
    <w:rsid w:val="5D79399F"/>
    <w:rsid w:val="5D8104A7"/>
    <w:rsid w:val="5D826B92"/>
    <w:rsid w:val="5D897F69"/>
    <w:rsid w:val="5DA82D4A"/>
    <w:rsid w:val="5DAD1625"/>
    <w:rsid w:val="5DB713CE"/>
    <w:rsid w:val="5DBA3C0B"/>
    <w:rsid w:val="5DC3428A"/>
    <w:rsid w:val="5DC603E7"/>
    <w:rsid w:val="5DD15915"/>
    <w:rsid w:val="5DD47EED"/>
    <w:rsid w:val="5DD638E2"/>
    <w:rsid w:val="5DE036AE"/>
    <w:rsid w:val="5DE768DF"/>
    <w:rsid w:val="5DEB632A"/>
    <w:rsid w:val="5DFC2B94"/>
    <w:rsid w:val="5DFD637E"/>
    <w:rsid w:val="5E044051"/>
    <w:rsid w:val="5E087C39"/>
    <w:rsid w:val="5E0D40E7"/>
    <w:rsid w:val="5E13621E"/>
    <w:rsid w:val="5E167DEA"/>
    <w:rsid w:val="5E1753DB"/>
    <w:rsid w:val="5E2733FB"/>
    <w:rsid w:val="5E2C032D"/>
    <w:rsid w:val="5E34043D"/>
    <w:rsid w:val="5E377142"/>
    <w:rsid w:val="5E3D70F6"/>
    <w:rsid w:val="5E48734A"/>
    <w:rsid w:val="5E4D151E"/>
    <w:rsid w:val="5E5256CF"/>
    <w:rsid w:val="5E525F9E"/>
    <w:rsid w:val="5E53251C"/>
    <w:rsid w:val="5E5B4CE2"/>
    <w:rsid w:val="5E5C42A1"/>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E85474"/>
    <w:rsid w:val="5EEC0B95"/>
    <w:rsid w:val="5EF00A7A"/>
    <w:rsid w:val="5EF71CFB"/>
    <w:rsid w:val="5EFC37E2"/>
    <w:rsid w:val="5F057E9B"/>
    <w:rsid w:val="5F100A56"/>
    <w:rsid w:val="5F100F52"/>
    <w:rsid w:val="5F125536"/>
    <w:rsid w:val="5F182D44"/>
    <w:rsid w:val="5F1833F7"/>
    <w:rsid w:val="5F1C0006"/>
    <w:rsid w:val="5F1D4307"/>
    <w:rsid w:val="5F290D9A"/>
    <w:rsid w:val="5F3131FF"/>
    <w:rsid w:val="5F3561D8"/>
    <w:rsid w:val="5F39291B"/>
    <w:rsid w:val="5F3B13DB"/>
    <w:rsid w:val="5F41161E"/>
    <w:rsid w:val="5F5D1EB0"/>
    <w:rsid w:val="5F60136E"/>
    <w:rsid w:val="5F6319B8"/>
    <w:rsid w:val="5F6441DB"/>
    <w:rsid w:val="5F695B2D"/>
    <w:rsid w:val="5F725A62"/>
    <w:rsid w:val="5F74244C"/>
    <w:rsid w:val="5F835B70"/>
    <w:rsid w:val="5F850849"/>
    <w:rsid w:val="5F8E1395"/>
    <w:rsid w:val="5F944AC0"/>
    <w:rsid w:val="5FA67D65"/>
    <w:rsid w:val="5FAC52BF"/>
    <w:rsid w:val="5FAC5F18"/>
    <w:rsid w:val="5FAC708D"/>
    <w:rsid w:val="5FAD0AD1"/>
    <w:rsid w:val="5FAD5B8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D70BF"/>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651A9A"/>
    <w:rsid w:val="6166248C"/>
    <w:rsid w:val="616A05BA"/>
    <w:rsid w:val="61701712"/>
    <w:rsid w:val="61730705"/>
    <w:rsid w:val="61745BFE"/>
    <w:rsid w:val="618A392D"/>
    <w:rsid w:val="618B6904"/>
    <w:rsid w:val="618B6F18"/>
    <w:rsid w:val="61902BE6"/>
    <w:rsid w:val="61906BE0"/>
    <w:rsid w:val="61917829"/>
    <w:rsid w:val="61A54181"/>
    <w:rsid w:val="61A86E74"/>
    <w:rsid w:val="61B13862"/>
    <w:rsid w:val="61CC6481"/>
    <w:rsid w:val="61D93C9B"/>
    <w:rsid w:val="61DD38D1"/>
    <w:rsid w:val="61E27522"/>
    <w:rsid w:val="61E31D87"/>
    <w:rsid w:val="61E868FC"/>
    <w:rsid w:val="61EB343F"/>
    <w:rsid w:val="61EE526B"/>
    <w:rsid w:val="61F950AE"/>
    <w:rsid w:val="61FD11D4"/>
    <w:rsid w:val="61FF370F"/>
    <w:rsid w:val="62036D8B"/>
    <w:rsid w:val="6210615D"/>
    <w:rsid w:val="621E0127"/>
    <w:rsid w:val="621F029F"/>
    <w:rsid w:val="6221742E"/>
    <w:rsid w:val="622D4D58"/>
    <w:rsid w:val="62417E90"/>
    <w:rsid w:val="6251451B"/>
    <w:rsid w:val="62593CC6"/>
    <w:rsid w:val="62600241"/>
    <w:rsid w:val="626A664D"/>
    <w:rsid w:val="626F3D3B"/>
    <w:rsid w:val="62726160"/>
    <w:rsid w:val="627D2445"/>
    <w:rsid w:val="62887D39"/>
    <w:rsid w:val="629E7844"/>
    <w:rsid w:val="62A30169"/>
    <w:rsid w:val="62AB6771"/>
    <w:rsid w:val="62B0051C"/>
    <w:rsid w:val="62BF796D"/>
    <w:rsid w:val="62C16E74"/>
    <w:rsid w:val="62C66907"/>
    <w:rsid w:val="62CD2097"/>
    <w:rsid w:val="62DA4BE4"/>
    <w:rsid w:val="62E61243"/>
    <w:rsid w:val="62E62942"/>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71636"/>
    <w:rsid w:val="634A596F"/>
    <w:rsid w:val="635C1C78"/>
    <w:rsid w:val="636C69A2"/>
    <w:rsid w:val="63747317"/>
    <w:rsid w:val="637644DD"/>
    <w:rsid w:val="637A0A5E"/>
    <w:rsid w:val="637C68D1"/>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A3DCB"/>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00434"/>
    <w:rsid w:val="65227A4F"/>
    <w:rsid w:val="652F0A2D"/>
    <w:rsid w:val="652F59CE"/>
    <w:rsid w:val="6534721D"/>
    <w:rsid w:val="653C5699"/>
    <w:rsid w:val="654D30E7"/>
    <w:rsid w:val="654F25D3"/>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C92EDD"/>
    <w:rsid w:val="65CD0FDC"/>
    <w:rsid w:val="65CE09EE"/>
    <w:rsid w:val="65D7216C"/>
    <w:rsid w:val="65DB7E2E"/>
    <w:rsid w:val="65DC3CB9"/>
    <w:rsid w:val="65E21F00"/>
    <w:rsid w:val="65EB028C"/>
    <w:rsid w:val="65EB742A"/>
    <w:rsid w:val="65EF094D"/>
    <w:rsid w:val="65EF6597"/>
    <w:rsid w:val="65FB4F29"/>
    <w:rsid w:val="66022202"/>
    <w:rsid w:val="660309B0"/>
    <w:rsid w:val="66044022"/>
    <w:rsid w:val="660C5876"/>
    <w:rsid w:val="66167018"/>
    <w:rsid w:val="661C606C"/>
    <w:rsid w:val="661D7B2C"/>
    <w:rsid w:val="662533F5"/>
    <w:rsid w:val="662C338C"/>
    <w:rsid w:val="662C6105"/>
    <w:rsid w:val="662D3F0C"/>
    <w:rsid w:val="66353557"/>
    <w:rsid w:val="66360279"/>
    <w:rsid w:val="66453182"/>
    <w:rsid w:val="665A5CD5"/>
    <w:rsid w:val="66605B83"/>
    <w:rsid w:val="66640C7A"/>
    <w:rsid w:val="666646A6"/>
    <w:rsid w:val="66765D82"/>
    <w:rsid w:val="667736A3"/>
    <w:rsid w:val="667C5ED4"/>
    <w:rsid w:val="66824F83"/>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45007"/>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C7AE7"/>
    <w:rsid w:val="68144D95"/>
    <w:rsid w:val="681F60D4"/>
    <w:rsid w:val="682C3893"/>
    <w:rsid w:val="683D1233"/>
    <w:rsid w:val="683D4893"/>
    <w:rsid w:val="683F123A"/>
    <w:rsid w:val="68436057"/>
    <w:rsid w:val="68464288"/>
    <w:rsid w:val="684941A9"/>
    <w:rsid w:val="684A163D"/>
    <w:rsid w:val="684B3682"/>
    <w:rsid w:val="684E4A69"/>
    <w:rsid w:val="685A0891"/>
    <w:rsid w:val="68680F81"/>
    <w:rsid w:val="686B4A24"/>
    <w:rsid w:val="68717C38"/>
    <w:rsid w:val="68763A15"/>
    <w:rsid w:val="687640CE"/>
    <w:rsid w:val="687E370E"/>
    <w:rsid w:val="68872CEB"/>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B36D3"/>
    <w:rsid w:val="68CD5AEF"/>
    <w:rsid w:val="68DA219F"/>
    <w:rsid w:val="68DA2E33"/>
    <w:rsid w:val="68E03F04"/>
    <w:rsid w:val="68E10BEE"/>
    <w:rsid w:val="68E114F2"/>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73733"/>
    <w:rsid w:val="694774FF"/>
    <w:rsid w:val="695A4545"/>
    <w:rsid w:val="695F72BA"/>
    <w:rsid w:val="69673F37"/>
    <w:rsid w:val="696848C8"/>
    <w:rsid w:val="696C4EA3"/>
    <w:rsid w:val="696F17AC"/>
    <w:rsid w:val="69714FA5"/>
    <w:rsid w:val="69790883"/>
    <w:rsid w:val="697B0051"/>
    <w:rsid w:val="697C7EC1"/>
    <w:rsid w:val="698603DC"/>
    <w:rsid w:val="698B2497"/>
    <w:rsid w:val="698E1D27"/>
    <w:rsid w:val="699456BD"/>
    <w:rsid w:val="69987965"/>
    <w:rsid w:val="699A328A"/>
    <w:rsid w:val="699D4130"/>
    <w:rsid w:val="69A00331"/>
    <w:rsid w:val="69AD11FF"/>
    <w:rsid w:val="69BB70ED"/>
    <w:rsid w:val="69BE2697"/>
    <w:rsid w:val="69BF2F7D"/>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A1B39"/>
    <w:rsid w:val="69FD0B82"/>
    <w:rsid w:val="6A063BCE"/>
    <w:rsid w:val="6A0C543B"/>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B58DE"/>
    <w:rsid w:val="6AAD06D7"/>
    <w:rsid w:val="6ABD5AC3"/>
    <w:rsid w:val="6AC74C5A"/>
    <w:rsid w:val="6ACD16CA"/>
    <w:rsid w:val="6ACE65A7"/>
    <w:rsid w:val="6AD273F7"/>
    <w:rsid w:val="6AD41A83"/>
    <w:rsid w:val="6AE27277"/>
    <w:rsid w:val="6AE34CA7"/>
    <w:rsid w:val="6AE84659"/>
    <w:rsid w:val="6AED1147"/>
    <w:rsid w:val="6AF3787E"/>
    <w:rsid w:val="6AF428B7"/>
    <w:rsid w:val="6AFB3C45"/>
    <w:rsid w:val="6B056872"/>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4D2C64"/>
    <w:rsid w:val="6B532EFE"/>
    <w:rsid w:val="6B5673BA"/>
    <w:rsid w:val="6B5D1AC1"/>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C4F3F"/>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5E71A0"/>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D7423E"/>
    <w:rsid w:val="6CDC431E"/>
    <w:rsid w:val="6CE26CAA"/>
    <w:rsid w:val="6CE8485E"/>
    <w:rsid w:val="6CF83396"/>
    <w:rsid w:val="6CFA2346"/>
    <w:rsid w:val="6D047403"/>
    <w:rsid w:val="6D090F6A"/>
    <w:rsid w:val="6D0A63C2"/>
    <w:rsid w:val="6D0F39D8"/>
    <w:rsid w:val="6D121576"/>
    <w:rsid w:val="6D162810"/>
    <w:rsid w:val="6D1845AE"/>
    <w:rsid w:val="6D194506"/>
    <w:rsid w:val="6D212275"/>
    <w:rsid w:val="6D2D3724"/>
    <w:rsid w:val="6D2E426F"/>
    <w:rsid w:val="6D396CA7"/>
    <w:rsid w:val="6D417909"/>
    <w:rsid w:val="6D466E0C"/>
    <w:rsid w:val="6D476DF6"/>
    <w:rsid w:val="6D4C112F"/>
    <w:rsid w:val="6D4D6B34"/>
    <w:rsid w:val="6D526F61"/>
    <w:rsid w:val="6D544E73"/>
    <w:rsid w:val="6D5475FC"/>
    <w:rsid w:val="6D5477C0"/>
    <w:rsid w:val="6D564056"/>
    <w:rsid w:val="6D6130ED"/>
    <w:rsid w:val="6D6B5CC5"/>
    <w:rsid w:val="6D7301C9"/>
    <w:rsid w:val="6D75204A"/>
    <w:rsid w:val="6D7D4DE5"/>
    <w:rsid w:val="6D8697AE"/>
    <w:rsid w:val="6D894F96"/>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AD3D39"/>
    <w:rsid w:val="6EB23337"/>
    <w:rsid w:val="6EBD6814"/>
    <w:rsid w:val="6EBF5A1C"/>
    <w:rsid w:val="6EC27080"/>
    <w:rsid w:val="6EC32B7F"/>
    <w:rsid w:val="6EC45E24"/>
    <w:rsid w:val="6EC65B99"/>
    <w:rsid w:val="6EC70CB8"/>
    <w:rsid w:val="6ECB4229"/>
    <w:rsid w:val="6ED17AA0"/>
    <w:rsid w:val="6EE53020"/>
    <w:rsid w:val="6EF52B6E"/>
    <w:rsid w:val="6EF535E4"/>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2749C"/>
    <w:rsid w:val="6F577232"/>
    <w:rsid w:val="6F58297A"/>
    <w:rsid w:val="6F5D1962"/>
    <w:rsid w:val="6F5E1880"/>
    <w:rsid w:val="6F641BAE"/>
    <w:rsid w:val="6F655B31"/>
    <w:rsid w:val="6F6C292D"/>
    <w:rsid w:val="6F7C2AD5"/>
    <w:rsid w:val="6F7E2AA0"/>
    <w:rsid w:val="6F8C07AA"/>
    <w:rsid w:val="6F8F414B"/>
    <w:rsid w:val="6F9C1661"/>
    <w:rsid w:val="6F9F7C93"/>
    <w:rsid w:val="6FA10237"/>
    <w:rsid w:val="6FA37BAD"/>
    <w:rsid w:val="6FA85EF5"/>
    <w:rsid w:val="6FA939CB"/>
    <w:rsid w:val="6FA973ED"/>
    <w:rsid w:val="6FAA1FAA"/>
    <w:rsid w:val="6FAF4A0F"/>
    <w:rsid w:val="6FBA3679"/>
    <w:rsid w:val="6FC15642"/>
    <w:rsid w:val="6FC33788"/>
    <w:rsid w:val="6FC87C51"/>
    <w:rsid w:val="6FD21659"/>
    <w:rsid w:val="6FD34E20"/>
    <w:rsid w:val="6FE25DC9"/>
    <w:rsid w:val="6FE969BF"/>
    <w:rsid w:val="6FF75CA4"/>
    <w:rsid w:val="6FF86614"/>
    <w:rsid w:val="6FFF2140"/>
    <w:rsid w:val="70013535"/>
    <w:rsid w:val="700D529C"/>
    <w:rsid w:val="701C13EB"/>
    <w:rsid w:val="701D465E"/>
    <w:rsid w:val="702748A7"/>
    <w:rsid w:val="703123AE"/>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160C"/>
    <w:rsid w:val="70C25FEB"/>
    <w:rsid w:val="70D25AA9"/>
    <w:rsid w:val="70DA4D9D"/>
    <w:rsid w:val="70E64EC1"/>
    <w:rsid w:val="70E73F46"/>
    <w:rsid w:val="70FA297E"/>
    <w:rsid w:val="70FE03BA"/>
    <w:rsid w:val="70FF1C74"/>
    <w:rsid w:val="71000959"/>
    <w:rsid w:val="71045FFA"/>
    <w:rsid w:val="710F66E1"/>
    <w:rsid w:val="71143B8A"/>
    <w:rsid w:val="711448F7"/>
    <w:rsid w:val="711624A8"/>
    <w:rsid w:val="71230CDA"/>
    <w:rsid w:val="712612F0"/>
    <w:rsid w:val="7128357B"/>
    <w:rsid w:val="712E2478"/>
    <w:rsid w:val="712E5B76"/>
    <w:rsid w:val="71331318"/>
    <w:rsid w:val="71377B98"/>
    <w:rsid w:val="713A2FED"/>
    <w:rsid w:val="7141589B"/>
    <w:rsid w:val="714B3B81"/>
    <w:rsid w:val="714D5BA5"/>
    <w:rsid w:val="71515117"/>
    <w:rsid w:val="71566EC1"/>
    <w:rsid w:val="715E59A7"/>
    <w:rsid w:val="715F3600"/>
    <w:rsid w:val="71633699"/>
    <w:rsid w:val="716C2D64"/>
    <w:rsid w:val="71721DB0"/>
    <w:rsid w:val="71776F63"/>
    <w:rsid w:val="717C3606"/>
    <w:rsid w:val="717D2CFB"/>
    <w:rsid w:val="718740B7"/>
    <w:rsid w:val="71916474"/>
    <w:rsid w:val="7193322E"/>
    <w:rsid w:val="71975A88"/>
    <w:rsid w:val="719A0DD7"/>
    <w:rsid w:val="71A21432"/>
    <w:rsid w:val="71A243D5"/>
    <w:rsid w:val="71A33B87"/>
    <w:rsid w:val="71A86FFA"/>
    <w:rsid w:val="71B87BFC"/>
    <w:rsid w:val="71BF2E91"/>
    <w:rsid w:val="71CA0007"/>
    <w:rsid w:val="71CA1EC1"/>
    <w:rsid w:val="71CF42B0"/>
    <w:rsid w:val="71D51046"/>
    <w:rsid w:val="71E650F8"/>
    <w:rsid w:val="71E86FC2"/>
    <w:rsid w:val="71F34F09"/>
    <w:rsid w:val="71F57081"/>
    <w:rsid w:val="71FC0C50"/>
    <w:rsid w:val="720226F5"/>
    <w:rsid w:val="72055131"/>
    <w:rsid w:val="72072549"/>
    <w:rsid w:val="72181E17"/>
    <w:rsid w:val="72394DEB"/>
    <w:rsid w:val="723A7C99"/>
    <w:rsid w:val="724858A3"/>
    <w:rsid w:val="7256691C"/>
    <w:rsid w:val="725D2801"/>
    <w:rsid w:val="72636F80"/>
    <w:rsid w:val="726805DE"/>
    <w:rsid w:val="727E4734"/>
    <w:rsid w:val="72907968"/>
    <w:rsid w:val="7291124D"/>
    <w:rsid w:val="72A52A32"/>
    <w:rsid w:val="72A703A1"/>
    <w:rsid w:val="72AD4ED3"/>
    <w:rsid w:val="72BB1F0C"/>
    <w:rsid w:val="72BC28CE"/>
    <w:rsid w:val="72C45265"/>
    <w:rsid w:val="72D103AA"/>
    <w:rsid w:val="72D73775"/>
    <w:rsid w:val="72E23F94"/>
    <w:rsid w:val="72E32665"/>
    <w:rsid w:val="72E422B0"/>
    <w:rsid w:val="72E727FA"/>
    <w:rsid w:val="72F83CCF"/>
    <w:rsid w:val="7303759F"/>
    <w:rsid w:val="730A4900"/>
    <w:rsid w:val="730B4C41"/>
    <w:rsid w:val="73137151"/>
    <w:rsid w:val="73147D6A"/>
    <w:rsid w:val="731964AC"/>
    <w:rsid w:val="73244C47"/>
    <w:rsid w:val="732540EB"/>
    <w:rsid w:val="732579C4"/>
    <w:rsid w:val="732B35B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51751"/>
    <w:rsid w:val="73681BF5"/>
    <w:rsid w:val="736C6E76"/>
    <w:rsid w:val="736D6C84"/>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ED11A4"/>
    <w:rsid w:val="73EE68C5"/>
    <w:rsid w:val="73F0094D"/>
    <w:rsid w:val="73F80612"/>
    <w:rsid w:val="73F86087"/>
    <w:rsid w:val="73FD6EE8"/>
    <w:rsid w:val="74061605"/>
    <w:rsid w:val="74083905"/>
    <w:rsid w:val="740B1A0D"/>
    <w:rsid w:val="740B5D45"/>
    <w:rsid w:val="740C0C71"/>
    <w:rsid w:val="74107850"/>
    <w:rsid w:val="7411227C"/>
    <w:rsid w:val="74166EE1"/>
    <w:rsid w:val="7417064D"/>
    <w:rsid w:val="74330E81"/>
    <w:rsid w:val="74336611"/>
    <w:rsid w:val="743D22C4"/>
    <w:rsid w:val="743F386D"/>
    <w:rsid w:val="74460566"/>
    <w:rsid w:val="744F5002"/>
    <w:rsid w:val="74515897"/>
    <w:rsid w:val="74525446"/>
    <w:rsid w:val="745443C6"/>
    <w:rsid w:val="74591A20"/>
    <w:rsid w:val="74592B70"/>
    <w:rsid w:val="745A402C"/>
    <w:rsid w:val="745D351C"/>
    <w:rsid w:val="746D2D49"/>
    <w:rsid w:val="747351CD"/>
    <w:rsid w:val="747533B4"/>
    <w:rsid w:val="747B36E0"/>
    <w:rsid w:val="74806AF8"/>
    <w:rsid w:val="7483414B"/>
    <w:rsid w:val="749327C3"/>
    <w:rsid w:val="74944F3F"/>
    <w:rsid w:val="7495089F"/>
    <w:rsid w:val="749605C3"/>
    <w:rsid w:val="74962C31"/>
    <w:rsid w:val="749704B3"/>
    <w:rsid w:val="749709EA"/>
    <w:rsid w:val="74A968D2"/>
    <w:rsid w:val="74B026BC"/>
    <w:rsid w:val="74BB6E1B"/>
    <w:rsid w:val="74BD2567"/>
    <w:rsid w:val="74C4779E"/>
    <w:rsid w:val="74C60570"/>
    <w:rsid w:val="74CD020E"/>
    <w:rsid w:val="74D75775"/>
    <w:rsid w:val="74DB0643"/>
    <w:rsid w:val="74DD43BC"/>
    <w:rsid w:val="74E06734"/>
    <w:rsid w:val="74EE3F2F"/>
    <w:rsid w:val="74F30F9B"/>
    <w:rsid w:val="74F920A2"/>
    <w:rsid w:val="74FA74AE"/>
    <w:rsid w:val="74FF0E11"/>
    <w:rsid w:val="750D6346"/>
    <w:rsid w:val="750D66AE"/>
    <w:rsid w:val="7510728E"/>
    <w:rsid w:val="75122A96"/>
    <w:rsid w:val="751B4EE4"/>
    <w:rsid w:val="752D2252"/>
    <w:rsid w:val="753843EE"/>
    <w:rsid w:val="75501031"/>
    <w:rsid w:val="755A5D34"/>
    <w:rsid w:val="755E6B2C"/>
    <w:rsid w:val="75612E8C"/>
    <w:rsid w:val="756B645F"/>
    <w:rsid w:val="75727F8C"/>
    <w:rsid w:val="757759BB"/>
    <w:rsid w:val="757840E4"/>
    <w:rsid w:val="757D431E"/>
    <w:rsid w:val="75825F86"/>
    <w:rsid w:val="758C4102"/>
    <w:rsid w:val="75957DB3"/>
    <w:rsid w:val="759C7DD3"/>
    <w:rsid w:val="75A847D4"/>
    <w:rsid w:val="75B2299C"/>
    <w:rsid w:val="75B37393"/>
    <w:rsid w:val="75B85A11"/>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8C5F10"/>
    <w:rsid w:val="769777E5"/>
    <w:rsid w:val="769E5F6F"/>
    <w:rsid w:val="76A01B45"/>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8097D"/>
    <w:rsid w:val="770A67AF"/>
    <w:rsid w:val="770E4D00"/>
    <w:rsid w:val="77154CF8"/>
    <w:rsid w:val="77203387"/>
    <w:rsid w:val="772C4170"/>
    <w:rsid w:val="772F2C3B"/>
    <w:rsid w:val="773306AE"/>
    <w:rsid w:val="773D39B5"/>
    <w:rsid w:val="773E42D7"/>
    <w:rsid w:val="774866E8"/>
    <w:rsid w:val="774B3887"/>
    <w:rsid w:val="77502310"/>
    <w:rsid w:val="775B2785"/>
    <w:rsid w:val="77602FC0"/>
    <w:rsid w:val="77647A3A"/>
    <w:rsid w:val="776D7169"/>
    <w:rsid w:val="777B3509"/>
    <w:rsid w:val="777D2EF5"/>
    <w:rsid w:val="777E0767"/>
    <w:rsid w:val="77857E1D"/>
    <w:rsid w:val="778D63EE"/>
    <w:rsid w:val="779276DF"/>
    <w:rsid w:val="7797127E"/>
    <w:rsid w:val="779F0D4A"/>
    <w:rsid w:val="77A44A88"/>
    <w:rsid w:val="77B20C3C"/>
    <w:rsid w:val="77BA7D2D"/>
    <w:rsid w:val="77BB59E0"/>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71C38"/>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8F7506"/>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100D13"/>
    <w:rsid w:val="791C4D2D"/>
    <w:rsid w:val="7923282E"/>
    <w:rsid w:val="79276B05"/>
    <w:rsid w:val="79286182"/>
    <w:rsid w:val="792A7832"/>
    <w:rsid w:val="79324721"/>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A057D2"/>
    <w:rsid w:val="79A61220"/>
    <w:rsid w:val="79B742FA"/>
    <w:rsid w:val="79B84AC6"/>
    <w:rsid w:val="79B95087"/>
    <w:rsid w:val="79BA0DDA"/>
    <w:rsid w:val="79C042EA"/>
    <w:rsid w:val="79C12663"/>
    <w:rsid w:val="79C2574F"/>
    <w:rsid w:val="79CA5A16"/>
    <w:rsid w:val="79DA31B1"/>
    <w:rsid w:val="79DC2089"/>
    <w:rsid w:val="79F72F74"/>
    <w:rsid w:val="79F75648"/>
    <w:rsid w:val="7A035C90"/>
    <w:rsid w:val="7A0A6F13"/>
    <w:rsid w:val="7A143182"/>
    <w:rsid w:val="7A1512F4"/>
    <w:rsid w:val="7A1950DB"/>
    <w:rsid w:val="7A1A36E3"/>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D402F3"/>
    <w:rsid w:val="7AD920E6"/>
    <w:rsid w:val="7AE95B46"/>
    <w:rsid w:val="7AEA62DF"/>
    <w:rsid w:val="7AF31E92"/>
    <w:rsid w:val="7B035EA0"/>
    <w:rsid w:val="7B05641A"/>
    <w:rsid w:val="7B062A7D"/>
    <w:rsid w:val="7B092F7C"/>
    <w:rsid w:val="7B105975"/>
    <w:rsid w:val="7B13647D"/>
    <w:rsid w:val="7B171866"/>
    <w:rsid w:val="7B2252E6"/>
    <w:rsid w:val="7B257605"/>
    <w:rsid w:val="7B27008E"/>
    <w:rsid w:val="7B3C4232"/>
    <w:rsid w:val="7B4303C9"/>
    <w:rsid w:val="7B442DBA"/>
    <w:rsid w:val="7B472B20"/>
    <w:rsid w:val="7B4C7E96"/>
    <w:rsid w:val="7B4E50CF"/>
    <w:rsid w:val="7B510D35"/>
    <w:rsid w:val="7B510DB3"/>
    <w:rsid w:val="7B534D03"/>
    <w:rsid w:val="7B5C1AD7"/>
    <w:rsid w:val="7B5C1B3B"/>
    <w:rsid w:val="7B5D6C33"/>
    <w:rsid w:val="7B5F7760"/>
    <w:rsid w:val="7B6110D6"/>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BE12AC"/>
    <w:rsid w:val="7CC53420"/>
    <w:rsid w:val="7CD73E6F"/>
    <w:rsid w:val="7CD8653A"/>
    <w:rsid w:val="7CDF415F"/>
    <w:rsid w:val="7CF053CA"/>
    <w:rsid w:val="7CFA4D1B"/>
    <w:rsid w:val="7CFF74FD"/>
    <w:rsid w:val="7D001F55"/>
    <w:rsid w:val="7D013991"/>
    <w:rsid w:val="7D0658B4"/>
    <w:rsid w:val="7D072B09"/>
    <w:rsid w:val="7D080889"/>
    <w:rsid w:val="7D133473"/>
    <w:rsid w:val="7D216A97"/>
    <w:rsid w:val="7D2403F6"/>
    <w:rsid w:val="7D295F33"/>
    <w:rsid w:val="7D336C15"/>
    <w:rsid w:val="7D3A0CD4"/>
    <w:rsid w:val="7D407273"/>
    <w:rsid w:val="7D5A1809"/>
    <w:rsid w:val="7D640779"/>
    <w:rsid w:val="7D6513F2"/>
    <w:rsid w:val="7D6A2914"/>
    <w:rsid w:val="7D795342"/>
    <w:rsid w:val="7D87623B"/>
    <w:rsid w:val="7D925637"/>
    <w:rsid w:val="7D9C3A9E"/>
    <w:rsid w:val="7DAA3AC1"/>
    <w:rsid w:val="7DAB2F22"/>
    <w:rsid w:val="7DAC4660"/>
    <w:rsid w:val="7DB01837"/>
    <w:rsid w:val="7DB96D90"/>
    <w:rsid w:val="7DC317D0"/>
    <w:rsid w:val="7DC557A7"/>
    <w:rsid w:val="7DCB273D"/>
    <w:rsid w:val="7DCF22DF"/>
    <w:rsid w:val="7DD20D98"/>
    <w:rsid w:val="7DD42076"/>
    <w:rsid w:val="7DD45665"/>
    <w:rsid w:val="7DD81BC4"/>
    <w:rsid w:val="7DDD085F"/>
    <w:rsid w:val="7DE013C3"/>
    <w:rsid w:val="7DE35497"/>
    <w:rsid w:val="7DE63734"/>
    <w:rsid w:val="7DFD29E7"/>
    <w:rsid w:val="7DFD3DE7"/>
    <w:rsid w:val="7E0340E3"/>
    <w:rsid w:val="7E0C72A7"/>
    <w:rsid w:val="7E0E1504"/>
    <w:rsid w:val="7E1068AD"/>
    <w:rsid w:val="7E1A3354"/>
    <w:rsid w:val="7E1D1412"/>
    <w:rsid w:val="7E262D1A"/>
    <w:rsid w:val="7E392199"/>
    <w:rsid w:val="7E3D5D54"/>
    <w:rsid w:val="7E445120"/>
    <w:rsid w:val="7E454A83"/>
    <w:rsid w:val="7E4876AF"/>
    <w:rsid w:val="7E4F5A11"/>
    <w:rsid w:val="7E56175B"/>
    <w:rsid w:val="7E581989"/>
    <w:rsid w:val="7E656261"/>
    <w:rsid w:val="7E69428C"/>
    <w:rsid w:val="7E6E5139"/>
    <w:rsid w:val="7E6E7932"/>
    <w:rsid w:val="7E705088"/>
    <w:rsid w:val="7E761B3B"/>
    <w:rsid w:val="7E81026B"/>
    <w:rsid w:val="7E935007"/>
    <w:rsid w:val="7E9D6604"/>
    <w:rsid w:val="7EC1742C"/>
    <w:rsid w:val="7EC4681B"/>
    <w:rsid w:val="7ED6799D"/>
    <w:rsid w:val="7ED73B7E"/>
    <w:rsid w:val="7EDA196C"/>
    <w:rsid w:val="7EF415E7"/>
    <w:rsid w:val="7EF50B7A"/>
    <w:rsid w:val="7F020DD4"/>
    <w:rsid w:val="7F057A2A"/>
    <w:rsid w:val="7F070033"/>
    <w:rsid w:val="7F072F4B"/>
    <w:rsid w:val="7F084ACC"/>
    <w:rsid w:val="7F0D0BD2"/>
    <w:rsid w:val="7F10114A"/>
    <w:rsid w:val="7F1848C8"/>
    <w:rsid w:val="7F1C0D12"/>
    <w:rsid w:val="7F1C4EB2"/>
    <w:rsid w:val="7F201A75"/>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E382A"/>
    <w:rsid w:val="7FC578DC"/>
    <w:rsid w:val="7FC66319"/>
    <w:rsid w:val="7FCC5153"/>
    <w:rsid w:val="7FD0468B"/>
    <w:rsid w:val="7FD339DD"/>
    <w:rsid w:val="7FD9337D"/>
    <w:rsid w:val="7FDA3561"/>
    <w:rsid w:val="7FF91DD5"/>
    <w:rsid w:val="7FF9388A"/>
    <w:rsid w:val="7FFB57F7"/>
    <w:rsid w:val="7FFE5211"/>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autoRedefine/>
    <w:qFormat/>
    <w:uiPriority w:val="0"/>
    <w:pPr>
      <w:keepNext/>
      <w:snapToGrid w:val="0"/>
      <w:spacing w:line="360" w:lineRule="atLeast"/>
      <w:outlineLvl w:val="0"/>
    </w:pPr>
    <w:rPr>
      <w:rFonts w:ascii="宋体"/>
    </w:rPr>
  </w:style>
  <w:style w:type="paragraph" w:styleId="6">
    <w:name w:val="heading 2"/>
    <w:basedOn w:val="1"/>
    <w:next w:val="1"/>
    <w:link w:val="101"/>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105"/>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spacing w:before="280" w:after="290" w:line="372" w:lineRule="auto"/>
      <w:outlineLvl w:val="3"/>
    </w:pPr>
  </w:style>
  <w:style w:type="paragraph" w:styleId="9">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60" w:lineRule="auto"/>
      <w:ind w:firstLine="420"/>
    </w:pPr>
    <w:rPr>
      <w:rFonts w:ascii="宋体" w:hAnsi="宋体"/>
      <w:sz w:val="24"/>
    </w:rPr>
  </w:style>
  <w:style w:type="paragraph" w:styleId="3">
    <w:name w:val="Body Text"/>
    <w:basedOn w:val="1"/>
    <w:next w:val="4"/>
    <w:autoRedefine/>
    <w:qFormat/>
    <w:uiPriority w:val="0"/>
    <w:rPr>
      <w:rFonts w:ascii="仿宋_GB2312" w:eastAsia="仿宋_GB2312"/>
      <w:sz w:val="32"/>
    </w:rPr>
  </w:style>
  <w:style w:type="paragraph" w:customStyle="1" w:styleId="4">
    <w:name w:val="明显引用1"/>
    <w:basedOn w:val="1"/>
    <w:next w:val="1"/>
    <w:autoRedefine/>
    <w:qFormat/>
    <w:uiPriority w:val="0"/>
    <w:pPr>
      <w:wordWrap w:val="0"/>
      <w:spacing w:before="360" w:beforeLines="0" w:after="360" w:afterLines="0"/>
      <w:ind w:left="950" w:right="950"/>
      <w:jc w:val="center"/>
    </w:pPr>
    <w:rPr>
      <w:i/>
      <w:sz w:val="21"/>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numPr>
        <w:ilvl w:val="0"/>
        <w:numId w:val="1"/>
      </w:numPr>
      <w:tabs>
        <w:tab w:val="left" w:pos="780"/>
        <w:tab w:val="clear" w:pos="425"/>
      </w:tabs>
      <w:spacing w:line="360" w:lineRule="auto"/>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autoRedefine/>
    <w:qFormat/>
    <w:uiPriority w:val="0"/>
    <w:pPr>
      <w:adjustRightInd w:val="0"/>
      <w:snapToGrid w:val="0"/>
      <w:spacing w:line="360" w:lineRule="auto"/>
      <w:ind w:firstLine="420"/>
    </w:pPr>
    <w:rPr>
      <w:sz w:val="24"/>
    </w:rPr>
  </w:style>
  <w:style w:type="paragraph" w:styleId="19">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82"/>
    <w:autoRedefine/>
    <w:qFormat/>
    <w:uiPriority w:val="0"/>
    <w:pPr>
      <w:adjustRightInd w:val="0"/>
      <w:spacing w:line="360" w:lineRule="atLeast"/>
      <w:jc w:val="left"/>
      <w:textAlignment w:val="baseline"/>
    </w:pPr>
    <w:rPr>
      <w:kern w:val="0"/>
      <w:sz w:val="24"/>
    </w:rPr>
  </w:style>
  <w:style w:type="paragraph" w:styleId="23">
    <w:name w:val="Body Text 3"/>
    <w:basedOn w:val="1"/>
    <w:autoRedefine/>
    <w:qFormat/>
    <w:uiPriority w:val="0"/>
    <w:pPr>
      <w:adjustRightInd w:val="0"/>
      <w:snapToGrid w:val="0"/>
      <w:spacing w:after="120" w:line="360" w:lineRule="auto"/>
    </w:pPr>
    <w:rPr>
      <w:sz w:val="16"/>
    </w:rPr>
  </w:style>
  <w:style w:type="paragraph" w:styleId="24">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5">
    <w:name w:val="Body Text Indent"/>
    <w:basedOn w:val="1"/>
    <w:next w:val="1"/>
    <w:link w:val="84"/>
    <w:autoRedefine/>
    <w:qFormat/>
    <w:uiPriority w:val="0"/>
    <w:pPr>
      <w:spacing w:line="700" w:lineRule="exact"/>
      <w:ind w:left="960"/>
    </w:pPr>
    <w:rPr>
      <w:sz w:val="44"/>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spacing w:after="120"/>
      <w:ind w:left="1440" w:leftChars="700" w:right="1440" w:rightChars="700"/>
    </w:pPr>
  </w:style>
  <w:style w:type="paragraph" w:styleId="30">
    <w:name w:val="List Bullet 2"/>
    <w:basedOn w:val="1"/>
    <w:autoRedefine/>
    <w:qFormat/>
    <w:uiPriority w:val="0"/>
    <w:pPr>
      <w:numPr>
        <w:ilvl w:val="0"/>
        <w:numId w:val="2"/>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autoRedefine/>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110"/>
    <w:autoRedefine/>
    <w:qFormat/>
    <w:uiPriority w:val="99"/>
  </w:style>
  <w:style w:type="paragraph" w:styleId="36">
    <w:name w:val="Body Text Indent 2"/>
    <w:basedOn w:val="1"/>
    <w:link w:val="79"/>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117"/>
    <w:autoRedefine/>
    <w:qFormat/>
    <w:uiPriority w:val="99"/>
    <w:pPr>
      <w:tabs>
        <w:tab w:val="center" w:pos="4153"/>
        <w:tab w:val="right" w:pos="8306"/>
      </w:tabs>
      <w:snapToGrid w:val="0"/>
      <w:jc w:val="left"/>
    </w:pPr>
    <w:rPr>
      <w:sz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footnote text"/>
    <w:basedOn w:val="1"/>
    <w:link w:val="90"/>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HTML Preformatted"/>
    <w:basedOn w:val="1"/>
    <w:autoRedefine/>
    <w:qFormat/>
    <w:uiPriority w:val="0"/>
    <w:rPr>
      <w:rFonts w:ascii="Courier New" w:hAnsi="Courier New"/>
      <w:sz w:val="20"/>
    </w:rPr>
  </w:style>
  <w:style w:type="paragraph" w:styleId="5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autoRedefine/>
    <w:qFormat/>
    <w:uiPriority w:val="0"/>
    <w:pPr>
      <w:adjustRightInd w:val="0"/>
      <w:snapToGrid w:val="0"/>
      <w:spacing w:after="120" w:line="360" w:lineRule="auto"/>
      <w:ind w:left="1260" w:leftChars="600"/>
    </w:pPr>
    <w:rPr>
      <w:sz w:val="24"/>
    </w:rPr>
  </w:style>
  <w:style w:type="paragraph" w:styleId="56">
    <w:name w:val="index 1"/>
    <w:basedOn w:val="1"/>
    <w:next w:val="1"/>
    <w:autoRedefine/>
    <w:qFormat/>
    <w:uiPriority w:val="0"/>
    <w:pPr>
      <w:adjustRightInd w:val="0"/>
      <w:spacing w:line="240" w:lineRule="atLeast"/>
      <w:textAlignment w:val="baseline"/>
    </w:pPr>
    <w:rPr>
      <w:rFonts w:ascii="宋体"/>
      <w:kern w:val="0"/>
      <w:sz w:val="21"/>
    </w:rPr>
  </w:style>
  <w:style w:type="paragraph" w:styleId="57">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2"/>
    <w:next w:val="22"/>
    <w:link w:val="81"/>
    <w:autoRedefine/>
    <w:qFormat/>
    <w:uiPriority w:val="0"/>
    <w:pPr>
      <w:adjustRightInd/>
      <w:spacing w:line="240" w:lineRule="auto"/>
      <w:textAlignment w:val="auto"/>
    </w:pPr>
  </w:style>
  <w:style w:type="paragraph" w:styleId="59">
    <w:name w:val="Body Text First Indent 2"/>
    <w:basedOn w:val="25"/>
    <w:next w:val="1"/>
    <w:link w:val="108"/>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无间隔1"/>
    <w:autoRedefine/>
    <w:qFormat/>
    <w:uiPriority w:val="1"/>
    <w:pPr>
      <w:jc w:val="both"/>
    </w:pPr>
    <w:rPr>
      <w:rFonts w:ascii="Calibri" w:hAnsi="Calibri" w:eastAsia="Times New Roman" w:cs="Times New Roman"/>
      <w:lang w:val="en-US" w:eastAsia="zh-CN" w:bidi="ar-SA"/>
    </w:rPr>
  </w:style>
  <w:style w:type="paragraph" w:customStyle="1" w:styleId="71">
    <w:name w:val="标书正文1"/>
    <w:basedOn w:val="1"/>
    <w:autoRedefine/>
    <w:qFormat/>
    <w:uiPriority w:val="0"/>
    <w:pPr>
      <w:spacing w:line="520" w:lineRule="exact"/>
      <w:ind w:firstLine="640" w:firstLineChars="200"/>
    </w:pPr>
    <w:rPr>
      <w:rFonts w:ascii="Times New Roman" w:hAnsi="Times New Roman"/>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4">
    <w:name w:val="Char Char7"/>
    <w:autoRedefine/>
    <w:qFormat/>
    <w:uiPriority w:val="0"/>
    <w:rPr>
      <w:rFonts w:ascii="宋体" w:hAnsi="宋体" w:eastAsia="宋体"/>
      <w:kern w:val="2"/>
      <w:sz w:val="28"/>
    </w:rPr>
  </w:style>
  <w:style w:type="character" w:customStyle="1" w:styleId="75">
    <w:name w:val="font91"/>
    <w:autoRedefine/>
    <w:qFormat/>
    <w:uiPriority w:val="0"/>
    <w:rPr>
      <w:rFonts w:hint="eastAsia" w:ascii="宋体" w:hAnsi="宋体" w:eastAsia="宋体" w:cs="宋体"/>
      <w:color w:val="000000"/>
      <w:sz w:val="20"/>
      <w:szCs w:val="20"/>
      <w:u w:val="none"/>
    </w:rPr>
  </w:style>
  <w:style w:type="character" w:customStyle="1" w:styleId="76">
    <w:name w:val="未命名11"/>
    <w:autoRedefine/>
    <w:qFormat/>
    <w:uiPriority w:val="0"/>
    <w:rPr>
      <w:color w:val="77FFFF"/>
      <w:sz w:val="24"/>
    </w:rPr>
  </w:style>
  <w:style w:type="character" w:customStyle="1" w:styleId="77">
    <w:name w:val="font51"/>
    <w:basedOn w:val="62"/>
    <w:autoRedefine/>
    <w:qFormat/>
    <w:uiPriority w:val="0"/>
    <w:rPr>
      <w:rFonts w:hint="eastAsia" w:ascii="宋体" w:hAnsi="宋体" w:eastAsia="宋体" w:cs="宋体"/>
      <w:color w:val="000000"/>
      <w:sz w:val="20"/>
      <w:szCs w:val="20"/>
      <w:u w:val="none"/>
      <w:vertAlign w:val="superscript"/>
    </w:rPr>
  </w:style>
  <w:style w:type="character" w:customStyle="1" w:styleId="78">
    <w:name w:val="content-white1"/>
    <w:autoRedefine/>
    <w:qFormat/>
    <w:uiPriority w:val="0"/>
    <w:rPr>
      <w:color w:val="auto"/>
      <w:sz w:val="18"/>
      <w:u w:val="none"/>
    </w:rPr>
  </w:style>
  <w:style w:type="character" w:customStyle="1" w:styleId="79">
    <w:name w:val="正文文本缩进 2 字符"/>
    <w:link w:val="36"/>
    <w:autoRedefine/>
    <w:qFormat/>
    <w:uiPriority w:val="0"/>
    <w:rPr>
      <w:kern w:val="2"/>
      <w:sz w:val="28"/>
    </w:rPr>
  </w:style>
  <w:style w:type="character" w:customStyle="1" w:styleId="80">
    <w:name w:val="Char Char11"/>
    <w:autoRedefine/>
    <w:qFormat/>
    <w:uiPriority w:val="0"/>
    <w:rPr>
      <w:rFonts w:ascii="宋体"/>
      <w:kern w:val="2"/>
      <w:sz w:val="28"/>
    </w:rPr>
  </w:style>
  <w:style w:type="character" w:customStyle="1" w:styleId="81">
    <w:name w:val="批注主题 字符"/>
    <w:basedOn w:val="82"/>
    <w:link w:val="58"/>
    <w:autoRedefine/>
    <w:qFormat/>
    <w:uiPriority w:val="0"/>
    <w:rPr>
      <w:sz w:val="24"/>
    </w:rPr>
  </w:style>
  <w:style w:type="character" w:customStyle="1" w:styleId="82">
    <w:name w:val="批注文字 字符"/>
    <w:link w:val="22"/>
    <w:autoRedefine/>
    <w:qFormat/>
    <w:uiPriority w:val="0"/>
    <w:rPr>
      <w:sz w:val="24"/>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正文文本缩进 字符"/>
    <w:link w:val="25"/>
    <w:autoRedefine/>
    <w:qFormat/>
    <w:uiPriority w:val="0"/>
    <w:rPr>
      <w:kern w:val="2"/>
      <w:sz w:val="44"/>
    </w:rPr>
  </w:style>
  <w:style w:type="character" w:customStyle="1" w:styleId="85">
    <w:name w:val="Table Text Char"/>
    <w:link w:val="86"/>
    <w:autoRedefine/>
    <w:qFormat/>
    <w:uiPriority w:val="0"/>
    <w:rPr>
      <w:rFonts w:ascii="Arial" w:hAnsi="Arial"/>
      <w:kern w:val="2"/>
      <w:sz w:val="18"/>
      <w:lang w:val="en-US" w:eastAsia="zh-CN" w:bidi="ar-SA"/>
    </w:rPr>
  </w:style>
  <w:style w:type="paragraph" w:customStyle="1" w:styleId="86">
    <w:name w:val="Table Text"/>
    <w:link w:val="8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v151"/>
    <w:autoRedefine/>
    <w:qFormat/>
    <w:uiPriority w:val="0"/>
    <w:rPr>
      <w:sz w:val="18"/>
    </w:rPr>
  </w:style>
  <w:style w:type="character" w:customStyle="1" w:styleId="88">
    <w:name w:val="样式 宋体"/>
    <w:autoRedefine/>
    <w:qFormat/>
    <w:uiPriority w:val="0"/>
    <w:rPr>
      <w:rFonts w:ascii="宋体" w:hAnsi="宋体" w:eastAsia="宋体"/>
      <w:sz w:val="28"/>
    </w:rPr>
  </w:style>
  <w:style w:type="character" w:customStyle="1" w:styleId="89">
    <w:name w:val="title_emph1"/>
    <w:autoRedefine/>
    <w:qFormat/>
    <w:uiPriority w:val="0"/>
    <w:rPr>
      <w:rFonts w:hint="default" w:ascii="Arial" w:hAnsi="Arial"/>
      <w:b/>
      <w:sz w:val="20"/>
    </w:rPr>
  </w:style>
  <w:style w:type="character" w:customStyle="1" w:styleId="90">
    <w:name w:val="脚注文本 字符"/>
    <w:link w:val="43"/>
    <w:autoRedefine/>
    <w:qFormat/>
    <w:uiPriority w:val="0"/>
    <w:rPr>
      <w:kern w:val="2"/>
      <w:sz w:val="18"/>
    </w:rPr>
  </w:style>
  <w:style w:type="character" w:customStyle="1" w:styleId="91">
    <w:name w:val="Char Char"/>
    <w:autoRedefine/>
    <w:qFormat/>
    <w:uiPriority w:val="0"/>
    <w:rPr>
      <w:rFonts w:ascii="宋体" w:hAnsi="宋体" w:eastAsia="宋体"/>
      <w:kern w:val="2"/>
      <w:sz w:val="24"/>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Char Char Char"/>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font01"/>
    <w:autoRedefine/>
    <w:qFormat/>
    <w:uiPriority w:val="0"/>
    <w:rPr>
      <w:rFonts w:hint="default" w:ascii="Times New Roman" w:hAnsi="Times New Roman" w:cs="Times New Roman"/>
      <w:color w:val="000000"/>
      <w:sz w:val="20"/>
      <w:szCs w:val="20"/>
      <w:u w:val="none"/>
    </w:rPr>
  </w:style>
  <w:style w:type="character" w:customStyle="1" w:styleId="98">
    <w:name w:val="font101"/>
    <w:autoRedefine/>
    <w:qFormat/>
    <w:uiPriority w:val="0"/>
    <w:rPr>
      <w:rFonts w:hint="default" w:ascii="Times New Roman" w:hAnsi="Times New Roman" w:cs="Times New Roman"/>
      <w:color w:val="000000"/>
      <w:sz w:val="20"/>
      <w:szCs w:val="20"/>
      <w:u w:val="none"/>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题 2 字符"/>
    <w:link w:val="6"/>
    <w:autoRedefine/>
    <w:qFormat/>
    <w:uiPriority w:val="0"/>
    <w:rPr>
      <w:rFonts w:ascii="Arial" w:hAnsi="Arial" w:eastAsia="黑体"/>
      <w:b/>
      <w:kern w:val="2"/>
      <w:sz w:val="32"/>
    </w:rPr>
  </w:style>
  <w:style w:type="character" w:customStyle="1" w:styleId="102">
    <w:name w:val="font31"/>
    <w:autoRedefine/>
    <w:qFormat/>
    <w:uiPriority w:val="0"/>
    <w:rPr>
      <w:rFonts w:hint="eastAsia" w:ascii="宋体" w:hAnsi="宋体" w:eastAsia="宋体" w:cs="宋体"/>
      <w:b/>
      <w:color w:val="000000"/>
      <w:sz w:val="20"/>
      <w:szCs w:val="20"/>
      <w:u w:val="none"/>
    </w:rPr>
  </w:style>
  <w:style w:type="character" w:customStyle="1" w:styleId="103">
    <w:name w:val="文字 Char"/>
    <w:link w:val="104"/>
    <w:autoRedefine/>
    <w:qFormat/>
    <w:uiPriority w:val="0"/>
    <w:rPr>
      <w:rFonts w:ascii="宋体"/>
      <w:kern w:val="2"/>
      <w:sz w:val="28"/>
    </w:rPr>
  </w:style>
  <w:style w:type="paragraph" w:customStyle="1" w:styleId="104">
    <w:name w:val="文字"/>
    <w:basedOn w:val="1"/>
    <w:link w:val="103"/>
    <w:autoRedefine/>
    <w:qFormat/>
    <w:uiPriority w:val="0"/>
    <w:pPr>
      <w:tabs>
        <w:tab w:val="left" w:pos="8520"/>
      </w:tabs>
      <w:spacing w:line="312" w:lineRule="auto"/>
      <w:ind w:right="-210" w:firstLine="556"/>
    </w:pPr>
    <w:rPr>
      <w:rFonts w:ascii="宋体"/>
    </w:rPr>
  </w:style>
  <w:style w:type="character" w:customStyle="1" w:styleId="105">
    <w:name w:val="标题 3 字符"/>
    <w:link w:val="7"/>
    <w:autoRedefine/>
    <w:qFormat/>
    <w:uiPriority w:val="0"/>
    <w:rPr>
      <w:rFonts w:eastAsia="宋体"/>
      <w:b/>
      <w:kern w:val="2"/>
      <w:sz w:val="32"/>
      <w:lang w:val="en-US" w:eastAsia="zh-CN"/>
    </w:rPr>
  </w:style>
  <w:style w:type="character" w:customStyle="1" w:styleId="106">
    <w:name w:val="Char Char6"/>
    <w:autoRedefine/>
    <w:qFormat/>
    <w:uiPriority w:val="0"/>
    <w:rPr>
      <w:rFonts w:ascii="仿宋_GB2312" w:eastAsia="仿宋_GB2312"/>
      <w:kern w:val="2"/>
      <w:sz w:val="32"/>
    </w:rPr>
  </w:style>
  <w:style w:type="character" w:customStyle="1" w:styleId="107">
    <w:name w:val="Char Char3"/>
    <w:autoRedefine/>
    <w:qFormat/>
    <w:uiPriority w:val="0"/>
    <w:rPr>
      <w:rFonts w:eastAsia="宋体"/>
      <w:kern w:val="2"/>
      <w:sz w:val="18"/>
      <w:lang w:val="en-US" w:eastAsia="zh-CN"/>
    </w:rPr>
  </w:style>
  <w:style w:type="character" w:customStyle="1" w:styleId="108">
    <w:name w:val="正文文本首行缩进 2 字符"/>
    <w:basedOn w:val="84"/>
    <w:link w:val="59"/>
    <w:autoRedefine/>
    <w:qFormat/>
    <w:uiPriority w:val="0"/>
    <w:rPr>
      <w:kern w:val="2"/>
      <w:sz w:val="44"/>
    </w:rPr>
  </w:style>
  <w:style w:type="character" w:customStyle="1" w:styleId="109">
    <w:name w:val="标书正文:  0.74 厘米 Char1"/>
    <w:autoRedefine/>
    <w:qFormat/>
    <w:uiPriority w:val="0"/>
    <w:rPr>
      <w:rFonts w:eastAsia="宋体"/>
      <w:kern w:val="2"/>
      <w:sz w:val="24"/>
      <w:lang w:val="en-US" w:eastAsia="zh-CN"/>
    </w:rPr>
  </w:style>
  <w:style w:type="character" w:customStyle="1" w:styleId="110">
    <w:name w:val="日期 字符"/>
    <w:link w:val="35"/>
    <w:autoRedefine/>
    <w:qFormat/>
    <w:uiPriority w:val="0"/>
    <w:rPr>
      <w:kern w:val="2"/>
      <w:sz w:val="28"/>
    </w:rPr>
  </w:style>
  <w:style w:type="character" w:customStyle="1" w:styleId="111">
    <w:name w:val="font1"/>
    <w:autoRedefine/>
    <w:qFormat/>
    <w:uiPriority w:val="0"/>
    <w:rPr>
      <w:color w:val="000000"/>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top-det1"/>
    <w:autoRedefine/>
    <w:qFormat/>
    <w:uiPriority w:val="0"/>
    <w:rPr>
      <w:b/>
      <w:color w:val="000000"/>
    </w:rPr>
  </w:style>
  <w:style w:type="character" w:customStyle="1" w:styleId="114">
    <w:name w:val="crowed11"/>
    <w:autoRedefine/>
    <w:qFormat/>
    <w:uiPriority w:val="0"/>
    <w:rPr>
      <w:rFonts w:hint="default"/>
      <w:sz w:val="24"/>
    </w:rPr>
  </w:style>
  <w:style w:type="character" w:customStyle="1" w:styleId="115">
    <w:name w:val="H2 Char"/>
    <w:autoRedefine/>
    <w:qFormat/>
    <w:uiPriority w:val="0"/>
    <w:rPr>
      <w:rFonts w:ascii="Arial" w:hAnsi="Arial" w:eastAsia="宋体"/>
      <w:kern w:val="2"/>
      <w:sz w:val="28"/>
      <w:lang w:val="en-US" w:eastAsia="zh-CN"/>
    </w:rPr>
  </w:style>
  <w:style w:type="character" w:customStyle="1" w:styleId="116">
    <w:name w:val="小 Char"/>
    <w:autoRedefine/>
    <w:qFormat/>
    <w:uiPriority w:val="0"/>
    <w:rPr>
      <w:rFonts w:ascii="宋体" w:hAnsi="Courier New" w:eastAsia="宋体"/>
      <w:kern w:val="2"/>
      <w:sz w:val="21"/>
      <w:lang w:val="en-US" w:eastAsia="zh-CN" w:bidi="ar-SA"/>
    </w:rPr>
  </w:style>
  <w:style w:type="character" w:customStyle="1" w:styleId="117">
    <w:name w:val="页脚 字符"/>
    <w:link w:val="38"/>
    <w:autoRedefine/>
    <w:qFormat/>
    <w:uiPriority w:val="99"/>
    <w:rPr>
      <w:kern w:val="2"/>
      <w:sz w:val="18"/>
    </w:rPr>
  </w:style>
  <w:style w:type="character" w:customStyle="1" w:styleId="118">
    <w:name w:val="font11"/>
    <w:autoRedefine/>
    <w:qFormat/>
    <w:uiPriority w:val="0"/>
    <w:rPr>
      <w:rFonts w:hint="eastAsia" w:ascii="宋体" w:hAnsi="宋体" w:eastAsia="宋体" w:cs="宋体"/>
      <w:color w:val="000000"/>
      <w:sz w:val="20"/>
      <w:szCs w:val="20"/>
      <w:u w:val="none"/>
      <w:vertAlign w:val="superscript"/>
    </w:rPr>
  </w:style>
  <w:style w:type="paragraph" w:customStyle="1" w:styleId="119">
    <w:name w:val="样式 正文缩进正文（首行缩进两字）表正文正文非缩进特点标题4段1 + 首行缩进:  2 字符"/>
    <w:basedOn w:val="18"/>
    <w:autoRedefine/>
    <w:qFormat/>
    <w:uiPriority w:val="0"/>
    <w:pPr>
      <w:ind w:firstLine="480" w:firstLineChars="200"/>
    </w:pPr>
  </w:style>
  <w:style w:type="paragraph" w:customStyle="1" w:styleId="120">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修订1"/>
    <w:autoRedefine/>
    <w:qFormat/>
    <w:uiPriority w:val="0"/>
    <w:rPr>
      <w:rFonts w:ascii="Calibri" w:hAnsi="Calibri" w:eastAsia="宋体" w:cs="Times New Roman"/>
      <w:kern w:val="2"/>
      <w:sz w:val="21"/>
      <w:lang w:val="en-US" w:eastAsia="zh-CN" w:bidi="ar-SA"/>
    </w:rPr>
  </w:style>
  <w:style w:type="paragraph" w:customStyle="1" w:styleId="12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5">
    <w:name w:val="Table Paragraph"/>
    <w:basedOn w:val="1"/>
    <w:autoRedefine/>
    <w:qFormat/>
    <w:uiPriority w:val="1"/>
    <w:pPr>
      <w:autoSpaceDE w:val="0"/>
      <w:autoSpaceDN w:val="0"/>
      <w:adjustRightInd w:val="0"/>
    </w:pPr>
    <w:rPr>
      <w:sz w:val="24"/>
    </w:rPr>
  </w:style>
  <w:style w:type="paragraph" w:customStyle="1" w:styleId="1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7">
    <w:name w:val="样式5"/>
    <w:basedOn w:val="128"/>
    <w:next w:val="1"/>
    <w:autoRedefine/>
    <w:qFormat/>
    <w:uiPriority w:val="0"/>
  </w:style>
  <w:style w:type="paragraph" w:customStyle="1" w:styleId="128">
    <w:name w:val="编号正文"/>
    <w:basedOn w:val="129"/>
    <w:autoRedefine/>
    <w:qFormat/>
    <w:uiPriority w:val="0"/>
    <w:pPr>
      <w:snapToGrid/>
      <w:spacing w:line="360" w:lineRule="auto"/>
      <w:ind w:left="1407" w:hanging="1047"/>
      <w:jc w:val="left"/>
    </w:pPr>
    <w:rPr>
      <w:rFonts w:eastAsia="仿宋_GB2312"/>
    </w:rPr>
  </w:style>
  <w:style w:type="paragraph" w:customStyle="1" w:styleId="129">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样式10"/>
    <w:basedOn w:val="1"/>
    <w:next w:val="1"/>
    <w:autoRedefine/>
    <w:qFormat/>
    <w:uiPriority w:val="0"/>
    <w:rPr>
      <w:rFonts w:ascii="Times New Roman" w:hAnsi="Times New Roman" w:eastAsia="仿宋"/>
      <w:sz w:val="24"/>
    </w:rPr>
  </w:style>
  <w:style w:type="paragraph" w:customStyle="1" w:styleId="13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2">
    <w:name w:val="Char Char1 Char"/>
    <w:basedOn w:val="1"/>
    <w:autoRedefine/>
    <w:qFormat/>
    <w:uiPriority w:val="0"/>
    <w:rPr>
      <w:rFonts w:ascii="Tahoma" w:hAnsi="Tahoma"/>
      <w:sz w:val="24"/>
      <w:szCs w:val="24"/>
    </w:rPr>
  </w:style>
  <w:style w:type="paragraph" w:customStyle="1" w:styleId="133">
    <w:name w:val="样式1xz"/>
    <w:basedOn w:val="1"/>
    <w:autoRedefine/>
    <w:qFormat/>
    <w:uiPriority w:val="0"/>
    <w:pPr>
      <w:tabs>
        <w:tab w:val="left" w:pos="1050"/>
        <w:tab w:val="right" w:leader="dot" w:pos="8296"/>
      </w:tabs>
    </w:pPr>
    <w:rPr>
      <w:caps/>
      <w:spacing w:val="20"/>
      <w:sz w:val="24"/>
    </w:rPr>
  </w:style>
  <w:style w:type="paragraph" w:customStyle="1" w:styleId="134">
    <w:name w:val="_Style 19"/>
    <w:basedOn w:val="1"/>
    <w:next w:val="135"/>
    <w:autoRedefine/>
    <w:qFormat/>
    <w:uiPriority w:val="0"/>
    <w:pPr>
      <w:ind w:firstLine="420" w:firstLineChars="200"/>
    </w:pPr>
    <w:rPr>
      <w:sz w:val="21"/>
      <w:szCs w:val="22"/>
    </w:rPr>
  </w:style>
  <w:style w:type="paragraph" w:styleId="135">
    <w:name w:val="List Paragraph"/>
    <w:basedOn w:val="1"/>
    <w:autoRedefine/>
    <w:qFormat/>
    <w:uiPriority w:val="0"/>
    <w:pPr>
      <w:ind w:firstLine="420" w:firstLineChars="200"/>
    </w:pPr>
  </w:style>
  <w:style w:type="paragraph" w:customStyle="1" w:styleId="13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3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正文文本 21"/>
    <w:basedOn w:val="1"/>
    <w:autoRedefine/>
    <w:qFormat/>
    <w:uiPriority w:val="0"/>
    <w:pPr>
      <w:adjustRightInd w:val="0"/>
      <w:spacing w:before="120" w:line="360" w:lineRule="auto"/>
      <w:ind w:firstLine="480"/>
      <w:textAlignment w:val="baseline"/>
    </w:pPr>
    <w:rPr>
      <w:sz w:val="24"/>
    </w:rPr>
  </w:style>
  <w:style w:type="paragraph" w:customStyle="1" w:styleId="143">
    <w:name w:val="首行缩进"/>
    <w:basedOn w:val="1"/>
    <w:autoRedefine/>
    <w:qFormat/>
    <w:uiPriority w:val="0"/>
    <w:pPr>
      <w:numPr>
        <w:ilvl w:val="0"/>
        <w:numId w:val="4"/>
      </w:numPr>
      <w:spacing w:line="360" w:lineRule="auto"/>
    </w:pPr>
    <w:rPr>
      <w:rFonts w:eastAsia="仿宋_GB2312"/>
    </w:rPr>
  </w:style>
  <w:style w:type="paragraph" w:customStyle="1" w:styleId="144">
    <w:name w:val="简单回函地址"/>
    <w:basedOn w:val="1"/>
    <w:autoRedefine/>
    <w:qFormat/>
    <w:uiPriority w:val="0"/>
    <w:pPr>
      <w:adjustRightInd w:val="0"/>
      <w:snapToGrid w:val="0"/>
      <w:spacing w:line="360" w:lineRule="auto"/>
    </w:pPr>
    <w:rPr>
      <w:sz w:val="24"/>
    </w:rPr>
  </w:style>
  <w:style w:type="paragraph" w:customStyle="1" w:styleId="145">
    <w:name w:val="二级列表"/>
    <w:basedOn w:val="146"/>
    <w:next w:val="146"/>
    <w:autoRedefine/>
    <w:qFormat/>
    <w:uiPriority w:val="0"/>
    <w:pPr>
      <w:tabs>
        <w:tab w:val="left" w:pos="2120"/>
      </w:tabs>
      <w:ind w:firstLine="0" w:firstLineChars="0"/>
    </w:pPr>
    <w:rPr>
      <w:b/>
    </w:rPr>
  </w:style>
  <w:style w:type="paragraph" w:customStyle="1" w:styleId="146">
    <w:name w:val="段落正文"/>
    <w:basedOn w:val="1"/>
    <w:autoRedefine/>
    <w:qFormat/>
    <w:uiPriority w:val="0"/>
    <w:pPr>
      <w:spacing w:beforeLines="50" w:line="360" w:lineRule="auto"/>
      <w:ind w:firstLine="200" w:firstLineChars="200"/>
    </w:pPr>
    <w:rPr>
      <w:spacing w:val="2"/>
      <w:sz w:val="24"/>
    </w:rPr>
  </w:style>
  <w:style w:type="paragraph" w:customStyle="1" w:styleId="147">
    <w:name w:val="标题无"/>
    <w:basedOn w:val="1"/>
    <w:autoRedefine/>
    <w:qFormat/>
    <w:uiPriority w:val="0"/>
    <w:pPr>
      <w:spacing w:line="360" w:lineRule="auto"/>
    </w:pPr>
    <w:rPr>
      <w:sz w:val="24"/>
    </w:rPr>
  </w:style>
  <w:style w:type="paragraph" w:customStyle="1" w:styleId="148">
    <w:name w:val="没有缩进（为图形使用）"/>
    <w:basedOn w:val="1"/>
    <w:autoRedefine/>
    <w:qFormat/>
    <w:uiPriority w:val="0"/>
    <w:pPr>
      <w:spacing w:before="120" w:after="120" w:line="360" w:lineRule="auto"/>
    </w:pPr>
    <w:rPr>
      <w:sz w:val="24"/>
    </w:rPr>
  </w:style>
  <w:style w:type="paragraph" w:customStyle="1" w:styleId="14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0">
    <w:name w:val="正文表格"/>
    <w:basedOn w:val="1"/>
    <w:autoRedefine/>
    <w:qFormat/>
    <w:uiPriority w:val="0"/>
    <w:pPr>
      <w:adjustRightInd w:val="0"/>
      <w:spacing w:before="40" w:after="40"/>
    </w:pPr>
    <w:rPr>
      <w:sz w:val="24"/>
    </w:rPr>
  </w:style>
  <w:style w:type="paragraph" w:customStyle="1" w:styleId="15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2">
    <w:name w:val="标书正文:  0.74 厘米"/>
    <w:basedOn w:val="1"/>
    <w:autoRedefine/>
    <w:qFormat/>
    <w:uiPriority w:val="0"/>
    <w:pPr>
      <w:snapToGrid w:val="0"/>
      <w:spacing w:line="360" w:lineRule="auto"/>
      <w:ind w:firstLine="420"/>
    </w:pPr>
    <w:rPr>
      <w:sz w:val="24"/>
    </w:rPr>
  </w:style>
  <w:style w:type="paragraph" w:customStyle="1" w:styleId="153">
    <w:name w:val="Title - Date"/>
    <w:basedOn w:val="57"/>
    <w:next w:val="1"/>
    <w:autoRedefine/>
    <w:qFormat/>
    <w:uiPriority w:val="0"/>
    <w:pPr>
      <w:spacing w:before="240" w:after="720"/>
    </w:pPr>
    <w:rPr>
      <w:sz w:val="28"/>
    </w:rPr>
  </w:style>
  <w:style w:type="paragraph" w:customStyle="1" w:styleId="154">
    <w:name w:val="样式 标题 6第五层条 + 三号 段前: 0.5 行"/>
    <w:basedOn w:val="10"/>
    <w:autoRedefine/>
    <w:qFormat/>
    <w:uiPriority w:val="0"/>
    <w:pPr>
      <w:widowControl/>
      <w:adjustRightInd/>
      <w:snapToGrid/>
      <w:spacing w:beforeLines="50"/>
      <w:jc w:val="left"/>
    </w:pPr>
    <w:rPr>
      <w:snapToGrid w:val="0"/>
      <w:kern w:val="24"/>
      <w:sz w:val="28"/>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14 Char Char"/>
    <w:basedOn w:val="1"/>
    <w:autoRedefine/>
    <w:qFormat/>
    <w:uiPriority w:val="0"/>
    <w:rPr>
      <w:sz w:val="21"/>
      <w:szCs w:val="24"/>
    </w:rPr>
  </w:style>
  <w:style w:type="paragraph" w:customStyle="1" w:styleId="157">
    <w:name w:val="正文1"/>
    <w:basedOn w:val="1"/>
    <w:autoRedefine/>
    <w:qFormat/>
    <w:uiPriority w:val="0"/>
    <w:pPr>
      <w:spacing w:line="300" w:lineRule="auto"/>
      <w:ind w:firstLine="200" w:firstLineChars="200"/>
    </w:pPr>
    <w:rPr>
      <w:sz w:val="24"/>
    </w:rPr>
  </w:style>
  <w:style w:type="paragraph" w:customStyle="1" w:styleId="158">
    <w:name w:val="表头文本"/>
    <w:autoRedefine/>
    <w:qFormat/>
    <w:uiPriority w:val="0"/>
    <w:pPr>
      <w:jc w:val="center"/>
    </w:pPr>
    <w:rPr>
      <w:rFonts w:ascii="Arial" w:hAnsi="Arial" w:eastAsia="宋体" w:cs="Times New Roman"/>
      <w:b/>
      <w:sz w:val="21"/>
      <w:lang w:val="en-US" w:eastAsia="zh-CN" w:bidi="ar-SA"/>
    </w:rPr>
  </w:style>
  <w:style w:type="paragraph" w:customStyle="1" w:styleId="159">
    <w:name w:val="Char Char Char Char Char Char Char"/>
    <w:basedOn w:val="1"/>
    <w:autoRedefine/>
    <w:qFormat/>
    <w:uiPriority w:val="0"/>
    <w:rPr>
      <w:rFonts w:ascii="Tahoma" w:hAnsi="Tahoma"/>
      <w:sz w:val="24"/>
    </w:rPr>
  </w:style>
  <w:style w:type="paragraph" w:customStyle="1" w:styleId="16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3">
    <w:name w:val="正文文本缩进 21"/>
    <w:basedOn w:val="1"/>
    <w:autoRedefine/>
    <w:qFormat/>
    <w:uiPriority w:val="0"/>
    <w:pPr>
      <w:adjustRightInd w:val="0"/>
      <w:spacing w:before="120"/>
      <w:ind w:firstLine="420"/>
      <w:textAlignment w:val="baseline"/>
    </w:pPr>
    <w:rPr>
      <w:sz w:val="24"/>
    </w:rPr>
  </w:style>
  <w:style w:type="paragraph" w:customStyle="1" w:styleId="16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7">
    <w:name w:val="样式 首行缩进:  0.74 厘米"/>
    <w:basedOn w:val="1"/>
    <w:autoRedefine/>
    <w:qFormat/>
    <w:uiPriority w:val="0"/>
    <w:pPr>
      <w:spacing w:line="360" w:lineRule="auto"/>
      <w:ind w:firstLine="420"/>
    </w:pPr>
    <w:rPr>
      <w:sz w:val="24"/>
    </w:rPr>
  </w:style>
  <w:style w:type="paragraph" w:customStyle="1" w:styleId="168">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69">
    <w:name w:val="默认段落字体 Para Char Char Char Char Char Char Char"/>
    <w:basedOn w:val="1"/>
    <w:autoRedefine/>
    <w:qFormat/>
    <w:uiPriority w:val="0"/>
    <w:rPr>
      <w:rFonts w:ascii="Tahoma" w:hAnsi="Tahoma"/>
      <w:sz w:val="24"/>
    </w:rPr>
  </w:style>
  <w:style w:type="paragraph" w:customStyle="1" w:styleId="17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Char1"/>
    <w:basedOn w:val="1"/>
    <w:autoRedefine/>
    <w:qFormat/>
    <w:uiPriority w:val="0"/>
    <w:rPr>
      <w:sz w:val="21"/>
    </w:rPr>
  </w:style>
  <w:style w:type="paragraph" w:customStyle="1" w:styleId="172">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173">
    <w:name w:val="Char1 Char Char Char"/>
    <w:basedOn w:val="1"/>
    <w:autoRedefine/>
    <w:qFormat/>
    <w:uiPriority w:val="0"/>
    <w:rPr>
      <w:rFonts w:ascii="Tahoma" w:hAnsi="Tahoma"/>
      <w:sz w:val="30"/>
    </w:rPr>
  </w:style>
  <w:style w:type="paragraph" w:customStyle="1" w:styleId="174">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5">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6">
    <w:name w:val="Table Contents"/>
    <w:basedOn w:val="3"/>
    <w:autoRedefine/>
    <w:qFormat/>
    <w:uiPriority w:val="0"/>
    <w:pPr>
      <w:suppressAutoHyphens/>
      <w:jc w:val="left"/>
    </w:pPr>
    <w:rPr>
      <w:rFonts w:ascii="Times New Roman" w:eastAsia="Times New Roman"/>
      <w:kern w:val="0"/>
      <w:sz w:val="24"/>
    </w:rPr>
  </w:style>
  <w:style w:type="paragraph" w:customStyle="1" w:styleId="177">
    <w:name w:val="标题2"/>
    <w:basedOn w:val="6"/>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8">
    <w:name w:val="List Paragraph11"/>
    <w:basedOn w:val="1"/>
    <w:autoRedefine/>
    <w:qFormat/>
    <w:uiPriority w:val="0"/>
    <w:pPr>
      <w:ind w:firstLine="420" w:firstLineChars="200"/>
    </w:pPr>
    <w:rPr>
      <w:rFonts w:ascii="等线" w:hAnsi="等线" w:eastAsia="等线"/>
      <w:sz w:val="21"/>
      <w:szCs w:val="22"/>
    </w:rPr>
  </w:style>
  <w:style w:type="paragraph" w:customStyle="1" w:styleId="179">
    <w:name w:val="附录3"/>
    <w:basedOn w:val="1"/>
    <w:next w:val="1"/>
    <w:autoRedefine/>
    <w:qFormat/>
    <w:uiPriority w:val="0"/>
    <w:pPr>
      <w:tabs>
        <w:tab w:val="left" w:pos="851"/>
      </w:tabs>
      <w:ind w:left="425" w:hanging="425"/>
      <w:outlineLvl w:val="2"/>
    </w:pPr>
    <w:rPr>
      <w:rFonts w:eastAsia="黑体"/>
      <w:b/>
      <w:sz w:val="32"/>
    </w:rPr>
  </w:style>
  <w:style w:type="paragraph" w:customStyle="1" w:styleId="180">
    <w:name w:val="标题3——2"/>
    <w:basedOn w:val="7"/>
    <w:next w:val="2"/>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2">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List Paragraph1"/>
    <w:basedOn w:val="1"/>
    <w:autoRedefine/>
    <w:qFormat/>
    <w:uiPriority w:val="0"/>
    <w:pPr>
      <w:ind w:firstLine="420" w:firstLineChars="200"/>
    </w:pPr>
    <w:rPr>
      <w:sz w:val="21"/>
      <w:szCs w:val="22"/>
    </w:rPr>
  </w:style>
  <w:style w:type="paragraph" w:customStyle="1" w:styleId="184">
    <w:name w:val="af"/>
    <w:basedOn w:val="1"/>
    <w:autoRedefine/>
    <w:qFormat/>
    <w:uiPriority w:val="0"/>
    <w:pPr>
      <w:widowControl/>
      <w:spacing w:line="300" w:lineRule="atLeast"/>
      <w:jc w:val="left"/>
    </w:pPr>
    <w:rPr>
      <w:rFonts w:ascii="宋体" w:hAnsi="宋体"/>
      <w:kern w:val="0"/>
      <w:sz w:val="18"/>
    </w:rPr>
  </w:style>
  <w:style w:type="paragraph" w:customStyle="1" w:styleId="185">
    <w:name w:val="样式8"/>
    <w:basedOn w:val="1"/>
    <w:next w:val="1"/>
    <w:autoRedefine/>
    <w:qFormat/>
    <w:uiPriority w:val="0"/>
    <w:rPr>
      <w:rFonts w:ascii="Times New Roman" w:hAnsi="Times New Roman" w:eastAsia="仿宋"/>
      <w:sz w:val="24"/>
    </w:rPr>
  </w:style>
  <w:style w:type="paragraph" w:customStyle="1" w:styleId="186">
    <w:name w:val="bt"/>
    <w:basedOn w:val="1"/>
    <w:next w:val="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88">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9">
    <w:name w:val="图片文字"/>
    <w:basedOn w:val="1"/>
    <w:autoRedefine/>
    <w:qFormat/>
    <w:uiPriority w:val="0"/>
    <w:pPr>
      <w:spacing w:line="240" w:lineRule="atLeast"/>
      <w:jc w:val="center"/>
    </w:pPr>
    <w:rPr>
      <w:sz w:val="21"/>
    </w:rPr>
  </w:style>
  <w:style w:type="paragraph" w:customStyle="1" w:styleId="190">
    <w:name w:val="表格内文字"/>
    <w:basedOn w:val="33"/>
    <w:autoRedefine/>
    <w:qFormat/>
    <w:uiPriority w:val="0"/>
    <w:pPr>
      <w:adjustRightInd w:val="0"/>
    </w:pPr>
    <w:rPr>
      <w:color w:val="000000"/>
      <w:lang w:val="en-GB"/>
    </w:rPr>
  </w:style>
  <w:style w:type="paragraph" w:customStyle="1" w:styleId="191">
    <w:name w:val="二级条标题"/>
    <w:basedOn w:val="192"/>
    <w:next w:val="194"/>
    <w:autoRedefine/>
    <w:qFormat/>
    <w:uiPriority w:val="0"/>
    <w:pPr>
      <w:ind w:left="840"/>
      <w:outlineLvl w:val="3"/>
    </w:pPr>
  </w:style>
  <w:style w:type="paragraph" w:customStyle="1" w:styleId="192">
    <w:name w:val="一级条标题"/>
    <w:basedOn w:val="193"/>
    <w:next w:val="194"/>
    <w:autoRedefine/>
    <w:qFormat/>
    <w:uiPriority w:val="0"/>
    <w:pPr>
      <w:numPr>
        <w:numId w:val="0"/>
      </w:numPr>
      <w:spacing w:beforeLines="0" w:afterLines="0"/>
      <w:ind w:left="525"/>
      <w:outlineLvl w:val="2"/>
    </w:pPr>
    <w:rPr>
      <w:sz w:val="21"/>
    </w:rPr>
  </w:style>
  <w:style w:type="paragraph" w:customStyle="1" w:styleId="193">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CSS1级正文 Char"/>
    <w:basedOn w:val="3"/>
    <w:autoRedefine/>
    <w:qFormat/>
    <w:uiPriority w:val="0"/>
    <w:pPr>
      <w:adjustRightInd w:val="0"/>
      <w:snapToGrid w:val="0"/>
      <w:spacing w:line="360" w:lineRule="auto"/>
      <w:ind w:firstLine="480"/>
    </w:pPr>
    <w:rPr>
      <w:rFonts w:ascii="Times New Roman" w:eastAsia="宋体"/>
      <w:sz w:val="24"/>
    </w:rPr>
  </w:style>
  <w:style w:type="paragraph" w:customStyle="1" w:styleId="196">
    <w:name w:val="标题 5（有编号）（绿盟科技）"/>
    <w:basedOn w:val="1"/>
    <w:next w:val="149"/>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7">
    <w:name w:val="Char2 Char Char Char Char Char Char"/>
    <w:basedOn w:val="1"/>
    <w:autoRedefine/>
    <w:qFormat/>
    <w:uiPriority w:val="0"/>
    <w:rPr>
      <w:rFonts w:ascii="仿宋_GB2312"/>
      <w:b/>
      <w:sz w:val="30"/>
    </w:rPr>
  </w:style>
  <w:style w:type="paragraph" w:customStyle="1" w:styleId="19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99">
    <w:name w:val="文本框样式1"/>
    <w:basedOn w:val="1"/>
    <w:autoRedefine/>
    <w:qFormat/>
    <w:uiPriority w:val="0"/>
    <w:pPr>
      <w:adjustRightInd w:val="0"/>
      <w:snapToGrid w:val="0"/>
      <w:spacing w:before="60" w:line="180" w:lineRule="exact"/>
      <w:jc w:val="center"/>
    </w:pPr>
    <w:rPr>
      <w:sz w:val="21"/>
    </w:rPr>
  </w:style>
  <w:style w:type="paragraph" w:customStyle="1" w:styleId="200">
    <w:name w:val="样式6"/>
    <w:basedOn w:val="1"/>
    <w:next w:val="1"/>
    <w:autoRedefine/>
    <w:qFormat/>
    <w:uiPriority w:val="0"/>
    <w:rPr>
      <w:rFonts w:ascii="Times New Roman" w:hAnsi="Times New Roman"/>
    </w:rPr>
  </w:style>
  <w:style w:type="paragraph" w:customStyle="1" w:styleId="20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4">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7">
    <w:name w:val="文本1"/>
    <w:basedOn w:val="1"/>
    <w:autoRedefine/>
    <w:qFormat/>
    <w:uiPriority w:val="0"/>
    <w:pPr>
      <w:adjustRightInd w:val="0"/>
      <w:spacing w:line="312" w:lineRule="atLeast"/>
      <w:jc w:val="center"/>
      <w:textAlignment w:val="baseline"/>
    </w:pPr>
    <w:rPr>
      <w:kern w:val="0"/>
      <w:sz w:val="18"/>
    </w:rPr>
  </w:style>
  <w:style w:type="paragraph" w:customStyle="1" w:styleId="208">
    <w:name w:val="IN Feature"/>
    <w:next w:val="209"/>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0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4">
    <w:name w:val="样式4"/>
    <w:basedOn w:val="8"/>
    <w:autoRedefine/>
    <w:qFormat/>
    <w:uiPriority w:val="0"/>
    <w:pPr>
      <w:adjustRightInd w:val="0"/>
      <w:snapToGrid w:val="0"/>
    </w:pPr>
  </w:style>
  <w:style w:type="paragraph" w:customStyle="1" w:styleId="215">
    <w:name w:val="样式 行距: 1.5 倍行距1"/>
    <w:basedOn w:val="1"/>
    <w:autoRedefine/>
    <w:qFormat/>
    <w:uiPriority w:val="0"/>
    <w:pPr>
      <w:snapToGrid w:val="0"/>
    </w:pPr>
    <w:rPr>
      <w:sz w:val="21"/>
    </w:rPr>
  </w:style>
  <w:style w:type="paragraph" w:customStyle="1" w:styleId="216">
    <w:name w:val="Char"/>
    <w:basedOn w:val="1"/>
    <w:autoRedefine/>
    <w:qFormat/>
    <w:uiPriority w:val="0"/>
    <w:pPr>
      <w:spacing w:line="240" w:lineRule="atLeast"/>
      <w:ind w:left="420" w:firstLine="420"/>
    </w:pPr>
    <w:rPr>
      <w:kern w:val="0"/>
      <w:sz w:val="21"/>
    </w:rPr>
  </w:style>
  <w:style w:type="paragraph" w:customStyle="1" w:styleId="217">
    <w:name w:val="样式1"/>
    <w:basedOn w:val="8"/>
    <w:autoRedefine/>
    <w:qFormat/>
    <w:uiPriority w:val="0"/>
    <w:pPr>
      <w:tabs>
        <w:tab w:val="left" w:pos="720"/>
      </w:tabs>
      <w:spacing w:before="500" w:after="260" w:line="560" w:lineRule="atLeast"/>
      <w:ind w:left="420" w:hanging="420"/>
    </w:pPr>
  </w:style>
  <w:style w:type="paragraph" w:customStyle="1" w:styleId="218">
    <w:name w:val="标准正文"/>
    <w:basedOn w:val="25"/>
    <w:autoRedefine/>
    <w:qFormat/>
    <w:uiPriority w:val="0"/>
    <w:pPr>
      <w:spacing w:before="60" w:after="60" w:line="360" w:lineRule="auto"/>
      <w:ind w:left="0" w:firstLine="482"/>
    </w:pPr>
    <w:rPr>
      <w:rFonts w:ascii="Arial" w:hAnsi="Arial"/>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1">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2">
    <w:name w:val="样式7"/>
    <w:basedOn w:val="1"/>
    <w:next w:val="1"/>
    <w:autoRedefine/>
    <w:qFormat/>
    <w:uiPriority w:val="0"/>
    <w:rPr>
      <w:rFonts w:ascii="Times New Roman" w:hAnsi="Times New Roman"/>
    </w:rPr>
  </w:style>
  <w:style w:type="paragraph" w:customStyle="1" w:styleId="223">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4">
    <w:name w:val="样式 宋体 五号 行距: 单倍行距"/>
    <w:basedOn w:val="1"/>
    <w:autoRedefine/>
    <w:qFormat/>
    <w:uiPriority w:val="0"/>
    <w:pPr>
      <w:adjustRightInd w:val="0"/>
      <w:jc w:val="left"/>
    </w:pPr>
    <w:rPr>
      <w:rFonts w:ascii="宋体" w:hAnsi="宋体"/>
      <w:kern w:val="0"/>
      <w:sz w:val="21"/>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6">
    <w:name w:val="Char Char 字元 字元 字元 Char Char Char Char"/>
    <w:basedOn w:val="1"/>
    <w:autoRedefine/>
    <w:qFormat/>
    <w:uiPriority w:val="0"/>
    <w:pPr>
      <w:adjustRightInd w:val="0"/>
      <w:spacing w:line="360" w:lineRule="auto"/>
    </w:pPr>
    <w:rPr>
      <w:kern w:val="0"/>
      <w:sz w:val="24"/>
    </w:rPr>
  </w:style>
  <w:style w:type="paragraph" w:customStyle="1" w:styleId="227">
    <w:name w:val="内容标题"/>
    <w:basedOn w:val="20"/>
    <w:autoRedefine/>
    <w:qFormat/>
    <w:uiPriority w:val="0"/>
    <w:rPr>
      <w:rFonts w:ascii="Tahoma" w:hAnsi="Tahoma"/>
      <w:sz w:val="24"/>
    </w:rPr>
  </w:style>
  <w:style w:type="paragraph" w:customStyle="1" w:styleId="228">
    <w:name w:val="Char Char Char Char Char Char Char Char Char Char Char Char Char Char Char Char"/>
    <w:basedOn w:val="1"/>
    <w:autoRedefine/>
    <w:qFormat/>
    <w:uiPriority w:val="0"/>
    <w:pPr>
      <w:tabs>
        <w:tab w:val="left" w:pos="360"/>
      </w:tabs>
    </w:pPr>
    <w:rPr>
      <w:sz w:val="24"/>
    </w:rPr>
  </w:style>
  <w:style w:type="paragraph" w:customStyle="1" w:styleId="229">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图例"/>
    <w:basedOn w:val="1"/>
    <w:autoRedefine/>
    <w:qFormat/>
    <w:uiPriority w:val="0"/>
    <w:pPr>
      <w:spacing w:before="120" w:after="120" w:line="360" w:lineRule="auto"/>
      <w:jc w:val="center"/>
    </w:pPr>
    <w:rPr>
      <w:rFonts w:eastAsia="仿宋_GB2312"/>
      <w:b/>
      <w:sz w:val="24"/>
    </w:rPr>
  </w:style>
  <w:style w:type="paragraph" w:customStyle="1" w:styleId="232">
    <w:name w:val="00"/>
    <w:basedOn w:val="1"/>
    <w:autoRedefine/>
    <w:qFormat/>
    <w:uiPriority w:val="0"/>
    <w:pPr>
      <w:autoSpaceDE w:val="0"/>
      <w:autoSpaceDN w:val="0"/>
      <w:adjustRightInd w:val="0"/>
      <w:jc w:val="left"/>
    </w:pPr>
    <w:rPr>
      <w:rFonts w:ascii="黑体" w:eastAsia="黑体"/>
      <w:b/>
      <w:kern w:val="0"/>
      <w:sz w:val="20"/>
    </w:rPr>
  </w:style>
  <w:style w:type="paragraph" w:customStyle="1" w:styleId="233">
    <w:name w:val="Char1 Char Char Char1"/>
    <w:basedOn w:val="1"/>
    <w:autoRedefine/>
    <w:qFormat/>
    <w:uiPriority w:val="0"/>
    <w:rPr>
      <w:rFonts w:ascii="Tahoma" w:hAnsi="Tahoma"/>
      <w:sz w:val="24"/>
    </w:rPr>
  </w:style>
  <w:style w:type="paragraph" w:customStyle="1" w:styleId="234">
    <w:name w:val="表文字"/>
    <w:autoRedefine/>
    <w:qFormat/>
    <w:uiPriority w:val="0"/>
    <w:rPr>
      <w:rFonts w:ascii="宋体" w:hAnsi="Calibri" w:eastAsia="宋体" w:cs="Times New Roman"/>
      <w:kern w:val="2"/>
      <w:lang w:val="en-US" w:eastAsia="zh-CN" w:bidi="ar-SA"/>
    </w:rPr>
  </w:style>
  <w:style w:type="paragraph" w:customStyle="1" w:styleId="23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6">
    <w:name w:val="可研正文"/>
    <w:basedOn w:val="3"/>
    <w:autoRedefine/>
    <w:qFormat/>
    <w:uiPriority w:val="0"/>
    <w:pPr>
      <w:adjustRightInd w:val="0"/>
      <w:snapToGrid w:val="0"/>
      <w:spacing w:line="440" w:lineRule="exact"/>
      <w:ind w:firstLine="567"/>
    </w:pPr>
    <w:rPr>
      <w:sz w:val="28"/>
    </w:rPr>
  </w:style>
  <w:style w:type="paragraph" w:customStyle="1" w:styleId="23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 + 三号"/>
    <w:basedOn w:val="1"/>
    <w:autoRedefine/>
    <w:qFormat/>
    <w:uiPriority w:val="0"/>
    <w:rPr>
      <w:sz w:val="21"/>
    </w:rPr>
  </w:style>
  <w:style w:type="paragraph" w:customStyle="1" w:styleId="239">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240">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1">
    <w:name w:val="标题1"/>
    <w:basedOn w:val="1"/>
    <w:next w:val="1"/>
    <w:autoRedefine/>
    <w:qFormat/>
    <w:uiPriority w:val="0"/>
    <w:rPr>
      <w:rFonts w:ascii="Times New Roman" w:hAnsi="Times New Roman"/>
    </w:rPr>
  </w:style>
  <w:style w:type="paragraph" w:customStyle="1" w:styleId="24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3">
    <w:name w:val="关键词"/>
    <w:basedOn w:val="1"/>
    <w:next w:val="1"/>
    <w:autoRedefine/>
    <w:qFormat/>
    <w:uiPriority w:val="0"/>
    <w:pPr>
      <w:spacing w:line="360" w:lineRule="auto"/>
    </w:pPr>
    <w:rPr>
      <w:rFonts w:eastAsia="黑体"/>
      <w:sz w:val="20"/>
    </w:rPr>
  </w:style>
  <w:style w:type="paragraph" w:customStyle="1" w:styleId="244">
    <w:name w:val="Char Char Char Char Char Char Char1"/>
    <w:basedOn w:val="20"/>
    <w:autoRedefine/>
    <w:qFormat/>
    <w:uiPriority w:val="0"/>
    <w:rPr>
      <w:rFonts w:ascii="宋体" w:hAnsi="Tahoma"/>
    </w:rPr>
  </w:style>
  <w:style w:type="paragraph" w:customStyle="1" w:styleId="245">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8">
    <w:name w:val="Char2"/>
    <w:basedOn w:val="1"/>
    <w:autoRedefine/>
    <w:qFormat/>
    <w:uiPriority w:val="0"/>
    <w:pPr>
      <w:spacing w:line="240" w:lineRule="atLeast"/>
      <w:ind w:left="420" w:firstLine="420"/>
    </w:pPr>
    <w:rPr>
      <w:kern w:val="0"/>
      <w:sz w:val="21"/>
    </w:rPr>
  </w:style>
  <w:style w:type="paragraph" w:customStyle="1" w:styleId="249">
    <w:name w:val="样式12"/>
    <w:basedOn w:val="1"/>
    <w:next w:val="1"/>
    <w:autoRedefine/>
    <w:qFormat/>
    <w:uiPriority w:val="0"/>
    <w:rPr>
      <w:rFonts w:ascii="Times New Roman" w:hAnsi="Times New Roman" w:eastAsia="仿宋"/>
      <w:sz w:val="24"/>
    </w:rPr>
  </w:style>
  <w:style w:type="paragraph" w:customStyle="1" w:styleId="250">
    <w:name w:val="样式2"/>
    <w:basedOn w:val="8"/>
    <w:autoRedefine/>
    <w:qFormat/>
    <w:uiPriority w:val="0"/>
    <w:pPr>
      <w:numPr>
        <w:ilvl w:val="0"/>
        <w:numId w:val="13"/>
      </w:numPr>
      <w:spacing w:before="560" w:line="400" w:lineRule="exact"/>
      <w:jc w:val="center"/>
      <w:outlineLvl w:val="0"/>
    </w:pPr>
    <w:rPr>
      <w:sz w:val="44"/>
    </w:rPr>
  </w:style>
  <w:style w:type="paragraph" w:customStyle="1" w:styleId="25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2">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3">
    <w:name w:val="文章正文"/>
    <w:basedOn w:val="1"/>
    <w:autoRedefine/>
    <w:qFormat/>
    <w:uiPriority w:val="0"/>
    <w:pPr>
      <w:ind w:firstLine="560" w:firstLineChars="200"/>
    </w:pPr>
    <w:rPr>
      <w:rFonts w:ascii="仿宋_GB2312" w:hAnsi="宋体" w:eastAsia="仿宋_GB2312"/>
      <w:color w:val="000000"/>
    </w:rPr>
  </w:style>
  <w:style w:type="paragraph" w:customStyle="1" w:styleId="254">
    <w:name w:val="默认段落字体 Para Char Char Char Char Char Char Char Char Char1 Char Char Char Char"/>
    <w:basedOn w:val="1"/>
    <w:autoRedefine/>
    <w:qFormat/>
    <w:uiPriority w:val="0"/>
    <w:rPr>
      <w:rFonts w:ascii="Tahoma" w:hAnsi="Tahoma"/>
      <w:sz w:val="24"/>
    </w:rPr>
  </w:style>
  <w:style w:type="paragraph" w:customStyle="1" w:styleId="255">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6">
    <w:name w:val="Title - Revision"/>
    <w:basedOn w:val="57"/>
    <w:autoRedefine/>
    <w:qFormat/>
    <w:uiPriority w:val="0"/>
    <w:pPr>
      <w:spacing w:before="720"/>
    </w:pPr>
  </w:style>
  <w:style w:type="paragraph" w:customStyle="1" w:styleId="25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5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1">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样式9"/>
    <w:basedOn w:val="1"/>
    <w:next w:val="1"/>
    <w:autoRedefine/>
    <w:qFormat/>
    <w:uiPriority w:val="0"/>
    <w:rPr>
      <w:rFonts w:ascii="Times New Roman" w:hAnsi="Times New Roman" w:eastAsia="仿宋"/>
      <w:sz w:val="24"/>
    </w:rPr>
  </w:style>
  <w:style w:type="paragraph" w:customStyle="1" w:styleId="263">
    <w:name w:val="首行缩进 1"/>
    <w:basedOn w:val="1"/>
    <w:autoRedefine/>
    <w:qFormat/>
    <w:uiPriority w:val="0"/>
    <w:pPr>
      <w:spacing w:after="120" w:line="360" w:lineRule="auto"/>
      <w:ind w:firstLine="200" w:firstLineChars="200"/>
    </w:pPr>
    <w:rPr>
      <w:sz w:val="24"/>
    </w:rPr>
  </w:style>
  <w:style w:type="paragraph" w:customStyle="1" w:styleId="264">
    <w:name w:val="1"/>
    <w:basedOn w:val="1"/>
    <w:next w:val="33"/>
    <w:autoRedefine/>
    <w:qFormat/>
    <w:uiPriority w:val="0"/>
    <w:rPr>
      <w:rFonts w:ascii="宋体" w:hAnsi="Courier New"/>
      <w:sz w:val="21"/>
    </w:rPr>
  </w:style>
  <w:style w:type="paragraph" w:customStyle="1" w:styleId="265">
    <w:name w:val="1.正文"/>
    <w:basedOn w:val="1"/>
    <w:autoRedefine/>
    <w:qFormat/>
    <w:uiPriority w:val="0"/>
    <w:pPr>
      <w:spacing w:line="360" w:lineRule="auto"/>
      <w:ind w:left="540" w:leftChars="225" w:firstLine="540" w:firstLineChars="225"/>
    </w:pPr>
    <w:rPr>
      <w:sz w:val="24"/>
    </w:rPr>
  </w:style>
  <w:style w:type="paragraph" w:customStyle="1" w:styleId="266">
    <w:name w:val="Style Heading 3h3Heading 3 - oldLevel 3 HeadH3level_3PIM 3se..."/>
    <w:basedOn w:val="7"/>
    <w:autoRedefine/>
    <w:qFormat/>
    <w:uiPriority w:val="0"/>
    <w:pPr>
      <w:tabs>
        <w:tab w:val="left" w:pos="709"/>
        <w:tab w:val="left" w:pos="1620"/>
      </w:tabs>
      <w:ind w:left="1620" w:hanging="360"/>
    </w:pPr>
  </w:style>
  <w:style w:type="paragraph" w:customStyle="1" w:styleId="267">
    <w:name w:val="摘要"/>
    <w:basedOn w:val="1"/>
    <w:next w:val="6"/>
    <w:autoRedefine/>
    <w:qFormat/>
    <w:uiPriority w:val="0"/>
    <w:pPr>
      <w:spacing w:line="360" w:lineRule="auto"/>
    </w:pPr>
    <w:rPr>
      <w:rFonts w:eastAsia="黑体"/>
      <w:sz w:val="20"/>
    </w:rPr>
  </w:style>
  <w:style w:type="paragraph" w:customStyle="1" w:styleId="268">
    <w:name w:val="Char Char Char"/>
    <w:basedOn w:val="1"/>
    <w:autoRedefine/>
    <w:qFormat/>
    <w:uiPriority w:val="0"/>
    <w:rPr>
      <w:rFonts w:ascii="Tahoma" w:hAnsi="Tahoma"/>
      <w:sz w:val="24"/>
    </w:rPr>
  </w:style>
  <w:style w:type="paragraph" w:styleId="269">
    <w:name w:val="Quote"/>
    <w:basedOn w:val="1"/>
    <w:next w:val="1"/>
    <w:autoRedefine/>
    <w:qFormat/>
    <w:uiPriority w:val="29"/>
    <w:rPr>
      <w:i/>
      <w:iCs/>
      <w:color w:val="000000"/>
    </w:rPr>
  </w:style>
  <w:style w:type="paragraph" w:customStyle="1" w:styleId="270">
    <w:name w:val="西研院正文"/>
    <w:basedOn w:val="1"/>
    <w:autoRedefine/>
    <w:qFormat/>
    <w:uiPriority w:val="0"/>
    <w:pPr>
      <w:spacing w:line="560" w:lineRule="exact"/>
      <w:ind w:firstLine="643" w:firstLineChars="200"/>
    </w:pPr>
    <w:rPr>
      <w:rFonts w:eastAsia="方正仿宋_GBK"/>
      <w:sz w:val="32"/>
    </w:rPr>
  </w:style>
  <w:style w:type="character" w:customStyle="1" w:styleId="271">
    <w:name w:val="NormalCharacter"/>
    <w:autoRedefine/>
    <w:qFormat/>
    <w:uiPriority w:val="0"/>
  </w:style>
  <w:style w:type="paragraph" w:customStyle="1" w:styleId="272">
    <w:name w:val="正文（缩进）"/>
    <w:basedOn w:val="1"/>
    <w:autoRedefine/>
    <w:qFormat/>
    <w:uiPriority w:val="99"/>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10397</Words>
  <Characters>11348</Characters>
  <Lines>180</Lines>
  <Paragraphs>50</Paragraphs>
  <TotalTime>36</TotalTime>
  <ScaleCrop>false</ScaleCrop>
  <LinksUpToDate>false</LinksUpToDate>
  <CharactersWithSpaces>12329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2022-07-22T03:44:00Z</dcterms:created>
  <dc:creator>刘胜仲</dc:creator>
  <cp:lastModifiedBy>李世林</cp:lastModifiedBy>
  <cp:lastPrinted>2022-07-25T07:55:00Z</cp:lastPrinted>
  <dcterms:modified xsi:type="dcterms:W3CDTF">2025-07-07T08:44:00Z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7990579_cloud</vt:lpwstr>
  </property>
  <property fmtid="{D5CDD505-2E9C-101B-9397-08002B2CF9AE}" pid="4" name="ICV">
    <vt:lpwstr>255595F1020E4559A9D69137582414ED_13</vt:lpwstr>
  </property>
  <property fmtid="{D5CDD505-2E9C-101B-9397-08002B2CF9AE}" pid="5" name="commondata">
    <vt:lpwstr>eyJoZGlkIjoiZDdiYjdhYmUyNjNhZjhhZWUwNGEwN2ZhNDNlYzkxN2UifQ==</vt:lpwstr>
  </property>
</Properties>
</file>