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C029C">
      <w:pPr>
        <w:pStyle w:val="2"/>
        <w:rPr>
          <w:rFonts w:hint="default" w:ascii="宋体" w:hAnsi="宋体"/>
          <w:b/>
          <w:bCs/>
          <w:color w:val="auto"/>
          <w:kern w:val="0"/>
          <w:sz w:val="32"/>
          <w:szCs w:val="32"/>
          <w:highlight w:val="none"/>
          <w:u w:val="none"/>
          <w:lang w:val="en-US" w:eastAsia="zh-CN"/>
        </w:rPr>
      </w:pPr>
      <w:bookmarkStart w:id="0" w:name="_Toc287620665"/>
      <w:r>
        <w:rPr>
          <w:rFonts w:hint="eastAsia" w:ascii="宋体" w:hAnsi="宋体"/>
          <w:b/>
          <w:bCs/>
          <w:color w:val="auto"/>
          <w:kern w:val="0"/>
          <w:sz w:val="32"/>
          <w:szCs w:val="32"/>
          <w:highlight w:val="none"/>
          <w:u w:val="none"/>
          <w:lang w:eastAsia="zh-CN"/>
        </w:rPr>
        <w:t>项目名称：</w:t>
      </w:r>
      <w:r>
        <w:rPr>
          <w:rFonts w:hint="eastAsia" w:ascii="宋体" w:hAnsi="宋体"/>
          <w:b/>
          <w:bCs/>
          <w:color w:val="auto"/>
          <w:kern w:val="0"/>
          <w:sz w:val="32"/>
          <w:szCs w:val="32"/>
          <w:highlight w:val="none"/>
          <w:u w:val="none"/>
          <w:lang w:val="en-US" w:eastAsia="zh-CN"/>
        </w:rPr>
        <w:t>大足区乡镇污水处理厂设备更新工程(一标段)10kV团宝线线路迁改项目</w:t>
      </w:r>
    </w:p>
    <w:p w14:paraId="0E523547">
      <w:pPr>
        <w:pStyle w:val="2"/>
        <w:rPr>
          <w:rFonts w:hint="default"/>
          <w:b/>
          <w:bCs/>
          <w:color w:val="auto"/>
          <w:highlight w:val="none"/>
          <w:lang w:val="en-US"/>
        </w:rPr>
      </w:pPr>
      <w:r>
        <w:rPr>
          <w:rFonts w:hint="eastAsia" w:ascii="宋体" w:hAnsi="宋体"/>
          <w:b/>
          <w:bCs/>
          <w:color w:val="auto"/>
          <w:kern w:val="0"/>
          <w:sz w:val="32"/>
          <w:szCs w:val="32"/>
          <w:highlight w:val="none"/>
          <w:u w:val="none"/>
          <w:lang w:eastAsia="zh-CN"/>
        </w:rPr>
        <w:t>项目编号：</w:t>
      </w:r>
      <w:r>
        <w:rPr>
          <w:rFonts w:hint="eastAsia" w:ascii="宋体" w:hAnsi="宋体"/>
          <w:b/>
          <w:bCs/>
          <w:color w:val="auto"/>
          <w:kern w:val="0"/>
          <w:sz w:val="32"/>
          <w:szCs w:val="32"/>
          <w:highlight w:val="none"/>
          <w:u w:val="none"/>
          <w:lang w:val="en-US" w:eastAsia="zh-CN"/>
        </w:rPr>
        <w:t>CQAH-2025-028</w:t>
      </w:r>
    </w:p>
    <w:p w14:paraId="23ECB828">
      <w:pPr>
        <w:spacing w:line="360" w:lineRule="auto"/>
        <w:jc w:val="center"/>
        <w:rPr>
          <w:rFonts w:ascii="宋体" w:hAnsi="宋体"/>
          <w:b/>
          <w:bCs/>
          <w:color w:val="auto"/>
          <w:kern w:val="0"/>
          <w:sz w:val="32"/>
          <w:szCs w:val="32"/>
          <w:highlight w:val="none"/>
        </w:rPr>
      </w:pPr>
    </w:p>
    <w:p w14:paraId="65E5E4FF">
      <w:pPr>
        <w:autoSpaceDE w:val="0"/>
        <w:autoSpaceDN w:val="0"/>
        <w:adjustRightInd w:val="0"/>
        <w:snapToGrid w:val="0"/>
        <w:spacing w:line="360" w:lineRule="auto"/>
        <w:jc w:val="left"/>
        <w:rPr>
          <w:rFonts w:ascii="宋体" w:hAnsi="宋体"/>
          <w:color w:val="auto"/>
          <w:kern w:val="0"/>
          <w:sz w:val="20"/>
          <w:szCs w:val="20"/>
          <w:highlight w:val="none"/>
        </w:rPr>
      </w:pPr>
    </w:p>
    <w:p w14:paraId="69B8F86A">
      <w:pPr>
        <w:autoSpaceDE w:val="0"/>
        <w:autoSpaceDN w:val="0"/>
        <w:adjustRightInd w:val="0"/>
        <w:snapToGrid w:val="0"/>
        <w:spacing w:line="360" w:lineRule="auto"/>
        <w:jc w:val="left"/>
        <w:rPr>
          <w:rFonts w:ascii="宋体" w:hAnsi="宋体"/>
          <w:color w:val="auto"/>
          <w:kern w:val="0"/>
          <w:sz w:val="20"/>
          <w:szCs w:val="20"/>
          <w:highlight w:val="none"/>
        </w:rPr>
      </w:pPr>
    </w:p>
    <w:p w14:paraId="111277C7">
      <w:pPr>
        <w:autoSpaceDE w:val="0"/>
        <w:autoSpaceDN w:val="0"/>
        <w:adjustRightInd w:val="0"/>
        <w:snapToGrid w:val="0"/>
        <w:spacing w:line="360" w:lineRule="auto"/>
        <w:jc w:val="left"/>
        <w:rPr>
          <w:rFonts w:ascii="宋体" w:hAnsi="宋体"/>
          <w:color w:val="auto"/>
          <w:kern w:val="0"/>
          <w:sz w:val="20"/>
          <w:szCs w:val="20"/>
          <w:highlight w:val="none"/>
        </w:rPr>
      </w:pPr>
    </w:p>
    <w:p w14:paraId="14249A76">
      <w:pPr>
        <w:autoSpaceDE w:val="0"/>
        <w:autoSpaceDN w:val="0"/>
        <w:adjustRightInd w:val="0"/>
        <w:snapToGrid w:val="0"/>
        <w:spacing w:line="360" w:lineRule="auto"/>
        <w:jc w:val="left"/>
        <w:rPr>
          <w:rFonts w:ascii="宋体" w:hAnsi="宋体"/>
          <w:color w:val="auto"/>
          <w:kern w:val="0"/>
          <w:sz w:val="20"/>
          <w:szCs w:val="20"/>
          <w:highlight w:val="none"/>
        </w:rPr>
      </w:pPr>
    </w:p>
    <w:p w14:paraId="1BB0C1C1">
      <w:pPr>
        <w:autoSpaceDE w:val="0"/>
        <w:autoSpaceDN w:val="0"/>
        <w:adjustRightInd w:val="0"/>
        <w:snapToGrid w:val="0"/>
        <w:spacing w:line="360" w:lineRule="auto"/>
        <w:jc w:val="left"/>
        <w:rPr>
          <w:rFonts w:ascii="宋体" w:hAnsi="宋体"/>
          <w:color w:val="auto"/>
          <w:kern w:val="0"/>
          <w:sz w:val="20"/>
          <w:szCs w:val="20"/>
          <w:highlight w:val="none"/>
        </w:rPr>
      </w:pPr>
    </w:p>
    <w:p w14:paraId="046C0589">
      <w:pPr>
        <w:autoSpaceDE w:val="0"/>
        <w:autoSpaceDN w:val="0"/>
        <w:adjustRightInd w:val="0"/>
        <w:snapToGrid w:val="0"/>
        <w:spacing w:line="360" w:lineRule="auto"/>
        <w:jc w:val="left"/>
        <w:rPr>
          <w:rFonts w:ascii="宋体" w:hAnsi="宋体"/>
          <w:color w:val="auto"/>
          <w:kern w:val="0"/>
          <w:sz w:val="20"/>
          <w:szCs w:val="20"/>
          <w:highlight w:val="none"/>
        </w:rPr>
      </w:pPr>
    </w:p>
    <w:p w14:paraId="444BFCEA">
      <w:pPr>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lang w:eastAsia="zh-CN"/>
        </w:rPr>
        <w:t>竞争性比选</w:t>
      </w:r>
      <w:r>
        <w:rPr>
          <w:rFonts w:ascii="宋体" w:hAnsi="宋体"/>
          <w:b/>
          <w:bCs/>
          <w:color w:val="auto"/>
          <w:kern w:val="0"/>
          <w:sz w:val="72"/>
          <w:szCs w:val="72"/>
          <w:highlight w:val="none"/>
        </w:rPr>
        <w:t>文件</w:t>
      </w:r>
    </w:p>
    <w:p w14:paraId="49861B4A">
      <w:pPr>
        <w:autoSpaceDE w:val="0"/>
        <w:autoSpaceDN w:val="0"/>
        <w:adjustRightInd w:val="0"/>
        <w:snapToGrid w:val="0"/>
        <w:spacing w:line="360" w:lineRule="auto"/>
        <w:jc w:val="left"/>
        <w:rPr>
          <w:rFonts w:ascii="宋体" w:hAnsi="宋体"/>
          <w:color w:val="auto"/>
          <w:kern w:val="0"/>
          <w:sz w:val="10"/>
          <w:szCs w:val="10"/>
          <w:highlight w:val="none"/>
        </w:rPr>
      </w:pPr>
    </w:p>
    <w:p w14:paraId="09D89A6F">
      <w:pPr>
        <w:autoSpaceDE w:val="0"/>
        <w:autoSpaceDN w:val="0"/>
        <w:adjustRightInd w:val="0"/>
        <w:snapToGrid w:val="0"/>
        <w:spacing w:line="360" w:lineRule="auto"/>
        <w:jc w:val="left"/>
        <w:rPr>
          <w:rFonts w:ascii="宋体" w:hAnsi="宋体"/>
          <w:color w:val="auto"/>
          <w:kern w:val="0"/>
          <w:sz w:val="20"/>
          <w:szCs w:val="20"/>
          <w:highlight w:val="none"/>
        </w:rPr>
      </w:pPr>
    </w:p>
    <w:p w14:paraId="595AD589">
      <w:pPr>
        <w:autoSpaceDE w:val="0"/>
        <w:autoSpaceDN w:val="0"/>
        <w:adjustRightInd w:val="0"/>
        <w:snapToGrid w:val="0"/>
        <w:spacing w:line="360" w:lineRule="auto"/>
        <w:jc w:val="left"/>
        <w:rPr>
          <w:rFonts w:ascii="宋体" w:hAnsi="宋体"/>
          <w:color w:val="auto"/>
          <w:kern w:val="0"/>
          <w:sz w:val="20"/>
          <w:szCs w:val="20"/>
          <w:highlight w:val="none"/>
        </w:rPr>
      </w:pPr>
    </w:p>
    <w:p w14:paraId="1C10A41A">
      <w:pPr>
        <w:autoSpaceDE w:val="0"/>
        <w:autoSpaceDN w:val="0"/>
        <w:adjustRightInd w:val="0"/>
        <w:snapToGrid w:val="0"/>
        <w:spacing w:line="360" w:lineRule="auto"/>
        <w:jc w:val="left"/>
        <w:rPr>
          <w:rFonts w:ascii="宋体" w:hAnsi="宋体"/>
          <w:color w:val="auto"/>
          <w:kern w:val="0"/>
          <w:sz w:val="20"/>
          <w:szCs w:val="20"/>
          <w:highlight w:val="none"/>
        </w:rPr>
      </w:pPr>
    </w:p>
    <w:p w14:paraId="50AB52C6">
      <w:pPr>
        <w:autoSpaceDE w:val="0"/>
        <w:autoSpaceDN w:val="0"/>
        <w:adjustRightInd w:val="0"/>
        <w:snapToGrid w:val="0"/>
        <w:spacing w:line="360" w:lineRule="auto"/>
        <w:jc w:val="left"/>
        <w:rPr>
          <w:rFonts w:ascii="宋体" w:hAnsi="宋体"/>
          <w:color w:val="auto"/>
          <w:kern w:val="0"/>
          <w:sz w:val="20"/>
          <w:szCs w:val="20"/>
          <w:highlight w:val="none"/>
        </w:rPr>
      </w:pPr>
    </w:p>
    <w:p w14:paraId="15EA0160">
      <w:pPr>
        <w:autoSpaceDE w:val="0"/>
        <w:autoSpaceDN w:val="0"/>
        <w:adjustRightInd w:val="0"/>
        <w:snapToGrid w:val="0"/>
        <w:spacing w:line="360" w:lineRule="auto"/>
        <w:jc w:val="left"/>
        <w:rPr>
          <w:rFonts w:ascii="宋体" w:hAnsi="宋体"/>
          <w:color w:val="auto"/>
          <w:kern w:val="0"/>
          <w:sz w:val="20"/>
          <w:szCs w:val="20"/>
          <w:highlight w:val="none"/>
        </w:rPr>
      </w:pPr>
    </w:p>
    <w:p w14:paraId="211333C3">
      <w:pPr>
        <w:autoSpaceDE w:val="0"/>
        <w:autoSpaceDN w:val="0"/>
        <w:adjustRightInd w:val="0"/>
        <w:snapToGrid w:val="0"/>
        <w:spacing w:line="360" w:lineRule="auto"/>
        <w:jc w:val="left"/>
        <w:rPr>
          <w:rFonts w:ascii="宋体" w:hAnsi="宋体"/>
          <w:color w:val="auto"/>
          <w:kern w:val="0"/>
          <w:sz w:val="20"/>
          <w:szCs w:val="20"/>
          <w:highlight w:val="none"/>
        </w:rPr>
      </w:pPr>
    </w:p>
    <w:p w14:paraId="259E6D2C">
      <w:pPr>
        <w:autoSpaceDE w:val="0"/>
        <w:autoSpaceDN w:val="0"/>
        <w:adjustRightInd w:val="0"/>
        <w:snapToGrid w:val="0"/>
        <w:spacing w:line="360" w:lineRule="auto"/>
        <w:rPr>
          <w:rFonts w:ascii="宋体" w:hAnsi="宋体"/>
          <w:color w:val="auto"/>
          <w:kern w:val="0"/>
          <w:sz w:val="20"/>
          <w:szCs w:val="20"/>
          <w:highlight w:val="none"/>
        </w:rPr>
      </w:pPr>
    </w:p>
    <w:p w14:paraId="47D231DE">
      <w:pPr>
        <w:autoSpaceDE w:val="0"/>
        <w:autoSpaceDN w:val="0"/>
        <w:adjustRightInd w:val="0"/>
        <w:snapToGrid w:val="0"/>
        <w:spacing w:line="360" w:lineRule="auto"/>
        <w:jc w:val="left"/>
        <w:rPr>
          <w:rFonts w:ascii="宋体" w:hAnsi="宋体"/>
          <w:color w:val="auto"/>
          <w:kern w:val="0"/>
          <w:sz w:val="20"/>
          <w:szCs w:val="20"/>
          <w:highlight w:val="none"/>
        </w:rPr>
      </w:pPr>
    </w:p>
    <w:p w14:paraId="6F62FB18">
      <w:pPr>
        <w:autoSpaceDE w:val="0"/>
        <w:autoSpaceDN w:val="0"/>
        <w:adjustRightInd w:val="0"/>
        <w:snapToGrid w:val="0"/>
        <w:spacing w:line="360" w:lineRule="auto"/>
        <w:rPr>
          <w:rFonts w:ascii="宋体" w:hAnsi="宋体"/>
          <w:color w:val="auto"/>
          <w:kern w:val="0"/>
          <w:sz w:val="20"/>
          <w:szCs w:val="20"/>
          <w:highlight w:val="none"/>
        </w:rPr>
      </w:pPr>
    </w:p>
    <w:p w14:paraId="067A8BC5">
      <w:pPr>
        <w:autoSpaceDE w:val="0"/>
        <w:autoSpaceDN w:val="0"/>
        <w:adjustRightInd w:val="0"/>
        <w:snapToGrid w:val="0"/>
        <w:spacing w:line="360" w:lineRule="auto"/>
        <w:rPr>
          <w:rFonts w:ascii="宋体" w:hAnsi="宋体"/>
          <w:color w:val="auto"/>
          <w:kern w:val="0"/>
          <w:sz w:val="20"/>
          <w:szCs w:val="20"/>
          <w:highlight w:val="none"/>
        </w:rPr>
      </w:pPr>
    </w:p>
    <w:p w14:paraId="5ED0BD73">
      <w:pPr>
        <w:autoSpaceDE w:val="0"/>
        <w:autoSpaceDN w:val="0"/>
        <w:adjustRightInd w:val="0"/>
        <w:snapToGrid w:val="0"/>
        <w:spacing w:line="360" w:lineRule="auto"/>
        <w:rPr>
          <w:rFonts w:ascii="宋体" w:hAnsi="宋体"/>
          <w:color w:val="auto"/>
          <w:kern w:val="0"/>
          <w:sz w:val="20"/>
          <w:szCs w:val="20"/>
          <w:highlight w:val="none"/>
        </w:rPr>
      </w:pPr>
    </w:p>
    <w:p w14:paraId="10BCB4B2">
      <w:pPr>
        <w:tabs>
          <w:tab w:val="left" w:pos="6219"/>
        </w:tabs>
        <w:autoSpaceDE w:val="0"/>
        <w:autoSpaceDN w:val="0"/>
        <w:adjustRightInd w:val="0"/>
        <w:snapToGrid w:val="0"/>
        <w:spacing w:line="360" w:lineRule="auto"/>
        <w:jc w:val="center"/>
        <w:rPr>
          <w:rFonts w:ascii="宋体" w:hAnsi="宋体"/>
          <w:b/>
          <w:bCs w:val="0"/>
          <w:color w:val="auto"/>
          <w:w w:val="99"/>
          <w:kern w:val="0"/>
          <w:sz w:val="28"/>
          <w:szCs w:val="28"/>
          <w:highlight w:val="none"/>
        </w:rPr>
      </w:pPr>
      <w:r>
        <w:rPr>
          <w:rFonts w:hint="eastAsia" w:ascii="宋体" w:hAnsi="宋体"/>
          <w:b/>
          <w:bCs w:val="0"/>
          <w:color w:val="auto"/>
          <w:w w:val="99"/>
          <w:kern w:val="0"/>
          <w:sz w:val="28"/>
          <w:szCs w:val="28"/>
          <w:highlight w:val="none"/>
          <w:lang w:eastAsia="zh-CN"/>
        </w:rPr>
        <w:t>比选人</w:t>
      </w:r>
      <w:r>
        <w:rPr>
          <w:rFonts w:ascii="宋体" w:hAnsi="宋体"/>
          <w:b/>
          <w:bCs w:val="0"/>
          <w:color w:val="auto"/>
          <w:w w:val="99"/>
          <w:kern w:val="0"/>
          <w:sz w:val="28"/>
          <w:szCs w:val="28"/>
          <w:highlight w:val="none"/>
        </w:rPr>
        <w:t>：</w:t>
      </w:r>
      <w:r>
        <w:rPr>
          <w:rFonts w:hint="eastAsia" w:ascii="宋体" w:hAnsi="宋体"/>
          <w:b/>
          <w:bCs w:val="0"/>
          <w:color w:val="auto"/>
          <w:kern w:val="0"/>
          <w:sz w:val="28"/>
          <w:szCs w:val="28"/>
          <w:highlight w:val="none"/>
          <w:u w:val="single"/>
          <w:lang w:eastAsia="zh-CN"/>
        </w:rPr>
        <w:t>重庆大足城乡建设投资集团有限公司</w:t>
      </w:r>
      <w:r>
        <w:rPr>
          <w:rFonts w:ascii="宋体" w:hAnsi="宋体"/>
          <w:b/>
          <w:bCs w:val="0"/>
          <w:color w:val="auto"/>
          <w:w w:val="99"/>
          <w:kern w:val="0"/>
          <w:sz w:val="28"/>
          <w:szCs w:val="28"/>
          <w:highlight w:val="none"/>
        </w:rPr>
        <w:t>（盖单位法人章）</w:t>
      </w:r>
    </w:p>
    <w:p w14:paraId="2F92B3BD">
      <w:pPr>
        <w:tabs>
          <w:tab w:val="left" w:pos="6252"/>
        </w:tabs>
        <w:autoSpaceDE w:val="0"/>
        <w:autoSpaceDN w:val="0"/>
        <w:adjustRightInd w:val="0"/>
        <w:snapToGrid w:val="0"/>
        <w:spacing w:line="360" w:lineRule="auto"/>
        <w:jc w:val="center"/>
        <w:rPr>
          <w:rFonts w:ascii="宋体" w:hAnsi="宋体"/>
          <w:b/>
          <w:bCs w:val="0"/>
          <w:color w:val="auto"/>
          <w:w w:val="99"/>
          <w:kern w:val="0"/>
          <w:sz w:val="28"/>
          <w:szCs w:val="28"/>
          <w:highlight w:val="none"/>
        </w:rPr>
      </w:pPr>
      <w:r>
        <w:rPr>
          <w:rFonts w:hint="eastAsia" w:ascii="宋体" w:hAnsi="宋体"/>
          <w:b/>
          <w:bCs w:val="0"/>
          <w:color w:val="auto"/>
          <w:spacing w:val="8"/>
          <w:kern w:val="0"/>
          <w:sz w:val="28"/>
          <w:szCs w:val="28"/>
          <w:highlight w:val="none"/>
          <w:lang w:eastAsia="zh-CN"/>
        </w:rPr>
        <w:t>比选</w:t>
      </w:r>
      <w:r>
        <w:rPr>
          <w:rFonts w:ascii="宋体" w:hAnsi="宋体"/>
          <w:b/>
          <w:bCs w:val="0"/>
          <w:color w:val="auto"/>
          <w:spacing w:val="8"/>
          <w:kern w:val="0"/>
          <w:sz w:val="28"/>
          <w:szCs w:val="28"/>
          <w:highlight w:val="none"/>
        </w:rPr>
        <w:t>代理机构：</w:t>
      </w:r>
      <w:r>
        <w:rPr>
          <w:rFonts w:hint="eastAsia" w:ascii="宋体" w:hAnsi="宋体"/>
          <w:b/>
          <w:bCs w:val="0"/>
          <w:color w:val="auto"/>
          <w:kern w:val="0"/>
          <w:sz w:val="28"/>
          <w:szCs w:val="28"/>
          <w:highlight w:val="none"/>
          <w:u w:val="single"/>
          <w:lang w:eastAsia="zh-CN"/>
        </w:rPr>
        <w:t>重庆奥晖工程设计咨询有限公司</w:t>
      </w:r>
      <w:r>
        <w:rPr>
          <w:rFonts w:ascii="宋体" w:hAnsi="宋体"/>
          <w:b/>
          <w:bCs w:val="0"/>
          <w:color w:val="auto"/>
          <w:w w:val="99"/>
          <w:kern w:val="0"/>
          <w:sz w:val="28"/>
          <w:szCs w:val="28"/>
          <w:highlight w:val="none"/>
        </w:rPr>
        <w:t>（盖单位法人章）</w:t>
      </w:r>
    </w:p>
    <w:p w14:paraId="25B20C12">
      <w:pPr>
        <w:autoSpaceDE w:val="0"/>
        <w:autoSpaceDN w:val="0"/>
        <w:adjustRightInd w:val="0"/>
        <w:snapToGrid w:val="0"/>
        <w:spacing w:line="360" w:lineRule="auto"/>
        <w:jc w:val="center"/>
        <w:rPr>
          <w:rFonts w:ascii="宋体" w:hAnsi="宋体"/>
          <w:b/>
          <w:color w:val="auto"/>
          <w:kern w:val="0"/>
          <w:sz w:val="20"/>
          <w:szCs w:val="20"/>
          <w:highlight w:val="none"/>
        </w:rPr>
      </w:pPr>
    </w:p>
    <w:p w14:paraId="360DB5DF">
      <w:pPr>
        <w:autoSpaceDE w:val="0"/>
        <w:autoSpaceDN w:val="0"/>
        <w:adjustRightInd w:val="0"/>
        <w:snapToGrid w:val="0"/>
        <w:spacing w:line="360" w:lineRule="auto"/>
        <w:jc w:val="center"/>
        <w:rPr>
          <w:rFonts w:ascii="宋体" w:hAnsi="宋体"/>
          <w:b/>
          <w:color w:val="auto"/>
          <w:kern w:val="0"/>
          <w:sz w:val="28"/>
          <w:szCs w:val="28"/>
          <w:highlight w:val="none"/>
        </w:rPr>
      </w:pPr>
    </w:p>
    <w:p w14:paraId="04CF1A9E">
      <w:pPr>
        <w:autoSpaceDE w:val="0"/>
        <w:autoSpaceDN w:val="0"/>
        <w:adjustRightInd w:val="0"/>
        <w:snapToGrid w:val="0"/>
        <w:spacing w:line="360" w:lineRule="auto"/>
        <w:jc w:val="center"/>
        <w:rPr>
          <w:rFonts w:ascii="宋体" w:hAnsi="宋体"/>
          <w:b/>
          <w:color w:val="auto"/>
          <w:kern w:val="0"/>
          <w:sz w:val="28"/>
          <w:szCs w:val="28"/>
          <w:highlight w:val="none"/>
        </w:rPr>
      </w:pPr>
    </w:p>
    <w:p w14:paraId="56B688AB">
      <w:pPr>
        <w:autoSpaceDE w:val="0"/>
        <w:autoSpaceDN w:val="0"/>
        <w:adjustRightInd w:val="0"/>
        <w:snapToGrid w:val="0"/>
        <w:spacing w:line="360" w:lineRule="auto"/>
        <w:rPr>
          <w:rFonts w:ascii="宋体" w:hAnsi="宋体"/>
          <w:b/>
          <w:color w:val="auto"/>
          <w:kern w:val="0"/>
          <w:sz w:val="20"/>
          <w:szCs w:val="20"/>
          <w:highlight w:val="none"/>
        </w:rPr>
      </w:pPr>
    </w:p>
    <w:p w14:paraId="362F870D">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u w:val="single"/>
        </w:rPr>
        <w:t>　</w:t>
      </w:r>
      <w:bookmarkStart w:id="1" w:name="_Toc13210649"/>
      <w:bookmarkStart w:id="2" w:name="_Toc536796736"/>
      <w:bookmarkStart w:id="3" w:name="_Toc536621766"/>
      <w:bookmarkStart w:id="4" w:name="_Toc509218549"/>
      <w:bookmarkStart w:id="5" w:name="_Toc536797277"/>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4</w:t>
      </w:r>
      <w:r>
        <w:rPr>
          <w:rFonts w:ascii="宋体" w:hAnsi="宋体"/>
          <w:b/>
          <w:color w:val="auto"/>
          <w:spacing w:val="8"/>
          <w:kern w:val="0"/>
          <w:sz w:val="28"/>
          <w:szCs w:val="28"/>
          <w:highlight w:val="none"/>
          <w:u w:val="single"/>
        </w:rPr>
        <w:t>　</w:t>
      </w:r>
      <w:r>
        <w:rPr>
          <w:rFonts w:ascii="宋体" w:hAnsi="宋体"/>
          <w:b/>
          <w:color w:val="auto"/>
          <w:spacing w:val="8"/>
          <w:kern w:val="0"/>
          <w:sz w:val="28"/>
          <w:szCs w:val="28"/>
          <w:highlight w:val="none"/>
        </w:rPr>
        <w:t>月</w:t>
      </w:r>
      <w:bookmarkEnd w:id="1"/>
      <w:bookmarkEnd w:id="2"/>
      <w:bookmarkEnd w:id="3"/>
      <w:bookmarkEnd w:id="4"/>
      <w:bookmarkEnd w:id="5"/>
    </w:p>
    <w:p w14:paraId="2000A84E">
      <w:pPr>
        <w:pStyle w:val="3"/>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78D5A05F">
      <w:pPr>
        <w:pStyle w:val="122"/>
        <w:pageBreakBefore w:val="0"/>
        <w:kinsoku/>
        <w:wordWrap/>
        <w:overflowPunct/>
        <w:topLinePunct w:val="0"/>
        <w:autoSpaceDE/>
        <w:autoSpaceDN/>
        <w:bidi w:val="0"/>
        <w:adjustRightInd/>
        <w:snapToGrid/>
        <w:spacing w:line="360" w:lineRule="exact"/>
        <w:jc w:val="center"/>
        <w:textAlignment w:val="auto"/>
        <w:rPr>
          <w:rFonts w:ascii="宋体" w:hAnsi="宋体"/>
          <w:i w:val="0"/>
          <w:iCs w:val="0"/>
          <w:color w:val="auto"/>
          <w:sz w:val="44"/>
          <w:szCs w:val="44"/>
          <w:highlight w:val="none"/>
        </w:rPr>
      </w:pPr>
      <w:bookmarkStart w:id="6" w:name="_Toc28843"/>
      <w:bookmarkStart w:id="7" w:name="_Toc5767"/>
      <w:r>
        <w:rPr>
          <w:rFonts w:ascii="宋体" w:hAnsi="宋体"/>
          <w:i w:val="0"/>
          <w:iCs w:val="0"/>
          <w:color w:val="auto"/>
          <w:sz w:val="44"/>
          <w:szCs w:val="44"/>
          <w:highlight w:val="none"/>
          <w:lang w:val="zh-CN"/>
        </w:rPr>
        <w:t>目</w:t>
      </w:r>
      <w:r>
        <w:rPr>
          <w:rFonts w:hint="eastAsia" w:ascii="宋体" w:hAnsi="宋体"/>
          <w:i w:val="0"/>
          <w:iCs w:val="0"/>
          <w:color w:val="auto"/>
          <w:sz w:val="44"/>
          <w:szCs w:val="44"/>
          <w:highlight w:val="none"/>
          <w:lang w:val="zh-CN"/>
        </w:rPr>
        <w:t xml:space="preserve"> </w:t>
      </w:r>
      <w:r>
        <w:rPr>
          <w:rFonts w:ascii="宋体" w:hAnsi="宋体"/>
          <w:i w:val="0"/>
          <w:iCs w:val="0"/>
          <w:color w:val="auto"/>
          <w:sz w:val="44"/>
          <w:szCs w:val="44"/>
          <w:highlight w:val="none"/>
          <w:lang w:val="zh-CN"/>
        </w:rPr>
        <w:t>录</w:t>
      </w:r>
      <w:bookmarkEnd w:id="6"/>
      <w:bookmarkEnd w:id="7"/>
    </w:p>
    <w:p w14:paraId="157A9EAA">
      <w:pPr>
        <w:pStyle w:val="23"/>
        <w:tabs>
          <w:tab w:val="right" w:leader="dot" w:pos="9469"/>
        </w:tabs>
        <w:rPr>
          <w:rFonts w:hint="eastAsia" w:ascii="宋体" w:hAnsi="宋体"/>
          <w:i w:val="0"/>
          <w:iCs w:val="0"/>
          <w:color w:val="auto"/>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p>
    <w:p w14:paraId="51029479">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第一章  竞争性比选公告</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3</w:t>
      </w:r>
    </w:p>
    <w:p w14:paraId="1F875FCB">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第二章  比选申请人须知</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6</w:t>
      </w:r>
    </w:p>
    <w:p w14:paraId="7A0D6529">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第三章  评选办法（综合评估法）</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20</w:t>
      </w:r>
    </w:p>
    <w:p w14:paraId="3E4EA2EE">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第四章  合同条款及格式</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28</w:t>
      </w:r>
    </w:p>
    <w:p w14:paraId="2B13747D">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第五章  工程量清单</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36</w:t>
      </w:r>
    </w:p>
    <w:p w14:paraId="450A3496">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第六章  图纸</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51</w:t>
      </w:r>
    </w:p>
    <w:p w14:paraId="411D4A0D">
      <w:pPr>
        <w:pStyle w:val="23"/>
        <w:tabs>
          <w:tab w:val="right" w:leader="dot" w:pos="9469"/>
        </w:tabs>
        <w:rPr>
          <w:rFonts w:hint="eastAsia" w:ascii="宋体" w:hAnsi="宋体"/>
          <w:i w:val="0"/>
          <w:iCs w:val="0"/>
          <w:color w:val="auto"/>
          <w:sz w:val="32"/>
          <w:szCs w:val="32"/>
          <w:highlight w:val="none"/>
        </w:rPr>
      </w:pPr>
      <w:r>
        <w:rPr>
          <w:rFonts w:hint="eastAsia" w:ascii="宋体" w:hAnsi="宋体"/>
          <w:i w:val="0"/>
          <w:iCs w:val="0"/>
          <w:color w:val="auto"/>
          <w:sz w:val="32"/>
          <w:szCs w:val="32"/>
          <w:highlight w:val="none"/>
        </w:rPr>
        <w:t>第七章  技术标准和要求</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52</w:t>
      </w:r>
    </w:p>
    <w:p w14:paraId="53533CA6">
      <w:pPr>
        <w:pStyle w:val="23"/>
        <w:tabs>
          <w:tab w:val="right" w:leader="dot" w:pos="9469"/>
        </w:tabs>
        <w:rPr>
          <w:color w:val="auto"/>
          <w:sz w:val="32"/>
          <w:szCs w:val="32"/>
          <w:highlight w:val="none"/>
        </w:rPr>
      </w:pPr>
      <w:r>
        <w:rPr>
          <w:rFonts w:hint="eastAsia" w:ascii="宋体" w:hAnsi="宋体"/>
          <w:i w:val="0"/>
          <w:iCs w:val="0"/>
          <w:color w:val="auto"/>
          <w:sz w:val="32"/>
          <w:szCs w:val="32"/>
          <w:highlight w:val="none"/>
        </w:rPr>
        <w:t>第八章  比选申请文件格式</w:t>
      </w:r>
      <w:r>
        <w:rPr>
          <w:rFonts w:hint="eastAsia" w:ascii="宋体" w:hAnsi="宋体"/>
          <w:i w:val="0"/>
          <w:iCs w:val="0"/>
          <w:color w:val="auto"/>
          <w:sz w:val="32"/>
          <w:szCs w:val="32"/>
          <w:highlight w:val="none"/>
        </w:rPr>
        <w:tab/>
      </w:r>
      <w:r>
        <w:rPr>
          <w:rFonts w:hint="eastAsia" w:ascii="宋体" w:hAnsi="宋体"/>
          <w:i w:val="0"/>
          <w:iCs w:val="0"/>
          <w:color w:val="auto"/>
          <w:sz w:val="32"/>
          <w:szCs w:val="32"/>
          <w:highlight w:val="none"/>
        </w:rPr>
        <w:t>53</w:t>
      </w:r>
    </w:p>
    <w:p w14:paraId="39D4B6C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i w:val="0"/>
          <w:iCs w:val="0"/>
          <w:color w:val="auto"/>
          <w:highlight w:val="none"/>
        </w:rPr>
      </w:pPr>
      <w:r>
        <w:rPr>
          <w:rFonts w:ascii="宋体" w:hAnsi="宋体"/>
          <w:bCs/>
          <w:i w:val="0"/>
          <w:iCs w:val="0"/>
          <w:color w:val="auto"/>
          <w:szCs w:val="20"/>
          <w:highlight w:val="none"/>
          <w:lang w:val="zh-CN"/>
        </w:rPr>
        <w:fldChar w:fldCharType="end"/>
      </w:r>
    </w:p>
    <w:bookmarkEnd w:id="0"/>
    <w:p w14:paraId="1293AB73">
      <w:pPr>
        <w:pageBreakBefore w:val="0"/>
        <w:kinsoku/>
        <w:wordWrap/>
        <w:overflowPunct/>
        <w:topLinePunct w:val="0"/>
        <w:autoSpaceDE/>
        <w:autoSpaceDN/>
        <w:bidi w:val="0"/>
        <w:adjustRightInd/>
        <w:snapToGrid/>
        <w:spacing w:line="360" w:lineRule="exact"/>
        <w:textAlignment w:val="auto"/>
        <w:rPr>
          <w:rFonts w:ascii="宋体" w:hAnsi="宋体"/>
          <w:i w:val="0"/>
          <w:iCs w:val="0"/>
          <w:color w:val="auto"/>
          <w:highlight w:val="none"/>
        </w:rPr>
      </w:pPr>
      <w:bookmarkStart w:id="8" w:name="_Toc430530414"/>
    </w:p>
    <w:p w14:paraId="7ACBBCCD">
      <w:pPr>
        <w:rPr>
          <w:rFonts w:hint="eastAsia" w:ascii="仿宋" w:hAnsi="仿宋" w:eastAsia="仿宋" w:cs="仿宋"/>
          <w:b/>
          <w:bCs/>
          <w:color w:val="000000"/>
          <w:sz w:val="44"/>
          <w:szCs w:val="44"/>
          <w:highlight w:val="none"/>
          <w:lang w:eastAsia="zh-CN"/>
        </w:rPr>
      </w:pPr>
      <w:r>
        <w:rPr>
          <w:rFonts w:hint="eastAsia" w:ascii="仿宋" w:hAnsi="仿宋" w:eastAsia="仿宋" w:cs="仿宋"/>
          <w:b/>
          <w:bCs/>
          <w:color w:val="000000"/>
          <w:sz w:val="44"/>
          <w:szCs w:val="44"/>
          <w:highlight w:val="none"/>
          <w:lang w:eastAsia="zh-CN"/>
        </w:rPr>
        <w:br w:type="page"/>
      </w:r>
    </w:p>
    <w:p w14:paraId="4AD382FD">
      <w:pPr>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eastAsia="zh-CN"/>
        </w:rPr>
        <w:t>比选</w:t>
      </w:r>
      <w:r>
        <w:rPr>
          <w:rFonts w:hint="eastAsia" w:ascii="仿宋" w:hAnsi="仿宋" w:eastAsia="仿宋" w:cs="仿宋"/>
          <w:b/>
          <w:bCs/>
          <w:color w:val="000000"/>
          <w:sz w:val="44"/>
          <w:szCs w:val="44"/>
          <w:highlight w:val="none"/>
        </w:rPr>
        <w:t>文件发售登记表</w:t>
      </w:r>
    </w:p>
    <w:p w14:paraId="29699096">
      <w:pPr>
        <w:jc w:val="left"/>
        <w:rPr>
          <w:rFonts w:hint="eastAsia" w:ascii="仿宋" w:hAnsi="仿宋" w:eastAsia="仿宋" w:cs="仿宋"/>
          <w:b/>
          <w:bCs/>
          <w:color w:val="000000"/>
          <w:spacing w:val="40"/>
          <w:highlight w:val="none"/>
        </w:rPr>
      </w:pPr>
    </w:p>
    <w:tbl>
      <w:tblPr>
        <w:tblStyle w:val="4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835"/>
      </w:tblGrid>
      <w:tr w14:paraId="1DD61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56" w:type="dxa"/>
            <w:noWrap w:val="0"/>
            <w:vAlign w:val="center"/>
          </w:tcPr>
          <w:p w14:paraId="23FF76CD">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rPr>
              <w:t>项目</w:t>
            </w:r>
            <w:r>
              <w:rPr>
                <w:rFonts w:hint="eastAsia" w:ascii="仿宋" w:hAnsi="仿宋" w:eastAsia="仿宋" w:cs="仿宋"/>
                <w:color w:val="000000"/>
                <w:sz w:val="30"/>
                <w:szCs w:val="30"/>
                <w:highlight w:val="none"/>
                <w:lang w:eastAsia="zh-CN"/>
              </w:rPr>
              <w:t>编号</w:t>
            </w:r>
          </w:p>
        </w:tc>
        <w:tc>
          <w:tcPr>
            <w:tcW w:w="7991" w:type="dxa"/>
            <w:gridSpan w:val="3"/>
            <w:noWrap w:val="0"/>
            <w:vAlign w:val="center"/>
          </w:tcPr>
          <w:p w14:paraId="3F8F61EA">
            <w:pPr>
              <w:keepNext w:val="0"/>
              <w:keepLines w:val="0"/>
              <w:suppressLineNumbers w:val="0"/>
              <w:spacing w:before="0" w:beforeAutospacing="0" w:after="0" w:afterAutospacing="0"/>
              <w:ind w:left="0" w:right="0"/>
              <w:jc w:val="center"/>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rPr>
              <w:t>CQ</w:t>
            </w:r>
            <w:r>
              <w:rPr>
                <w:rFonts w:hint="eastAsia" w:ascii="仿宋" w:hAnsi="仿宋" w:eastAsia="仿宋" w:cs="仿宋"/>
                <w:color w:val="000000"/>
                <w:sz w:val="30"/>
                <w:szCs w:val="30"/>
                <w:highlight w:val="none"/>
                <w:lang w:val="en-US" w:eastAsia="zh-CN"/>
              </w:rPr>
              <w:t>AH-2025-028</w:t>
            </w:r>
          </w:p>
        </w:tc>
      </w:tr>
      <w:tr w14:paraId="652E3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56" w:type="dxa"/>
            <w:noWrap w:val="0"/>
            <w:vAlign w:val="center"/>
          </w:tcPr>
          <w:p w14:paraId="4655934E">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项目名称</w:t>
            </w:r>
          </w:p>
        </w:tc>
        <w:tc>
          <w:tcPr>
            <w:tcW w:w="7991" w:type="dxa"/>
            <w:gridSpan w:val="3"/>
            <w:noWrap w:val="0"/>
            <w:vAlign w:val="center"/>
          </w:tcPr>
          <w:p w14:paraId="65DACC54">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大足区乡镇污水处理厂设备更新工程(一标段)10kV团宝线线路迁改项目</w:t>
            </w:r>
          </w:p>
        </w:tc>
      </w:tr>
      <w:tr w14:paraId="1C74E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27D63C11">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比选申请人名称</w:t>
            </w:r>
          </w:p>
        </w:tc>
        <w:tc>
          <w:tcPr>
            <w:tcW w:w="7991" w:type="dxa"/>
            <w:gridSpan w:val="3"/>
            <w:noWrap w:val="0"/>
            <w:vAlign w:val="bottom"/>
          </w:tcPr>
          <w:p w14:paraId="4221403A">
            <w:pPr>
              <w:keepNext w:val="0"/>
              <w:keepLines w:val="0"/>
              <w:suppressLineNumbers w:val="0"/>
              <w:spacing w:before="0" w:beforeAutospacing="0" w:after="0" w:afterAutospacing="0"/>
              <w:ind w:left="0" w:right="0"/>
              <w:jc w:val="righ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比选申请人</w:t>
            </w:r>
            <w:r>
              <w:rPr>
                <w:rFonts w:hint="eastAsia" w:ascii="仿宋" w:hAnsi="仿宋" w:eastAsia="仿宋" w:cs="仿宋"/>
                <w:color w:val="000000"/>
                <w:sz w:val="30"/>
                <w:szCs w:val="30"/>
                <w:highlight w:val="none"/>
              </w:rPr>
              <w:t>公章）</w:t>
            </w:r>
          </w:p>
        </w:tc>
      </w:tr>
      <w:tr w14:paraId="2E90A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756" w:type="dxa"/>
            <w:noWrap w:val="0"/>
            <w:vAlign w:val="center"/>
          </w:tcPr>
          <w:p w14:paraId="5932B62E">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联系人</w:t>
            </w:r>
          </w:p>
        </w:tc>
        <w:tc>
          <w:tcPr>
            <w:tcW w:w="1896" w:type="dxa"/>
            <w:noWrap w:val="0"/>
            <w:vAlign w:val="center"/>
          </w:tcPr>
          <w:p w14:paraId="48D13899">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p>
        </w:tc>
        <w:tc>
          <w:tcPr>
            <w:tcW w:w="1260" w:type="dxa"/>
            <w:noWrap w:val="0"/>
            <w:vAlign w:val="center"/>
          </w:tcPr>
          <w:p w14:paraId="683063E2">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手机</w:t>
            </w:r>
          </w:p>
        </w:tc>
        <w:tc>
          <w:tcPr>
            <w:tcW w:w="4835" w:type="dxa"/>
            <w:noWrap w:val="0"/>
            <w:vAlign w:val="center"/>
          </w:tcPr>
          <w:p w14:paraId="14176DCE">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p>
        </w:tc>
      </w:tr>
      <w:tr w14:paraId="5B060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756" w:type="dxa"/>
            <w:noWrap w:val="0"/>
            <w:vAlign w:val="center"/>
          </w:tcPr>
          <w:p w14:paraId="76B38862">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办公电话</w:t>
            </w:r>
          </w:p>
        </w:tc>
        <w:tc>
          <w:tcPr>
            <w:tcW w:w="1896" w:type="dxa"/>
            <w:noWrap w:val="0"/>
            <w:vAlign w:val="center"/>
          </w:tcPr>
          <w:p w14:paraId="12A31B97">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p>
        </w:tc>
        <w:tc>
          <w:tcPr>
            <w:tcW w:w="1260" w:type="dxa"/>
            <w:noWrap w:val="0"/>
            <w:vAlign w:val="center"/>
          </w:tcPr>
          <w:p w14:paraId="00467219">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传真</w:t>
            </w:r>
          </w:p>
        </w:tc>
        <w:tc>
          <w:tcPr>
            <w:tcW w:w="4835" w:type="dxa"/>
            <w:noWrap w:val="0"/>
            <w:vAlign w:val="center"/>
          </w:tcPr>
          <w:p w14:paraId="3F9854FA">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p>
        </w:tc>
      </w:tr>
      <w:tr w14:paraId="0586A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56" w:type="dxa"/>
            <w:noWrap w:val="0"/>
            <w:vAlign w:val="center"/>
          </w:tcPr>
          <w:p w14:paraId="43D5535C">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E-mail</w:t>
            </w:r>
          </w:p>
        </w:tc>
        <w:tc>
          <w:tcPr>
            <w:tcW w:w="7991" w:type="dxa"/>
            <w:gridSpan w:val="3"/>
            <w:noWrap w:val="0"/>
            <w:vAlign w:val="center"/>
          </w:tcPr>
          <w:p w14:paraId="0336D9B1">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p>
        </w:tc>
      </w:tr>
      <w:tr w14:paraId="516560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756" w:type="dxa"/>
            <w:noWrap w:val="0"/>
            <w:vAlign w:val="center"/>
          </w:tcPr>
          <w:p w14:paraId="714CAAFA">
            <w:pPr>
              <w:keepNext w:val="0"/>
              <w:keepLines w:val="0"/>
              <w:suppressLineNumbers w:val="0"/>
              <w:spacing w:before="0" w:beforeAutospacing="0" w:after="0" w:afterAutospacing="0"/>
              <w:ind w:left="0" w:right="0"/>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单位地址</w:t>
            </w:r>
          </w:p>
        </w:tc>
        <w:tc>
          <w:tcPr>
            <w:tcW w:w="7991" w:type="dxa"/>
            <w:gridSpan w:val="3"/>
            <w:noWrap w:val="0"/>
            <w:vAlign w:val="center"/>
          </w:tcPr>
          <w:p w14:paraId="61C67F29">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p>
        </w:tc>
      </w:tr>
      <w:tr w14:paraId="2247A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747" w:type="dxa"/>
            <w:gridSpan w:val="4"/>
            <w:noWrap w:val="0"/>
            <w:vAlign w:val="center"/>
          </w:tcPr>
          <w:p w14:paraId="5E1FD681">
            <w:pPr>
              <w:keepNext w:val="0"/>
              <w:keepLines w:val="0"/>
              <w:suppressLineNumbers w:val="0"/>
              <w:spacing w:before="0" w:beforeAutospacing="0" w:after="0" w:afterAutospacing="0"/>
              <w:ind w:left="0" w:right="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日期：</w:t>
            </w:r>
            <w:r>
              <w:rPr>
                <w:rFonts w:hint="eastAsia" w:ascii="仿宋" w:hAnsi="仿宋" w:eastAsia="仿宋" w:cs="仿宋"/>
                <w:color w:val="000000"/>
                <w:sz w:val="30"/>
                <w:szCs w:val="30"/>
                <w:highlight w:val="none"/>
                <w:u w:val="single"/>
              </w:rPr>
              <w:t xml:space="preserve">     </w:t>
            </w:r>
            <w:r>
              <w:rPr>
                <w:rFonts w:hint="eastAsia" w:ascii="仿宋" w:hAnsi="仿宋" w:eastAsia="仿宋" w:cs="仿宋"/>
                <w:color w:val="000000"/>
                <w:sz w:val="30"/>
                <w:szCs w:val="30"/>
                <w:highlight w:val="none"/>
              </w:rPr>
              <w:t xml:space="preserve"> 年</w:t>
            </w:r>
            <w:r>
              <w:rPr>
                <w:rFonts w:hint="eastAsia" w:ascii="仿宋" w:hAnsi="仿宋" w:eastAsia="仿宋" w:cs="仿宋"/>
                <w:color w:val="000000"/>
                <w:sz w:val="30"/>
                <w:szCs w:val="30"/>
                <w:highlight w:val="none"/>
                <w:u w:val="single"/>
              </w:rPr>
              <w:t xml:space="preserve">    </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u w:val="single"/>
              </w:rPr>
              <w:t xml:space="preserve">    </w:t>
            </w:r>
            <w:r>
              <w:rPr>
                <w:rFonts w:hint="eastAsia" w:ascii="仿宋" w:hAnsi="仿宋" w:eastAsia="仿宋" w:cs="仿宋"/>
                <w:color w:val="000000"/>
                <w:sz w:val="30"/>
                <w:szCs w:val="30"/>
                <w:highlight w:val="none"/>
              </w:rPr>
              <w:t xml:space="preserve">日    </w:t>
            </w:r>
          </w:p>
        </w:tc>
      </w:tr>
    </w:tbl>
    <w:p w14:paraId="4612F7A7">
      <w:pPr>
        <w:pageBreakBefore w:val="0"/>
        <w:kinsoku/>
        <w:wordWrap/>
        <w:overflowPunct/>
        <w:topLinePunct w:val="0"/>
        <w:autoSpaceDE/>
        <w:autoSpaceDN/>
        <w:bidi w:val="0"/>
        <w:adjustRightInd/>
        <w:snapToGrid/>
        <w:spacing w:line="360" w:lineRule="exact"/>
        <w:jc w:val="left"/>
        <w:textAlignment w:val="auto"/>
        <w:rPr>
          <w:rFonts w:ascii="宋体" w:hAnsi="宋体"/>
          <w:i w:val="0"/>
          <w:iCs w:val="0"/>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05AC85EE">
      <w:pPr>
        <w:spacing w:line="360" w:lineRule="auto"/>
        <w:rPr>
          <w:rFonts w:ascii="宋体" w:hAnsi="宋体"/>
          <w:color w:val="auto"/>
          <w:highlight w:val="none"/>
        </w:rPr>
      </w:pPr>
    </w:p>
    <w:p w14:paraId="6AA6A67F">
      <w:pPr>
        <w:pStyle w:val="3"/>
        <w:spacing w:before="0" w:after="0" w:line="480" w:lineRule="auto"/>
        <w:jc w:val="center"/>
        <w:rPr>
          <w:rFonts w:ascii="宋体" w:hAnsi="宋体"/>
          <w:color w:val="auto"/>
          <w:sz w:val="52"/>
          <w:szCs w:val="52"/>
          <w:highlight w:val="none"/>
        </w:rPr>
      </w:pPr>
      <w:bookmarkStart w:id="9" w:name="_Toc9936"/>
      <w:bookmarkStart w:id="10" w:name="_Toc30354"/>
      <w:bookmarkStart w:id="11" w:name="_Toc509218690"/>
      <w:r>
        <w:rPr>
          <w:rFonts w:hint="eastAsia" w:ascii="宋体" w:hAnsi="宋体"/>
          <w:color w:val="auto"/>
          <w:sz w:val="52"/>
          <w:szCs w:val="52"/>
          <w:highlight w:val="none"/>
        </w:rPr>
        <w:t>第 一 卷</w:t>
      </w:r>
      <w:bookmarkEnd w:id="9"/>
      <w:bookmarkEnd w:id="10"/>
      <w:bookmarkEnd w:id="11"/>
    </w:p>
    <w:p w14:paraId="11F4AC1D">
      <w:pPr>
        <w:spacing w:line="200" w:lineRule="exact"/>
        <w:rPr>
          <w:rFonts w:ascii="宋体" w:hAnsi="宋体"/>
          <w:color w:val="auto"/>
          <w:highlight w:val="none"/>
        </w:rPr>
      </w:pPr>
      <w:r>
        <w:rPr>
          <w:rFonts w:ascii="宋体" w:hAnsi="宋体"/>
          <w:color w:val="auto"/>
          <w:highlight w:val="none"/>
        </w:rPr>
        <w:br w:type="page"/>
      </w:r>
    </w:p>
    <w:p w14:paraId="2C8FA90C">
      <w:pPr>
        <w:pStyle w:val="3"/>
        <w:spacing w:line="360" w:lineRule="auto"/>
        <w:jc w:val="center"/>
        <w:rPr>
          <w:rFonts w:ascii="宋体" w:hAnsi="宋体"/>
          <w:snapToGrid w:val="0"/>
          <w:color w:val="auto"/>
          <w:highlight w:val="none"/>
        </w:rPr>
      </w:pPr>
      <w:bookmarkStart w:id="12" w:name="_Toc224103306"/>
      <w:bookmarkStart w:id="13" w:name="_Toc287607735"/>
      <w:bookmarkStart w:id="14" w:name="_Toc509218699"/>
      <w:bookmarkStart w:id="15" w:name="_Toc18846"/>
      <w:bookmarkStart w:id="16" w:name="_Toc287620674"/>
      <w:bookmarkStart w:id="17" w:name="_Toc430530423"/>
      <w:bookmarkStart w:id="18" w:name="_Toc6912"/>
      <w:r>
        <w:rPr>
          <w:rFonts w:ascii="宋体" w:hAnsi="宋体"/>
          <w:snapToGrid w:val="0"/>
          <w:color w:val="auto"/>
          <w:highlight w:val="none"/>
        </w:rPr>
        <w:t xml:space="preserve">第一章  </w:t>
      </w:r>
      <w:r>
        <w:rPr>
          <w:rFonts w:hint="eastAsia" w:ascii="宋体" w:hAnsi="宋体"/>
          <w:snapToGrid w:val="0"/>
          <w:color w:val="auto"/>
          <w:highlight w:val="none"/>
          <w:lang w:eastAsia="zh-CN"/>
        </w:rPr>
        <w:t>比选公告</w:t>
      </w:r>
      <w:bookmarkEnd w:id="12"/>
      <w:bookmarkEnd w:id="13"/>
      <w:bookmarkEnd w:id="14"/>
      <w:bookmarkEnd w:id="15"/>
      <w:bookmarkEnd w:id="16"/>
      <w:bookmarkEnd w:id="17"/>
      <w:bookmarkEnd w:id="18"/>
    </w:p>
    <w:p w14:paraId="13986288">
      <w:pPr>
        <w:tabs>
          <w:tab w:val="left" w:pos="3425"/>
          <w:tab w:val="left" w:pos="5520"/>
        </w:tabs>
        <w:autoSpaceDE w:val="0"/>
        <w:autoSpaceDN w:val="0"/>
        <w:adjustRightInd w:val="0"/>
        <w:snapToGrid w:val="0"/>
        <w:spacing w:line="450" w:lineRule="exact"/>
        <w:jc w:val="center"/>
        <w:rPr>
          <w:rFonts w:hint="eastAsia" w:ascii="宋体" w:hAnsi="宋体" w:cs="Times New Roman"/>
          <w:b/>
          <w:bCs/>
          <w:color w:val="auto"/>
          <w:w w:val="99"/>
          <w:kern w:val="0"/>
          <w:sz w:val="28"/>
          <w:szCs w:val="28"/>
          <w:highlight w:val="none"/>
          <w:lang w:val="en-US" w:eastAsia="zh-CN"/>
        </w:rPr>
      </w:pPr>
      <w:r>
        <w:rPr>
          <w:rFonts w:hint="eastAsia" w:ascii="宋体" w:hAnsi="宋体" w:cs="Times New Roman"/>
          <w:b/>
          <w:bCs/>
          <w:color w:val="auto"/>
          <w:w w:val="99"/>
          <w:kern w:val="0"/>
          <w:sz w:val="28"/>
          <w:szCs w:val="28"/>
          <w:highlight w:val="none"/>
          <w:lang w:val="en-US" w:eastAsia="zh-CN"/>
        </w:rPr>
        <w:t>大足区乡镇污水处理厂设备更新工程(一标段)10kV团宝线线路迁改项目</w:t>
      </w:r>
    </w:p>
    <w:p w14:paraId="116991C1">
      <w:pPr>
        <w:tabs>
          <w:tab w:val="left" w:pos="3425"/>
          <w:tab w:val="left" w:pos="5520"/>
        </w:tabs>
        <w:autoSpaceDE w:val="0"/>
        <w:autoSpaceDN w:val="0"/>
        <w:adjustRightInd w:val="0"/>
        <w:snapToGrid w:val="0"/>
        <w:spacing w:line="450" w:lineRule="exact"/>
        <w:jc w:val="center"/>
        <w:rPr>
          <w:rFonts w:hint="eastAsia" w:ascii="宋体" w:hAnsi="宋体" w:eastAsia="宋体"/>
          <w:b/>
          <w:bCs/>
          <w:color w:val="auto"/>
          <w:kern w:val="0"/>
          <w:sz w:val="28"/>
          <w:szCs w:val="28"/>
          <w:highlight w:val="none"/>
          <w:lang w:eastAsia="zh-CN"/>
        </w:rPr>
      </w:pPr>
      <w:r>
        <w:rPr>
          <w:rFonts w:hint="eastAsia" w:ascii="宋体" w:hAnsi="宋体"/>
          <w:b/>
          <w:bCs/>
          <w:color w:val="auto"/>
          <w:w w:val="99"/>
          <w:kern w:val="0"/>
          <w:sz w:val="28"/>
          <w:szCs w:val="28"/>
          <w:highlight w:val="none"/>
          <w:lang w:eastAsia="zh-CN"/>
        </w:rPr>
        <w:t>比选公告</w:t>
      </w:r>
    </w:p>
    <w:p w14:paraId="10C1D7D8">
      <w:pPr>
        <w:pStyle w:val="4"/>
        <w:spacing w:before="100" w:after="100" w:line="450" w:lineRule="exact"/>
        <w:rPr>
          <w:rFonts w:ascii="宋体" w:hAnsi="宋体"/>
          <w:snapToGrid w:val="0"/>
          <w:color w:val="auto"/>
          <w:sz w:val="28"/>
          <w:szCs w:val="28"/>
          <w:highlight w:val="none"/>
        </w:rPr>
      </w:pPr>
      <w:bookmarkStart w:id="19" w:name="_Toc287607736"/>
      <w:bookmarkStart w:id="20" w:name="_Toc9964"/>
      <w:bookmarkStart w:id="21" w:name="_Toc287620675"/>
      <w:bookmarkStart w:id="22" w:name="_Toc9972"/>
      <w:bookmarkStart w:id="23" w:name="_Toc509218700"/>
      <w:bookmarkStart w:id="24" w:name="_Toc430530424"/>
      <w:bookmarkStart w:id="25" w:name="_Toc224103307"/>
      <w:bookmarkStart w:id="26" w:name="_Toc277082543"/>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比选</w:t>
      </w:r>
      <w:r>
        <w:rPr>
          <w:rFonts w:ascii="宋体" w:hAnsi="宋体"/>
          <w:snapToGrid w:val="0"/>
          <w:color w:val="auto"/>
          <w:sz w:val="28"/>
          <w:szCs w:val="28"/>
          <w:highlight w:val="none"/>
        </w:rPr>
        <w:t>条件</w:t>
      </w:r>
      <w:bookmarkEnd w:id="19"/>
      <w:bookmarkEnd w:id="20"/>
      <w:bookmarkEnd w:id="21"/>
      <w:bookmarkEnd w:id="22"/>
      <w:bookmarkEnd w:id="23"/>
      <w:bookmarkEnd w:id="24"/>
      <w:bookmarkEnd w:id="25"/>
      <w:bookmarkEnd w:id="26"/>
    </w:p>
    <w:p w14:paraId="0E4EAB66">
      <w:pPr>
        <w:tabs>
          <w:tab w:val="left" w:pos="4305"/>
          <w:tab w:val="left" w:pos="4640"/>
          <w:tab w:val="left" w:pos="7240"/>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大足区乡镇污水处理厂设备更新工程(一标段)10kV团宝线线路迁改项目</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 xml:space="preserve"> 国债资金及区级财政配套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重庆大足城乡建设投资集团有限公司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条件，现</w:t>
      </w:r>
      <w:r>
        <w:rPr>
          <w:rFonts w:hint="eastAsia" w:ascii="宋体" w:hAnsi="宋体"/>
          <w:snapToGrid w:val="0"/>
          <w:color w:val="auto"/>
          <w:kern w:val="0"/>
          <w:szCs w:val="21"/>
          <w:highlight w:val="none"/>
        </w:rPr>
        <w:t>对</w:t>
      </w:r>
      <w:r>
        <w:rPr>
          <w:rFonts w:hint="eastAsia" w:ascii="宋体" w:hAnsi="宋体"/>
          <w:snapToGrid w:val="0"/>
          <w:color w:val="auto"/>
          <w:kern w:val="0"/>
          <w:szCs w:val="21"/>
          <w:highlight w:val="none"/>
          <w:u w:val="single"/>
        </w:rPr>
        <w:t>该项目进行</w:t>
      </w:r>
      <w:r>
        <w:rPr>
          <w:rFonts w:hint="eastAsia" w:ascii="宋体" w:hAnsi="宋体"/>
          <w:snapToGrid w:val="0"/>
          <w:color w:val="auto"/>
          <w:kern w:val="0"/>
          <w:szCs w:val="21"/>
          <w:highlight w:val="none"/>
          <w:u w:val="single"/>
          <w:lang w:val="en-US" w:eastAsia="zh-CN"/>
        </w:rPr>
        <w:t>竞争性</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w:t>
      </w:r>
    </w:p>
    <w:p w14:paraId="461BCCA3">
      <w:pPr>
        <w:pStyle w:val="4"/>
        <w:spacing w:before="100" w:after="100" w:line="450" w:lineRule="exact"/>
        <w:rPr>
          <w:rFonts w:ascii="宋体" w:hAnsi="宋体"/>
          <w:snapToGrid w:val="0"/>
          <w:color w:val="auto"/>
          <w:sz w:val="28"/>
          <w:szCs w:val="28"/>
          <w:highlight w:val="none"/>
        </w:rPr>
      </w:pPr>
      <w:bookmarkStart w:id="27" w:name="_Toc17971"/>
      <w:bookmarkStart w:id="28" w:name="_Toc287620676"/>
      <w:bookmarkStart w:id="29" w:name="_Toc224103308"/>
      <w:bookmarkStart w:id="30" w:name="_Toc430530425"/>
      <w:bookmarkStart w:id="31" w:name="_Toc277082544"/>
      <w:bookmarkStart w:id="32" w:name="_Toc287607737"/>
      <w:bookmarkStart w:id="33" w:name="_Toc27984"/>
      <w:bookmarkStart w:id="34" w:name="_Toc509218701"/>
      <w:r>
        <w:rPr>
          <w:rFonts w:ascii="宋体" w:hAnsi="宋体"/>
          <w:snapToGrid w:val="0"/>
          <w:color w:val="auto"/>
          <w:sz w:val="28"/>
          <w:szCs w:val="28"/>
          <w:highlight w:val="none"/>
        </w:rPr>
        <w:t>2.  项目概况与</w:t>
      </w:r>
      <w:r>
        <w:rPr>
          <w:rFonts w:hint="eastAsia" w:ascii="宋体" w:hAnsi="宋体"/>
          <w:snapToGrid w:val="0"/>
          <w:color w:val="auto"/>
          <w:sz w:val="28"/>
          <w:szCs w:val="28"/>
          <w:highlight w:val="none"/>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p>
    <w:p w14:paraId="4EEDBA1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重庆市大足区宝兴镇 </w:t>
      </w:r>
    </w:p>
    <w:p w14:paraId="59EF3A92">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将大足区宝兴镇污水处理厂内10kv团宝线迁改出污水处理厂，包含了10kv线路新建、变压器迁移、计量装置迁移、电杆拆除、导线拆除、用电恢复等工程内容</w:t>
      </w:r>
      <w:r>
        <w:rPr>
          <w:rFonts w:hint="eastAsia" w:ascii="宋体" w:hAnsi="宋体"/>
          <w:snapToGrid w:val="0"/>
          <w:color w:val="auto"/>
          <w:kern w:val="0"/>
          <w:szCs w:val="21"/>
          <w:highlight w:val="none"/>
          <w:u w:val="single"/>
          <w:lang w:eastAsia="zh-CN"/>
        </w:rPr>
        <w:t>。</w:t>
      </w:r>
    </w:p>
    <w:p w14:paraId="5E2872E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none"/>
          <w:lang w:eastAsia="zh-CN"/>
        </w:rPr>
        <w:t>2.3 本次比选项目合同估算金额：</w:t>
      </w:r>
      <w:r>
        <w:rPr>
          <w:rFonts w:hint="eastAsia" w:ascii="宋体" w:hAnsi="宋体"/>
          <w:snapToGrid w:val="0"/>
          <w:color w:val="auto"/>
          <w:kern w:val="0"/>
          <w:szCs w:val="21"/>
          <w:highlight w:val="none"/>
          <w:u w:val="single"/>
          <w:lang w:eastAsia="zh-CN"/>
        </w:rPr>
        <w:t xml:space="preserve"> 约</w:t>
      </w:r>
      <w:r>
        <w:rPr>
          <w:rFonts w:hint="eastAsia" w:ascii="宋体" w:hAnsi="宋体"/>
          <w:snapToGrid w:val="0"/>
          <w:color w:val="auto"/>
          <w:kern w:val="0"/>
          <w:szCs w:val="21"/>
          <w:highlight w:val="none"/>
          <w:u w:val="single"/>
          <w:lang w:val="en-US" w:eastAsia="zh-CN"/>
        </w:rPr>
        <w:t>13.7</w:t>
      </w:r>
      <w:r>
        <w:rPr>
          <w:rFonts w:hint="eastAsia" w:ascii="宋体" w:hAnsi="宋体"/>
          <w:snapToGrid w:val="0"/>
          <w:color w:val="auto"/>
          <w:kern w:val="0"/>
          <w:szCs w:val="21"/>
          <w:highlight w:val="none"/>
          <w:u w:val="single"/>
          <w:lang w:eastAsia="zh-CN"/>
        </w:rPr>
        <w:t xml:space="preserve">万元   </w:t>
      </w:r>
    </w:p>
    <w:p w14:paraId="7B9FE0E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比选范围：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具体详见</w:t>
      </w:r>
      <w:r>
        <w:rPr>
          <w:rFonts w:hint="eastAsia" w:ascii="宋体" w:hAnsi="宋体"/>
          <w:snapToGrid w:val="0"/>
          <w:color w:val="auto"/>
          <w:kern w:val="0"/>
          <w:szCs w:val="21"/>
          <w:highlight w:val="none"/>
          <w:u w:val="single"/>
          <w:lang w:val="en-US" w:eastAsia="zh-CN"/>
        </w:rPr>
        <w:t>比选人</w:t>
      </w:r>
      <w:r>
        <w:rPr>
          <w:rFonts w:hint="eastAsia" w:ascii="宋体" w:hAnsi="宋体"/>
          <w:snapToGrid w:val="0"/>
          <w:color w:val="auto"/>
          <w:kern w:val="0"/>
          <w:szCs w:val="21"/>
          <w:highlight w:val="none"/>
          <w:u w:val="single"/>
          <w:lang w:eastAsia="zh-CN"/>
        </w:rPr>
        <w:t>提供的比选文件、工程量清单、比选文件补遗、答疑、澄清中补充的全部工程内容等。</w:t>
      </w:r>
    </w:p>
    <w:p w14:paraId="1A1857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15</w:t>
      </w:r>
      <w:r>
        <w:rPr>
          <w:rFonts w:hint="eastAsia" w:ascii="宋体" w:hAnsi="宋体"/>
          <w:snapToGrid w:val="0"/>
          <w:color w:val="auto"/>
          <w:kern w:val="0"/>
          <w:szCs w:val="21"/>
          <w:highlight w:val="none"/>
          <w:u w:val="single"/>
        </w:rPr>
        <w:t xml:space="preserve">日历天 </w:t>
      </w:r>
    </w:p>
    <w:p w14:paraId="0DA0291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12个月</w:t>
      </w:r>
    </w:p>
    <w:p w14:paraId="735ABE08">
      <w:pPr>
        <w:pStyle w:val="4"/>
        <w:spacing w:before="100" w:after="100" w:line="450" w:lineRule="exact"/>
        <w:rPr>
          <w:rFonts w:ascii="宋体" w:hAnsi="宋体"/>
          <w:snapToGrid w:val="0"/>
          <w:color w:val="auto"/>
          <w:sz w:val="28"/>
          <w:szCs w:val="28"/>
          <w:highlight w:val="none"/>
        </w:rPr>
      </w:pPr>
      <w:bookmarkStart w:id="35" w:name="_Toc287607738"/>
      <w:bookmarkStart w:id="36" w:name="_Toc287620677"/>
      <w:bookmarkStart w:id="37" w:name="_Toc277082545"/>
      <w:bookmarkStart w:id="38" w:name="_Toc509218702"/>
      <w:bookmarkStart w:id="39" w:name="_Toc4089"/>
      <w:bookmarkStart w:id="40" w:name="_Toc224103309"/>
      <w:bookmarkStart w:id="41" w:name="_Toc6592"/>
      <w:bookmarkStart w:id="42" w:name="_Toc430530426"/>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比选申请人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p>
    <w:p w14:paraId="52B75BD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5675ED5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 本次比选要求比选申请人具备的资质条件：</w:t>
      </w:r>
    </w:p>
    <w:p w14:paraId="50C7588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建设行政主管部门颁发的电力工程施工总承包三级及以上资质或输变电工程专业承包三级及以上资质；</w:t>
      </w:r>
    </w:p>
    <w:p w14:paraId="1B9F130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本次比选要求比选申请人具备的业绩条件：</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1647E7C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3.1.3 比选申请人还应在人员、设备、资金等方面具有相应的施工能力，详见比选文件第二章比选申请人须知前附表第1.4.1项内容。</w:t>
      </w:r>
    </w:p>
    <w:p w14:paraId="66A8D5F8">
      <w:pPr>
        <w:tabs>
          <w:tab w:val="left" w:pos="2060"/>
          <w:tab w:val="left" w:pos="8205"/>
        </w:tabs>
        <w:autoSpaceDE w:val="0"/>
        <w:autoSpaceDN w:val="0"/>
        <w:adjustRightInd w:val="0"/>
        <w:snapToGrid w:val="0"/>
        <w:spacing w:line="450" w:lineRule="exact"/>
        <w:ind w:firstLine="405" w:firstLineChars="193"/>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3.2  </w:t>
      </w:r>
      <w:r>
        <w:rPr>
          <w:rFonts w:hint="eastAsia" w:ascii="宋体" w:hAnsi="宋体"/>
          <w:snapToGrid w:val="0"/>
          <w:color w:val="auto"/>
          <w:kern w:val="0"/>
          <w:szCs w:val="21"/>
          <w:highlight w:val="none"/>
        </w:rPr>
        <w:t>本项目不接受联合体比选申请</w:t>
      </w:r>
      <w:r>
        <w:rPr>
          <w:rFonts w:ascii="宋体" w:hAnsi="宋体"/>
          <w:snapToGrid w:val="0"/>
          <w:color w:val="auto"/>
          <w:kern w:val="0"/>
          <w:szCs w:val="21"/>
          <w:highlight w:val="none"/>
        </w:rPr>
        <w:t>。</w:t>
      </w:r>
    </w:p>
    <w:p w14:paraId="287D6154">
      <w:pPr>
        <w:pStyle w:val="4"/>
        <w:spacing w:before="100" w:after="100" w:line="450" w:lineRule="exact"/>
        <w:rPr>
          <w:rFonts w:ascii="宋体" w:hAnsi="宋体"/>
          <w:snapToGrid w:val="0"/>
          <w:color w:val="auto"/>
          <w:sz w:val="28"/>
          <w:szCs w:val="28"/>
          <w:highlight w:val="none"/>
        </w:rPr>
      </w:pPr>
      <w:bookmarkStart w:id="43" w:name="_Toc430530427"/>
      <w:bookmarkStart w:id="44" w:name="_Toc509218703"/>
      <w:bookmarkStart w:id="45" w:name="_Toc224103310"/>
      <w:bookmarkStart w:id="46" w:name="_Toc6999"/>
      <w:bookmarkStart w:id="47" w:name="_Toc277082546"/>
      <w:bookmarkStart w:id="48" w:name="_Toc5189"/>
      <w:bookmarkStart w:id="49" w:name="_Toc287620678"/>
      <w:bookmarkStart w:id="50" w:name="_Toc28760773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比选</w:t>
      </w:r>
      <w:r>
        <w:rPr>
          <w:rFonts w:ascii="宋体" w:hAnsi="宋体"/>
          <w:snapToGrid w:val="0"/>
          <w:color w:val="auto"/>
          <w:sz w:val="28"/>
          <w:szCs w:val="28"/>
          <w:highlight w:val="none"/>
        </w:rPr>
        <w:t>文件的获取</w:t>
      </w:r>
      <w:bookmarkEnd w:id="43"/>
      <w:bookmarkEnd w:id="44"/>
      <w:bookmarkEnd w:id="45"/>
      <w:bookmarkEnd w:id="46"/>
      <w:bookmarkEnd w:id="47"/>
      <w:bookmarkEnd w:id="48"/>
      <w:bookmarkEnd w:id="49"/>
      <w:bookmarkEnd w:id="50"/>
    </w:p>
    <w:p w14:paraId="6AEBC505">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bookmarkStart w:id="51" w:name="_Toc277082547"/>
      <w:bookmarkStart w:id="52" w:name="_Toc509218704"/>
      <w:bookmarkStart w:id="53" w:name="_Toc224103311"/>
      <w:bookmarkStart w:id="54" w:name="_Toc430530428"/>
      <w:bookmarkStart w:id="55" w:name="_Toc12682"/>
      <w:bookmarkStart w:id="56" w:name="_Toc287607740"/>
      <w:bookmarkStart w:id="57" w:name="_Toc287620679"/>
      <w:bookmarkStart w:id="58" w:name="_Toc6456"/>
      <w:r>
        <w:rPr>
          <w:rFonts w:hint="eastAsia" w:ascii="宋体" w:hAnsi="宋体" w:eastAsia="宋体" w:cs="Times New Roman"/>
          <w:snapToGrid w:val="0"/>
          <w:color w:val="auto"/>
          <w:kern w:val="0"/>
          <w:szCs w:val="21"/>
          <w:highlight w:val="none"/>
          <w:lang w:val="en-US" w:eastAsia="zh-CN"/>
        </w:rPr>
        <w:t>4.1凡有意参加竞争性比选者，请于2025年</w:t>
      </w:r>
      <w:r>
        <w:rPr>
          <w:rFonts w:hint="eastAsia" w:ascii="宋体" w:hAnsi="宋体" w:cs="Times New Roman"/>
          <w:snapToGrid w:val="0"/>
          <w:color w:val="auto"/>
          <w:kern w:val="0"/>
          <w:szCs w:val="21"/>
          <w:highlight w:val="none"/>
          <w:lang w:val="en-US" w:eastAsia="zh-CN"/>
        </w:rPr>
        <w:t>4</w:t>
      </w:r>
      <w:r>
        <w:rPr>
          <w:rFonts w:hint="eastAsia" w:ascii="宋体" w:hAnsi="宋体" w:eastAsia="宋体" w:cs="Times New Roman"/>
          <w:snapToGrid w:val="0"/>
          <w:color w:val="auto"/>
          <w:kern w:val="0"/>
          <w:szCs w:val="21"/>
          <w:highlight w:val="none"/>
          <w:lang w:val="en-US" w:eastAsia="zh-CN"/>
        </w:rPr>
        <w:t>月</w:t>
      </w:r>
      <w:r>
        <w:rPr>
          <w:rFonts w:hint="eastAsia" w:ascii="宋体" w:hAnsi="宋体" w:cs="Times New Roman"/>
          <w:snapToGrid w:val="0"/>
          <w:color w:val="auto"/>
          <w:kern w:val="0"/>
          <w:szCs w:val="21"/>
          <w:highlight w:val="none"/>
          <w:lang w:val="en-US" w:eastAsia="zh-CN"/>
        </w:rPr>
        <w:t>22</w:t>
      </w:r>
      <w:r>
        <w:rPr>
          <w:rFonts w:hint="eastAsia" w:ascii="宋体" w:hAnsi="宋体" w:eastAsia="宋体" w:cs="Times New Roman"/>
          <w:snapToGrid w:val="0"/>
          <w:color w:val="auto"/>
          <w:kern w:val="0"/>
          <w:szCs w:val="21"/>
          <w:highlight w:val="none"/>
          <w:lang w:val="en-US" w:eastAsia="zh-CN"/>
        </w:rPr>
        <w:t>日09:00时起至2025年</w:t>
      </w:r>
      <w:r>
        <w:rPr>
          <w:rFonts w:hint="eastAsia" w:ascii="宋体" w:hAnsi="宋体" w:cs="Times New Roman"/>
          <w:snapToGrid w:val="0"/>
          <w:color w:val="auto"/>
          <w:kern w:val="0"/>
          <w:szCs w:val="21"/>
          <w:highlight w:val="none"/>
          <w:lang w:val="en-US" w:eastAsia="zh-CN"/>
        </w:rPr>
        <w:t>4</w:t>
      </w:r>
      <w:r>
        <w:rPr>
          <w:rFonts w:hint="eastAsia" w:ascii="宋体" w:hAnsi="宋体" w:eastAsia="宋体" w:cs="Times New Roman"/>
          <w:snapToGrid w:val="0"/>
          <w:color w:val="auto"/>
          <w:kern w:val="0"/>
          <w:szCs w:val="21"/>
          <w:highlight w:val="none"/>
          <w:lang w:val="en-US" w:eastAsia="zh-CN"/>
        </w:rPr>
        <w:t>月</w:t>
      </w:r>
      <w:r>
        <w:rPr>
          <w:rFonts w:hint="eastAsia" w:ascii="宋体" w:hAnsi="宋体" w:cs="Times New Roman"/>
          <w:snapToGrid w:val="0"/>
          <w:color w:val="auto"/>
          <w:kern w:val="0"/>
          <w:szCs w:val="21"/>
          <w:highlight w:val="none"/>
          <w:lang w:val="en-US" w:eastAsia="zh-CN"/>
        </w:rPr>
        <w:t>24</w:t>
      </w:r>
      <w:r>
        <w:rPr>
          <w:rFonts w:hint="eastAsia" w:ascii="宋体" w:hAnsi="宋体" w:eastAsia="宋体" w:cs="Times New Roman"/>
          <w:snapToGrid w:val="0"/>
          <w:color w:val="auto"/>
          <w:kern w:val="0"/>
          <w:szCs w:val="21"/>
          <w:highlight w:val="none"/>
          <w:lang w:val="en-US" w:eastAsia="zh-CN"/>
        </w:rPr>
        <w:t>日17：00时，（北京时间，下同），在行采家（www.gec123.com）上仔细阅读和下载：竞争性比选文件、图纸、工程量清单、澄清、修改、补充通知、比选控制价通知等全部内容，不管下载与否都视为潜在比选申请人全部知晓有关比选过程和全部内容。</w:t>
      </w:r>
    </w:p>
    <w:p w14:paraId="5D469AAC">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4.2报名及比选文件的购买方式</w:t>
      </w:r>
    </w:p>
    <w:p w14:paraId="6C0372A7">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4.2.1非现场报名及购买比选文件</w:t>
      </w:r>
    </w:p>
    <w:p w14:paraId="2BFD2368">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在竞争性比选文件发售期内，供应商通过下方账号缴纳竞争性比选文件购买费用，并将竞争性比选文件费转账截图（转账时注明项目号）、《采购文件发售登记表》（加盖供应商公章）扫描后发送至963534421@qq.com报名。</w:t>
      </w:r>
    </w:p>
    <w:p w14:paraId="3141EEDD">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单位名称：重庆奥晖工程设计咨询有限公司</w:t>
      </w:r>
    </w:p>
    <w:p w14:paraId="32F27500">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开户行：招商银行股份有限公司重庆北部新区支行</w:t>
      </w:r>
    </w:p>
    <w:p w14:paraId="71E8AA49">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账号：123913590910101</w:t>
      </w:r>
    </w:p>
    <w:p w14:paraId="5EF583B8">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4.3在报名和比选文件提供期限内购买了比选文件的比选申请人，其报名及比选申请文件递交才被接收。</w:t>
      </w:r>
    </w:p>
    <w:p w14:paraId="3F93BD79">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4.4比选文件售价：人民币300元/份，售后不退。</w:t>
      </w:r>
    </w:p>
    <w:p w14:paraId="306A633B">
      <w:pPr>
        <w:pStyle w:val="4"/>
        <w:spacing w:before="100" w:after="100" w:line="450" w:lineRule="exact"/>
        <w:rPr>
          <w:rFonts w:hint="eastAsia" w:ascii="宋体" w:hAnsi="宋体" w:eastAsia="宋体" w:cs="Times New Roman"/>
          <w:snapToGrid w:val="0"/>
          <w:color w:val="auto"/>
          <w:sz w:val="28"/>
          <w:szCs w:val="28"/>
          <w:highlight w:val="none"/>
        </w:rPr>
      </w:pPr>
      <w:r>
        <w:rPr>
          <w:rFonts w:hint="eastAsia" w:ascii="宋体" w:hAnsi="宋体" w:eastAsia="宋体" w:cs="Times New Roman"/>
          <w:snapToGrid w:val="0"/>
          <w:color w:val="auto"/>
          <w:sz w:val="28"/>
          <w:szCs w:val="28"/>
          <w:highlight w:val="none"/>
        </w:rPr>
        <w:t>5.  比选申请文件的递交</w:t>
      </w:r>
      <w:bookmarkEnd w:id="51"/>
      <w:bookmarkEnd w:id="52"/>
      <w:bookmarkEnd w:id="53"/>
      <w:bookmarkEnd w:id="54"/>
      <w:bookmarkEnd w:id="55"/>
      <w:bookmarkEnd w:id="56"/>
      <w:bookmarkEnd w:id="57"/>
      <w:bookmarkEnd w:id="58"/>
    </w:p>
    <w:p w14:paraId="694CB4C7">
      <w:pPr>
        <w:tabs>
          <w:tab w:val="left" w:pos="1580"/>
          <w:tab w:val="left" w:pos="6000"/>
          <w:tab w:val="left" w:pos="6320"/>
          <w:tab w:val="left" w:pos="6887"/>
          <w:tab w:val="left" w:pos="7475"/>
        </w:tabs>
        <w:autoSpaceDE w:val="0"/>
        <w:autoSpaceDN w:val="0"/>
        <w:adjustRightInd w:val="0"/>
        <w:snapToGrid w:val="0"/>
        <w:spacing w:line="450" w:lineRule="exact"/>
        <w:ind w:firstLine="390" w:firstLineChars="186"/>
        <w:jc w:val="left"/>
        <w:rPr>
          <w:rFonts w:ascii="宋体" w:hAnsi="宋体"/>
          <w:snapToGrid w:val="0"/>
          <w:color w:val="auto"/>
          <w:kern w:val="0"/>
          <w:szCs w:val="21"/>
          <w:highlight w:val="none"/>
        </w:rPr>
      </w:pPr>
      <w:r>
        <w:rPr>
          <w:rFonts w:ascii="宋体" w:hAnsi="宋体" w:eastAsia="宋体" w:cs="Times New Roman"/>
          <w:snapToGrid w:val="0"/>
          <w:color w:val="auto"/>
          <w:kern w:val="0"/>
          <w:szCs w:val="21"/>
          <w:highlight w:val="none"/>
        </w:rPr>
        <w:t xml:space="preserve">5.1  </w:t>
      </w:r>
      <w:r>
        <w:rPr>
          <w:rFonts w:hint="eastAsia" w:ascii="宋体" w:hAnsi="宋体" w:eastAsia="宋体" w:cs="Times New Roman"/>
          <w:snapToGrid w:val="0"/>
          <w:color w:val="auto"/>
          <w:kern w:val="0"/>
          <w:szCs w:val="21"/>
          <w:highlight w:val="none"/>
          <w:lang w:eastAsia="zh-CN"/>
        </w:rPr>
        <w:t>比选申请文件</w:t>
      </w:r>
      <w:r>
        <w:rPr>
          <w:rFonts w:ascii="宋体" w:hAnsi="宋体" w:eastAsia="宋体" w:cs="Times New Roman"/>
          <w:snapToGrid w:val="0"/>
          <w:color w:val="auto"/>
          <w:kern w:val="0"/>
          <w:szCs w:val="21"/>
          <w:highlight w:val="none"/>
        </w:rPr>
        <w:t>递交的截止时间（</w:t>
      </w:r>
      <w:r>
        <w:rPr>
          <w:rFonts w:hint="eastAsia" w:ascii="宋体" w:hAnsi="宋体" w:eastAsia="宋体" w:cs="Times New Roman"/>
          <w:snapToGrid w:val="0"/>
          <w:color w:val="auto"/>
          <w:kern w:val="0"/>
          <w:szCs w:val="21"/>
          <w:highlight w:val="none"/>
          <w:lang w:eastAsia="zh-CN"/>
        </w:rPr>
        <w:t>比选</w:t>
      </w:r>
      <w:r>
        <w:rPr>
          <w:rFonts w:ascii="宋体" w:hAnsi="宋体" w:eastAsia="宋体" w:cs="Times New Roman"/>
          <w:snapToGrid w:val="0"/>
          <w:color w:val="auto"/>
          <w:kern w:val="0"/>
          <w:szCs w:val="21"/>
          <w:highlight w:val="none"/>
        </w:rPr>
        <w:t>截止时间，下同）为</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 xml:space="preserve"> </w:t>
      </w:r>
      <w:r>
        <w:rPr>
          <w:rFonts w:ascii="宋体" w:hAnsi="宋体" w:eastAsia="宋体" w:cs="Times New Roman"/>
          <w:snapToGrid w:val="0"/>
          <w:color w:val="auto"/>
          <w:kern w:val="0"/>
          <w:szCs w:val="21"/>
          <w:highlight w:val="none"/>
        </w:rPr>
        <w:t>年</w:t>
      </w:r>
      <w:r>
        <w:rPr>
          <w:rFonts w:hint="eastAsia" w:ascii="宋体" w:hAnsi="宋体" w:eastAsia="宋体" w:cs="Times New Roman"/>
          <w:snapToGrid w:val="0"/>
          <w:color w:val="auto"/>
          <w:kern w:val="0"/>
          <w:szCs w:val="21"/>
          <w:highlight w:val="none"/>
          <w:u w:val="single"/>
        </w:rPr>
        <w:t xml:space="preserve"> </w:t>
      </w:r>
      <w:r>
        <w:rPr>
          <w:rFonts w:hint="eastAsia" w:ascii="宋体" w:hAnsi="宋体" w:cs="Times New Roman"/>
          <w:snapToGrid w:val="0"/>
          <w:color w:val="auto"/>
          <w:kern w:val="0"/>
          <w:szCs w:val="21"/>
          <w:highlight w:val="none"/>
          <w:u w:val="single"/>
          <w:lang w:val="en-US" w:eastAsia="zh-CN"/>
        </w:rPr>
        <w:t>4</w:t>
      </w:r>
      <w:r>
        <w:rPr>
          <w:rFonts w:ascii="宋体" w:hAnsi="宋体" w:eastAsia="宋体" w:cs="Times New Roman"/>
          <w:snapToGrid w:val="0"/>
          <w:color w:val="auto"/>
          <w:kern w:val="0"/>
          <w:szCs w:val="21"/>
          <w:highlight w:val="none"/>
        </w:rPr>
        <w:t>月</w:t>
      </w:r>
      <w:r>
        <w:rPr>
          <w:rFonts w:hint="eastAsia" w:ascii="宋体" w:hAnsi="宋体" w:cs="Times New Roman"/>
          <w:snapToGrid w:val="0"/>
          <w:color w:val="auto"/>
          <w:kern w:val="0"/>
          <w:szCs w:val="21"/>
          <w:highlight w:val="none"/>
          <w:u w:val="single"/>
          <w:lang w:val="en-US" w:eastAsia="zh-CN"/>
        </w:rPr>
        <w:t xml:space="preserve"> 28 </w:t>
      </w:r>
      <w:r>
        <w:rPr>
          <w:rFonts w:ascii="宋体" w:hAnsi="宋体" w:eastAsia="宋体" w:cs="Times New Roman"/>
          <w:snapToGrid w:val="0"/>
          <w:color w:val="auto"/>
          <w:kern w:val="0"/>
          <w:szCs w:val="21"/>
          <w:highlight w:val="none"/>
        </w:rPr>
        <w:t>日</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14</w:t>
      </w:r>
      <w:r>
        <w:rPr>
          <w:rFonts w:hint="eastAsia" w:ascii="宋体" w:hAnsi="宋体" w:eastAsia="宋体" w:cs="Times New Roman"/>
          <w:snapToGrid w:val="0"/>
          <w:color w:val="auto"/>
          <w:kern w:val="0"/>
          <w:szCs w:val="21"/>
          <w:highlight w:val="none"/>
          <w:u w:val="single"/>
        </w:rPr>
        <w:t xml:space="preserve"> </w:t>
      </w:r>
      <w:r>
        <w:rPr>
          <w:rFonts w:ascii="宋体" w:hAnsi="宋体" w:eastAsia="宋体" w:cs="Times New Roman"/>
          <w:snapToGrid w:val="0"/>
          <w:color w:val="auto"/>
          <w:kern w:val="0"/>
          <w:szCs w:val="21"/>
          <w:highlight w:val="none"/>
        </w:rPr>
        <w:t>时</w:t>
      </w:r>
      <w:r>
        <w:rPr>
          <w:rFonts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30</w:t>
      </w:r>
      <w:r>
        <w:rPr>
          <w:rFonts w:ascii="宋体" w:hAnsi="宋体" w:eastAsia="宋体" w:cs="Times New Roman"/>
          <w:snapToGrid w:val="0"/>
          <w:color w:val="auto"/>
          <w:kern w:val="0"/>
          <w:szCs w:val="21"/>
          <w:highlight w:val="none"/>
          <w:u w:val="single"/>
        </w:rPr>
        <w:t xml:space="preserve"> </w:t>
      </w:r>
      <w:r>
        <w:rPr>
          <w:rFonts w:ascii="宋体" w:hAnsi="宋体" w:eastAsia="宋体" w:cs="Times New Roman"/>
          <w:snapToGrid w:val="0"/>
          <w:color w:val="auto"/>
          <w:kern w:val="0"/>
          <w:szCs w:val="21"/>
          <w:highlight w:val="none"/>
        </w:rPr>
        <w:t>分，地点为</w:t>
      </w:r>
      <w:r>
        <w:rPr>
          <w:rFonts w:hint="eastAsia" w:ascii="宋体" w:hAnsi="宋体" w:eastAsia="宋体" w:cs="Times New Roman"/>
          <w:snapToGrid w:val="0"/>
          <w:color w:val="auto"/>
          <w:kern w:val="0"/>
          <w:szCs w:val="21"/>
          <w:highlight w:val="none"/>
          <w:u w:val="single"/>
        </w:rPr>
        <w:t xml:space="preserve"> </w:t>
      </w:r>
      <w:r>
        <w:rPr>
          <w:rFonts w:hint="eastAsia" w:ascii="宋体" w:hAnsi="宋体" w:cs="Times New Roman"/>
          <w:snapToGrid w:val="0"/>
          <w:color w:val="auto"/>
          <w:kern w:val="0"/>
          <w:szCs w:val="21"/>
          <w:highlight w:val="none"/>
          <w:u w:val="single"/>
          <w:lang w:val="en-US" w:eastAsia="zh-CN"/>
        </w:rPr>
        <w:t>重庆锦豪酒店（大足石刻新城店）顶楼会议室（地址：棠香街道圣迹西路5号附7号）</w:t>
      </w:r>
      <w:r>
        <w:rPr>
          <w:rFonts w:ascii="宋体" w:hAnsi="宋体" w:eastAsia="宋体" w:cs="Times New Roman"/>
          <w:snapToGrid w:val="0"/>
          <w:color w:val="auto"/>
          <w:kern w:val="0"/>
          <w:szCs w:val="21"/>
          <w:highlight w:val="none"/>
        </w:rPr>
        <w:t>。</w:t>
      </w:r>
    </w:p>
    <w:p w14:paraId="75DE9A87">
      <w:pPr>
        <w:autoSpaceDE w:val="0"/>
        <w:autoSpaceDN w:val="0"/>
        <w:adjustRightInd w:val="0"/>
        <w:snapToGrid w:val="0"/>
        <w:spacing w:line="450" w:lineRule="exact"/>
        <w:ind w:firstLine="390" w:firstLineChars="186"/>
        <w:jc w:val="left"/>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27EE143A">
      <w:pPr>
        <w:pStyle w:val="4"/>
        <w:spacing w:before="100" w:after="100" w:line="450" w:lineRule="exact"/>
        <w:rPr>
          <w:rFonts w:ascii="宋体" w:hAnsi="宋体"/>
          <w:snapToGrid w:val="0"/>
          <w:color w:val="auto"/>
          <w:sz w:val="28"/>
          <w:szCs w:val="28"/>
          <w:highlight w:val="none"/>
        </w:rPr>
      </w:pPr>
      <w:bookmarkStart w:id="59" w:name="_Toc277082548"/>
      <w:bookmarkStart w:id="60" w:name="_Toc28876"/>
      <w:bookmarkStart w:id="61" w:name="_Toc287620680"/>
      <w:bookmarkStart w:id="62" w:name="_Toc509218705"/>
      <w:bookmarkStart w:id="63" w:name="_Toc430530429"/>
      <w:bookmarkStart w:id="64" w:name="_Toc287607741"/>
      <w:bookmarkStart w:id="65" w:name="_Toc224103312"/>
      <w:bookmarkStart w:id="66" w:name="_Toc20220"/>
      <w:r>
        <w:rPr>
          <w:rFonts w:ascii="宋体" w:hAnsi="宋体"/>
          <w:snapToGrid w:val="0"/>
          <w:color w:val="auto"/>
          <w:sz w:val="28"/>
          <w:szCs w:val="28"/>
          <w:highlight w:val="none"/>
        </w:rPr>
        <w:t xml:space="preserve">6.  </w:t>
      </w:r>
      <w:bookmarkEnd w:id="59"/>
      <w:bookmarkEnd w:id="60"/>
      <w:bookmarkEnd w:id="61"/>
      <w:bookmarkEnd w:id="62"/>
      <w:bookmarkEnd w:id="63"/>
      <w:bookmarkEnd w:id="64"/>
      <w:bookmarkEnd w:id="65"/>
      <w:r>
        <w:rPr>
          <w:rFonts w:ascii="宋体" w:hAnsi="宋体"/>
          <w:snapToGrid w:val="0"/>
          <w:color w:val="auto"/>
          <w:sz w:val="28"/>
          <w:szCs w:val="28"/>
          <w:highlight w:val="none"/>
        </w:rPr>
        <w:t>发布公告的媒介</w:t>
      </w:r>
      <w:bookmarkEnd w:id="66"/>
    </w:p>
    <w:p w14:paraId="35DC5B68">
      <w:pPr>
        <w:autoSpaceDE w:val="0"/>
        <w:autoSpaceDN w:val="0"/>
        <w:adjustRightInd w:val="0"/>
        <w:snapToGrid w:val="0"/>
        <w:spacing w:line="450" w:lineRule="exact"/>
        <w:ind w:firstLine="390" w:firstLineChars="186"/>
        <w:jc w:val="left"/>
        <w:rPr>
          <w:rFonts w:hint="eastAsia" w:ascii="宋体" w:hAnsi="宋体" w:eastAsia="宋体" w:cs="Times New Roman"/>
          <w:snapToGrid w:val="0"/>
          <w:color w:val="auto"/>
          <w:kern w:val="0"/>
          <w:szCs w:val="21"/>
          <w:highlight w:val="none"/>
        </w:rPr>
      </w:pPr>
      <w:bookmarkStart w:id="67" w:name="_Toc8953"/>
      <w:bookmarkStart w:id="68" w:name="_Toc13962"/>
      <w:bookmarkStart w:id="69" w:name="_Toc430530430"/>
      <w:bookmarkStart w:id="70" w:name="_Toc287607742"/>
      <w:bookmarkStart w:id="71" w:name="_Toc224103313"/>
      <w:bookmarkStart w:id="72" w:name="_Toc287620681"/>
      <w:bookmarkStart w:id="73" w:name="_Toc509218706"/>
      <w:bookmarkStart w:id="74" w:name="_Toc277082549"/>
      <w:bookmarkStart w:id="75" w:name="_Toc953"/>
      <w:r>
        <w:rPr>
          <w:rFonts w:hint="eastAsia" w:ascii="宋体" w:hAnsi="宋体" w:eastAsia="宋体" w:cs="Times New Roman"/>
          <w:snapToGrid w:val="0"/>
          <w:color w:val="auto"/>
          <w:kern w:val="0"/>
          <w:szCs w:val="21"/>
          <w:highlight w:val="none"/>
        </w:rPr>
        <w:t>本次比选公告在行采家（www.gec123.com）发布。</w:t>
      </w:r>
    </w:p>
    <w:p w14:paraId="4275EB32">
      <w:pPr>
        <w:pStyle w:val="4"/>
        <w:spacing w:before="100" w:after="100" w:line="450" w:lineRule="exact"/>
        <w:rPr>
          <w:rFonts w:ascii="宋体" w:hAnsi="宋体"/>
          <w:snapToGrid w:val="0"/>
          <w:color w:val="auto"/>
          <w:sz w:val="28"/>
          <w:szCs w:val="28"/>
          <w:highlight w:val="none"/>
        </w:rPr>
      </w:pPr>
      <w:r>
        <w:rPr>
          <w:rFonts w:hint="eastAsia" w:ascii="宋体" w:hAnsi="宋体"/>
          <w:snapToGrid w:val="0"/>
          <w:color w:val="auto"/>
          <w:sz w:val="28"/>
          <w:szCs w:val="28"/>
          <w:highlight w:val="none"/>
        </w:rPr>
        <w:t>7</w:t>
      </w:r>
      <w:bookmarkEnd w:id="67"/>
      <w:bookmarkEnd w:id="68"/>
      <w:bookmarkStart w:id="76" w:name="_Toc2596"/>
      <w:r>
        <w:rPr>
          <w:rFonts w:ascii="宋体" w:hAnsi="宋体"/>
          <w:snapToGrid w:val="0"/>
          <w:color w:val="auto"/>
          <w:sz w:val="28"/>
          <w:szCs w:val="28"/>
          <w:highlight w:val="none"/>
        </w:rPr>
        <w:t>.  联系方式</w:t>
      </w:r>
      <w:bookmarkEnd w:id="69"/>
      <w:bookmarkEnd w:id="70"/>
      <w:bookmarkEnd w:id="71"/>
      <w:bookmarkEnd w:id="72"/>
      <w:bookmarkEnd w:id="73"/>
      <w:bookmarkEnd w:id="74"/>
      <w:bookmarkEnd w:id="75"/>
      <w:bookmarkEnd w:id="76"/>
    </w:p>
    <w:p w14:paraId="7DF15187">
      <w:pPr>
        <w:tabs>
          <w:tab w:val="left" w:pos="5140"/>
          <w:tab w:val="left" w:pos="8420"/>
        </w:tabs>
        <w:autoSpaceDE w:val="0"/>
        <w:autoSpaceDN w:val="0"/>
        <w:adjustRightInd w:val="0"/>
        <w:snapToGrid w:val="0"/>
        <w:spacing w:line="450" w:lineRule="exact"/>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lang w:eastAsia="zh-CN"/>
        </w:rPr>
        <w:t>重庆大足城乡建设投资集团有限公司</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比选代理</w:t>
      </w:r>
      <w:r>
        <w:rPr>
          <w:rFonts w:ascii="宋体" w:hAnsi="宋体"/>
          <w:snapToGrid w:val="0"/>
          <w:color w:val="auto"/>
          <w:kern w:val="0"/>
          <w:szCs w:val="21"/>
          <w:highlight w:val="none"/>
        </w:rPr>
        <w:t>机构：</w:t>
      </w:r>
      <w:r>
        <w:rPr>
          <w:rFonts w:hint="eastAsia" w:ascii="宋体" w:hAnsi="宋体"/>
          <w:snapToGrid w:val="0"/>
          <w:color w:val="auto"/>
          <w:kern w:val="0"/>
          <w:szCs w:val="21"/>
          <w:highlight w:val="none"/>
          <w:u w:val="single"/>
          <w:lang w:eastAsia="zh-CN"/>
        </w:rPr>
        <w:t>重庆奥晖工程设计咨询有限公司</w:t>
      </w:r>
    </w:p>
    <w:p w14:paraId="18F84A1F">
      <w:pPr>
        <w:tabs>
          <w:tab w:val="left" w:pos="5140"/>
          <w:tab w:val="left" w:pos="8420"/>
        </w:tabs>
        <w:autoSpaceDE w:val="0"/>
        <w:autoSpaceDN w:val="0"/>
        <w:adjustRightInd w:val="0"/>
        <w:snapToGrid w:val="0"/>
        <w:spacing w:line="450" w:lineRule="exact"/>
        <w:ind w:left="5250" w:hanging="5250" w:hangingChars="25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五星大道266号广电大厦</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lang w:val="zh-CN"/>
        </w:rPr>
        <w:t xml:space="preserve">重庆市高新区含谷镇高龙大道（延长段）377 号8栋5层5-2号 </w:t>
      </w:r>
    </w:p>
    <w:p w14:paraId="38A35A93">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联系人：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胡老师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乔</w:t>
      </w:r>
      <w:r>
        <w:rPr>
          <w:rFonts w:hint="eastAsia" w:ascii="宋体" w:hAnsi="宋体"/>
          <w:snapToGrid w:val="0"/>
          <w:color w:val="auto"/>
          <w:kern w:val="0"/>
          <w:szCs w:val="21"/>
          <w:highlight w:val="none"/>
          <w:u w:val="single"/>
        </w:rPr>
        <w:t>老师</w:t>
      </w:r>
      <w:r>
        <w:rPr>
          <w:rFonts w:ascii="宋体" w:hAnsi="宋体"/>
          <w:snapToGrid w:val="0"/>
          <w:color w:val="auto"/>
          <w:kern w:val="0"/>
          <w:szCs w:val="21"/>
          <w:highlight w:val="none"/>
          <w:u w:val="single"/>
        </w:rPr>
        <w:t xml:space="preserve">                    </w:t>
      </w:r>
    </w:p>
    <w:p w14:paraId="6A584026">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18523795171</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023-6</w:t>
      </w:r>
      <w:r>
        <w:rPr>
          <w:rFonts w:hint="eastAsia" w:ascii="宋体" w:hAnsi="宋体"/>
          <w:snapToGrid w:val="0"/>
          <w:color w:val="auto"/>
          <w:kern w:val="0"/>
          <w:szCs w:val="21"/>
          <w:highlight w:val="none"/>
          <w:u w:val="single"/>
          <w:lang w:val="en-US" w:eastAsia="zh-CN"/>
        </w:rPr>
        <w:t>7885486</w:t>
      </w:r>
      <w:r>
        <w:rPr>
          <w:rFonts w:ascii="宋体" w:hAnsi="宋体"/>
          <w:snapToGrid w:val="0"/>
          <w:color w:val="auto"/>
          <w:kern w:val="0"/>
          <w:szCs w:val="21"/>
          <w:highlight w:val="none"/>
          <w:u w:val="single"/>
        </w:rPr>
        <w:t xml:space="preserve">               </w:t>
      </w:r>
    </w:p>
    <w:p w14:paraId="283415A8">
      <w:pPr>
        <w:autoSpaceDE w:val="0"/>
        <w:autoSpaceDN w:val="0"/>
        <w:adjustRightInd w:val="0"/>
        <w:snapToGrid w:val="0"/>
        <w:spacing w:line="450" w:lineRule="exact"/>
        <w:jc w:val="right"/>
        <w:rPr>
          <w:rFonts w:ascii="宋体" w:hAnsi="宋体"/>
          <w:snapToGrid w:val="0"/>
          <w:color w:val="auto"/>
          <w:kern w:val="0"/>
          <w:szCs w:val="21"/>
          <w:highlight w:val="none"/>
          <w:u w:val="single"/>
        </w:rPr>
      </w:pPr>
    </w:p>
    <w:p w14:paraId="187B16E4">
      <w:pPr>
        <w:autoSpaceDE w:val="0"/>
        <w:autoSpaceDN w:val="0"/>
        <w:adjustRightInd w:val="0"/>
        <w:snapToGrid w:val="0"/>
        <w:spacing w:line="450" w:lineRule="exact"/>
        <w:jc w:val="right"/>
        <w:rPr>
          <w:rFonts w:ascii="宋体" w:hAnsi="宋体"/>
          <w:snapToGrid w:val="0"/>
          <w:color w:val="auto"/>
          <w:kern w:val="0"/>
          <w:szCs w:val="21"/>
          <w:highlight w:val="none"/>
          <w:u w:val="single"/>
        </w:rPr>
      </w:pPr>
    </w:p>
    <w:p w14:paraId="0A974C6C">
      <w:pPr>
        <w:ind w:firstLine="6090" w:firstLineChars="2900"/>
        <w:jc w:val="right"/>
        <w:rPr>
          <w:color w:val="auto"/>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4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u w:val="single"/>
          <w:lang w:val="en-US" w:eastAsia="zh-CN"/>
        </w:rPr>
        <w:t>22</w:t>
      </w:r>
      <w:bookmarkStart w:id="2217" w:name="_GoBack"/>
      <w:bookmarkEnd w:id="2217"/>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日</w:t>
      </w:r>
    </w:p>
    <w:p w14:paraId="798AAEA9">
      <w:pPr>
        <w:autoSpaceDE w:val="0"/>
        <w:autoSpaceDN w:val="0"/>
        <w:adjustRightInd w:val="0"/>
        <w:snapToGrid w:val="0"/>
        <w:spacing w:line="450" w:lineRule="exact"/>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34DA5FE5">
      <w:pPr>
        <w:autoSpaceDE w:val="0"/>
        <w:autoSpaceDN w:val="0"/>
        <w:adjustRightInd w:val="0"/>
        <w:snapToGrid w:val="0"/>
        <w:spacing w:line="200" w:lineRule="exact"/>
        <w:jc w:val="left"/>
        <w:rPr>
          <w:rFonts w:ascii="宋体" w:hAnsi="宋体"/>
          <w:snapToGrid w:val="0"/>
          <w:color w:val="auto"/>
          <w:kern w:val="0"/>
          <w:sz w:val="20"/>
          <w:szCs w:val="20"/>
          <w:highlight w:val="none"/>
        </w:rPr>
      </w:pPr>
      <w:r>
        <w:rPr>
          <w:rFonts w:ascii="宋体" w:hAnsi="宋体"/>
          <w:snapToGrid w:val="0"/>
          <w:color w:val="auto"/>
          <w:kern w:val="0"/>
          <w:szCs w:val="21"/>
          <w:highlight w:val="none"/>
        </w:rPr>
        <w:br w:type="page"/>
      </w:r>
    </w:p>
    <w:p w14:paraId="3FFDE8FB">
      <w:pPr>
        <w:pStyle w:val="3"/>
        <w:spacing w:line="360" w:lineRule="auto"/>
        <w:jc w:val="center"/>
        <w:rPr>
          <w:rFonts w:ascii="宋体" w:hAnsi="宋体"/>
          <w:bCs w:val="0"/>
          <w:snapToGrid w:val="0"/>
          <w:color w:val="auto"/>
          <w:kern w:val="0"/>
          <w:highlight w:val="none"/>
        </w:rPr>
      </w:pPr>
      <w:bookmarkStart w:id="77" w:name="_Toc224103315"/>
      <w:bookmarkStart w:id="78" w:name="_Toc287620683"/>
      <w:bookmarkStart w:id="79" w:name="_Toc430530432"/>
      <w:bookmarkStart w:id="80" w:name="_Toc30392"/>
      <w:bookmarkStart w:id="81" w:name="_Toc32148"/>
      <w:bookmarkStart w:id="82" w:name="_Toc287607744"/>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比选申请人</w:t>
      </w:r>
      <w:r>
        <w:rPr>
          <w:rFonts w:ascii="宋体" w:hAnsi="宋体"/>
          <w:snapToGrid w:val="0"/>
          <w:color w:val="auto"/>
          <w:kern w:val="0"/>
          <w:highlight w:val="none"/>
        </w:rPr>
        <w:t>须知</w:t>
      </w:r>
      <w:bookmarkEnd w:id="77"/>
      <w:bookmarkEnd w:id="78"/>
      <w:bookmarkEnd w:id="79"/>
      <w:bookmarkEnd w:id="80"/>
      <w:bookmarkEnd w:id="81"/>
      <w:bookmarkEnd w:id="82"/>
      <w:bookmarkStart w:id="83" w:name="_Toc430530433"/>
      <w:bookmarkStart w:id="84" w:name="_Toc277082551"/>
      <w:bookmarkStart w:id="85" w:name="_Toc287620684"/>
      <w:bookmarkStart w:id="86" w:name="_Toc287607745"/>
      <w:bookmarkStart w:id="87" w:name="_Toc224103316"/>
    </w:p>
    <w:p w14:paraId="4BFF5F0E">
      <w:pPr>
        <w:pStyle w:val="4"/>
        <w:spacing w:before="100" w:after="100" w:line="360" w:lineRule="auto"/>
        <w:rPr>
          <w:rFonts w:ascii="宋体" w:hAnsi="宋体"/>
          <w:color w:val="auto"/>
          <w:highlight w:val="none"/>
        </w:rPr>
      </w:pPr>
      <w:bookmarkStart w:id="88" w:name="_Toc8005"/>
      <w:bookmarkStart w:id="89" w:name="_Toc202"/>
      <w:bookmarkStart w:id="90" w:name="_Toc509218708"/>
      <w:r>
        <w:rPr>
          <w:rFonts w:hint="eastAsia" w:ascii="宋体" w:hAnsi="宋体"/>
          <w:color w:val="auto"/>
          <w:highlight w:val="none"/>
          <w:lang w:eastAsia="zh-CN"/>
        </w:rPr>
        <w:t>比选申请人</w:t>
      </w:r>
      <w:r>
        <w:rPr>
          <w:rFonts w:hint="eastAsia" w:ascii="宋体" w:hAnsi="宋体"/>
          <w:color w:val="auto"/>
          <w:highlight w:val="none"/>
        </w:rPr>
        <w:t>须知前附表</w:t>
      </w:r>
      <w:bookmarkEnd w:id="83"/>
      <w:bookmarkEnd w:id="84"/>
      <w:bookmarkEnd w:id="85"/>
      <w:bookmarkEnd w:id="86"/>
      <w:bookmarkEnd w:id="87"/>
      <w:bookmarkEnd w:id="88"/>
      <w:bookmarkEnd w:id="89"/>
      <w:bookmarkEnd w:id="90"/>
    </w:p>
    <w:p w14:paraId="076BBCB6">
      <w:pPr>
        <w:spacing w:line="360" w:lineRule="auto"/>
        <w:ind w:firstLine="420" w:firstLineChars="200"/>
        <w:rPr>
          <w:color w:val="auto"/>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比选申请人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比选申请人</w:t>
      </w:r>
      <w:r>
        <w:rPr>
          <w:rFonts w:ascii="宋体" w:hAnsi="宋体"/>
          <w:color w:val="auto"/>
          <w:szCs w:val="21"/>
          <w:highlight w:val="none"/>
        </w:rPr>
        <w:t>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12CE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8B7676D">
            <w:pPr>
              <w:keepNext w:val="0"/>
              <w:keepLines w:val="0"/>
              <w:suppressLineNumbers w:val="0"/>
              <w:snapToGrid w:val="0"/>
              <w:spacing w:before="0" w:beforeAutospacing="0" w:after="0" w:afterAutospacing="0" w:line="400" w:lineRule="exact"/>
              <w:ind w:left="0" w:right="0"/>
              <w:jc w:val="center"/>
              <w:rPr>
                <w:rFonts w:hint="default" w:ascii="宋体" w:hAnsi="宋体"/>
                <w:b/>
                <w:color w:val="auto"/>
                <w:kern w:val="0"/>
                <w:szCs w:val="21"/>
                <w:highlight w:val="none"/>
              </w:rPr>
            </w:pPr>
            <w:r>
              <w:rPr>
                <w:rFonts w:hint="default" w:ascii="宋体" w:hAnsi="宋体"/>
                <w:b/>
                <w:color w:val="auto"/>
                <w:kern w:val="0"/>
                <w:szCs w:val="21"/>
                <w:highlight w:val="none"/>
              </w:rPr>
              <w:t>条 款 号</w:t>
            </w:r>
          </w:p>
        </w:tc>
        <w:tc>
          <w:tcPr>
            <w:tcW w:w="1644" w:type="dxa"/>
            <w:vAlign w:val="center"/>
          </w:tcPr>
          <w:p w14:paraId="549EA6F4">
            <w:pPr>
              <w:keepNext w:val="0"/>
              <w:keepLines w:val="0"/>
              <w:suppressLineNumbers w:val="0"/>
              <w:snapToGrid w:val="0"/>
              <w:spacing w:before="0" w:beforeAutospacing="0" w:after="0" w:afterAutospacing="0" w:line="400" w:lineRule="exact"/>
              <w:ind w:left="0" w:right="0"/>
              <w:jc w:val="center"/>
              <w:rPr>
                <w:rFonts w:hint="default" w:ascii="宋体" w:hAnsi="宋体"/>
                <w:b/>
                <w:color w:val="auto"/>
                <w:kern w:val="0"/>
                <w:szCs w:val="21"/>
                <w:highlight w:val="none"/>
              </w:rPr>
            </w:pPr>
            <w:r>
              <w:rPr>
                <w:rFonts w:hint="default" w:ascii="宋体" w:hAnsi="宋体"/>
                <w:b/>
                <w:color w:val="auto"/>
                <w:kern w:val="0"/>
                <w:szCs w:val="21"/>
                <w:highlight w:val="none"/>
              </w:rPr>
              <w:t>条款名称</w:t>
            </w:r>
          </w:p>
        </w:tc>
        <w:tc>
          <w:tcPr>
            <w:tcW w:w="6490" w:type="dxa"/>
            <w:vAlign w:val="center"/>
          </w:tcPr>
          <w:p w14:paraId="1F2415C8">
            <w:pPr>
              <w:keepNext w:val="0"/>
              <w:keepLines w:val="0"/>
              <w:suppressLineNumbers w:val="0"/>
              <w:snapToGrid w:val="0"/>
              <w:spacing w:before="0" w:beforeAutospacing="0" w:after="0" w:afterAutospacing="0" w:line="400" w:lineRule="exact"/>
              <w:ind w:left="0" w:right="0"/>
              <w:jc w:val="center"/>
              <w:rPr>
                <w:rFonts w:hint="default" w:ascii="宋体" w:hAnsi="宋体"/>
                <w:b/>
                <w:color w:val="auto"/>
                <w:kern w:val="0"/>
                <w:szCs w:val="21"/>
                <w:highlight w:val="none"/>
              </w:rPr>
            </w:pPr>
            <w:r>
              <w:rPr>
                <w:rFonts w:hint="default" w:ascii="宋体" w:hAnsi="宋体"/>
                <w:b/>
                <w:color w:val="auto"/>
                <w:kern w:val="0"/>
                <w:szCs w:val="21"/>
                <w:highlight w:val="none"/>
              </w:rPr>
              <w:t>编  列  内  容</w:t>
            </w:r>
          </w:p>
        </w:tc>
      </w:tr>
      <w:tr w14:paraId="3DD45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F3FD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1.1.2</w:t>
            </w:r>
          </w:p>
        </w:tc>
        <w:tc>
          <w:tcPr>
            <w:tcW w:w="1644" w:type="dxa"/>
            <w:vAlign w:val="center"/>
          </w:tcPr>
          <w:p w14:paraId="6BC82DC6">
            <w:pPr>
              <w:keepNext w:val="0"/>
              <w:keepLines w:val="0"/>
              <w:suppressLineNumbers w:val="0"/>
              <w:snapToGrid w:val="0"/>
              <w:spacing w:before="0" w:beforeAutospacing="0" w:after="0" w:afterAutospacing="0" w:line="400" w:lineRule="exact"/>
              <w:ind w:left="0" w:right="0"/>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2DD00D9">
            <w:pPr>
              <w:keepNext w:val="0"/>
              <w:keepLines w:val="0"/>
              <w:suppressLineNumbers w:val="0"/>
              <w:snapToGrid w:val="0"/>
              <w:spacing w:before="0" w:beforeAutospacing="0" w:after="0" w:afterAutospacing="0" w:line="400" w:lineRule="exact"/>
              <w:ind w:left="0" w:right="0"/>
              <w:rPr>
                <w:rFonts w:hint="eastAsia" w:ascii="宋体" w:hAnsi="宋体" w:eastAsia="宋体"/>
                <w:color w:val="auto"/>
                <w:kern w:val="0"/>
                <w:szCs w:val="21"/>
                <w:highlight w:val="none"/>
                <w:lang w:eastAsia="zh-CN"/>
              </w:rPr>
            </w:pPr>
            <w:r>
              <w:rPr>
                <w:rFonts w:hint="default" w:ascii="宋体" w:hAnsi="宋体"/>
                <w:color w:val="auto"/>
                <w:kern w:val="0"/>
                <w:szCs w:val="21"/>
                <w:highlight w:val="none"/>
              </w:rPr>
              <w:t>名称：</w:t>
            </w:r>
            <w:r>
              <w:rPr>
                <w:rFonts w:hint="eastAsia"/>
                <w:color w:val="auto"/>
                <w:highlight w:val="none"/>
                <w:lang w:eastAsia="zh-CN"/>
              </w:rPr>
              <w:t>重庆大足城乡建设投资集团有限公司</w:t>
            </w:r>
          </w:p>
          <w:p w14:paraId="7010E7A8">
            <w:pPr>
              <w:keepNext w:val="0"/>
              <w:keepLines w:val="0"/>
              <w:suppressLineNumbers w:val="0"/>
              <w:snapToGrid w:val="0"/>
              <w:spacing w:before="0" w:beforeAutospacing="0" w:after="0" w:afterAutospacing="0" w:line="400" w:lineRule="exact"/>
              <w:ind w:left="0" w:right="0"/>
              <w:rPr>
                <w:rFonts w:hint="eastAsia"/>
                <w:color w:val="auto"/>
                <w:highlight w:val="none"/>
                <w:lang w:eastAsia="zh-CN"/>
              </w:rPr>
            </w:pPr>
            <w:r>
              <w:rPr>
                <w:rFonts w:hint="default" w:ascii="宋体" w:hAnsi="宋体"/>
                <w:color w:val="auto"/>
                <w:kern w:val="0"/>
                <w:szCs w:val="21"/>
                <w:highlight w:val="none"/>
              </w:rPr>
              <w:t>地址：</w:t>
            </w:r>
            <w:r>
              <w:rPr>
                <w:rFonts w:hint="eastAsia" w:ascii="宋体" w:hAnsi="宋体"/>
                <w:snapToGrid w:val="0"/>
                <w:color w:val="auto"/>
                <w:kern w:val="0"/>
                <w:szCs w:val="21"/>
                <w:highlight w:val="none"/>
                <w:u w:val="single"/>
              </w:rPr>
              <w:t>五星大道266号广电大厦</w:t>
            </w:r>
          </w:p>
          <w:p w14:paraId="401C60A8">
            <w:pPr>
              <w:keepNext w:val="0"/>
              <w:keepLines w:val="0"/>
              <w:suppressLineNumbers w:val="0"/>
              <w:snapToGrid w:val="0"/>
              <w:spacing w:before="0" w:beforeAutospacing="0" w:after="0" w:afterAutospacing="0" w:line="400" w:lineRule="exact"/>
              <w:ind w:left="0" w:right="0"/>
              <w:rPr>
                <w:rFonts w:hint="eastAsia" w:ascii="Times New Roman" w:hAnsi="Times New Roman" w:eastAsia="宋体" w:cs="Times New Roman"/>
                <w:color w:val="auto"/>
                <w:highlight w:val="none"/>
                <w:lang w:eastAsia="zh-CN"/>
              </w:rPr>
            </w:pPr>
            <w:r>
              <w:rPr>
                <w:rFonts w:hint="default" w:ascii="宋体" w:hAnsi="宋体"/>
                <w:color w:val="auto"/>
                <w:kern w:val="0"/>
                <w:szCs w:val="21"/>
                <w:highlight w:val="none"/>
              </w:rPr>
              <w:t>联系</w:t>
            </w:r>
            <w:r>
              <w:rPr>
                <w:rFonts w:hint="eastAsia" w:ascii="Times New Roman" w:hAnsi="Times New Roman" w:eastAsia="宋体" w:cs="Times New Roman"/>
                <w:color w:val="auto"/>
                <w:highlight w:val="none"/>
                <w:lang w:eastAsia="zh-CN"/>
              </w:rPr>
              <w:t>人：</w:t>
            </w:r>
            <w:r>
              <w:rPr>
                <w:rFonts w:hint="eastAsia" w:cs="Times New Roman"/>
                <w:color w:val="auto"/>
                <w:highlight w:val="none"/>
                <w:lang w:val="en-US" w:eastAsia="zh-CN"/>
              </w:rPr>
              <w:t>胡老师</w:t>
            </w:r>
          </w:p>
          <w:p w14:paraId="00866D22">
            <w:pPr>
              <w:keepNext w:val="0"/>
              <w:keepLines w:val="0"/>
              <w:suppressLineNumbers w:val="0"/>
              <w:snapToGrid w:val="0"/>
              <w:spacing w:before="0" w:beforeAutospacing="0" w:after="0" w:afterAutospacing="0" w:line="400" w:lineRule="exact"/>
              <w:ind w:left="0" w:right="0"/>
              <w:rPr>
                <w:rFonts w:hint="default" w:ascii="宋体" w:hAnsi="宋体"/>
                <w:color w:val="auto"/>
                <w:kern w:val="0"/>
                <w:szCs w:val="21"/>
                <w:highlight w:val="none"/>
              </w:rPr>
            </w:pPr>
            <w:r>
              <w:rPr>
                <w:rFonts w:hint="eastAsia" w:ascii="Times New Roman" w:hAnsi="Times New Roman" w:eastAsia="宋体" w:cs="Times New Roman"/>
                <w:color w:val="auto"/>
                <w:highlight w:val="none"/>
                <w:lang w:eastAsia="zh-CN"/>
              </w:rPr>
              <w:t>电话：</w:t>
            </w:r>
            <w:r>
              <w:rPr>
                <w:rFonts w:hint="eastAsia" w:cs="Times New Roman"/>
                <w:color w:val="auto"/>
                <w:highlight w:val="none"/>
                <w:lang w:val="en-US" w:eastAsia="zh-CN"/>
              </w:rPr>
              <w:t>18523795171</w:t>
            </w:r>
          </w:p>
        </w:tc>
      </w:tr>
      <w:tr w14:paraId="38652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775A9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1.1.3</w:t>
            </w:r>
          </w:p>
        </w:tc>
        <w:tc>
          <w:tcPr>
            <w:tcW w:w="1644" w:type="dxa"/>
            <w:vAlign w:val="center"/>
          </w:tcPr>
          <w:p w14:paraId="0B3A78C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比选代理</w:t>
            </w:r>
            <w:r>
              <w:rPr>
                <w:rFonts w:hint="default" w:ascii="宋体" w:hAnsi="宋体"/>
                <w:color w:val="auto"/>
                <w:kern w:val="0"/>
                <w:szCs w:val="21"/>
                <w:highlight w:val="none"/>
              </w:rPr>
              <w:t>机构</w:t>
            </w:r>
          </w:p>
        </w:tc>
        <w:tc>
          <w:tcPr>
            <w:tcW w:w="6490" w:type="dxa"/>
            <w:vAlign w:val="center"/>
          </w:tcPr>
          <w:p w14:paraId="2949E138">
            <w:pPr>
              <w:keepNext w:val="0"/>
              <w:keepLines w:val="0"/>
              <w:suppressLineNumbers w:val="0"/>
              <w:snapToGrid w:val="0"/>
              <w:spacing w:before="0" w:beforeAutospacing="0" w:after="0" w:afterAutospacing="0" w:line="400" w:lineRule="exact"/>
              <w:ind w:left="0" w:right="0"/>
              <w:rPr>
                <w:rFonts w:hint="eastAsia" w:ascii="宋体" w:hAnsi="宋体" w:eastAsia="宋体"/>
                <w:color w:val="auto"/>
                <w:kern w:val="0"/>
                <w:szCs w:val="21"/>
                <w:highlight w:val="none"/>
                <w:lang w:eastAsia="zh-CN"/>
              </w:rPr>
            </w:pPr>
            <w:r>
              <w:rPr>
                <w:rFonts w:hint="default" w:ascii="宋体" w:hAnsi="宋体"/>
                <w:color w:val="auto"/>
                <w:kern w:val="0"/>
                <w:szCs w:val="21"/>
                <w:highlight w:val="none"/>
              </w:rPr>
              <w:t>名称：</w:t>
            </w:r>
            <w:r>
              <w:rPr>
                <w:rFonts w:hint="eastAsia"/>
                <w:color w:val="auto"/>
                <w:highlight w:val="none"/>
                <w:lang w:eastAsia="zh-CN"/>
              </w:rPr>
              <w:t>重庆奥晖工程设计咨询有限公司</w:t>
            </w:r>
          </w:p>
          <w:p w14:paraId="52E547DA">
            <w:pPr>
              <w:keepNext w:val="0"/>
              <w:keepLines w:val="0"/>
              <w:suppressLineNumbers w:val="0"/>
              <w:snapToGrid w:val="0"/>
              <w:spacing w:before="0" w:beforeAutospacing="0" w:after="0" w:afterAutospacing="0" w:line="400" w:lineRule="exact"/>
              <w:ind w:left="0" w:right="0"/>
              <w:rPr>
                <w:rFonts w:hint="eastAsia" w:ascii="Times New Roman" w:hAnsi="Times New Roman" w:eastAsia="宋体" w:cs="Times New Roman"/>
                <w:color w:val="auto"/>
                <w:highlight w:val="none"/>
                <w:lang w:eastAsia="zh-CN"/>
              </w:rPr>
            </w:pPr>
            <w:r>
              <w:rPr>
                <w:rFonts w:hint="default" w:ascii="宋体" w:hAnsi="宋体"/>
                <w:color w:val="auto"/>
                <w:kern w:val="0"/>
                <w:szCs w:val="21"/>
                <w:highlight w:val="none"/>
              </w:rPr>
              <w:t>地</w:t>
            </w:r>
            <w:r>
              <w:rPr>
                <w:rFonts w:hint="eastAsia" w:ascii="Times New Roman" w:hAnsi="Times New Roman" w:eastAsia="宋体" w:cs="Times New Roman"/>
                <w:color w:val="auto"/>
                <w:highlight w:val="none"/>
                <w:lang w:eastAsia="zh-CN"/>
              </w:rPr>
              <w:t>址：</w:t>
            </w:r>
            <w:r>
              <w:rPr>
                <w:rFonts w:hint="eastAsia" w:cs="Times New Roman"/>
                <w:color w:val="auto"/>
                <w:highlight w:val="none"/>
                <w:lang w:val="zh-CN" w:eastAsia="zh-CN"/>
              </w:rPr>
              <w:t>重庆市高新区含谷镇高龙大道（延长段）377 号8栋5层5-2号</w:t>
            </w:r>
          </w:p>
          <w:p w14:paraId="0A228FBD">
            <w:pPr>
              <w:keepNext w:val="0"/>
              <w:keepLines w:val="0"/>
              <w:suppressLineNumbers w:val="0"/>
              <w:snapToGrid w:val="0"/>
              <w:spacing w:before="0" w:beforeAutospacing="0" w:after="0" w:afterAutospacing="0" w:line="400" w:lineRule="exact"/>
              <w:ind w:left="0" w:right="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联系人：</w:t>
            </w:r>
            <w:r>
              <w:rPr>
                <w:rFonts w:hint="eastAsia" w:cs="Times New Roman"/>
                <w:color w:val="auto"/>
                <w:highlight w:val="none"/>
                <w:lang w:val="en-US" w:eastAsia="zh-CN"/>
              </w:rPr>
              <w:t>乔</w:t>
            </w:r>
            <w:r>
              <w:rPr>
                <w:rFonts w:hint="eastAsia" w:ascii="Times New Roman" w:hAnsi="Times New Roman" w:eastAsia="宋体" w:cs="Times New Roman"/>
                <w:color w:val="auto"/>
                <w:highlight w:val="none"/>
                <w:lang w:eastAsia="zh-CN"/>
              </w:rPr>
              <w:t>老师</w:t>
            </w:r>
          </w:p>
          <w:p w14:paraId="1D858907">
            <w:pPr>
              <w:keepNext w:val="0"/>
              <w:keepLines w:val="0"/>
              <w:suppressLineNumbers w:val="0"/>
              <w:snapToGrid w:val="0"/>
              <w:spacing w:before="0" w:beforeAutospacing="0" w:after="0" w:afterAutospacing="0" w:line="400" w:lineRule="exact"/>
              <w:ind w:left="0" w:right="0"/>
              <w:rPr>
                <w:rFonts w:hint="default" w:ascii="宋体" w:hAnsi="宋体"/>
                <w:color w:val="auto"/>
                <w:kern w:val="0"/>
                <w:szCs w:val="21"/>
                <w:highlight w:val="none"/>
                <w:lang w:val="en-US"/>
              </w:rPr>
            </w:pPr>
            <w:r>
              <w:rPr>
                <w:rFonts w:hint="default" w:ascii="宋体" w:hAnsi="宋体"/>
                <w:color w:val="auto"/>
                <w:kern w:val="0"/>
                <w:szCs w:val="21"/>
                <w:highlight w:val="none"/>
              </w:rPr>
              <w:t>电话：</w:t>
            </w:r>
            <w:r>
              <w:rPr>
                <w:rFonts w:hint="eastAsia"/>
                <w:color w:val="auto"/>
                <w:highlight w:val="none"/>
                <w:lang w:val="en-US" w:eastAsia="zh-CN"/>
              </w:rPr>
              <w:t>023-67885486</w:t>
            </w:r>
          </w:p>
        </w:tc>
      </w:tr>
      <w:tr w14:paraId="2DDD5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E14C7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1.1.4</w:t>
            </w:r>
          </w:p>
        </w:tc>
        <w:tc>
          <w:tcPr>
            <w:tcW w:w="1644" w:type="dxa"/>
            <w:vAlign w:val="center"/>
          </w:tcPr>
          <w:p w14:paraId="344CDFF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项目名称</w:t>
            </w:r>
          </w:p>
        </w:tc>
        <w:tc>
          <w:tcPr>
            <w:tcW w:w="6490" w:type="dxa"/>
            <w:vAlign w:val="center"/>
          </w:tcPr>
          <w:p w14:paraId="270C18BE">
            <w:pPr>
              <w:keepNext w:val="0"/>
              <w:keepLines w:val="0"/>
              <w:suppressLineNumbers w:val="0"/>
              <w:snapToGrid w:val="0"/>
              <w:spacing w:before="0" w:beforeAutospacing="0" w:after="0" w:afterAutospacing="0" w:line="400" w:lineRule="exact"/>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大足区乡镇污水处理厂设备更新工程(一标段)10kV团宝线线路迁改项目</w:t>
            </w:r>
          </w:p>
        </w:tc>
      </w:tr>
      <w:tr w14:paraId="30DC9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A1C31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1.1.5</w:t>
            </w:r>
          </w:p>
        </w:tc>
        <w:tc>
          <w:tcPr>
            <w:tcW w:w="1644" w:type="dxa"/>
            <w:vAlign w:val="center"/>
          </w:tcPr>
          <w:p w14:paraId="7C34087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建设地点</w:t>
            </w:r>
          </w:p>
        </w:tc>
        <w:tc>
          <w:tcPr>
            <w:tcW w:w="6490" w:type="dxa"/>
            <w:vAlign w:val="center"/>
          </w:tcPr>
          <w:p w14:paraId="4F8EC19A">
            <w:pPr>
              <w:keepNext w:val="0"/>
              <w:keepLines w:val="0"/>
              <w:suppressLineNumbers w:val="0"/>
              <w:snapToGrid w:val="0"/>
              <w:spacing w:before="0" w:beforeAutospacing="0" w:after="0" w:afterAutospacing="0" w:line="400" w:lineRule="exact"/>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重庆市大足区宝兴镇</w:t>
            </w:r>
          </w:p>
        </w:tc>
      </w:tr>
      <w:tr w14:paraId="3D996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6C907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1.1.6</w:t>
            </w:r>
          </w:p>
        </w:tc>
        <w:tc>
          <w:tcPr>
            <w:tcW w:w="1644" w:type="dxa"/>
            <w:vAlign w:val="center"/>
          </w:tcPr>
          <w:p w14:paraId="0DAAC8F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建设规模</w:t>
            </w:r>
          </w:p>
        </w:tc>
        <w:tc>
          <w:tcPr>
            <w:tcW w:w="6490" w:type="dxa"/>
            <w:vAlign w:val="center"/>
          </w:tcPr>
          <w:p w14:paraId="59DA2E73">
            <w:pPr>
              <w:keepNext w:val="0"/>
              <w:keepLines w:val="0"/>
              <w:suppressLineNumbers w:val="0"/>
              <w:tabs>
                <w:tab w:val="left" w:pos="3840"/>
                <w:tab w:val="left" w:pos="5300"/>
              </w:tabs>
              <w:autoSpaceDE w:val="0"/>
              <w:autoSpaceDN w:val="0"/>
              <w:adjustRightInd w:val="0"/>
              <w:snapToGrid w:val="0"/>
              <w:spacing w:before="0" w:beforeAutospacing="0" w:after="0" w:afterAutospacing="0" w:line="460" w:lineRule="exact"/>
              <w:ind w:left="0" w:right="0" w:firstLine="420" w:firstLineChars="200"/>
              <w:jc w:val="left"/>
              <w:rPr>
                <w:rFonts w:hint="default" w:ascii="宋体" w:hAnsi="宋体"/>
                <w:i/>
                <w:snapToGrid w:val="0"/>
                <w:color w:val="auto"/>
                <w:kern w:val="0"/>
                <w:szCs w:val="21"/>
                <w:highlight w:val="none"/>
              </w:rPr>
            </w:pPr>
            <w:r>
              <w:rPr>
                <w:rFonts w:hint="eastAsia" w:ascii="宋体" w:hAnsi="宋体"/>
                <w:snapToGrid w:val="0"/>
                <w:color w:val="auto"/>
                <w:kern w:val="0"/>
                <w:szCs w:val="21"/>
                <w:highlight w:val="none"/>
                <w:u w:val="single"/>
                <w:lang w:val="en-US" w:eastAsia="zh-CN"/>
              </w:rPr>
              <w:t>将大足区宝兴镇污水处理厂内10kv团宝线迁改出污水处理厂，包含了10kv线路新建、变压器迁移、计量装置迁移、电杆拆除、导线拆除、用电恢复等工程内容。</w:t>
            </w:r>
          </w:p>
        </w:tc>
      </w:tr>
      <w:tr w14:paraId="7F3C6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FCD2A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1.2.1</w:t>
            </w:r>
          </w:p>
        </w:tc>
        <w:tc>
          <w:tcPr>
            <w:tcW w:w="1644" w:type="dxa"/>
            <w:vAlign w:val="center"/>
          </w:tcPr>
          <w:p w14:paraId="3DE6CD0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资金来源</w:t>
            </w:r>
          </w:p>
        </w:tc>
        <w:tc>
          <w:tcPr>
            <w:tcW w:w="6490" w:type="dxa"/>
            <w:vAlign w:val="center"/>
          </w:tcPr>
          <w:p w14:paraId="5F119460">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国债资金及区级财政配套</w:t>
            </w:r>
            <w:r>
              <w:rPr>
                <w:rFonts w:hint="eastAsia" w:ascii="宋体" w:hAnsi="宋体"/>
                <w:snapToGrid w:val="0"/>
                <w:color w:val="auto"/>
                <w:kern w:val="0"/>
                <w:szCs w:val="21"/>
                <w:highlight w:val="none"/>
                <w:u w:val="single"/>
              </w:rPr>
              <w:t xml:space="preserve"> </w:t>
            </w:r>
          </w:p>
        </w:tc>
      </w:tr>
      <w:tr w14:paraId="1957A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1062C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1.2.2</w:t>
            </w:r>
          </w:p>
        </w:tc>
        <w:tc>
          <w:tcPr>
            <w:tcW w:w="1644" w:type="dxa"/>
            <w:vAlign w:val="center"/>
          </w:tcPr>
          <w:p w14:paraId="2B5612E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出资比例</w:t>
            </w:r>
          </w:p>
        </w:tc>
        <w:tc>
          <w:tcPr>
            <w:tcW w:w="6490" w:type="dxa"/>
            <w:vAlign w:val="center"/>
          </w:tcPr>
          <w:p w14:paraId="0659B971">
            <w:pPr>
              <w:keepNext w:val="0"/>
              <w:keepLines w:val="0"/>
              <w:suppressLineNumbers w:val="0"/>
              <w:snapToGrid w:val="0"/>
              <w:spacing w:before="0" w:beforeAutospacing="0" w:after="0" w:afterAutospacing="0" w:line="400" w:lineRule="exact"/>
              <w:ind w:left="0" w:right="0" w:firstLine="420" w:firstLineChars="200"/>
              <w:jc w:val="left"/>
              <w:rPr>
                <w:rFonts w:hint="default" w:ascii="宋体" w:hAnsi="宋体"/>
                <w:color w:val="auto"/>
                <w:szCs w:val="21"/>
                <w:highlight w:val="none"/>
              </w:rPr>
            </w:pPr>
            <w:r>
              <w:rPr>
                <w:rFonts w:hint="eastAsia" w:ascii="宋体" w:hAnsi="宋体"/>
                <w:color w:val="auto"/>
                <w:szCs w:val="21"/>
                <w:highlight w:val="none"/>
                <w:u w:val="single"/>
              </w:rPr>
              <w:t>100%</w:t>
            </w:r>
          </w:p>
        </w:tc>
      </w:tr>
      <w:tr w14:paraId="090AE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0ED59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1.2.3</w:t>
            </w:r>
          </w:p>
        </w:tc>
        <w:tc>
          <w:tcPr>
            <w:tcW w:w="1644" w:type="dxa"/>
            <w:vAlign w:val="center"/>
          </w:tcPr>
          <w:p w14:paraId="3EC40E6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资金落实情况</w:t>
            </w:r>
          </w:p>
        </w:tc>
        <w:tc>
          <w:tcPr>
            <w:tcW w:w="6490" w:type="dxa"/>
            <w:vAlign w:val="center"/>
          </w:tcPr>
          <w:p w14:paraId="3ABF209E">
            <w:pPr>
              <w:keepNext w:val="0"/>
              <w:keepLines w:val="0"/>
              <w:suppressLineNumbers w:val="0"/>
              <w:snapToGrid w:val="0"/>
              <w:spacing w:before="0" w:beforeAutospacing="0" w:after="0" w:afterAutospacing="0" w:line="400" w:lineRule="exact"/>
              <w:ind w:left="0" w:right="0" w:firstLine="420" w:firstLineChars="200"/>
              <w:jc w:val="left"/>
              <w:rPr>
                <w:rFonts w:hint="default" w:ascii="宋体" w:hAnsi="宋体"/>
                <w:color w:val="auto"/>
                <w:szCs w:val="21"/>
                <w:highlight w:val="none"/>
              </w:rPr>
            </w:pPr>
            <w:r>
              <w:rPr>
                <w:rFonts w:hint="eastAsia" w:ascii="宋体" w:hAnsi="宋体"/>
                <w:color w:val="auto"/>
                <w:szCs w:val="21"/>
                <w:highlight w:val="none"/>
                <w:u w:val="single"/>
              </w:rPr>
              <w:t>已落实</w:t>
            </w:r>
          </w:p>
        </w:tc>
      </w:tr>
      <w:tr w14:paraId="74CAA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D8DA9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6873679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范围</w:t>
            </w:r>
          </w:p>
        </w:tc>
        <w:tc>
          <w:tcPr>
            <w:tcW w:w="6490" w:type="dxa"/>
            <w:vAlign w:val="center"/>
          </w:tcPr>
          <w:p w14:paraId="5C5DB253">
            <w:pPr>
              <w:keepNext w:val="0"/>
              <w:keepLines w:val="0"/>
              <w:suppressLineNumbers w:val="0"/>
              <w:tabs>
                <w:tab w:val="left" w:pos="3840"/>
                <w:tab w:val="left" w:pos="5300"/>
              </w:tabs>
              <w:autoSpaceDE w:val="0"/>
              <w:autoSpaceDN w:val="0"/>
              <w:adjustRightInd w:val="0"/>
              <w:snapToGrid w:val="0"/>
              <w:spacing w:before="0" w:beforeAutospacing="0" w:after="0" w:afterAutospacing="0" w:line="460" w:lineRule="exact"/>
              <w:ind w:left="0" w:right="0" w:firstLine="420" w:firstLineChars="200"/>
              <w:jc w:val="left"/>
              <w:rPr>
                <w:rFonts w:hint="default" w:ascii="宋体" w:hAnsi="宋体"/>
                <w:i/>
                <w:color w:val="auto"/>
                <w:szCs w:val="21"/>
                <w:highlight w:val="none"/>
              </w:rPr>
            </w:pPr>
            <w:r>
              <w:rPr>
                <w:rFonts w:hint="eastAsia" w:ascii="宋体" w:hAnsi="宋体"/>
                <w:snapToGrid w:val="0"/>
                <w:color w:val="auto"/>
                <w:kern w:val="0"/>
                <w:szCs w:val="21"/>
                <w:highlight w:val="none"/>
                <w:u w:val="single"/>
                <w:lang w:eastAsia="zh-CN"/>
              </w:rPr>
              <w:t>具体详见</w:t>
            </w:r>
            <w:r>
              <w:rPr>
                <w:rFonts w:hint="eastAsia" w:ascii="宋体" w:hAnsi="宋体"/>
                <w:snapToGrid w:val="0"/>
                <w:color w:val="auto"/>
                <w:kern w:val="0"/>
                <w:szCs w:val="21"/>
                <w:highlight w:val="none"/>
                <w:u w:val="single"/>
                <w:lang w:val="en-US" w:eastAsia="zh-CN"/>
              </w:rPr>
              <w:t>比选人</w:t>
            </w:r>
            <w:r>
              <w:rPr>
                <w:rFonts w:hint="eastAsia" w:ascii="宋体" w:hAnsi="宋体"/>
                <w:snapToGrid w:val="0"/>
                <w:color w:val="auto"/>
                <w:kern w:val="0"/>
                <w:szCs w:val="21"/>
                <w:highlight w:val="none"/>
                <w:u w:val="single"/>
                <w:lang w:eastAsia="zh-CN"/>
              </w:rPr>
              <w:t>提供的比选文件、工程量清单、比选文件补遗、答疑、澄清中补充的全部工程内容等。</w:t>
            </w:r>
          </w:p>
        </w:tc>
      </w:tr>
      <w:tr w14:paraId="00938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11722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1.3.2</w:t>
            </w:r>
          </w:p>
        </w:tc>
        <w:tc>
          <w:tcPr>
            <w:tcW w:w="1644" w:type="dxa"/>
            <w:vAlign w:val="center"/>
          </w:tcPr>
          <w:p w14:paraId="75CE10B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计划工期</w:t>
            </w:r>
          </w:p>
          <w:p w14:paraId="26F2818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1AFAF213">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15</w:t>
            </w:r>
            <w:r>
              <w:rPr>
                <w:rFonts w:hint="eastAsia" w:ascii="宋体" w:hAnsi="宋体"/>
                <w:snapToGrid w:val="0"/>
                <w:color w:val="auto"/>
                <w:kern w:val="0"/>
                <w:szCs w:val="21"/>
                <w:highlight w:val="none"/>
                <w:u w:val="single"/>
              </w:rPr>
              <w:t>日历天</w:t>
            </w:r>
          </w:p>
          <w:p w14:paraId="15DE0DF6">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 xml:space="preserve">  个月</w:t>
            </w:r>
          </w:p>
        </w:tc>
      </w:tr>
      <w:tr w14:paraId="5EDD0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F4CA2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1.3.3</w:t>
            </w:r>
          </w:p>
        </w:tc>
        <w:tc>
          <w:tcPr>
            <w:tcW w:w="1644" w:type="dxa"/>
            <w:vAlign w:val="center"/>
          </w:tcPr>
          <w:p w14:paraId="3592F66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质量要求</w:t>
            </w:r>
          </w:p>
        </w:tc>
        <w:tc>
          <w:tcPr>
            <w:tcW w:w="6490" w:type="dxa"/>
            <w:vAlign w:val="center"/>
          </w:tcPr>
          <w:p w14:paraId="736E37BB">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hint="default" w:ascii="宋体" w:hAnsi="宋体"/>
                <w:color w:val="auto"/>
                <w:szCs w:val="21"/>
                <w:highlight w:val="none"/>
                <w:u w:val="single"/>
              </w:rPr>
              <w:t>国家和重庆市现行有关施工质量验收规范要求，并达到合格标准</w:t>
            </w:r>
            <w:r>
              <w:rPr>
                <w:rFonts w:hint="default" w:ascii="宋体" w:hAnsi="宋体"/>
                <w:color w:val="auto"/>
                <w:szCs w:val="21"/>
                <w:highlight w:val="none"/>
              </w:rPr>
              <w:t>。</w:t>
            </w:r>
          </w:p>
        </w:tc>
      </w:tr>
      <w:tr w14:paraId="4D30A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03C9FC8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DDA59D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682145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27756D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567292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841515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3B9ADF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F67A62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B8236B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08A6FA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7EE164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ABF1C0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CDB93A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F938A6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5A1810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4BE262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EE7315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45030E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1.4.1</w:t>
            </w:r>
          </w:p>
          <w:p w14:paraId="591AB43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EEBAB0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EFB380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3AE533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3EC5D0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E6FBF9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2EF47B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62050B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C4C24E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647C5E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98C543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25A4D7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E7F748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966142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B265F3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19A526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DD8F78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4261F2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6BCDB2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1A1A90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2FF7EB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A0DE7B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50DB09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77724B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0D6898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F72FE7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A9682E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E85AA7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C2E56F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7B4252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80039F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6F6F35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1.4.1</w:t>
            </w:r>
          </w:p>
          <w:p w14:paraId="6166388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263506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C4AE26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0A55B0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E6D556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A85C37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3EDE59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A9BACD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9EEFDE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A4F566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9C3339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42922E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1F4DE8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32E5F0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583033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8689A3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652520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573065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C71EBF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13BBF9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855AC0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30A845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9B462A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B5D31F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BEA118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46017F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9277DB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54995C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54C784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E1B3C0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CF97C2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F69BE3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D09303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1.4.1</w:t>
            </w:r>
          </w:p>
          <w:p w14:paraId="26DC8E1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4ACDC7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B1C332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B1BBCD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CD80E5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8A70B0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25F2BC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2D888F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B11454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57D194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FBC7F2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269E59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688E2A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BB6BF4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938D8C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DFCC43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43E45C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111B50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AB93D6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461BDA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6A493A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BEEDBA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666C04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E05E06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227776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DBA790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325656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594577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D024E6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DB8BDB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695BCD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538E0E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1.4.1</w:t>
            </w:r>
          </w:p>
          <w:p w14:paraId="5511D0E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3F208A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1BCA3E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0E378A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A7E186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073B97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D26C31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14A5F1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F85F79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5BF015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460C6E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0976DF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D6DD0E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D08C88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A1C78F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D6A7C9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DC6709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3ADCD1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A005BD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8ECA8C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B5C6AD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tc>
        <w:tc>
          <w:tcPr>
            <w:tcW w:w="1644" w:type="dxa"/>
            <w:vAlign w:val="center"/>
          </w:tcPr>
          <w:p w14:paraId="72E7B76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46F5DF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2E1042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9FE229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BE177E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DF6DCA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82ED8D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EB0B5E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212246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DE7449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EBD34C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C6B9E8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E78C94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99AC32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B6C558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295EEE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CEAE8E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D98AE7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资质条件、能力和信誉</w:t>
            </w:r>
          </w:p>
          <w:p w14:paraId="212BE3B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4620E4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8D5795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08C9EF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35E2F3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8A11CB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B0698A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0955CA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23C389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515453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408333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8E6F97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52BB11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BF0CBB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54C512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274371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2CBA1F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11F894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D0BC67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13E419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44B6F8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4670AC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0EBD0D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4C4352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FE472D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090D13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E4AE9D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8D94AA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1C0015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2E7557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6001C3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资质条件、能力和信誉</w:t>
            </w:r>
          </w:p>
          <w:p w14:paraId="53481E6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536BFA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9A50C0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FA7BF2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680276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FC72D7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6C9617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91CF05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77D287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9B3E17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C2ACB6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B4FAAD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C21B2C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6135F3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6CAB5D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429B51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A99362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F3F23B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A1CDF0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11E864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1ABB7E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84F776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F7CCF5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6D56ED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EEEBCE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40C5DE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C120B4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4A787A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DA1AFA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EBD672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8412EC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3207AA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资质条件、能力和信誉</w:t>
            </w:r>
          </w:p>
          <w:p w14:paraId="740C306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ED6C48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CF5598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76AADD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E51B77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E8F96E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D73CB7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790B8C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6792A9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3197BC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DEE28A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00BB5A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70AC35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0D5B5A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EECA82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714B52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365D4A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3714DE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3E0BC7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6E8E52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4790D3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809150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F788FC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CF673F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688BD45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856370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43FE24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6D7887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2846A7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DADD48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270507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资质条件、能力和信誉</w:t>
            </w:r>
          </w:p>
          <w:p w14:paraId="31D6377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7F558A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20B236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57C332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B0EDBC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E8E524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107078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2596B8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22E5F9F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0BC51B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34C7969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C2F982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1445B38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0B4F066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45A0BAC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238194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7D68B01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p w14:paraId="570C125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tc>
        <w:tc>
          <w:tcPr>
            <w:tcW w:w="6490" w:type="dxa"/>
            <w:vAlign w:val="center"/>
          </w:tcPr>
          <w:p w14:paraId="392DFA7F">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bookmarkStart w:id="91" w:name="OLE_LINK1"/>
            <w:r>
              <w:rPr>
                <w:rFonts w:hint="default" w:ascii="宋体" w:hAnsi="宋体"/>
                <w:color w:val="auto"/>
                <w:szCs w:val="21"/>
                <w:highlight w:val="none"/>
              </w:rPr>
              <w:t>本工程施工</w:t>
            </w:r>
            <w:r>
              <w:rPr>
                <w:rFonts w:hint="eastAsia" w:ascii="宋体" w:hAnsi="宋体"/>
                <w:color w:val="auto"/>
                <w:szCs w:val="21"/>
                <w:highlight w:val="none"/>
                <w:lang w:eastAsia="zh-CN"/>
              </w:rPr>
              <w:t>比选</w:t>
            </w:r>
            <w:r>
              <w:rPr>
                <w:rFonts w:hint="default" w:ascii="宋体" w:hAnsi="宋体"/>
                <w:color w:val="auto"/>
                <w:szCs w:val="21"/>
                <w:highlight w:val="none"/>
              </w:rPr>
              <w:t>实行资格后审，</w:t>
            </w:r>
            <w:r>
              <w:rPr>
                <w:rFonts w:hint="eastAsia" w:ascii="宋体" w:hAnsi="宋体"/>
                <w:color w:val="auto"/>
                <w:szCs w:val="21"/>
                <w:highlight w:val="none"/>
                <w:lang w:eastAsia="zh-CN"/>
              </w:rPr>
              <w:t>比选申请人</w:t>
            </w:r>
            <w:r>
              <w:rPr>
                <w:rFonts w:hint="default" w:ascii="宋体" w:hAnsi="宋体"/>
                <w:color w:val="auto"/>
                <w:szCs w:val="21"/>
                <w:highlight w:val="none"/>
              </w:rPr>
              <w:t>应</w:t>
            </w:r>
            <w:bookmarkStart w:id="92" w:name="一是"/>
            <w:bookmarkEnd w:id="92"/>
            <w:r>
              <w:rPr>
                <w:rFonts w:hint="default" w:ascii="宋体" w:hAnsi="宋体"/>
                <w:color w:val="auto"/>
                <w:szCs w:val="21"/>
                <w:highlight w:val="none"/>
              </w:rPr>
              <w:t>具备以下资格条件：</w:t>
            </w:r>
          </w:p>
          <w:bookmarkEnd w:id="91"/>
          <w:p w14:paraId="0890E203">
            <w:pPr>
              <w:keepNext w:val="0"/>
              <w:keepLines w:val="0"/>
              <w:suppressLineNumbers w:val="0"/>
              <w:autoSpaceDE w:val="0"/>
              <w:autoSpaceDN w:val="0"/>
              <w:adjustRightInd w:val="0"/>
              <w:snapToGrid w:val="0"/>
              <w:spacing w:before="0" w:beforeAutospacing="0" w:after="0" w:afterAutospacing="0" w:line="400" w:lineRule="exact"/>
              <w:ind w:left="0" w:right="0" w:firstLine="422" w:firstLineChars="200"/>
              <w:rPr>
                <w:rFonts w:hint="default" w:ascii="宋体" w:hAnsi="宋体"/>
                <w:b/>
                <w:color w:val="auto"/>
                <w:szCs w:val="21"/>
                <w:highlight w:val="none"/>
              </w:rPr>
            </w:pPr>
            <w:r>
              <w:rPr>
                <w:rFonts w:hint="default" w:ascii="宋体" w:hAnsi="宋体"/>
                <w:b/>
                <w:color w:val="auto"/>
                <w:szCs w:val="21"/>
                <w:highlight w:val="none"/>
              </w:rPr>
              <w:t>1.资质条件、营业执照及安全生产条件</w:t>
            </w:r>
          </w:p>
          <w:p w14:paraId="164A3EBC">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（1）具备建设行政主管部门颁发的有效的</w:t>
            </w:r>
            <w:r>
              <w:rPr>
                <w:rFonts w:hint="eastAsia" w:ascii="宋体" w:hAnsi="宋体"/>
                <w:b/>
                <w:bCs/>
                <w:color w:val="auto"/>
                <w:szCs w:val="21"/>
                <w:highlight w:val="none"/>
                <w:u w:val="single"/>
              </w:rPr>
              <w:t>电力工程施工总承包三级及以上资质或输变电工程专业承包三级及以上</w:t>
            </w:r>
            <w:r>
              <w:rPr>
                <w:rFonts w:hint="eastAsia" w:ascii="宋体" w:hAnsi="宋体"/>
                <w:b/>
                <w:bCs/>
                <w:color w:val="auto"/>
                <w:szCs w:val="21"/>
                <w:highlight w:val="none"/>
              </w:rPr>
              <w:t>资质</w:t>
            </w:r>
            <w:r>
              <w:rPr>
                <w:rFonts w:hint="default" w:ascii="宋体" w:hAnsi="宋体"/>
                <w:color w:val="auto"/>
                <w:szCs w:val="21"/>
                <w:highlight w:val="none"/>
              </w:rPr>
              <w:t>。</w:t>
            </w:r>
          </w:p>
          <w:p w14:paraId="5E650585">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比选申请人</w:t>
            </w:r>
            <w:r>
              <w:rPr>
                <w:rFonts w:hint="default"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w:t>
            </w:r>
            <w:r>
              <w:rPr>
                <w:rFonts w:hint="default" w:ascii="宋体" w:hAnsi="宋体"/>
                <w:color w:val="auto"/>
                <w:szCs w:val="21"/>
                <w:highlight w:val="none"/>
              </w:rPr>
              <w:t>提供</w:t>
            </w:r>
            <w:r>
              <w:rPr>
                <w:rFonts w:hint="eastAsia" w:ascii="宋体" w:hAnsi="宋体"/>
                <w:color w:val="auto"/>
                <w:szCs w:val="21"/>
                <w:highlight w:val="none"/>
              </w:rPr>
              <w:t>有效的资质证书</w:t>
            </w:r>
            <w:r>
              <w:rPr>
                <w:rFonts w:hint="default" w:ascii="宋体" w:hAnsi="宋体"/>
                <w:color w:val="auto"/>
                <w:szCs w:val="21"/>
                <w:highlight w:val="none"/>
              </w:rPr>
              <w:t>复印件。</w:t>
            </w:r>
          </w:p>
          <w:p w14:paraId="7E583FFB">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（2）具备有效的营业执照。</w:t>
            </w:r>
          </w:p>
          <w:p w14:paraId="6B9DE606">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比选申请人</w:t>
            </w:r>
            <w:r>
              <w:rPr>
                <w:rFonts w:hint="default"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w:t>
            </w:r>
            <w:r>
              <w:rPr>
                <w:rFonts w:hint="default" w:ascii="宋体" w:hAnsi="宋体"/>
                <w:color w:val="auto"/>
                <w:szCs w:val="21"/>
                <w:highlight w:val="none"/>
              </w:rPr>
              <w:t>提供有效的营业执照复印件。</w:t>
            </w:r>
            <w:r>
              <w:rPr>
                <w:rFonts w:hint="eastAsia" w:ascii="宋体" w:hAnsi="宋体"/>
                <w:color w:val="auto"/>
                <w:szCs w:val="21"/>
                <w:highlight w:val="none"/>
              </w:rPr>
              <w:t>注：不得将</w:t>
            </w:r>
            <w:r>
              <w:rPr>
                <w:rFonts w:hint="eastAsia" w:ascii="宋体" w:hAnsi="宋体"/>
                <w:color w:val="auto"/>
                <w:szCs w:val="21"/>
                <w:highlight w:val="none"/>
                <w:lang w:eastAsia="zh-CN"/>
              </w:rPr>
              <w:t>比选申请人</w:t>
            </w:r>
            <w:r>
              <w:rPr>
                <w:rFonts w:hint="eastAsia" w:ascii="宋体" w:hAnsi="宋体"/>
                <w:color w:val="auto"/>
                <w:szCs w:val="21"/>
                <w:highlight w:val="none"/>
              </w:rPr>
              <w:t>营业执照记载的经营范围作为评审因素。</w:t>
            </w:r>
          </w:p>
          <w:p w14:paraId="6B195159">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default" w:ascii="宋体" w:hAnsi="宋体"/>
                <w:color w:val="auto"/>
                <w:szCs w:val="21"/>
                <w:highlight w:val="none"/>
              </w:rPr>
              <w:t>（3）</w:t>
            </w:r>
            <w:r>
              <w:rPr>
                <w:rFonts w:hint="eastAsia" w:ascii="宋体" w:hAnsi="宋体"/>
                <w:color w:val="auto"/>
                <w:szCs w:val="21"/>
                <w:highlight w:val="none"/>
              </w:rPr>
              <w:t>具备建设行政主管部门颁发的有效的安全生产许可证，企业主要负责人、拟担任该项目项目经理具备相应的由建设行政主管部门颁发的有效的安全生产考核合格证书。</w:t>
            </w:r>
          </w:p>
          <w:p w14:paraId="1B76CA12">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比选申请人须在比选申请文件资格审查部分提供有效的安全生产许可证及安全生产考核合格证书复印件并加盖比选申请人公章。</w:t>
            </w:r>
          </w:p>
          <w:p w14:paraId="1214F922">
            <w:pPr>
              <w:keepNext w:val="0"/>
              <w:keepLines w:val="0"/>
              <w:suppressLineNumbers w:val="0"/>
              <w:autoSpaceDE w:val="0"/>
              <w:autoSpaceDN w:val="0"/>
              <w:adjustRightInd w:val="0"/>
              <w:snapToGrid w:val="0"/>
              <w:spacing w:before="0" w:beforeAutospacing="0" w:after="0" w:afterAutospacing="0" w:line="400" w:lineRule="exact"/>
              <w:ind w:left="0" w:right="0" w:firstLine="422" w:firstLineChars="200"/>
              <w:rPr>
                <w:rFonts w:hint="default" w:ascii="宋体" w:hAnsi="宋体"/>
                <w:b/>
                <w:color w:val="auto"/>
                <w:szCs w:val="21"/>
                <w:highlight w:val="none"/>
              </w:rPr>
            </w:pPr>
            <w:r>
              <w:rPr>
                <w:rFonts w:hint="default" w:ascii="宋体" w:hAnsi="宋体"/>
                <w:b/>
                <w:color w:val="auto"/>
                <w:szCs w:val="21"/>
                <w:highlight w:val="none"/>
              </w:rPr>
              <w:t>2.财务要求</w:t>
            </w:r>
          </w:p>
          <w:p w14:paraId="78DE2EB0">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无</w:t>
            </w:r>
          </w:p>
          <w:p w14:paraId="4EF996E5">
            <w:pPr>
              <w:keepNext w:val="0"/>
              <w:keepLines w:val="0"/>
              <w:suppressLineNumbers w:val="0"/>
              <w:autoSpaceDE w:val="0"/>
              <w:autoSpaceDN w:val="0"/>
              <w:adjustRightInd w:val="0"/>
              <w:snapToGrid w:val="0"/>
              <w:spacing w:before="0" w:beforeAutospacing="0" w:after="0" w:afterAutospacing="0" w:line="400" w:lineRule="exact"/>
              <w:ind w:left="0" w:right="0" w:firstLine="422" w:firstLineChars="200"/>
              <w:rPr>
                <w:rFonts w:hint="default" w:ascii="宋体" w:hAnsi="宋体"/>
                <w:b/>
                <w:color w:val="auto"/>
                <w:szCs w:val="21"/>
                <w:highlight w:val="none"/>
              </w:rPr>
            </w:pPr>
            <w:r>
              <w:rPr>
                <w:rFonts w:hint="default" w:ascii="宋体" w:hAnsi="宋体"/>
                <w:b/>
                <w:color w:val="auto"/>
                <w:szCs w:val="21"/>
                <w:highlight w:val="none"/>
              </w:rPr>
              <w:t>3.业绩要求</w:t>
            </w:r>
          </w:p>
          <w:p w14:paraId="3839D1DF">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无要求</w:t>
            </w:r>
          </w:p>
          <w:p w14:paraId="1551A92C">
            <w:pPr>
              <w:keepNext w:val="0"/>
              <w:keepLines w:val="0"/>
              <w:suppressLineNumbers w:val="0"/>
              <w:adjustRightInd w:val="0"/>
              <w:snapToGrid w:val="0"/>
              <w:spacing w:before="0" w:beforeAutospacing="0" w:after="0" w:afterAutospacing="0" w:line="400" w:lineRule="exact"/>
              <w:ind w:left="0" w:right="0" w:firstLine="422" w:firstLineChars="200"/>
              <w:rPr>
                <w:rFonts w:hint="default" w:ascii="宋体" w:hAnsi="宋体"/>
                <w:b/>
                <w:color w:val="auto"/>
                <w:szCs w:val="21"/>
                <w:highlight w:val="none"/>
              </w:rPr>
            </w:pPr>
            <w:r>
              <w:rPr>
                <w:rFonts w:hint="default" w:ascii="宋体" w:hAnsi="宋体"/>
                <w:b/>
                <w:color w:val="auto"/>
                <w:szCs w:val="21"/>
                <w:highlight w:val="none"/>
              </w:rPr>
              <w:t>4.</w:t>
            </w:r>
            <w:r>
              <w:rPr>
                <w:rFonts w:hint="eastAsia" w:ascii="宋体" w:hAnsi="宋体"/>
                <w:b/>
                <w:color w:val="auto"/>
                <w:szCs w:val="21"/>
                <w:highlight w:val="none"/>
                <w:lang w:eastAsia="zh-CN"/>
              </w:rPr>
              <w:t>比选</w:t>
            </w:r>
            <w:r>
              <w:rPr>
                <w:rFonts w:hint="default" w:ascii="宋体" w:hAnsi="宋体"/>
                <w:b/>
                <w:color w:val="auto"/>
                <w:szCs w:val="21"/>
                <w:highlight w:val="none"/>
              </w:rPr>
              <w:t>截止日</w:t>
            </w:r>
            <w:r>
              <w:rPr>
                <w:rFonts w:hint="eastAsia" w:ascii="宋体" w:hAnsi="宋体"/>
                <w:b/>
                <w:color w:val="auto"/>
                <w:szCs w:val="21"/>
                <w:highlight w:val="none"/>
                <w:lang w:eastAsia="zh-CN"/>
              </w:rPr>
              <w:t>比选</w:t>
            </w:r>
            <w:r>
              <w:rPr>
                <w:rFonts w:hint="default" w:ascii="宋体" w:hAnsi="宋体"/>
                <w:b/>
                <w:color w:val="auto"/>
                <w:szCs w:val="21"/>
                <w:highlight w:val="none"/>
              </w:rPr>
              <w:t>资格情况</w:t>
            </w:r>
          </w:p>
          <w:p w14:paraId="09F3903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自行承诺（格式见第八章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格式）不得存在下列情形之一：</w:t>
            </w:r>
          </w:p>
          <w:p w14:paraId="5C98C817">
            <w:pPr>
              <w:keepNext w:val="0"/>
              <w:keepLines w:val="0"/>
              <w:suppressLineNumbers w:val="0"/>
              <w:snapToGrid w:val="0"/>
              <w:spacing w:before="0" w:beforeAutospacing="0" w:after="0" w:afterAutospacing="0" w:line="400" w:lineRule="exact"/>
              <w:ind w:left="0" w:right="0" w:firstLine="420" w:firstLineChars="200"/>
              <w:jc w:val="left"/>
              <w:rPr>
                <w:rFonts w:hint="default"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627F359">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0BC58849">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5F38CBA">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9247009">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3E8A55AA">
            <w:pPr>
              <w:keepNext w:val="0"/>
              <w:keepLines w:val="0"/>
              <w:suppressLineNumbers w:val="0"/>
              <w:spacing w:before="0" w:beforeAutospacing="0" w:after="0" w:afterAutospacing="0" w:line="400" w:lineRule="exact"/>
              <w:ind w:left="0" w:right="0" w:firstLine="420" w:firstLineChars="200"/>
              <w:rPr>
                <w:rFonts w:hint="default"/>
                <w:color w:val="auto"/>
                <w:highlight w:val="none"/>
              </w:rPr>
            </w:pPr>
            <w:r>
              <w:rPr>
                <w:rFonts w:hint="eastAsia"/>
                <w:color w:val="auto"/>
                <w:highlight w:val="none"/>
                <w:lang w:eastAsia="zh-CN"/>
              </w:rPr>
              <w:t>比选申请人</w:t>
            </w:r>
            <w:r>
              <w:rPr>
                <w:rFonts w:hint="eastAsia"/>
                <w:color w:val="auto"/>
                <w:highlight w:val="none"/>
              </w:rPr>
              <w:t>须在</w:t>
            </w:r>
            <w:r>
              <w:rPr>
                <w:rFonts w:hint="eastAsia"/>
                <w:color w:val="auto"/>
                <w:highlight w:val="none"/>
                <w:lang w:eastAsia="zh-CN"/>
              </w:rPr>
              <w:t>比选申请文件</w:t>
            </w:r>
            <w:r>
              <w:rPr>
                <w:rFonts w:hint="eastAsia"/>
                <w:color w:val="auto"/>
                <w:highlight w:val="none"/>
              </w:rPr>
              <w:t>资格审查部分提供承诺。</w:t>
            </w:r>
          </w:p>
          <w:p w14:paraId="16FB5AED">
            <w:pPr>
              <w:keepNext w:val="0"/>
              <w:keepLines w:val="0"/>
              <w:suppressLineNumbers w:val="0"/>
              <w:spacing w:before="0" w:beforeAutospacing="0" w:after="0" w:afterAutospacing="0" w:line="400" w:lineRule="exact"/>
              <w:ind w:left="0" w:right="0" w:firstLine="420" w:firstLineChars="200"/>
              <w:rPr>
                <w:rFonts w:hint="default"/>
                <w:color w:val="auto"/>
                <w:highlight w:val="none"/>
              </w:rPr>
            </w:pPr>
            <w:r>
              <w:rPr>
                <w:rFonts w:hint="eastAsia"/>
                <w:color w:val="auto"/>
                <w:highlight w:val="none"/>
              </w:rPr>
              <w:t>上述第（2）、（3）款信用情况在开标现场进行查询，查询结果交由评标委员会评审，若</w:t>
            </w:r>
            <w:r>
              <w:rPr>
                <w:rFonts w:hint="eastAsia"/>
                <w:color w:val="auto"/>
                <w:highlight w:val="none"/>
                <w:lang w:eastAsia="zh-CN"/>
              </w:rPr>
              <w:t>比选申请人</w:t>
            </w:r>
            <w:r>
              <w:rPr>
                <w:rFonts w:hint="eastAsia"/>
                <w:color w:val="auto"/>
                <w:highlight w:val="none"/>
              </w:rPr>
              <w:t>针对上述第（2）、（3）款的承诺内容与查询结果不符，由评标委员会作否决投标处理。</w:t>
            </w:r>
          </w:p>
          <w:p w14:paraId="0383A5B8">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color w:val="auto"/>
                <w:highlight w:val="none"/>
              </w:rPr>
              <w:t>注：</w:t>
            </w:r>
            <w:r>
              <w:rPr>
                <w:rFonts w:hint="eastAsia"/>
                <w:color w:val="auto"/>
                <w:highlight w:val="none"/>
                <w:lang w:eastAsia="zh-CN"/>
              </w:rPr>
              <w:t>比选申请人</w:t>
            </w:r>
            <w:r>
              <w:rPr>
                <w:rFonts w:hint="eastAsia"/>
                <w:color w:val="auto"/>
                <w:highlight w:val="none"/>
              </w:rPr>
              <w:t>是否因有不良行为记分、进入重点关注名单或黑名单而被限制投标的，以开标环节信用状况查询结果为准。</w:t>
            </w:r>
          </w:p>
          <w:p w14:paraId="407813D3">
            <w:pPr>
              <w:keepNext w:val="0"/>
              <w:keepLines w:val="0"/>
              <w:suppressLineNumbers w:val="0"/>
              <w:snapToGrid w:val="0"/>
              <w:spacing w:before="0" w:beforeAutospacing="0" w:after="0" w:afterAutospacing="0" w:line="400" w:lineRule="exact"/>
              <w:ind w:left="0" w:right="0" w:firstLine="422" w:firstLineChars="200"/>
              <w:rPr>
                <w:rFonts w:hint="default" w:ascii="宋体" w:hAnsi="宋体"/>
                <w:b/>
                <w:color w:val="auto"/>
                <w:szCs w:val="21"/>
                <w:highlight w:val="none"/>
              </w:rPr>
            </w:pPr>
            <w:r>
              <w:rPr>
                <w:rFonts w:hint="default" w:ascii="宋体" w:hAnsi="宋体"/>
                <w:b/>
                <w:color w:val="auto"/>
                <w:szCs w:val="21"/>
                <w:highlight w:val="none"/>
              </w:rPr>
              <w:t>5.项目经理资格要求</w:t>
            </w:r>
          </w:p>
          <w:p w14:paraId="1C277F11">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5.1</w:t>
            </w:r>
            <w:r>
              <w:rPr>
                <w:rFonts w:hint="eastAsia"/>
                <w:color w:val="auto"/>
                <w:szCs w:val="21"/>
                <w:highlight w:val="none"/>
                <w:lang w:eastAsia="zh-CN"/>
              </w:rPr>
              <w:t>比选申请人</w:t>
            </w:r>
            <w:r>
              <w:rPr>
                <w:rFonts w:hint="eastAsia"/>
                <w:color w:val="auto"/>
                <w:szCs w:val="21"/>
                <w:highlight w:val="none"/>
              </w:rPr>
              <w:t>拟派的</w:t>
            </w:r>
            <w:r>
              <w:rPr>
                <w:rFonts w:hint="default"/>
                <w:color w:val="auto"/>
                <w:szCs w:val="21"/>
                <w:highlight w:val="none"/>
              </w:rPr>
              <w:t>项目经理必须已在</w:t>
            </w:r>
            <w:r>
              <w:rPr>
                <w:rFonts w:hint="eastAsia"/>
                <w:color w:val="auto"/>
                <w:szCs w:val="21"/>
                <w:highlight w:val="none"/>
                <w:lang w:eastAsia="zh-CN"/>
              </w:rPr>
              <w:t>比选申请人</w:t>
            </w:r>
            <w:r>
              <w:rPr>
                <w:rFonts w:hint="eastAsia"/>
                <w:color w:val="auto"/>
                <w:szCs w:val="21"/>
                <w:highlight w:val="none"/>
              </w:rPr>
              <w:t>本</w:t>
            </w:r>
            <w:r>
              <w:rPr>
                <w:rFonts w:hint="default"/>
                <w:color w:val="auto"/>
                <w:szCs w:val="21"/>
                <w:highlight w:val="none"/>
              </w:rPr>
              <w:t>单位注册并应具有</w:t>
            </w:r>
            <w:r>
              <w:rPr>
                <w:rFonts w:hint="default"/>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机电工程</w:t>
            </w:r>
            <w:r>
              <w:rPr>
                <w:rFonts w:hint="eastAsia"/>
                <w:i/>
                <w:color w:val="auto"/>
                <w:szCs w:val="21"/>
                <w:highlight w:val="none"/>
                <w:u w:val="single"/>
              </w:rPr>
              <w:t xml:space="preserve"> </w:t>
            </w:r>
            <w:r>
              <w:rPr>
                <w:rFonts w:hint="eastAsia"/>
                <w:color w:val="auto"/>
                <w:szCs w:val="21"/>
                <w:highlight w:val="none"/>
              </w:rPr>
              <w:t>专业</w:t>
            </w:r>
            <w:r>
              <w:rPr>
                <w:rFonts w:hint="default"/>
                <w:color w:val="auto"/>
                <w:szCs w:val="21"/>
                <w:highlight w:val="none"/>
                <w:u w:val="single"/>
              </w:rPr>
              <w:t xml:space="preserve"> </w:t>
            </w:r>
            <w:r>
              <w:rPr>
                <w:rFonts w:hint="eastAsia"/>
                <w:color w:val="auto"/>
                <w:szCs w:val="21"/>
                <w:highlight w:val="none"/>
                <w:u w:val="single"/>
                <w:lang w:eastAsia="zh-CN"/>
              </w:rPr>
              <w:t>贰</w:t>
            </w:r>
            <w:r>
              <w:rPr>
                <w:rFonts w:hint="default"/>
                <w:color w:val="auto"/>
                <w:szCs w:val="21"/>
                <w:highlight w:val="none"/>
                <w:u w:val="single"/>
              </w:rPr>
              <w:t>级及以上</w:t>
            </w:r>
            <w:r>
              <w:rPr>
                <w:rFonts w:hint="default"/>
                <w:color w:val="auto"/>
                <w:szCs w:val="21"/>
                <w:highlight w:val="none"/>
              </w:rPr>
              <w:t>注册建造师执业</w:t>
            </w:r>
            <w:r>
              <w:rPr>
                <w:rFonts w:hint="default" w:ascii="宋体" w:hAnsi="宋体"/>
                <w:color w:val="auto"/>
                <w:szCs w:val="21"/>
                <w:highlight w:val="none"/>
              </w:rPr>
              <w:t>资格</w:t>
            </w:r>
            <w:r>
              <w:rPr>
                <w:rFonts w:hint="eastAsia" w:ascii="宋体" w:hAnsi="宋体"/>
                <w:color w:val="auto"/>
                <w:szCs w:val="21"/>
                <w:highlight w:val="none"/>
              </w:rPr>
              <w:t>。</w:t>
            </w:r>
          </w:p>
          <w:p w14:paraId="5A1ED16E">
            <w:pPr>
              <w:keepNext w:val="0"/>
              <w:keepLines w:val="0"/>
              <w:suppressLineNumbers w:val="0"/>
              <w:snapToGrid w:val="0"/>
              <w:spacing w:before="0" w:beforeAutospacing="0" w:after="0" w:afterAutospacing="0" w:line="400" w:lineRule="exact"/>
              <w:ind w:left="0" w:right="0" w:firstLine="420" w:firstLineChars="200"/>
              <w:jc w:val="left"/>
              <w:rPr>
                <w:rFonts w:hint="default" w:ascii="宋体" w:hAnsi="宋体"/>
                <w:color w:val="auto"/>
                <w:szCs w:val="21"/>
                <w:highlight w:val="none"/>
              </w:rPr>
            </w:pPr>
            <w:r>
              <w:rPr>
                <w:rFonts w:hint="eastAsia" w:ascii="宋体" w:hAnsi="宋体"/>
                <w:color w:val="auto"/>
                <w:szCs w:val="21"/>
                <w:highlight w:val="none"/>
              </w:rPr>
              <w:t>5.2项目经理承诺要求：</w:t>
            </w:r>
            <w:r>
              <w:rPr>
                <w:rFonts w:hint="eastAsia" w:ascii="宋体" w:hAnsi="宋体"/>
                <w:color w:val="auto"/>
                <w:szCs w:val="21"/>
                <w:highlight w:val="none"/>
                <w:lang w:eastAsia="zh-CN"/>
              </w:rPr>
              <w:t>比选申请人</w:t>
            </w:r>
            <w:r>
              <w:rPr>
                <w:rFonts w:hint="eastAsia" w:ascii="宋体" w:hAnsi="宋体"/>
                <w:color w:val="auto"/>
                <w:szCs w:val="21"/>
                <w:highlight w:val="none"/>
              </w:rPr>
              <w:t>须承诺拟派项目经理按注册建造师的相关规定到岗履职和未被禁止参与投标。</w:t>
            </w:r>
          </w:p>
          <w:p w14:paraId="33D04F7C">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highlight w:val="none"/>
              </w:rPr>
            </w:pPr>
            <w:r>
              <w:rPr>
                <w:rFonts w:hint="default" w:ascii="宋体" w:hAnsi="宋体"/>
                <w:color w:val="auto"/>
                <w:highlight w:val="none"/>
              </w:rPr>
              <w:t>5.2.1到岗履职承诺要求：承诺拟派项目经理</w:t>
            </w:r>
            <w:r>
              <w:rPr>
                <w:rFonts w:hint="eastAsia" w:ascii="宋体" w:hAnsi="宋体"/>
                <w:color w:val="auto"/>
                <w:highlight w:val="none"/>
                <w:lang w:eastAsia="zh-CN"/>
              </w:rPr>
              <w:t>中选</w:t>
            </w:r>
            <w:r>
              <w:rPr>
                <w:rFonts w:hint="default" w:ascii="宋体" w:hAnsi="宋体"/>
                <w:color w:val="auto"/>
                <w:highlight w:val="none"/>
              </w:rPr>
              <w:t>后在本项目任职，签订合同时拟派的项目经理必须与</w:t>
            </w:r>
            <w:r>
              <w:rPr>
                <w:rFonts w:hint="eastAsia" w:ascii="宋体" w:hAnsi="宋体"/>
                <w:color w:val="auto"/>
                <w:highlight w:val="none"/>
                <w:lang w:eastAsia="zh-CN"/>
              </w:rPr>
              <w:t>比选申请文件</w:t>
            </w:r>
            <w:r>
              <w:rPr>
                <w:rFonts w:hint="default" w:ascii="宋体" w:hAnsi="宋体"/>
                <w:color w:val="auto"/>
                <w:highlight w:val="none"/>
              </w:rPr>
              <w:t>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hint="default" w:ascii="宋体" w:hAnsi="宋体"/>
                <w:color w:val="auto"/>
                <w:highlight w:val="none"/>
              </w:rPr>
              <w:t>造成损失的，</w:t>
            </w:r>
            <w:r>
              <w:rPr>
                <w:rFonts w:hint="eastAsia" w:ascii="宋体" w:hAnsi="宋体"/>
                <w:color w:val="auto"/>
                <w:highlight w:val="none"/>
                <w:lang w:eastAsia="zh-CN"/>
              </w:rPr>
              <w:t>比选申请人</w:t>
            </w:r>
            <w:r>
              <w:rPr>
                <w:rFonts w:hint="default" w:ascii="宋体" w:hAnsi="宋体"/>
                <w:color w:val="auto"/>
                <w:highlight w:val="none"/>
              </w:rPr>
              <w:t>依法承担违约赔偿责任。拟派项目经理</w:t>
            </w:r>
            <w:r>
              <w:rPr>
                <w:rFonts w:hint="eastAsia" w:ascii="宋体" w:hAnsi="宋体"/>
                <w:color w:val="auto"/>
                <w:highlight w:val="none"/>
                <w:lang w:eastAsia="zh-CN"/>
              </w:rPr>
              <w:t>中选</w:t>
            </w:r>
            <w:r>
              <w:rPr>
                <w:rFonts w:hint="default" w:ascii="宋体" w:hAnsi="宋体"/>
                <w:color w:val="auto"/>
                <w:highlight w:val="none"/>
              </w:rPr>
              <w:t>后不得随意更换。</w:t>
            </w:r>
          </w:p>
          <w:p w14:paraId="392EF40C">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highlight w:val="none"/>
              </w:rPr>
            </w:pPr>
            <w:r>
              <w:rPr>
                <w:rFonts w:hint="default" w:ascii="宋体" w:hAnsi="宋体"/>
                <w:color w:val="auto"/>
                <w:highlight w:val="none"/>
              </w:rPr>
              <w:t>5.2.2未被禁止参与投标承诺要求：承诺拟派项目经理未被重庆市</w:t>
            </w:r>
            <w:r>
              <w:rPr>
                <w:rFonts w:hint="eastAsia" w:ascii="宋体" w:hAnsi="宋体"/>
                <w:color w:val="auto"/>
                <w:highlight w:val="none"/>
                <w:lang w:val="en-US" w:eastAsia="zh-CN"/>
              </w:rPr>
              <w:t>市级有关行业</w:t>
            </w:r>
            <w:r>
              <w:rPr>
                <w:rFonts w:hint="default" w:ascii="宋体" w:hAnsi="宋体"/>
                <w:color w:val="auto"/>
                <w:highlight w:val="none"/>
              </w:rPr>
              <w:t>主管部门暂停在渝承揽新业务。若被暂停在渝承揽新业务但仍参加投标，将被否决投标；已取得</w:t>
            </w:r>
            <w:r>
              <w:rPr>
                <w:rFonts w:hint="eastAsia" w:ascii="宋体" w:hAnsi="宋体"/>
                <w:color w:val="auto"/>
                <w:highlight w:val="none"/>
                <w:lang w:eastAsia="zh-CN"/>
              </w:rPr>
              <w:t>中选候选人</w:t>
            </w:r>
            <w:r>
              <w:rPr>
                <w:rFonts w:hint="default" w:ascii="宋体" w:hAnsi="宋体"/>
                <w:color w:val="auto"/>
                <w:highlight w:val="none"/>
              </w:rPr>
              <w:t>资格或</w:t>
            </w:r>
            <w:r>
              <w:rPr>
                <w:rFonts w:hint="eastAsia" w:ascii="宋体" w:hAnsi="宋体"/>
                <w:color w:val="auto"/>
                <w:highlight w:val="none"/>
                <w:lang w:eastAsia="zh-CN"/>
              </w:rPr>
              <w:t>中选</w:t>
            </w:r>
            <w:r>
              <w:rPr>
                <w:rFonts w:hint="default" w:ascii="宋体" w:hAnsi="宋体"/>
                <w:color w:val="auto"/>
                <w:highlight w:val="none"/>
              </w:rPr>
              <w:t>资格的，</w:t>
            </w:r>
            <w:r>
              <w:rPr>
                <w:rFonts w:hint="eastAsia" w:ascii="宋体" w:hAnsi="宋体"/>
                <w:color w:val="auto"/>
                <w:highlight w:val="none"/>
                <w:lang w:eastAsia="zh-CN"/>
              </w:rPr>
              <w:t>比选人</w:t>
            </w:r>
            <w:r>
              <w:rPr>
                <w:rFonts w:hint="default" w:ascii="宋体" w:hAnsi="宋体"/>
                <w:color w:val="auto"/>
                <w:highlight w:val="none"/>
              </w:rPr>
              <w:t>有权取消其</w:t>
            </w:r>
            <w:r>
              <w:rPr>
                <w:rFonts w:hint="eastAsia" w:ascii="宋体" w:hAnsi="宋体"/>
                <w:color w:val="auto"/>
                <w:highlight w:val="none"/>
                <w:lang w:eastAsia="zh-CN"/>
              </w:rPr>
              <w:t>中选候选人</w:t>
            </w:r>
            <w:r>
              <w:rPr>
                <w:rFonts w:hint="default" w:ascii="宋体" w:hAnsi="宋体"/>
                <w:color w:val="auto"/>
                <w:highlight w:val="none"/>
              </w:rPr>
              <w:t>资格或</w:t>
            </w:r>
            <w:r>
              <w:rPr>
                <w:rFonts w:hint="eastAsia" w:ascii="宋体" w:hAnsi="宋体"/>
                <w:color w:val="auto"/>
                <w:highlight w:val="none"/>
                <w:lang w:eastAsia="zh-CN"/>
              </w:rPr>
              <w:t>中选</w:t>
            </w:r>
            <w:r>
              <w:rPr>
                <w:rFonts w:hint="default" w:ascii="宋体" w:hAnsi="宋体"/>
                <w:color w:val="auto"/>
                <w:highlight w:val="none"/>
              </w:rPr>
              <w:t>资格；给</w:t>
            </w:r>
            <w:r>
              <w:rPr>
                <w:rFonts w:hint="eastAsia" w:ascii="宋体" w:hAnsi="宋体"/>
                <w:color w:val="auto"/>
                <w:highlight w:val="none"/>
                <w:lang w:eastAsia="zh-CN"/>
              </w:rPr>
              <w:t>比选人</w:t>
            </w:r>
            <w:r>
              <w:rPr>
                <w:rFonts w:hint="default" w:ascii="宋体" w:hAnsi="宋体"/>
                <w:color w:val="auto"/>
                <w:highlight w:val="none"/>
              </w:rPr>
              <w:t>造成损失的，</w:t>
            </w:r>
            <w:r>
              <w:rPr>
                <w:rFonts w:hint="eastAsia" w:ascii="宋体" w:hAnsi="宋体"/>
                <w:color w:val="auto"/>
                <w:highlight w:val="none"/>
                <w:lang w:eastAsia="zh-CN"/>
              </w:rPr>
              <w:t>比选申请人</w:t>
            </w:r>
            <w:r>
              <w:rPr>
                <w:rFonts w:hint="default" w:ascii="宋体" w:hAnsi="宋体"/>
                <w:color w:val="auto"/>
                <w:highlight w:val="none"/>
              </w:rPr>
              <w:t>依法承担违约赔偿责任。</w:t>
            </w:r>
          </w:p>
          <w:p w14:paraId="0CB4DDF0">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highlight w:val="none"/>
              </w:rPr>
            </w:pPr>
            <w:r>
              <w:rPr>
                <w:rFonts w:hint="default" w:ascii="宋体" w:hAnsi="宋体"/>
                <w:color w:val="auto"/>
                <w:highlight w:val="none"/>
              </w:rPr>
              <w:t>5.2.3项目经理的其它承诺要求：为保证</w:t>
            </w:r>
            <w:r>
              <w:rPr>
                <w:rFonts w:hint="eastAsia" w:ascii="宋体" w:hAnsi="宋体"/>
                <w:color w:val="auto"/>
                <w:highlight w:val="none"/>
                <w:lang w:eastAsia="zh-CN"/>
              </w:rPr>
              <w:t>比选申请人</w:t>
            </w:r>
            <w:r>
              <w:rPr>
                <w:rFonts w:hint="default" w:ascii="宋体" w:hAnsi="宋体"/>
                <w:color w:val="auto"/>
                <w:highlight w:val="none"/>
              </w:rPr>
              <w:t>拟派的项目经理到本项目到岗履职，</w:t>
            </w:r>
            <w:r>
              <w:rPr>
                <w:rFonts w:hint="eastAsia" w:ascii="宋体" w:hAnsi="宋体"/>
                <w:color w:val="auto"/>
                <w:highlight w:val="none"/>
                <w:lang w:eastAsia="zh-CN"/>
              </w:rPr>
              <w:t>比选申请人</w:t>
            </w:r>
            <w:r>
              <w:rPr>
                <w:rFonts w:hint="default" w:ascii="宋体" w:hAnsi="宋体"/>
                <w:color w:val="auto"/>
                <w:highlight w:val="none"/>
              </w:rPr>
              <w:t>还需承诺：</w:t>
            </w:r>
          </w:p>
          <w:p w14:paraId="4FBD8FC9">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highlight w:val="none"/>
              </w:rPr>
            </w:pPr>
            <w:r>
              <w:rPr>
                <w:rFonts w:hint="default" w:ascii="宋体" w:hAnsi="宋体"/>
                <w:color w:val="auto"/>
                <w:highlight w:val="none"/>
              </w:rPr>
              <w:t>若</w:t>
            </w:r>
            <w:r>
              <w:rPr>
                <w:rFonts w:hint="eastAsia" w:ascii="宋体" w:hAnsi="宋体"/>
                <w:color w:val="auto"/>
                <w:highlight w:val="none"/>
                <w:lang w:eastAsia="zh-CN"/>
              </w:rPr>
              <w:t>比选申请人</w:t>
            </w:r>
            <w:r>
              <w:rPr>
                <w:rFonts w:hint="default" w:ascii="宋体" w:hAnsi="宋体"/>
                <w:color w:val="auto"/>
                <w:highlight w:val="none"/>
              </w:rPr>
              <w:t>拟派本项目的项目经理有在其他项目任职的情形的（或有在其他项目</w:t>
            </w:r>
            <w:r>
              <w:rPr>
                <w:rFonts w:hint="eastAsia" w:ascii="宋体" w:hAnsi="宋体"/>
                <w:color w:val="auto"/>
                <w:highlight w:val="none"/>
                <w:lang w:eastAsia="zh-CN"/>
              </w:rPr>
              <w:t>中选</w:t>
            </w:r>
            <w:r>
              <w:rPr>
                <w:rFonts w:hint="default" w:ascii="宋体" w:hAnsi="宋体"/>
                <w:color w:val="auto"/>
                <w:highlight w:val="none"/>
              </w:rPr>
              <w:t>或拟</w:t>
            </w:r>
            <w:r>
              <w:rPr>
                <w:rFonts w:hint="eastAsia" w:ascii="宋体" w:hAnsi="宋体"/>
                <w:color w:val="auto"/>
                <w:highlight w:val="none"/>
                <w:lang w:eastAsia="zh-CN"/>
              </w:rPr>
              <w:t>中选</w:t>
            </w:r>
            <w:r>
              <w:rPr>
                <w:rFonts w:hint="default" w:ascii="宋体" w:hAnsi="宋体"/>
                <w:color w:val="auto"/>
                <w:highlight w:val="none"/>
              </w:rPr>
              <w:t>的情形的），应在收到</w:t>
            </w:r>
            <w:r>
              <w:rPr>
                <w:rFonts w:hint="eastAsia" w:ascii="宋体" w:hAnsi="宋体"/>
                <w:color w:val="auto"/>
                <w:highlight w:val="none"/>
                <w:lang w:eastAsia="zh-CN"/>
              </w:rPr>
              <w:t>中选通知书</w:t>
            </w:r>
            <w:r>
              <w:rPr>
                <w:rFonts w:hint="default" w:ascii="宋体" w:hAnsi="宋体"/>
                <w:color w:val="auto"/>
                <w:highlight w:val="none"/>
              </w:rPr>
              <w:t>后</w:t>
            </w:r>
            <w:r>
              <w:rPr>
                <w:rFonts w:hint="default" w:ascii="宋体" w:hAnsi="宋体"/>
                <w:color w:val="auto"/>
                <w:highlight w:val="none"/>
                <w:u w:val="single"/>
              </w:rPr>
              <w:t xml:space="preserve"> 14 </w:t>
            </w:r>
            <w:r>
              <w:rPr>
                <w:rFonts w:hint="default" w:ascii="宋体" w:hAnsi="宋体"/>
                <w:color w:val="auto"/>
                <w:highlight w:val="none"/>
              </w:rPr>
              <w:t>日内，办理完成放弃在其他项目任职的手续（或办理完成放弃在其他项目</w:t>
            </w:r>
            <w:r>
              <w:rPr>
                <w:rFonts w:hint="eastAsia" w:ascii="宋体" w:hAnsi="宋体"/>
                <w:color w:val="auto"/>
                <w:highlight w:val="none"/>
                <w:lang w:eastAsia="zh-CN"/>
              </w:rPr>
              <w:t>中选</w:t>
            </w:r>
            <w:r>
              <w:rPr>
                <w:rFonts w:hint="default" w:ascii="宋体" w:hAnsi="宋体"/>
                <w:color w:val="auto"/>
                <w:highlight w:val="none"/>
              </w:rPr>
              <w:t>或拟</w:t>
            </w:r>
            <w:r>
              <w:rPr>
                <w:rFonts w:hint="eastAsia" w:ascii="宋体" w:hAnsi="宋体"/>
                <w:color w:val="auto"/>
                <w:highlight w:val="none"/>
                <w:lang w:eastAsia="zh-CN"/>
              </w:rPr>
              <w:t>中选</w:t>
            </w:r>
            <w:r>
              <w:rPr>
                <w:rFonts w:hint="default" w:ascii="宋体" w:hAnsi="宋体"/>
                <w:color w:val="auto"/>
                <w:highlight w:val="none"/>
              </w:rPr>
              <w:t>的手续），</w:t>
            </w:r>
            <w:r>
              <w:rPr>
                <w:rFonts w:hint="eastAsia" w:ascii="宋体" w:hAnsi="宋体"/>
                <w:color w:val="auto"/>
                <w:highlight w:val="none"/>
                <w:lang w:eastAsia="zh-CN"/>
              </w:rPr>
              <w:t>比选人</w:t>
            </w:r>
            <w:r>
              <w:rPr>
                <w:rFonts w:hint="default" w:ascii="宋体" w:hAnsi="宋体"/>
                <w:color w:val="auto"/>
                <w:highlight w:val="none"/>
              </w:rPr>
              <w:t>在合同签订前有权对</w:t>
            </w:r>
            <w:r>
              <w:rPr>
                <w:rFonts w:hint="eastAsia" w:ascii="宋体" w:hAnsi="宋体"/>
                <w:color w:val="auto"/>
                <w:highlight w:val="none"/>
                <w:lang w:eastAsia="zh-CN"/>
              </w:rPr>
              <w:t>比选申请人</w:t>
            </w:r>
            <w:r>
              <w:rPr>
                <w:rFonts w:hint="default" w:ascii="宋体" w:hAnsi="宋体"/>
                <w:color w:val="auto"/>
                <w:highlight w:val="none"/>
              </w:rPr>
              <w:t>拟派项目经理在其他项目的任职情形（或在其他项目的</w:t>
            </w:r>
            <w:r>
              <w:rPr>
                <w:rFonts w:hint="eastAsia" w:ascii="宋体" w:hAnsi="宋体"/>
                <w:color w:val="auto"/>
                <w:highlight w:val="none"/>
                <w:lang w:eastAsia="zh-CN"/>
              </w:rPr>
              <w:t>中选</w:t>
            </w:r>
            <w:r>
              <w:rPr>
                <w:rFonts w:hint="default" w:ascii="宋体" w:hAnsi="宋体"/>
                <w:color w:val="auto"/>
                <w:highlight w:val="none"/>
              </w:rPr>
              <w:t>或拟</w:t>
            </w:r>
            <w:r>
              <w:rPr>
                <w:rFonts w:hint="eastAsia" w:ascii="宋体" w:hAnsi="宋体"/>
                <w:color w:val="auto"/>
                <w:highlight w:val="none"/>
                <w:lang w:eastAsia="zh-CN"/>
              </w:rPr>
              <w:t>中选</w:t>
            </w:r>
            <w:r>
              <w:rPr>
                <w:rFonts w:hint="default" w:ascii="宋体" w:hAnsi="宋体"/>
                <w:color w:val="auto"/>
                <w:highlight w:val="none"/>
              </w:rPr>
              <w:t>情形）进行核查，若与</w:t>
            </w:r>
            <w:r>
              <w:rPr>
                <w:rFonts w:hint="eastAsia" w:ascii="宋体" w:hAnsi="宋体"/>
                <w:color w:val="auto"/>
                <w:highlight w:val="none"/>
                <w:lang w:eastAsia="zh-CN"/>
              </w:rPr>
              <w:t>比选申请人</w:t>
            </w:r>
            <w:r>
              <w:rPr>
                <w:rFonts w:hint="default" w:ascii="宋体" w:hAnsi="宋体"/>
                <w:color w:val="auto"/>
                <w:highlight w:val="none"/>
              </w:rPr>
              <w:t>承诺内容不符或</w:t>
            </w:r>
            <w:r>
              <w:rPr>
                <w:rFonts w:hint="eastAsia" w:ascii="宋体" w:hAnsi="宋体"/>
                <w:color w:val="auto"/>
                <w:highlight w:val="none"/>
                <w:lang w:eastAsia="zh-CN"/>
              </w:rPr>
              <w:t>比选申请人</w:t>
            </w:r>
            <w:r>
              <w:rPr>
                <w:rFonts w:hint="default" w:ascii="宋体" w:hAnsi="宋体"/>
                <w:color w:val="auto"/>
                <w:highlight w:val="none"/>
              </w:rPr>
              <w:t>未在上述时间内按照</w:t>
            </w:r>
            <w:r>
              <w:rPr>
                <w:rFonts w:hint="eastAsia" w:ascii="宋体" w:hAnsi="宋体"/>
                <w:color w:val="auto"/>
                <w:highlight w:val="none"/>
                <w:lang w:eastAsia="zh-CN"/>
              </w:rPr>
              <w:t>比选</w:t>
            </w:r>
            <w:r>
              <w:rPr>
                <w:rFonts w:hint="default" w:ascii="宋体" w:hAnsi="宋体"/>
                <w:color w:val="auto"/>
                <w:highlight w:val="none"/>
              </w:rPr>
              <w:t>文件规定递交放弃在其他项目任职、</w:t>
            </w:r>
            <w:r>
              <w:rPr>
                <w:rFonts w:hint="eastAsia" w:ascii="宋体" w:hAnsi="宋体"/>
                <w:color w:val="auto"/>
                <w:highlight w:val="none"/>
                <w:lang w:eastAsia="zh-CN"/>
              </w:rPr>
              <w:t>中选</w:t>
            </w:r>
            <w:r>
              <w:rPr>
                <w:rFonts w:hint="default" w:ascii="宋体" w:hAnsi="宋体"/>
                <w:color w:val="auto"/>
                <w:highlight w:val="none"/>
              </w:rPr>
              <w:t>或拟</w:t>
            </w:r>
            <w:r>
              <w:rPr>
                <w:rFonts w:hint="eastAsia" w:ascii="宋体" w:hAnsi="宋体"/>
                <w:color w:val="auto"/>
                <w:highlight w:val="none"/>
                <w:lang w:eastAsia="zh-CN"/>
              </w:rPr>
              <w:t>中选</w:t>
            </w:r>
            <w:r>
              <w:rPr>
                <w:rFonts w:hint="default" w:ascii="宋体" w:hAnsi="宋体"/>
                <w:color w:val="auto"/>
                <w:highlight w:val="none"/>
              </w:rPr>
              <w:t>的相关资料，视为</w:t>
            </w:r>
            <w:r>
              <w:rPr>
                <w:rFonts w:hint="eastAsia" w:ascii="宋体" w:hAnsi="宋体"/>
                <w:color w:val="auto"/>
                <w:highlight w:val="none"/>
                <w:lang w:eastAsia="zh-CN"/>
              </w:rPr>
              <w:t>比选申请人</w:t>
            </w:r>
            <w:r>
              <w:rPr>
                <w:rFonts w:hint="default" w:ascii="宋体" w:hAnsi="宋体"/>
                <w:color w:val="auto"/>
                <w:highlight w:val="none"/>
              </w:rPr>
              <w:t>放弃</w:t>
            </w:r>
            <w:r>
              <w:rPr>
                <w:rFonts w:hint="eastAsia" w:ascii="宋体" w:hAnsi="宋体"/>
                <w:color w:val="auto"/>
                <w:highlight w:val="none"/>
                <w:lang w:eastAsia="zh-CN"/>
              </w:rPr>
              <w:t>中选</w:t>
            </w:r>
            <w:r>
              <w:rPr>
                <w:rFonts w:hint="default" w:ascii="宋体" w:hAnsi="宋体"/>
                <w:color w:val="auto"/>
                <w:highlight w:val="none"/>
              </w:rPr>
              <w:t>资格，</w:t>
            </w:r>
            <w:r>
              <w:rPr>
                <w:rFonts w:hint="eastAsia" w:ascii="宋体" w:hAnsi="宋体"/>
                <w:color w:val="auto"/>
                <w:highlight w:val="none"/>
                <w:lang w:eastAsia="zh-CN"/>
              </w:rPr>
              <w:t>比选人</w:t>
            </w:r>
            <w:r>
              <w:rPr>
                <w:rFonts w:hint="default" w:ascii="宋体" w:hAnsi="宋体"/>
                <w:color w:val="auto"/>
                <w:highlight w:val="none"/>
              </w:rPr>
              <w:t>不退还其投标保证金。在合同签订时，</w:t>
            </w:r>
            <w:r>
              <w:rPr>
                <w:rFonts w:hint="eastAsia" w:ascii="宋体" w:hAnsi="宋体"/>
                <w:color w:val="auto"/>
                <w:highlight w:val="none"/>
                <w:lang w:eastAsia="zh-CN"/>
              </w:rPr>
              <w:t>比选申请人</w:t>
            </w:r>
            <w:r>
              <w:rPr>
                <w:rFonts w:hint="default"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eastAsia="zh-CN"/>
              </w:rPr>
              <w:t>比选申请人</w:t>
            </w:r>
            <w:r>
              <w:rPr>
                <w:rFonts w:hint="default" w:ascii="宋体" w:hAnsi="宋体"/>
                <w:color w:val="auto"/>
                <w:highlight w:val="none"/>
              </w:rPr>
              <w:t>放弃</w:t>
            </w:r>
            <w:r>
              <w:rPr>
                <w:rFonts w:hint="eastAsia" w:ascii="宋体" w:hAnsi="宋体"/>
                <w:color w:val="auto"/>
                <w:highlight w:val="none"/>
                <w:lang w:eastAsia="zh-CN"/>
              </w:rPr>
              <w:t>中选</w:t>
            </w:r>
            <w:r>
              <w:rPr>
                <w:rFonts w:hint="default" w:ascii="宋体" w:hAnsi="宋体"/>
                <w:color w:val="auto"/>
                <w:highlight w:val="none"/>
              </w:rPr>
              <w:t>资格，</w:t>
            </w:r>
            <w:r>
              <w:rPr>
                <w:rFonts w:hint="eastAsia" w:ascii="宋体" w:hAnsi="宋体"/>
                <w:color w:val="auto"/>
                <w:highlight w:val="none"/>
                <w:lang w:eastAsia="zh-CN"/>
              </w:rPr>
              <w:t>比选人</w:t>
            </w:r>
            <w:r>
              <w:rPr>
                <w:rFonts w:hint="default" w:ascii="宋体" w:hAnsi="宋体"/>
                <w:color w:val="auto"/>
                <w:highlight w:val="none"/>
              </w:rPr>
              <w:t>不退还其投标保证金。</w:t>
            </w:r>
          </w:p>
          <w:p w14:paraId="35C8842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highlight w:val="none"/>
              </w:rPr>
            </w:pPr>
            <w:r>
              <w:rPr>
                <w:rFonts w:hint="default" w:ascii="宋体" w:hAnsi="宋体"/>
                <w:color w:val="auto"/>
                <w:highlight w:val="none"/>
              </w:rPr>
              <w:t>放弃在其他项目任职的需提供：①经业主或建设单位同意任职变更的文件；②负责项目监管的行业行政主管部门出具同意任职变更的证明材料。</w:t>
            </w:r>
          </w:p>
          <w:p w14:paraId="3D0E6B5A">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highlight w:val="none"/>
              </w:rPr>
            </w:pPr>
            <w:r>
              <w:rPr>
                <w:rFonts w:hint="default" w:ascii="宋体" w:hAnsi="宋体"/>
                <w:color w:val="auto"/>
                <w:highlight w:val="none"/>
              </w:rPr>
              <w:t>放弃在其他项目</w:t>
            </w:r>
            <w:r>
              <w:rPr>
                <w:rFonts w:hint="eastAsia" w:ascii="宋体" w:hAnsi="宋体"/>
                <w:color w:val="auto"/>
                <w:highlight w:val="none"/>
                <w:lang w:eastAsia="zh-CN"/>
              </w:rPr>
              <w:t>中选</w:t>
            </w:r>
            <w:r>
              <w:rPr>
                <w:rFonts w:hint="default" w:ascii="宋体" w:hAnsi="宋体"/>
                <w:color w:val="auto"/>
                <w:highlight w:val="none"/>
              </w:rPr>
              <w:t>或拟</w:t>
            </w:r>
            <w:r>
              <w:rPr>
                <w:rFonts w:hint="eastAsia" w:ascii="宋体" w:hAnsi="宋体"/>
                <w:color w:val="auto"/>
                <w:highlight w:val="none"/>
                <w:lang w:eastAsia="zh-CN"/>
              </w:rPr>
              <w:t>中选</w:t>
            </w:r>
            <w:r>
              <w:rPr>
                <w:rFonts w:hint="default" w:ascii="宋体" w:hAnsi="宋体"/>
                <w:color w:val="auto"/>
                <w:highlight w:val="none"/>
              </w:rPr>
              <w:t>的需提供：①经</w:t>
            </w:r>
            <w:r>
              <w:rPr>
                <w:rFonts w:hint="eastAsia" w:ascii="宋体" w:hAnsi="宋体"/>
                <w:color w:val="auto"/>
                <w:highlight w:val="none"/>
                <w:lang w:eastAsia="zh-CN"/>
              </w:rPr>
              <w:t>中选</w:t>
            </w:r>
            <w:r>
              <w:rPr>
                <w:rFonts w:hint="default" w:ascii="宋体" w:hAnsi="宋体"/>
                <w:color w:val="auto"/>
                <w:highlight w:val="none"/>
              </w:rPr>
              <w:t>或拟</w:t>
            </w:r>
            <w:r>
              <w:rPr>
                <w:rFonts w:hint="eastAsia" w:ascii="宋体" w:hAnsi="宋体"/>
                <w:color w:val="auto"/>
                <w:highlight w:val="none"/>
                <w:lang w:eastAsia="zh-CN"/>
              </w:rPr>
              <w:t>中选</w:t>
            </w:r>
            <w:r>
              <w:rPr>
                <w:rFonts w:hint="default" w:ascii="宋体" w:hAnsi="宋体"/>
                <w:color w:val="auto"/>
                <w:highlight w:val="none"/>
              </w:rPr>
              <w:t>的其他项目建设单位同意的放弃</w:t>
            </w:r>
            <w:r>
              <w:rPr>
                <w:rFonts w:hint="eastAsia" w:ascii="宋体" w:hAnsi="宋体"/>
                <w:color w:val="auto"/>
                <w:highlight w:val="none"/>
                <w:lang w:eastAsia="zh-CN"/>
              </w:rPr>
              <w:t>中选</w:t>
            </w:r>
            <w:r>
              <w:rPr>
                <w:rFonts w:hint="default" w:ascii="宋体" w:hAnsi="宋体"/>
                <w:color w:val="auto"/>
                <w:highlight w:val="none"/>
              </w:rPr>
              <w:t>函</w:t>
            </w:r>
            <w:r>
              <w:rPr>
                <w:rFonts w:hint="eastAsia" w:ascii="宋体" w:hAnsi="宋体"/>
                <w:color w:val="auto"/>
                <w:highlight w:val="none"/>
              </w:rPr>
              <w:t>。</w:t>
            </w:r>
          </w:p>
          <w:p w14:paraId="6359EAE8">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highlight w:val="none"/>
              </w:rPr>
              <w:t>5.2.4未提供上述承诺或承诺内容不符合要求的，由评标委员会作否决投标处理</w:t>
            </w:r>
            <w:r>
              <w:rPr>
                <w:rFonts w:hint="default" w:ascii="宋体" w:hAnsi="宋体"/>
                <w:color w:val="auto"/>
                <w:highlight w:val="none"/>
              </w:rPr>
              <w:t>。</w:t>
            </w:r>
          </w:p>
          <w:p w14:paraId="4C70B2FB">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资格审查部分提供有效的拟派项目经理建造师注册证、身份证、</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为其缴纳的养老保险证明材料复印件，拟派项目经理到岗履职和未被禁止参与投标的承诺原件（承诺格式见第八章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w:t>
            </w:r>
          </w:p>
          <w:p w14:paraId="230D4C1A">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146D9591">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6FC63995">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028F2B80">
            <w:pPr>
              <w:keepNext w:val="0"/>
              <w:keepLines w:val="0"/>
              <w:suppressLineNumbers w:val="0"/>
              <w:autoSpaceDE w:val="0"/>
              <w:autoSpaceDN w:val="0"/>
              <w:adjustRightInd w:val="0"/>
              <w:snapToGrid w:val="0"/>
              <w:spacing w:before="0" w:beforeAutospacing="0" w:after="0" w:afterAutospacing="0" w:line="400" w:lineRule="exact"/>
              <w:ind w:left="0" w:right="0" w:firstLine="422" w:firstLineChars="200"/>
              <w:rPr>
                <w:rFonts w:hint="default" w:ascii="宋体" w:hAnsi="宋体"/>
                <w:b/>
                <w:color w:val="auto"/>
                <w:szCs w:val="21"/>
                <w:highlight w:val="none"/>
              </w:rPr>
            </w:pPr>
            <w:r>
              <w:rPr>
                <w:rFonts w:hint="default" w:ascii="宋体" w:hAnsi="宋体"/>
                <w:b/>
                <w:color w:val="auto"/>
                <w:szCs w:val="21"/>
                <w:highlight w:val="none"/>
              </w:rPr>
              <w:t>6.其他要求</w:t>
            </w:r>
          </w:p>
          <w:p w14:paraId="3D6AA5A4">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主要管理人员：</w:t>
            </w:r>
          </w:p>
          <w:p w14:paraId="2EBE425D">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w:t>
            </w:r>
            <w:r>
              <w:rPr>
                <w:rFonts w:hint="eastAsia" w:ascii="宋体" w:hAnsi="宋体"/>
                <w:color w:val="auto"/>
                <w:szCs w:val="21"/>
                <w:highlight w:val="none"/>
                <w:lang w:eastAsia="zh-CN"/>
              </w:rPr>
              <w:t>中选</w:t>
            </w:r>
            <w:r>
              <w:rPr>
                <w:rFonts w:hint="eastAsia" w:ascii="宋体" w:hAnsi="宋体"/>
                <w:color w:val="auto"/>
                <w:szCs w:val="21"/>
                <w:highlight w:val="none"/>
              </w:rPr>
              <w:t>后在签订合同之前，须按照建设行政主管部门的要求组建施工项目部，配置项目管理班子</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含技术负责人</w:t>
            </w:r>
            <w:r>
              <w:rPr>
                <w:rFonts w:hint="eastAsia" w:ascii="宋体" w:hAnsi="宋体"/>
                <w:color w:val="auto"/>
                <w:szCs w:val="21"/>
                <w:highlight w:val="none"/>
                <w:lang w:eastAsia="zh-CN"/>
              </w:rPr>
              <w:t>）</w:t>
            </w:r>
            <w:r>
              <w:rPr>
                <w:rFonts w:hint="eastAsia" w:ascii="宋体" w:hAnsi="宋体"/>
                <w:color w:val="auto"/>
                <w:szCs w:val="21"/>
                <w:highlight w:val="none"/>
              </w:rPr>
              <w:t>，出具任命文件。任命文件应当明确施工项目部的职责、岗位设置、人员配备，并书面通知建设单位。相关岗位管理人员应持有建设行政主管部门要求的岗位证书，并提供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比选申请人</w:t>
            </w:r>
            <w:r>
              <w:rPr>
                <w:rFonts w:hint="eastAsia" w:ascii="宋体" w:hAnsi="宋体"/>
                <w:color w:val="auto"/>
                <w:szCs w:val="21"/>
                <w:highlight w:val="none"/>
              </w:rPr>
              <w:t>依法承担违约赔偿责任。</w:t>
            </w:r>
          </w:p>
          <w:p w14:paraId="58A8D5B1">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须在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资格审查部分提供承诺（承诺格式见第八章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p w14:paraId="10282EFE">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3</w:t>
            </w:r>
            <w:r>
              <w:rPr>
                <w:rFonts w:hint="default" w:ascii="宋体" w:hAnsi="宋体"/>
                <w:color w:val="auto"/>
                <w:kern w:val="0"/>
                <w:szCs w:val="21"/>
                <w:highlight w:val="none"/>
              </w:rPr>
              <w:t>）委托代理人</w:t>
            </w:r>
            <w:r>
              <w:rPr>
                <w:rFonts w:hint="eastAsia" w:ascii="宋体" w:hAnsi="宋体"/>
                <w:color w:val="auto"/>
                <w:kern w:val="0"/>
                <w:szCs w:val="21"/>
                <w:highlight w:val="none"/>
              </w:rPr>
              <w:t>：</w:t>
            </w:r>
          </w:p>
          <w:p w14:paraId="076EB8E5">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委托代理人必须为</w:t>
            </w: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本单位</w:t>
            </w:r>
            <w:r>
              <w:rPr>
                <w:rFonts w:hint="eastAsia" w:ascii="宋体" w:hAnsi="宋体"/>
                <w:color w:val="auto"/>
                <w:kern w:val="0"/>
                <w:szCs w:val="21"/>
                <w:highlight w:val="none"/>
              </w:rPr>
              <w:t>人员。</w:t>
            </w:r>
          </w:p>
          <w:p w14:paraId="384ED3B7">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w:t>
            </w:r>
            <w:r>
              <w:rPr>
                <w:rFonts w:hint="default" w:ascii="宋体" w:hAnsi="宋体"/>
                <w:color w:val="auto"/>
                <w:kern w:val="0"/>
                <w:szCs w:val="21"/>
                <w:highlight w:val="none"/>
              </w:rPr>
              <w:t>提供</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为该</w:t>
            </w:r>
            <w:r>
              <w:rPr>
                <w:rFonts w:hint="default"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60B9F2D6">
            <w:pPr>
              <w:keepNext w:val="0"/>
              <w:keepLines w:val="0"/>
              <w:suppressLineNumbers w:val="0"/>
              <w:autoSpaceDE w:val="0"/>
              <w:autoSpaceDN w:val="0"/>
              <w:adjustRightInd w:val="0"/>
              <w:snapToGrid w:val="0"/>
              <w:spacing w:before="0" w:beforeAutospacing="0" w:after="0" w:afterAutospacing="0" w:line="400" w:lineRule="exact"/>
              <w:ind w:left="0" w:right="0" w:firstLine="417" w:firstLineChars="198"/>
              <w:rPr>
                <w:rFonts w:hint="default" w:ascii="宋体" w:hAnsi="宋体" w:cs="宋体"/>
                <w:b/>
                <w:color w:val="auto"/>
                <w:szCs w:val="21"/>
                <w:highlight w:val="none"/>
              </w:rPr>
            </w:pPr>
            <w:r>
              <w:rPr>
                <w:rFonts w:hint="eastAsia" w:ascii="宋体" w:hAnsi="宋体" w:cs="宋体"/>
                <w:b/>
                <w:color w:val="auto"/>
                <w:szCs w:val="21"/>
                <w:highlight w:val="none"/>
              </w:rPr>
              <w:t>特别说明：</w:t>
            </w:r>
          </w:p>
          <w:p w14:paraId="68CA8AD1">
            <w:pPr>
              <w:keepNext w:val="0"/>
              <w:keepLines w:val="0"/>
              <w:suppressLineNumbers w:val="0"/>
              <w:autoSpaceDE w:val="0"/>
              <w:autoSpaceDN w:val="0"/>
              <w:adjustRightInd w:val="0"/>
              <w:snapToGrid w:val="0"/>
              <w:spacing w:before="0" w:beforeAutospacing="0" w:after="0" w:afterAutospacing="0" w:line="400" w:lineRule="exact"/>
              <w:ind w:left="0" w:right="0" w:firstLine="415" w:firstLineChars="198"/>
              <w:rPr>
                <w:rFonts w:hint="default" w:ascii="宋体" w:hAnsi="宋体" w:cs="宋体"/>
                <w:color w:val="auto"/>
                <w:kern w:val="0"/>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eastAsia="zh-CN"/>
              </w:rPr>
              <w:t>比选申请单位</w:t>
            </w:r>
            <w:r>
              <w:rPr>
                <w:rFonts w:hint="eastAsia" w:ascii="宋体" w:hAnsi="宋体" w:cs="宋体"/>
                <w:color w:val="auto"/>
                <w:szCs w:val="21"/>
                <w:highlight w:val="none"/>
              </w:rPr>
              <w:t>法人章并装入</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资格审查部分中。</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时</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的委托代理人须随身携带以上所有复印件的原件及原件清单（营业执照、资质证书、带二维码的证件、身份证、网页打印件、截图、承诺书、声明除外），在递交</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时一次性递交，不得补交，原件袋必须密封。评标委员会审查时必须对有关证明和证件的原件核查，若经审查复印件与原件不一致，或未提交原件的，则</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由评标委员会作否决投标处理。上述要求</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eastAsia="zh-CN"/>
              </w:rPr>
              <w:t>比选申请文件</w:t>
            </w:r>
            <w:r>
              <w:rPr>
                <w:rFonts w:hint="eastAsia" w:ascii="宋体" w:hAnsi="宋体" w:cs="宋体"/>
                <w:color w:val="auto"/>
                <w:kern w:val="0"/>
                <w:szCs w:val="21"/>
                <w:highlight w:val="none"/>
              </w:rPr>
              <w:t>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1F3047CC">
            <w:pPr>
              <w:keepNext w:val="0"/>
              <w:keepLines w:val="0"/>
              <w:suppressLineNumbers w:val="0"/>
              <w:autoSpaceDE w:val="0"/>
              <w:autoSpaceDN w:val="0"/>
              <w:adjustRightInd w:val="0"/>
              <w:snapToGrid w:val="0"/>
              <w:spacing w:before="0" w:beforeAutospacing="0" w:after="0" w:afterAutospacing="0" w:line="400" w:lineRule="exact"/>
              <w:ind w:left="0" w:right="0" w:firstLine="415" w:firstLineChars="198"/>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须自行承诺其提供的上述相关证明材料真实有效，不存在弄虚作假情形（格式见第八章</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资格，并按相关法律法规报招标投标监督部门，其投标保证金不予退还，</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14:paraId="7E02C227">
            <w:pPr>
              <w:keepNext w:val="0"/>
              <w:keepLines w:val="0"/>
              <w:suppressLineNumbers w:val="0"/>
              <w:spacing w:before="0" w:beforeAutospacing="0" w:after="0" w:afterAutospacing="0" w:line="400" w:lineRule="exact"/>
              <w:ind w:left="0" w:right="0" w:firstLine="420" w:firstLineChars="200"/>
              <w:rPr>
                <w:rFonts w:hint="default" w:ascii="宋体" w:hAnsi="宋体"/>
                <w:bCs/>
                <w:color w:val="auto"/>
                <w:kern w:val="0"/>
                <w:szCs w:val="21"/>
                <w:highlight w:val="none"/>
              </w:rPr>
            </w:pPr>
            <w:r>
              <w:rPr>
                <w:rFonts w:hint="eastAsia" w:ascii="宋体" w:hAnsi="宋体"/>
                <w:bCs/>
                <w:color w:val="auto"/>
                <w:kern w:val="0"/>
                <w:szCs w:val="21"/>
                <w:highlight w:val="none"/>
              </w:rPr>
              <w:t>（3）</w:t>
            </w:r>
            <w:r>
              <w:rPr>
                <w:rFonts w:hint="default" w:ascii="宋体" w:hAnsi="宋体"/>
                <w:bCs/>
                <w:color w:val="auto"/>
                <w:kern w:val="0"/>
                <w:szCs w:val="21"/>
                <w:highlight w:val="none"/>
              </w:rPr>
              <w:t>本</w:t>
            </w:r>
            <w:r>
              <w:rPr>
                <w:rFonts w:hint="eastAsia" w:ascii="宋体" w:hAnsi="宋体"/>
                <w:bCs/>
                <w:color w:val="auto"/>
                <w:kern w:val="0"/>
                <w:szCs w:val="21"/>
                <w:highlight w:val="none"/>
                <w:lang w:eastAsia="zh-CN"/>
              </w:rPr>
              <w:t>比选</w:t>
            </w:r>
            <w:r>
              <w:rPr>
                <w:rFonts w:hint="default"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hint="default" w:ascii="宋体" w:hAnsi="宋体"/>
                <w:bCs/>
                <w:color w:val="auto"/>
                <w:kern w:val="0"/>
                <w:szCs w:val="21"/>
                <w:highlight w:val="none"/>
              </w:rPr>
              <w:t>证明要求如下：</w:t>
            </w:r>
          </w:p>
          <w:p w14:paraId="0ED0EFA4">
            <w:pPr>
              <w:keepNext w:val="0"/>
              <w:keepLines w:val="0"/>
              <w:suppressLineNumbers w:val="0"/>
              <w:spacing w:before="0" w:beforeAutospacing="0" w:after="0" w:afterAutospacing="0" w:line="400" w:lineRule="exact"/>
              <w:ind w:left="0" w:right="0" w:firstLine="420" w:firstLineChars="200"/>
              <w:rPr>
                <w:rFonts w:hint="default" w:ascii="宋体" w:hAnsi="宋体"/>
                <w:bCs/>
                <w:color w:val="auto"/>
                <w:kern w:val="0"/>
                <w:szCs w:val="21"/>
                <w:highlight w:val="none"/>
              </w:rPr>
            </w:pPr>
            <w:r>
              <w:rPr>
                <w:rFonts w:hint="default"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hint="default" w:ascii="宋体" w:hAnsi="宋体"/>
                <w:bCs/>
                <w:color w:val="auto"/>
                <w:kern w:val="0"/>
                <w:szCs w:val="21"/>
                <w:highlight w:val="none"/>
              </w:rPr>
              <w:t>提供</w:t>
            </w:r>
            <w:r>
              <w:rPr>
                <w:rFonts w:hint="eastAsia" w:ascii="宋体" w:hAnsi="宋体"/>
                <w:bCs/>
                <w:color w:val="auto"/>
                <w:kern w:val="0"/>
                <w:szCs w:val="21"/>
                <w:highlight w:val="none"/>
              </w:rPr>
              <w:t>养老保险</w:t>
            </w:r>
            <w:r>
              <w:rPr>
                <w:rFonts w:hint="default"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hint="default" w:ascii="宋体" w:hAnsi="宋体"/>
                <w:bCs/>
                <w:color w:val="auto"/>
                <w:kern w:val="0"/>
                <w:szCs w:val="21"/>
                <w:highlight w:val="none"/>
              </w:rPr>
              <w:t>证明或行政主管部门在编证明。</w:t>
            </w:r>
          </w:p>
          <w:p w14:paraId="0CE970DA">
            <w:pPr>
              <w:keepNext w:val="0"/>
              <w:keepLines w:val="0"/>
              <w:suppressLineNumbers w:val="0"/>
              <w:spacing w:before="0" w:beforeAutospacing="0" w:after="0" w:afterAutospacing="0" w:line="400" w:lineRule="exact"/>
              <w:ind w:left="0" w:right="0" w:firstLine="420" w:firstLineChars="200"/>
              <w:rPr>
                <w:rFonts w:hint="default" w:ascii="宋体" w:hAnsi="宋体"/>
                <w:bCs/>
                <w:snapToGrid w:val="0"/>
                <w:color w:val="auto"/>
                <w:kern w:val="0"/>
                <w:szCs w:val="21"/>
                <w:highlight w:val="none"/>
              </w:rPr>
            </w:pPr>
            <w:r>
              <w:rPr>
                <w:rFonts w:hint="default"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hint="default"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hint="default"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hint="default" w:ascii="宋体" w:hAnsi="宋体"/>
                <w:bCs/>
                <w:snapToGrid w:val="0"/>
                <w:color w:val="auto"/>
                <w:kern w:val="0"/>
                <w:szCs w:val="21"/>
                <w:highlight w:val="none"/>
              </w:rPr>
              <w:t>年</w:t>
            </w:r>
            <w:r>
              <w:rPr>
                <w:rFonts w:hint="eastAsia" w:ascii="宋体" w:hAnsi="宋体"/>
                <w:bCs/>
                <w:snapToGrid w:val="0"/>
                <w:color w:val="auto"/>
                <w:kern w:val="0"/>
                <w:szCs w:val="21"/>
                <w:highlight w:val="none"/>
                <w:lang w:val="en-US" w:eastAsia="zh-CN"/>
              </w:rPr>
              <w:t>11</w:t>
            </w:r>
            <w:r>
              <w:rPr>
                <w:rFonts w:hint="default"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single"/>
              </w:rPr>
              <w:t xml:space="preserve"> </w:t>
            </w:r>
            <w:r>
              <w:rPr>
                <w:rFonts w:hint="default"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 xml:space="preserve"> 4 </w:t>
            </w:r>
            <w:r>
              <w:rPr>
                <w:rFonts w:hint="default"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。养老保险证明原件必须加盖社保部门公章，提供的养老保险参保证明须体现上述人员的姓名、身份证号（或社保号）、单位名称、本单位参保时间（或起始参保时间）。为确保对所有</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的公开、公平、公正，</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如果提供网上打印的养老保险证明材料含有电子印章且提供了该地区政府或人社局发布的相关推行参保人员社保证明电子化的佐证材料（可不要求为原件，但必须网上能查询文件属实），可视为原件，不需加盖社保部门公章，</w:t>
            </w:r>
            <w:r>
              <w:rPr>
                <w:rFonts w:hint="eastAsia" w:ascii="宋体" w:hAnsi="宋体"/>
                <w:bCs/>
                <w:color w:val="auto"/>
                <w:szCs w:val="21"/>
                <w:highlight w:val="none"/>
                <w:lang w:eastAsia="zh-CN"/>
              </w:rPr>
              <w:t>比选</w:t>
            </w:r>
            <w:r>
              <w:rPr>
                <w:rFonts w:hint="eastAsia" w:ascii="宋体" w:hAnsi="宋体"/>
                <w:bCs/>
                <w:color w:val="auto"/>
                <w:szCs w:val="21"/>
                <w:highlight w:val="none"/>
              </w:rPr>
              <w:t>有效，否则由评标委员会作否决投标处理。</w:t>
            </w:r>
          </w:p>
        </w:tc>
      </w:tr>
      <w:tr w14:paraId="2B888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025AB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1.4.2</w:t>
            </w:r>
          </w:p>
        </w:tc>
        <w:tc>
          <w:tcPr>
            <w:tcW w:w="1644" w:type="dxa"/>
            <w:vAlign w:val="center"/>
          </w:tcPr>
          <w:p w14:paraId="0F14D29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是否接受联合体投标</w:t>
            </w:r>
          </w:p>
        </w:tc>
        <w:tc>
          <w:tcPr>
            <w:tcW w:w="6490" w:type="dxa"/>
            <w:vAlign w:val="center"/>
          </w:tcPr>
          <w:p w14:paraId="7E9868E6">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不接受</w:t>
            </w:r>
          </w:p>
        </w:tc>
      </w:tr>
      <w:tr w14:paraId="4DD93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8C2B8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1.9.1</w:t>
            </w:r>
          </w:p>
        </w:tc>
        <w:tc>
          <w:tcPr>
            <w:tcW w:w="1644" w:type="dxa"/>
            <w:vAlign w:val="center"/>
          </w:tcPr>
          <w:p w14:paraId="4D4F499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踏勘现场</w:t>
            </w:r>
          </w:p>
        </w:tc>
        <w:tc>
          <w:tcPr>
            <w:tcW w:w="6490" w:type="dxa"/>
            <w:vAlign w:val="center"/>
          </w:tcPr>
          <w:p w14:paraId="7D67C15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不组织</w:t>
            </w:r>
          </w:p>
        </w:tc>
      </w:tr>
      <w:tr w14:paraId="0A422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0830D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1.10.1</w:t>
            </w:r>
          </w:p>
        </w:tc>
        <w:tc>
          <w:tcPr>
            <w:tcW w:w="1644" w:type="dxa"/>
            <w:vAlign w:val="center"/>
          </w:tcPr>
          <w:p w14:paraId="5B5C667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投标预备会</w:t>
            </w:r>
          </w:p>
        </w:tc>
        <w:tc>
          <w:tcPr>
            <w:tcW w:w="6490" w:type="dxa"/>
            <w:vAlign w:val="center"/>
          </w:tcPr>
          <w:p w14:paraId="598E3FE6">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不召开</w:t>
            </w:r>
          </w:p>
        </w:tc>
      </w:tr>
      <w:tr w14:paraId="52A10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3CC62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1.11</w:t>
            </w:r>
          </w:p>
        </w:tc>
        <w:tc>
          <w:tcPr>
            <w:tcW w:w="1644" w:type="dxa"/>
            <w:vAlign w:val="center"/>
          </w:tcPr>
          <w:p w14:paraId="166FA67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分包</w:t>
            </w:r>
          </w:p>
        </w:tc>
        <w:tc>
          <w:tcPr>
            <w:tcW w:w="6490" w:type="dxa"/>
            <w:vAlign w:val="center"/>
          </w:tcPr>
          <w:p w14:paraId="180E7DA0">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不允许</w:t>
            </w:r>
          </w:p>
        </w:tc>
      </w:tr>
      <w:tr w14:paraId="2770B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7B805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2.1</w:t>
            </w:r>
          </w:p>
        </w:tc>
        <w:tc>
          <w:tcPr>
            <w:tcW w:w="1644" w:type="dxa"/>
            <w:vAlign w:val="center"/>
          </w:tcPr>
          <w:p w14:paraId="73438E1F">
            <w:pPr>
              <w:keepNext w:val="0"/>
              <w:keepLines w:val="0"/>
              <w:suppressLineNumbers w:val="0"/>
              <w:snapToGrid w:val="0"/>
              <w:spacing w:before="0" w:beforeAutospacing="0" w:after="15" w:afterLines="5"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文件的其他材料</w:t>
            </w:r>
          </w:p>
        </w:tc>
        <w:tc>
          <w:tcPr>
            <w:tcW w:w="6490" w:type="dxa"/>
            <w:vAlign w:val="center"/>
          </w:tcPr>
          <w:p w14:paraId="154FC1BF">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比选人</w:t>
            </w:r>
            <w:r>
              <w:rPr>
                <w:rFonts w:hint="default" w:ascii="宋体" w:hAnsi="宋体"/>
                <w:color w:val="auto"/>
                <w:szCs w:val="21"/>
                <w:highlight w:val="none"/>
              </w:rPr>
              <w:t>发出的</w:t>
            </w:r>
            <w:r>
              <w:rPr>
                <w:rFonts w:hint="eastAsia" w:ascii="宋体" w:hAnsi="宋体"/>
                <w:color w:val="auto"/>
                <w:szCs w:val="21"/>
                <w:highlight w:val="none"/>
              </w:rPr>
              <w:t>澄清</w:t>
            </w:r>
            <w:r>
              <w:rPr>
                <w:rFonts w:hint="default" w:ascii="宋体" w:hAnsi="宋体"/>
                <w:color w:val="auto"/>
                <w:szCs w:val="21"/>
                <w:highlight w:val="none"/>
              </w:rPr>
              <w:t>及</w:t>
            </w:r>
            <w:r>
              <w:rPr>
                <w:rFonts w:hint="eastAsia" w:ascii="宋体" w:hAnsi="宋体"/>
                <w:color w:val="auto"/>
                <w:szCs w:val="21"/>
                <w:highlight w:val="none"/>
              </w:rPr>
              <w:t>修改</w:t>
            </w:r>
          </w:p>
        </w:tc>
      </w:tr>
      <w:tr w14:paraId="39C35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638BA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w:t>
            </w:r>
            <w:r>
              <w:rPr>
                <w:rFonts w:hint="default" w:ascii="宋体" w:hAnsi="宋体"/>
                <w:color w:val="auto"/>
                <w:kern w:val="0"/>
                <w:szCs w:val="21"/>
                <w:highlight w:val="none"/>
              </w:rPr>
              <w:t>.</w:t>
            </w:r>
            <w:r>
              <w:rPr>
                <w:rFonts w:hint="eastAsia" w:ascii="宋体" w:hAnsi="宋体"/>
                <w:color w:val="auto"/>
                <w:kern w:val="0"/>
                <w:szCs w:val="21"/>
                <w:highlight w:val="none"/>
              </w:rPr>
              <w:t>2</w:t>
            </w:r>
            <w:r>
              <w:rPr>
                <w:rFonts w:hint="default"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4FC66B2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对</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文件提出</w:t>
            </w:r>
            <w:r>
              <w:rPr>
                <w:rFonts w:hint="eastAsia" w:ascii="宋体" w:hAnsi="宋体"/>
                <w:color w:val="auto"/>
                <w:kern w:val="0"/>
                <w:szCs w:val="21"/>
                <w:highlight w:val="none"/>
              </w:rPr>
              <w:t>疑问</w:t>
            </w:r>
            <w:r>
              <w:rPr>
                <w:rFonts w:hint="default" w:ascii="宋体" w:hAnsi="宋体"/>
                <w:color w:val="auto"/>
                <w:kern w:val="0"/>
                <w:szCs w:val="21"/>
                <w:highlight w:val="none"/>
              </w:rPr>
              <w:t>的截止时间</w:t>
            </w:r>
          </w:p>
        </w:tc>
        <w:tc>
          <w:tcPr>
            <w:tcW w:w="6490" w:type="dxa"/>
            <w:vAlign w:val="center"/>
          </w:tcPr>
          <w:p w14:paraId="2F8C9C3D">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w:t>
            </w:r>
            <w:r>
              <w:rPr>
                <w:rFonts w:hint="eastAsia" w:ascii="宋体" w:hAnsi="宋体"/>
                <w:color w:val="auto"/>
                <w:kern w:val="0"/>
                <w:szCs w:val="21"/>
                <w:highlight w:val="none"/>
              </w:rPr>
              <w:t>及附件</w:t>
            </w:r>
            <w:r>
              <w:rPr>
                <w:rFonts w:hint="default"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公告规定的时间</w:t>
            </w:r>
            <w:r>
              <w:rPr>
                <w:rFonts w:hint="default" w:ascii="宋体" w:hAnsi="宋体"/>
                <w:color w:val="auto"/>
                <w:kern w:val="0"/>
                <w:szCs w:val="21"/>
                <w:highlight w:val="none"/>
              </w:rPr>
              <w:t>前</w:t>
            </w:r>
            <w:r>
              <w:rPr>
                <w:rFonts w:hint="eastAsia" w:ascii="宋体" w:hAnsi="宋体"/>
                <w:color w:val="auto"/>
                <w:kern w:val="0"/>
                <w:szCs w:val="21"/>
                <w:highlight w:val="none"/>
                <w:lang w:eastAsia="zh-CN"/>
              </w:rPr>
              <w:t>向比选人或比选代理机构</w:t>
            </w:r>
            <w:r>
              <w:rPr>
                <w:rFonts w:hint="eastAsia" w:ascii="宋体" w:hAnsi="宋体"/>
                <w:color w:val="auto"/>
                <w:kern w:val="0"/>
                <w:szCs w:val="21"/>
                <w:highlight w:val="none"/>
              </w:rPr>
              <w:t>提问</w:t>
            </w:r>
            <w:r>
              <w:rPr>
                <w:rFonts w:hint="default" w:ascii="宋体" w:hAnsi="宋体"/>
                <w:color w:val="auto"/>
                <w:kern w:val="0"/>
                <w:szCs w:val="21"/>
                <w:highlight w:val="none"/>
              </w:rPr>
              <w:t>。</w:t>
            </w:r>
          </w:p>
        </w:tc>
      </w:tr>
      <w:tr w14:paraId="57908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58AFDDF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2.2.2</w:t>
            </w:r>
          </w:p>
        </w:tc>
        <w:tc>
          <w:tcPr>
            <w:tcW w:w="1644" w:type="dxa"/>
            <w:tcBorders>
              <w:top w:val="single" w:color="auto" w:sz="4" w:space="0"/>
            </w:tcBorders>
            <w:vAlign w:val="center"/>
          </w:tcPr>
          <w:p w14:paraId="7E67455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对</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w:t>
            </w:r>
            <w:r>
              <w:rPr>
                <w:rFonts w:hint="eastAsia" w:ascii="宋体" w:hAnsi="宋体"/>
                <w:color w:val="auto"/>
                <w:kern w:val="0"/>
                <w:szCs w:val="21"/>
                <w:highlight w:val="none"/>
              </w:rPr>
              <w:t>澄清</w:t>
            </w:r>
            <w:r>
              <w:rPr>
                <w:rFonts w:hint="default" w:ascii="宋体" w:hAnsi="宋体"/>
                <w:color w:val="auto"/>
                <w:kern w:val="0"/>
                <w:szCs w:val="21"/>
                <w:highlight w:val="none"/>
              </w:rPr>
              <w:t>的截止时间</w:t>
            </w:r>
          </w:p>
        </w:tc>
        <w:tc>
          <w:tcPr>
            <w:tcW w:w="6490" w:type="dxa"/>
            <w:vAlign w:val="center"/>
          </w:tcPr>
          <w:p w14:paraId="101E613D">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w:t>
            </w:r>
            <w:r>
              <w:rPr>
                <w:rFonts w:hint="eastAsia" w:ascii="宋体" w:hAnsi="宋体"/>
                <w:color w:val="auto"/>
                <w:szCs w:val="21"/>
                <w:highlight w:val="none"/>
              </w:rPr>
              <w:t>公告规定的时间前</w:t>
            </w:r>
            <w:r>
              <w:rPr>
                <w:rFonts w:hint="default" w:ascii="宋体" w:hAnsi="宋体"/>
                <w:color w:val="auto"/>
                <w:szCs w:val="21"/>
                <w:highlight w:val="none"/>
              </w:rPr>
              <w:t>，</w:t>
            </w:r>
            <w:r>
              <w:rPr>
                <w:rFonts w:hint="default" w:ascii="宋体" w:hAnsi="宋体"/>
                <w:color w:val="auto"/>
                <w:kern w:val="0"/>
                <w:szCs w:val="21"/>
                <w:highlight w:val="none"/>
              </w:rPr>
              <w:t>发布</w:t>
            </w:r>
            <w:r>
              <w:rPr>
                <w:rFonts w:hint="eastAsia" w:ascii="宋体" w:hAnsi="宋体"/>
                <w:color w:val="auto"/>
                <w:kern w:val="0"/>
                <w:szCs w:val="21"/>
                <w:highlight w:val="none"/>
              </w:rPr>
              <w:t>澄清</w:t>
            </w:r>
            <w:r>
              <w:rPr>
                <w:rFonts w:hint="default" w:ascii="宋体" w:hAnsi="宋体"/>
                <w:color w:val="auto"/>
                <w:kern w:val="0"/>
                <w:szCs w:val="21"/>
                <w:highlight w:val="none"/>
              </w:rPr>
              <w:t>。</w:t>
            </w:r>
          </w:p>
        </w:tc>
      </w:tr>
      <w:tr w14:paraId="36349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685A44E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p>
        </w:tc>
        <w:tc>
          <w:tcPr>
            <w:tcW w:w="1644" w:type="dxa"/>
            <w:vAlign w:val="center"/>
          </w:tcPr>
          <w:p w14:paraId="4A2202A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比选截止时间</w:t>
            </w:r>
          </w:p>
        </w:tc>
        <w:tc>
          <w:tcPr>
            <w:tcW w:w="6490" w:type="dxa"/>
            <w:vAlign w:val="center"/>
          </w:tcPr>
          <w:p w14:paraId="380DA933">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w:t>
            </w:r>
            <w:r>
              <w:rPr>
                <w:rFonts w:hint="eastAsia" w:ascii="宋体" w:hAnsi="宋体"/>
                <w:color w:val="auto"/>
                <w:szCs w:val="21"/>
                <w:highlight w:val="none"/>
              </w:rPr>
              <w:t>公告规定的</w:t>
            </w:r>
            <w:r>
              <w:rPr>
                <w:rFonts w:hint="eastAsia" w:ascii="宋体" w:hAnsi="宋体"/>
                <w:color w:val="auto"/>
                <w:szCs w:val="21"/>
                <w:highlight w:val="none"/>
                <w:lang w:eastAsia="zh-CN"/>
              </w:rPr>
              <w:t>比选</w:t>
            </w:r>
            <w:r>
              <w:rPr>
                <w:rFonts w:hint="eastAsia" w:ascii="宋体" w:hAnsi="宋体"/>
                <w:color w:val="auto"/>
                <w:szCs w:val="21"/>
                <w:highlight w:val="none"/>
              </w:rPr>
              <w:t>截止时间。</w:t>
            </w:r>
          </w:p>
        </w:tc>
      </w:tr>
      <w:tr w14:paraId="495CB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DFB92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2.2.3</w:t>
            </w:r>
          </w:p>
        </w:tc>
        <w:tc>
          <w:tcPr>
            <w:tcW w:w="1644" w:type="dxa"/>
            <w:vAlign w:val="center"/>
          </w:tcPr>
          <w:p w14:paraId="00EB51C7">
            <w:pPr>
              <w:keepNext w:val="0"/>
              <w:keepLines w:val="0"/>
              <w:suppressLineNumbers w:val="0"/>
              <w:snapToGrid w:val="0"/>
              <w:spacing w:before="0" w:beforeAutospacing="0" w:after="15" w:afterLines="5"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对</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文件进行</w:t>
            </w:r>
            <w:r>
              <w:rPr>
                <w:rFonts w:hint="eastAsia" w:ascii="宋体" w:hAnsi="宋体"/>
                <w:color w:val="auto"/>
                <w:kern w:val="0"/>
                <w:szCs w:val="21"/>
                <w:highlight w:val="none"/>
              </w:rPr>
              <w:t>修改</w:t>
            </w:r>
            <w:r>
              <w:rPr>
                <w:rFonts w:hint="default" w:ascii="宋体" w:hAnsi="宋体"/>
                <w:color w:val="auto"/>
                <w:kern w:val="0"/>
                <w:szCs w:val="21"/>
                <w:highlight w:val="none"/>
              </w:rPr>
              <w:t>的时间</w:t>
            </w:r>
          </w:p>
        </w:tc>
        <w:tc>
          <w:tcPr>
            <w:tcW w:w="6490" w:type="dxa"/>
            <w:vAlign w:val="center"/>
          </w:tcPr>
          <w:p w14:paraId="563CB692">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snapToGrid w:val="0"/>
                <w:color w:val="auto"/>
                <w:kern w:val="0"/>
                <w:szCs w:val="21"/>
                <w:highlight w:val="none"/>
              </w:rPr>
              <w:t>修改</w:t>
            </w:r>
            <w:r>
              <w:rPr>
                <w:rFonts w:hint="default"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比选申请文件</w:t>
            </w:r>
            <w:r>
              <w:rPr>
                <w:rFonts w:hint="default" w:ascii="宋体" w:hAnsi="宋体"/>
                <w:snapToGrid w:val="0"/>
                <w:color w:val="auto"/>
                <w:kern w:val="0"/>
                <w:szCs w:val="21"/>
                <w:highlight w:val="none"/>
              </w:rPr>
              <w:t>编制的，须在</w:t>
            </w:r>
            <w:r>
              <w:rPr>
                <w:rFonts w:hint="eastAsia" w:ascii="宋体" w:hAnsi="宋体"/>
                <w:snapToGrid w:val="0"/>
                <w:color w:val="auto"/>
                <w:kern w:val="0"/>
                <w:szCs w:val="21"/>
                <w:highlight w:val="none"/>
                <w:lang w:eastAsia="zh-CN"/>
              </w:rPr>
              <w:t>比选截止时间</w:t>
            </w:r>
            <w:r>
              <w:rPr>
                <w:rFonts w:hint="eastAsia" w:ascii="宋体" w:hAnsi="宋体"/>
                <w:snapToGrid w:val="0"/>
                <w:color w:val="auto"/>
                <w:kern w:val="0"/>
                <w:szCs w:val="21"/>
                <w:highlight w:val="none"/>
                <w:lang w:val="en-US" w:eastAsia="zh-CN"/>
              </w:rPr>
              <w:t>1</w:t>
            </w:r>
            <w:r>
              <w:rPr>
                <w:rFonts w:hint="default"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比选截止时间</w:t>
            </w:r>
            <w:r>
              <w:rPr>
                <w:rFonts w:hint="default" w:ascii="宋体" w:hAnsi="宋体"/>
                <w:snapToGrid w:val="0"/>
                <w:color w:val="auto"/>
                <w:kern w:val="0"/>
                <w:szCs w:val="21"/>
                <w:highlight w:val="none"/>
              </w:rPr>
              <w:t>不足</w:t>
            </w:r>
            <w:r>
              <w:rPr>
                <w:rFonts w:hint="eastAsia" w:ascii="宋体" w:hAnsi="宋体"/>
                <w:snapToGrid w:val="0"/>
                <w:color w:val="auto"/>
                <w:kern w:val="0"/>
                <w:szCs w:val="21"/>
                <w:highlight w:val="none"/>
                <w:lang w:val="en-US" w:eastAsia="zh-CN"/>
              </w:rPr>
              <w:t>1</w:t>
            </w:r>
            <w:r>
              <w:rPr>
                <w:rFonts w:hint="default"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比选截止时间</w:t>
            </w:r>
            <w:r>
              <w:rPr>
                <w:rFonts w:hint="default" w:ascii="宋体" w:hAnsi="宋体"/>
                <w:snapToGrid w:val="0"/>
                <w:color w:val="auto"/>
                <w:kern w:val="0"/>
                <w:szCs w:val="21"/>
                <w:highlight w:val="none"/>
              </w:rPr>
              <w:t>。</w:t>
            </w:r>
          </w:p>
        </w:tc>
      </w:tr>
      <w:tr w14:paraId="37A2C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0A57E3">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2.2.4</w:t>
            </w:r>
          </w:p>
        </w:tc>
        <w:tc>
          <w:tcPr>
            <w:tcW w:w="1644" w:type="dxa"/>
            <w:vAlign w:val="center"/>
          </w:tcPr>
          <w:p w14:paraId="19A6D41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对</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文件及澄清修改提出异议的截止时间</w:t>
            </w:r>
          </w:p>
        </w:tc>
        <w:tc>
          <w:tcPr>
            <w:tcW w:w="6490" w:type="dxa"/>
            <w:vAlign w:val="center"/>
          </w:tcPr>
          <w:p w14:paraId="2ACF774F">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hint="default"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w:t>
            </w:r>
            <w:r>
              <w:rPr>
                <w:rFonts w:hint="default"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hint="default" w:ascii="宋体" w:hAnsi="宋体"/>
                <w:snapToGrid w:val="0"/>
                <w:color w:val="auto"/>
                <w:kern w:val="0"/>
                <w:szCs w:val="21"/>
                <w:highlight w:val="none"/>
              </w:rPr>
              <w:t>有异议的，应当在</w:t>
            </w:r>
            <w:r>
              <w:rPr>
                <w:rFonts w:hint="eastAsia" w:ascii="宋体" w:hAnsi="宋体"/>
                <w:snapToGrid w:val="0"/>
                <w:color w:val="auto"/>
                <w:kern w:val="0"/>
                <w:szCs w:val="21"/>
                <w:highlight w:val="none"/>
                <w:lang w:eastAsia="zh-CN"/>
              </w:rPr>
              <w:t>比选截止时间</w:t>
            </w:r>
            <w:r>
              <w:rPr>
                <w:rFonts w:hint="eastAsia" w:ascii="宋体" w:hAnsi="宋体"/>
                <w:snapToGrid w:val="0"/>
                <w:color w:val="auto"/>
                <w:kern w:val="0"/>
                <w:szCs w:val="21"/>
                <w:highlight w:val="none"/>
                <w:lang w:val="en-US" w:eastAsia="zh-CN"/>
              </w:rPr>
              <w:t>1</w:t>
            </w:r>
            <w:r>
              <w:rPr>
                <w:rFonts w:hint="default"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w:t>
            </w:r>
            <w:r>
              <w:rPr>
                <w:rFonts w:hint="eastAsia" w:ascii="宋体" w:hAnsi="宋体"/>
                <w:snapToGrid w:val="0"/>
                <w:color w:val="auto"/>
                <w:kern w:val="0"/>
                <w:szCs w:val="21"/>
                <w:highlight w:val="none"/>
              </w:rPr>
              <w:t>机构</w:t>
            </w:r>
            <w:r>
              <w:rPr>
                <w:rFonts w:hint="default"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hint="default"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w:t>
            </w:r>
            <w:r>
              <w:rPr>
                <w:rFonts w:hint="eastAsia" w:ascii="宋体" w:hAnsi="宋体"/>
                <w:snapToGrid w:val="0"/>
                <w:color w:val="auto"/>
                <w:kern w:val="0"/>
                <w:szCs w:val="21"/>
                <w:highlight w:val="none"/>
                <w:lang w:eastAsia="zh-CN"/>
              </w:rPr>
              <w:t>比选申请文件</w:t>
            </w:r>
            <w:r>
              <w:rPr>
                <w:rFonts w:hint="eastAsia" w:ascii="宋体" w:hAnsi="宋体"/>
                <w:snapToGrid w:val="0"/>
                <w:color w:val="auto"/>
                <w:kern w:val="0"/>
                <w:szCs w:val="21"/>
                <w:highlight w:val="none"/>
              </w:rPr>
              <w:t>编制的，将以修改的形式于</w:t>
            </w:r>
            <w:r>
              <w:rPr>
                <w:rFonts w:hint="eastAsia" w:ascii="宋体" w:hAnsi="宋体"/>
                <w:snapToGrid w:val="0"/>
                <w:color w:val="auto"/>
                <w:kern w:val="0"/>
                <w:szCs w:val="21"/>
                <w:highlight w:val="none"/>
                <w:lang w:eastAsia="zh-CN"/>
              </w:rPr>
              <w:t>比选截止时间</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比选截止时间</w:t>
            </w:r>
            <w:r>
              <w:rPr>
                <w:rFonts w:hint="eastAsia" w:ascii="宋体" w:hAnsi="宋体"/>
                <w:snapToGrid w:val="0"/>
                <w:color w:val="auto"/>
                <w:kern w:val="0"/>
                <w:szCs w:val="21"/>
                <w:highlight w:val="none"/>
              </w:rPr>
              <w:t>不足</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比选截止时间</w:t>
            </w:r>
            <w:r>
              <w:rPr>
                <w:rFonts w:hint="default" w:ascii="宋体" w:hAnsi="宋体"/>
                <w:snapToGrid w:val="0"/>
                <w:color w:val="auto"/>
                <w:kern w:val="0"/>
                <w:szCs w:val="21"/>
                <w:highlight w:val="none"/>
              </w:rPr>
              <w:t>。</w:t>
            </w:r>
          </w:p>
        </w:tc>
      </w:tr>
      <w:tr w14:paraId="6F5CE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831EF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3.1.1</w:t>
            </w:r>
          </w:p>
        </w:tc>
        <w:tc>
          <w:tcPr>
            <w:tcW w:w="1644" w:type="dxa"/>
            <w:vAlign w:val="center"/>
          </w:tcPr>
          <w:p w14:paraId="1A6D222A">
            <w:pPr>
              <w:keepNext w:val="0"/>
              <w:keepLines w:val="0"/>
              <w:suppressLineNumbers w:val="0"/>
              <w:snapToGrid w:val="0"/>
              <w:spacing w:before="0" w:beforeAutospacing="0" w:after="31" w:afterLines="1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构成</w:t>
            </w:r>
            <w:r>
              <w:rPr>
                <w:rFonts w:hint="eastAsia" w:ascii="宋体" w:hAnsi="宋体"/>
                <w:color w:val="auto"/>
                <w:kern w:val="0"/>
                <w:szCs w:val="21"/>
                <w:highlight w:val="none"/>
                <w:lang w:eastAsia="zh-CN"/>
              </w:rPr>
              <w:t>比选申请文件</w:t>
            </w:r>
            <w:r>
              <w:rPr>
                <w:rFonts w:hint="default" w:ascii="宋体" w:hAnsi="宋体"/>
                <w:color w:val="auto"/>
                <w:kern w:val="0"/>
                <w:szCs w:val="21"/>
                <w:highlight w:val="none"/>
              </w:rPr>
              <w:t>的其他材料</w:t>
            </w:r>
          </w:p>
        </w:tc>
        <w:tc>
          <w:tcPr>
            <w:tcW w:w="6490" w:type="dxa"/>
            <w:vAlign w:val="center"/>
          </w:tcPr>
          <w:p w14:paraId="3514E4B3">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比选申请人</w:t>
            </w:r>
            <w:r>
              <w:rPr>
                <w:rFonts w:hint="default" w:ascii="宋体" w:hAnsi="宋体"/>
                <w:color w:val="auto"/>
                <w:szCs w:val="21"/>
                <w:highlight w:val="none"/>
              </w:rPr>
              <w:t>的书面澄清、说明和补正（但不得改变</w:t>
            </w:r>
            <w:r>
              <w:rPr>
                <w:rFonts w:hint="eastAsia" w:ascii="宋体" w:hAnsi="宋体"/>
                <w:color w:val="auto"/>
                <w:szCs w:val="21"/>
                <w:highlight w:val="none"/>
                <w:lang w:eastAsia="zh-CN"/>
              </w:rPr>
              <w:t>比选申请文件</w:t>
            </w:r>
            <w:r>
              <w:rPr>
                <w:rFonts w:hint="default" w:ascii="宋体" w:hAnsi="宋体"/>
                <w:color w:val="auto"/>
                <w:szCs w:val="21"/>
                <w:highlight w:val="none"/>
              </w:rPr>
              <w:t>的实质性内容）</w:t>
            </w:r>
          </w:p>
        </w:tc>
      </w:tr>
      <w:tr w14:paraId="2C65F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C6836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3.2</w:t>
            </w:r>
          </w:p>
        </w:tc>
        <w:tc>
          <w:tcPr>
            <w:tcW w:w="1644" w:type="dxa"/>
            <w:vAlign w:val="center"/>
          </w:tcPr>
          <w:p w14:paraId="46F4218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投标报价</w:t>
            </w:r>
          </w:p>
        </w:tc>
        <w:tc>
          <w:tcPr>
            <w:tcW w:w="6490" w:type="dxa"/>
            <w:vAlign w:val="center"/>
          </w:tcPr>
          <w:p w14:paraId="1FC74C2F">
            <w:pPr>
              <w:pStyle w:val="2"/>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default"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626CBE6">
            <w:pPr>
              <w:pStyle w:val="2"/>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2.</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的投标报价应是本章</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范围内的全部工程的投标报价，并以</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在工程量清单中提出的单价或总价</w:t>
            </w:r>
            <w:r>
              <w:rPr>
                <w:rFonts w:hint="default" w:ascii="宋体" w:hAnsi="宋体" w:cs="宋体"/>
                <w:color w:val="auto"/>
                <w:szCs w:val="21"/>
                <w:highlight w:val="none"/>
              </w:rPr>
              <w:footnoteReference w:id="0"/>
            </w:r>
            <w:r>
              <w:rPr>
                <w:rFonts w:hint="eastAsia" w:ascii="宋体" w:hAnsi="宋体" w:cs="宋体"/>
                <w:color w:val="auto"/>
                <w:szCs w:val="21"/>
                <w:highlight w:val="none"/>
              </w:rPr>
              <w:t>为依据。</w:t>
            </w:r>
          </w:p>
          <w:p w14:paraId="5159C74B">
            <w:pPr>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olor w:val="auto"/>
                <w:szCs w:val="21"/>
                <w:highlight w:val="none"/>
              </w:rPr>
            </w:pPr>
            <w:r>
              <w:rPr>
                <w:rFonts w:hint="default" w:ascii="宋体" w:hAnsi="宋体" w:cs="宋体"/>
                <w:color w:val="auto"/>
                <w:szCs w:val="21"/>
                <w:highlight w:val="none"/>
              </w:rPr>
              <w:t>3.</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应认真填写工程量清单中所列的本合同各工程子目的单价或总价。</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必须按</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工程量清单填报价格。项目编码、项目名称、项目特征、计量单位、工程量必须与</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工程量清单一致。</w:t>
            </w:r>
          </w:p>
          <w:p w14:paraId="2E77B77B">
            <w:pPr>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4.</w:t>
            </w:r>
            <w:r>
              <w:rPr>
                <w:rFonts w:hint="eastAsia" w:ascii="宋体" w:hAnsi="宋体" w:cs="宋体"/>
                <w:color w:val="auto"/>
                <w:szCs w:val="21"/>
                <w:highlight w:val="none"/>
                <w:lang w:eastAsia="zh-CN"/>
              </w:rPr>
              <w:t>比选申请函</w:t>
            </w:r>
            <w:r>
              <w:rPr>
                <w:rFonts w:hint="eastAsia" w:ascii="宋体" w:hAnsi="宋体" w:cs="宋体"/>
                <w:color w:val="auto"/>
                <w:szCs w:val="21"/>
                <w:highlight w:val="none"/>
              </w:rPr>
              <w:t>中的总报价必须与已标价工程量清单总报价一致。否则由评标委员会作否决投标处理。</w:t>
            </w:r>
          </w:p>
          <w:p w14:paraId="30F303D0">
            <w:pPr>
              <w:pStyle w:val="2"/>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14:paraId="6E2FD85A">
            <w:pPr>
              <w:pStyle w:val="2"/>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w:t>
            </w:r>
          </w:p>
          <w:p w14:paraId="399B5B3A">
            <w:pPr>
              <w:pStyle w:val="2"/>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一般计税法</w:t>
            </w:r>
          </w:p>
          <w:p w14:paraId="0C3FB31B">
            <w:pPr>
              <w:pStyle w:val="2"/>
              <w:keepNext w:val="0"/>
              <w:keepLines w:val="0"/>
              <w:suppressLineNumbers w:val="0"/>
              <w:tabs>
                <w:tab w:val="left" w:pos="546"/>
                <w:tab w:val="left" w:pos="711"/>
              </w:tabs>
              <w:snapToGrid w:val="0"/>
              <w:spacing w:before="0" w:beforeAutospacing="0" w:after="0" w:afterAutospacing="0" w:line="400" w:lineRule="exact"/>
              <w:ind w:left="6" w:leftChars="3"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64F180EF">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不得修改</w:t>
            </w:r>
            <w:r>
              <w:rPr>
                <w:rFonts w:hint="eastAsia" w:ascii="宋体" w:hAnsi="宋体"/>
                <w:color w:val="auto"/>
                <w:szCs w:val="21"/>
                <w:highlight w:val="none"/>
              </w:rPr>
              <w:t>。</w:t>
            </w:r>
          </w:p>
          <w:p w14:paraId="42A91A0D">
            <w:pPr>
              <w:keepNext w:val="0"/>
              <w:keepLines w:val="0"/>
              <w:suppressLineNumbers w:val="0"/>
              <w:tabs>
                <w:tab w:val="left" w:pos="546"/>
                <w:tab w:val="left" w:pos="711"/>
              </w:tabs>
              <w:snapToGrid w:val="0"/>
              <w:spacing w:before="0" w:beforeAutospacing="0" w:after="0" w:afterAutospacing="0" w:line="400" w:lineRule="exact"/>
              <w:ind w:left="0" w:right="0" w:firstLine="422" w:firstLineChars="200"/>
              <w:rPr>
                <w:rFonts w:hint="default" w:ascii="宋体" w:hAnsi="宋体"/>
                <w:b/>
                <w:bCs/>
                <w:color w:val="auto"/>
                <w:szCs w:val="21"/>
                <w:highlight w:val="none"/>
              </w:rPr>
            </w:pPr>
            <w:r>
              <w:rPr>
                <w:rFonts w:hint="default" w:ascii="宋体" w:hAnsi="宋体" w:cs="宋体"/>
                <w:b/>
                <w:bCs/>
                <w:color w:val="auto"/>
                <w:szCs w:val="21"/>
                <w:highlight w:val="none"/>
              </w:rPr>
              <w:t>8.</w:t>
            </w:r>
            <w:r>
              <w:rPr>
                <w:rFonts w:hint="eastAsia" w:ascii="宋体" w:hAnsi="宋体" w:cs="宋体"/>
                <w:b/>
                <w:bCs/>
                <w:color w:val="auto"/>
                <w:szCs w:val="21"/>
                <w:highlight w:val="none"/>
              </w:rPr>
              <w:t>本工程</w:t>
            </w:r>
            <w:r>
              <w:rPr>
                <w:rFonts w:hint="eastAsia" w:ascii="宋体" w:hAnsi="宋体" w:cs="宋体"/>
                <w:b/>
                <w:bCs/>
                <w:color w:val="auto"/>
                <w:szCs w:val="21"/>
                <w:highlight w:val="none"/>
                <w:lang w:eastAsia="zh-CN"/>
              </w:rPr>
              <w:t>比选</w:t>
            </w:r>
            <w:r>
              <w:rPr>
                <w:rFonts w:hint="eastAsia" w:ascii="宋体" w:hAnsi="宋体" w:cs="宋体"/>
                <w:b/>
                <w:bCs/>
                <w:color w:val="auto"/>
                <w:szCs w:val="21"/>
                <w:highlight w:val="none"/>
              </w:rPr>
              <w:t>将设置投标总报价最高限价，投标总报价最高限价</w:t>
            </w:r>
            <w:r>
              <w:rPr>
                <w:rFonts w:hint="eastAsia" w:ascii="宋体" w:hAnsi="宋体" w:cs="宋体"/>
                <w:b/>
                <w:bCs/>
                <w:color w:val="auto"/>
                <w:szCs w:val="21"/>
                <w:highlight w:val="none"/>
                <w:lang w:eastAsia="zh-CN"/>
              </w:rPr>
              <w:t>为</w:t>
            </w:r>
            <w:r>
              <w:rPr>
                <w:rFonts w:hint="eastAsia" w:ascii="宋体" w:hAnsi="宋体" w:cs="宋体"/>
                <w:b/>
                <w:bCs/>
                <w:color w:val="auto"/>
                <w:szCs w:val="21"/>
                <w:highlight w:val="none"/>
                <w:lang w:val="en-US" w:eastAsia="zh-CN"/>
              </w:rPr>
              <w:t xml:space="preserve"> 137745.05元（大写：壹拾叁万柒仟柒佰肆拾伍元零伍分，其中安全文明施工费暂定金额为5742.25元（大写：伍仟柒佰肆拾贰元贰角伍分），</w:t>
            </w:r>
            <w:r>
              <w:rPr>
                <w:rFonts w:hint="eastAsia" w:ascii="宋体" w:hAnsi="宋体" w:cs="宋体"/>
                <w:b/>
                <w:bCs/>
                <w:color w:val="auto"/>
                <w:szCs w:val="21"/>
                <w:highlight w:val="none"/>
                <w:lang w:eastAsia="zh-CN"/>
              </w:rPr>
              <w:t>比选申请人</w:t>
            </w:r>
            <w:r>
              <w:rPr>
                <w:rFonts w:hint="eastAsia" w:ascii="宋体" w:hAnsi="宋体" w:cs="宋体"/>
                <w:b/>
                <w:bCs/>
                <w:color w:val="auto"/>
                <w:szCs w:val="21"/>
                <w:highlight w:val="none"/>
              </w:rPr>
              <w:t>的投标总报价不得超过投标总报价最高限价，否则由评标委员会作</w:t>
            </w:r>
            <w:r>
              <w:rPr>
                <w:rFonts w:hint="eastAsia" w:ascii="宋体" w:hAnsi="宋体"/>
                <w:b/>
                <w:bCs/>
                <w:color w:val="auto"/>
                <w:szCs w:val="21"/>
                <w:highlight w:val="none"/>
              </w:rPr>
              <w:t>否决投标处理。</w:t>
            </w:r>
          </w:p>
          <w:p w14:paraId="7A557572">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将设置全部工程量清单综合单价最高限价，全部清单综合单价最高限价</w:t>
            </w:r>
            <w:r>
              <w:rPr>
                <w:rFonts w:hint="eastAsia" w:ascii="宋体" w:hAnsi="宋体" w:cs="宋体"/>
                <w:color w:val="auto"/>
                <w:szCs w:val="21"/>
                <w:highlight w:val="none"/>
                <w:lang w:eastAsia="zh-CN"/>
              </w:rPr>
              <w:t>与比选文件一起发出</w:t>
            </w:r>
            <w:r>
              <w:rPr>
                <w:rFonts w:hint="eastAsia" w:ascii="宋体" w:hAnsi="宋体" w:cs="宋体"/>
                <w:color w:val="auto"/>
                <w:szCs w:val="21"/>
                <w:highlight w:val="none"/>
              </w:rPr>
              <w:t>，</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的每项清单综合单价报价不得超过每项清单综合单价最高限价。</w:t>
            </w:r>
          </w:p>
          <w:p w14:paraId="74E8BA08">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在合同签订前将对</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已标价工程量清单进行清标。若发现</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的工程量清单综合单价报价超过</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时给出的工程量清单综合单价最高限价的，在工程结算时</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将以发出的工程量清单综合单价最高限价为基础，按照</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总报价与本工程的总价最高限价的下浮比例进行同比例下调，</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必须无条件接受，否则按</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违约处理。</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须在</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资格审查部分提供承诺函，承诺函包括以下内容：</w:t>
            </w:r>
          </w:p>
          <w:p w14:paraId="1BFEDBBE">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14:paraId="7E83C3C9">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文件中规定工程量清单不允许修改的内容不得修改。</w:t>
            </w:r>
          </w:p>
          <w:p w14:paraId="22DC89E7">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14:paraId="0543CB27">
            <w:pPr>
              <w:pStyle w:val="2"/>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9.安全文明施工费：</w:t>
            </w:r>
          </w:p>
          <w:p w14:paraId="0769B21A">
            <w:pPr>
              <w:pStyle w:val="2"/>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《重庆市城乡建设委员会关于印发&lt;重庆市建设工程安全文明施工费计取及使用管理规定&gt;的通知》（渝建管〔2024〕38号）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0D6D82B0">
            <w:pPr>
              <w:pStyle w:val="100"/>
              <w:keepNext w:val="0"/>
              <w:keepLines w:val="0"/>
              <w:suppressLineNumbers w:val="0"/>
              <w:spacing w:before="0" w:beforeAutospacing="0" w:after="0" w:afterAutospacing="0" w:line="400" w:lineRule="exact"/>
              <w:ind w:left="0" w:right="0" w:firstLineChars="200"/>
              <w:rPr>
                <w:rFonts w:hint="default"/>
                <w:color w:val="auto"/>
                <w:sz w:val="21"/>
                <w:szCs w:val="21"/>
                <w:highlight w:val="none"/>
              </w:rPr>
            </w:pPr>
            <w:r>
              <w:rPr>
                <w:rFonts w:hint="default"/>
                <w:color w:val="auto"/>
                <w:sz w:val="21"/>
                <w:szCs w:val="21"/>
                <w:highlight w:val="none"/>
              </w:rPr>
              <w:t>9.2本工程安全文明施工费由</w:t>
            </w:r>
            <w:r>
              <w:rPr>
                <w:rFonts w:hint="eastAsia"/>
                <w:color w:val="auto"/>
                <w:sz w:val="21"/>
                <w:szCs w:val="21"/>
                <w:highlight w:val="none"/>
                <w:lang w:eastAsia="zh-CN"/>
              </w:rPr>
              <w:t>比选人</w:t>
            </w:r>
            <w:r>
              <w:rPr>
                <w:rFonts w:hint="default"/>
                <w:color w:val="auto"/>
                <w:sz w:val="21"/>
                <w:szCs w:val="21"/>
                <w:highlight w:val="none"/>
              </w:rPr>
              <w:t>根据《建设工程工程量清单计价规范》（GB50500-2013）、《重庆市建设工程工程量清单计价规则》（CQJJGZ-2013）、</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rFonts w:hint="default"/>
                <w:color w:val="auto"/>
                <w:sz w:val="21"/>
                <w:szCs w:val="21"/>
                <w:highlight w:val="none"/>
              </w:rPr>
              <w:t>的相关规定和费用标准单列计算，安全文明施工费为暂定金额，与最高限价一起公布。《</w:t>
            </w:r>
            <w:r>
              <w:rPr>
                <w:rFonts w:hint="eastAsia"/>
                <w:color w:val="auto"/>
                <w:sz w:val="21"/>
                <w:szCs w:val="21"/>
                <w:highlight w:val="none"/>
                <w:lang w:eastAsia="zh-CN"/>
              </w:rPr>
              <w:t>比选申请函</w:t>
            </w:r>
            <w:r>
              <w:rPr>
                <w:rFonts w:hint="default"/>
                <w:color w:val="auto"/>
                <w:sz w:val="21"/>
                <w:szCs w:val="21"/>
                <w:highlight w:val="none"/>
              </w:rPr>
              <w:t>》中的安全文明施工费</w:t>
            </w:r>
            <w:r>
              <w:rPr>
                <w:rFonts w:hint="eastAsia"/>
                <w:color w:val="auto"/>
                <w:sz w:val="21"/>
                <w:szCs w:val="21"/>
                <w:highlight w:val="none"/>
                <w:lang w:val="en-US" w:eastAsia="zh-CN"/>
              </w:rPr>
              <w:t>金额或工程量清单中安全文明施工费的汇总金额未</w:t>
            </w:r>
            <w:r>
              <w:rPr>
                <w:rFonts w:hint="default"/>
                <w:color w:val="auto"/>
                <w:sz w:val="21"/>
                <w:szCs w:val="21"/>
                <w:highlight w:val="none"/>
              </w:rPr>
              <w:t>按照</w:t>
            </w:r>
            <w:r>
              <w:rPr>
                <w:rFonts w:hint="eastAsia"/>
                <w:color w:val="auto"/>
                <w:sz w:val="21"/>
                <w:szCs w:val="21"/>
                <w:highlight w:val="none"/>
                <w:lang w:eastAsia="zh-CN"/>
              </w:rPr>
              <w:t>比选人</w:t>
            </w:r>
            <w:r>
              <w:rPr>
                <w:rFonts w:hint="default"/>
                <w:color w:val="auto"/>
                <w:sz w:val="21"/>
                <w:szCs w:val="21"/>
                <w:highlight w:val="none"/>
              </w:rPr>
              <w:t>给出的暂定金额填报</w:t>
            </w:r>
            <w:r>
              <w:rPr>
                <w:rFonts w:hint="eastAsia"/>
                <w:color w:val="auto"/>
                <w:sz w:val="21"/>
                <w:szCs w:val="21"/>
                <w:highlight w:val="none"/>
                <w:lang w:val="en-US" w:eastAsia="zh-CN"/>
              </w:rPr>
              <w:t>的</w:t>
            </w:r>
            <w:r>
              <w:rPr>
                <w:rFonts w:hint="default"/>
                <w:color w:val="auto"/>
                <w:sz w:val="21"/>
                <w:szCs w:val="21"/>
                <w:highlight w:val="none"/>
              </w:rPr>
              <w:t>，视为对</w:t>
            </w:r>
            <w:r>
              <w:rPr>
                <w:rFonts w:hint="eastAsia"/>
                <w:color w:val="auto"/>
                <w:sz w:val="21"/>
                <w:szCs w:val="21"/>
                <w:highlight w:val="none"/>
                <w:lang w:eastAsia="zh-CN"/>
              </w:rPr>
              <w:t>比选</w:t>
            </w:r>
            <w:r>
              <w:rPr>
                <w:rFonts w:hint="default"/>
                <w:color w:val="auto"/>
                <w:sz w:val="21"/>
                <w:szCs w:val="21"/>
                <w:highlight w:val="none"/>
              </w:rPr>
              <w:t>文件不作实质性响应，其</w:t>
            </w:r>
            <w:r>
              <w:rPr>
                <w:rFonts w:hint="eastAsia"/>
                <w:color w:val="auto"/>
                <w:sz w:val="21"/>
                <w:szCs w:val="21"/>
                <w:highlight w:val="none"/>
                <w:lang w:eastAsia="zh-CN"/>
              </w:rPr>
              <w:t>比选申请文件</w:t>
            </w:r>
            <w:r>
              <w:rPr>
                <w:rFonts w:hint="eastAsia"/>
                <w:color w:val="auto"/>
                <w:sz w:val="21"/>
                <w:szCs w:val="21"/>
                <w:highlight w:val="none"/>
              </w:rPr>
              <w:t>由评标委员会</w:t>
            </w:r>
            <w:r>
              <w:rPr>
                <w:rFonts w:hint="default"/>
                <w:color w:val="auto"/>
                <w:sz w:val="21"/>
                <w:szCs w:val="21"/>
                <w:highlight w:val="none"/>
              </w:rPr>
              <w:t>作否决投标处理。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比选申请函</w:t>
            </w:r>
            <w:r>
              <w:rPr>
                <w:rFonts w:hint="eastAsia"/>
                <w:color w:val="auto"/>
                <w:sz w:val="21"/>
                <w:szCs w:val="21"/>
                <w:highlight w:val="none"/>
              </w:rPr>
              <w:t>》中的安全文明施工费进行评审。</w:t>
            </w:r>
          </w:p>
          <w:p w14:paraId="3A79BB7B">
            <w:pPr>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default" w:ascii="宋体" w:hAnsi="宋体"/>
                <w:color w:val="auto"/>
                <w:szCs w:val="21"/>
                <w:highlight w:val="none"/>
              </w:rPr>
              <w:t>10.</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比选申请人</w:t>
            </w:r>
            <w:r>
              <w:rPr>
                <w:rFonts w:hint="eastAsia" w:ascii="宋体" w:hAnsi="宋体"/>
                <w:color w:val="auto"/>
                <w:szCs w:val="21"/>
                <w:highlight w:val="none"/>
              </w:rPr>
              <w:t>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14:paraId="3EE93696">
            <w:pPr>
              <w:pStyle w:val="2"/>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6F0E300E">
            <w:pPr>
              <w:pStyle w:val="2"/>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1</w:t>
            </w:r>
            <w:r>
              <w:rPr>
                <w:rFonts w:hint="eastAsia" w:ascii="宋体" w:hAnsi="宋体" w:cs="宋体"/>
                <w:color w:val="auto"/>
                <w:szCs w:val="21"/>
                <w:highlight w:val="none"/>
              </w:rPr>
              <w:t>2</w:t>
            </w:r>
            <w:r>
              <w:rPr>
                <w:rFonts w:hint="default"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36CE4F05">
            <w:pPr>
              <w:pStyle w:val="2"/>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s="宋体"/>
                <w:color w:val="auto"/>
                <w:szCs w:val="21"/>
                <w:highlight w:val="none"/>
              </w:rPr>
              <w:t>1</w:t>
            </w:r>
            <w:r>
              <w:rPr>
                <w:rFonts w:hint="eastAsia" w:ascii="宋体" w:hAnsi="宋体" w:cs="宋体"/>
                <w:color w:val="auto"/>
                <w:szCs w:val="21"/>
                <w:highlight w:val="none"/>
              </w:rPr>
              <w:t>3</w:t>
            </w:r>
            <w:r>
              <w:rPr>
                <w:rFonts w:hint="default"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6964A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E9653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3.3.1</w:t>
            </w:r>
          </w:p>
        </w:tc>
        <w:tc>
          <w:tcPr>
            <w:tcW w:w="1644" w:type="dxa"/>
            <w:vAlign w:val="center"/>
          </w:tcPr>
          <w:p w14:paraId="0BECB9C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投标有效期</w:t>
            </w:r>
          </w:p>
        </w:tc>
        <w:tc>
          <w:tcPr>
            <w:tcW w:w="6490" w:type="dxa"/>
            <w:vAlign w:val="center"/>
          </w:tcPr>
          <w:p w14:paraId="53BF7E7D">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hint="default" w:ascii="宋体" w:hAnsi="宋体"/>
                <w:color w:val="auto"/>
                <w:szCs w:val="21"/>
                <w:highlight w:val="none"/>
                <w:u w:val="single"/>
              </w:rPr>
              <w:t xml:space="preserve">   </w:t>
            </w:r>
            <w:r>
              <w:rPr>
                <w:rFonts w:hint="default" w:ascii="宋体" w:hAnsi="宋体"/>
                <w:color w:val="auto"/>
                <w:szCs w:val="21"/>
                <w:highlight w:val="none"/>
              </w:rPr>
              <w:t>日历天（从提交</w:t>
            </w:r>
            <w:r>
              <w:rPr>
                <w:rFonts w:hint="eastAsia" w:ascii="宋体" w:hAnsi="宋体"/>
                <w:color w:val="auto"/>
                <w:szCs w:val="21"/>
                <w:highlight w:val="none"/>
                <w:lang w:eastAsia="zh-CN"/>
              </w:rPr>
              <w:t>比选申请文件</w:t>
            </w:r>
            <w:r>
              <w:rPr>
                <w:rFonts w:hint="default" w:ascii="宋体" w:hAnsi="宋体"/>
                <w:color w:val="auto"/>
                <w:szCs w:val="21"/>
                <w:highlight w:val="none"/>
              </w:rPr>
              <w:t>截止日起计算）</w:t>
            </w:r>
          </w:p>
        </w:tc>
      </w:tr>
      <w:tr w14:paraId="5EBBB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07D5A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3.4</w:t>
            </w:r>
          </w:p>
        </w:tc>
        <w:tc>
          <w:tcPr>
            <w:tcW w:w="1644" w:type="dxa"/>
            <w:vAlign w:val="center"/>
          </w:tcPr>
          <w:p w14:paraId="0F8FE48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投标保证金</w:t>
            </w:r>
          </w:p>
        </w:tc>
        <w:tc>
          <w:tcPr>
            <w:tcW w:w="6490" w:type="dxa"/>
            <w:vAlign w:val="center"/>
          </w:tcPr>
          <w:p w14:paraId="124F87C8">
            <w:pPr>
              <w:keepNext w:val="0"/>
              <w:keepLines w:val="0"/>
              <w:suppressLineNumbers w:val="0"/>
              <w:snapToGrid w:val="0"/>
              <w:spacing w:before="0" w:beforeAutospacing="0" w:after="0" w:afterAutospacing="0" w:line="400" w:lineRule="exact"/>
              <w:ind w:left="0" w:right="0" w:firstLine="420" w:firstLineChars="200"/>
              <w:rPr>
                <w:rFonts w:hint="eastAsia"/>
                <w:color w:val="auto"/>
                <w:highlight w:val="none"/>
              </w:rPr>
            </w:pPr>
            <w:r>
              <w:rPr>
                <w:rFonts w:hint="eastAsia"/>
                <w:color w:val="auto"/>
                <w:highlight w:val="none"/>
              </w:rPr>
              <w:t>1.比选申请保证金：</w:t>
            </w:r>
            <w:r>
              <w:rPr>
                <w:rFonts w:hint="eastAsia"/>
                <w:color w:val="auto"/>
                <w:highlight w:val="none"/>
                <w:lang w:val="en-US" w:eastAsia="zh-CN"/>
              </w:rPr>
              <w:t>2000元</w:t>
            </w:r>
            <w:r>
              <w:rPr>
                <w:rFonts w:hint="eastAsia"/>
                <w:color w:val="auto"/>
                <w:highlight w:val="none"/>
              </w:rPr>
              <w:t>。</w:t>
            </w:r>
          </w:p>
          <w:p w14:paraId="64917158">
            <w:pPr>
              <w:keepNext w:val="0"/>
              <w:keepLines w:val="0"/>
              <w:suppressLineNumbers w:val="0"/>
              <w:snapToGrid w:val="0"/>
              <w:spacing w:before="0" w:beforeAutospacing="0" w:after="0" w:afterAutospacing="0" w:line="400" w:lineRule="exact"/>
              <w:ind w:left="0" w:right="0" w:firstLine="420" w:firstLineChars="200"/>
              <w:rPr>
                <w:rFonts w:hint="eastAsia"/>
                <w:color w:val="auto"/>
                <w:highlight w:val="none"/>
              </w:rPr>
            </w:pPr>
            <w:r>
              <w:rPr>
                <w:rFonts w:hint="eastAsia"/>
                <w:color w:val="auto"/>
                <w:highlight w:val="none"/>
              </w:rPr>
              <w:t>2.比选申请保证金的交纳方式：现场递交（密封并加盖比选申请人公章）。</w:t>
            </w:r>
          </w:p>
          <w:p w14:paraId="78B6FE72">
            <w:pPr>
              <w:keepNext w:val="0"/>
              <w:keepLines w:val="0"/>
              <w:suppressLineNumbers w:val="0"/>
              <w:snapToGrid w:val="0"/>
              <w:spacing w:before="0" w:beforeAutospacing="0" w:after="0" w:afterAutospacing="0" w:line="400" w:lineRule="exact"/>
              <w:ind w:left="0" w:right="0" w:firstLine="420" w:firstLineChars="200"/>
              <w:rPr>
                <w:rFonts w:hint="eastAsia"/>
                <w:color w:val="auto"/>
                <w:highlight w:val="none"/>
              </w:rPr>
            </w:pPr>
            <w:r>
              <w:rPr>
                <w:rFonts w:hint="eastAsia"/>
                <w:color w:val="auto"/>
                <w:highlight w:val="none"/>
              </w:rPr>
              <w:t>3.比选申请保证金交纳截止时间：同比选文件递交时间。</w:t>
            </w:r>
          </w:p>
          <w:p w14:paraId="61D66A16">
            <w:pPr>
              <w:keepNext w:val="0"/>
              <w:keepLines w:val="0"/>
              <w:suppressLineNumbers w:val="0"/>
              <w:snapToGrid w:val="0"/>
              <w:spacing w:before="0" w:beforeAutospacing="0" w:after="0" w:afterAutospacing="0" w:line="400" w:lineRule="exact"/>
              <w:ind w:left="0" w:right="0" w:firstLine="420" w:firstLineChars="200"/>
              <w:rPr>
                <w:rFonts w:hint="eastAsia"/>
                <w:color w:val="auto"/>
                <w:highlight w:val="none"/>
              </w:rPr>
            </w:pPr>
            <w:r>
              <w:rPr>
                <w:rFonts w:hint="eastAsia"/>
                <w:color w:val="auto"/>
                <w:highlight w:val="none"/>
              </w:rPr>
              <w:t>4.保证金退还方式</w:t>
            </w:r>
          </w:p>
          <w:p w14:paraId="4A2E4460">
            <w:pPr>
              <w:keepNext w:val="0"/>
              <w:keepLines w:val="0"/>
              <w:suppressLineNumbers w:val="0"/>
              <w:snapToGrid w:val="0"/>
              <w:spacing w:before="0" w:beforeAutospacing="0" w:after="0" w:afterAutospacing="0" w:line="400" w:lineRule="exact"/>
              <w:ind w:left="0" w:right="0" w:firstLine="420" w:firstLineChars="200"/>
              <w:rPr>
                <w:rFonts w:hint="eastAsia"/>
                <w:color w:val="auto"/>
                <w:highlight w:val="none"/>
              </w:rPr>
            </w:pPr>
            <w:r>
              <w:rPr>
                <w:rFonts w:hint="eastAsia"/>
                <w:color w:val="auto"/>
                <w:highlight w:val="none"/>
              </w:rPr>
              <w:t>4.1非中选候选人比选申请人的保证金，在开标完成后直接退还。</w:t>
            </w:r>
          </w:p>
          <w:p w14:paraId="60F7FEB4">
            <w:pPr>
              <w:keepNext w:val="0"/>
              <w:keepLines w:val="0"/>
              <w:suppressLineNumbers w:val="0"/>
              <w:snapToGrid w:val="0"/>
              <w:spacing w:before="0" w:beforeAutospacing="0" w:after="0" w:afterAutospacing="0" w:line="400" w:lineRule="exact"/>
              <w:ind w:left="0" w:right="0" w:firstLine="420" w:firstLineChars="200"/>
              <w:rPr>
                <w:rFonts w:hint="eastAsia"/>
                <w:color w:val="auto"/>
                <w:highlight w:val="none"/>
              </w:rPr>
            </w:pPr>
            <w:r>
              <w:rPr>
                <w:rFonts w:hint="eastAsia"/>
                <w:color w:val="auto"/>
                <w:highlight w:val="none"/>
              </w:rPr>
              <w:t>4.2中选候选人的保证金，在中选人与比选人签订合同后退还。</w:t>
            </w:r>
          </w:p>
        </w:tc>
      </w:tr>
      <w:tr w14:paraId="288CF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55648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3.6</w:t>
            </w:r>
          </w:p>
        </w:tc>
        <w:tc>
          <w:tcPr>
            <w:tcW w:w="1644" w:type="dxa"/>
            <w:vAlign w:val="center"/>
          </w:tcPr>
          <w:p w14:paraId="6D604818">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是否允许递交</w:t>
            </w:r>
          </w:p>
          <w:p w14:paraId="6AB6F0FE">
            <w:pPr>
              <w:keepNext w:val="0"/>
              <w:keepLines w:val="0"/>
              <w:suppressLineNumbers w:val="0"/>
              <w:snapToGrid w:val="0"/>
              <w:spacing w:before="0" w:beforeAutospacing="0" w:after="93" w:afterLines="3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备选投标方案</w:t>
            </w:r>
          </w:p>
        </w:tc>
        <w:tc>
          <w:tcPr>
            <w:tcW w:w="6490" w:type="dxa"/>
            <w:vAlign w:val="center"/>
          </w:tcPr>
          <w:p w14:paraId="7A57801F">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不允许</w:t>
            </w:r>
          </w:p>
        </w:tc>
      </w:tr>
      <w:tr w14:paraId="3C365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6604B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1EE78BE">
            <w:pPr>
              <w:keepNext w:val="0"/>
              <w:keepLines w:val="0"/>
              <w:suppressLineNumbers w:val="0"/>
              <w:snapToGrid w:val="0"/>
              <w:spacing w:before="0" w:beforeAutospacing="0" w:after="93" w:afterLines="3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格式要求</w:t>
            </w:r>
          </w:p>
        </w:tc>
        <w:tc>
          <w:tcPr>
            <w:tcW w:w="6490" w:type="dxa"/>
            <w:vAlign w:val="center"/>
          </w:tcPr>
          <w:p w14:paraId="1607DBBA">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格式”的相应要素作实质性修改，否则由评标委员会作否决投标处理。</w:t>
            </w:r>
          </w:p>
        </w:tc>
      </w:tr>
      <w:tr w14:paraId="3450A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68B8B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3.7.3</w:t>
            </w:r>
          </w:p>
        </w:tc>
        <w:tc>
          <w:tcPr>
            <w:tcW w:w="1644" w:type="dxa"/>
            <w:vAlign w:val="center"/>
          </w:tcPr>
          <w:p w14:paraId="66A90AE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签名</w:t>
            </w:r>
            <w:r>
              <w:rPr>
                <w:rFonts w:hint="default" w:ascii="宋体" w:hAnsi="宋体"/>
                <w:color w:val="auto"/>
                <w:kern w:val="0"/>
                <w:szCs w:val="21"/>
                <w:highlight w:val="none"/>
              </w:rPr>
              <w:t>盖章要求</w:t>
            </w:r>
          </w:p>
        </w:tc>
        <w:tc>
          <w:tcPr>
            <w:tcW w:w="6490" w:type="dxa"/>
            <w:vAlign w:val="center"/>
          </w:tcPr>
          <w:p w14:paraId="46A7EA81">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eastAsia="zh-CN"/>
              </w:rPr>
              <w:t>比选申请文件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的法定代表人或其委托代理人在</w:t>
            </w:r>
            <w:r>
              <w:rPr>
                <w:rFonts w:hint="eastAsia" w:ascii="宋体" w:hAnsi="宋体"/>
                <w:color w:val="auto"/>
                <w:szCs w:val="21"/>
                <w:highlight w:val="none"/>
                <w:lang w:eastAsia="zh-CN"/>
              </w:rPr>
              <w:t>比选</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比选</w:t>
            </w:r>
            <w:r>
              <w:rPr>
                <w:rFonts w:hint="eastAsia" w:ascii="宋体" w:hAnsi="宋体"/>
                <w:color w:val="auto"/>
                <w:szCs w:val="21"/>
                <w:highlight w:val="none"/>
              </w:rPr>
              <w:t>文件要求签名或盖章、盖单位法人章。委托代理人签名的，</w:t>
            </w:r>
            <w:r>
              <w:rPr>
                <w:rFonts w:hint="eastAsia" w:ascii="宋体" w:hAnsi="宋体"/>
                <w:color w:val="auto"/>
                <w:szCs w:val="21"/>
                <w:highlight w:val="none"/>
                <w:lang w:eastAsia="zh-CN"/>
              </w:rPr>
              <w:t>比选申请文件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比选申请文件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的法定代表人或其授权的代理人签名确认。</w:t>
            </w:r>
          </w:p>
          <w:p w14:paraId="293F8D0F">
            <w:pPr>
              <w:keepNext w:val="0"/>
              <w:keepLines w:val="0"/>
              <w:suppressLineNumbers w:val="0"/>
              <w:snapToGrid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18FD0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1F58C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3.7.4</w:t>
            </w:r>
          </w:p>
        </w:tc>
        <w:tc>
          <w:tcPr>
            <w:tcW w:w="1644" w:type="dxa"/>
            <w:vAlign w:val="center"/>
          </w:tcPr>
          <w:p w14:paraId="091B2452">
            <w:pPr>
              <w:keepNext w:val="0"/>
              <w:keepLines w:val="0"/>
              <w:suppressLineNumbers w:val="0"/>
              <w:snapToGrid w:val="0"/>
              <w:spacing w:before="0" w:beforeAutospacing="0" w:after="0" w:afterAutospacing="0" w:line="400" w:lineRule="exact"/>
              <w:ind w:left="0" w:right="0"/>
              <w:rPr>
                <w:rFonts w:hint="default"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hint="default" w:ascii="宋体" w:hAnsi="宋体"/>
                <w:color w:val="auto"/>
                <w:spacing w:val="-6"/>
                <w:kern w:val="0"/>
                <w:szCs w:val="21"/>
                <w:highlight w:val="none"/>
              </w:rPr>
              <w:t>的份数</w:t>
            </w:r>
          </w:p>
        </w:tc>
        <w:tc>
          <w:tcPr>
            <w:tcW w:w="6490" w:type="dxa"/>
            <w:vAlign w:val="center"/>
          </w:tcPr>
          <w:p w14:paraId="7C44C97A">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比选申请文件正本1份、副本2份，电子</w:t>
            </w:r>
            <w:r>
              <w:rPr>
                <w:rFonts w:hint="eastAsia" w:ascii="宋体" w:hAnsi="宋体"/>
                <w:color w:val="auto"/>
                <w:kern w:val="0"/>
                <w:szCs w:val="21"/>
                <w:highlight w:val="none"/>
                <w:lang w:val="en-US" w:eastAsia="zh-CN"/>
              </w:rPr>
              <w:t>档</w:t>
            </w:r>
            <w:r>
              <w:rPr>
                <w:rFonts w:hint="eastAsia" w:ascii="宋体" w:hAnsi="宋体"/>
                <w:color w:val="auto"/>
                <w:kern w:val="0"/>
                <w:szCs w:val="21"/>
                <w:highlight w:val="none"/>
                <w:lang w:eastAsia="zh-CN"/>
              </w:rPr>
              <w:t>1份。当副本和正本不一致时，以正本为准。否则由评选委员会作否决投标处理。</w:t>
            </w:r>
          </w:p>
          <w:p w14:paraId="625C608C">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电子</w:t>
            </w:r>
            <w:r>
              <w:rPr>
                <w:rFonts w:hint="eastAsia" w:ascii="宋体" w:hAnsi="宋体"/>
                <w:color w:val="auto"/>
                <w:kern w:val="0"/>
                <w:szCs w:val="21"/>
                <w:highlight w:val="none"/>
                <w:lang w:val="en-US" w:eastAsia="zh-CN"/>
              </w:rPr>
              <w:t>档</w:t>
            </w:r>
            <w:r>
              <w:rPr>
                <w:rFonts w:hint="eastAsia" w:ascii="宋体" w:hAnsi="宋体"/>
                <w:color w:val="auto"/>
                <w:kern w:val="0"/>
                <w:szCs w:val="21"/>
                <w:highlight w:val="none"/>
                <w:lang w:eastAsia="zh-CN"/>
              </w:rPr>
              <w:t>中的经济部分：应包含经济部分全部excel格式预算表格，工程量清单综合单价分析表无须装订入比选申请文件纸质版中，但清单项目的综合单价分析表（excel格式）必须刻入光盘中。</w:t>
            </w:r>
          </w:p>
        </w:tc>
      </w:tr>
      <w:tr w14:paraId="55E73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44009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3.7.5</w:t>
            </w:r>
          </w:p>
        </w:tc>
        <w:tc>
          <w:tcPr>
            <w:tcW w:w="1644" w:type="dxa"/>
            <w:vAlign w:val="center"/>
          </w:tcPr>
          <w:p w14:paraId="2CA4827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装订要求</w:t>
            </w:r>
          </w:p>
        </w:tc>
        <w:tc>
          <w:tcPr>
            <w:tcW w:w="6490" w:type="dxa"/>
            <w:vAlign w:val="center"/>
          </w:tcPr>
          <w:p w14:paraId="4CE6BD66">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1.本工程技术部分采用明标评审，应将比选申请函部分、经济部分、技术部分、资格审查部分各自分别装订成册。</w:t>
            </w:r>
          </w:p>
          <w:p w14:paraId="276E04ED">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2.装订</w:t>
            </w:r>
          </w:p>
          <w:p w14:paraId="649DD26C">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（1）比选申请函部分的装订要求</w:t>
            </w:r>
          </w:p>
          <w:p w14:paraId="22933080">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应按照第八章规定格式装订成册，原则上应编制目录（但不得将目录编制作为评审因素），标注页码。</w:t>
            </w:r>
          </w:p>
          <w:p w14:paraId="70EAAF04">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（2）经济部分的装订要求</w:t>
            </w:r>
          </w:p>
          <w:p w14:paraId="53775B46">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应按照第八章规定格式装订成册，原则上应编制目录（但不得将目录编制作为评审因素），标注页码。</w:t>
            </w:r>
          </w:p>
          <w:p w14:paraId="45F4C527">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（3）技术部分的装订要求</w:t>
            </w:r>
          </w:p>
          <w:p w14:paraId="57C3D5EC">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技术方案》面页使用A4厚型白纸面页，用初号仿宋字体居中标明“技术方案”，在面页右下角加盖单位法人章，按照第八章规定格式装订成册，原则上应编制目录（但不得将目录编制作为评审因素），逐页标注页码。注：技术部分采用明标评审时，不因形式评审的问题（包括但不限于封面、页码、目录、字体、格式等）而被否决投标。</w:t>
            </w:r>
          </w:p>
          <w:p w14:paraId="12110944">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（技术方案原则上不超过 200 页，但不得将页数作为评审因素。）（4）资格审查部分的装订要求</w:t>
            </w:r>
          </w:p>
          <w:p w14:paraId="6EABDD0D">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应按照第八章规定格式装订成册，原则上应编制目录（但不得将目录编制作为评审因素），标注页码。</w:t>
            </w:r>
          </w:p>
        </w:tc>
      </w:tr>
      <w:tr w14:paraId="2CBB2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8E5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4.1.1</w:t>
            </w:r>
          </w:p>
        </w:tc>
        <w:tc>
          <w:tcPr>
            <w:tcW w:w="1644" w:type="dxa"/>
            <w:vAlign w:val="center"/>
          </w:tcPr>
          <w:p w14:paraId="714A64ED">
            <w:pPr>
              <w:keepNext w:val="0"/>
              <w:keepLines w:val="0"/>
              <w:suppressLineNumbers w:val="0"/>
              <w:snapToGrid w:val="0"/>
              <w:spacing w:before="0" w:beforeAutospacing="0" w:after="0" w:afterAutospacing="0" w:line="400" w:lineRule="exact"/>
              <w:ind w:left="0" w:right="0"/>
              <w:jc w:val="center"/>
              <w:rPr>
                <w:rFonts w:hint="default"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hint="default" w:ascii="宋体" w:hAnsi="宋体"/>
                <w:color w:val="auto"/>
                <w:spacing w:val="-6"/>
                <w:kern w:val="0"/>
                <w:szCs w:val="21"/>
                <w:highlight w:val="none"/>
              </w:rPr>
              <w:t>的密封</w:t>
            </w:r>
          </w:p>
        </w:tc>
        <w:tc>
          <w:tcPr>
            <w:tcW w:w="6490" w:type="dxa"/>
            <w:vAlign w:val="center"/>
          </w:tcPr>
          <w:p w14:paraId="095FFB2D">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比选申请文件自行封装，并在封装袋口处加盖比选申请人公章。</w:t>
            </w:r>
          </w:p>
        </w:tc>
      </w:tr>
      <w:tr w14:paraId="2E4DA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52556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4.1.2</w:t>
            </w:r>
          </w:p>
        </w:tc>
        <w:tc>
          <w:tcPr>
            <w:tcW w:w="1644" w:type="dxa"/>
            <w:vAlign w:val="center"/>
          </w:tcPr>
          <w:p w14:paraId="1C8FC73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封套上写明</w:t>
            </w:r>
          </w:p>
        </w:tc>
        <w:tc>
          <w:tcPr>
            <w:tcW w:w="6490" w:type="dxa"/>
            <w:vAlign w:val="center"/>
          </w:tcPr>
          <w:p w14:paraId="684765D5">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应在“</w:t>
            </w:r>
            <w:r>
              <w:rPr>
                <w:rFonts w:hint="eastAsia" w:ascii="宋体" w:hAnsi="宋体"/>
                <w:color w:val="auto"/>
                <w:kern w:val="0"/>
                <w:szCs w:val="21"/>
                <w:highlight w:val="none"/>
                <w:lang w:eastAsia="zh-CN"/>
              </w:rPr>
              <w:t>比选申请文件</w:t>
            </w:r>
            <w:r>
              <w:rPr>
                <w:rFonts w:hint="default" w:ascii="宋体" w:hAnsi="宋体"/>
                <w:color w:val="auto"/>
                <w:kern w:val="0"/>
                <w:szCs w:val="21"/>
                <w:highlight w:val="none"/>
              </w:rPr>
              <w:t>”大袋封套上写明如下内容：</w:t>
            </w:r>
          </w:p>
          <w:p w14:paraId="533F7898">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C43663F">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77A1DC5">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olor w:val="auto"/>
                <w:kern w:val="0"/>
                <w:szCs w:val="21"/>
                <w:highlight w:val="none"/>
                <w:lang w:eastAsia="zh-CN"/>
              </w:rPr>
            </w:pPr>
            <w:r>
              <w:rPr>
                <w:rFonts w:hint="default"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比选申请文件</w:t>
            </w:r>
          </w:p>
          <w:p w14:paraId="51B470B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分前不得开启</w:t>
            </w:r>
          </w:p>
        </w:tc>
      </w:tr>
      <w:tr w14:paraId="63F33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3F32D4">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4.2.2</w:t>
            </w:r>
          </w:p>
        </w:tc>
        <w:tc>
          <w:tcPr>
            <w:tcW w:w="1644" w:type="dxa"/>
            <w:vAlign w:val="center"/>
          </w:tcPr>
          <w:p w14:paraId="5FFEED2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递交</w:t>
            </w:r>
            <w:r>
              <w:rPr>
                <w:rFonts w:hint="eastAsia" w:ascii="宋体" w:hAnsi="宋体"/>
                <w:color w:val="auto"/>
                <w:kern w:val="0"/>
                <w:szCs w:val="21"/>
                <w:highlight w:val="none"/>
                <w:lang w:eastAsia="zh-CN"/>
              </w:rPr>
              <w:t>比选申请文件</w:t>
            </w:r>
            <w:r>
              <w:rPr>
                <w:rFonts w:hint="default" w:ascii="宋体" w:hAnsi="宋体"/>
                <w:color w:val="auto"/>
                <w:kern w:val="0"/>
                <w:szCs w:val="21"/>
                <w:highlight w:val="none"/>
              </w:rPr>
              <w:t>地点</w:t>
            </w:r>
          </w:p>
        </w:tc>
        <w:tc>
          <w:tcPr>
            <w:tcW w:w="6490" w:type="dxa"/>
            <w:vAlign w:val="center"/>
          </w:tcPr>
          <w:p w14:paraId="2D350639">
            <w:pPr>
              <w:keepNext w:val="0"/>
              <w:keepLines w:val="0"/>
              <w:suppressLineNumbers w:val="0"/>
              <w:snapToGrid w:val="0"/>
              <w:spacing w:before="0" w:beforeAutospacing="0" w:after="0" w:afterAutospacing="0" w:line="400" w:lineRule="exact"/>
              <w:ind w:left="0" w:right="0" w:firstLine="420" w:firstLineChars="200"/>
              <w:rPr>
                <w:rFonts w:hint="eastAsia" w:eastAsia="宋体"/>
                <w:color w:val="auto"/>
                <w:highlight w:val="none"/>
                <w:lang w:eastAsia="zh-CN"/>
              </w:rPr>
            </w:pPr>
            <w:r>
              <w:rPr>
                <w:rFonts w:hint="default" w:ascii="宋体" w:hAnsi="宋体"/>
                <w:i w:val="0"/>
                <w:iCs w:val="0"/>
                <w:color w:val="auto"/>
                <w:kern w:val="0"/>
                <w:szCs w:val="21"/>
                <w:highlight w:val="none"/>
              </w:rPr>
              <w:t>递交</w:t>
            </w:r>
            <w:r>
              <w:rPr>
                <w:rFonts w:hint="eastAsia" w:ascii="宋体" w:hAnsi="宋体"/>
                <w:i w:val="0"/>
                <w:iCs w:val="0"/>
                <w:color w:val="auto"/>
                <w:kern w:val="0"/>
                <w:szCs w:val="21"/>
                <w:highlight w:val="none"/>
                <w:lang w:eastAsia="zh-CN"/>
              </w:rPr>
              <w:t>比选申请文件</w:t>
            </w:r>
            <w:r>
              <w:rPr>
                <w:rFonts w:hint="default" w:ascii="宋体" w:hAnsi="宋体"/>
                <w:i w:val="0"/>
                <w:iCs w:val="0"/>
                <w:color w:val="auto"/>
                <w:kern w:val="0"/>
                <w:szCs w:val="21"/>
                <w:highlight w:val="none"/>
              </w:rPr>
              <w:t>地点</w:t>
            </w:r>
            <w:r>
              <w:rPr>
                <w:rFonts w:hint="eastAsia" w:ascii="宋体" w:hAnsi="宋体"/>
                <w:i w:val="0"/>
                <w:iCs w:val="0"/>
                <w:color w:val="auto"/>
                <w:kern w:val="0"/>
                <w:szCs w:val="21"/>
                <w:highlight w:val="none"/>
                <w:lang w:eastAsia="zh-CN"/>
              </w:rPr>
              <w:t>：</w:t>
            </w:r>
            <w:r>
              <w:rPr>
                <w:rFonts w:hint="eastAsia" w:ascii="宋体" w:hAnsi="宋体" w:cs="Times New Roman"/>
                <w:snapToGrid w:val="0"/>
                <w:color w:val="auto"/>
                <w:kern w:val="0"/>
                <w:szCs w:val="21"/>
                <w:highlight w:val="none"/>
                <w:u w:val="single"/>
                <w:lang w:val="en-US" w:eastAsia="zh-CN"/>
              </w:rPr>
              <w:t>重庆锦豪酒店（大足石刻新城店）顶楼会议室（地址：棠香街道圣迹西路5号附7号）</w:t>
            </w:r>
          </w:p>
        </w:tc>
      </w:tr>
      <w:tr w14:paraId="23AFC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35872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4.2.3</w:t>
            </w:r>
          </w:p>
        </w:tc>
        <w:tc>
          <w:tcPr>
            <w:tcW w:w="1644" w:type="dxa"/>
            <w:vAlign w:val="center"/>
          </w:tcPr>
          <w:p w14:paraId="3BC3464D">
            <w:pPr>
              <w:keepNext w:val="0"/>
              <w:keepLines w:val="0"/>
              <w:suppressLineNumbers w:val="0"/>
              <w:snapToGrid w:val="0"/>
              <w:spacing w:before="0" w:beforeAutospacing="0" w:after="0" w:afterAutospacing="0" w:line="400" w:lineRule="exact"/>
              <w:ind w:left="0" w:right="0"/>
              <w:jc w:val="center"/>
              <w:rPr>
                <w:rFonts w:hint="eastAsia" w:ascii="宋体" w:hAnsi="宋体" w:eastAsia="宋体"/>
                <w:color w:val="auto"/>
                <w:kern w:val="0"/>
                <w:szCs w:val="21"/>
                <w:highlight w:val="none"/>
                <w:lang w:eastAsia="zh-CN"/>
              </w:rPr>
            </w:pPr>
            <w:r>
              <w:rPr>
                <w:rFonts w:hint="default" w:ascii="宋体" w:hAnsi="宋体"/>
                <w:color w:val="auto"/>
                <w:kern w:val="0"/>
                <w:szCs w:val="21"/>
                <w:highlight w:val="none"/>
              </w:rPr>
              <w:t>是否退还</w:t>
            </w:r>
            <w:r>
              <w:rPr>
                <w:rFonts w:hint="eastAsia" w:ascii="宋体" w:hAnsi="宋体"/>
                <w:color w:val="auto"/>
                <w:kern w:val="0"/>
                <w:szCs w:val="21"/>
                <w:highlight w:val="none"/>
                <w:lang w:eastAsia="zh-CN"/>
              </w:rPr>
              <w:t>比选申请文件</w:t>
            </w:r>
          </w:p>
        </w:tc>
        <w:tc>
          <w:tcPr>
            <w:tcW w:w="6490" w:type="dxa"/>
            <w:vAlign w:val="center"/>
          </w:tcPr>
          <w:p w14:paraId="3805F20B">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否</w:t>
            </w:r>
          </w:p>
        </w:tc>
      </w:tr>
      <w:tr w14:paraId="50442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D7FB2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3C80879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开标时间和</w:t>
            </w:r>
          </w:p>
          <w:p w14:paraId="49FD231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地点</w:t>
            </w:r>
          </w:p>
        </w:tc>
        <w:tc>
          <w:tcPr>
            <w:tcW w:w="6490" w:type="dxa"/>
            <w:vAlign w:val="center"/>
          </w:tcPr>
          <w:p w14:paraId="60364850">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olor w:val="auto"/>
                <w:kern w:val="0"/>
                <w:szCs w:val="21"/>
                <w:highlight w:val="none"/>
                <w:lang w:eastAsia="zh-CN"/>
              </w:rPr>
            </w:pPr>
            <w:r>
              <w:rPr>
                <w:rFonts w:hint="default" w:ascii="宋体" w:hAnsi="宋体"/>
                <w:color w:val="auto"/>
                <w:kern w:val="0"/>
                <w:szCs w:val="21"/>
                <w:highlight w:val="none"/>
              </w:rPr>
              <w:t>开标时间：同</w:t>
            </w:r>
            <w:r>
              <w:rPr>
                <w:rFonts w:hint="eastAsia" w:ascii="宋体" w:hAnsi="宋体"/>
                <w:color w:val="auto"/>
                <w:kern w:val="0"/>
                <w:szCs w:val="21"/>
                <w:highlight w:val="none"/>
                <w:lang w:eastAsia="zh-CN"/>
              </w:rPr>
              <w:t>比选截止时间</w:t>
            </w:r>
          </w:p>
          <w:p w14:paraId="63DA4A66">
            <w:pPr>
              <w:keepNext w:val="0"/>
              <w:keepLines w:val="0"/>
              <w:suppressLineNumbers w:val="0"/>
              <w:snapToGrid w:val="0"/>
              <w:spacing w:before="0" w:beforeAutospacing="0" w:after="0" w:afterAutospacing="0" w:line="400" w:lineRule="exact"/>
              <w:ind w:left="0" w:right="0" w:firstLine="420" w:firstLineChars="200"/>
              <w:rPr>
                <w:rFonts w:hint="default" w:ascii="宋体" w:hAnsi="宋体"/>
                <w:bCs/>
                <w:i/>
                <w:color w:val="auto"/>
                <w:szCs w:val="21"/>
                <w:highlight w:val="none"/>
              </w:rPr>
            </w:pPr>
            <w:r>
              <w:rPr>
                <w:rFonts w:hint="default" w:ascii="宋体" w:hAnsi="宋体"/>
                <w:color w:val="auto"/>
                <w:kern w:val="0"/>
                <w:szCs w:val="21"/>
                <w:highlight w:val="none"/>
              </w:rPr>
              <w:t>开标地点：</w:t>
            </w:r>
            <w:r>
              <w:rPr>
                <w:rFonts w:hint="eastAsia" w:ascii="宋体" w:hAnsi="宋体" w:cs="Times New Roman"/>
                <w:snapToGrid w:val="0"/>
                <w:color w:val="auto"/>
                <w:kern w:val="0"/>
                <w:szCs w:val="21"/>
                <w:highlight w:val="none"/>
                <w:u w:val="single"/>
                <w:lang w:val="en-US" w:eastAsia="zh-CN"/>
              </w:rPr>
              <w:t>重庆锦豪酒店（大足石刻新城店）顶楼会议室（地址：棠香街道圣迹西路5号附7号）</w:t>
            </w:r>
          </w:p>
        </w:tc>
      </w:tr>
      <w:tr w14:paraId="5A0C8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4691B5">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5.2</w:t>
            </w:r>
          </w:p>
        </w:tc>
        <w:tc>
          <w:tcPr>
            <w:tcW w:w="1644" w:type="dxa"/>
            <w:vAlign w:val="center"/>
          </w:tcPr>
          <w:p w14:paraId="00EE88C4">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开标程序</w:t>
            </w:r>
          </w:p>
        </w:tc>
        <w:tc>
          <w:tcPr>
            <w:tcW w:w="6490" w:type="dxa"/>
            <w:vAlign w:val="center"/>
          </w:tcPr>
          <w:p w14:paraId="7C7082F4">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主持人按下列程序进行开标：</w:t>
            </w:r>
          </w:p>
          <w:p w14:paraId="203B4C1B">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1. 核验参加开标会议的</w:t>
            </w:r>
            <w:r>
              <w:rPr>
                <w:rFonts w:hint="eastAsia" w:ascii="宋体" w:hAnsi="宋体"/>
                <w:color w:val="auto"/>
                <w:szCs w:val="21"/>
                <w:highlight w:val="none"/>
                <w:lang w:eastAsia="zh-CN"/>
              </w:rPr>
              <w:t>比选申请人</w:t>
            </w:r>
            <w:r>
              <w:rPr>
                <w:rFonts w:hint="default" w:ascii="宋体" w:hAnsi="宋体"/>
                <w:color w:val="auto"/>
                <w:szCs w:val="21"/>
                <w:highlight w:val="none"/>
              </w:rPr>
              <w:t>的法定代表人或</w:t>
            </w:r>
            <w:r>
              <w:rPr>
                <w:rFonts w:hint="eastAsia" w:ascii="宋体" w:hAnsi="宋体"/>
                <w:color w:val="auto"/>
                <w:szCs w:val="21"/>
                <w:highlight w:val="none"/>
              </w:rPr>
              <w:t>委托代理人</w:t>
            </w:r>
            <w:r>
              <w:rPr>
                <w:rFonts w:hint="default"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hint="default"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271EC1B4">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 xml:space="preserve"> </w:t>
            </w:r>
            <w:r>
              <w:rPr>
                <w:rFonts w:hint="default" w:ascii="宋体" w:hAnsi="宋体"/>
                <w:color w:val="auto"/>
                <w:szCs w:val="21"/>
                <w:highlight w:val="none"/>
              </w:rPr>
              <w:t>宣布开标纪律</w:t>
            </w:r>
            <w:r>
              <w:rPr>
                <w:rFonts w:hint="eastAsia" w:ascii="宋体" w:hAnsi="宋体"/>
                <w:color w:val="auto"/>
                <w:szCs w:val="21"/>
                <w:highlight w:val="none"/>
              </w:rPr>
              <w:t>。</w:t>
            </w:r>
          </w:p>
          <w:p w14:paraId="379D4E71">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7F5732C5">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4. 公布在</w:t>
            </w:r>
            <w:r>
              <w:rPr>
                <w:rFonts w:hint="eastAsia" w:ascii="宋体" w:hAnsi="宋体"/>
                <w:color w:val="auto"/>
                <w:szCs w:val="21"/>
                <w:highlight w:val="none"/>
                <w:lang w:eastAsia="zh-CN"/>
              </w:rPr>
              <w:t>比选截止时间</w:t>
            </w:r>
            <w:r>
              <w:rPr>
                <w:rFonts w:hint="default" w:ascii="宋体" w:hAnsi="宋体"/>
                <w:color w:val="auto"/>
                <w:szCs w:val="21"/>
                <w:highlight w:val="none"/>
              </w:rPr>
              <w:t>前递交</w:t>
            </w:r>
            <w:r>
              <w:rPr>
                <w:rFonts w:hint="eastAsia" w:ascii="宋体" w:hAnsi="宋体"/>
                <w:color w:val="auto"/>
                <w:szCs w:val="21"/>
                <w:highlight w:val="none"/>
                <w:lang w:eastAsia="zh-CN"/>
              </w:rPr>
              <w:t>比选申请文件</w:t>
            </w:r>
            <w:r>
              <w:rPr>
                <w:rFonts w:hint="default" w:ascii="宋体" w:hAnsi="宋体"/>
                <w:color w:val="auto"/>
                <w:szCs w:val="21"/>
                <w:highlight w:val="none"/>
              </w:rPr>
              <w:t>的</w:t>
            </w:r>
            <w:r>
              <w:rPr>
                <w:rFonts w:hint="eastAsia" w:ascii="宋体" w:hAnsi="宋体"/>
                <w:color w:val="auto"/>
                <w:szCs w:val="21"/>
                <w:highlight w:val="none"/>
                <w:lang w:eastAsia="zh-CN"/>
              </w:rPr>
              <w:t>比选申请人</w:t>
            </w:r>
            <w:r>
              <w:rPr>
                <w:rFonts w:hint="default" w:ascii="宋体" w:hAnsi="宋体"/>
                <w:color w:val="auto"/>
                <w:szCs w:val="21"/>
                <w:highlight w:val="none"/>
              </w:rPr>
              <w:t>名称</w:t>
            </w:r>
            <w:r>
              <w:rPr>
                <w:rFonts w:hint="eastAsia" w:ascii="宋体" w:hAnsi="宋体"/>
                <w:color w:val="auto"/>
                <w:szCs w:val="21"/>
                <w:highlight w:val="none"/>
              </w:rPr>
              <w:t>。</w:t>
            </w:r>
          </w:p>
          <w:p w14:paraId="78DE5FE0">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 xml:space="preserve">5. </w:t>
            </w:r>
            <w:r>
              <w:rPr>
                <w:rFonts w:hint="eastAsia" w:ascii="宋体" w:hAnsi="宋体"/>
                <w:color w:val="auto"/>
                <w:szCs w:val="21"/>
                <w:highlight w:val="none"/>
                <w:lang w:eastAsia="zh-CN"/>
              </w:rPr>
              <w:t>比选申请文件</w:t>
            </w:r>
            <w:r>
              <w:rPr>
                <w:rFonts w:hint="eastAsia" w:ascii="宋体" w:hAnsi="宋体"/>
                <w:color w:val="auto"/>
                <w:szCs w:val="21"/>
                <w:highlight w:val="none"/>
              </w:rPr>
              <w:t>的密封检查：</w:t>
            </w:r>
            <w:r>
              <w:rPr>
                <w:rFonts w:hint="eastAsia" w:ascii="宋体" w:hAnsi="宋体"/>
                <w:color w:val="auto"/>
                <w:szCs w:val="21"/>
                <w:highlight w:val="none"/>
                <w:lang w:eastAsia="zh-CN"/>
              </w:rPr>
              <w:t>比选申请人</w:t>
            </w:r>
            <w:r>
              <w:rPr>
                <w:rFonts w:hint="eastAsia" w:ascii="宋体" w:hAnsi="宋体"/>
                <w:color w:val="auto"/>
                <w:szCs w:val="21"/>
                <w:highlight w:val="none"/>
              </w:rPr>
              <w:t>可对自己的</w:t>
            </w:r>
            <w:r>
              <w:rPr>
                <w:rFonts w:hint="eastAsia" w:ascii="宋体" w:hAnsi="宋体"/>
                <w:color w:val="auto"/>
                <w:szCs w:val="21"/>
                <w:highlight w:val="none"/>
                <w:lang w:eastAsia="zh-CN"/>
              </w:rPr>
              <w:t>比选申请文件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比选申请文件</w:t>
            </w:r>
            <w:r>
              <w:rPr>
                <w:rFonts w:hint="eastAsia" w:ascii="宋体" w:hAnsi="宋体"/>
                <w:color w:val="auto"/>
                <w:szCs w:val="21"/>
                <w:highlight w:val="none"/>
              </w:rPr>
              <w:t>密封完好。</w:t>
            </w:r>
          </w:p>
          <w:p w14:paraId="50A51E7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6. 汇总投标保证金交纳情况</w:t>
            </w:r>
          </w:p>
          <w:p w14:paraId="0E5908E9">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7. 公布最高限价</w:t>
            </w:r>
            <w:r>
              <w:rPr>
                <w:rFonts w:hint="eastAsia" w:ascii="宋体" w:hAnsi="宋体"/>
                <w:color w:val="auto"/>
                <w:szCs w:val="21"/>
                <w:highlight w:val="none"/>
              </w:rPr>
              <w:t>。</w:t>
            </w:r>
          </w:p>
          <w:p w14:paraId="5D7E6D8D">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8</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default" w:ascii="宋体" w:hAnsi="宋体"/>
                <w:color w:val="auto"/>
                <w:szCs w:val="21"/>
                <w:highlight w:val="none"/>
              </w:rPr>
              <w:t>逐单位随机开启</w:t>
            </w:r>
            <w:r>
              <w:rPr>
                <w:rFonts w:hint="eastAsia" w:ascii="宋体" w:hAnsi="宋体"/>
                <w:color w:val="auto"/>
                <w:szCs w:val="21"/>
                <w:highlight w:val="none"/>
                <w:lang w:eastAsia="zh-CN"/>
              </w:rPr>
              <w:t>比选申请文件</w:t>
            </w:r>
            <w:r>
              <w:rPr>
                <w:rFonts w:hint="default" w:ascii="宋体" w:hAnsi="宋体"/>
                <w:color w:val="auto"/>
                <w:szCs w:val="21"/>
                <w:highlight w:val="none"/>
              </w:rPr>
              <w:t>。开启</w:t>
            </w:r>
            <w:r>
              <w:rPr>
                <w:rFonts w:hint="eastAsia" w:ascii="宋体" w:hAnsi="宋体"/>
                <w:color w:val="auto"/>
                <w:szCs w:val="21"/>
                <w:highlight w:val="none"/>
                <w:lang w:eastAsia="zh-CN"/>
              </w:rPr>
              <w:t>比选申请文件</w:t>
            </w:r>
            <w:r>
              <w:rPr>
                <w:rFonts w:hint="default" w:ascii="宋体" w:hAnsi="宋体"/>
                <w:color w:val="auto"/>
                <w:szCs w:val="21"/>
                <w:highlight w:val="none"/>
              </w:rPr>
              <w:t>大袋及</w:t>
            </w:r>
            <w:r>
              <w:rPr>
                <w:rFonts w:hint="eastAsia" w:ascii="宋体" w:hAnsi="宋体"/>
                <w:color w:val="auto"/>
                <w:szCs w:val="21"/>
                <w:highlight w:val="none"/>
                <w:lang w:eastAsia="zh-CN"/>
              </w:rPr>
              <w:t>比选申请函</w:t>
            </w:r>
            <w:r>
              <w:rPr>
                <w:rFonts w:hint="default" w:ascii="宋体" w:hAnsi="宋体"/>
                <w:color w:val="auto"/>
                <w:szCs w:val="21"/>
                <w:highlight w:val="none"/>
              </w:rPr>
              <w:t>部分袋、</w:t>
            </w:r>
            <w:r>
              <w:rPr>
                <w:rFonts w:hint="eastAsia" w:ascii="宋体" w:hAnsi="宋体"/>
                <w:color w:val="auto"/>
                <w:szCs w:val="21"/>
                <w:highlight w:val="none"/>
              </w:rPr>
              <w:t>经济</w:t>
            </w:r>
            <w:r>
              <w:rPr>
                <w:rFonts w:hint="default" w:ascii="宋体" w:hAnsi="宋体"/>
                <w:color w:val="auto"/>
                <w:szCs w:val="21"/>
                <w:highlight w:val="none"/>
              </w:rPr>
              <w:t>部分袋、</w:t>
            </w:r>
            <w:r>
              <w:rPr>
                <w:rFonts w:hint="eastAsia" w:ascii="宋体" w:hAnsi="宋体"/>
                <w:color w:val="auto"/>
                <w:szCs w:val="21"/>
                <w:highlight w:val="none"/>
              </w:rPr>
              <w:t>资格审查部分袋</w:t>
            </w:r>
            <w:r>
              <w:rPr>
                <w:rFonts w:hint="default" w:ascii="宋体" w:hAnsi="宋体"/>
                <w:color w:val="auto"/>
                <w:szCs w:val="21"/>
                <w:highlight w:val="none"/>
              </w:rPr>
              <w:t>；公布</w:t>
            </w:r>
            <w:r>
              <w:rPr>
                <w:rFonts w:hint="eastAsia" w:ascii="宋体" w:hAnsi="宋体"/>
                <w:color w:val="auto"/>
                <w:szCs w:val="21"/>
                <w:highlight w:val="none"/>
                <w:lang w:eastAsia="zh-CN"/>
              </w:rPr>
              <w:t>比选申请人</w:t>
            </w:r>
            <w:r>
              <w:rPr>
                <w:rFonts w:hint="default"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1FDE8304">
            <w:pPr>
              <w:keepNext w:val="0"/>
              <w:keepLines w:val="0"/>
              <w:numPr>
                <w:ilvl w:val="255"/>
                <w:numId w:val="0"/>
              </w:numPr>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xml:space="preserve">. </w:t>
            </w:r>
            <w:r>
              <w:rPr>
                <w:rFonts w:hint="default" w:ascii="宋体" w:hAnsi="宋体"/>
                <w:color w:val="auto"/>
                <w:szCs w:val="21"/>
                <w:highlight w:val="none"/>
              </w:rPr>
              <w:t>在重庆市工程建设领域招标投标信用平台上查询、公布所有</w:t>
            </w:r>
            <w:r>
              <w:rPr>
                <w:rFonts w:hint="eastAsia" w:ascii="宋体" w:hAnsi="宋体"/>
                <w:color w:val="auto"/>
                <w:szCs w:val="21"/>
                <w:highlight w:val="none"/>
                <w:lang w:eastAsia="zh-CN"/>
              </w:rPr>
              <w:t>比选申请人</w:t>
            </w:r>
            <w:r>
              <w:rPr>
                <w:rFonts w:hint="default" w:ascii="宋体" w:hAnsi="宋体"/>
                <w:color w:val="auto"/>
                <w:szCs w:val="21"/>
                <w:highlight w:val="none"/>
              </w:rPr>
              <w:t>信用情况</w:t>
            </w:r>
            <w:r>
              <w:rPr>
                <w:rFonts w:hint="eastAsia" w:ascii="宋体" w:hAnsi="宋体"/>
                <w:color w:val="auto"/>
                <w:szCs w:val="21"/>
                <w:highlight w:val="none"/>
              </w:rPr>
              <w:t>（若遇特殊情况，可在开标现场或开标当日，采用人工方式在“重庆市公共资源交易监督网”的“信用信息”栏目查询、核实）</w:t>
            </w:r>
            <w:r>
              <w:rPr>
                <w:rFonts w:hint="default" w:ascii="宋体" w:hAnsi="宋体"/>
                <w:color w:val="auto"/>
                <w:szCs w:val="21"/>
                <w:highlight w:val="none"/>
              </w:rPr>
              <w:t>，汇总并打印所有</w:t>
            </w:r>
            <w:r>
              <w:rPr>
                <w:rFonts w:hint="eastAsia" w:ascii="宋体" w:hAnsi="宋体"/>
                <w:color w:val="auto"/>
                <w:szCs w:val="21"/>
                <w:highlight w:val="none"/>
                <w:lang w:eastAsia="zh-CN"/>
              </w:rPr>
              <w:t>比选申请人</w:t>
            </w:r>
            <w:r>
              <w:rPr>
                <w:rFonts w:hint="default" w:ascii="宋体" w:hAnsi="宋体"/>
                <w:color w:val="auto"/>
                <w:szCs w:val="21"/>
                <w:highlight w:val="none"/>
              </w:rPr>
              <w:t>的信用查询结果，并由主持人、</w:t>
            </w:r>
            <w:r>
              <w:rPr>
                <w:rFonts w:hint="eastAsia" w:ascii="宋体" w:hAnsi="宋体"/>
                <w:color w:val="auto"/>
                <w:szCs w:val="21"/>
                <w:highlight w:val="none"/>
                <w:lang w:eastAsia="zh-CN"/>
              </w:rPr>
              <w:t>比选人</w:t>
            </w:r>
            <w:r>
              <w:rPr>
                <w:rFonts w:hint="default" w:ascii="宋体" w:hAnsi="宋体"/>
                <w:color w:val="auto"/>
                <w:szCs w:val="21"/>
                <w:highlight w:val="none"/>
              </w:rPr>
              <w:t>代表、监标人、记录人签名确认</w:t>
            </w:r>
            <w:r>
              <w:rPr>
                <w:rFonts w:hint="eastAsia" w:ascii="宋体" w:hAnsi="宋体"/>
                <w:color w:val="auto"/>
                <w:szCs w:val="21"/>
                <w:highlight w:val="none"/>
              </w:rPr>
              <w:t>。</w:t>
            </w:r>
          </w:p>
          <w:p w14:paraId="56A9CBF7">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w:t>
            </w:r>
            <w:r>
              <w:rPr>
                <w:rFonts w:hint="eastAsia" w:ascii="宋体" w:hAnsi="宋体"/>
                <w:color w:val="auto"/>
                <w:szCs w:val="21"/>
                <w:highlight w:val="none"/>
                <w:lang w:eastAsia="zh-CN"/>
              </w:rPr>
              <w:t>比选申请人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49072AD1">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11</w:t>
            </w:r>
            <w:r>
              <w:rPr>
                <w:rFonts w:hint="default" w:ascii="宋体" w:hAnsi="宋体"/>
                <w:color w:val="auto"/>
                <w:szCs w:val="21"/>
                <w:highlight w:val="none"/>
              </w:rPr>
              <w:t xml:space="preserve">. </w:t>
            </w:r>
            <w:r>
              <w:rPr>
                <w:rFonts w:hint="eastAsia" w:ascii="宋体" w:hAnsi="宋体"/>
                <w:color w:val="auto"/>
                <w:szCs w:val="21"/>
                <w:highlight w:val="none"/>
                <w:lang w:eastAsia="zh-CN"/>
              </w:rPr>
              <w:t>比选申请人</w:t>
            </w:r>
            <w:r>
              <w:rPr>
                <w:rFonts w:hint="default" w:ascii="宋体" w:hAnsi="宋体"/>
                <w:color w:val="auto"/>
                <w:szCs w:val="21"/>
                <w:highlight w:val="none"/>
              </w:rPr>
              <w:t>代表、</w:t>
            </w:r>
            <w:r>
              <w:rPr>
                <w:rFonts w:hint="eastAsia" w:ascii="宋体" w:hAnsi="宋体"/>
                <w:color w:val="auto"/>
                <w:szCs w:val="21"/>
                <w:highlight w:val="none"/>
                <w:lang w:eastAsia="zh-CN"/>
              </w:rPr>
              <w:t>比选人</w:t>
            </w:r>
            <w:r>
              <w:rPr>
                <w:rFonts w:hint="default" w:ascii="宋体" w:hAnsi="宋体"/>
                <w:color w:val="auto"/>
                <w:szCs w:val="21"/>
                <w:highlight w:val="none"/>
              </w:rPr>
              <w:t>代表、监标人、</w:t>
            </w:r>
            <w:r>
              <w:rPr>
                <w:rFonts w:hint="eastAsia" w:ascii="宋体" w:hAnsi="宋体"/>
                <w:color w:val="auto"/>
                <w:szCs w:val="21"/>
                <w:highlight w:val="none"/>
              </w:rPr>
              <w:t>主持人、</w:t>
            </w:r>
            <w:r>
              <w:rPr>
                <w:rFonts w:hint="default" w:ascii="宋体" w:hAnsi="宋体"/>
                <w:color w:val="auto"/>
                <w:szCs w:val="21"/>
                <w:highlight w:val="none"/>
              </w:rPr>
              <w:t>记录人等有关人员在开标记录上</w:t>
            </w:r>
            <w:r>
              <w:rPr>
                <w:rFonts w:hint="eastAsia" w:ascii="宋体" w:hAnsi="宋体"/>
                <w:color w:val="auto"/>
                <w:szCs w:val="21"/>
                <w:highlight w:val="none"/>
              </w:rPr>
              <w:t>签名</w:t>
            </w:r>
            <w:r>
              <w:rPr>
                <w:rFonts w:hint="default"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04A81210">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开标记录表、</w:t>
            </w:r>
            <w:r>
              <w:rPr>
                <w:rFonts w:hint="eastAsia" w:ascii="宋体" w:hAnsi="宋体"/>
                <w:color w:val="auto"/>
                <w:szCs w:val="21"/>
                <w:highlight w:val="none"/>
                <w:lang w:eastAsia="zh-CN"/>
              </w:rPr>
              <w:t>比选申请人</w:t>
            </w:r>
            <w:r>
              <w:rPr>
                <w:rFonts w:hint="eastAsia" w:ascii="宋体" w:hAnsi="宋体"/>
                <w:color w:val="auto"/>
                <w:szCs w:val="21"/>
                <w:highlight w:val="none"/>
              </w:rPr>
              <w:t>信用情况汇总表一并交由评标委员会评审。</w:t>
            </w:r>
          </w:p>
          <w:p w14:paraId="63FDA948">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default" w:ascii="宋体" w:hAnsi="宋体"/>
                <w:color w:val="auto"/>
                <w:szCs w:val="21"/>
                <w:highlight w:val="none"/>
              </w:rPr>
              <w:t>. 开标结束。</w:t>
            </w:r>
          </w:p>
        </w:tc>
      </w:tr>
      <w:tr w14:paraId="3A51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20645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6.1.1</w:t>
            </w:r>
          </w:p>
        </w:tc>
        <w:tc>
          <w:tcPr>
            <w:tcW w:w="1644" w:type="dxa"/>
            <w:vAlign w:val="center"/>
          </w:tcPr>
          <w:p w14:paraId="75C751C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评标委员会的组建</w:t>
            </w:r>
          </w:p>
        </w:tc>
        <w:tc>
          <w:tcPr>
            <w:tcW w:w="6490" w:type="dxa"/>
            <w:vAlign w:val="center"/>
          </w:tcPr>
          <w:p w14:paraId="53FBB9A0">
            <w:pPr>
              <w:keepNext w:val="0"/>
              <w:keepLines w:val="0"/>
              <w:suppressLineNumbers w:val="0"/>
              <w:autoSpaceDE w:val="0"/>
              <w:autoSpaceDN w:val="0"/>
              <w:adjustRightInd w:val="0"/>
              <w:snapToGrid w:val="0"/>
              <w:spacing w:before="0" w:beforeAutospacing="0" w:after="0" w:afterAutospacing="0" w:line="400" w:lineRule="exact"/>
              <w:ind w:left="0" w:right="0" w:firstLine="436" w:firstLineChars="200"/>
              <w:rPr>
                <w:rFonts w:hint="default" w:ascii="宋体" w:hAnsi="宋体"/>
                <w:color w:val="auto"/>
                <w:kern w:val="0"/>
                <w:szCs w:val="21"/>
                <w:highlight w:val="none"/>
              </w:rPr>
            </w:pPr>
            <w:r>
              <w:rPr>
                <w:rFonts w:hint="eastAsia" w:ascii="宋体" w:hAnsi="宋体"/>
                <w:color w:val="auto"/>
                <w:spacing w:val="4"/>
                <w:kern w:val="0"/>
                <w:szCs w:val="21"/>
                <w:highlight w:val="none"/>
                <w:lang w:val="en-US" w:eastAsia="zh-CN"/>
              </w:rPr>
              <w:t>3人组成。</w:t>
            </w: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51113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34E84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7.1</w:t>
            </w:r>
          </w:p>
        </w:tc>
        <w:tc>
          <w:tcPr>
            <w:tcW w:w="1644" w:type="dxa"/>
            <w:vAlign w:val="center"/>
          </w:tcPr>
          <w:p w14:paraId="1952D491">
            <w:pPr>
              <w:keepNext w:val="0"/>
              <w:keepLines w:val="0"/>
              <w:suppressLineNumbers w:val="0"/>
              <w:snapToGrid w:val="0"/>
              <w:spacing w:before="0" w:beforeAutospacing="0" w:after="62" w:afterLines="20" w:afterAutospacing="0" w:line="400" w:lineRule="exact"/>
              <w:ind w:left="0" w:right="0"/>
              <w:jc w:val="center"/>
              <w:rPr>
                <w:rFonts w:hint="eastAsia" w:ascii="宋体" w:hAnsi="宋体" w:eastAsia="宋体"/>
                <w:color w:val="auto"/>
                <w:kern w:val="0"/>
                <w:szCs w:val="21"/>
                <w:highlight w:val="none"/>
                <w:lang w:eastAsia="zh-CN"/>
              </w:rPr>
            </w:pPr>
            <w:r>
              <w:rPr>
                <w:rFonts w:hint="default"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中选人</w:t>
            </w:r>
          </w:p>
        </w:tc>
        <w:tc>
          <w:tcPr>
            <w:tcW w:w="6490" w:type="dxa"/>
            <w:vAlign w:val="center"/>
          </w:tcPr>
          <w:p w14:paraId="5F406230">
            <w:pPr>
              <w:keepNext w:val="0"/>
              <w:keepLines w:val="0"/>
              <w:suppressLineNumbers w:val="0"/>
              <w:snapToGrid w:val="0"/>
              <w:spacing w:before="0" w:beforeAutospacing="0" w:after="0" w:afterAutospacing="0" w:line="400" w:lineRule="exact"/>
              <w:ind w:left="0" w:right="0" w:firstLine="420" w:firstLineChars="200"/>
              <w:rPr>
                <w:rFonts w:hint="default" w:ascii="宋体" w:hAnsi="宋体"/>
                <w:i/>
                <w:color w:val="auto"/>
                <w:kern w:val="0"/>
                <w:szCs w:val="21"/>
                <w:highlight w:val="none"/>
              </w:rPr>
            </w:pPr>
            <w:r>
              <w:rPr>
                <w:rFonts w:hint="default"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hint="default" w:ascii="宋体" w:hAnsi="宋体"/>
                <w:color w:val="auto"/>
                <w:kern w:val="0"/>
                <w:szCs w:val="21"/>
                <w:highlight w:val="none"/>
              </w:rPr>
              <w:t>由低到高排名前三名为中标候选人。</w:t>
            </w:r>
          </w:p>
        </w:tc>
      </w:tr>
      <w:tr w14:paraId="248B9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E4F85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3FE7B61E">
            <w:pPr>
              <w:keepNext w:val="0"/>
              <w:keepLines w:val="0"/>
              <w:suppressLineNumbers w:val="0"/>
              <w:snapToGrid w:val="0"/>
              <w:spacing w:before="0" w:beforeAutospacing="0" w:after="62" w:afterLines="2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lang w:eastAsia="zh-CN"/>
              </w:rPr>
              <w:t>中选</w:t>
            </w:r>
            <w:r>
              <w:rPr>
                <w:rFonts w:hint="default" w:ascii="宋体" w:hAnsi="宋体"/>
                <w:color w:val="auto"/>
                <w:kern w:val="0"/>
                <w:szCs w:val="21"/>
                <w:highlight w:val="none"/>
              </w:rPr>
              <w:t>公示</w:t>
            </w:r>
          </w:p>
        </w:tc>
        <w:tc>
          <w:tcPr>
            <w:tcW w:w="6490" w:type="dxa"/>
            <w:vAlign w:val="center"/>
          </w:tcPr>
          <w:p w14:paraId="470C8C47">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default" w:cs="仿宋" w:asciiTheme="minorEastAsia" w:hAnsiTheme="minorEastAsia" w:eastAsiaTheme="minorEastAsia"/>
                <w:color w:val="auto"/>
                <w:sz w:val="21"/>
                <w:szCs w:val="21"/>
                <w:highlight w:val="none"/>
              </w:rPr>
              <w:t>中</w:t>
            </w:r>
            <w:r>
              <w:rPr>
                <w:rFonts w:hint="eastAsia" w:cs="仿宋" w:asciiTheme="minorEastAsia" w:hAnsiTheme="minorEastAsia" w:eastAsiaTheme="minorEastAsia"/>
                <w:color w:val="auto"/>
                <w:sz w:val="21"/>
                <w:szCs w:val="21"/>
                <w:highlight w:val="none"/>
              </w:rPr>
              <w:t>选</w:t>
            </w:r>
            <w:r>
              <w:rPr>
                <w:rFonts w:hint="default" w:cs="仿宋" w:asciiTheme="minorEastAsia" w:hAnsiTheme="minorEastAsia" w:eastAsiaTheme="minorEastAsia"/>
                <w:color w:val="auto"/>
                <w:sz w:val="21"/>
                <w:szCs w:val="21"/>
                <w:highlight w:val="none"/>
              </w:rPr>
              <w:t>结果将</w:t>
            </w:r>
            <w:r>
              <w:rPr>
                <w:rFonts w:hint="eastAsia" w:cs="仿宋" w:asciiTheme="minorEastAsia" w:hAnsiTheme="minorEastAsia" w:eastAsiaTheme="minorEastAsia"/>
                <w:color w:val="auto"/>
                <w:sz w:val="21"/>
                <w:szCs w:val="21"/>
                <w:highlight w:val="none"/>
              </w:rPr>
              <w:t>在</w:t>
            </w:r>
            <w:r>
              <w:rPr>
                <w:rFonts w:hint="eastAsia" w:cs="仿宋" w:asciiTheme="minorEastAsia" w:hAnsiTheme="minorEastAsia" w:eastAsiaTheme="minorEastAsia"/>
                <w:color w:val="auto"/>
                <w:sz w:val="21"/>
                <w:szCs w:val="21"/>
                <w:highlight w:val="none"/>
                <w:lang w:eastAsia="zh-CN"/>
              </w:rPr>
              <w:t>行采家（www.gec123.com）</w:t>
            </w:r>
            <w:r>
              <w:rPr>
                <w:rFonts w:hint="eastAsia" w:cs="仿宋" w:asciiTheme="minorEastAsia" w:hAnsiTheme="minorEastAsia" w:eastAsiaTheme="minorEastAsia"/>
                <w:color w:val="auto"/>
                <w:sz w:val="21"/>
                <w:szCs w:val="21"/>
                <w:highlight w:val="none"/>
              </w:rPr>
              <w:t>上进行公示3日。</w:t>
            </w:r>
            <w:r>
              <w:rPr>
                <w:rFonts w:hint="default" w:cs="仿宋" w:asciiTheme="minorEastAsia" w:hAnsiTheme="minorEastAsia" w:eastAsiaTheme="minorEastAsia"/>
                <w:color w:val="auto"/>
                <w:sz w:val="21"/>
                <w:szCs w:val="21"/>
                <w:highlight w:val="none"/>
              </w:rPr>
              <w:t>公示期结束没有收到在本次</w:t>
            </w:r>
            <w:r>
              <w:rPr>
                <w:rFonts w:hint="eastAsia" w:cs="仿宋" w:asciiTheme="minorEastAsia" w:hAnsiTheme="minorEastAsia" w:eastAsiaTheme="minorEastAsia"/>
                <w:color w:val="auto"/>
                <w:sz w:val="21"/>
                <w:szCs w:val="21"/>
                <w:highlight w:val="none"/>
              </w:rPr>
              <w:t>比选</w:t>
            </w:r>
            <w:r>
              <w:rPr>
                <w:rFonts w:hint="default" w:cs="仿宋" w:asciiTheme="minorEastAsia" w:hAnsiTheme="minorEastAsia" w:eastAsiaTheme="minorEastAsia"/>
                <w:color w:val="auto"/>
                <w:sz w:val="21"/>
                <w:szCs w:val="21"/>
                <w:highlight w:val="none"/>
              </w:rPr>
              <w:t>过程中有违法行为投诉或相关质疑、或投诉质疑不成立的，比选人将按规定发出中</w:t>
            </w:r>
            <w:r>
              <w:rPr>
                <w:rFonts w:hint="eastAsia" w:cs="仿宋" w:asciiTheme="minorEastAsia" w:hAnsiTheme="minorEastAsia" w:eastAsiaTheme="minorEastAsia"/>
                <w:color w:val="auto"/>
                <w:sz w:val="21"/>
                <w:szCs w:val="21"/>
                <w:highlight w:val="none"/>
              </w:rPr>
              <w:t>选</w:t>
            </w:r>
            <w:r>
              <w:rPr>
                <w:rFonts w:hint="default" w:cs="仿宋" w:asciiTheme="minorEastAsia" w:hAnsiTheme="minorEastAsia" w:eastAsiaTheme="minorEastAsia"/>
                <w:color w:val="auto"/>
                <w:sz w:val="21"/>
                <w:szCs w:val="21"/>
                <w:highlight w:val="none"/>
              </w:rPr>
              <w:t>通知书。</w:t>
            </w:r>
          </w:p>
        </w:tc>
      </w:tr>
      <w:tr w14:paraId="1D39D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4C20C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7.3.1</w:t>
            </w:r>
          </w:p>
        </w:tc>
        <w:tc>
          <w:tcPr>
            <w:tcW w:w="1644" w:type="dxa"/>
            <w:vAlign w:val="center"/>
          </w:tcPr>
          <w:p w14:paraId="49444DE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履约担保</w:t>
            </w:r>
          </w:p>
        </w:tc>
        <w:tc>
          <w:tcPr>
            <w:tcW w:w="6490" w:type="dxa"/>
            <w:vAlign w:val="center"/>
          </w:tcPr>
          <w:p w14:paraId="1ECA0D68">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是否提供履约担保：</w:t>
            </w:r>
            <w:r>
              <w:rPr>
                <w:rFonts w:hint="eastAsia" w:ascii="宋体" w:hAnsi="宋体"/>
                <w:color w:val="auto"/>
                <w:kern w:val="0"/>
                <w:szCs w:val="21"/>
                <w:highlight w:val="none"/>
                <w:u w:val="single"/>
                <w:lang w:val="en-US" w:eastAsia="zh-CN"/>
              </w:rPr>
              <w:t>不</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tc>
      </w:tr>
      <w:tr w14:paraId="7B769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29F27C">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56E2946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0906FB03">
            <w:pPr>
              <w:keepNext w:val="0"/>
              <w:keepLines w:val="0"/>
              <w:suppressLineNumbers w:val="0"/>
              <w:snapToGrid w:val="0"/>
              <w:spacing w:before="0" w:beforeAutospacing="0" w:after="62" w:afterLines="2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依法必须进行</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的项目，</w:t>
            </w:r>
            <w:r>
              <w:rPr>
                <w:rFonts w:hint="eastAsia" w:ascii="宋体" w:hAnsi="宋体"/>
                <w:color w:val="auto"/>
                <w:kern w:val="0"/>
                <w:szCs w:val="21"/>
                <w:highlight w:val="none"/>
                <w:lang w:eastAsia="zh-CN"/>
              </w:rPr>
              <w:t>中选候选人</w:t>
            </w:r>
            <w:r>
              <w:rPr>
                <w:rFonts w:hint="eastAsia" w:ascii="宋体" w:hAnsi="宋体"/>
                <w:color w:val="auto"/>
                <w:kern w:val="0"/>
                <w:szCs w:val="21"/>
                <w:highlight w:val="none"/>
              </w:rPr>
              <w:t>有《招标投标法实施条例》第七十四条规定行为的，视为特别严重信用不良行为且情节特别严重，按信用记分上限一次性记12分，纳入黑名单管理；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有《招标投标法实施条例》第七十四条规定行为的，按</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项目金额10‰罚款上限予以行政处罚，按信用记分上限一次性并处记12分，纳入黑名单管理。</w:t>
            </w:r>
          </w:p>
        </w:tc>
      </w:tr>
      <w:tr w14:paraId="5B2EE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8599F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8.1</w:t>
            </w:r>
          </w:p>
        </w:tc>
        <w:tc>
          <w:tcPr>
            <w:tcW w:w="1644" w:type="dxa"/>
            <w:vAlign w:val="center"/>
          </w:tcPr>
          <w:p w14:paraId="183B9E8A">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F8B7A3A">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1.按</w:t>
            </w: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须知第8.1（1）执行；</w:t>
            </w:r>
          </w:p>
          <w:p w14:paraId="06523DF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2.按</w:t>
            </w: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须知第8.1（2）执行；</w:t>
            </w:r>
          </w:p>
          <w:p w14:paraId="038B3B4A">
            <w:pPr>
              <w:keepNext w:val="0"/>
              <w:keepLines w:val="0"/>
              <w:widowControl/>
              <w:suppressLineNumbers w:val="0"/>
              <w:spacing w:before="0" w:beforeAutospacing="0" w:after="0" w:afterAutospacing="0" w:line="400" w:lineRule="exact"/>
              <w:ind w:left="0" w:right="0" w:firstLine="420" w:firstLineChars="200"/>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3.</w:t>
            </w:r>
            <w:r>
              <w:rPr>
                <w:rFonts w:hint="default"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须知第8.1（3）执行；</w:t>
            </w:r>
          </w:p>
          <w:p w14:paraId="7706F183">
            <w:pPr>
              <w:keepNext w:val="0"/>
              <w:keepLines w:val="0"/>
              <w:widowControl/>
              <w:suppressLineNumbers w:val="0"/>
              <w:spacing w:before="0" w:beforeAutospacing="0" w:after="62" w:afterLines="20" w:afterAutospacing="0" w:line="400" w:lineRule="exact"/>
              <w:ind w:left="0" w:right="0" w:firstLine="420" w:firstLineChars="200"/>
              <w:rPr>
                <w:rFonts w:hint="default" w:ascii="宋体" w:hAnsi="宋体"/>
                <w:color w:val="auto"/>
                <w:kern w:val="0"/>
                <w:szCs w:val="21"/>
                <w:highlight w:val="none"/>
              </w:rPr>
            </w:pPr>
            <w:r>
              <w:rPr>
                <w:rFonts w:hint="default" w:ascii="宋体" w:hAnsi="宋体"/>
                <w:snapToGrid w:val="0"/>
                <w:color w:val="auto"/>
                <w:kern w:val="0"/>
                <w:szCs w:val="21"/>
                <w:highlight w:val="none"/>
              </w:rPr>
              <w:t>4.</w:t>
            </w:r>
            <w:r>
              <w:rPr>
                <w:rFonts w:hint="default"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须知第8.1（4）执行</w:t>
            </w:r>
            <w:r>
              <w:rPr>
                <w:rFonts w:hint="eastAsia" w:ascii="宋体" w:hAnsi="宋体"/>
                <w:color w:val="auto"/>
                <w:kern w:val="0"/>
                <w:szCs w:val="21"/>
                <w:highlight w:val="none"/>
              </w:rPr>
              <w:t>。</w:t>
            </w:r>
          </w:p>
          <w:p w14:paraId="5FEB515B">
            <w:pPr>
              <w:keepNext w:val="0"/>
              <w:keepLines w:val="0"/>
              <w:widowControl/>
              <w:suppressLineNumbers w:val="0"/>
              <w:spacing w:before="0" w:beforeAutospacing="0" w:after="62" w:afterLines="2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27748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A23F4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8.2</w:t>
            </w:r>
          </w:p>
        </w:tc>
        <w:tc>
          <w:tcPr>
            <w:tcW w:w="1644" w:type="dxa"/>
            <w:vAlign w:val="center"/>
          </w:tcPr>
          <w:p w14:paraId="7E5B6831">
            <w:pPr>
              <w:keepNext w:val="0"/>
              <w:keepLines w:val="0"/>
              <w:suppressLineNumbers w:val="0"/>
              <w:snapToGrid w:val="0"/>
              <w:spacing w:before="0" w:beforeAutospacing="0" w:after="0" w:afterAutospacing="0" w:line="400" w:lineRule="exact"/>
              <w:ind w:left="0" w:right="0"/>
              <w:jc w:val="center"/>
              <w:rPr>
                <w:rFonts w:hint="default"/>
                <w:color w:val="auto"/>
                <w:highlight w:val="none"/>
              </w:rPr>
            </w:pPr>
            <w:bookmarkStart w:id="93" w:name="_Toc13210670"/>
            <w:bookmarkStart w:id="94" w:name="_Toc430530434"/>
            <w:bookmarkStart w:id="95" w:name="_Toc509218709"/>
            <w:bookmarkStart w:id="96" w:name="_Toc16930431"/>
            <w:bookmarkStart w:id="97" w:name="_Toc536628250"/>
            <w:r>
              <w:rPr>
                <w:rFonts w:hint="eastAsia" w:ascii="宋体" w:hAnsi="宋体"/>
                <w:color w:val="auto"/>
                <w:kern w:val="0"/>
                <w:szCs w:val="21"/>
                <w:highlight w:val="none"/>
              </w:rPr>
              <w:t>重新</w:t>
            </w:r>
            <w:r>
              <w:rPr>
                <w:rFonts w:hint="default" w:ascii="宋体" w:hAnsi="宋体"/>
                <w:color w:val="auto"/>
                <w:kern w:val="0"/>
                <w:szCs w:val="21"/>
                <w:highlight w:val="none"/>
              </w:rPr>
              <w:t>招标和不再招标</w:t>
            </w:r>
            <w:bookmarkEnd w:id="93"/>
            <w:bookmarkEnd w:id="94"/>
            <w:bookmarkEnd w:id="95"/>
            <w:bookmarkEnd w:id="96"/>
            <w:bookmarkEnd w:id="97"/>
          </w:p>
        </w:tc>
        <w:tc>
          <w:tcPr>
            <w:tcW w:w="6490" w:type="dxa"/>
            <w:vAlign w:val="center"/>
          </w:tcPr>
          <w:p w14:paraId="51D1258E">
            <w:pPr>
              <w:keepNext w:val="0"/>
              <w:keepLines w:val="0"/>
              <w:suppressLineNumbers w:val="0"/>
              <w:autoSpaceDE w:val="0"/>
              <w:autoSpaceDN w:val="0"/>
              <w:adjustRightInd w:val="0"/>
              <w:snapToGrid w:val="0"/>
              <w:spacing w:before="0" w:beforeAutospacing="0" w:after="62" w:afterLines="20" w:afterAutospacing="0" w:line="400" w:lineRule="exact"/>
              <w:ind w:left="0" w:right="0" w:firstLine="420" w:firstLineChars="200"/>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的，应当依法确定</w:t>
            </w:r>
            <w:r>
              <w:rPr>
                <w:rFonts w:hint="eastAsia" w:ascii="宋体" w:hAnsi="宋体"/>
                <w:snapToGrid w:val="0"/>
                <w:color w:val="auto"/>
                <w:kern w:val="0"/>
                <w:szCs w:val="21"/>
                <w:highlight w:val="none"/>
                <w:lang w:eastAsia="zh-CN"/>
              </w:rPr>
              <w:t>中选候选人</w:t>
            </w:r>
            <w:r>
              <w:rPr>
                <w:rFonts w:hint="eastAsia" w:ascii="宋体" w:hAnsi="宋体"/>
                <w:snapToGrid w:val="0"/>
                <w:color w:val="auto"/>
                <w:kern w:val="0"/>
                <w:szCs w:val="21"/>
                <w:highlight w:val="none"/>
              </w:rPr>
              <w:t>；无有效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hint="default" w:ascii="宋体" w:hAnsi="宋体"/>
                <w:snapToGrid w:val="0"/>
                <w:color w:val="auto"/>
                <w:kern w:val="0"/>
                <w:szCs w:val="21"/>
                <w:highlight w:val="none"/>
              </w:rPr>
              <w:t>。</w:t>
            </w:r>
          </w:p>
        </w:tc>
      </w:tr>
      <w:tr w14:paraId="04A1A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46842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10</w:t>
            </w:r>
          </w:p>
        </w:tc>
        <w:tc>
          <w:tcPr>
            <w:tcW w:w="8134" w:type="dxa"/>
            <w:gridSpan w:val="2"/>
            <w:vAlign w:val="center"/>
          </w:tcPr>
          <w:p w14:paraId="0D9ED997">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需要补充的其他内容</w:t>
            </w:r>
          </w:p>
        </w:tc>
      </w:tr>
      <w:tr w14:paraId="4CE80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BF100F">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10.1</w:t>
            </w:r>
          </w:p>
        </w:tc>
        <w:tc>
          <w:tcPr>
            <w:tcW w:w="1644" w:type="dxa"/>
            <w:vAlign w:val="center"/>
          </w:tcPr>
          <w:p w14:paraId="2879FE92">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支付担保</w:t>
            </w:r>
          </w:p>
        </w:tc>
        <w:tc>
          <w:tcPr>
            <w:tcW w:w="6490" w:type="dxa"/>
            <w:vAlign w:val="center"/>
          </w:tcPr>
          <w:p w14:paraId="268C0407">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应按第四章合同专用条款约定向</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提供相应的支付担保</w:t>
            </w:r>
            <w:r>
              <w:rPr>
                <w:rFonts w:hint="default" w:ascii="宋体" w:hAnsi="宋体"/>
                <w:color w:val="auto"/>
                <w:kern w:val="0"/>
                <w:szCs w:val="21"/>
                <w:highlight w:val="none"/>
              </w:rPr>
              <w:t>。</w:t>
            </w:r>
          </w:p>
          <w:p w14:paraId="4E08509C">
            <w:pPr>
              <w:keepNext w:val="0"/>
              <w:keepLines w:val="0"/>
              <w:suppressLineNumbers w:val="0"/>
              <w:snapToGrid w:val="0"/>
              <w:spacing w:before="0" w:beforeAutospacing="0" w:after="124" w:afterLines="4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将在</w:t>
            </w:r>
            <w:r>
              <w:rPr>
                <w:rFonts w:hint="eastAsia" w:ascii="宋体" w:hAnsi="宋体"/>
                <w:color w:val="auto"/>
                <w:kern w:val="0"/>
                <w:szCs w:val="21"/>
                <w:highlight w:val="none"/>
                <w:lang w:val="en-US" w:eastAsia="zh-CN"/>
              </w:rPr>
              <w:t>与</w:t>
            </w:r>
            <w:r>
              <w:rPr>
                <w:rFonts w:hint="eastAsia" w:ascii="宋体" w:hAnsi="宋体"/>
                <w:color w:val="auto"/>
                <w:kern w:val="0"/>
                <w:szCs w:val="21"/>
                <w:highlight w:val="none"/>
                <w:lang w:eastAsia="zh-CN"/>
              </w:rPr>
              <w:t>中选人</w:t>
            </w:r>
            <w:r>
              <w:rPr>
                <w:rFonts w:hint="default" w:ascii="宋体" w:hAnsi="宋体"/>
                <w:color w:val="auto"/>
                <w:kern w:val="0"/>
                <w:szCs w:val="21"/>
                <w:highlight w:val="none"/>
              </w:rPr>
              <w:t>签订合同协议书之前向</w:t>
            </w:r>
            <w:r>
              <w:rPr>
                <w:rFonts w:hint="eastAsia" w:ascii="宋体" w:hAnsi="宋体"/>
                <w:color w:val="auto"/>
                <w:kern w:val="0"/>
                <w:szCs w:val="21"/>
                <w:highlight w:val="none"/>
                <w:lang w:eastAsia="zh-CN"/>
              </w:rPr>
              <w:t>中选人</w:t>
            </w:r>
            <w:r>
              <w:rPr>
                <w:rFonts w:hint="default" w:ascii="宋体" w:hAnsi="宋体"/>
                <w:color w:val="auto"/>
                <w:kern w:val="0"/>
                <w:szCs w:val="21"/>
                <w:highlight w:val="none"/>
              </w:rPr>
              <w:t>提交支付担保。</w:t>
            </w:r>
          </w:p>
        </w:tc>
      </w:tr>
      <w:tr w14:paraId="6A9F0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62261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10.2</w:t>
            </w:r>
          </w:p>
        </w:tc>
        <w:tc>
          <w:tcPr>
            <w:tcW w:w="1644" w:type="dxa"/>
            <w:vAlign w:val="center"/>
          </w:tcPr>
          <w:p w14:paraId="352403D9">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609E5930">
            <w:pPr>
              <w:keepNext w:val="0"/>
              <w:keepLines w:val="0"/>
              <w:widowControl/>
              <w:suppressLineNumbers w:val="0"/>
              <w:spacing w:before="0" w:beforeAutospacing="0" w:after="124" w:afterLines="4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项目经理答辩：无。</w:t>
            </w:r>
          </w:p>
        </w:tc>
      </w:tr>
      <w:tr w14:paraId="1BC8E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D583EB">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10.3</w:t>
            </w:r>
          </w:p>
        </w:tc>
        <w:tc>
          <w:tcPr>
            <w:tcW w:w="1644" w:type="dxa"/>
            <w:vAlign w:val="center"/>
          </w:tcPr>
          <w:p w14:paraId="106E45F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异议、</w:t>
            </w:r>
            <w:r>
              <w:rPr>
                <w:rFonts w:hint="default" w:ascii="宋体" w:hAnsi="宋体"/>
                <w:color w:val="auto"/>
                <w:kern w:val="0"/>
                <w:szCs w:val="21"/>
                <w:highlight w:val="none"/>
              </w:rPr>
              <w:t>投诉处理</w:t>
            </w:r>
          </w:p>
        </w:tc>
        <w:tc>
          <w:tcPr>
            <w:tcW w:w="6490" w:type="dxa"/>
            <w:vAlign w:val="center"/>
          </w:tcPr>
          <w:p w14:paraId="3F358B3D">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比选申请人</w:t>
            </w:r>
            <w:r>
              <w:rPr>
                <w:rFonts w:hint="default" w:ascii="宋体" w:hAnsi="宋体"/>
                <w:color w:val="auto"/>
                <w:kern w:val="0"/>
                <w:szCs w:val="21"/>
                <w:highlight w:val="none"/>
              </w:rPr>
              <w:t>或者其他利害关系人就本项目的</w:t>
            </w:r>
            <w:r>
              <w:rPr>
                <w:rFonts w:hint="eastAsia" w:ascii="宋体" w:hAnsi="宋体"/>
                <w:color w:val="auto"/>
                <w:kern w:val="0"/>
                <w:szCs w:val="21"/>
                <w:highlight w:val="none"/>
                <w:lang w:eastAsia="zh-CN"/>
              </w:rPr>
              <w:t>比选</w:t>
            </w:r>
            <w:r>
              <w:rPr>
                <w:rFonts w:hint="default" w:ascii="宋体" w:hAnsi="宋体"/>
                <w:color w:val="auto"/>
                <w:kern w:val="0"/>
                <w:szCs w:val="21"/>
                <w:highlight w:val="none"/>
              </w:rPr>
              <w:t>文件</w:t>
            </w:r>
            <w:r>
              <w:rPr>
                <w:rFonts w:hint="eastAsia" w:ascii="宋体" w:hAnsi="宋体"/>
                <w:color w:val="auto"/>
                <w:kern w:val="0"/>
                <w:szCs w:val="21"/>
                <w:highlight w:val="none"/>
              </w:rPr>
              <w:t>（含澄清修改）、开标情况、</w:t>
            </w:r>
            <w:r>
              <w:rPr>
                <w:rFonts w:hint="default"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hint="default"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hint="default" w:ascii="宋体" w:hAnsi="宋体"/>
                <w:color w:val="auto"/>
                <w:kern w:val="0"/>
                <w:szCs w:val="21"/>
                <w:highlight w:val="none"/>
              </w:rPr>
              <w:t>的答复不满意，可向行政监督部门投诉。</w:t>
            </w:r>
          </w:p>
          <w:p w14:paraId="487FC095">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629C9B85">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7F97B6C8">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AF69B1A">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6EBA601E">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（4）请求及主张；</w:t>
            </w:r>
          </w:p>
          <w:p w14:paraId="425FD0B8">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（5）涉及事项的证据、证明材料。</w:t>
            </w:r>
          </w:p>
          <w:p w14:paraId="2D4A13D3">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2A0A65B">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default" w:ascii="宋体" w:hAnsi="宋体"/>
                <w:color w:val="auto"/>
                <w:kern w:val="0"/>
                <w:szCs w:val="21"/>
                <w:highlight w:val="none"/>
              </w:rPr>
              <w:t>2.</w:t>
            </w:r>
            <w:r>
              <w:rPr>
                <w:rFonts w:hint="eastAsia" w:ascii="宋体" w:hAnsi="宋体"/>
                <w:color w:val="auto"/>
                <w:kern w:val="0"/>
                <w:szCs w:val="21"/>
                <w:highlight w:val="none"/>
              </w:rPr>
              <w:t xml:space="preserve"> </w:t>
            </w:r>
            <w:r>
              <w:rPr>
                <w:rFonts w:hint="default"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hint="default"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hint="default"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hint="default" w:ascii="宋体" w:hAnsi="宋体"/>
                <w:color w:val="auto"/>
                <w:kern w:val="0"/>
                <w:szCs w:val="21"/>
                <w:highlight w:val="none"/>
              </w:rPr>
              <w:t>等法律法规文件处理投诉。</w:t>
            </w:r>
          </w:p>
          <w:p w14:paraId="25F118FF">
            <w:pPr>
              <w:keepNext w:val="0"/>
              <w:keepLines w:val="0"/>
              <w:suppressLineNumbers w:val="0"/>
              <w:snapToGrid w:val="0"/>
              <w:spacing w:before="0" w:beforeAutospacing="0" w:after="124" w:afterLines="4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捏造事实、伪造材料，或者以非法手段获取证明材料进行质疑或者投诉的，将被列入黑名单管理；</w:t>
            </w:r>
            <w:r>
              <w:rPr>
                <w:rFonts w:hint="default" w:ascii="宋体" w:hAnsi="宋体"/>
                <w:color w:val="auto"/>
                <w:kern w:val="0"/>
                <w:szCs w:val="21"/>
                <w:highlight w:val="none"/>
              </w:rPr>
              <w:t>给他人造成损失的，依法承担赔偿责任。</w:t>
            </w:r>
          </w:p>
          <w:p w14:paraId="43A0C45A">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重庆大足城乡建设投资集团有限公司</w:t>
            </w:r>
          </w:p>
          <w:p w14:paraId="4E950A16">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 xml:space="preserve">18523795171 </w:t>
            </w:r>
          </w:p>
        </w:tc>
      </w:tr>
      <w:tr w14:paraId="7FB57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28E48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31A03CF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工程量清单</w:t>
            </w:r>
          </w:p>
          <w:p w14:paraId="3A6DC27D">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686B85D8">
            <w:pPr>
              <w:keepNext w:val="0"/>
              <w:keepLines w:val="0"/>
              <w:widowControl/>
              <w:suppressLineNumbers w:val="0"/>
              <w:spacing w:before="0" w:beforeAutospacing="0" w:after="0" w:afterAutospacing="0" w:line="400" w:lineRule="exact"/>
              <w:ind w:left="0" w:right="0"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详见比选人提供的工程量清单</w:t>
            </w:r>
          </w:p>
        </w:tc>
      </w:tr>
      <w:tr w14:paraId="1D852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7AA46">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14:paraId="5230C73E">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建筑</w:t>
            </w:r>
            <w:r>
              <w:rPr>
                <w:rFonts w:hint="default"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40B8E649">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本项目在</w:t>
            </w:r>
            <w:r>
              <w:rPr>
                <w:rFonts w:hint="default" w:ascii="宋体" w:hAnsi="宋体"/>
                <w:color w:val="auto"/>
                <w:kern w:val="0"/>
                <w:szCs w:val="21"/>
                <w:highlight w:val="none"/>
              </w:rPr>
              <w:t>实施过程中</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中选人</w:t>
            </w:r>
            <w:r>
              <w:rPr>
                <w:rFonts w:hint="default"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hint="default"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hint="default"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hint="default"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hint="default"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rPr>
              <w:t>的</w:t>
            </w:r>
            <w:r>
              <w:rPr>
                <w:rFonts w:hint="default"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hint="default"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hint="default" w:ascii="宋体" w:hAnsi="宋体"/>
                <w:color w:val="auto"/>
                <w:kern w:val="0"/>
                <w:szCs w:val="21"/>
                <w:highlight w:val="none"/>
                <w:u w:val="single"/>
              </w:rPr>
              <w:t>7</w:t>
            </w:r>
            <w:r>
              <w:rPr>
                <w:rFonts w:hint="eastAsia" w:ascii="宋体" w:hAnsi="宋体"/>
                <w:color w:val="auto"/>
                <w:kern w:val="0"/>
                <w:szCs w:val="21"/>
                <w:highlight w:val="none"/>
                <w:u w:val="single"/>
              </w:rPr>
              <w:t>〕13号）</w:t>
            </w:r>
            <w:r>
              <w:rPr>
                <w:rFonts w:hint="eastAsia" w:ascii="宋体" w:hAnsi="宋体"/>
                <w:color w:val="auto"/>
                <w:kern w:val="0"/>
                <w:szCs w:val="21"/>
                <w:highlight w:val="none"/>
                <w:u w:val="single"/>
                <w:lang w:eastAsia="zh-CN"/>
              </w:rPr>
              <w:t>、《重庆市住房和城乡建设委员会关于优化调整建筑领域农民工工资专用账户管理及工资保证金制度的通知》（渝建发</w:t>
            </w:r>
            <w:r>
              <w:rPr>
                <w:rFonts w:hint="eastAsia" w:ascii="宋体" w:hAnsi="宋体"/>
                <w:color w:val="auto"/>
                <w:kern w:val="0"/>
                <w:szCs w:val="21"/>
                <w:highlight w:val="none"/>
                <w:u w:val="single"/>
              </w:rPr>
              <w:t>〔20</w:t>
            </w:r>
            <w:r>
              <w:rPr>
                <w:rFonts w:hint="eastAsia" w:ascii="宋体" w:hAnsi="宋体"/>
                <w:color w:val="auto"/>
                <w:kern w:val="0"/>
                <w:szCs w:val="21"/>
                <w:highlight w:val="none"/>
                <w:u w:val="single"/>
                <w:lang w:val="en-US" w:eastAsia="zh-CN"/>
              </w:rPr>
              <w:t>20</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7号 ）、《重庆市住房和城乡建设委员会关于调整市政及机电安装工程农民工工资专用账户人工费拨付比例有关事宜的通知》（渝建管〔2021〕211号 ）</w:t>
            </w:r>
            <w:r>
              <w:rPr>
                <w:rFonts w:hint="eastAsia" w:ascii="宋体" w:hAnsi="宋体"/>
                <w:color w:val="auto"/>
                <w:kern w:val="0"/>
                <w:szCs w:val="21"/>
                <w:highlight w:val="none"/>
                <w:u w:val="single"/>
              </w:rPr>
              <w:t>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1CFED6AD">
            <w:pPr>
              <w:keepNext w:val="0"/>
              <w:keepLines w:val="0"/>
              <w:widowControl/>
              <w:suppressLineNumbers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lang w:eastAsia="zh-CN"/>
              </w:rPr>
              <w:t>比选申请人中选</w:t>
            </w:r>
            <w:r>
              <w:rPr>
                <w:rFonts w:hint="eastAsia" w:ascii="宋体" w:hAnsi="宋体"/>
                <w:color w:val="auto"/>
                <w:kern w:val="0"/>
                <w:szCs w:val="21"/>
                <w:highlight w:val="none"/>
              </w:rPr>
              <w:t>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hint="default" w:ascii="宋体" w:hAnsi="宋体"/>
                <w:color w:val="auto"/>
                <w:kern w:val="0"/>
                <w:szCs w:val="21"/>
                <w:highlight w:val="none"/>
              </w:rPr>
              <w:t>。</w:t>
            </w:r>
          </w:p>
        </w:tc>
      </w:tr>
      <w:tr w14:paraId="4B8EF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894523">
            <w:pPr>
              <w:keepNext w:val="0"/>
              <w:keepLines w:val="0"/>
              <w:suppressLineNumbers w:val="0"/>
              <w:snapToGrid w:val="0"/>
              <w:spacing w:before="0" w:beforeAutospacing="0" w:after="0" w:afterAutospacing="0" w:line="400" w:lineRule="exact"/>
              <w:ind w:left="0" w:right="0"/>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7</w:t>
            </w:r>
          </w:p>
        </w:tc>
        <w:tc>
          <w:tcPr>
            <w:tcW w:w="1644" w:type="dxa"/>
            <w:vAlign w:val="center"/>
          </w:tcPr>
          <w:p w14:paraId="1F7417B5">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文件及投标争议的解释</w:t>
            </w:r>
          </w:p>
        </w:tc>
        <w:tc>
          <w:tcPr>
            <w:tcW w:w="6490" w:type="dxa"/>
            <w:vAlign w:val="center"/>
          </w:tcPr>
          <w:p w14:paraId="0B071F0F">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14:paraId="321A7C76">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理解有争议的，应当作出不利于提交该</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的解释。</w:t>
            </w:r>
          </w:p>
        </w:tc>
      </w:tr>
      <w:tr w14:paraId="5A37C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C4BE96">
            <w:pPr>
              <w:keepNext w:val="0"/>
              <w:keepLines w:val="0"/>
              <w:suppressLineNumbers w:val="0"/>
              <w:snapToGrid w:val="0"/>
              <w:spacing w:before="0" w:beforeAutospacing="0" w:after="0" w:afterAutospacing="0" w:line="400" w:lineRule="exact"/>
              <w:ind w:left="0" w:right="0"/>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10.8</w:t>
            </w:r>
          </w:p>
        </w:tc>
        <w:tc>
          <w:tcPr>
            <w:tcW w:w="1644" w:type="dxa"/>
            <w:vAlign w:val="center"/>
          </w:tcPr>
          <w:p w14:paraId="1DA012E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不平衡报价</w:t>
            </w:r>
          </w:p>
        </w:tc>
        <w:tc>
          <w:tcPr>
            <w:tcW w:w="6490" w:type="dxa"/>
            <w:vAlign w:val="center"/>
          </w:tcPr>
          <w:p w14:paraId="77CCC60D">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color w:val="auto"/>
                <w:kern w:val="0"/>
                <w:szCs w:val="21"/>
                <w:highlight w:val="none"/>
              </w:rPr>
            </w:pPr>
            <w:r>
              <w:rPr>
                <w:rFonts w:hint="default" w:ascii="宋体" w:hAnsi="宋体"/>
                <w:color w:val="auto"/>
                <w:kern w:val="0"/>
                <w:szCs w:val="21"/>
                <w:highlight w:val="none"/>
                <w:u w:val="single"/>
              </w:rPr>
              <w:t>关于不平衡报价的约定，详见第四章 专用合同条款第21.4款</w:t>
            </w:r>
            <w:r>
              <w:rPr>
                <w:rFonts w:hint="default" w:ascii="宋体" w:hAnsi="宋体"/>
                <w:color w:val="auto"/>
                <w:kern w:val="0"/>
                <w:szCs w:val="21"/>
                <w:highlight w:val="none"/>
              </w:rPr>
              <w:t>。</w:t>
            </w:r>
          </w:p>
        </w:tc>
      </w:tr>
      <w:tr w14:paraId="27F94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17DB11">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10.9</w:t>
            </w:r>
          </w:p>
        </w:tc>
        <w:tc>
          <w:tcPr>
            <w:tcW w:w="1644" w:type="dxa"/>
            <w:vAlign w:val="center"/>
          </w:tcPr>
          <w:p w14:paraId="6A0C6510">
            <w:pPr>
              <w:keepNext w:val="0"/>
              <w:keepLines w:val="0"/>
              <w:suppressLineNumbers w:val="0"/>
              <w:snapToGrid w:val="0"/>
              <w:spacing w:before="0" w:beforeAutospacing="0" w:after="0" w:afterAutospacing="0" w:line="400" w:lineRule="exact"/>
              <w:ind w:left="0" w:right="0"/>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674CC676">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olor w:val="auto"/>
                <w:kern w:val="0"/>
                <w:szCs w:val="21"/>
                <w:highlight w:val="none"/>
                <w:u w:val="single"/>
              </w:rPr>
            </w:pPr>
            <w:r>
              <w:rPr>
                <w:rFonts w:hint="eastAsia" w:ascii="宋体" w:hAnsi="宋体"/>
                <w:color w:val="auto"/>
                <w:kern w:val="0"/>
                <w:szCs w:val="21"/>
                <w:highlight w:val="none"/>
                <w:u w:val="single"/>
                <w:lang w:eastAsia="zh-CN"/>
              </w:rPr>
              <w:t>比选申请人</w:t>
            </w:r>
            <w:r>
              <w:rPr>
                <w:rFonts w:hint="default" w:ascii="宋体" w:hAnsi="宋体"/>
                <w:color w:val="auto"/>
                <w:kern w:val="0"/>
                <w:szCs w:val="21"/>
                <w:highlight w:val="none"/>
                <w:u w:val="single"/>
              </w:rPr>
              <w:t>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在发出</w:t>
            </w:r>
            <w:r>
              <w:rPr>
                <w:rFonts w:hint="eastAsia" w:ascii="宋体" w:hAnsi="宋体"/>
                <w:color w:val="auto"/>
                <w:kern w:val="0"/>
                <w:szCs w:val="21"/>
                <w:highlight w:val="none"/>
                <w:u w:val="single"/>
                <w:lang w:eastAsia="zh-CN"/>
              </w:rPr>
              <w:t>中选通知书</w:t>
            </w:r>
            <w:r>
              <w:rPr>
                <w:rFonts w:hint="default" w:ascii="宋体" w:hAnsi="宋体"/>
                <w:color w:val="auto"/>
                <w:kern w:val="0"/>
                <w:szCs w:val="21"/>
                <w:highlight w:val="none"/>
                <w:u w:val="single"/>
              </w:rPr>
              <w:t>前将对</w:t>
            </w:r>
            <w:r>
              <w:rPr>
                <w:rFonts w:hint="eastAsia" w:ascii="宋体" w:hAnsi="宋体"/>
                <w:color w:val="auto"/>
                <w:kern w:val="0"/>
                <w:szCs w:val="21"/>
                <w:highlight w:val="none"/>
                <w:u w:val="single"/>
                <w:lang w:eastAsia="zh-CN"/>
              </w:rPr>
              <w:t>中选人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w:t>
            </w:r>
            <w:r>
              <w:rPr>
                <w:rFonts w:hint="eastAsia" w:ascii="宋体" w:hAnsi="宋体"/>
                <w:color w:val="auto"/>
                <w:kern w:val="0"/>
                <w:szCs w:val="21"/>
                <w:highlight w:val="none"/>
                <w:u w:val="single"/>
                <w:lang w:eastAsia="zh-CN"/>
              </w:rPr>
              <w:t>中选人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按相关规定取消其</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资格，其投标保证金不予退还，</w:t>
            </w:r>
            <w:r>
              <w:rPr>
                <w:rFonts w:hint="eastAsia" w:ascii="宋体" w:hAnsi="宋体"/>
                <w:color w:val="auto"/>
                <w:kern w:val="0"/>
                <w:szCs w:val="21"/>
                <w:highlight w:val="none"/>
                <w:u w:val="single"/>
                <w:lang w:eastAsia="zh-CN"/>
              </w:rPr>
              <w:t>中选人</w:t>
            </w:r>
            <w:r>
              <w:rPr>
                <w:rFonts w:hint="default" w:ascii="宋体" w:hAnsi="宋体"/>
                <w:color w:val="auto"/>
                <w:kern w:val="0"/>
                <w:szCs w:val="21"/>
                <w:highlight w:val="none"/>
                <w:u w:val="single"/>
              </w:rPr>
              <w:t>承担因此造成的相关责任并赔偿相应损失。</w:t>
            </w:r>
          </w:p>
        </w:tc>
      </w:tr>
      <w:tr w14:paraId="50BF3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A0EE98">
            <w:pPr>
              <w:keepNext w:val="0"/>
              <w:keepLines w:val="0"/>
              <w:suppressLineNumbers w:val="0"/>
              <w:snapToGrid w:val="0"/>
              <w:spacing w:before="0" w:beforeAutospacing="0" w:after="0" w:afterAutospacing="0" w:line="400" w:lineRule="exact"/>
              <w:ind w:left="0" w:right="0"/>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10</w:t>
            </w:r>
          </w:p>
        </w:tc>
        <w:tc>
          <w:tcPr>
            <w:tcW w:w="1644" w:type="dxa"/>
            <w:vAlign w:val="center"/>
          </w:tcPr>
          <w:p w14:paraId="4199E330">
            <w:pPr>
              <w:keepNext w:val="0"/>
              <w:keepLines w:val="0"/>
              <w:suppressLineNumbers w:val="0"/>
              <w:snapToGrid w:val="0"/>
              <w:spacing w:before="0" w:beforeAutospacing="0" w:after="0" w:afterAutospacing="0" w:line="400" w:lineRule="exact"/>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2A16F278">
            <w:pPr>
              <w:keepNext w:val="0"/>
              <w:keepLines w:val="0"/>
              <w:suppressLineNumbers w:val="0"/>
              <w:autoSpaceDE w:val="0"/>
              <w:autoSpaceDN w:val="0"/>
              <w:adjustRightInd w:val="0"/>
              <w:snapToGrid w:val="0"/>
              <w:spacing w:before="0" w:beforeAutospacing="0" w:after="0" w:afterAutospacing="0" w:line="400" w:lineRule="exact"/>
              <w:ind w:left="0" w:right="0" w:firstLine="420"/>
              <w:rPr>
                <w:rFonts w:hint="eastAsia" w:eastAsia="仿宋_GB2312"/>
                <w:color w:val="auto"/>
                <w:highlight w:val="none"/>
                <w:lang w:val="en-US" w:eastAsia="zh-CN"/>
              </w:rPr>
            </w:pPr>
            <w:r>
              <w:rPr>
                <w:rFonts w:hint="eastAsia" w:ascii="宋体" w:hAnsi="宋体" w:cs="Times New Roman"/>
                <w:color w:val="auto"/>
                <w:kern w:val="0"/>
                <w:szCs w:val="21"/>
                <w:highlight w:val="none"/>
                <w:u w:val="none"/>
                <w:lang w:val="en-US" w:eastAsia="zh-CN"/>
              </w:rPr>
              <w:t>1.</w:t>
            </w:r>
            <w:r>
              <w:rPr>
                <w:rFonts w:hint="eastAsia" w:ascii="宋体" w:hAnsi="宋体" w:cs="Times New Roman"/>
                <w:color w:val="auto"/>
                <w:kern w:val="0"/>
                <w:szCs w:val="21"/>
                <w:highlight w:val="none"/>
                <w:u w:val="single"/>
                <w:lang w:eastAsia="zh-CN"/>
              </w:rPr>
              <w:t>本工程招标代理服务费为:</w:t>
            </w:r>
            <w:r>
              <w:rPr>
                <w:rFonts w:hint="eastAsia" w:ascii="宋体" w:hAnsi="宋体" w:cs="Times New Roman"/>
                <w:color w:val="auto"/>
                <w:kern w:val="0"/>
                <w:szCs w:val="21"/>
                <w:highlight w:val="none"/>
                <w:u w:val="single"/>
                <w:lang w:val="en-US" w:eastAsia="zh-CN"/>
              </w:rPr>
              <w:t>本项目代理费为5000元整。</w:t>
            </w:r>
            <w:r>
              <w:rPr>
                <w:rFonts w:hint="eastAsia" w:ascii="宋体" w:hAnsi="宋体" w:cs="Times New Roman"/>
                <w:color w:val="auto"/>
                <w:kern w:val="0"/>
                <w:szCs w:val="21"/>
                <w:highlight w:val="none"/>
                <w:u w:val="single"/>
                <w:lang w:eastAsia="zh-CN"/>
              </w:rPr>
              <w:t>招标代理费由中选人在领取中选通知书前一次性向代理机构支付招标代理费。</w:t>
            </w:r>
          </w:p>
        </w:tc>
      </w:tr>
    </w:tbl>
    <w:p w14:paraId="2492EB07">
      <w:pPr>
        <w:pStyle w:val="4"/>
        <w:spacing w:before="0" w:after="0" w:line="20" w:lineRule="exact"/>
        <w:rPr>
          <w:rFonts w:ascii="宋体" w:hAnsi="宋体"/>
          <w:b w:val="0"/>
          <w:snapToGrid w:val="0"/>
          <w:color w:val="auto"/>
          <w:highlight w:val="none"/>
        </w:rPr>
      </w:pPr>
      <w:bookmarkStart w:id="98" w:name="_Toc287607746"/>
      <w:bookmarkStart w:id="99" w:name="_Toc430530435"/>
      <w:bookmarkStart w:id="100" w:name="_Toc277082552"/>
      <w:bookmarkStart w:id="101" w:name="_Toc224103317"/>
      <w:bookmarkStart w:id="102" w:name="_Toc287620685"/>
      <w:bookmarkStart w:id="103" w:name="_Toc200513126"/>
    </w:p>
    <w:p w14:paraId="3D906611">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2116DECE">
      <w:pPr>
        <w:pStyle w:val="4"/>
        <w:spacing w:before="0" w:after="0" w:line="360" w:lineRule="auto"/>
        <w:rPr>
          <w:rFonts w:ascii="宋体" w:hAnsi="宋体"/>
          <w:b w:val="0"/>
          <w:snapToGrid w:val="0"/>
          <w:color w:val="auto"/>
          <w:highlight w:val="none"/>
        </w:rPr>
      </w:pPr>
      <w:bookmarkStart w:id="104" w:name="_Toc840"/>
      <w:bookmarkStart w:id="105" w:name="_Toc13656"/>
      <w:bookmarkStart w:id="106" w:name="_Toc509218710"/>
      <w:r>
        <w:rPr>
          <w:rFonts w:ascii="宋体" w:hAnsi="宋体"/>
          <w:b w:val="0"/>
          <w:snapToGrid w:val="0"/>
          <w:color w:val="auto"/>
          <w:highlight w:val="none"/>
        </w:rPr>
        <w:t>1.  总则</w:t>
      </w:r>
      <w:bookmarkEnd w:id="98"/>
      <w:bookmarkEnd w:id="99"/>
      <w:bookmarkEnd w:id="100"/>
      <w:bookmarkEnd w:id="101"/>
      <w:bookmarkEnd w:id="102"/>
      <w:bookmarkEnd w:id="103"/>
      <w:bookmarkEnd w:id="104"/>
      <w:bookmarkEnd w:id="105"/>
      <w:bookmarkEnd w:id="106"/>
    </w:p>
    <w:p w14:paraId="3800F76F">
      <w:pPr>
        <w:pStyle w:val="5"/>
        <w:snapToGrid w:val="0"/>
        <w:spacing w:before="0" w:after="0" w:line="360" w:lineRule="auto"/>
        <w:rPr>
          <w:rFonts w:ascii="宋体" w:hAnsi="宋体"/>
          <w:b w:val="0"/>
          <w:snapToGrid w:val="0"/>
          <w:color w:val="auto"/>
          <w:sz w:val="24"/>
          <w:szCs w:val="24"/>
          <w:highlight w:val="none"/>
        </w:rPr>
      </w:pPr>
      <w:bookmarkStart w:id="107" w:name="_Toc32232"/>
      <w:bookmarkStart w:id="108" w:name="_Toc277082553"/>
      <w:bookmarkStart w:id="109" w:name="_Toc509218711"/>
      <w:bookmarkStart w:id="110" w:name="_Toc200513127"/>
      <w:bookmarkStart w:id="111" w:name="_Toc287607747"/>
      <w:bookmarkStart w:id="112" w:name="_Toc27534"/>
      <w:bookmarkStart w:id="113" w:name="_Toc287620686"/>
      <w:bookmarkStart w:id="114" w:name="_Toc224103318"/>
      <w:bookmarkStart w:id="115" w:name="_Toc430530436"/>
      <w:r>
        <w:rPr>
          <w:rFonts w:ascii="宋体" w:hAnsi="宋体"/>
          <w:b w:val="0"/>
          <w:snapToGrid w:val="0"/>
          <w:color w:val="auto"/>
          <w:sz w:val="24"/>
          <w:szCs w:val="24"/>
          <w:highlight w:val="none"/>
        </w:rPr>
        <w:t>1.1  项目概况</w:t>
      </w:r>
      <w:bookmarkEnd w:id="107"/>
      <w:bookmarkEnd w:id="108"/>
      <w:bookmarkEnd w:id="109"/>
      <w:bookmarkEnd w:id="110"/>
      <w:bookmarkEnd w:id="111"/>
      <w:bookmarkEnd w:id="112"/>
      <w:bookmarkEnd w:id="113"/>
      <w:bookmarkEnd w:id="114"/>
      <w:bookmarkEnd w:id="115"/>
    </w:p>
    <w:p w14:paraId="37056FAC">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3768F629">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88910D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比选代理</w:t>
      </w:r>
      <w:r>
        <w:rPr>
          <w:rFonts w:ascii="宋体" w:hAnsi="宋体"/>
          <w:snapToGrid w:val="0"/>
          <w:color w:val="auto"/>
          <w:kern w:val="0"/>
          <w:szCs w:val="21"/>
          <w:highlight w:val="none"/>
        </w:rPr>
        <w:t>机构：见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C9561E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9B9269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项目建设地点：见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0D944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项目建设规模：见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776F696">
      <w:pPr>
        <w:pStyle w:val="5"/>
        <w:snapToGrid w:val="0"/>
        <w:spacing w:before="0" w:after="0" w:line="360" w:lineRule="auto"/>
        <w:rPr>
          <w:rFonts w:ascii="宋体" w:hAnsi="宋体"/>
          <w:b w:val="0"/>
          <w:snapToGrid w:val="0"/>
          <w:color w:val="auto"/>
          <w:sz w:val="24"/>
          <w:szCs w:val="24"/>
          <w:highlight w:val="none"/>
        </w:rPr>
      </w:pPr>
      <w:bookmarkStart w:id="116" w:name="_Toc224103319"/>
      <w:bookmarkStart w:id="117" w:name="_Toc509218712"/>
      <w:bookmarkStart w:id="118" w:name="_Toc430530437"/>
      <w:bookmarkStart w:id="119" w:name="_Toc200513128"/>
      <w:bookmarkStart w:id="120" w:name="_Toc287607748"/>
      <w:bookmarkStart w:id="121" w:name="_Toc21567"/>
      <w:bookmarkStart w:id="122" w:name="_Toc277082554"/>
      <w:bookmarkStart w:id="123" w:name="_Toc287620687"/>
      <w:bookmarkStart w:id="124" w:name="_Toc10427"/>
      <w:r>
        <w:rPr>
          <w:rFonts w:ascii="宋体" w:hAnsi="宋体"/>
          <w:b w:val="0"/>
          <w:snapToGrid w:val="0"/>
          <w:color w:val="auto"/>
          <w:sz w:val="24"/>
          <w:szCs w:val="24"/>
          <w:highlight w:val="none"/>
        </w:rPr>
        <w:t>1.2  资金来源和落实情况</w:t>
      </w:r>
      <w:bookmarkEnd w:id="116"/>
      <w:bookmarkEnd w:id="117"/>
      <w:bookmarkEnd w:id="118"/>
      <w:bookmarkEnd w:id="119"/>
      <w:bookmarkEnd w:id="120"/>
      <w:bookmarkEnd w:id="121"/>
      <w:bookmarkEnd w:id="122"/>
      <w:bookmarkEnd w:id="123"/>
      <w:bookmarkEnd w:id="124"/>
    </w:p>
    <w:p w14:paraId="4CC2B0E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项目的资金来源：见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950426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项目的出资比例：见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8A17B6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项目的资金落实情况：见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A2E2AAB">
      <w:pPr>
        <w:pStyle w:val="5"/>
        <w:snapToGrid w:val="0"/>
        <w:spacing w:before="0" w:after="0" w:line="360" w:lineRule="auto"/>
        <w:rPr>
          <w:rFonts w:ascii="宋体" w:hAnsi="宋体"/>
          <w:b w:val="0"/>
          <w:snapToGrid w:val="0"/>
          <w:color w:val="auto"/>
          <w:sz w:val="24"/>
          <w:szCs w:val="24"/>
          <w:highlight w:val="none"/>
        </w:rPr>
      </w:pPr>
      <w:bookmarkStart w:id="125" w:name="_Toc509218713"/>
      <w:bookmarkStart w:id="126" w:name="_Toc32631"/>
      <w:bookmarkStart w:id="127" w:name="_Toc287620688"/>
      <w:bookmarkStart w:id="128" w:name="_Toc200513129"/>
      <w:bookmarkStart w:id="129" w:name="_Toc4104"/>
      <w:bookmarkStart w:id="130" w:name="_Toc277082555"/>
      <w:bookmarkStart w:id="131" w:name="_Toc224103320"/>
      <w:bookmarkStart w:id="132" w:name="_Toc287607749"/>
      <w:bookmarkStart w:id="133"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25"/>
      <w:bookmarkEnd w:id="126"/>
      <w:bookmarkEnd w:id="127"/>
      <w:bookmarkEnd w:id="128"/>
      <w:bookmarkEnd w:id="129"/>
      <w:bookmarkEnd w:id="130"/>
      <w:bookmarkEnd w:id="131"/>
      <w:bookmarkEnd w:id="132"/>
      <w:bookmarkEnd w:id="133"/>
    </w:p>
    <w:p w14:paraId="74237BC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CB61FF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078D922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E11EACC">
      <w:pPr>
        <w:pStyle w:val="5"/>
        <w:snapToGrid w:val="0"/>
        <w:spacing w:before="0" w:after="0" w:line="360" w:lineRule="auto"/>
        <w:rPr>
          <w:rFonts w:ascii="宋体" w:hAnsi="宋体"/>
          <w:b w:val="0"/>
          <w:snapToGrid w:val="0"/>
          <w:color w:val="auto"/>
          <w:sz w:val="24"/>
          <w:szCs w:val="24"/>
          <w:highlight w:val="none"/>
        </w:rPr>
      </w:pPr>
      <w:bookmarkStart w:id="134" w:name="_Toc277082557"/>
      <w:bookmarkStart w:id="135" w:name="_Toc1903"/>
      <w:bookmarkStart w:id="136" w:name="_Toc224103322"/>
      <w:bookmarkStart w:id="137" w:name="_Toc287607751"/>
      <w:bookmarkStart w:id="138" w:name="_Toc509218715"/>
      <w:bookmarkStart w:id="139" w:name="_Toc287620690"/>
      <w:bookmarkStart w:id="140" w:name="_Toc1894"/>
      <w:bookmarkStart w:id="141" w:name="_Toc430530440"/>
      <w:bookmarkStart w:id="142" w:name="_Toc200513131"/>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资格要求</w:t>
      </w:r>
      <w:bookmarkEnd w:id="134"/>
      <w:bookmarkEnd w:id="135"/>
      <w:bookmarkEnd w:id="136"/>
      <w:bookmarkEnd w:id="137"/>
      <w:bookmarkEnd w:id="138"/>
      <w:bookmarkEnd w:id="139"/>
      <w:bookmarkEnd w:id="140"/>
      <w:bookmarkEnd w:id="141"/>
      <w:bookmarkEnd w:id="142"/>
    </w:p>
    <w:p w14:paraId="17FF78C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应具备承担本标段施工的资质条件、能力和信誉。</w:t>
      </w:r>
    </w:p>
    <w:p w14:paraId="3682738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A46190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8524CE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F90122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2F8695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9EAA21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2715EC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须知前附表的要求外，还应遵守以下规定：</w:t>
      </w:r>
    </w:p>
    <w:p w14:paraId="6F9C233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文件提供的格式签订联合体协议书，明确联合体牵头人和各方权利义务；</w:t>
      </w:r>
    </w:p>
    <w:p w14:paraId="58F7B99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1B3DEBF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4D7FB45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不得存在下列情形之一：</w:t>
      </w:r>
    </w:p>
    <w:p w14:paraId="2EABBCE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公正性的法人、其他组织或者个人；</w:t>
      </w:r>
    </w:p>
    <w:p w14:paraId="4145C4D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4353CEC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613D01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455E568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w:t>
      </w:r>
      <w:r>
        <w:rPr>
          <w:rFonts w:hint="eastAsia" w:ascii="宋体" w:hAnsi="宋体"/>
          <w:snapToGrid w:val="0"/>
          <w:color w:val="auto"/>
          <w:kern w:val="0"/>
          <w:szCs w:val="21"/>
          <w:highlight w:val="none"/>
          <w:lang w:eastAsia="zh-CN"/>
        </w:rPr>
        <w:t>比选代理</w:t>
      </w:r>
      <w:r>
        <w:rPr>
          <w:rFonts w:ascii="宋体" w:hAnsi="宋体"/>
          <w:snapToGrid w:val="0"/>
          <w:color w:val="auto"/>
          <w:kern w:val="0"/>
          <w:szCs w:val="21"/>
          <w:highlight w:val="none"/>
        </w:rPr>
        <w:t>服务的；</w:t>
      </w:r>
    </w:p>
    <w:p w14:paraId="7CFA757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w:t>
      </w:r>
      <w:r>
        <w:rPr>
          <w:rFonts w:ascii="宋体" w:hAnsi="宋体"/>
          <w:snapToGrid w:val="0"/>
          <w:color w:val="auto"/>
          <w:kern w:val="0"/>
          <w:szCs w:val="21"/>
          <w:highlight w:val="none"/>
        </w:rPr>
        <w:t>机构同为一个法定代表人的；</w:t>
      </w:r>
    </w:p>
    <w:p w14:paraId="46090AA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w:t>
      </w:r>
      <w:r>
        <w:rPr>
          <w:rFonts w:ascii="宋体" w:hAnsi="宋体"/>
          <w:snapToGrid w:val="0"/>
          <w:color w:val="auto"/>
          <w:kern w:val="0"/>
          <w:szCs w:val="21"/>
          <w:highlight w:val="none"/>
        </w:rPr>
        <w:t>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1E5925F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w:t>
      </w:r>
      <w:r>
        <w:rPr>
          <w:rFonts w:ascii="宋体" w:hAnsi="宋体"/>
          <w:snapToGrid w:val="0"/>
          <w:color w:val="auto"/>
          <w:kern w:val="0"/>
          <w:szCs w:val="21"/>
          <w:highlight w:val="none"/>
        </w:rPr>
        <w:t>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54AD3A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075C080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610068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7217B59B">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47ECFA86">
      <w:pPr>
        <w:pStyle w:val="5"/>
        <w:snapToGrid w:val="0"/>
        <w:spacing w:before="0" w:after="0" w:line="360" w:lineRule="auto"/>
        <w:rPr>
          <w:rFonts w:ascii="宋体" w:hAnsi="宋体"/>
          <w:b w:val="0"/>
          <w:snapToGrid w:val="0"/>
          <w:color w:val="auto"/>
          <w:sz w:val="24"/>
          <w:szCs w:val="24"/>
          <w:highlight w:val="none"/>
        </w:rPr>
      </w:pPr>
      <w:bookmarkStart w:id="143" w:name="_Toc200513132"/>
      <w:bookmarkStart w:id="144" w:name="_Toc224103323"/>
      <w:bookmarkStart w:id="145" w:name="_Toc287607752"/>
      <w:bookmarkStart w:id="146" w:name="_Toc287620691"/>
      <w:bookmarkStart w:id="147" w:name="_Toc26159"/>
      <w:bookmarkStart w:id="148" w:name="_Toc277082558"/>
      <w:bookmarkStart w:id="149" w:name="_Toc20662"/>
      <w:bookmarkStart w:id="150" w:name="_Toc509218716"/>
      <w:bookmarkStart w:id="151" w:name="_Toc430530441"/>
      <w:r>
        <w:rPr>
          <w:rFonts w:ascii="宋体" w:hAnsi="宋体"/>
          <w:b w:val="0"/>
          <w:snapToGrid w:val="0"/>
          <w:color w:val="auto"/>
          <w:sz w:val="24"/>
          <w:szCs w:val="24"/>
          <w:highlight w:val="none"/>
        </w:rPr>
        <w:t>1.5  费用承担</w:t>
      </w:r>
      <w:bookmarkEnd w:id="143"/>
      <w:bookmarkEnd w:id="144"/>
      <w:bookmarkEnd w:id="145"/>
      <w:bookmarkEnd w:id="146"/>
      <w:bookmarkEnd w:id="147"/>
      <w:bookmarkEnd w:id="148"/>
      <w:bookmarkEnd w:id="149"/>
      <w:bookmarkEnd w:id="150"/>
      <w:bookmarkEnd w:id="151"/>
    </w:p>
    <w:p w14:paraId="193A3F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准备和参加投标活动发生的费用自理。</w:t>
      </w:r>
    </w:p>
    <w:p w14:paraId="0BCCDD77">
      <w:pPr>
        <w:pStyle w:val="5"/>
        <w:snapToGrid w:val="0"/>
        <w:spacing w:before="0" w:after="0" w:line="360" w:lineRule="auto"/>
        <w:rPr>
          <w:rFonts w:ascii="宋体" w:hAnsi="宋体"/>
          <w:b w:val="0"/>
          <w:snapToGrid w:val="0"/>
          <w:color w:val="auto"/>
          <w:sz w:val="24"/>
          <w:szCs w:val="24"/>
          <w:highlight w:val="none"/>
        </w:rPr>
      </w:pPr>
      <w:bookmarkStart w:id="152" w:name="_Toc287620692"/>
      <w:bookmarkStart w:id="153" w:name="_Toc21606"/>
      <w:bookmarkStart w:id="154" w:name="_Toc26130"/>
      <w:bookmarkStart w:id="155" w:name="_Toc277082559"/>
      <w:bookmarkStart w:id="156" w:name="_Toc287607753"/>
      <w:bookmarkStart w:id="157" w:name="_Toc509218717"/>
      <w:bookmarkStart w:id="158" w:name="_Toc224103324"/>
      <w:bookmarkStart w:id="159" w:name="_Toc200513133"/>
      <w:bookmarkStart w:id="160" w:name="_Toc430530442"/>
      <w:r>
        <w:rPr>
          <w:rFonts w:ascii="宋体" w:hAnsi="宋体"/>
          <w:b w:val="0"/>
          <w:snapToGrid w:val="0"/>
          <w:color w:val="auto"/>
          <w:sz w:val="24"/>
          <w:szCs w:val="24"/>
          <w:highlight w:val="none"/>
        </w:rPr>
        <w:t>1.6  保密</w:t>
      </w:r>
      <w:bookmarkEnd w:id="152"/>
      <w:bookmarkEnd w:id="153"/>
      <w:bookmarkEnd w:id="154"/>
      <w:bookmarkEnd w:id="155"/>
      <w:bookmarkEnd w:id="156"/>
      <w:bookmarkEnd w:id="157"/>
      <w:bookmarkEnd w:id="158"/>
      <w:bookmarkEnd w:id="159"/>
      <w:bookmarkEnd w:id="160"/>
    </w:p>
    <w:p w14:paraId="5B04BDE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投标活动的各方应对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中的商业和技术等秘密保密，违者应对由此造成的后果承担法律责任。</w:t>
      </w:r>
    </w:p>
    <w:p w14:paraId="239B60E6">
      <w:pPr>
        <w:pStyle w:val="5"/>
        <w:snapToGrid w:val="0"/>
        <w:spacing w:before="0" w:after="0" w:line="360" w:lineRule="auto"/>
        <w:rPr>
          <w:rFonts w:ascii="宋体" w:hAnsi="宋体"/>
          <w:b w:val="0"/>
          <w:snapToGrid w:val="0"/>
          <w:color w:val="auto"/>
          <w:sz w:val="24"/>
          <w:szCs w:val="24"/>
          <w:highlight w:val="none"/>
        </w:rPr>
      </w:pPr>
      <w:bookmarkStart w:id="161" w:name="_Toc224103325"/>
      <w:bookmarkStart w:id="162" w:name="_Toc24336"/>
      <w:bookmarkStart w:id="163" w:name="_Toc1222"/>
      <w:bookmarkStart w:id="164" w:name="_Toc509218718"/>
      <w:bookmarkStart w:id="165" w:name="_Toc287607754"/>
      <w:bookmarkStart w:id="166" w:name="_Toc287620693"/>
      <w:bookmarkStart w:id="167" w:name="_Toc277082560"/>
      <w:bookmarkStart w:id="168" w:name="_Toc430530443"/>
      <w:bookmarkStart w:id="169" w:name="_Toc200513134"/>
      <w:r>
        <w:rPr>
          <w:rFonts w:ascii="宋体" w:hAnsi="宋体"/>
          <w:b w:val="0"/>
          <w:snapToGrid w:val="0"/>
          <w:color w:val="auto"/>
          <w:sz w:val="24"/>
          <w:szCs w:val="24"/>
          <w:highlight w:val="none"/>
        </w:rPr>
        <w:t>1.7  语言文字</w:t>
      </w:r>
      <w:bookmarkEnd w:id="161"/>
      <w:bookmarkEnd w:id="162"/>
      <w:bookmarkEnd w:id="163"/>
      <w:bookmarkEnd w:id="164"/>
      <w:bookmarkEnd w:id="165"/>
      <w:bookmarkEnd w:id="166"/>
      <w:bookmarkEnd w:id="167"/>
      <w:bookmarkEnd w:id="168"/>
      <w:bookmarkEnd w:id="169"/>
    </w:p>
    <w:p w14:paraId="7E8E4F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投标有关的语言均使用中文。必要时专用术语应附有中文注释。</w:t>
      </w:r>
    </w:p>
    <w:p w14:paraId="1B93CCD6">
      <w:pPr>
        <w:pStyle w:val="5"/>
        <w:snapToGrid w:val="0"/>
        <w:spacing w:before="0" w:after="0" w:line="360" w:lineRule="auto"/>
        <w:rPr>
          <w:rFonts w:ascii="宋体" w:hAnsi="宋体"/>
          <w:b w:val="0"/>
          <w:snapToGrid w:val="0"/>
          <w:color w:val="auto"/>
          <w:sz w:val="24"/>
          <w:szCs w:val="24"/>
          <w:highlight w:val="none"/>
        </w:rPr>
      </w:pPr>
      <w:bookmarkStart w:id="170" w:name="_Toc509218719"/>
      <w:bookmarkStart w:id="171" w:name="_Toc430530444"/>
      <w:bookmarkStart w:id="172" w:name="_Toc224103326"/>
      <w:bookmarkStart w:id="173" w:name="_Toc200513135"/>
      <w:bookmarkStart w:id="174" w:name="_Toc287620694"/>
      <w:bookmarkStart w:id="175" w:name="_Toc13374"/>
      <w:bookmarkStart w:id="176" w:name="_Toc8467"/>
      <w:bookmarkStart w:id="177" w:name="_Toc277082561"/>
      <w:bookmarkStart w:id="178" w:name="_Toc287607755"/>
      <w:r>
        <w:rPr>
          <w:rFonts w:ascii="宋体" w:hAnsi="宋体"/>
          <w:b w:val="0"/>
          <w:snapToGrid w:val="0"/>
          <w:color w:val="auto"/>
          <w:sz w:val="24"/>
          <w:szCs w:val="24"/>
          <w:highlight w:val="none"/>
        </w:rPr>
        <w:t>1.8  计量单位</w:t>
      </w:r>
      <w:bookmarkEnd w:id="170"/>
      <w:bookmarkEnd w:id="171"/>
      <w:bookmarkEnd w:id="172"/>
      <w:bookmarkEnd w:id="173"/>
      <w:bookmarkEnd w:id="174"/>
      <w:bookmarkEnd w:id="175"/>
      <w:bookmarkEnd w:id="176"/>
      <w:bookmarkEnd w:id="177"/>
      <w:bookmarkEnd w:id="178"/>
    </w:p>
    <w:p w14:paraId="22412075">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7920679">
      <w:pPr>
        <w:pStyle w:val="5"/>
        <w:snapToGrid w:val="0"/>
        <w:spacing w:before="0" w:after="0" w:line="360" w:lineRule="auto"/>
        <w:rPr>
          <w:rFonts w:ascii="宋体" w:hAnsi="宋体"/>
          <w:b w:val="0"/>
          <w:snapToGrid w:val="0"/>
          <w:color w:val="auto"/>
          <w:sz w:val="24"/>
          <w:szCs w:val="24"/>
          <w:highlight w:val="none"/>
        </w:rPr>
      </w:pPr>
      <w:bookmarkStart w:id="179" w:name="_Toc277082562"/>
      <w:bookmarkStart w:id="180" w:name="_Toc287607756"/>
      <w:bookmarkStart w:id="181" w:name="_Toc509218720"/>
      <w:bookmarkStart w:id="182" w:name="_Toc287620695"/>
      <w:bookmarkStart w:id="183" w:name="_Toc430530445"/>
      <w:bookmarkStart w:id="184" w:name="_Toc19275"/>
      <w:bookmarkStart w:id="185" w:name="_Toc200513136"/>
      <w:bookmarkStart w:id="186" w:name="_Toc20280"/>
      <w:bookmarkStart w:id="187" w:name="_Toc224103327"/>
      <w:r>
        <w:rPr>
          <w:rFonts w:ascii="宋体" w:hAnsi="宋体"/>
          <w:b w:val="0"/>
          <w:snapToGrid w:val="0"/>
          <w:color w:val="auto"/>
          <w:sz w:val="24"/>
          <w:szCs w:val="24"/>
          <w:highlight w:val="none"/>
        </w:rPr>
        <w:t>1.9  踏勘现场</w:t>
      </w:r>
      <w:bookmarkEnd w:id="179"/>
      <w:bookmarkEnd w:id="180"/>
      <w:bookmarkEnd w:id="181"/>
      <w:bookmarkEnd w:id="182"/>
      <w:bookmarkEnd w:id="183"/>
      <w:bookmarkEnd w:id="184"/>
      <w:bookmarkEnd w:id="185"/>
      <w:bookmarkEnd w:id="186"/>
      <w:bookmarkEnd w:id="187"/>
    </w:p>
    <w:p w14:paraId="1E2D951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踏勘项目现场。</w:t>
      </w:r>
    </w:p>
    <w:p w14:paraId="128F30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踏勘现场发生的费用自理。</w:t>
      </w:r>
    </w:p>
    <w:p w14:paraId="621A2D0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自行负责在踏勘现场中所发生的人员伤亡和财产损失。</w:t>
      </w:r>
    </w:p>
    <w:p w14:paraId="735489E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据此做出的判断和决策负责。</w:t>
      </w:r>
    </w:p>
    <w:p w14:paraId="5E918CBC">
      <w:pPr>
        <w:pStyle w:val="5"/>
        <w:snapToGrid w:val="0"/>
        <w:spacing w:before="0" w:after="0" w:line="360" w:lineRule="auto"/>
        <w:rPr>
          <w:rFonts w:ascii="宋体" w:hAnsi="宋体"/>
          <w:b w:val="0"/>
          <w:snapToGrid w:val="0"/>
          <w:color w:val="auto"/>
          <w:sz w:val="24"/>
          <w:szCs w:val="24"/>
          <w:highlight w:val="none"/>
        </w:rPr>
      </w:pPr>
      <w:bookmarkStart w:id="188" w:name="_Toc430530446"/>
      <w:bookmarkStart w:id="189" w:name="_Toc22958"/>
      <w:bookmarkStart w:id="190" w:name="_Toc277082563"/>
      <w:bookmarkStart w:id="191" w:name="_Toc509218721"/>
      <w:bookmarkStart w:id="192" w:name="_Toc287607757"/>
      <w:bookmarkStart w:id="193" w:name="_Toc287620696"/>
      <w:bookmarkStart w:id="194" w:name="_Toc32057"/>
      <w:bookmarkStart w:id="195" w:name="_Toc224103328"/>
      <w:bookmarkStart w:id="196" w:name="_Toc200513137"/>
      <w:r>
        <w:rPr>
          <w:rFonts w:ascii="宋体" w:hAnsi="宋体"/>
          <w:b w:val="0"/>
          <w:snapToGrid w:val="0"/>
          <w:color w:val="auto"/>
          <w:sz w:val="24"/>
          <w:szCs w:val="24"/>
          <w:highlight w:val="none"/>
        </w:rPr>
        <w:t>1.10  投标预备会</w:t>
      </w:r>
      <w:bookmarkEnd w:id="188"/>
      <w:bookmarkEnd w:id="189"/>
      <w:bookmarkEnd w:id="190"/>
      <w:bookmarkEnd w:id="191"/>
      <w:bookmarkEnd w:id="192"/>
      <w:bookmarkEnd w:id="193"/>
      <w:bookmarkEnd w:id="194"/>
      <w:bookmarkEnd w:id="195"/>
      <w:bookmarkEnd w:id="196"/>
    </w:p>
    <w:p w14:paraId="62BEDF6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提出的问题。</w:t>
      </w:r>
    </w:p>
    <w:p w14:paraId="734318C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0509167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文件的组成部分。</w:t>
      </w:r>
    </w:p>
    <w:p w14:paraId="74896893">
      <w:pPr>
        <w:pStyle w:val="5"/>
        <w:snapToGrid w:val="0"/>
        <w:spacing w:before="0" w:after="0" w:line="360" w:lineRule="auto"/>
        <w:rPr>
          <w:rFonts w:ascii="宋体" w:hAnsi="宋体"/>
          <w:b w:val="0"/>
          <w:snapToGrid w:val="0"/>
          <w:color w:val="auto"/>
          <w:sz w:val="24"/>
          <w:szCs w:val="24"/>
          <w:highlight w:val="none"/>
        </w:rPr>
      </w:pPr>
      <w:bookmarkStart w:id="197" w:name="_Toc430530447"/>
      <w:bookmarkStart w:id="198" w:name="_Toc200513138"/>
      <w:bookmarkStart w:id="199" w:name="_Toc224103329"/>
      <w:bookmarkStart w:id="200" w:name="_Toc26440"/>
      <w:bookmarkStart w:id="201" w:name="_Toc287620697"/>
      <w:bookmarkStart w:id="202" w:name="_Toc3036"/>
      <w:bookmarkStart w:id="203" w:name="_Toc509218722"/>
      <w:bookmarkStart w:id="204" w:name="_Toc277082564"/>
      <w:bookmarkStart w:id="205" w:name="_Toc287607758"/>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bookmarkEnd w:id="205"/>
    </w:p>
    <w:p w14:paraId="37F648F9">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拟在中</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后将</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项目的部分非主体、非关键性工作进行分包的，应符合</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须知前附表规定的分包内容、分包金额和接受分包的第三人资质要求等限制性条件。</w:t>
      </w:r>
    </w:p>
    <w:p w14:paraId="50C5D984">
      <w:pPr>
        <w:pStyle w:val="5"/>
        <w:snapToGrid w:val="0"/>
        <w:spacing w:before="0" w:after="0" w:line="360" w:lineRule="auto"/>
        <w:rPr>
          <w:rFonts w:ascii="宋体" w:hAnsi="宋体"/>
          <w:b w:val="0"/>
          <w:snapToGrid w:val="0"/>
          <w:color w:val="auto"/>
          <w:sz w:val="24"/>
          <w:szCs w:val="24"/>
          <w:highlight w:val="none"/>
        </w:rPr>
      </w:pPr>
      <w:bookmarkStart w:id="206" w:name="_Toc200513139"/>
      <w:bookmarkStart w:id="207" w:name="_Toc13435"/>
      <w:bookmarkStart w:id="208" w:name="_Toc224103330"/>
      <w:bookmarkStart w:id="209" w:name="_Toc287620698"/>
      <w:bookmarkStart w:id="210" w:name="_Toc509218723"/>
      <w:bookmarkStart w:id="211" w:name="_Toc277082565"/>
      <w:bookmarkStart w:id="212" w:name="_Toc430530448"/>
      <w:bookmarkStart w:id="213" w:name="_Toc287607759"/>
      <w:bookmarkStart w:id="214" w:name="_Toc5536"/>
      <w:r>
        <w:rPr>
          <w:rFonts w:ascii="宋体" w:hAnsi="宋体"/>
          <w:b w:val="0"/>
          <w:snapToGrid w:val="0"/>
          <w:color w:val="auto"/>
          <w:sz w:val="24"/>
          <w:szCs w:val="24"/>
          <w:highlight w:val="none"/>
        </w:rPr>
        <w:t>1.12  偏离</w:t>
      </w:r>
      <w:bookmarkEnd w:id="206"/>
      <w:bookmarkEnd w:id="207"/>
      <w:bookmarkEnd w:id="208"/>
      <w:bookmarkEnd w:id="209"/>
      <w:bookmarkEnd w:id="210"/>
      <w:bookmarkEnd w:id="211"/>
      <w:bookmarkEnd w:id="212"/>
      <w:bookmarkEnd w:id="213"/>
      <w:bookmarkEnd w:id="214"/>
    </w:p>
    <w:p w14:paraId="4863EDE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文件某些要求的，偏离应当符合</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文件规定 的偏离范围和幅度。</w:t>
      </w:r>
    </w:p>
    <w:p w14:paraId="462E47F4">
      <w:pPr>
        <w:pStyle w:val="4"/>
        <w:spacing w:before="0" w:after="0" w:line="360" w:lineRule="auto"/>
        <w:rPr>
          <w:rFonts w:ascii="宋体" w:hAnsi="宋体"/>
          <w:b w:val="0"/>
          <w:snapToGrid w:val="0"/>
          <w:color w:val="auto"/>
          <w:highlight w:val="none"/>
        </w:rPr>
      </w:pPr>
      <w:bookmarkStart w:id="215" w:name="_Toc13326"/>
      <w:bookmarkStart w:id="216" w:name="_Toc509218724"/>
      <w:bookmarkStart w:id="217" w:name="_Toc430530449"/>
      <w:bookmarkStart w:id="218" w:name="_Toc287620699"/>
      <w:bookmarkStart w:id="219" w:name="_Toc287607760"/>
      <w:bookmarkStart w:id="220" w:name="_Toc224103331"/>
      <w:bookmarkStart w:id="221" w:name="_Toc277082566"/>
      <w:bookmarkStart w:id="222" w:name="_Toc200513140"/>
      <w:bookmarkStart w:id="223" w:name="_Toc11902"/>
      <w:r>
        <w:rPr>
          <w:rFonts w:ascii="宋体" w:hAnsi="宋体"/>
          <w:b w:val="0"/>
          <w:snapToGrid w:val="0"/>
          <w:color w:val="auto"/>
          <w:highlight w:val="none"/>
        </w:rPr>
        <w:t xml:space="preserve">2.  </w:t>
      </w:r>
      <w:r>
        <w:rPr>
          <w:rFonts w:hint="eastAsia" w:ascii="宋体" w:hAnsi="宋体"/>
          <w:b w:val="0"/>
          <w:snapToGrid w:val="0"/>
          <w:color w:val="auto"/>
          <w:highlight w:val="none"/>
          <w:lang w:eastAsia="zh-CN"/>
        </w:rPr>
        <w:t>比选</w:t>
      </w:r>
      <w:r>
        <w:rPr>
          <w:rFonts w:ascii="宋体" w:hAnsi="宋体"/>
          <w:b w:val="0"/>
          <w:snapToGrid w:val="0"/>
          <w:color w:val="auto"/>
          <w:highlight w:val="none"/>
        </w:rPr>
        <w:t>文件</w:t>
      </w:r>
      <w:bookmarkEnd w:id="215"/>
      <w:bookmarkEnd w:id="216"/>
      <w:bookmarkEnd w:id="217"/>
      <w:bookmarkEnd w:id="218"/>
      <w:bookmarkEnd w:id="219"/>
      <w:bookmarkEnd w:id="220"/>
      <w:bookmarkEnd w:id="221"/>
      <w:bookmarkEnd w:id="222"/>
      <w:bookmarkEnd w:id="223"/>
    </w:p>
    <w:p w14:paraId="62A703E9">
      <w:pPr>
        <w:pStyle w:val="5"/>
        <w:snapToGrid w:val="0"/>
        <w:spacing w:before="0" w:after="0" w:line="360" w:lineRule="auto"/>
        <w:rPr>
          <w:rFonts w:ascii="宋体" w:hAnsi="宋体"/>
          <w:b w:val="0"/>
          <w:snapToGrid w:val="0"/>
          <w:color w:val="auto"/>
          <w:sz w:val="24"/>
          <w:szCs w:val="24"/>
          <w:highlight w:val="none"/>
        </w:rPr>
      </w:pPr>
      <w:bookmarkStart w:id="224" w:name="_Toc224103332"/>
      <w:bookmarkStart w:id="225" w:name="_Toc25659"/>
      <w:bookmarkStart w:id="226" w:name="_Toc31696"/>
      <w:bookmarkStart w:id="227" w:name="_Toc430530450"/>
      <w:bookmarkStart w:id="228" w:name="_Toc509218725"/>
      <w:bookmarkStart w:id="229" w:name="_Toc277082567"/>
      <w:bookmarkStart w:id="230" w:name="_Toc200513141"/>
      <w:bookmarkStart w:id="231" w:name="_Toc287620700"/>
      <w:bookmarkStart w:id="232" w:name="_Toc28760776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文件的组成</w:t>
      </w:r>
      <w:bookmarkEnd w:id="224"/>
      <w:bookmarkEnd w:id="225"/>
      <w:bookmarkEnd w:id="226"/>
      <w:bookmarkEnd w:id="227"/>
      <w:bookmarkEnd w:id="228"/>
      <w:bookmarkEnd w:id="229"/>
      <w:bookmarkEnd w:id="230"/>
      <w:bookmarkEnd w:id="231"/>
      <w:bookmarkEnd w:id="232"/>
    </w:p>
    <w:p w14:paraId="02B22E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文件包括：</w:t>
      </w:r>
    </w:p>
    <w:p w14:paraId="68BD63D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邀请书）；</w:t>
      </w:r>
    </w:p>
    <w:p w14:paraId="73EBDC5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w:t>
      </w:r>
    </w:p>
    <w:p w14:paraId="6E6C580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103E1FC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200E14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EFC9E7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34C6C18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77841D8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格式；</w:t>
      </w:r>
    </w:p>
    <w:p w14:paraId="67F8238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须知前附表规定的其他材料。</w:t>
      </w:r>
    </w:p>
    <w:p w14:paraId="33A073B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文件的组成部分。</w:t>
      </w:r>
    </w:p>
    <w:p w14:paraId="2FEC2EFF">
      <w:pPr>
        <w:pStyle w:val="5"/>
        <w:snapToGrid w:val="0"/>
        <w:spacing w:before="0" w:after="0" w:line="360" w:lineRule="auto"/>
        <w:rPr>
          <w:rFonts w:ascii="宋体" w:hAnsi="宋体"/>
          <w:b w:val="0"/>
          <w:snapToGrid w:val="0"/>
          <w:color w:val="auto"/>
          <w:sz w:val="24"/>
          <w:szCs w:val="24"/>
          <w:highlight w:val="none"/>
        </w:rPr>
      </w:pPr>
      <w:bookmarkStart w:id="233" w:name="_Toc509218726"/>
      <w:bookmarkStart w:id="234" w:name="_Toc23750"/>
      <w:bookmarkStart w:id="235" w:name="_Toc430530451"/>
      <w:bookmarkStart w:id="236" w:name="_Toc2296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文件的澄清</w:t>
      </w:r>
      <w:bookmarkEnd w:id="233"/>
      <w:bookmarkEnd w:id="234"/>
      <w:bookmarkEnd w:id="235"/>
      <w:bookmarkEnd w:id="236"/>
    </w:p>
    <w:p w14:paraId="6ECB6960">
      <w:pPr>
        <w:bidi w:val="0"/>
        <w:rPr>
          <w:rFonts w:hint="eastAsia" w:eastAsia="宋体"/>
          <w:color w:val="auto"/>
          <w:highlight w:val="none"/>
          <w:lang w:eastAsia="zh-CN"/>
        </w:rPr>
      </w:pPr>
      <w:bookmarkStart w:id="237" w:name="_Toc287620702"/>
      <w:bookmarkStart w:id="238" w:name="_Toc200513143"/>
      <w:bookmarkStart w:id="239" w:name="_Toc277082569"/>
      <w:bookmarkStart w:id="240" w:name="_Toc224103334"/>
      <w:bookmarkStart w:id="241" w:name="_Toc287607763"/>
      <w:bookmarkStart w:id="242" w:name="_Toc27922"/>
      <w:bookmarkStart w:id="243" w:name="_Toc509218727"/>
      <w:bookmarkStart w:id="244" w:name="_Toc430530452"/>
      <w:r>
        <w:rPr>
          <w:rFonts w:hint="eastAsia"/>
          <w:color w:val="auto"/>
          <w:highlight w:val="none"/>
          <w:lang w:eastAsia="zh-CN"/>
        </w:rPr>
        <w:t>详见比选人须知前附表</w:t>
      </w:r>
    </w:p>
    <w:p w14:paraId="2BBEBD90">
      <w:pPr>
        <w:pStyle w:val="5"/>
        <w:snapToGrid w:val="0"/>
        <w:spacing w:before="0" w:after="0" w:line="360" w:lineRule="auto"/>
        <w:rPr>
          <w:rFonts w:ascii="宋体" w:hAnsi="宋体"/>
          <w:b w:val="0"/>
          <w:snapToGrid w:val="0"/>
          <w:color w:val="auto"/>
          <w:sz w:val="24"/>
          <w:szCs w:val="24"/>
          <w:highlight w:val="none"/>
        </w:rPr>
      </w:pPr>
      <w:bookmarkStart w:id="245" w:name="_Toc28465"/>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文件的修改</w:t>
      </w:r>
      <w:bookmarkEnd w:id="237"/>
      <w:bookmarkEnd w:id="238"/>
      <w:bookmarkEnd w:id="239"/>
      <w:bookmarkEnd w:id="240"/>
      <w:bookmarkEnd w:id="241"/>
      <w:bookmarkEnd w:id="242"/>
      <w:bookmarkEnd w:id="243"/>
      <w:bookmarkEnd w:id="244"/>
      <w:bookmarkEnd w:id="245"/>
    </w:p>
    <w:p w14:paraId="134E33B6">
      <w:pPr>
        <w:autoSpaceDE w:val="0"/>
        <w:autoSpaceDN w:val="0"/>
        <w:adjustRightInd w:val="0"/>
        <w:snapToGrid w:val="0"/>
        <w:spacing w:line="360" w:lineRule="auto"/>
        <w:ind w:firstLine="420"/>
        <w:rPr>
          <w:rFonts w:ascii="宋体" w:hAnsi="宋体"/>
          <w:snapToGrid w:val="0"/>
          <w:color w:val="auto"/>
          <w:highlight w:val="none"/>
        </w:rPr>
      </w:pPr>
      <w:bookmarkStart w:id="246" w:name="_Toc277082570"/>
      <w:bookmarkStart w:id="247" w:name="_Toc287607764"/>
      <w:bookmarkStart w:id="248" w:name="_Toc287620703"/>
      <w:bookmarkStart w:id="249" w:name="_Toc224103335"/>
      <w:bookmarkStart w:id="250" w:name="_Toc20051314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w:t>
      </w:r>
      <w:r>
        <w:rPr>
          <w:rFonts w:ascii="宋体" w:hAnsi="宋体"/>
          <w:snapToGrid w:val="0"/>
          <w:color w:val="auto"/>
          <w:highlight w:val="none"/>
        </w:rPr>
        <w:t>文件的澄清相关内容及方式执行。</w:t>
      </w:r>
    </w:p>
    <w:p w14:paraId="3534D37C">
      <w:pPr>
        <w:pStyle w:val="4"/>
        <w:spacing w:before="0" w:after="0" w:line="360" w:lineRule="auto"/>
        <w:rPr>
          <w:rFonts w:hint="eastAsia" w:ascii="宋体" w:hAnsi="宋体" w:eastAsia="宋体"/>
          <w:b w:val="0"/>
          <w:snapToGrid w:val="0"/>
          <w:color w:val="auto"/>
          <w:highlight w:val="none"/>
          <w:lang w:eastAsia="zh-CN"/>
        </w:rPr>
      </w:pPr>
      <w:bookmarkStart w:id="251" w:name="_Toc14543"/>
      <w:bookmarkStart w:id="252" w:name="_Toc509218728"/>
      <w:bookmarkStart w:id="253" w:name="_Toc430530453"/>
      <w:bookmarkStart w:id="254" w:name="_Toc29995"/>
      <w:r>
        <w:rPr>
          <w:rFonts w:ascii="宋体" w:hAnsi="宋体"/>
          <w:b w:val="0"/>
          <w:snapToGrid w:val="0"/>
          <w:color w:val="auto"/>
          <w:highlight w:val="none"/>
        </w:rPr>
        <w:t xml:space="preserve">3.  </w:t>
      </w:r>
      <w:bookmarkEnd w:id="246"/>
      <w:bookmarkEnd w:id="247"/>
      <w:bookmarkEnd w:id="248"/>
      <w:bookmarkEnd w:id="249"/>
      <w:bookmarkEnd w:id="250"/>
      <w:bookmarkEnd w:id="251"/>
      <w:bookmarkEnd w:id="252"/>
      <w:bookmarkEnd w:id="253"/>
      <w:r>
        <w:rPr>
          <w:rFonts w:hint="eastAsia" w:ascii="宋体" w:hAnsi="宋体"/>
          <w:b w:val="0"/>
          <w:snapToGrid w:val="0"/>
          <w:color w:val="auto"/>
          <w:highlight w:val="none"/>
          <w:lang w:eastAsia="zh-CN"/>
        </w:rPr>
        <w:t>比选申请文件</w:t>
      </w:r>
      <w:bookmarkEnd w:id="254"/>
    </w:p>
    <w:p w14:paraId="779909BE">
      <w:pPr>
        <w:pStyle w:val="5"/>
        <w:snapToGrid w:val="0"/>
        <w:spacing w:before="0" w:after="0" w:line="360" w:lineRule="auto"/>
        <w:rPr>
          <w:rFonts w:ascii="宋体" w:hAnsi="宋体"/>
          <w:b w:val="0"/>
          <w:snapToGrid w:val="0"/>
          <w:color w:val="auto"/>
          <w:sz w:val="24"/>
          <w:szCs w:val="24"/>
          <w:highlight w:val="none"/>
        </w:rPr>
      </w:pPr>
      <w:bookmarkStart w:id="255" w:name="_Toc8482"/>
      <w:bookmarkStart w:id="256" w:name="_Toc287607765"/>
      <w:bookmarkStart w:id="257" w:name="_Toc287620704"/>
      <w:bookmarkStart w:id="258" w:name="_Toc224103336"/>
      <w:bookmarkStart w:id="259" w:name="_Toc509218729"/>
      <w:bookmarkStart w:id="260" w:name="_Toc200513145"/>
      <w:bookmarkStart w:id="261" w:name="_Toc277082571"/>
      <w:bookmarkStart w:id="262" w:name="_Toc22380"/>
      <w:bookmarkStart w:id="263" w:name="_Toc430530454"/>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的组成</w:t>
      </w:r>
      <w:bookmarkEnd w:id="255"/>
      <w:bookmarkEnd w:id="256"/>
      <w:bookmarkEnd w:id="257"/>
      <w:bookmarkEnd w:id="258"/>
      <w:bookmarkEnd w:id="259"/>
      <w:bookmarkEnd w:id="260"/>
      <w:bookmarkEnd w:id="261"/>
      <w:bookmarkEnd w:id="262"/>
      <w:bookmarkEnd w:id="263"/>
    </w:p>
    <w:p w14:paraId="4364E6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应包括下列内容：</w:t>
      </w:r>
    </w:p>
    <w:p w14:paraId="4D52817F">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lang w:eastAsia="zh-CN"/>
        </w:rPr>
        <w:t>比选申请函</w:t>
      </w:r>
      <w:r>
        <w:rPr>
          <w:rFonts w:hint="eastAsia" w:ascii="宋体" w:hAnsi="宋体"/>
          <w:color w:val="auto"/>
          <w:highlight w:val="none"/>
        </w:rPr>
        <w:t>部分</w:t>
      </w:r>
    </w:p>
    <w:p w14:paraId="4B38D8DA">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eastAsia="zh-CN"/>
        </w:rPr>
        <w:t>比选申请函</w:t>
      </w:r>
    </w:p>
    <w:p w14:paraId="2FABB909">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比选申请函</w:t>
      </w:r>
      <w:r>
        <w:rPr>
          <w:rFonts w:hint="eastAsia" w:ascii="宋体" w:hAnsi="宋体"/>
          <w:color w:val="auto"/>
          <w:highlight w:val="none"/>
        </w:rPr>
        <w:t>附录</w:t>
      </w:r>
    </w:p>
    <w:p w14:paraId="2D84011C">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4B06B1D1">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381D0166">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39A71293">
      <w:pPr>
        <w:spacing w:line="360" w:lineRule="auto"/>
        <w:ind w:firstLine="420" w:firstLineChars="200"/>
        <w:rPr>
          <w:rFonts w:hint="eastAsia" w:ascii="宋体" w:hAnsi="宋体"/>
          <w:color w:val="auto"/>
          <w:highlight w:val="none"/>
        </w:rPr>
      </w:pPr>
      <w:r>
        <w:rPr>
          <w:rFonts w:hint="eastAsia" w:ascii="宋体" w:hAnsi="宋体"/>
          <w:color w:val="auto"/>
          <w:highlight w:val="none"/>
        </w:rPr>
        <w:t>3.1.1.4技术部分（不设置技术方案评审的不设此部分）</w:t>
      </w:r>
    </w:p>
    <w:p w14:paraId="7845411B">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4</w:t>
      </w:r>
      <w:r>
        <w:rPr>
          <w:rFonts w:hint="eastAsia" w:ascii="宋体" w:hAnsi="宋体"/>
          <w:color w:val="auto"/>
          <w:highlight w:val="none"/>
        </w:rPr>
        <w:t>资格审查部分</w:t>
      </w:r>
    </w:p>
    <w:p w14:paraId="59DF931F">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4EDFE2EC">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1DF9FF20">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比选申请人</w:t>
      </w:r>
      <w:r>
        <w:rPr>
          <w:rFonts w:hint="eastAsia" w:ascii="宋体" w:hAnsi="宋体"/>
          <w:color w:val="auto"/>
          <w:highlight w:val="none"/>
        </w:rPr>
        <w:t>基本情况表</w:t>
      </w:r>
    </w:p>
    <w:p w14:paraId="33528727">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15717096">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w:t>
      </w:r>
    </w:p>
    <w:p w14:paraId="578AD0EE">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w:t>
      </w:r>
    </w:p>
    <w:p w14:paraId="0DAF7719">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1F8F87A8">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7EB094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不包括联合体协议书。</w:t>
      </w:r>
    </w:p>
    <w:p w14:paraId="7793E1E5">
      <w:pPr>
        <w:pStyle w:val="5"/>
        <w:snapToGrid w:val="0"/>
        <w:spacing w:before="0" w:after="0" w:line="360" w:lineRule="auto"/>
        <w:rPr>
          <w:rFonts w:ascii="宋体" w:hAnsi="宋体"/>
          <w:b w:val="0"/>
          <w:snapToGrid w:val="0"/>
          <w:color w:val="auto"/>
          <w:sz w:val="24"/>
          <w:szCs w:val="24"/>
          <w:highlight w:val="none"/>
        </w:rPr>
      </w:pPr>
      <w:bookmarkStart w:id="264" w:name="_Toc200513146"/>
      <w:bookmarkStart w:id="265" w:name="_Toc224103337"/>
      <w:bookmarkStart w:id="266" w:name="_Toc11028"/>
      <w:bookmarkStart w:id="267" w:name="_Toc287620705"/>
      <w:bookmarkStart w:id="268" w:name="_Toc509218730"/>
      <w:bookmarkStart w:id="269" w:name="_Toc277082572"/>
      <w:bookmarkStart w:id="270" w:name="_Toc15822"/>
      <w:bookmarkStart w:id="271" w:name="_Toc287607766"/>
      <w:bookmarkStart w:id="272" w:name="_Toc430530455"/>
      <w:r>
        <w:rPr>
          <w:rFonts w:ascii="宋体" w:hAnsi="宋体"/>
          <w:b w:val="0"/>
          <w:snapToGrid w:val="0"/>
          <w:color w:val="auto"/>
          <w:sz w:val="24"/>
          <w:szCs w:val="24"/>
          <w:highlight w:val="none"/>
        </w:rPr>
        <w:t>3.2  投标报价</w:t>
      </w:r>
      <w:bookmarkEnd w:id="264"/>
      <w:bookmarkEnd w:id="265"/>
      <w:bookmarkEnd w:id="266"/>
      <w:bookmarkEnd w:id="267"/>
      <w:bookmarkEnd w:id="268"/>
      <w:bookmarkEnd w:id="269"/>
      <w:bookmarkEnd w:id="270"/>
      <w:bookmarkEnd w:id="271"/>
      <w:bookmarkEnd w:id="272"/>
    </w:p>
    <w:p w14:paraId="0FB1D6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应按第五章“工程量清单”的要求填写相应表格。</w:t>
      </w:r>
    </w:p>
    <w:p w14:paraId="6C26B4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比选截止时间</w:t>
      </w:r>
      <w:r>
        <w:rPr>
          <w:rFonts w:ascii="宋体" w:hAnsi="宋体"/>
          <w:snapToGrid w:val="0"/>
          <w:color w:val="auto"/>
          <w:kern w:val="0"/>
          <w:szCs w:val="21"/>
          <w:highlight w:val="none"/>
        </w:rPr>
        <w:t>前修改</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中的投标总报价，应同时修改第五章“工程量清单”中的相应报价。此修改须符合本章第 4.3 款的有关要求。</w:t>
      </w:r>
    </w:p>
    <w:p w14:paraId="69AB7690">
      <w:pPr>
        <w:pStyle w:val="5"/>
        <w:snapToGrid w:val="0"/>
        <w:spacing w:before="0" w:after="0" w:line="360" w:lineRule="auto"/>
        <w:rPr>
          <w:rFonts w:ascii="宋体" w:hAnsi="宋体"/>
          <w:b w:val="0"/>
          <w:snapToGrid w:val="0"/>
          <w:color w:val="auto"/>
          <w:sz w:val="24"/>
          <w:szCs w:val="24"/>
          <w:highlight w:val="none"/>
        </w:rPr>
      </w:pPr>
      <w:bookmarkStart w:id="273" w:name="_Toc509218731"/>
      <w:bookmarkStart w:id="274" w:name="_Toc200513147"/>
      <w:bookmarkStart w:id="275" w:name="_Toc287607767"/>
      <w:bookmarkStart w:id="276" w:name="_Toc4304"/>
      <w:bookmarkStart w:id="277" w:name="_Toc224103338"/>
      <w:bookmarkStart w:id="278" w:name="_Toc430530456"/>
      <w:bookmarkStart w:id="279" w:name="_Toc287620706"/>
      <w:bookmarkStart w:id="280" w:name="_Toc277082573"/>
      <w:bookmarkStart w:id="281" w:name="_Toc26156"/>
      <w:r>
        <w:rPr>
          <w:rFonts w:ascii="宋体" w:hAnsi="宋体"/>
          <w:b w:val="0"/>
          <w:snapToGrid w:val="0"/>
          <w:color w:val="auto"/>
          <w:sz w:val="24"/>
          <w:szCs w:val="24"/>
          <w:highlight w:val="none"/>
        </w:rPr>
        <w:t>3.3  投标有效期</w:t>
      </w:r>
      <w:bookmarkEnd w:id="273"/>
      <w:bookmarkEnd w:id="274"/>
      <w:bookmarkEnd w:id="275"/>
      <w:bookmarkEnd w:id="276"/>
      <w:bookmarkEnd w:id="277"/>
      <w:bookmarkEnd w:id="278"/>
      <w:bookmarkEnd w:id="279"/>
      <w:bookmarkEnd w:id="280"/>
      <w:bookmarkEnd w:id="281"/>
    </w:p>
    <w:p w14:paraId="09E8F5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7A2E6AA6">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延长投标有效期。</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同意延长的，应相应延长其投标保证金的有效期，但不得要求或被允许修改或撤销其</w:t>
      </w:r>
      <w:r>
        <w:rPr>
          <w:rFonts w:hint="eastAsia" w:ascii="宋体" w:hAnsi="宋体" w:cs="MingLiU"/>
          <w:snapToGrid w:val="0"/>
          <w:color w:val="auto"/>
          <w:kern w:val="0"/>
          <w:szCs w:val="21"/>
          <w:highlight w:val="none"/>
          <w:lang w:eastAsia="zh-CN"/>
        </w:rPr>
        <w:t>比选申请文件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拒绝延长的，其投标失效，但</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有权收回其投标保证金。（适用于投标保证金采用银行转账形式的）</w:t>
      </w:r>
    </w:p>
    <w:p w14:paraId="1DD258F5">
      <w:pPr>
        <w:pStyle w:val="5"/>
        <w:keepNext w:val="0"/>
        <w:keepLines w:val="0"/>
        <w:snapToGrid w:val="0"/>
        <w:spacing w:before="0" w:after="0" w:line="360" w:lineRule="auto"/>
        <w:rPr>
          <w:rFonts w:ascii="宋体" w:hAnsi="宋体"/>
          <w:b w:val="0"/>
          <w:snapToGrid w:val="0"/>
          <w:color w:val="auto"/>
          <w:sz w:val="24"/>
          <w:szCs w:val="24"/>
          <w:highlight w:val="none"/>
        </w:rPr>
      </w:pPr>
      <w:bookmarkStart w:id="282" w:name="_Toc287620707"/>
      <w:bookmarkStart w:id="283" w:name="_Toc224103339"/>
      <w:bookmarkStart w:id="284" w:name="_Toc509218732"/>
      <w:bookmarkStart w:id="285" w:name="_Toc200513148"/>
      <w:bookmarkStart w:id="286" w:name="_Toc287607768"/>
      <w:bookmarkStart w:id="287" w:name="_Toc277082574"/>
      <w:bookmarkStart w:id="288" w:name="_Toc430530457"/>
      <w:bookmarkStart w:id="289" w:name="_Toc1366"/>
      <w:bookmarkStart w:id="290" w:name="_Toc4534"/>
      <w:r>
        <w:rPr>
          <w:rFonts w:ascii="宋体" w:hAnsi="宋体"/>
          <w:b w:val="0"/>
          <w:snapToGrid w:val="0"/>
          <w:color w:val="auto"/>
          <w:sz w:val="24"/>
          <w:szCs w:val="24"/>
          <w:highlight w:val="none"/>
        </w:rPr>
        <w:t xml:space="preserve">3.4  </w:t>
      </w:r>
      <w:bookmarkEnd w:id="282"/>
      <w:bookmarkEnd w:id="283"/>
      <w:bookmarkEnd w:id="284"/>
      <w:bookmarkEnd w:id="285"/>
      <w:bookmarkEnd w:id="286"/>
      <w:bookmarkEnd w:id="287"/>
      <w:bookmarkEnd w:id="288"/>
      <w:r>
        <w:rPr>
          <w:rFonts w:ascii="宋体" w:hAnsi="宋体"/>
          <w:b w:val="0"/>
          <w:snapToGrid w:val="0"/>
          <w:color w:val="auto"/>
          <w:sz w:val="24"/>
          <w:szCs w:val="24"/>
          <w:highlight w:val="none"/>
        </w:rPr>
        <w:t>投标</w:t>
      </w:r>
      <w:bookmarkEnd w:id="289"/>
      <w:r>
        <w:rPr>
          <w:rFonts w:hint="eastAsia" w:ascii="宋体" w:hAnsi="宋体"/>
          <w:b w:val="0"/>
          <w:snapToGrid w:val="0"/>
          <w:color w:val="auto"/>
          <w:sz w:val="24"/>
          <w:szCs w:val="24"/>
          <w:highlight w:val="none"/>
        </w:rPr>
        <w:t>保证金</w:t>
      </w:r>
      <w:bookmarkEnd w:id="290"/>
    </w:p>
    <w:p w14:paraId="5692EE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须知前附表的规定。</w:t>
      </w:r>
    </w:p>
    <w:p w14:paraId="73A1BAFC">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作否决投标处理。</w:t>
      </w:r>
    </w:p>
    <w:p w14:paraId="570B5731">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620A4C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00C10F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0E1E26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在收到</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文件要求提交履约保证金</w:t>
      </w:r>
      <w:r>
        <w:rPr>
          <w:rFonts w:ascii="宋体" w:hAnsi="宋体"/>
          <w:snapToGrid w:val="0"/>
          <w:color w:val="auto"/>
          <w:kern w:val="0"/>
          <w:szCs w:val="21"/>
          <w:highlight w:val="none"/>
        </w:rPr>
        <w:t>；</w:t>
      </w:r>
    </w:p>
    <w:p w14:paraId="38193D33">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lang w:eastAsia="zh-CN"/>
        </w:rPr>
        <w:t>中选人（或拟中选人）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22ED6C2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的纪律要求的；</w:t>
      </w:r>
    </w:p>
    <w:p w14:paraId="327CAA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59684F22">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2FDD5114">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504FFF45">
      <w:pPr>
        <w:pStyle w:val="5"/>
        <w:keepNext w:val="0"/>
        <w:keepLines w:val="0"/>
        <w:snapToGrid w:val="0"/>
        <w:spacing w:before="0" w:after="0" w:line="360" w:lineRule="auto"/>
        <w:rPr>
          <w:rFonts w:ascii="宋体" w:hAnsi="宋体"/>
          <w:b w:val="0"/>
          <w:snapToGrid w:val="0"/>
          <w:color w:val="auto"/>
          <w:sz w:val="24"/>
          <w:szCs w:val="24"/>
          <w:highlight w:val="none"/>
        </w:rPr>
      </w:pPr>
      <w:bookmarkStart w:id="291" w:name="_Toc287620709"/>
      <w:bookmarkStart w:id="292" w:name="_Toc277082576"/>
      <w:bookmarkStart w:id="293" w:name="_Toc15259"/>
      <w:bookmarkStart w:id="294" w:name="_Toc16639"/>
      <w:bookmarkStart w:id="295" w:name="_Toc200513150"/>
      <w:bookmarkStart w:id="296" w:name="_Toc430530459"/>
      <w:bookmarkStart w:id="297" w:name="_Toc287607770"/>
      <w:bookmarkStart w:id="298" w:name="_Toc224103341"/>
      <w:bookmarkStart w:id="299" w:name="_Toc509218734"/>
      <w:r>
        <w:rPr>
          <w:rFonts w:ascii="宋体" w:hAnsi="宋体"/>
          <w:b w:val="0"/>
          <w:snapToGrid w:val="0"/>
          <w:color w:val="auto"/>
          <w:sz w:val="24"/>
          <w:szCs w:val="24"/>
          <w:highlight w:val="none"/>
        </w:rPr>
        <w:t>3.5  资格审查资料</w:t>
      </w:r>
      <w:bookmarkEnd w:id="291"/>
      <w:bookmarkEnd w:id="292"/>
      <w:bookmarkEnd w:id="293"/>
      <w:bookmarkEnd w:id="294"/>
      <w:bookmarkEnd w:id="295"/>
      <w:bookmarkEnd w:id="296"/>
      <w:bookmarkEnd w:id="297"/>
      <w:bookmarkEnd w:id="298"/>
      <w:bookmarkEnd w:id="299"/>
    </w:p>
    <w:p w14:paraId="6655E5B9">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11EE0507">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须知前附表规定接受联合体投标的，详见</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须知前附表联合体投标相关内容。</w:t>
      </w:r>
    </w:p>
    <w:p w14:paraId="2E3FB613">
      <w:pPr>
        <w:pStyle w:val="5"/>
        <w:snapToGrid w:val="0"/>
        <w:spacing w:before="0" w:after="0" w:line="360" w:lineRule="auto"/>
        <w:rPr>
          <w:rFonts w:ascii="宋体" w:hAnsi="宋体"/>
          <w:b w:val="0"/>
          <w:snapToGrid w:val="0"/>
          <w:color w:val="auto"/>
          <w:sz w:val="24"/>
          <w:szCs w:val="24"/>
          <w:highlight w:val="none"/>
        </w:rPr>
      </w:pPr>
      <w:bookmarkStart w:id="300" w:name="_Toc224103342"/>
      <w:bookmarkStart w:id="301" w:name="_Toc200513151"/>
      <w:bookmarkStart w:id="302" w:name="_Toc24446"/>
      <w:bookmarkStart w:id="303" w:name="_Toc10512"/>
      <w:bookmarkStart w:id="304" w:name="_Toc509218735"/>
      <w:bookmarkStart w:id="305" w:name="_Toc287607771"/>
      <w:bookmarkStart w:id="306" w:name="_Toc287620710"/>
      <w:bookmarkStart w:id="307" w:name="_Toc430530460"/>
      <w:bookmarkStart w:id="308" w:name="_Toc277082577"/>
      <w:r>
        <w:rPr>
          <w:rFonts w:ascii="宋体" w:hAnsi="宋体"/>
          <w:b w:val="0"/>
          <w:snapToGrid w:val="0"/>
          <w:color w:val="auto"/>
          <w:sz w:val="24"/>
          <w:szCs w:val="24"/>
          <w:highlight w:val="none"/>
        </w:rPr>
        <w:t>3.6  备选投标方案</w:t>
      </w:r>
      <w:bookmarkEnd w:id="300"/>
      <w:bookmarkEnd w:id="301"/>
      <w:bookmarkEnd w:id="302"/>
      <w:bookmarkEnd w:id="303"/>
      <w:bookmarkEnd w:id="304"/>
      <w:bookmarkEnd w:id="305"/>
      <w:bookmarkEnd w:id="306"/>
      <w:bookmarkEnd w:id="307"/>
      <w:bookmarkEnd w:id="308"/>
    </w:p>
    <w:p w14:paraId="02B6D9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递交备选投标方案的，只有</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所递交的备选投标方案方可予以考虑。评标委员会认为</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的备 选投标方案优于其按照</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5313E92F">
      <w:pPr>
        <w:pStyle w:val="5"/>
        <w:snapToGrid w:val="0"/>
        <w:spacing w:before="0" w:after="0" w:line="360" w:lineRule="auto"/>
        <w:rPr>
          <w:rFonts w:ascii="宋体" w:hAnsi="宋体"/>
          <w:b w:val="0"/>
          <w:snapToGrid w:val="0"/>
          <w:color w:val="auto"/>
          <w:sz w:val="24"/>
          <w:szCs w:val="24"/>
          <w:highlight w:val="none"/>
        </w:rPr>
      </w:pPr>
      <w:bookmarkStart w:id="309" w:name="_Toc287607772"/>
      <w:bookmarkStart w:id="310" w:name="_Toc277082578"/>
      <w:bookmarkStart w:id="311" w:name="_Toc287620711"/>
      <w:bookmarkStart w:id="312" w:name="_Toc200513152"/>
      <w:bookmarkStart w:id="313" w:name="_Toc3384"/>
      <w:bookmarkStart w:id="314" w:name="_Toc16951"/>
      <w:bookmarkStart w:id="315" w:name="_Toc430530461"/>
      <w:bookmarkStart w:id="316" w:name="_Toc224103343"/>
      <w:bookmarkStart w:id="317" w:name="_Toc509218736"/>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的编制</w:t>
      </w:r>
      <w:bookmarkEnd w:id="309"/>
      <w:bookmarkEnd w:id="310"/>
      <w:bookmarkEnd w:id="311"/>
      <w:bookmarkEnd w:id="312"/>
      <w:bookmarkEnd w:id="313"/>
      <w:bookmarkEnd w:id="314"/>
      <w:bookmarkEnd w:id="315"/>
      <w:bookmarkEnd w:id="316"/>
      <w:bookmarkEnd w:id="317"/>
    </w:p>
    <w:p w14:paraId="3A545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附录在满足</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文件实质性要求的基础上，可以提出比</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181350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7CB042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比选申请文件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比选申请人</w:t>
      </w:r>
      <w:r>
        <w:rPr>
          <w:rFonts w:hint="eastAsia" w:ascii="宋体" w:hAnsi="宋体"/>
          <w:snapToGrid w:val="0"/>
          <w:color w:val="auto"/>
          <w:kern w:val="0"/>
          <w:position w:val="-2"/>
          <w:szCs w:val="21"/>
          <w:highlight w:val="none"/>
        </w:rPr>
        <w:t>须知前附表第3.7.3项执行。</w:t>
      </w:r>
    </w:p>
    <w:p w14:paraId="27056B37">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5210773C">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w:t>
      </w:r>
    </w:p>
    <w:p w14:paraId="032AA6A8">
      <w:pPr>
        <w:pStyle w:val="4"/>
        <w:keepNext w:val="0"/>
        <w:keepLines w:val="0"/>
        <w:spacing w:before="0" w:after="0" w:line="360" w:lineRule="auto"/>
        <w:rPr>
          <w:rFonts w:ascii="宋体" w:hAnsi="宋体"/>
          <w:b w:val="0"/>
          <w:snapToGrid w:val="0"/>
          <w:color w:val="auto"/>
          <w:highlight w:val="none"/>
        </w:rPr>
      </w:pPr>
      <w:bookmarkStart w:id="318" w:name="_Toc287607773"/>
      <w:bookmarkStart w:id="319" w:name="_Toc224103344"/>
      <w:bookmarkStart w:id="320" w:name="_Toc287620712"/>
      <w:bookmarkStart w:id="321" w:name="_Toc277082579"/>
      <w:bookmarkStart w:id="322" w:name="_Toc20823"/>
      <w:bookmarkStart w:id="323" w:name="_Toc430530462"/>
      <w:bookmarkStart w:id="324" w:name="_Toc509218737"/>
      <w:bookmarkStart w:id="325" w:name="_Toc9499"/>
      <w:bookmarkStart w:id="326" w:name="_Toc200513153"/>
      <w:r>
        <w:rPr>
          <w:rFonts w:ascii="宋体" w:hAnsi="宋体"/>
          <w:b w:val="0"/>
          <w:snapToGrid w:val="0"/>
          <w:color w:val="auto"/>
          <w:highlight w:val="none"/>
        </w:rPr>
        <w:t>4.  投标</w:t>
      </w:r>
      <w:bookmarkEnd w:id="318"/>
      <w:bookmarkEnd w:id="319"/>
      <w:bookmarkEnd w:id="320"/>
      <w:bookmarkEnd w:id="321"/>
      <w:bookmarkEnd w:id="322"/>
      <w:bookmarkEnd w:id="323"/>
      <w:bookmarkEnd w:id="324"/>
      <w:bookmarkEnd w:id="325"/>
      <w:bookmarkEnd w:id="326"/>
    </w:p>
    <w:p w14:paraId="7ADB880C">
      <w:pPr>
        <w:pStyle w:val="5"/>
        <w:keepNext w:val="0"/>
        <w:keepLines w:val="0"/>
        <w:snapToGrid w:val="0"/>
        <w:spacing w:before="0" w:after="0" w:line="360" w:lineRule="auto"/>
        <w:rPr>
          <w:rFonts w:ascii="宋体" w:hAnsi="宋体"/>
          <w:b w:val="0"/>
          <w:snapToGrid w:val="0"/>
          <w:color w:val="auto"/>
          <w:sz w:val="24"/>
          <w:szCs w:val="24"/>
          <w:highlight w:val="none"/>
        </w:rPr>
      </w:pPr>
      <w:bookmarkStart w:id="327" w:name="_Toc277082580"/>
      <w:bookmarkStart w:id="328" w:name="_Toc509218738"/>
      <w:bookmarkStart w:id="329" w:name="_Toc287607774"/>
      <w:bookmarkStart w:id="330" w:name="_Toc4258"/>
      <w:bookmarkStart w:id="331" w:name="_Toc224103345"/>
      <w:bookmarkStart w:id="332" w:name="_Toc287620713"/>
      <w:bookmarkStart w:id="333" w:name="_Toc430530463"/>
      <w:bookmarkStart w:id="334" w:name="_Toc18995"/>
      <w:bookmarkStart w:id="335" w:name="_Toc200513154"/>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的密封和标记</w:t>
      </w:r>
      <w:bookmarkEnd w:id="327"/>
      <w:bookmarkEnd w:id="328"/>
      <w:bookmarkEnd w:id="329"/>
      <w:bookmarkEnd w:id="330"/>
      <w:bookmarkEnd w:id="331"/>
      <w:bookmarkEnd w:id="332"/>
      <w:bookmarkEnd w:id="333"/>
      <w:bookmarkEnd w:id="334"/>
      <w:bookmarkEnd w:id="335"/>
    </w:p>
    <w:p w14:paraId="25962D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6"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29B4A3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72C37E0">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277082581"/>
      <w:bookmarkStart w:id="338" w:name="_Toc22399"/>
      <w:bookmarkStart w:id="339" w:name="_Toc509218739"/>
      <w:bookmarkStart w:id="340" w:name="_Toc224103346"/>
      <w:bookmarkStart w:id="341" w:name="_Toc25809"/>
      <w:bookmarkStart w:id="342" w:name="_Toc287620714"/>
      <w:bookmarkStart w:id="343" w:name="_Toc430530464"/>
      <w:bookmarkStart w:id="344" w:name="_Toc287607775"/>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的递交</w:t>
      </w:r>
      <w:bookmarkEnd w:id="336"/>
      <w:bookmarkEnd w:id="337"/>
      <w:bookmarkEnd w:id="338"/>
      <w:bookmarkEnd w:id="339"/>
      <w:bookmarkEnd w:id="340"/>
      <w:bookmarkEnd w:id="341"/>
      <w:bookmarkEnd w:id="342"/>
      <w:bookmarkEnd w:id="343"/>
      <w:bookmarkEnd w:id="344"/>
    </w:p>
    <w:p w14:paraId="44B0CB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比选截止时间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2606BEC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B1DF9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不予退还。</w:t>
      </w:r>
    </w:p>
    <w:p w14:paraId="533087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出具签收凭证。</w:t>
      </w:r>
    </w:p>
    <w:p w14:paraId="19E8D9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775270EB">
      <w:pPr>
        <w:pStyle w:val="5"/>
        <w:keepNext w:val="0"/>
        <w:keepLines w:val="0"/>
        <w:snapToGrid w:val="0"/>
        <w:spacing w:before="0" w:after="0" w:line="360" w:lineRule="auto"/>
        <w:rPr>
          <w:rFonts w:ascii="宋体" w:hAnsi="宋体"/>
          <w:b w:val="0"/>
          <w:snapToGrid w:val="0"/>
          <w:color w:val="auto"/>
          <w:sz w:val="24"/>
          <w:szCs w:val="24"/>
          <w:highlight w:val="none"/>
        </w:rPr>
      </w:pPr>
      <w:bookmarkStart w:id="345" w:name="_Toc200513156"/>
      <w:bookmarkStart w:id="346" w:name="_Toc224103347"/>
      <w:bookmarkStart w:id="347" w:name="_Toc287607776"/>
      <w:bookmarkStart w:id="348" w:name="_Toc23986"/>
      <w:bookmarkStart w:id="349" w:name="_Toc277082582"/>
      <w:bookmarkStart w:id="350" w:name="_Toc509218740"/>
      <w:bookmarkStart w:id="351" w:name="_Toc430530465"/>
      <w:bookmarkStart w:id="352" w:name="_Toc287620715"/>
      <w:bookmarkStart w:id="353" w:name="_Toc15775"/>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的修改与撤回</w:t>
      </w:r>
      <w:bookmarkEnd w:id="345"/>
      <w:bookmarkEnd w:id="346"/>
      <w:bookmarkEnd w:id="347"/>
      <w:bookmarkEnd w:id="348"/>
      <w:bookmarkEnd w:id="349"/>
      <w:bookmarkEnd w:id="350"/>
      <w:bookmarkEnd w:id="351"/>
      <w:bookmarkEnd w:id="352"/>
      <w:bookmarkEnd w:id="353"/>
    </w:p>
    <w:p w14:paraId="1B1213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lang w:eastAsia="zh-CN"/>
        </w:rPr>
        <w:t>比选截止时间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756B5B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出具签收凭证。</w:t>
      </w:r>
    </w:p>
    <w:p w14:paraId="749A3B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应按照本章第3条、第4条规定进行编制、密封、标记和递交，并标明“修改”字样。</w:t>
      </w:r>
    </w:p>
    <w:p w14:paraId="39DFAE91">
      <w:pPr>
        <w:pStyle w:val="4"/>
        <w:keepNext w:val="0"/>
        <w:keepLines w:val="0"/>
        <w:spacing w:before="0" w:after="0" w:line="360" w:lineRule="auto"/>
        <w:rPr>
          <w:rFonts w:ascii="宋体" w:hAnsi="宋体"/>
          <w:b w:val="0"/>
          <w:snapToGrid w:val="0"/>
          <w:color w:val="auto"/>
          <w:highlight w:val="none"/>
        </w:rPr>
      </w:pPr>
      <w:bookmarkStart w:id="354" w:name="_Toc287620716"/>
      <w:bookmarkStart w:id="355" w:name="_Toc224103348"/>
      <w:bookmarkStart w:id="356" w:name="_Toc277082583"/>
      <w:bookmarkStart w:id="357" w:name="_Toc200513157"/>
      <w:bookmarkStart w:id="358" w:name="_Toc509218741"/>
      <w:bookmarkStart w:id="359" w:name="_Toc430530466"/>
      <w:bookmarkStart w:id="360" w:name="_Toc16457"/>
      <w:bookmarkStart w:id="361" w:name="_Toc9614"/>
      <w:bookmarkStart w:id="362" w:name="_Toc287607777"/>
      <w:r>
        <w:rPr>
          <w:rFonts w:ascii="宋体" w:hAnsi="宋体"/>
          <w:b w:val="0"/>
          <w:snapToGrid w:val="0"/>
          <w:color w:val="auto"/>
          <w:highlight w:val="none"/>
        </w:rPr>
        <w:t>5.  开标</w:t>
      </w:r>
      <w:bookmarkEnd w:id="354"/>
      <w:bookmarkEnd w:id="355"/>
      <w:bookmarkEnd w:id="356"/>
      <w:bookmarkEnd w:id="357"/>
      <w:bookmarkEnd w:id="358"/>
      <w:bookmarkEnd w:id="359"/>
      <w:bookmarkEnd w:id="360"/>
      <w:bookmarkEnd w:id="361"/>
      <w:bookmarkEnd w:id="362"/>
    </w:p>
    <w:p w14:paraId="196190F4">
      <w:pPr>
        <w:pStyle w:val="5"/>
        <w:keepNext w:val="0"/>
        <w:keepLines w:val="0"/>
        <w:snapToGrid w:val="0"/>
        <w:spacing w:before="0" w:after="0" w:line="360" w:lineRule="auto"/>
        <w:rPr>
          <w:rFonts w:ascii="宋体" w:hAnsi="宋体"/>
          <w:b w:val="0"/>
          <w:snapToGrid w:val="0"/>
          <w:color w:val="auto"/>
          <w:sz w:val="24"/>
          <w:szCs w:val="24"/>
          <w:highlight w:val="none"/>
        </w:rPr>
      </w:pPr>
      <w:bookmarkStart w:id="363" w:name="_Toc224103349"/>
      <w:bookmarkStart w:id="364" w:name="_Toc287620717"/>
      <w:bookmarkStart w:id="365" w:name="_Toc200513158"/>
      <w:bookmarkStart w:id="366" w:name="_Toc277082584"/>
      <w:bookmarkStart w:id="367" w:name="_Toc509218742"/>
      <w:bookmarkStart w:id="368" w:name="_Toc287607778"/>
      <w:bookmarkStart w:id="369" w:name="_Toc20593"/>
      <w:bookmarkStart w:id="370" w:name="_Toc430530467"/>
      <w:bookmarkStart w:id="371" w:name="_Toc10653"/>
      <w:r>
        <w:rPr>
          <w:rFonts w:ascii="宋体" w:hAnsi="宋体"/>
          <w:b w:val="0"/>
          <w:snapToGrid w:val="0"/>
          <w:color w:val="auto"/>
          <w:sz w:val="24"/>
          <w:szCs w:val="24"/>
          <w:highlight w:val="none"/>
        </w:rPr>
        <w:t>5.1  开标时间和地点</w:t>
      </w:r>
      <w:bookmarkEnd w:id="363"/>
      <w:bookmarkEnd w:id="364"/>
      <w:bookmarkEnd w:id="365"/>
      <w:bookmarkEnd w:id="366"/>
      <w:bookmarkEnd w:id="367"/>
      <w:bookmarkEnd w:id="368"/>
      <w:bookmarkEnd w:id="369"/>
      <w:bookmarkEnd w:id="370"/>
      <w:bookmarkEnd w:id="371"/>
    </w:p>
    <w:p w14:paraId="5F1B4A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比选截止时间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的法定代表人或其委托代理人准时参加。</w:t>
      </w:r>
    </w:p>
    <w:p w14:paraId="3324E670">
      <w:pPr>
        <w:pStyle w:val="5"/>
        <w:keepNext w:val="0"/>
        <w:keepLines w:val="0"/>
        <w:snapToGrid w:val="0"/>
        <w:spacing w:before="0" w:after="0" w:line="360" w:lineRule="auto"/>
        <w:rPr>
          <w:rFonts w:ascii="宋体" w:hAnsi="宋体"/>
          <w:b w:val="0"/>
          <w:snapToGrid w:val="0"/>
          <w:color w:val="auto"/>
          <w:sz w:val="24"/>
          <w:szCs w:val="24"/>
          <w:highlight w:val="none"/>
        </w:rPr>
      </w:pPr>
      <w:bookmarkStart w:id="372" w:name="_Toc430530468"/>
      <w:bookmarkStart w:id="373" w:name="_Toc509218743"/>
      <w:bookmarkStart w:id="374" w:name="_Toc277082585"/>
      <w:bookmarkStart w:id="375" w:name="_Toc200513159"/>
      <w:bookmarkStart w:id="376" w:name="_Toc287607779"/>
      <w:bookmarkStart w:id="377" w:name="_Toc224103350"/>
      <w:bookmarkStart w:id="378" w:name="_Toc287620718"/>
      <w:bookmarkStart w:id="379" w:name="_Toc14994"/>
      <w:bookmarkStart w:id="380" w:name="_Toc10325"/>
      <w:r>
        <w:rPr>
          <w:rFonts w:ascii="宋体" w:hAnsi="宋体"/>
          <w:b w:val="0"/>
          <w:snapToGrid w:val="0"/>
          <w:color w:val="auto"/>
          <w:sz w:val="24"/>
          <w:szCs w:val="24"/>
          <w:highlight w:val="none"/>
        </w:rPr>
        <w:t>5.2  开标程序</w:t>
      </w:r>
      <w:bookmarkEnd w:id="372"/>
      <w:bookmarkEnd w:id="373"/>
      <w:bookmarkEnd w:id="374"/>
      <w:bookmarkEnd w:id="375"/>
      <w:bookmarkEnd w:id="376"/>
      <w:bookmarkEnd w:id="377"/>
      <w:bookmarkEnd w:id="378"/>
      <w:bookmarkEnd w:id="379"/>
      <w:bookmarkEnd w:id="380"/>
    </w:p>
    <w:p w14:paraId="08AAC85C">
      <w:pPr>
        <w:autoSpaceDE w:val="0"/>
        <w:autoSpaceDN w:val="0"/>
        <w:adjustRightInd w:val="0"/>
        <w:snapToGrid w:val="0"/>
        <w:spacing w:line="360" w:lineRule="auto"/>
        <w:ind w:firstLine="420" w:firstLineChars="200"/>
        <w:rPr>
          <w:rFonts w:ascii="宋体" w:hAnsi="宋体"/>
          <w:color w:val="auto"/>
          <w:szCs w:val="21"/>
          <w:highlight w:val="none"/>
        </w:rPr>
      </w:pPr>
      <w:bookmarkStart w:id="381" w:name="_Toc200513160"/>
      <w:bookmarkStart w:id="382" w:name="_Toc287620719"/>
      <w:bookmarkStart w:id="383" w:name="_Toc287607780"/>
      <w:bookmarkStart w:id="384" w:name="_Toc224103351"/>
      <w:bookmarkStart w:id="385" w:name="_Toc277082586"/>
      <w:r>
        <w:rPr>
          <w:rFonts w:ascii="宋体" w:hAnsi="宋体"/>
          <w:color w:val="auto"/>
          <w:szCs w:val="21"/>
          <w:highlight w:val="none"/>
        </w:rPr>
        <w:t>详见</w:t>
      </w:r>
      <w:r>
        <w:rPr>
          <w:rFonts w:hint="eastAsia" w:ascii="宋体" w:hAnsi="宋体"/>
          <w:color w:val="auto"/>
          <w:szCs w:val="21"/>
          <w:highlight w:val="none"/>
          <w:lang w:eastAsia="zh-CN"/>
        </w:rPr>
        <w:t>比选申请人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79450014">
      <w:pPr>
        <w:pStyle w:val="5"/>
        <w:keepNext w:val="0"/>
        <w:keepLines w:val="0"/>
        <w:snapToGrid w:val="0"/>
        <w:spacing w:before="0" w:after="0" w:line="360" w:lineRule="auto"/>
        <w:rPr>
          <w:rFonts w:ascii="宋体" w:hAnsi="宋体"/>
          <w:b w:val="0"/>
          <w:snapToGrid w:val="0"/>
          <w:color w:val="auto"/>
          <w:sz w:val="24"/>
          <w:szCs w:val="24"/>
          <w:highlight w:val="none"/>
        </w:rPr>
      </w:pPr>
      <w:bookmarkStart w:id="386" w:name="_Toc4098"/>
      <w:bookmarkStart w:id="387"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86"/>
      <w:bookmarkEnd w:id="387"/>
    </w:p>
    <w:p w14:paraId="7600BE1F">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比选申请人</w:t>
      </w:r>
      <w:r>
        <w:rPr>
          <w:rFonts w:hint="eastAsia" w:ascii="宋体" w:hAnsi="宋体"/>
          <w:color w:val="auto"/>
          <w:szCs w:val="21"/>
          <w:highlight w:val="none"/>
        </w:rPr>
        <w:t>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21995C00">
      <w:pPr>
        <w:pStyle w:val="4"/>
        <w:keepNext w:val="0"/>
        <w:keepLines w:val="0"/>
        <w:spacing w:before="0" w:after="0" w:line="360" w:lineRule="auto"/>
        <w:rPr>
          <w:rFonts w:ascii="宋体" w:hAnsi="宋体"/>
          <w:b w:val="0"/>
          <w:snapToGrid w:val="0"/>
          <w:color w:val="auto"/>
          <w:highlight w:val="none"/>
        </w:rPr>
      </w:pPr>
      <w:bookmarkStart w:id="388" w:name="_Toc9533"/>
      <w:bookmarkStart w:id="389" w:name="_Toc12721"/>
      <w:bookmarkStart w:id="390" w:name="_Toc430530469"/>
      <w:bookmarkStart w:id="391" w:name="_Toc509218744"/>
      <w:r>
        <w:rPr>
          <w:rFonts w:ascii="宋体" w:hAnsi="宋体"/>
          <w:b w:val="0"/>
          <w:snapToGrid w:val="0"/>
          <w:color w:val="auto"/>
          <w:highlight w:val="none"/>
        </w:rPr>
        <w:t>6.  评标</w:t>
      </w:r>
      <w:bookmarkEnd w:id="381"/>
      <w:bookmarkEnd w:id="382"/>
      <w:bookmarkEnd w:id="383"/>
      <w:bookmarkEnd w:id="384"/>
      <w:bookmarkEnd w:id="385"/>
      <w:bookmarkEnd w:id="388"/>
      <w:bookmarkEnd w:id="389"/>
      <w:bookmarkEnd w:id="390"/>
      <w:bookmarkEnd w:id="391"/>
    </w:p>
    <w:p w14:paraId="37AB99FD">
      <w:pPr>
        <w:pStyle w:val="5"/>
        <w:keepNext w:val="0"/>
        <w:keepLines w:val="0"/>
        <w:snapToGrid w:val="0"/>
        <w:spacing w:before="0" w:after="0" w:line="360" w:lineRule="auto"/>
        <w:rPr>
          <w:rFonts w:ascii="宋体" w:hAnsi="宋体"/>
          <w:b w:val="0"/>
          <w:snapToGrid w:val="0"/>
          <w:color w:val="auto"/>
          <w:sz w:val="24"/>
          <w:szCs w:val="24"/>
          <w:highlight w:val="none"/>
        </w:rPr>
      </w:pPr>
      <w:bookmarkStart w:id="392" w:name="_Toc287620720"/>
      <w:bookmarkStart w:id="393" w:name="_Toc28100"/>
      <w:bookmarkStart w:id="394" w:name="_Toc224103352"/>
      <w:bookmarkStart w:id="395" w:name="_Toc430530470"/>
      <w:bookmarkStart w:id="396" w:name="_Toc200513161"/>
      <w:bookmarkStart w:id="397" w:name="_Toc509218745"/>
      <w:bookmarkStart w:id="398" w:name="_Toc30194"/>
      <w:bookmarkStart w:id="399" w:name="_Toc277082587"/>
      <w:bookmarkStart w:id="400" w:name="_Toc287607781"/>
      <w:r>
        <w:rPr>
          <w:rFonts w:ascii="宋体" w:hAnsi="宋体"/>
          <w:b w:val="0"/>
          <w:snapToGrid w:val="0"/>
          <w:color w:val="auto"/>
          <w:sz w:val="24"/>
          <w:szCs w:val="24"/>
          <w:highlight w:val="none"/>
        </w:rPr>
        <w:t>6.1  评标委员会</w:t>
      </w:r>
      <w:bookmarkEnd w:id="392"/>
      <w:bookmarkEnd w:id="393"/>
      <w:bookmarkEnd w:id="394"/>
      <w:bookmarkEnd w:id="395"/>
      <w:bookmarkEnd w:id="396"/>
      <w:bookmarkEnd w:id="397"/>
      <w:bookmarkEnd w:id="398"/>
      <w:bookmarkEnd w:id="399"/>
      <w:bookmarkEnd w:id="400"/>
    </w:p>
    <w:p w14:paraId="6E07017C">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4EEF8F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5B0799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的主要负责人的近亲属；</w:t>
      </w:r>
    </w:p>
    <w:p w14:paraId="04715B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6A116D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有利害关系，可能影响对投标公正评审的；</w:t>
      </w:r>
    </w:p>
    <w:p w14:paraId="3478FA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、评标以及其他与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投标有关活动中从事违法行为而受过行政处罚或刑事处罚的</w:t>
      </w:r>
      <w:r>
        <w:rPr>
          <w:rFonts w:hint="eastAsia" w:ascii="宋体" w:hAnsi="宋体"/>
          <w:snapToGrid w:val="0"/>
          <w:color w:val="auto"/>
          <w:kern w:val="0"/>
          <w:szCs w:val="21"/>
          <w:highlight w:val="none"/>
        </w:rPr>
        <w:t>；</w:t>
      </w:r>
    </w:p>
    <w:p w14:paraId="5B8740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4E4B68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56656347">
      <w:pPr>
        <w:pStyle w:val="5"/>
        <w:snapToGrid w:val="0"/>
        <w:spacing w:before="0" w:after="0" w:line="360" w:lineRule="auto"/>
        <w:rPr>
          <w:rFonts w:ascii="宋体" w:hAnsi="宋体"/>
          <w:b w:val="0"/>
          <w:snapToGrid w:val="0"/>
          <w:color w:val="auto"/>
          <w:sz w:val="24"/>
          <w:szCs w:val="24"/>
          <w:highlight w:val="none"/>
        </w:rPr>
      </w:pPr>
      <w:bookmarkStart w:id="401" w:name="_Toc224103353"/>
      <w:bookmarkStart w:id="402" w:name="_Toc21237"/>
      <w:bookmarkStart w:id="403" w:name="_Toc287620721"/>
      <w:bookmarkStart w:id="404" w:name="_Toc509218746"/>
      <w:bookmarkStart w:id="405" w:name="_Toc12166"/>
      <w:bookmarkStart w:id="406" w:name="_Toc277082588"/>
      <w:bookmarkStart w:id="407" w:name="_Toc200513162"/>
      <w:bookmarkStart w:id="408" w:name="_Toc287607782"/>
      <w:bookmarkStart w:id="409" w:name="_Toc430530471"/>
      <w:r>
        <w:rPr>
          <w:rFonts w:ascii="宋体" w:hAnsi="宋体"/>
          <w:b w:val="0"/>
          <w:snapToGrid w:val="0"/>
          <w:color w:val="auto"/>
          <w:sz w:val="24"/>
          <w:szCs w:val="24"/>
          <w:highlight w:val="none"/>
        </w:rPr>
        <w:t>6.2  评标原则</w:t>
      </w:r>
      <w:bookmarkEnd w:id="401"/>
      <w:bookmarkEnd w:id="402"/>
      <w:bookmarkEnd w:id="403"/>
      <w:bookmarkEnd w:id="404"/>
      <w:bookmarkEnd w:id="405"/>
      <w:bookmarkEnd w:id="406"/>
      <w:bookmarkEnd w:id="407"/>
      <w:bookmarkEnd w:id="408"/>
      <w:bookmarkEnd w:id="409"/>
    </w:p>
    <w:p w14:paraId="002113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F7BCA86">
      <w:pPr>
        <w:pStyle w:val="5"/>
        <w:snapToGrid w:val="0"/>
        <w:spacing w:before="0" w:after="0" w:line="360" w:lineRule="auto"/>
        <w:rPr>
          <w:rFonts w:ascii="宋体" w:hAnsi="宋体"/>
          <w:b w:val="0"/>
          <w:snapToGrid w:val="0"/>
          <w:color w:val="auto"/>
          <w:sz w:val="24"/>
          <w:szCs w:val="24"/>
          <w:highlight w:val="none"/>
        </w:rPr>
      </w:pPr>
      <w:bookmarkStart w:id="410" w:name="_Toc14701"/>
      <w:bookmarkStart w:id="411" w:name="_Toc224103354"/>
      <w:bookmarkStart w:id="412" w:name="_Toc509218747"/>
      <w:bookmarkStart w:id="413" w:name="_Toc200513163"/>
      <w:bookmarkStart w:id="414" w:name="_Toc287620722"/>
      <w:bookmarkStart w:id="415" w:name="_Toc277082589"/>
      <w:bookmarkStart w:id="416" w:name="_Toc287607783"/>
      <w:bookmarkStart w:id="417" w:name="_Toc430530472"/>
      <w:bookmarkStart w:id="418" w:name="_Toc3464"/>
      <w:r>
        <w:rPr>
          <w:rFonts w:ascii="宋体" w:hAnsi="宋体"/>
          <w:b w:val="0"/>
          <w:snapToGrid w:val="0"/>
          <w:color w:val="auto"/>
          <w:sz w:val="24"/>
          <w:szCs w:val="24"/>
          <w:highlight w:val="none"/>
        </w:rPr>
        <w:t>6.3  评标</w:t>
      </w:r>
      <w:bookmarkEnd w:id="410"/>
      <w:bookmarkEnd w:id="411"/>
      <w:bookmarkEnd w:id="412"/>
      <w:bookmarkEnd w:id="413"/>
      <w:bookmarkEnd w:id="414"/>
      <w:bookmarkEnd w:id="415"/>
      <w:bookmarkEnd w:id="416"/>
      <w:bookmarkEnd w:id="417"/>
      <w:bookmarkEnd w:id="418"/>
    </w:p>
    <w:p w14:paraId="762F82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进行评审。第三章“评标办法”没有规定的方法、评审因素和标准，不得作为评标依据。</w:t>
      </w:r>
    </w:p>
    <w:p w14:paraId="745E645A">
      <w:pPr>
        <w:pStyle w:val="4"/>
        <w:spacing w:before="0" w:after="0" w:line="360" w:lineRule="auto"/>
        <w:rPr>
          <w:rFonts w:ascii="宋体" w:hAnsi="宋体"/>
          <w:b w:val="0"/>
          <w:snapToGrid w:val="0"/>
          <w:color w:val="auto"/>
          <w:highlight w:val="none"/>
        </w:rPr>
      </w:pPr>
      <w:bookmarkStart w:id="419" w:name="_Toc287607784"/>
      <w:bookmarkStart w:id="420" w:name="_Toc430530473"/>
      <w:bookmarkStart w:id="421" w:name="_Toc509218748"/>
      <w:bookmarkStart w:id="422" w:name="_Toc15406"/>
      <w:bookmarkStart w:id="423" w:name="_Toc200513164"/>
      <w:bookmarkStart w:id="424" w:name="_Toc2723"/>
      <w:bookmarkStart w:id="425" w:name="_Toc224103355"/>
      <w:bookmarkStart w:id="426" w:name="_Toc277082590"/>
      <w:bookmarkStart w:id="427" w:name="_Toc287620723"/>
      <w:r>
        <w:rPr>
          <w:rFonts w:ascii="宋体" w:hAnsi="宋体"/>
          <w:b w:val="0"/>
          <w:snapToGrid w:val="0"/>
          <w:color w:val="auto"/>
          <w:highlight w:val="none"/>
        </w:rPr>
        <w:t>7.  合同授予</w:t>
      </w:r>
      <w:bookmarkEnd w:id="419"/>
      <w:bookmarkEnd w:id="420"/>
      <w:bookmarkEnd w:id="421"/>
      <w:bookmarkEnd w:id="422"/>
      <w:bookmarkEnd w:id="423"/>
      <w:bookmarkEnd w:id="424"/>
      <w:bookmarkEnd w:id="425"/>
      <w:bookmarkEnd w:id="426"/>
      <w:bookmarkEnd w:id="427"/>
    </w:p>
    <w:p w14:paraId="6174A07F">
      <w:pPr>
        <w:pStyle w:val="5"/>
        <w:snapToGrid w:val="0"/>
        <w:spacing w:before="0" w:after="0" w:line="360" w:lineRule="auto"/>
        <w:rPr>
          <w:rFonts w:ascii="宋体" w:hAnsi="宋体"/>
          <w:b w:val="0"/>
          <w:snapToGrid w:val="0"/>
          <w:color w:val="auto"/>
          <w:sz w:val="24"/>
          <w:szCs w:val="24"/>
          <w:highlight w:val="none"/>
        </w:rPr>
      </w:pPr>
      <w:bookmarkStart w:id="428" w:name="_Toc224103356"/>
      <w:bookmarkStart w:id="429" w:name="_Toc509218749"/>
      <w:bookmarkStart w:id="430" w:name="_Toc287620724"/>
      <w:bookmarkStart w:id="431" w:name="_Toc29937"/>
      <w:bookmarkStart w:id="432" w:name="_Toc200513165"/>
      <w:bookmarkStart w:id="433" w:name="_Toc430530474"/>
      <w:bookmarkStart w:id="434" w:name="_Toc23439"/>
      <w:bookmarkStart w:id="435" w:name="_Toc277082591"/>
      <w:bookmarkStart w:id="436" w:name="_Toc287607785"/>
      <w:r>
        <w:rPr>
          <w:rFonts w:ascii="宋体" w:hAnsi="宋体"/>
          <w:b w:val="0"/>
          <w:snapToGrid w:val="0"/>
          <w:color w:val="auto"/>
          <w:sz w:val="24"/>
          <w:szCs w:val="24"/>
          <w:highlight w:val="none"/>
        </w:rPr>
        <w:t>7.1  定标方式</w:t>
      </w:r>
      <w:bookmarkEnd w:id="428"/>
      <w:bookmarkEnd w:id="429"/>
      <w:bookmarkEnd w:id="430"/>
      <w:bookmarkEnd w:id="431"/>
      <w:bookmarkEnd w:id="432"/>
      <w:bookmarkEnd w:id="433"/>
      <w:bookmarkEnd w:id="434"/>
      <w:bookmarkEnd w:id="435"/>
      <w:bookmarkEnd w:id="436"/>
    </w:p>
    <w:p w14:paraId="52851D24">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w:t>
      </w:r>
      <w:r>
        <w:rPr>
          <w:rFonts w:hint="eastAsia" w:ascii="宋体" w:hAnsi="宋体"/>
          <w:color w:val="auto"/>
          <w:szCs w:val="21"/>
          <w:highlight w:val="none"/>
          <w:lang w:eastAsia="zh-CN"/>
        </w:rPr>
        <w:t>比选</w:t>
      </w:r>
      <w:r>
        <w:rPr>
          <w:rFonts w:ascii="宋体" w:hAnsi="宋体"/>
          <w:color w:val="auto"/>
          <w:szCs w:val="21"/>
          <w:highlight w:val="none"/>
        </w:rPr>
        <w:t>的项目，</w:t>
      </w:r>
      <w:r>
        <w:rPr>
          <w:rFonts w:hint="eastAsia" w:ascii="宋体" w:hAnsi="宋体"/>
          <w:color w:val="auto"/>
          <w:szCs w:val="21"/>
          <w:highlight w:val="none"/>
          <w:lang w:eastAsia="zh-CN"/>
        </w:rPr>
        <w:t>比选人</w:t>
      </w:r>
      <w:r>
        <w:rPr>
          <w:rFonts w:ascii="宋体" w:hAnsi="宋体"/>
          <w:color w:val="auto"/>
          <w:szCs w:val="21"/>
          <w:highlight w:val="none"/>
        </w:rPr>
        <w:t>应当确定排名第一的</w:t>
      </w:r>
      <w:r>
        <w:rPr>
          <w:rFonts w:hint="eastAsia" w:ascii="宋体" w:hAnsi="宋体"/>
          <w:color w:val="auto"/>
          <w:szCs w:val="21"/>
          <w:highlight w:val="none"/>
          <w:lang w:eastAsia="zh-CN"/>
        </w:rPr>
        <w:t>中选候选人</w:t>
      </w:r>
      <w:r>
        <w:rPr>
          <w:rFonts w:ascii="宋体" w:hAnsi="宋体"/>
          <w:color w:val="auto"/>
          <w:szCs w:val="21"/>
          <w:highlight w:val="none"/>
        </w:rPr>
        <w:t>为</w:t>
      </w:r>
      <w:r>
        <w:rPr>
          <w:rFonts w:hint="eastAsia" w:ascii="宋体" w:hAnsi="宋体"/>
          <w:color w:val="auto"/>
          <w:szCs w:val="21"/>
          <w:highlight w:val="none"/>
          <w:lang w:eastAsia="zh-CN"/>
        </w:rPr>
        <w:t>中选人</w:t>
      </w:r>
      <w:r>
        <w:rPr>
          <w:rFonts w:ascii="宋体" w:hAnsi="宋体"/>
          <w:color w:val="auto"/>
          <w:szCs w:val="21"/>
          <w:highlight w:val="none"/>
        </w:rPr>
        <w:t>。排名第一的</w:t>
      </w:r>
      <w:r>
        <w:rPr>
          <w:rFonts w:hint="eastAsia" w:ascii="宋体" w:hAnsi="宋体"/>
          <w:color w:val="auto"/>
          <w:szCs w:val="21"/>
          <w:highlight w:val="none"/>
          <w:lang w:eastAsia="zh-CN"/>
        </w:rPr>
        <w:t>中选候选人</w:t>
      </w:r>
      <w:r>
        <w:rPr>
          <w:rFonts w:ascii="宋体" w:hAnsi="宋体"/>
          <w:color w:val="auto"/>
          <w:szCs w:val="21"/>
          <w:highlight w:val="none"/>
        </w:rPr>
        <w:t>放弃</w:t>
      </w:r>
      <w:r>
        <w:rPr>
          <w:rFonts w:hint="eastAsia" w:ascii="宋体" w:hAnsi="宋体"/>
          <w:color w:val="auto"/>
          <w:szCs w:val="21"/>
          <w:highlight w:val="none"/>
          <w:lang w:eastAsia="zh-CN"/>
        </w:rPr>
        <w:t>中选</w:t>
      </w:r>
      <w:r>
        <w:rPr>
          <w:rFonts w:ascii="宋体" w:hAnsi="宋体"/>
          <w:color w:val="auto"/>
          <w:szCs w:val="21"/>
          <w:highlight w:val="none"/>
        </w:rPr>
        <w:t>、因不可抗力不能履行合同、不按照</w:t>
      </w:r>
      <w:r>
        <w:rPr>
          <w:rFonts w:hint="eastAsia" w:ascii="宋体" w:hAnsi="宋体"/>
          <w:color w:val="auto"/>
          <w:szCs w:val="21"/>
          <w:highlight w:val="none"/>
          <w:lang w:eastAsia="zh-CN"/>
        </w:rPr>
        <w:t>比选</w:t>
      </w:r>
      <w:r>
        <w:rPr>
          <w:rFonts w:ascii="宋体" w:hAnsi="宋体"/>
          <w:color w:val="auto"/>
          <w:szCs w:val="21"/>
          <w:highlight w:val="none"/>
        </w:rPr>
        <w:t>文件要求提交履约保证金，或者被查实存在影响</w:t>
      </w:r>
      <w:r>
        <w:rPr>
          <w:rFonts w:hint="eastAsia" w:ascii="宋体" w:hAnsi="宋体"/>
          <w:color w:val="auto"/>
          <w:szCs w:val="21"/>
          <w:highlight w:val="none"/>
          <w:lang w:eastAsia="zh-CN"/>
        </w:rPr>
        <w:t>中选</w:t>
      </w:r>
      <w:r>
        <w:rPr>
          <w:rFonts w:ascii="宋体" w:hAnsi="宋体"/>
          <w:color w:val="auto"/>
          <w:szCs w:val="21"/>
          <w:highlight w:val="none"/>
        </w:rPr>
        <w:t>结果的违法行为等情形，不符合</w:t>
      </w:r>
      <w:r>
        <w:rPr>
          <w:rFonts w:hint="eastAsia" w:ascii="宋体" w:hAnsi="宋体"/>
          <w:color w:val="auto"/>
          <w:szCs w:val="21"/>
          <w:highlight w:val="none"/>
          <w:lang w:eastAsia="zh-CN"/>
        </w:rPr>
        <w:t>中选</w:t>
      </w:r>
      <w:r>
        <w:rPr>
          <w:rFonts w:ascii="宋体" w:hAnsi="宋体"/>
          <w:color w:val="auto"/>
          <w:szCs w:val="21"/>
          <w:highlight w:val="none"/>
        </w:rPr>
        <w:t>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w:t>
      </w:r>
      <w:r>
        <w:rPr>
          <w:rFonts w:hint="eastAsia" w:ascii="宋体" w:hAnsi="宋体"/>
          <w:color w:val="auto"/>
          <w:szCs w:val="21"/>
          <w:highlight w:val="none"/>
          <w:lang w:eastAsia="zh-CN"/>
        </w:rPr>
        <w:t>中选候选人</w:t>
      </w:r>
      <w:r>
        <w:rPr>
          <w:rFonts w:ascii="宋体" w:hAnsi="宋体"/>
          <w:color w:val="auto"/>
          <w:szCs w:val="21"/>
          <w:highlight w:val="none"/>
        </w:rPr>
        <w:t>名单排序依次确定其他</w:t>
      </w:r>
      <w:r>
        <w:rPr>
          <w:rFonts w:hint="eastAsia" w:ascii="宋体" w:hAnsi="宋体"/>
          <w:color w:val="auto"/>
          <w:szCs w:val="21"/>
          <w:highlight w:val="none"/>
          <w:lang w:eastAsia="zh-CN"/>
        </w:rPr>
        <w:t>中选候选人</w:t>
      </w:r>
      <w:r>
        <w:rPr>
          <w:rFonts w:ascii="宋体" w:hAnsi="宋体"/>
          <w:color w:val="auto"/>
          <w:szCs w:val="21"/>
          <w:highlight w:val="none"/>
        </w:rPr>
        <w:t>为</w:t>
      </w:r>
      <w:r>
        <w:rPr>
          <w:rFonts w:hint="eastAsia" w:ascii="宋体" w:hAnsi="宋体"/>
          <w:color w:val="auto"/>
          <w:szCs w:val="21"/>
          <w:highlight w:val="none"/>
          <w:lang w:eastAsia="zh-CN"/>
        </w:rPr>
        <w:t>中选人</w:t>
      </w:r>
      <w:r>
        <w:rPr>
          <w:rFonts w:ascii="宋体" w:hAnsi="宋体"/>
          <w:color w:val="auto"/>
          <w:szCs w:val="21"/>
          <w:highlight w:val="none"/>
        </w:rPr>
        <w:t>，也可以重新招标。</w:t>
      </w:r>
    </w:p>
    <w:p w14:paraId="06E9F1F4">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w:t>
      </w:r>
      <w:r>
        <w:rPr>
          <w:rFonts w:hint="eastAsia" w:ascii="宋体" w:hAnsi="宋体"/>
          <w:snapToGrid w:val="0"/>
          <w:color w:val="auto"/>
          <w:kern w:val="0"/>
          <w:szCs w:val="21"/>
          <w:highlight w:val="none"/>
          <w:lang w:eastAsia="zh-CN"/>
        </w:rPr>
        <w:t>中选候选人</w:t>
      </w:r>
      <w:r>
        <w:rPr>
          <w:rFonts w:ascii="宋体" w:hAnsi="宋体"/>
          <w:snapToGrid w:val="0"/>
          <w:color w:val="auto"/>
          <w:kern w:val="0"/>
          <w:szCs w:val="21"/>
          <w:highlight w:val="none"/>
        </w:rPr>
        <w:t>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B9E51CC">
      <w:pPr>
        <w:pStyle w:val="5"/>
        <w:snapToGrid w:val="0"/>
        <w:spacing w:before="0" w:after="0" w:line="360" w:lineRule="auto"/>
        <w:rPr>
          <w:rFonts w:ascii="宋体" w:hAnsi="宋体"/>
          <w:b w:val="0"/>
          <w:snapToGrid w:val="0"/>
          <w:color w:val="auto"/>
          <w:sz w:val="24"/>
          <w:szCs w:val="24"/>
          <w:highlight w:val="none"/>
        </w:rPr>
      </w:pPr>
      <w:bookmarkStart w:id="437" w:name="_Toc430530475"/>
      <w:bookmarkStart w:id="438" w:name="_Toc509218750"/>
      <w:bookmarkStart w:id="439" w:name="_Toc26657"/>
      <w:bookmarkStart w:id="440" w:name="_Toc23594"/>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lang w:eastAsia="zh-CN"/>
        </w:rPr>
        <w:t>中选</w:t>
      </w:r>
      <w:r>
        <w:rPr>
          <w:rFonts w:ascii="宋体" w:hAnsi="宋体"/>
          <w:b w:val="0"/>
          <w:snapToGrid w:val="0"/>
          <w:color w:val="auto"/>
          <w:sz w:val="24"/>
          <w:szCs w:val="24"/>
          <w:highlight w:val="none"/>
        </w:rPr>
        <w:t>公示及</w:t>
      </w:r>
      <w:r>
        <w:rPr>
          <w:rFonts w:hint="eastAsia" w:ascii="宋体" w:hAnsi="宋体"/>
          <w:b w:val="0"/>
          <w:snapToGrid w:val="0"/>
          <w:color w:val="auto"/>
          <w:sz w:val="24"/>
          <w:szCs w:val="24"/>
          <w:highlight w:val="none"/>
          <w:lang w:eastAsia="zh-CN"/>
        </w:rPr>
        <w:t>中选</w:t>
      </w:r>
      <w:r>
        <w:rPr>
          <w:rFonts w:ascii="宋体" w:hAnsi="宋体"/>
          <w:b w:val="0"/>
          <w:snapToGrid w:val="0"/>
          <w:color w:val="auto"/>
          <w:sz w:val="24"/>
          <w:szCs w:val="24"/>
          <w:highlight w:val="none"/>
        </w:rPr>
        <w:t>通知</w:t>
      </w:r>
      <w:bookmarkEnd w:id="437"/>
      <w:bookmarkEnd w:id="438"/>
      <w:bookmarkEnd w:id="439"/>
      <w:bookmarkEnd w:id="440"/>
    </w:p>
    <w:p w14:paraId="2A2A1DDD">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w:t>
      </w:r>
      <w:r>
        <w:rPr>
          <w:rFonts w:hint="eastAsia" w:ascii="宋体" w:hAnsi="宋体"/>
          <w:snapToGrid w:val="0"/>
          <w:color w:val="auto"/>
          <w:kern w:val="0"/>
          <w:szCs w:val="21"/>
          <w:highlight w:val="none"/>
          <w:lang w:eastAsia="zh-CN"/>
        </w:rPr>
        <w:t>中选候选人</w:t>
      </w:r>
      <w:r>
        <w:rPr>
          <w:rFonts w:ascii="宋体" w:hAnsi="宋体"/>
          <w:snapToGrid w:val="0"/>
          <w:color w:val="auto"/>
          <w:kern w:val="0"/>
          <w:szCs w:val="21"/>
          <w:highlight w:val="none"/>
        </w:rPr>
        <w:t>，公示期不得少于3日</w:t>
      </w:r>
      <w:r>
        <w:rPr>
          <w:rFonts w:hint="eastAsia" w:ascii="宋体" w:hAnsi="宋体"/>
          <w:color w:val="auto"/>
          <w:szCs w:val="21"/>
          <w:highlight w:val="none"/>
        </w:rPr>
        <w:t>。</w:t>
      </w:r>
    </w:p>
    <w:p w14:paraId="6DD400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发出</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w:t>
      </w:r>
    </w:p>
    <w:p w14:paraId="75C9EB01">
      <w:pPr>
        <w:pStyle w:val="5"/>
        <w:snapToGrid w:val="0"/>
        <w:spacing w:before="0" w:after="0" w:line="360" w:lineRule="auto"/>
        <w:rPr>
          <w:rFonts w:ascii="宋体" w:hAnsi="宋体"/>
          <w:b w:val="0"/>
          <w:snapToGrid w:val="0"/>
          <w:color w:val="auto"/>
          <w:sz w:val="24"/>
          <w:szCs w:val="24"/>
          <w:highlight w:val="none"/>
        </w:rPr>
      </w:pPr>
      <w:bookmarkStart w:id="441" w:name="_Toc200513168"/>
      <w:bookmarkStart w:id="442" w:name="_Toc25777"/>
      <w:bookmarkStart w:id="443" w:name="_Toc277082594"/>
      <w:bookmarkStart w:id="444" w:name="_Toc430530477"/>
      <w:bookmarkStart w:id="445" w:name="_Toc16900"/>
      <w:bookmarkStart w:id="446" w:name="_Toc509218752"/>
      <w:bookmarkStart w:id="447" w:name="_Toc287607788"/>
      <w:bookmarkStart w:id="448" w:name="_Toc287620727"/>
      <w:bookmarkStart w:id="449" w:name="_Toc224103359"/>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3</w:t>
      </w:r>
      <w:r>
        <w:rPr>
          <w:rFonts w:ascii="宋体" w:hAnsi="宋体"/>
          <w:b w:val="0"/>
          <w:snapToGrid w:val="0"/>
          <w:color w:val="auto"/>
          <w:sz w:val="24"/>
          <w:szCs w:val="24"/>
          <w:highlight w:val="none"/>
        </w:rPr>
        <w:t xml:space="preserve">  签订合同</w:t>
      </w:r>
      <w:bookmarkEnd w:id="441"/>
      <w:bookmarkEnd w:id="442"/>
      <w:bookmarkEnd w:id="443"/>
      <w:bookmarkEnd w:id="444"/>
      <w:bookmarkEnd w:id="445"/>
      <w:bookmarkEnd w:id="446"/>
      <w:bookmarkEnd w:id="447"/>
      <w:bookmarkEnd w:id="448"/>
      <w:bookmarkEnd w:id="449"/>
    </w:p>
    <w:p w14:paraId="25B4DFA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 xml:space="preserve">.1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应当自</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发出之日起 30 天内，根据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lang w:eastAsia="zh-CN"/>
        </w:rPr>
        <w:t>中选人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文件要求提交低价风险担保（适用于经评审最低投标价法）或履约保证金的，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14:paraId="2D723AE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.2  发出</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退还投标保证金；给</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造成损失的，还应当赔偿损失。</w:t>
      </w:r>
    </w:p>
    <w:p w14:paraId="6820EBED">
      <w:pPr>
        <w:pStyle w:val="4"/>
        <w:spacing w:before="0" w:after="0" w:line="360" w:lineRule="auto"/>
        <w:rPr>
          <w:rFonts w:ascii="宋体" w:hAnsi="宋体"/>
          <w:b w:val="0"/>
          <w:snapToGrid w:val="0"/>
          <w:color w:val="auto"/>
          <w:highlight w:val="none"/>
        </w:rPr>
      </w:pPr>
      <w:bookmarkStart w:id="450" w:name="_Toc22591"/>
      <w:bookmarkStart w:id="451" w:name="_Toc200513169"/>
      <w:bookmarkStart w:id="452" w:name="_Toc509218753"/>
      <w:bookmarkStart w:id="453" w:name="_Toc430530478"/>
      <w:bookmarkStart w:id="454" w:name="_Toc1651"/>
      <w:bookmarkStart w:id="455" w:name="_Toc287607789"/>
      <w:bookmarkStart w:id="456" w:name="_Toc277082595"/>
      <w:bookmarkStart w:id="457" w:name="_Toc224103360"/>
      <w:bookmarkStart w:id="458" w:name="_Toc287620728"/>
      <w:r>
        <w:rPr>
          <w:rFonts w:ascii="宋体" w:hAnsi="宋体"/>
          <w:b w:val="0"/>
          <w:snapToGrid w:val="0"/>
          <w:color w:val="auto"/>
          <w:highlight w:val="none"/>
        </w:rPr>
        <w:t>8.  重新招标和不再招标</w:t>
      </w:r>
      <w:bookmarkEnd w:id="450"/>
      <w:bookmarkEnd w:id="451"/>
      <w:bookmarkEnd w:id="452"/>
      <w:bookmarkEnd w:id="453"/>
      <w:bookmarkEnd w:id="454"/>
      <w:bookmarkEnd w:id="455"/>
      <w:bookmarkEnd w:id="456"/>
      <w:bookmarkEnd w:id="457"/>
      <w:bookmarkEnd w:id="458"/>
    </w:p>
    <w:p w14:paraId="3C646DC5">
      <w:pPr>
        <w:pStyle w:val="5"/>
        <w:snapToGrid w:val="0"/>
        <w:spacing w:before="0" w:after="0" w:line="360" w:lineRule="auto"/>
        <w:rPr>
          <w:rFonts w:ascii="宋体" w:hAnsi="宋体"/>
          <w:b w:val="0"/>
          <w:snapToGrid w:val="0"/>
          <w:color w:val="auto"/>
          <w:sz w:val="24"/>
          <w:szCs w:val="24"/>
          <w:highlight w:val="none"/>
        </w:rPr>
      </w:pPr>
      <w:bookmarkStart w:id="459" w:name="_Toc430530479"/>
      <w:bookmarkStart w:id="460" w:name="_Toc200513170"/>
      <w:bookmarkStart w:id="461" w:name="_Toc224103361"/>
      <w:bookmarkStart w:id="462" w:name="_Toc287607790"/>
      <w:bookmarkStart w:id="463" w:name="_Toc287620729"/>
      <w:bookmarkStart w:id="464" w:name="_Toc509218754"/>
      <w:bookmarkStart w:id="465" w:name="_Toc4647"/>
      <w:bookmarkStart w:id="466" w:name="_Toc277082596"/>
      <w:bookmarkStart w:id="467" w:name="_Toc29549"/>
      <w:r>
        <w:rPr>
          <w:rFonts w:ascii="宋体" w:hAnsi="宋体"/>
          <w:b w:val="0"/>
          <w:snapToGrid w:val="0"/>
          <w:color w:val="auto"/>
          <w:sz w:val="24"/>
          <w:szCs w:val="24"/>
          <w:highlight w:val="none"/>
        </w:rPr>
        <w:t>8.1  重新招标</w:t>
      </w:r>
      <w:bookmarkEnd w:id="459"/>
      <w:bookmarkEnd w:id="460"/>
      <w:bookmarkEnd w:id="461"/>
      <w:bookmarkEnd w:id="462"/>
      <w:bookmarkEnd w:id="463"/>
      <w:bookmarkEnd w:id="464"/>
      <w:bookmarkEnd w:id="465"/>
      <w:bookmarkEnd w:id="466"/>
      <w:r>
        <w:rPr>
          <w:rFonts w:hint="eastAsia" w:ascii="宋体" w:hAnsi="宋体"/>
          <w:b w:val="0"/>
          <w:snapToGrid w:val="0"/>
          <w:color w:val="auto"/>
          <w:sz w:val="24"/>
          <w:szCs w:val="24"/>
          <w:highlight w:val="none"/>
        </w:rPr>
        <w:t>的情形</w:t>
      </w:r>
      <w:bookmarkEnd w:id="467"/>
    </w:p>
    <w:p w14:paraId="007F68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2149F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少于 3 个的；</w:t>
      </w:r>
    </w:p>
    <w:p w14:paraId="5F2CEB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5FCF2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不足三个的，评标委员会应当否决所有投标。但是有效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w:t>
      </w:r>
      <w:r>
        <w:rPr>
          <w:rFonts w:hint="eastAsia" w:ascii="宋体" w:hAnsi="宋体"/>
          <w:snapToGrid w:val="0"/>
          <w:color w:val="auto"/>
          <w:kern w:val="0"/>
          <w:szCs w:val="21"/>
          <w:highlight w:val="none"/>
          <w:lang w:eastAsia="zh-CN"/>
        </w:rPr>
        <w:t>中选候选人</w:t>
      </w:r>
      <w:r>
        <w:rPr>
          <w:rFonts w:hint="eastAsia" w:ascii="宋体" w:hAnsi="宋体"/>
          <w:snapToGrid w:val="0"/>
          <w:color w:val="auto"/>
          <w:kern w:val="0"/>
          <w:szCs w:val="21"/>
          <w:highlight w:val="none"/>
        </w:rPr>
        <w:t>；</w:t>
      </w:r>
    </w:p>
    <w:p w14:paraId="7B810A5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3F9DA07">
      <w:pPr>
        <w:pStyle w:val="5"/>
        <w:snapToGrid w:val="0"/>
        <w:spacing w:before="0" w:after="0" w:line="360" w:lineRule="auto"/>
        <w:rPr>
          <w:rFonts w:ascii="宋体" w:hAnsi="宋体"/>
          <w:b w:val="0"/>
          <w:snapToGrid w:val="0"/>
          <w:color w:val="auto"/>
          <w:sz w:val="24"/>
          <w:szCs w:val="24"/>
          <w:highlight w:val="none"/>
        </w:rPr>
      </w:pPr>
      <w:bookmarkStart w:id="468" w:name="_Toc32210"/>
      <w:bookmarkStart w:id="469" w:name="_Toc200513171"/>
      <w:bookmarkStart w:id="470" w:name="_Toc509218755"/>
      <w:bookmarkStart w:id="471" w:name="_Toc19118"/>
      <w:bookmarkStart w:id="472" w:name="_Toc430530480"/>
      <w:bookmarkStart w:id="473" w:name="_Toc277082597"/>
      <w:bookmarkStart w:id="474" w:name="_Toc287620730"/>
      <w:bookmarkStart w:id="475" w:name="_Toc287607791"/>
      <w:bookmarkStart w:id="476"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68"/>
      <w:bookmarkEnd w:id="469"/>
      <w:bookmarkEnd w:id="470"/>
      <w:bookmarkEnd w:id="471"/>
      <w:bookmarkEnd w:id="472"/>
      <w:bookmarkEnd w:id="473"/>
      <w:bookmarkEnd w:id="474"/>
      <w:bookmarkEnd w:id="475"/>
      <w:bookmarkEnd w:id="476"/>
    </w:p>
    <w:p w14:paraId="743BDA7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的，应当依法确定</w:t>
      </w:r>
      <w:r>
        <w:rPr>
          <w:rFonts w:hint="eastAsia" w:ascii="宋体" w:hAnsi="宋体"/>
          <w:snapToGrid w:val="0"/>
          <w:color w:val="auto"/>
          <w:kern w:val="0"/>
          <w:szCs w:val="21"/>
          <w:highlight w:val="none"/>
          <w:lang w:eastAsia="zh-CN"/>
        </w:rPr>
        <w:t>中选候选人</w:t>
      </w:r>
      <w:r>
        <w:rPr>
          <w:rFonts w:hint="eastAsia" w:ascii="宋体" w:hAnsi="宋体"/>
          <w:snapToGrid w:val="0"/>
          <w:color w:val="auto"/>
          <w:kern w:val="0"/>
          <w:szCs w:val="21"/>
          <w:highlight w:val="none"/>
        </w:rPr>
        <w:t>；无有效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BAD11B2">
      <w:pPr>
        <w:pStyle w:val="4"/>
        <w:spacing w:before="0" w:after="0" w:line="360" w:lineRule="auto"/>
        <w:rPr>
          <w:rFonts w:ascii="宋体" w:hAnsi="宋体"/>
          <w:b w:val="0"/>
          <w:snapToGrid w:val="0"/>
          <w:color w:val="auto"/>
          <w:highlight w:val="none"/>
        </w:rPr>
      </w:pPr>
      <w:bookmarkStart w:id="477" w:name="_Toc277082598"/>
      <w:bookmarkStart w:id="478" w:name="_Toc224103363"/>
      <w:bookmarkStart w:id="479" w:name="_Toc287620731"/>
      <w:bookmarkStart w:id="480" w:name="_Toc509218756"/>
      <w:bookmarkStart w:id="481" w:name="_Toc285"/>
      <w:bookmarkStart w:id="482" w:name="_Toc430530481"/>
      <w:bookmarkStart w:id="483" w:name="_Toc200513172"/>
      <w:bookmarkStart w:id="484" w:name="_Toc27535"/>
      <w:bookmarkStart w:id="485" w:name="_Toc287607792"/>
      <w:r>
        <w:rPr>
          <w:rFonts w:ascii="宋体" w:hAnsi="宋体"/>
          <w:b w:val="0"/>
          <w:snapToGrid w:val="0"/>
          <w:color w:val="auto"/>
          <w:highlight w:val="none"/>
        </w:rPr>
        <w:t>9.  纪律和监督</w:t>
      </w:r>
      <w:bookmarkEnd w:id="477"/>
      <w:bookmarkEnd w:id="478"/>
      <w:bookmarkEnd w:id="479"/>
      <w:bookmarkEnd w:id="480"/>
      <w:bookmarkEnd w:id="481"/>
      <w:bookmarkEnd w:id="482"/>
      <w:bookmarkEnd w:id="483"/>
      <w:bookmarkEnd w:id="484"/>
      <w:bookmarkEnd w:id="485"/>
    </w:p>
    <w:p w14:paraId="45CFE846">
      <w:pPr>
        <w:pStyle w:val="5"/>
        <w:snapToGrid w:val="0"/>
        <w:spacing w:before="0" w:after="0" w:line="360" w:lineRule="auto"/>
        <w:rPr>
          <w:rFonts w:ascii="宋体" w:hAnsi="宋体"/>
          <w:b w:val="0"/>
          <w:snapToGrid w:val="0"/>
          <w:color w:val="auto"/>
          <w:sz w:val="24"/>
          <w:szCs w:val="24"/>
          <w:highlight w:val="none"/>
        </w:rPr>
      </w:pPr>
      <w:bookmarkStart w:id="486" w:name="_Toc11532"/>
      <w:bookmarkStart w:id="487" w:name="_Toc277082599"/>
      <w:bookmarkStart w:id="488" w:name="_Toc200513173"/>
      <w:bookmarkStart w:id="489" w:name="_Toc287620732"/>
      <w:bookmarkStart w:id="490" w:name="_Toc430530482"/>
      <w:bookmarkStart w:id="491" w:name="_Toc224103364"/>
      <w:bookmarkStart w:id="492" w:name="_Toc20848"/>
      <w:bookmarkStart w:id="493" w:name="_Toc287607793"/>
      <w:bookmarkStart w:id="494" w:name="_Toc509218757"/>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86"/>
      <w:bookmarkEnd w:id="487"/>
      <w:bookmarkEnd w:id="488"/>
      <w:bookmarkEnd w:id="489"/>
      <w:bookmarkEnd w:id="490"/>
      <w:bookmarkEnd w:id="491"/>
      <w:bookmarkEnd w:id="492"/>
      <w:bookmarkEnd w:id="493"/>
      <w:bookmarkEnd w:id="494"/>
    </w:p>
    <w:p w14:paraId="2A097489">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投标活动中应当保密的情况和资料，不得与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0F894D0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00C4FB0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比选申请文件</w:t>
      </w:r>
      <w:r>
        <w:rPr>
          <w:rFonts w:ascii="宋体" w:hAnsi="宋体"/>
          <w:color w:val="auto"/>
          <w:highlight w:val="none"/>
        </w:rPr>
        <w:t>并将有关信息泄露给其他</w:t>
      </w:r>
      <w:r>
        <w:rPr>
          <w:rFonts w:hint="eastAsia" w:ascii="宋体" w:hAnsi="宋体"/>
          <w:color w:val="auto"/>
          <w:highlight w:val="none"/>
          <w:lang w:eastAsia="zh-CN"/>
        </w:rPr>
        <w:t>比选申请人</w:t>
      </w:r>
      <w:r>
        <w:rPr>
          <w:rFonts w:hint="eastAsia" w:ascii="宋体" w:hAnsi="宋体"/>
          <w:color w:val="auto"/>
          <w:highlight w:val="none"/>
        </w:rPr>
        <w:t>；</w:t>
      </w:r>
    </w:p>
    <w:p w14:paraId="498C5F3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比选申请人</w:t>
      </w:r>
      <w:r>
        <w:rPr>
          <w:rFonts w:ascii="宋体" w:hAnsi="宋体"/>
          <w:color w:val="auto"/>
          <w:highlight w:val="none"/>
        </w:rPr>
        <w:t>泄露标底、评标委员会成员等信息；</w:t>
      </w:r>
    </w:p>
    <w:p w14:paraId="43DCCA2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压低或者抬高投标报价；</w:t>
      </w:r>
    </w:p>
    <w:p w14:paraId="0E9F514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比选申请人</w:t>
      </w:r>
      <w:r>
        <w:rPr>
          <w:rFonts w:ascii="宋体" w:hAnsi="宋体"/>
          <w:color w:val="auto"/>
          <w:highlight w:val="none"/>
        </w:rPr>
        <w:t>撤换、修改</w:t>
      </w:r>
      <w:r>
        <w:rPr>
          <w:rFonts w:hint="eastAsia" w:ascii="宋体" w:hAnsi="宋体"/>
          <w:color w:val="auto"/>
          <w:highlight w:val="none"/>
          <w:lang w:eastAsia="zh-CN"/>
        </w:rPr>
        <w:t>比选申请文件</w:t>
      </w:r>
      <w:r>
        <w:rPr>
          <w:rFonts w:ascii="宋体" w:hAnsi="宋体"/>
          <w:color w:val="auto"/>
          <w:highlight w:val="none"/>
        </w:rPr>
        <w:t>；</w:t>
      </w:r>
    </w:p>
    <w:p w14:paraId="32A4B9E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为特定</w:t>
      </w:r>
      <w:r>
        <w:rPr>
          <w:rFonts w:hint="eastAsia" w:ascii="宋体" w:hAnsi="宋体"/>
          <w:color w:val="auto"/>
          <w:highlight w:val="none"/>
          <w:lang w:eastAsia="zh-CN"/>
        </w:rPr>
        <w:t>比选申请人中选</w:t>
      </w:r>
      <w:r>
        <w:rPr>
          <w:rFonts w:ascii="宋体" w:hAnsi="宋体"/>
          <w:color w:val="auto"/>
          <w:highlight w:val="none"/>
        </w:rPr>
        <w:t>提供方便；</w:t>
      </w:r>
    </w:p>
    <w:p w14:paraId="70D6459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为谋求特定</w:t>
      </w:r>
      <w:r>
        <w:rPr>
          <w:rFonts w:hint="eastAsia" w:ascii="宋体" w:hAnsi="宋体"/>
          <w:color w:val="auto"/>
          <w:highlight w:val="none"/>
          <w:lang w:eastAsia="zh-CN"/>
        </w:rPr>
        <w:t>比选申请人中选</w:t>
      </w:r>
      <w:r>
        <w:rPr>
          <w:rFonts w:ascii="宋体" w:hAnsi="宋体"/>
          <w:color w:val="auto"/>
          <w:highlight w:val="none"/>
        </w:rPr>
        <w:t>而采取的其他串通行为。</w:t>
      </w:r>
    </w:p>
    <w:p w14:paraId="55C88584">
      <w:pPr>
        <w:pStyle w:val="5"/>
        <w:snapToGrid w:val="0"/>
        <w:spacing w:before="0" w:after="0" w:line="360" w:lineRule="auto"/>
        <w:rPr>
          <w:rFonts w:ascii="宋体" w:hAnsi="宋体"/>
          <w:b w:val="0"/>
          <w:snapToGrid w:val="0"/>
          <w:color w:val="auto"/>
          <w:sz w:val="24"/>
          <w:szCs w:val="24"/>
          <w:highlight w:val="none"/>
        </w:rPr>
      </w:pPr>
      <w:bookmarkStart w:id="495" w:name="_Toc200513174"/>
      <w:bookmarkStart w:id="496" w:name="_Toc430530483"/>
      <w:bookmarkStart w:id="497" w:name="_Toc20723"/>
      <w:bookmarkStart w:id="498" w:name="_Toc11710"/>
      <w:bookmarkStart w:id="499" w:name="_Toc277082600"/>
      <w:bookmarkStart w:id="500" w:name="_Toc287620733"/>
      <w:bookmarkStart w:id="501" w:name="_Toc287607794"/>
      <w:bookmarkStart w:id="502" w:name="_Toc224103365"/>
      <w:bookmarkStart w:id="503" w:name="_Toc509218758"/>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的纪律要求</w:t>
      </w:r>
      <w:bookmarkEnd w:id="495"/>
      <w:bookmarkEnd w:id="496"/>
      <w:bookmarkEnd w:id="497"/>
      <w:bookmarkEnd w:id="498"/>
      <w:bookmarkEnd w:id="499"/>
      <w:bookmarkEnd w:id="500"/>
      <w:bookmarkEnd w:id="501"/>
      <w:bookmarkEnd w:id="502"/>
      <w:bookmarkEnd w:id="503"/>
    </w:p>
    <w:p w14:paraId="2F53EC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，不得以他人名义投标或者以其他方式弄虚作假骗取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0C831B8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比选申请人</w:t>
      </w:r>
      <w:r>
        <w:rPr>
          <w:rFonts w:ascii="宋体" w:hAnsi="宋体"/>
          <w:color w:val="auto"/>
          <w:highlight w:val="none"/>
        </w:rPr>
        <w:t>相互串通投标：</w:t>
      </w:r>
    </w:p>
    <w:p w14:paraId="071701F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比选申请人</w:t>
      </w:r>
      <w:r>
        <w:rPr>
          <w:rFonts w:ascii="宋体" w:hAnsi="宋体"/>
          <w:color w:val="auto"/>
          <w:highlight w:val="none"/>
        </w:rPr>
        <w:t>之间协商投标报价等</w:t>
      </w:r>
      <w:r>
        <w:rPr>
          <w:rFonts w:hint="eastAsia" w:ascii="宋体" w:hAnsi="宋体"/>
          <w:color w:val="auto"/>
          <w:highlight w:val="none"/>
          <w:lang w:eastAsia="zh-CN"/>
        </w:rPr>
        <w:t>比选申请文件</w:t>
      </w:r>
      <w:r>
        <w:rPr>
          <w:rFonts w:ascii="宋体" w:hAnsi="宋体"/>
          <w:color w:val="auto"/>
          <w:highlight w:val="none"/>
        </w:rPr>
        <w:t>的实质性内容；</w:t>
      </w:r>
    </w:p>
    <w:p w14:paraId="4B9BFED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比选申请人</w:t>
      </w:r>
      <w:r>
        <w:rPr>
          <w:rFonts w:ascii="宋体" w:hAnsi="宋体"/>
          <w:color w:val="auto"/>
          <w:highlight w:val="none"/>
        </w:rPr>
        <w:t>之间约定</w:t>
      </w:r>
      <w:r>
        <w:rPr>
          <w:rFonts w:hint="eastAsia" w:ascii="宋体" w:hAnsi="宋体"/>
          <w:color w:val="auto"/>
          <w:highlight w:val="none"/>
          <w:lang w:eastAsia="zh-CN"/>
        </w:rPr>
        <w:t>中选人</w:t>
      </w:r>
      <w:r>
        <w:rPr>
          <w:rFonts w:ascii="宋体" w:hAnsi="宋体"/>
          <w:color w:val="auto"/>
          <w:highlight w:val="none"/>
        </w:rPr>
        <w:t>；</w:t>
      </w:r>
    </w:p>
    <w:p w14:paraId="4D2EE4E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比选申请人</w:t>
      </w:r>
      <w:r>
        <w:rPr>
          <w:rFonts w:ascii="宋体" w:hAnsi="宋体"/>
          <w:color w:val="auto"/>
          <w:highlight w:val="none"/>
        </w:rPr>
        <w:t>之间约定部分</w:t>
      </w:r>
      <w:r>
        <w:rPr>
          <w:rFonts w:hint="eastAsia" w:ascii="宋体" w:hAnsi="宋体"/>
          <w:color w:val="auto"/>
          <w:highlight w:val="none"/>
          <w:lang w:eastAsia="zh-CN"/>
        </w:rPr>
        <w:t>比选申请人</w:t>
      </w:r>
      <w:r>
        <w:rPr>
          <w:rFonts w:ascii="宋体" w:hAnsi="宋体"/>
          <w:color w:val="auto"/>
          <w:highlight w:val="none"/>
        </w:rPr>
        <w:t>放弃投标或者</w:t>
      </w:r>
      <w:r>
        <w:rPr>
          <w:rFonts w:hint="eastAsia" w:ascii="宋体" w:hAnsi="宋体"/>
          <w:color w:val="auto"/>
          <w:highlight w:val="none"/>
          <w:lang w:eastAsia="zh-CN"/>
        </w:rPr>
        <w:t>中选</w:t>
      </w:r>
      <w:r>
        <w:rPr>
          <w:rFonts w:ascii="宋体" w:hAnsi="宋体"/>
          <w:color w:val="auto"/>
          <w:highlight w:val="none"/>
        </w:rPr>
        <w:t>；</w:t>
      </w:r>
    </w:p>
    <w:p w14:paraId="7CDE1A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比选申请人</w:t>
      </w:r>
      <w:r>
        <w:rPr>
          <w:rFonts w:ascii="宋体" w:hAnsi="宋体"/>
          <w:color w:val="auto"/>
          <w:highlight w:val="none"/>
        </w:rPr>
        <w:t>按照该组织要求协同投标；</w:t>
      </w:r>
    </w:p>
    <w:p w14:paraId="603658F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比选申请人</w:t>
      </w:r>
      <w:r>
        <w:rPr>
          <w:rFonts w:ascii="宋体" w:hAnsi="宋体"/>
          <w:color w:val="auto"/>
          <w:highlight w:val="none"/>
        </w:rPr>
        <w:t>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比选申请人</w:t>
      </w:r>
      <w:r>
        <w:rPr>
          <w:rFonts w:ascii="宋体" w:hAnsi="宋体"/>
          <w:color w:val="auto"/>
          <w:highlight w:val="none"/>
        </w:rPr>
        <w:t>而采取的其他联合行动。</w:t>
      </w:r>
    </w:p>
    <w:p w14:paraId="1659CE9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比选申请人</w:t>
      </w:r>
      <w:r>
        <w:rPr>
          <w:rFonts w:ascii="宋体" w:hAnsi="宋体"/>
          <w:color w:val="auto"/>
          <w:highlight w:val="none"/>
        </w:rPr>
        <w:t>相互串通投标：</w:t>
      </w:r>
    </w:p>
    <w:p w14:paraId="2B9E58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由同一单位或者个人编制；</w:t>
      </w:r>
    </w:p>
    <w:p w14:paraId="383651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比选申请人</w:t>
      </w:r>
      <w:r>
        <w:rPr>
          <w:rFonts w:ascii="宋体" w:hAnsi="宋体"/>
          <w:color w:val="auto"/>
          <w:highlight w:val="none"/>
        </w:rPr>
        <w:t>委托同一单位或者个人办理投标事宜；</w:t>
      </w:r>
    </w:p>
    <w:p w14:paraId="2726C50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载明的项目管理成员为同一人；</w:t>
      </w:r>
    </w:p>
    <w:p w14:paraId="49C2DD4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异常一致或者投标报价呈规律性差异；</w:t>
      </w:r>
    </w:p>
    <w:p w14:paraId="192239E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相互混装；</w:t>
      </w:r>
    </w:p>
    <w:p w14:paraId="4253733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比选申请人</w:t>
      </w:r>
      <w:r>
        <w:rPr>
          <w:rFonts w:ascii="宋体" w:hAnsi="宋体"/>
          <w:color w:val="auto"/>
          <w:highlight w:val="none"/>
        </w:rPr>
        <w:t>的投标保证金从同一单位或者个人的账户转出。</w:t>
      </w:r>
    </w:p>
    <w:p w14:paraId="3684FA5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2A501C1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比选申请人</w:t>
      </w:r>
      <w:r>
        <w:rPr>
          <w:rFonts w:ascii="宋体" w:hAnsi="宋体"/>
          <w:color w:val="auto"/>
          <w:highlight w:val="none"/>
        </w:rPr>
        <w:t>有下列情形之一的，属于以其他方式弄虚作假的行为：</w:t>
      </w:r>
    </w:p>
    <w:p w14:paraId="16DA64D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53CEEAE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651626B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6CD8E83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B9AF3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5F62B4B">
      <w:pPr>
        <w:pStyle w:val="5"/>
        <w:snapToGrid w:val="0"/>
        <w:spacing w:before="0" w:after="0" w:line="360" w:lineRule="auto"/>
        <w:rPr>
          <w:rFonts w:ascii="宋体" w:hAnsi="宋体"/>
          <w:b w:val="0"/>
          <w:snapToGrid w:val="0"/>
          <w:color w:val="auto"/>
          <w:sz w:val="24"/>
          <w:szCs w:val="24"/>
          <w:highlight w:val="none"/>
        </w:rPr>
      </w:pPr>
      <w:bookmarkStart w:id="504" w:name="_Toc200513175"/>
      <w:bookmarkStart w:id="505" w:name="_Toc287620734"/>
      <w:bookmarkStart w:id="506" w:name="_Toc430530484"/>
      <w:bookmarkStart w:id="507" w:name="_Toc509218759"/>
      <w:bookmarkStart w:id="508" w:name="_Toc277082601"/>
      <w:bookmarkStart w:id="509" w:name="_Toc27742"/>
      <w:bookmarkStart w:id="510" w:name="_Toc224103366"/>
      <w:bookmarkStart w:id="511" w:name="_Toc287607795"/>
      <w:bookmarkStart w:id="512" w:name="_Toc24291"/>
      <w:r>
        <w:rPr>
          <w:rFonts w:ascii="宋体" w:hAnsi="宋体"/>
          <w:b w:val="0"/>
          <w:snapToGrid w:val="0"/>
          <w:color w:val="auto"/>
          <w:sz w:val="24"/>
          <w:szCs w:val="24"/>
          <w:highlight w:val="none"/>
        </w:rPr>
        <w:t>9.3  对评标委员会成员的纪律要求</w:t>
      </w:r>
      <w:bookmarkEnd w:id="504"/>
      <w:bookmarkEnd w:id="505"/>
      <w:bookmarkEnd w:id="506"/>
      <w:bookmarkEnd w:id="507"/>
      <w:bookmarkEnd w:id="508"/>
      <w:bookmarkEnd w:id="509"/>
      <w:bookmarkEnd w:id="510"/>
      <w:bookmarkEnd w:id="511"/>
      <w:bookmarkEnd w:id="512"/>
    </w:p>
    <w:p w14:paraId="75042E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中选候选人</w:t>
      </w:r>
      <w:r>
        <w:rPr>
          <w:rFonts w:ascii="宋体" w:hAnsi="宋体"/>
          <w:snapToGrid w:val="0"/>
          <w:color w:val="auto"/>
          <w:kern w:val="0"/>
          <w:szCs w:val="21"/>
          <w:highlight w:val="none"/>
        </w:rPr>
        <w:t>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62AF8BF9">
      <w:pPr>
        <w:pStyle w:val="5"/>
        <w:snapToGrid w:val="0"/>
        <w:spacing w:before="0" w:after="0" w:line="360" w:lineRule="auto"/>
        <w:rPr>
          <w:rFonts w:ascii="宋体" w:hAnsi="宋体"/>
          <w:b w:val="0"/>
          <w:snapToGrid w:val="0"/>
          <w:color w:val="auto"/>
          <w:sz w:val="24"/>
          <w:szCs w:val="24"/>
          <w:highlight w:val="none"/>
        </w:rPr>
      </w:pPr>
      <w:bookmarkStart w:id="513" w:name="_Toc17353"/>
      <w:bookmarkStart w:id="514" w:name="_Toc200513176"/>
      <w:bookmarkStart w:id="515" w:name="_Toc287620735"/>
      <w:bookmarkStart w:id="516" w:name="_Toc509218760"/>
      <w:bookmarkStart w:id="517" w:name="_Toc287607796"/>
      <w:bookmarkStart w:id="518" w:name="_Toc224103367"/>
      <w:bookmarkStart w:id="519" w:name="_Toc277082602"/>
      <w:bookmarkStart w:id="520" w:name="_Toc430530485"/>
      <w:bookmarkStart w:id="521" w:name="_Toc28628"/>
      <w:r>
        <w:rPr>
          <w:rFonts w:ascii="宋体" w:hAnsi="宋体"/>
          <w:b w:val="0"/>
          <w:snapToGrid w:val="0"/>
          <w:color w:val="auto"/>
          <w:sz w:val="24"/>
          <w:szCs w:val="24"/>
          <w:highlight w:val="none"/>
        </w:rPr>
        <w:t>9.4  对与评标活动有关的工作人员的纪律要求</w:t>
      </w:r>
      <w:bookmarkEnd w:id="513"/>
      <w:bookmarkEnd w:id="514"/>
      <w:bookmarkEnd w:id="515"/>
      <w:bookmarkEnd w:id="516"/>
      <w:bookmarkEnd w:id="517"/>
      <w:bookmarkEnd w:id="518"/>
      <w:bookmarkEnd w:id="519"/>
      <w:bookmarkEnd w:id="520"/>
      <w:bookmarkEnd w:id="521"/>
    </w:p>
    <w:p w14:paraId="0C35B62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中选候选人</w:t>
      </w:r>
      <w:r>
        <w:rPr>
          <w:rFonts w:ascii="宋体" w:hAnsi="宋体"/>
          <w:snapToGrid w:val="0"/>
          <w:color w:val="auto"/>
          <w:kern w:val="0"/>
          <w:szCs w:val="21"/>
          <w:highlight w:val="none"/>
        </w:rPr>
        <w:t>的推荐情况以及与评标有关的其他情况。在评标活动中，与评标活动有关的工作人员不得擅离职守，影响评标程序正常进行。</w:t>
      </w:r>
    </w:p>
    <w:p w14:paraId="095CBAFB">
      <w:pPr>
        <w:pStyle w:val="5"/>
        <w:snapToGrid w:val="0"/>
        <w:spacing w:before="0" w:after="0" w:line="360" w:lineRule="auto"/>
        <w:rPr>
          <w:rFonts w:ascii="宋体" w:hAnsi="宋体"/>
          <w:b w:val="0"/>
          <w:snapToGrid w:val="0"/>
          <w:color w:val="auto"/>
          <w:sz w:val="24"/>
          <w:szCs w:val="24"/>
          <w:highlight w:val="none"/>
        </w:rPr>
      </w:pPr>
      <w:bookmarkStart w:id="522" w:name="_Toc287620736"/>
      <w:bookmarkStart w:id="523" w:name="_Toc430530486"/>
      <w:bookmarkStart w:id="524" w:name="_Toc200513177"/>
      <w:bookmarkStart w:id="525" w:name="_Toc11311"/>
      <w:bookmarkStart w:id="526" w:name="_Toc224103368"/>
      <w:bookmarkStart w:id="527" w:name="_Toc277082603"/>
      <w:bookmarkStart w:id="528" w:name="_Toc17234"/>
      <w:bookmarkStart w:id="529" w:name="_Toc509218761"/>
      <w:bookmarkStart w:id="530" w:name="_Toc287607797"/>
      <w:r>
        <w:rPr>
          <w:rFonts w:ascii="宋体" w:hAnsi="宋体"/>
          <w:b w:val="0"/>
          <w:snapToGrid w:val="0"/>
          <w:color w:val="auto"/>
          <w:sz w:val="24"/>
          <w:szCs w:val="24"/>
          <w:highlight w:val="none"/>
        </w:rPr>
        <w:t>9.5  投诉</w:t>
      </w:r>
      <w:bookmarkEnd w:id="522"/>
      <w:bookmarkEnd w:id="523"/>
      <w:bookmarkEnd w:id="524"/>
      <w:bookmarkEnd w:id="525"/>
      <w:bookmarkEnd w:id="526"/>
      <w:bookmarkEnd w:id="527"/>
      <w:bookmarkEnd w:id="528"/>
      <w:bookmarkEnd w:id="529"/>
      <w:bookmarkEnd w:id="530"/>
    </w:p>
    <w:p w14:paraId="7D870F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和其他利害关系人认为本次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活动违反法律、法规和规章规定的，有权向有关行政监督部门投诉。</w:t>
      </w:r>
    </w:p>
    <w:p w14:paraId="59FD6161">
      <w:pPr>
        <w:pStyle w:val="4"/>
        <w:spacing w:before="0" w:after="0" w:line="360" w:lineRule="auto"/>
        <w:rPr>
          <w:rFonts w:ascii="宋体" w:hAnsi="宋体"/>
          <w:b w:val="0"/>
          <w:snapToGrid w:val="0"/>
          <w:color w:val="auto"/>
          <w:highlight w:val="none"/>
        </w:rPr>
      </w:pPr>
      <w:bookmarkStart w:id="531" w:name="_Toc509218762"/>
      <w:bookmarkStart w:id="532" w:name="_Toc287607798"/>
      <w:bookmarkStart w:id="533" w:name="_Toc2889"/>
      <w:bookmarkStart w:id="534" w:name="_Toc224103369"/>
      <w:bookmarkStart w:id="535" w:name="_Toc287620737"/>
      <w:bookmarkStart w:id="536" w:name="_Toc200513178"/>
      <w:bookmarkStart w:id="537" w:name="_Toc277082604"/>
      <w:bookmarkStart w:id="538" w:name="_Toc13382"/>
      <w:bookmarkStart w:id="539" w:name="_Toc430530487"/>
      <w:r>
        <w:rPr>
          <w:rFonts w:ascii="宋体" w:hAnsi="宋体"/>
          <w:b w:val="0"/>
          <w:snapToGrid w:val="0"/>
          <w:color w:val="auto"/>
          <w:highlight w:val="none"/>
        </w:rPr>
        <w:t>10. 需要补充的其他内容</w:t>
      </w:r>
      <w:bookmarkEnd w:id="531"/>
      <w:bookmarkEnd w:id="532"/>
      <w:bookmarkEnd w:id="533"/>
      <w:bookmarkEnd w:id="534"/>
      <w:bookmarkEnd w:id="535"/>
      <w:bookmarkEnd w:id="536"/>
      <w:bookmarkEnd w:id="537"/>
      <w:bookmarkEnd w:id="538"/>
      <w:bookmarkEnd w:id="539"/>
    </w:p>
    <w:p w14:paraId="49E8B7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720" w:right="720" w:bottom="720" w:left="720"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2DDD0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6622743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732942D5">
      <w:pPr>
        <w:autoSpaceDE w:val="0"/>
        <w:autoSpaceDN w:val="0"/>
        <w:adjustRightInd w:val="0"/>
        <w:snapToGrid w:val="0"/>
        <w:spacing w:line="360" w:lineRule="auto"/>
        <w:jc w:val="left"/>
        <w:rPr>
          <w:rFonts w:ascii="宋体" w:hAnsi="宋体"/>
          <w:b/>
          <w:snapToGrid w:val="0"/>
          <w:color w:val="auto"/>
          <w:kern w:val="0"/>
          <w:highlight w:val="none"/>
        </w:rPr>
      </w:pPr>
    </w:p>
    <w:p w14:paraId="35904A05">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229506E7">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7"/>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26072F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4909A2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序号</w:t>
            </w:r>
          </w:p>
        </w:tc>
        <w:tc>
          <w:tcPr>
            <w:tcW w:w="3260" w:type="dxa"/>
            <w:vAlign w:val="center"/>
          </w:tcPr>
          <w:p w14:paraId="4B84F3E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比选申请人</w:t>
            </w:r>
          </w:p>
        </w:tc>
        <w:tc>
          <w:tcPr>
            <w:tcW w:w="1134" w:type="dxa"/>
            <w:vAlign w:val="center"/>
          </w:tcPr>
          <w:p w14:paraId="3696A39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14:paraId="42E8BFD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投标总报价</w:t>
            </w:r>
          </w:p>
        </w:tc>
        <w:tc>
          <w:tcPr>
            <w:tcW w:w="1560" w:type="dxa"/>
            <w:tcBorders>
              <w:left w:val="single" w:color="auto" w:sz="4" w:space="0"/>
            </w:tcBorders>
            <w:vAlign w:val="center"/>
          </w:tcPr>
          <w:p w14:paraId="55CAAEA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安全文明施工费暂定金额</w:t>
            </w:r>
          </w:p>
        </w:tc>
        <w:tc>
          <w:tcPr>
            <w:tcW w:w="1275" w:type="dxa"/>
            <w:vAlign w:val="center"/>
          </w:tcPr>
          <w:p w14:paraId="34457D9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质量目标</w:t>
            </w:r>
          </w:p>
        </w:tc>
        <w:tc>
          <w:tcPr>
            <w:tcW w:w="993" w:type="dxa"/>
            <w:vAlign w:val="center"/>
          </w:tcPr>
          <w:p w14:paraId="4EC33B4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工期</w:t>
            </w:r>
          </w:p>
        </w:tc>
        <w:tc>
          <w:tcPr>
            <w:tcW w:w="1285" w:type="dxa"/>
            <w:vAlign w:val="center"/>
          </w:tcPr>
          <w:p w14:paraId="3E82195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项目经理</w:t>
            </w:r>
          </w:p>
        </w:tc>
        <w:tc>
          <w:tcPr>
            <w:tcW w:w="947" w:type="dxa"/>
            <w:vAlign w:val="center"/>
          </w:tcPr>
          <w:p w14:paraId="669F02F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备注</w:t>
            </w:r>
          </w:p>
        </w:tc>
        <w:tc>
          <w:tcPr>
            <w:tcW w:w="1311" w:type="dxa"/>
            <w:vAlign w:val="center"/>
          </w:tcPr>
          <w:p w14:paraId="193C033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签名</w:t>
            </w:r>
          </w:p>
        </w:tc>
      </w:tr>
      <w:tr w14:paraId="2665E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E7E6D7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1398FDB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4BDD0CE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4A05B28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67275CF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3D207F0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2600EF8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045C013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6E934FA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70EDB4B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7362F1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37A305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6286111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3DBD651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2128904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2DB7E9D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0052F9E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79285BB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2E555E3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32AF412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6A76D09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1B37FF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90E44C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292C2C9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264E949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357D9AF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6EA6F03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2AD0D5D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71E20FE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3F69B8F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0A6527B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2CDA624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02906F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8BFE97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47052E0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1A1EF7C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27D388C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115428B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3D598C9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2B8C2A4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1D28426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5C66316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2580CEC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1CC43D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8813BF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5145AFF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52A28C2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7152200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62A6972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13B07A8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153D2A4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6D5310E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1940781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7639025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62CC2A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EAE7AF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14790EF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6068F12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3BCB39A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7BA2D39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104736B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7BDCA6E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1E0F5B9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5AC4CFB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73754A1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697619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14EC9D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3260" w:type="dxa"/>
            <w:vAlign w:val="center"/>
          </w:tcPr>
          <w:p w14:paraId="6E91A80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134" w:type="dxa"/>
            <w:vAlign w:val="center"/>
          </w:tcPr>
          <w:p w14:paraId="2A57F56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59" w:type="dxa"/>
            <w:tcBorders>
              <w:right w:val="single" w:color="auto" w:sz="4" w:space="0"/>
            </w:tcBorders>
            <w:vAlign w:val="center"/>
          </w:tcPr>
          <w:p w14:paraId="1D0086F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560" w:type="dxa"/>
            <w:tcBorders>
              <w:left w:val="single" w:color="auto" w:sz="4" w:space="0"/>
            </w:tcBorders>
            <w:vAlign w:val="center"/>
          </w:tcPr>
          <w:p w14:paraId="26070A8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75" w:type="dxa"/>
            <w:vAlign w:val="center"/>
          </w:tcPr>
          <w:p w14:paraId="5830D10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93" w:type="dxa"/>
            <w:vAlign w:val="center"/>
          </w:tcPr>
          <w:p w14:paraId="5BE80E7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285" w:type="dxa"/>
            <w:vAlign w:val="center"/>
          </w:tcPr>
          <w:p w14:paraId="74A3691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947" w:type="dxa"/>
            <w:vAlign w:val="center"/>
          </w:tcPr>
          <w:p w14:paraId="329B0EA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c>
          <w:tcPr>
            <w:tcW w:w="1311" w:type="dxa"/>
            <w:vAlign w:val="center"/>
          </w:tcPr>
          <w:p w14:paraId="132958F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 w:val="28"/>
                <w:szCs w:val="28"/>
                <w:highlight w:val="none"/>
              </w:rPr>
            </w:pPr>
          </w:p>
        </w:tc>
      </w:tr>
      <w:tr w14:paraId="3240B7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4DD09ED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5C60375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Cs w:val="21"/>
                <w:highlight w:val="none"/>
              </w:rPr>
            </w:pPr>
          </w:p>
        </w:tc>
      </w:tr>
      <w:tr w14:paraId="114E06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382C84A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color w:val="auto"/>
                <w:szCs w:val="21"/>
                <w:highlight w:val="none"/>
              </w:rPr>
              <w:t>最高限价的8</w:t>
            </w:r>
            <w:r>
              <w:rPr>
                <w:rFonts w:hint="default"/>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14:paraId="2B7B72B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14:paraId="60672180">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49A82D9C">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57053BF8">
      <w:pPr>
        <w:autoSpaceDE w:val="0"/>
        <w:autoSpaceDN w:val="0"/>
        <w:adjustRightInd w:val="0"/>
        <w:snapToGrid w:val="0"/>
        <w:spacing w:before="62" w:beforeLines="20" w:line="360" w:lineRule="auto"/>
        <w:jc w:val="right"/>
        <w:rPr>
          <w:rFonts w:ascii="宋体" w:hAnsi="宋体"/>
          <w:color w:val="auto"/>
          <w:szCs w:val="21"/>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518A6A65">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14:paraId="34A8F83F">
      <w:pPr>
        <w:autoSpaceDE w:val="0"/>
        <w:autoSpaceDN w:val="0"/>
        <w:adjustRightInd w:val="0"/>
        <w:snapToGrid w:val="0"/>
        <w:spacing w:line="360" w:lineRule="auto"/>
        <w:jc w:val="left"/>
        <w:rPr>
          <w:rFonts w:ascii="宋体" w:hAnsi="宋体"/>
          <w:b/>
          <w:snapToGrid w:val="0"/>
          <w:color w:val="auto"/>
          <w:kern w:val="0"/>
          <w:highlight w:val="none"/>
        </w:rPr>
      </w:pPr>
    </w:p>
    <w:p w14:paraId="5ACBF78B">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eastAsia="zh-CN"/>
        </w:rPr>
        <w:t>二</w:t>
      </w:r>
      <w:r>
        <w:rPr>
          <w:rFonts w:ascii="宋体" w:hAnsi="宋体"/>
          <w:b/>
          <w:snapToGrid w:val="0"/>
          <w:color w:val="auto"/>
          <w:kern w:val="0"/>
          <w:highlight w:val="none"/>
        </w:rPr>
        <w:t>：问题澄清通知</w:t>
      </w:r>
    </w:p>
    <w:p w14:paraId="2424E6FD">
      <w:pPr>
        <w:autoSpaceDE w:val="0"/>
        <w:autoSpaceDN w:val="0"/>
        <w:adjustRightInd w:val="0"/>
        <w:snapToGrid w:val="0"/>
        <w:spacing w:line="360" w:lineRule="auto"/>
        <w:jc w:val="left"/>
        <w:rPr>
          <w:rFonts w:ascii="宋体" w:hAnsi="宋体"/>
          <w:b/>
          <w:snapToGrid w:val="0"/>
          <w:color w:val="auto"/>
          <w:kern w:val="0"/>
          <w:sz w:val="24"/>
          <w:highlight w:val="none"/>
        </w:rPr>
      </w:pPr>
    </w:p>
    <w:p w14:paraId="725FED6D">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6D83AE6F">
      <w:pPr>
        <w:autoSpaceDE w:val="0"/>
        <w:autoSpaceDN w:val="0"/>
        <w:adjustRightInd w:val="0"/>
        <w:snapToGrid w:val="0"/>
        <w:spacing w:line="360" w:lineRule="auto"/>
        <w:jc w:val="left"/>
        <w:rPr>
          <w:rFonts w:ascii="宋体" w:hAnsi="宋体"/>
          <w:b/>
          <w:snapToGrid w:val="0"/>
          <w:color w:val="auto"/>
          <w:kern w:val="0"/>
          <w:sz w:val="24"/>
          <w:highlight w:val="none"/>
        </w:rPr>
      </w:pPr>
    </w:p>
    <w:p w14:paraId="4962725D">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45670310">
      <w:pPr>
        <w:autoSpaceDE w:val="0"/>
        <w:autoSpaceDN w:val="0"/>
        <w:adjustRightInd w:val="0"/>
        <w:snapToGrid w:val="0"/>
        <w:spacing w:line="360" w:lineRule="auto"/>
        <w:jc w:val="left"/>
        <w:rPr>
          <w:rFonts w:ascii="宋体" w:hAnsi="宋体"/>
          <w:b/>
          <w:snapToGrid w:val="0"/>
          <w:color w:val="auto"/>
          <w:kern w:val="0"/>
          <w:sz w:val="24"/>
          <w:highlight w:val="none"/>
        </w:rPr>
      </w:pPr>
    </w:p>
    <w:p w14:paraId="06096F66">
      <w:pPr>
        <w:autoSpaceDE w:val="0"/>
        <w:autoSpaceDN w:val="0"/>
        <w:adjustRightInd w:val="0"/>
        <w:snapToGrid w:val="0"/>
        <w:spacing w:line="360" w:lineRule="auto"/>
        <w:rPr>
          <w:rFonts w:ascii="宋体" w:hAnsi="宋体"/>
          <w:snapToGrid w:val="0"/>
          <w:color w:val="auto"/>
          <w:kern w:val="0"/>
          <w:sz w:val="28"/>
          <w:szCs w:val="28"/>
          <w:highlight w:val="none"/>
        </w:rPr>
      </w:pPr>
    </w:p>
    <w:p w14:paraId="0C3282BB">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名称）：</w:t>
      </w:r>
    </w:p>
    <w:p w14:paraId="5D0D6E9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进行了仔细的审查，现需你方对下列问题以书面形式予以澄清：</w:t>
      </w:r>
    </w:p>
    <w:p w14:paraId="69C28041">
      <w:pPr>
        <w:autoSpaceDE w:val="0"/>
        <w:autoSpaceDN w:val="0"/>
        <w:adjustRightInd w:val="0"/>
        <w:snapToGrid w:val="0"/>
        <w:spacing w:line="360" w:lineRule="auto"/>
        <w:jc w:val="left"/>
        <w:rPr>
          <w:rFonts w:ascii="宋体" w:hAnsi="宋体"/>
          <w:snapToGrid w:val="0"/>
          <w:color w:val="auto"/>
          <w:kern w:val="0"/>
          <w:sz w:val="24"/>
          <w:highlight w:val="none"/>
        </w:rPr>
      </w:pPr>
    </w:p>
    <w:p w14:paraId="4DE8F62D">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22DE6561">
      <w:pPr>
        <w:autoSpaceDE w:val="0"/>
        <w:autoSpaceDN w:val="0"/>
        <w:adjustRightInd w:val="0"/>
        <w:snapToGrid w:val="0"/>
        <w:spacing w:line="360" w:lineRule="auto"/>
        <w:jc w:val="left"/>
        <w:rPr>
          <w:rFonts w:ascii="宋体" w:hAnsi="宋体"/>
          <w:snapToGrid w:val="0"/>
          <w:color w:val="auto"/>
          <w:kern w:val="0"/>
          <w:szCs w:val="21"/>
          <w:highlight w:val="none"/>
        </w:rPr>
      </w:pPr>
    </w:p>
    <w:p w14:paraId="4E8DF687">
      <w:pPr>
        <w:autoSpaceDE w:val="0"/>
        <w:autoSpaceDN w:val="0"/>
        <w:adjustRightInd w:val="0"/>
        <w:snapToGrid w:val="0"/>
        <w:spacing w:line="360" w:lineRule="auto"/>
        <w:jc w:val="left"/>
        <w:rPr>
          <w:rFonts w:ascii="宋体" w:hAnsi="宋体"/>
          <w:snapToGrid w:val="0"/>
          <w:color w:val="auto"/>
          <w:kern w:val="0"/>
          <w:szCs w:val="21"/>
          <w:highlight w:val="none"/>
        </w:rPr>
      </w:pPr>
    </w:p>
    <w:p w14:paraId="2C516E46">
      <w:pPr>
        <w:autoSpaceDE w:val="0"/>
        <w:autoSpaceDN w:val="0"/>
        <w:adjustRightInd w:val="0"/>
        <w:snapToGrid w:val="0"/>
        <w:spacing w:line="360" w:lineRule="auto"/>
        <w:jc w:val="left"/>
        <w:rPr>
          <w:rFonts w:ascii="宋体" w:hAnsi="宋体"/>
          <w:snapToGrid w:val="0"/>
          <w:color w:val="auto"/>
          <w:kern w:val="0"/>
          <w:szCs w:val="21"/>
          <w:highlight w:val="none"/>
        </w:rPr>
      </w:pPr>
    </w:p>
    <w:p w14:paraId="0D007FBF">
      <w:pPr>
        <w:autoSpaceDE w:val="0"/>
        <w:autoSpaceDN w:val="0"/>
        <w:adjustRightInd w:val="0"/>
        <w:snapToGrid w:val="0"/>
        <w:spacing w:line="360" w:lineRule="auto"/>
        <w:jc w:val="left"/>
        <w:rPr>
          <w:rFonts w:ascii="宋体" w:hAnsi="宋体"/>
          <w:snapToGrid w:val="0"/>
          <w:color w:val="auto"/>
          <w:kern w:val="0"/>
          <w:szCs w:val="21"/>
          <w:highlight w:val="none"/>
        </w:rPr>
      </w:pPr>
    </w:p>
    <w:p w14:paraId="31C492F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537F0BE8">
      <w:pPr>
        <w:autoSpaceDE w:val="0"/>
        <w:autoSpaceDN w:val="0"/>
        <w:adjustRightInd w:val="0"/>
        <w:snapToGrid w:val="0"/>
        <w:spacing w:line="360" w:lineRule="auto"/>
        <w:jc w:val="left"/>
        <w:rPr>
          <w:rFonts w:ascii="宋体" w:hAnsi="宋体"/>
          <w:snapToGrid w:val="0"/>
          <w:color w:val="auto"/>
          <w:kern w:val="0"/>
          <w:szCs w:val="21"/>
          <w:highlight w:val="none"/>
        </w:rPr>
      </w:pPr>
    </w:p>
    <w:p w14:paraId="1F8A121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1F15779">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3996C49C">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6AA3102">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5B40D72">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14:paraId="4ACC4E3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10FB89E">
      <w:pPr>
        <w:autoSpaceDE w:val="0"/>
        <w:autoSpaceDN w:val="0"/>
        <w:adjustRightInd w:val="0"/>
        <w:snapToGrid w:val="0"/>
        <w:spacing w:line="360" w:lineRule="auto"/>
        <w:jc w:val="left"/>
        <w:rPr>
          <w:rFonts w:ascii="宋体" w:hAnsi="宋体"/>
          <w:snapToGrid w:val="0"/>
          <w:color w:val="auto"/>
          <w:kern w:val="0"/>
          <w:sz w:val="28"/>
          <w:szCs w:val="28"/>
          <w:highlight w:val="none"/>
        </w:rPr>
      </w:pPr>
    </w:p>
    <w:p w14:paraId="7663DEAE">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14:paraId="3CEF5BA4">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5EDB3552">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2D5F2612">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lang w:eastAsia="zh-CN"/>
        </w:rPr>
        <w:t>三</w:t>
      </w:r>
      <w:r>
        <w:rPr>
          <w:rFonts w:ascii="宋体" w:hAnsi="宋体"/>
          <w:b/>
          <w:snapToGrid w:val="0"/>
          <w:color w:val="auto"/>
          <w:kern w:val="0"/>
          <w:highlight w:val="none"/>
        </w:rPr>
        <w:t>：问题的澄清</w:t>
      </w:r>
    </w:p>
    <w:p w14:paraId="7F1529E0">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35ED18AB">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65199C41">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135CFFB7">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2E8BE0A3">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3333872E">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415886EB">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14:paraId="218F27E0">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191FFB26">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9D2253F">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AACF6E5">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496D43C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110A181">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451ED1B">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8BEA16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C32D64E">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68869B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56D05E5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D3FB4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0AE09E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C46EFA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7102812">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495B12F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3DA0B5A">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007F523C">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7C7CF5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7558EB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427204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D3B5DC8">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5C0AFDC2">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1F9E4029">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39339FED">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4D02220">
      <w:pPr>
        <w:autoSpaceDE w:val="0"/>
        <w:autoSpaceDN w:val="0"/>
        <w:adjustRightInd w:val="0"/>
        <w:snapToGrid w:val="0"/>
        <w:spacing w:line="360" w:lineRule="auto"/>
        <w:jc w:val="left"/>
        <w:rPr>
          <w:rFonts w:ascii="宋体" w:hAnsi="宋体"/>
          <w:b/>
          <w:snapToGrid w:val="0"/>
          <w:color w:val="auto"/>
          <w:kern w:val="0"/>
          <w:sz w:val="24"/>
          <w:highlight w:val="none"/>
        </w:rPr>
      </w:pPr>
    </w:p>
    <w:p w14:paraId="1447C6A4">
      <w:pPr>
        <w:autoSpaceDE w:val="0"/>
        <w:autoSpaceDN w:val="0"/>
        <w:adjustRightInd w:val="0"/>
        <w:snapToGrid w:val="0"/>
        <w:spacing w:line="360" w:lineRule="auto"/>
        <w:jc w:val="left"/>
        <w:rPr>
          <w:rFonts w:hint="eastAsia" w:ascii="宋体" w:hAnsi="宋体" w:eastAsia="宋体"/>
          <w:snapToGrid w:val="0"/>
          <w:color w:val="auto"/>
          <w:kern w:val="0"/>
          <w:sz w:val="20"/>
          <w:szCs w:val="20"/>
          <w:highlight w:val="none"/>
          <w:lang w:eastAsia="zh-CN"/>
        </w:rPr>
      </w:pPr>
      <w:r>
        <w:rPr>
          <w:rFonts w:ascii="宋体" w:hAnsi="宋体"/>
          <w:b/>
          <w:snapToGrid w:val="0"/>
          <w:color w:val="auto"/>
          <w:kern w:val="0"/>
          <w:highlight w:val="none"/>
        </w:rPr>
        <w:t>附表</w:t>
      </w:r>
      <w:r>
        <w:rPr>
          <w:rFonts w:hint="eastAsia" w:ascii="宋体" w:hAnsi="宋体"/>
          <w:b/>
          <w:snapToGrid w:val="0"/>
          <w:color w:val="auto"/>
          <w:kern w:val="0"/>
          <w:highlight w:val="none"/>
          <w:lang w:eastAsia="zh-CN"/>
        </w:rPr>
        <w:t>四</w:t>
      </w:r>
      <w:r>
        <w:rPr>
          <w:rFonts w:ascii="宋体" w:hAnsi="宋体"/>
          <w:b/>
          <w:snapToGrid w:val="0"/>
          <w:color w:val="auto"/>
          <w:kern w:val="0"/>
          <w:highlight w:val="none"/>
        </w:rPr>
        <w:t>：</w:t>
      </w:r>
      <w:r>
        <w:rPr>
          <w:rFonts w:hint="eastAsia" w:ascii="宋体" w:hAnsi="宋体"/>
          <w:b/>
          <w:snapToGrid w:val="0"/>
          <w:color w:val="auto"/>
          <w:kern w:val="0"/>
          <w:highlight w:val="none"/>
          <w:lang w:eastAsia="zh-CN"/>
        </w:rPr>
        <w:t>中选通知书</w:t>
      </w:r>
    </w:p>
    <w:p w14:paraId="4B7AEDD9">
      <w:pPr>
        <w:autoSpaceDE w:val="0"/>
        <w:autoSpaceDN w:val="0"/>
        <w:adjustRightInd w:val="0"/>
        <w:spacing w:line="360" w:lineRule="auto"/>
        <w:jc w:val="left"/>
        <w:rPr>
          <w:rFonts w:ascii="宋体" w:hAnsi="宋体"/>
          <w:snapToGrid w:val="0"/>
          <w:color w:val="auto"/>
          <w:kern w:val="0"/>
          <w:sz w:val="20"/>
          <w:szCs w:val="20"/>
          <w:highlight w:val="none"/>
        </w:rPr>
      </w:pPr>
    </w:p>
    <w:p w14:paraId="5B73FA08">
      <w:pPr>
        <w:autoSpaceDE w:val="0"/>
        <w:autoSpaceDN w:val="0"/>
        <w:adjustRightInd w:val="0"/>
        <w:spacing w:line="360" w:lineRule="auto"/>
        <w:jc w:val="left"/>
        <w:rPr>
          <w:rFonts w:ascii="宋体" w:hAnsi="宋体"/>
          <w:snapToGrid w:val="0"/>
          <w:color w:val="auto"/>
          <w:kern w:val="0"/>
          <w:sz w:val="20"/>
          <w:szCs w:val="20"/>
          <w:highlight w:val="none"/>
        </w:rPr>
      </w:pPr>
    </w:p>
    <w:p w14:paraId="75809897">
      <w:pPr>
        <w:autoSpaceDE w:val="0"/>
        <w:autoSpaceDN w:val="0"/>
        <w:adjustRightInd w:val="0"/>
        <w:spacing w:line="360" w:lineRule="auto"/>
        <w:jc w:val="left"/>
        <w:rPr>
          <w:rFonts w:ascii="宋体" w:hAnsi="宋体"/>
          <w:snapToGrid w:val="0"/>
          <w:color w:val="auto"/>
          <w:kern w:val="0"/>
          <w:sz w:val="20"/>
          <w:szCs w:val="20"/>
          <w:highlight w:val="none"/>
        </w:rPr>
      </w:pPr>
    </w:p>
    <w:p w14:paraId="1C1ECFE1">
      <w:pPr>
        <w:autoSpaceDE w:val="0"/>
        <w:autoSpaceDN w:val="0"/>
        <w:adjustRightInd w:val="0"/>
        <w:snapToGrid w:val="0"/>
        <w:spacing w:line="360" w:lineRule="auto"/>
        <w:jc w:val="center"/>
        <w:rPr>
          <w:rFonts w:hint="eastAsia" w:ascii="宋体" w:hAnsi="宋体" w:eastAsia="宋体"/>
          <w:b/>
          <w:snapToGrid w:val="0"/>
          <w:color w:val="auto"/>
          <w:w w:val="99"/>
          <w:kern w:val="0"/>
          <w:sz w:val="32"/>
          <w:szCs w:val="32"/>
          <w:highlight w:val="none"/>
          <w:lang w:eastAsia="zh-CN"/>
        </w:rPr>
      </w:pPr>
      <w:r>
        <w:rPr>
          <w:rFonts w:hint="eastAsia" w:ascii="宋体" w:hAnsi="宋体"/>
          <w:b/>
          <w:snapToGrid w:val="0"/>
          <w:color w:val="auto"/>
          <w:w w:val="99"/>
          <w:kern w:val="0"/>
          <w:sz w:val="32"/>
          <w:szCs w:val="32"/>
          <w:highlight w:val="none"/>
        </w:rPr>
        <w:t>重庆市建设工程</w:t>
      </w:r>
      <w:r>
        <w:rPr>
          <w:rFonts w:hint="eastAsia" w:ascii="宋体" w:hAnsi="宋体"/>
          <w:b/>
          <w:snapToGrid w:val="0"/>
          <w:color w:val="auto"/>
          <w:w w:val="99"/>
          <w:kern w:val="0"/>
          <w:sz w:val="32"/>
          <w:szCs w:val="32"/>
          <w:highlight w:val="none"/>
          <w:lang w:eastAsia="zh-CN"/>
        </w:rPr>
        <w:t>中选通知书</w:t>
      </w:r>
    </w:p>
    <w:p w14:paraId="7F63D61F">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w:t>
      </w:r>
      <w:r>
        <w:rPr>
          <w:rFonts w:hint="eastAsia" w:ascii="宋体" w:hAnsi="宋体"/>
          <w:color w:val="auto"/>
          <w:kern w:val="0"/>
          <w:szCs w:val="21"/>
          <w:highlight w:val="none"/>
          <w:u w:val="single"/>
          <w:lang w:eastAsia="zh-CN"/>
        </w:rPr>
        <w:t>选</w:t>
      </w:r>
      <w:r>
        <w:rPr>
          <w:rFonts w:ascii="宋体" w:hAnsi="宋体"/>
          <w:color w:val="auto"/>
          <w:kern w:val="0"/>
          <w:szCs w:val="21"/>
          <w:highlight w:val="none"/>
          <w:u w:val="single"/>
        </w:rPr>
        <w:t>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50816ED8">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w:t>
      </w:r>
      <w:r>
        <w:rPr>
          <w:rFonts w:hint="eastAsia" w:ascii="宋体" w:hAnsi="宋体"/>
          <w:color w:val="auto"/>
          <w:kern w:val="0"/>
          <w:szCs w:val="21"/>
          <w:highlight w:val="none"/>
          <w:lang w:eastAsia="zh-CN"/>
        </w:rPr>
        <w:t>中选人</w:t>
      </w:r>
      <w:r>
        <w:rPr>
          <w:rFonts w:ascii="宋体" w:hAnsi="宋体"/>
          <w:color w:val="auto"/>
          <w:kern w:val="0"/>
          <w:szCs w:val="21"/>
          <w:highlight w:val="none"/>
        </w:rPr>
        <w:t>，中</w:t>
      </w:r>
      <w:r>
        <w:rPr>
          <w:rFonts w:hint="eastAsia" w:ascii="宋体" w:hAnsi="宋体"/>
          <w:color w:val="auto"/>
          <w:kern w:val="0"/>
          <w:szCs w:val="21"/>
          <w:highlight w:val="none"/>
          <w:lang w:eastAsia="zh-CN"/>
        </w:rPr>
        <w:t>选</w:t>
      </w:r>
      <w:r>
        <w:rPr>
          <w:rFonts w:ascii="宋体" w:hAnsi="宋体"/>
          <w:color w:val="auto"/>
          <w:kern w:val="0"/>
          <w:szCs w:val="21"/>
          <w:highlight w:val="none"/>
        </w:rPr>
        <w:t>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w:t>
      </w:r>
      <w:r>
        <w:rPr>
          <w:rFonts w:hint="eastAsia" w:ascii="宋体" w:hAnsi="宋体"/>
          <w:color w:val="auto"/>
          <w:kern w:val="0"/>
          <w:szCs w:val="21"/>
          <w:highlight w:val="none"/>
          <w:lang w:eastAsia="zh-CN"/>
        </w:rPr>
        <w:t>选</w:t>
      </w:r>
      <w:r>
        <w:rPr>
          <w:rFonts w:ascii="宋体" w:hAnsi="宋体"/>
          <w:color w:val="auto"/>
          <w:kern w:val="0"/>
          <w:szCs w:val="21"/>
          <w:highlight w:val="none"/>
        </w:rPr>
        <w:t>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，中</w:t>
      </w:r>
      <w:r>
        <w:rPr>
          <w:rFonts w:hint="eastAsia" w:ascii="宋体" w:hAnsi="宋体"/>
          <w:color w:val="auto"/>
          <w:kern w:val="0"/>
          <w:szCs w:val="21"/>
          <w:highlight w:val="none"/>
          <w:lang w:eastAsia="zh-CN"/>
        </w:rPr>
        <w:t>选</w:t>
      </w:r>
      <w:r>
        <w:rPr>
          <w:rFonts w:ascii="宋体" w:hAnsi="宋体"/>
          <w:color w:val="auto"/>
          <w:kern w:val="0"/>
          <w:szCs w:val="21"/>
          <w:highlight w:val="none"/>
        </w:rPr>
        <w:t xml:space="preserve">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3B7DAC23">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你单位收到</w:t>
      </w:r>
      <w:r>
        <w:rPr>
          <w:rFonts w:hint="eastAsia" w:ascii="宋体" w:hAnsi="宋体"/>
          <w:color w:val="auto"/>
          <w:kern w:val="0"/>
          <w:szCs w:val="21"/>
          <w:highlight w:val="none"/>
          <w:lang w:eastAsia="zh-CN"/>
        </w:rPr>
        <w:t>中选通知书</w:t>
      </w:r>
      <w:r>
        <w:rPr>
          <w:rFonts w:ascii="宋体" w:hAnsi="宋体"/>
          <w:color w:val="auto"/>
          <w:kern w:val="0"/>
          <w:szCs w:val="21"/>
          <w:highlight w:val="none"/>
        </w:rPr>
        <w:t xml:space="preserve">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p>
    <w:p w14:paraId="1FBB56D6">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08C7F595">
      <w:pPr>
        <w:spacing w:line="480" w:lineRule="auto"/>
        <w:rPr>
          <w:rFonts w:ascii="宋体" w:hAnsi="宋体"/>
          <w:color w:val="auto"/>
          <w:kern w:val="0"/>
          <w:sz w:val="24"/>
          <w:highlight w:val="none"/>
        </w:rPr>
      </w:pPr>
    </w:p>
    <w:p w14:paraId="3870E9AA">
      <w:pPr>
        <w:spacing w:line="480" w:lineRule="auto"/>
        <w:rPr>
          <w:rFonts w:ascii="宋体" w:hAnsi="宋体"/>
          <w:color w:val="auto"/>
          <w:kern w:val="0"/>
          <w:sz w:val="24"/>
          <w:highlight w:val="none"/>
        </w:rPr>
      </w:pPr>
    </w:p>
    <w:p w14:paraId="3521F26E">
      <w:pPr>
        <w:spacing w:line="480" w:lineRule="auto"/>
        <w:rPr>
          <w:rFonts w:ascii="宋体" w:hAnsi="宋体"/>
          <w:color w:val="auto"/>
          <w:kern w:val="0"/>
          <w:sz w:val="24"/>
          <w:highlight w:val="none"/>
        </w:rPr>
      </w:pPr>
    </w:p>
    <w:p w14:paraId="4A347A2C">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eastAsia="zh-CN"/>
        </w:rPr>
        <w:t>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7BE7C5A1">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005178B2">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4E6BBEB3">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7E1A26B5">
      <w:pPr>
        <w:spacing w:line="480" w:lineRule="auto"/>
        <w:jc w:val="right"/>
        <w:rPr>
          <w:rFonts w:ascii="宋体" w:hAnsi="宋体"/>
          <w:color w:val="auto"/>
          <w:kern w:val="0"/>
          <w:sz w:val="24"/>
          <w:highlight w:val="none"/>
        </w:rPr>
      </w:pPr>
    </w:p>
    <w:p w14:paraId="04C2168E">
      <w:pPr>
        <w:spacing w:line="480" w:lineRule="auto"/>
        <w:jc w:val="right"/>
        <w:rPr>
          <w:rFonts w:ascii="宋体" w:hAnsi="宋体"/>
          <w:color w:val="auto"/>
          <w:kern w:val="0"/>
          <w:sz w:val="24"/>
          <w:highlight w:val="none"/>
        </w:rPr>
      </w:pPr>
    </w:p>
    <w:p w14:paraId="340B9821">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0F0A0D2F">
      <w:pPr>
        <w:pStyle w:val="324"/>
        <w:snapToGrid w:val="0"/>
        <w:spacing w:before="0" w:after="120" w:afterLines="50" w:line="380" w:lineRule="exact"/>
        <w:jc w:val="center"/>
        <w:rPr>
          <w:rFonts w:cs="仿宋" w:asciiTheme="minorEastAsia" w:hAnsiTheme="minorEastAsia" w:eastAsiaTheme="minorEastAsia"/>
          <w:color w:val="auto"/>
          <w:sz w:val="32"/>
          <w:szCs w:val="32"/>
          <w:highlight w:val="none"/>
        </w:rPr>
      </w:pPr>
      <w:r>
        <w:rPr>
          <w:rFonts w:ascii="宋体" w:hAnsi="宋体"/>
          <w:color w:val="auto"/>
          <w:kern w:val="0"/>
          <w:sz w:val="24"/>
          <w:highlight w:val="none"/>
        </w:rPr>
        <w:br w:type="page"/>
      </w:r>
      <w:r>
        <w:rPr>
          <w:rFonts w:cs="仿宋" w:asciiTheme="minorEastAsia" w:hAnsiTheme="minorEastAsia" w:eastAsiaTheme="minorEastAsia"/>
          <w:color w:val="auto"/>
          <w:sz w:val="32"/>
          <w:szCs w:val="32"/>
          <w:highlight w:val="none"/>
        </w:rPr>
        <w:t>第</w:t>
      </w:r>
      <w:r>
        <w:rPr>
          <w:rFonts w:hint="eastAsia" w:cs="仿宋" w:asciiTheme="minorEastAsia" w:hAnsiTheme="minorEastAsia" w:eastAsiaTheme="minorEastAsia"/>
          <w:color w:val="auto"/>
          <w:sz w:val="32"/>
          <w:szCs w:val="32"/>
          <w:highlight w:val="none"/>
          <w:lang w:eastAsia="zh-CN"/>
        </w:rPr>
        <w:t>三章</w:t>
      </w:r>
      <w:r>
        <w:rPr>
          <w:rFonts w:hint="eastAsia" w:cs="仿宋" w:asciiTheme="minorEastAsia" w:hAnsiTheme="minorEastAsia" w:eastAsiaTheme="minorEastAsia"/>
          <w:color w:val="auto"/>
          <w:sz w:val="32"/>
          <w:szCs w:val="32"/>
          <w:highlight w:val="none"/>
        </w:rPr>
        <w:t xml:space="preserve">  </w:t>
      </w:r>
      <w:r>
        <w:rPr>
          <w:rFonts w:hint="eastAsia" w:cs="仿宋" w:asciiTheme="minorEastAsia" w:hAnsiTheme="minorEastAsia" w:eastAsiaTheme="minorEastAsia"/>
          <w:color w:val="auto"/>
          <w:sz w:val="32"/>
          <w:szCs w:val="32"/>
          <w:highlight w:val="none"/>
          <w:lang w:eastAsia="zh-CN"/>
        </w:rPr>
        <w:t>评选</w:t>
      </w:r>
      <w:r>
        <w:rPr>
          <w:rFonts w:cs="仿宋" w:asciiTheme="minorEastAsia" w:hAnsiTheme="minorEastAsia" w:eastAsiaTheme="minorEastAsia"/>
          <w:color w:val="auto"/>
          <w:sz w:val="32"/>
          <w:szCs w:val="32"/>
          <w:highlight w:val="none"/>
        </w:rPr>
        <w:t>办法（综合评估法）</w:t>
      </w:r>
      <w:bookmarkStart w:id="540" w:name="_Toc430530499"/>
      <w:bookmarkStart w:id="541" w:name="_Toc287607811"/>
      <w:bookmarkStart w:id="542" w:name="_Toc287620750"/>
      <w:bookmarkStart w:id="543" w:name="_Toc277082617"/>
      <w:bookmarkStart w:id="544" w:name="_Toc224103383"/>
    </w:p>
    <w:bookmarkEnd w:id="540"/>
    <w:bookmarkEnd w:id="541"/>
    <w:bookmarkEnd w:id="542"/>
    <w:bookmarkEnd w:id="543"/>
    <w:bookmarkEnd w:id="544"/>
    <w:p w14:paraId="35338D2B">
      <w:pPr>
        <w:keepNext/>
        <w:keepLines/>
        <w:pageBreakBefore w:val="0"/>
        <w:widowControl w:val="0"/>
        <w:kinsoku/>
        <w:wordWrap/>
        <w:overflowPunct/>
        <w:topLinePunct w:val="0"/>
        <w:autoSpaceDE/>
        <w:autoSpaceDN/>
        <w:bidi w:val="0"/>
        <w:adjustRightInd/>
        <w:snapToGrid/>
        <w:spacing w:before="100" w:line="360" w:lineRule="auto"/>
        <w:textAlignment w:val="auto"/>
        <w:outlineLvl w:val="1"/>
        <w:rPr>
          <w:rFonts w:hint="eastAsia" w:ascii="宋体" w:hAnsi="宋体" w:eastAsia="宋体" w:cs="Times New Roman"/>
          <w:b/>
          <w:color w:val="auto"/>
          <w:kern w:val="2"/>
          <w:sz w:val="28"/>
          <w:szCs w:val="28"/>
          <w:highlight w:val="none"/>
        </w:rPr>
      </w:pPr>
      <w:bookmarkStart w:id="545" w:name="_Toc57795928"/>
      <w:r>
        <w:rPr>
          <w:rFonts w:hint="eastAsia" w:ascii="宋体" w:hAnsi="宋体" w:cs="Times New Roman"/>
          <w:b/>
          <w:color w:val="auto"/>
          <w:kern w:val="2"/>
          <w:sz w:val="28"/>
          <w:szCs w:val="28"/>
          <w:highlight w:val="none"/>
          <w:lang w:eastAsia="zh-CN"/>
        </w:rPr>
        <w:t>评选</w:t>
      </w:r>
      <w:r>
        <w:rPr>
          <w:rFonts w:hint="eastAsia" w:ascii="宋体" w:hAnsi="宋体" w:eastAsia="宋体" w:cs="Times New Roman"/>
          <w:b/>
          <w:color w:val="auto"/>
          <w:kern w:val="2"/>
          <w:sz w:val="28"/>
          <w:szCs w:val="28"/>
          <w:highlight w:val="none"/>
        </w:rPr>
        <w:t>办法前附表</w:t>
      </w:r>
      <w:bookmarkEnd w:id="545"/>
    </w:p>
    <w:p w14:paraId="17A9EBA9">
      <w:pPr>
        <w:spacing w:line="356" w:lineRule="exact"/>
        <w:ind w:firstLine="420" w:firstLineChars="200"/>
        <w:rPr>
          <w:rFonts w:asciiTheme="minorEastAsia" w:hAnsiTheme="minorEastAsia" w:eastAsiaTheme="minorEastAsia"/>
          <w:b w:val="0"/>
          <w:snapToGrid w:val="0"/>
          <w:color w:val="auto"/>
          <w:sz w:val="21"/>
          <w:szCs w:val="21"/>
          <w:highlight w:val="none"/>
        </w:rPr>
      </w:pPr>
      <w:r>
        <w:rPr>
          <w:rFonts w:hint="eastAsia" w:asciiTheme="minorEastAsia" w:hAnsiTheme="minorEastAsia" w:eastAsiaTheme="minorEastAsia"/>
          <w:color w:val="auto"/>
          <w:sz w:val="21"/>
          <w:szCs w:val="21"/>
          <w:highlight w:val="none"/>
          <w:lang w:eastAsia="zh-CN"/>
        </w:rPr>
        <w:t>评选</w:t>
      </w:r>
      <w:r>
        <w:rPr>
          <w:rFonts w:asciiTheme="minorEastAsia" w:hAnsiTheme="minorEastAsia" w:eastAsiaTheme="minorEastAsia"/>
          <w:color w:val="auto"/>
          <w:sz w:val="21"/>
          <w:szCs w:val="21"/>
          <w:highlight w:val="none"/>
        </w:rPr>
        <w:t>办法前附表中的评审内容必须和比选申请人须知前附表中的对应内容一致，若比选申请人须知前附表中未作要求的内容，不得列入</w:t>
      </w:r>
      <w:r>
        <w:rPr>
          <w:rFonts w:hint="eastAsia" w:asciiTheme="minorEastAsia" w:hAnsiTheme="minorEastAsia" w:eastAsiaTheme="minorEastAsia"/>
          <w:color w:val="auto"/>
          <w:sz w:val="21"/>
          <w:szCs w:val="21"/>
          <w:highlight w:val="none"/>
          <w:lang w:eastAsia="zh-CN"/>
        </w:rPr>
        <w:t>评选</w:t>
      </w:r>
      <w:r>
        <w:rPr>
          <w:rFonts w:asciiTheme="minorEastAsia" w:hAnsiTheme="minorEastAsia" w:eastAsiaTheme="minorEastAsia"/>
          <w:color w:val="auto"/>
          <w:sz w:val="21"/>
          <w:szCs w:val="21"/>
          <w:highlight w:val="none"/>
        </w:rPr>
        <w:t>办法前附表作为评定依据。</w:t>
      </w:r>
    </w:p>
    <w:tbl>
      <w:tblPr>
        <w:tblStyle w:val="47"/>
        <w:tblW w:w="989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626"/>
        <w:gridCol w:w="700"/>
        <w:gridCol w:w="1800"/>
        <w:gridCol w:w="5914"/>
      </w:tblGrid>
      <w:tr w14:paraId="0D9A56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7" w:type="dxa"/>
            <w:gridSpan w:val="2"/>
            <w:vAlign w:val="center"/>
          </w:tcPr>
          <w:p w14:paraId="6BA18876">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2500" w:type="dxa"/>
            <w:gridSpan w:val="2"/>
            <w:vAlign w:val="center"/>
          </w:tcPr>
          <w:p w14:paraId="17AF9C05">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914" w:type="dxa"/>
            <w:vAlign w:val="center"/>
          </w:tcPr>
          <w:p w14:paraId="39006C7B">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008AC3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7" w:type="dxa"/>
            <w:gridSpan w:val="2"/>
            <w:vAlign w:val="center"/>
          </w:tcPr>
          <w:p w14:paraId="6F063EBE">
            <w:pPr>
              <w:keepNext w:val="0"/>
              <w:keepLines w:val="0"/>
              <w:suppressLineNumbers w:val="0"/>
              <w:spacing w:before="0" w:beforeAutospacing="0" w:after="0" w:afterAutospacing="0" w:line="356"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2500" w:type="dxa"/>
            <w:gridSpan w:val="2"/>
            <w:vAlign w:val="center"/>
          </w:tcPr>
          <w:p w14:paraId="742EE884">
            <w:pPr>
              <w:keepNext w:val="0"/>
              <w:keepLines w:val="0"/>
              <w:widowControl/>
              <w:suppressLineNumbers w:val="0"/>
              <w:spacing w:before="0" w:beforeAutospacing="0" w:after="0" w:afterAutospacing="0" w:line="356" w:lineRule="exact"/>
              <w:ind w:left="0" w:right="0"/>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评选</w:t>
            </w:r>
            <w:r>
              <w:rPr>
                <w:rFonts w:hint="eastAsia" w:ascii="宋体" w:hAnsi="宋体" w:eastAsia="宋体" w:cs="宋体"/>
                <w:color w:val="auto"/>
                <w:sz w:val="21"/>
                <w:szCs w:val="21"/>
                <w:highlight w:val="none"/>
              </w:rPr>
              <w:t>办法</w:t>
            </w:r>
          </w:p>
        </w:tc>
        <w:tc>
          <w:tcPr>
            <w:tcW w:w="5914" w:type="dxa"/>
            <w:vAlign w:val="center"/>
          </w:tcPr>
          <w:p w14:paraId="6C619AAC">
            <w:pPr>
              <w:keepNext w:val="0"/>
              <w:keepLines w:val="0"/>
              <w:widowControl/>
              <w:suppressLineNumbers w:val="0"/>
              <w:spacing w:before="0" w:beforeAutospacing="0" w:after="0" w:afterAutospacing="0" w:line="356" w:lineRule="exact"/>
              <w:ind w:left="0" w:right="0" w:firstLine="436"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本次</w:t>
            </w:r>
            <w:r>
              <w:rPr>
                <w:rFonts w:hint="eastAsia" w:ascii="宋体" w:hAnsi="宋体" w:cs="宋体"/>
                <w:color w:val="auto"/>
                <w:spacing w:val="4"/>
                <w:sz w:val="21"/>
                <w:szCs w:val="21"/>
                <w:highlight w:val="none"/>
                <w:lang w:eastAsia="zh-CN"/>
              </w:rPr>
              <w:t>评选</w:t>
            </w:r>
            <w:r>
              <w:rPr>
                <w:rFonts w:hint="eastAsia" w:ascii="宋体" w:hAnsi="宋体" w:eastAsia="宋体" w:cs="宋体"/>
                <w:color w:val="auto"/>
                <w:spacing w:val="4"/>
                <w:sz w:val="21"/>
                <w:szCs w:val="21"/>
                <w:highlight w:val="none"/>
              </w:rPr>
              <w:t>本次</w:t>
            </w:r>
            <w:r>
              <w:rPr>
                <w:rFonts w:hint="eastAsia" w:ascii="宋体" w:hAnsi="宋体" w:cs="宋体"/>
                <w:color w:val="auto"/>
                <w:spacing w:val="4"/>
                <w:sz w:val="21"/>
                <w:szCs w:val="21"/>
                <w:highlight w:val="none"/>
                <w:lang w:eastAsia="zh-CN"/>
              </w:rPr>
              <w:t>评选</w:t>
            </w:r>
            <w:r>
              <w:rPr>
                <w:rFonts w:hint="eastAsia" w:ascii="宋体" w:hAnsi="宋体" w:eastAsia="宋体" w:cs="宋体"/>
                <w:color w:val="auto"/>
                <w:spacing w:val="4"/>
                <w:sz w:val="21"/>
                <w:szCs w:val="21"/>
                <w:highlight w:val="none"/>
              </w:rPr>
              <w:t>采用综合评分法，若出现比选申请人综合评分相等时，</w:t>
            </w:r>
            <w:r>
              <w:rPr>
                <w:rFonts w:hint="eastAsia" w:ascii="宋体" w:hAnsi="宋体" w:cs="宋体"/>
                <w:color w:val="auto"/>
                <w:spacing w:val="4"/>
                <w:sz w:val="21"/>
                <w:szCs w:val="21"/>
                <w:highlight w:val="none"/>
                <w:lang w:eastAsia="zh-CN"/>
              </w:rPr>
              <w:t>评选委员</w:t>
            </w:r>
            <w:r>
              <w:rPr>
                <w:rFonts w:hint="eastAsia" w:ascii="宋体" w:hAnsi="宋体" w:eastAsia="宋体" w:cs="宋体"/>
                <w:color w:val="auto"/>
                <w:spacing w:val="4"/>
                <w:sz w:val="21"/>
                <w:szCs w:val="21"/>
                <w:highlight w:val="none"/>
              </w:rPr>
              <w:t>会依次按照以下优先顺序推荐中选候选人：由</w:t>
            </w:r>
            <w:r>
              <w:rPr>
                <w:rFonts w:hint="eastAsia" w:ascii="宋体" w:hAnsi="宋体" w:cs="宋体"/>
                <w:color w:val="auto"/>
                <w:spacing w:val="4"/>
                <w:sz w:val="21"/>
                <w:szCs w:val="21"/>
                <w:highlight w:val="none"/>
                <w:lang w:eastAsia="zh-CN"/>
              </w:rPr>
              <w:t>评选委员</w:t>
            </w:r>
            <w:r>
              <w:rPr>
                <w:rFonts w:hint="eastAsia" w:ascii="宋体" w:hAnsi="宋体" w:eastAsia="宋体" w:cs="宋体"/>
                <w:color w:val="auto"/>
                <w:spacing w:val="4"/>
                <w:sz w:val="21"/>
                <w:szCs w:val="21"/>
                <w:highlight w:val="none"/>
              </w:rPr>
              <w:t>会按照</w:t>
            </w:r>
            <w:r>
              <w:rPr>
                <w:rFonts w:hint="eastAsia" w:asciiTheme="minorEastAsia" w:hAnsiTheme="minorEastAsia" w:eastAsiaTheme="minorEastAsia"/>
                <w:color w:val="auto"/>
                <w:spacing w:val="4"/>
                <w:sz w:val="21"/>
                <w:szCs w:val="21"/>
                <w:highlight w:val="none"/>
                <w:u w:val="single"/>
                <w:lang w:eastAsia="zh-CN"/>
              </w:rPr>
              <w:t>资质由高到低</w:t>
            </w:r>
            <w:r>
              <w:rPr>
                <w:rFonts w:hint="eastAsia" w:ascii="宋体" w:hAnsi="宋体"/>
                <w:color w:val="auto"/>
                <w:spacing w:val="4"/>
                <w:sz w:val="21"/>
                <w:szCs w:val="21"/>
                <w:highlight w:val="none"/>
                <w:u w:val="none"/>
              </w:rPr>
              <w:t>的</w:t>
            </w:r>
            <w:r>
              <w:rPr>
                <w:rFonts w:hint="eastAsia" w:ascii="宋体" w:hAnsi="宋体" w:eastAsia="宋体" w:cs="宋体"/>
                <w:color w:val="auto"/>
                <w:spacing w:val="4"/>
                <w:sz w:val="21"/>
                <w:szCs w:val="21"/>
                <w:highlight w:val="none"/>
              </w:rPr>
              <w:t>原则排序。</w:t>
            </w:r>
          </w:p>
        </w:tc>
      </w:tr>
      <w:tr w14:paraId="4E01FB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601F49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626" w:type="dxa"/>
            <w:vMerge w:val="restart"/>
            <w:vAlign w:val="center"/>
          </w:tcPr>
          <w:p w14:paraId="742DDF5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2500" w:type="dxa"/>
            <w:gridSpan w:val="2"/>
            <w:tcBorders>
              <w:bottom w:val="single" w:color="auto" w:sz="4" w:space="0"/>
            </w:tcBorders>
            <w:vAlign w:val="bottom"/>
          </w:tcPr>
          <w:p w14:paraId="2D37FF7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color w:val="auto"/>
                <w:sz w:val="21"/>
                <w:szCs w:val="21"/>
                <w:highlight w:val="none"/>
              </w:rPr>
              <w:t>资质条件</w:t>
            </w:r>
          </w:p>
        </w:tc>
        <w:tc>
          <w:tcPr>
            <w:tcW w:w="5914" w:type="dxa"/>
            <w:vAlign w:val="bottom"/>
          </w:tcPr>
          <w:p w14:paraId="5829372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符合第二</w:t>
            </w:r>
            <w:r>
              <w:rPr>
                <w:rFonts w:hint="eastAsia"/>
                <w:color w:val="auto"/>
                <w:sz w:val="21"/>
                <w:szCs w:val="21"/>
                <w:highlight w:val="none"/>
              </w:rPr>
              <w:t>章“</w:t>
            </w:r>
            <w:r>
              <w:rPr>
                <w:rFonts w:hint="default"/>
                <w:color w:val="auto"/>
                <w:sz w:val="21"/>
                <w:szCs w:val="21"/>
                <w:highlight w:val="none"/>
              </w:rPr>
              <w:t>比选申请人须知</w:t>
            </w:r>
            <w:r>
              <w:rPr>
                <w:rFonts w:hint="eastAsia"/>
                <w:color w:val="auto"/>
                <w:sz w:val="21"/>
                <w:szCs w:val="21"/>
                <w:highlight w:val="none"/>
              </w:rPr>
              <w:t>前附表”</w:t>
            </w:r>
            <w:r>
              <w:rPr>
                <w:rFonts w:hint="default"/>
                <w:color w:val="auto"/>
                <w:sz w:val="21"/>
                <w:szCs w:val="21"/>
                <w:highlight w:val="none"/>
              </w:rPr>
              <w:t>第1.4.1项规定</w:t>
            </w:r>
          </w:p>
        </w:tc>
      </w:tr>
      <w:tr w14:paraId="045308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A65557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406F925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282DEB3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color w:val="auto"/>
                <w:sz w:val="21"/>
                <w:szCs w:val="21"/>
                <w:highlight w:val="none"/>
              </w:rPr>
              <w:t>营业执照</w:t>
            </w:r>
          </w:p>
        </w:tc>
        <w:tc>
          <w:tcPr>
            <w:tcW w:w="5914" w:type="dxa"/>
            <w:vAlign w:val="bottom"/>
          </w:tcPr>
          <w:p w14:paraId="4F14FC0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符合第二</w:t>
            </w:r>
            <w:r>
              <w:rPr>
                <w:rFonts w:hint="eastAsia"/>
                <w:color w:val="auto"/>
                <w:sz w:val="21"/>
                <w:szCs w:val="21"/>
                <w:highlight w:val="none"/>
              </w:rPr>
              <w:t>章“</w:t>
            </w:r>
            <w:r>
              <w:rPr>
                <w:rFonts w:hint="default"/>
                <w:color w:val="auto"/>
                <w:sz w:val="21"/>
                <w:szCs w:val="21"/>
                <w:highlight w:val="none"/>
              </w:rPr>
              <w:t>比选申请人须知</w:t>
            </w:r>
            <w:r>
              <w:rPr>
                <w:rFonts w:hint="eastAsia"/>
                <w:color w:val="auto"/>
                <w:sz w:val="21"/>
                <w:szCs w:val="21"/>
                <w:highlight w:val="none"/>
              </w:rPr>
              <w:t>前附表”</w:t>
            </w:r>
            <w:r>
              <w:rPr>
                <w:rFonts w:hint="default"/>
                <w:color w:val="auto"/>
                <w:sz w:val="21"/>
                <w:szCs w:val="21"/>
                <w:highlight w:val="none"/>
              </w:rPr>
              <w:t>第1.4.1项规定</w:t>
            </w:r>
          </w:p>
        </w:tc>
      </w:tr>
      <w:tr w14:paraId="067B61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851" w:type="dxa"/>
            <w:vMerge w:val="continue"/>
          </w:tcPr>
          <w:p w14:paraId="5ECE8E8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1E2F9B3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tcBorders>
            <w:vAlign w:val="bottom"/>
          </w:tcPr>
          <w:p w14:paraId="148B409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color w:val="auto"/>
                <w:sz w:val="21"/>
                <w:szCs w:val="21"/>
                <w:highlight w:val="none"/>
              </w:rPr>
              <w:t>安全生产条件</w:t>
            </w:r>
          </w:p>
        </w:tc>
        <w:tc>
          <w:tcPr>
            <w:tcW w:w="5914" w:type="dxa"/>
            <w:vAlign w:val="bottom"/>
          </w:tcPr>
          <w:p w14:paraId="0D03A4F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符合第二</w:t>
            </w:r>
            <w:r>
              <w:rPr>
                <w:rFonts w:hint="eastAsia"/>
                <w:color w:val="auto"/>
                <w:sz w:val="21"/>
                <w:szCs w:val="21"/>
                <w:highlight w:val="none"/>
              </w:rPr>
              <w:t>章“</w:t>
            </w:r>
            <w:r>
              <w:rPr>
                <w:rFonts w:hint="default"/>
                <w:color w:val="auto"/>
                <w:sz w:val="21"/>
                <w:szCs w:val="21"/>
                <w:highlight w:val="none"/>
              </w:rPr>
              <w:t>比选申请人须知</w:t>
            </w:r>
            <w:r>
              <w:rPr>
                <w:rFonts w:hint="eastAsia"/>
                <w:color w:val="auto"/>
                <w:sz w:val="21"/>
                <w:szCs w:val="21"/>
                <w:highlight w:val="none"/>
              </w:rPr>
              <w:t>前附表”</w:t>
            </w:r>
            <w:r>
              <w:rPr>
                <w:rFonts w:hint="default"/>
                <w:color w:val="auto"/>
                <w:sz w:val="21"/>
                <w:szCs w:val="21"/>
                <w:highlight w:val="none"/>
              </w:rPr>
              <w:t>第1.4.1项规定</w:t>
            </w:r>
          </w:p>
        </w:tc>
      </w:tr>
      <w:tr w14:paraId="3150D7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398" w:hRule="atLeast"/>
          <w:jc w:val="center"/>
        </w:trPr>
        <w:tc>
          <w:tcPr>
            <w:tcW w:w="851" w:type="dxa"/>
            <w:vMerge w:val="continue"/>
          </w:tcPr>
          <w:p w14:paraId="6A85179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5FAED1F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3649DC36">
            <w:pPr>
              <w:keepNext w:val="0"/>
              <w:keepLines w:val="0"/>
              <w:suppressLineNumbers w:val="0"/>
              <w:spacing w:before="0" w:beforeAutospacing="0" w:after="0" w:afterAutospacing="0" w:line="360" w:lineRule="auto"/>
              <w:ind w:left="0" w:right="0"/>
              <w:rPr>
                <w:rFonts w:hint="eastAsia" w:eastAsia="宋体" w:cs="Times New Roman"/>
                <w:color w:val="auto"/>
                <w:sz w:val="21"/>
                <w:szCs w:val="21"/>
                <w:highlight w:val="none"/>
              </w:rPr>
            </w:pPr>
            <w:r>
              <w:rPr>
                <w:rFonts w:hint="eastAsia" w:eastAsia="宋体" w:cs="Times New Roman"/>
                <w:color w:val="auto"/>
                <w:sz w:val="21"/>
                <w:szCs w:val="21"/>
                <w:highlight w:val="none"/>
              </w:rPr>
              <w:t>比选截止日比选资格情况</w:t>
            </w:r>
          </w:p>
        </w:tc>
        <w:tc>
          <w:tcPr>
            <w:tcW w:w="5914" w:type="dxa"/>
            <w:vAlign w:val="bottom"/>
          </w:tcPr>
          <w:p w14:paraId="63E51985">
            <w:pPr>
              <w:keepNext w:val="0"/>
              <w:keepLines w:val="0"/>
              <w:suppressLineNumbers w:val="0"/>
              <w:spacing w:before="0" w:beforeAutospacing="0" w:after="0" w:afterAutospacing="0" w:line="360" w:lineRule="auto"/>
              <w:ind w:left="0" w:right="0"/>
              <w:rPr>
                <w:rFonts w:hint="eastAsia" w:eastAsia="宋体" w:cs="Times New Roman"/>
                <w:color w:val="auto"/>
                <w:sz w:val="21"/>
                <w:szCs w:val="21"/>
                <w:highlight w:val="none"/>
              </w:rPr>
            </w:pPr>
            <w:r>
              <w:rPr>
                <w:rFonts w:hint="eastAsia" w:eastAsia="宋体" w:cs="Times New Roman"/>
                <w:color w:val="auto"/>
                <w:sz w:val="21"/>
                <w:szCs w:val="21"/>
                <w:highlight w:val="none"/>
              </w:rPr>
              <w:t>符合第二章“比选申请人须知前附表”第1.4.1项规定</w:t>
            </w:r>
          </w:p>
        </w:tc>
      </w:tr>
      <w:tr w14:paraId="4C3912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53" w:hRule="atLeast"/>
          <w:jc w:val="center"/>
        </w:trPr>
        <w:tc>
          <w:tcPr>
            <w:tcW w:w="851" w:type="dxa"/>
            <w:vMerge w:val="continue"/>
          </w:tcPr>
          <w:p w14:paraId="6A7497F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09E369D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52BA045C">
            <w:pPr>
              <w:keepNext w:val="0"/>
              <w:keepLines w:val="0"/>
              <w:suppressLineNumbers w:val="0"/>
              <w:spacing w:before="0" w:beforeAutospacing="0" w:after="0" w:afterAutospacing="0" w:line="360" w:lineRule="auto"/>
              <w:ind w:left="0" w:right="0"/>
              <w:rPr>
                <w:rFonts w:hint="eastAsia" w:eastAsia="宋体" w:cs="Times New Roman"/>
                <w:color w:val="auto"/>
                <w:sz w:val="21"/>
                <w:szCs w:val="21"/>
                <w:highlight w:val="none"/>
              </w:rPr>
            </w:pPr>
            <w:r>
              <w:rPr>
                <w:rFonts w:hint="eastAsia" w:eastAsia="宋体" w:cs="Times New Roman"/>
                <w:color w:val="auto"/>
                <w:sz w:val="21"/>
                <w:szCs w:val="21"/>
                <w:highlight w:val="none"/>
              </w:rPr>
              <w:t>项目经理资格要求</w:t>
            </w:r>
          </w:p>
        </w:tc>
        <w:tc>
          <w:tcPr>
            <w:tcW w:w="5914" w:type="dxa"/>
            <w:vAlign w:val="bottom"/>
          </w:tcPr>
          <w:p w14:paraId="5467A33B">
            <w:pPr>
              <w:keepNext w:val="0"/>
              <w:keepLines w:val="0"/>
              <w:suppressLineNumbers w:val="0"/>
              <w:spacing w:before="0" w:beforeAutospacing="0" w:after="0" w:afterAutospacing="0" w:line="360" w:lineRule="auto"/>
              <w:ind w:left="0" w:right="0"/>
              <w:rPr>
                <w:rFonts w:hint="eastAsia" w:eastAsia="宋体" w:cs="Times New Roman"/>
                <w:color w:val="auto"/>
                <w:sz w:val="21"/>
                <w:szCs w:val="21"/>
                <w:highlight w:val="none"/>
              </w:rPr>
            </w:pPr>
            <w:r>
              <w:rPr>
                <w:rFonts w:hint="eastAsia" w:eastAsia="宋体" w:cs="Times New Roman"/>
                <w:color w:val="auto"/>
                <w:sz w:val="21"/>
                <w:szCs w:val="21"/>
                <w:highlight w:val="none"/>
              </w:rPr>
              <w:t>符合第二章“比选申请人须知前附表”第1.4.1项规定</w:t>
            </w:r>
          </w:p>
        </w:tc>
      </w:tr>
      <w:tr w14:paraId="494869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79" w:hRule="atLeast"/>
          <w:jc w:val="center"/>
        </w:trPr>
        <w:tc>
          <w:tcPr>
            <w:tcW w:w="851" w:type="dxa"/>
            <w:vMerge w:val="continue"/>
          </w:tcPr>
          <w:p w14:paraId="5EF6B19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34B8227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top"/>
          </w:tcPr>
          <w:p w14:paraId="27935AE3">
            <w:pPr>
              <w:keepNext w:val="0"/>
              <w:keepLines w:val="0"/>
              <w:suppressLineNumbers w:val="0"/>
              <w:spacing w:before="0" w:beforeAutospacing="0" w:after="0" w:afterAutospacing="0" w:line="360" w:lineRule="auto"/>
              <w:ind w:left="0" w:right="0"/>
              <w:rPr>
                <w:rFonts w:hint="eastAsia" w:eastAsia="宋体" w:cs="Times New Roman"/>
                <w:color w:val="auto"/>
                <w:sz w:val="21"/>
                <w:szCs w:val="21"/>
                <w:highlight w:val="none"/>
              </w:rPr>
            </w:pPr>
            <w:r>
              <w:rPr>
                <w:rFonts w:hint="eastAsia" w:eastAsia="宋体" w:cs="Times New Roman"/>
                <w:color w:val="auto"/>
                <w:sz w:val="21"/>
                <w:szCs w:val="21"/>
                <w:highlight w:val="none"/>
              </w:rPr>
              <w:t>其他要求</w:t>
            </w:r>
          </w:p>
        </w:tc>
        <w:tc>
          <w:tcPr>
            <w:tcW w:w="5914" w:type="dxa"/>
            <w:vAlign w:val="center"/>
          </w:tcPr>
          <w:p w14:paraId="46222BA2">
            <w:pPr>
              <w:keepNext w:val="0"/>
              <w:keepLines w:val="0"/>
              <w:suppressLineNumbers w:val="0"/>
              <w:spacing w:before="0" w:beforeAutospacing="0" w:after="0" w:afterAutospacing="0" w:line="360" w:lineRule="auto"/>
              <w:ind w:left="0" w:right="0"/>
              <w:rPr>
                <w:rFonts w:hint="eastAsia" w:eastAsia="宋体" w:cs="Times New Roman"/>
                <w:color w:val="auto"/>
                <w:sz w:val="21"/>
                <w:szCs w:val="21"/>
                <w:highlight w:val="none"/>
              </w:rPr>
            </w:pPr>
            <w:r>
              <w:rPr>
                <w:rFonts w:hint="eastAsia" w:eastAsia="宋体" w:cs="Times New Roman"/>
                <w:color w:val="auto"/>
                <w:sz w:val="21"/>
                <w:szCs w:val="21"/>
                <w:highlight w:val="none"/>
              </w:rPr>
              <w:t>符合第</w:t>
            </w:r>
            <w:r>
              <w:rPr>
                <w:rFonts w:hint="eastAsia" w:eastAsia="宋体" w:cs="Times New Roman"/>
                <w:color w:val="auto"/>
                <w:sz w:val="21"/>
                <w:szCs w:val="21"/>
                <w:highlight w:val="none"/>
                <w:lang w:eastAsia="zh-CN"/>
              </w:rPr>
              <w:t>二章</w:t>
            </w:r>
            <w:r>
              <w:rPr>
                <w:rFonts w:hint="eastAsia" w:eastAsia="宋体" w:cs="Times New Roman"/>
                <w:color w:val="auto"/>
                <w:sz w:val="21"/>
                <w:szCs w:val="21"/>
                <w:highlight w:val="none"/>
              </w:rPr>
              <w:t>“比选申请人须知前附表”第1.4.1项规定</w:t>
            </w:r>
          </w:p>
        </w:tc>
      </w:tr>
      <w:tr w14:paraId="538EBC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77AEBC9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2.1.2</w:t>
            </w:r>
          </w:p>
        </w:tc>
        <w:tc>
          <w:tcPr>
            <w:tcW w:w="626" w:type="dxa"/>
            <w:vMerge w:val="restart"/>
            <w:vAlign w:val="center"/>
          </w:tcPr>
          <w:p w14:paraId="16A5631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形式评审标准</w:t>
            </w:r>
          </w:p>
        </w:tc>
        <w:tc>
          <w:tcPr>
            <w:tcW w:w="2500" w:type="dxa"/>
            <w:gridSpan w:val="2"/>
            <w:tcBorders>
              <w:top w:val="single" w:color="auto" w:sz="4" w:space="0"/>
              <w:bottom w:val="single" w:color="auto" w:sz="4" w:space="0"/>
            </w:tcBorders>
            <w:vAlign w:val="bottom"/>
          </w:tcPr>
          <w:p w14:paraId="298EF24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比选申请人名称</w:t>
            </w:r>
          </w:p>
        </w:tc>
        <w:tc>
          <w:tcPr>
            <w:tcW w:w="5914" w:type="dxa"/>
            <w:vAlign w:val="bottom"/>
          </w:tcPr>
          <w:p w14:paraId="22E4DDD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与营业执照、资质证书、安全生产许可证一致</w:t>
            </w:r>
            <w:r>
              <w:rPr>
                <w:rFonts w:hint="eastAsia"/>
                <w:color w:val="auto"/>
                <w:sz w:val="21"/>
                <w:szCs w:val="21"/>
                <w:highlight w:val="none"/>
              </w:rPr>
              <w:t>，依法变更名称的应提交相应证明材料</w:t>
            </w:r>
            <w:r>
              <w:rPr>
                <w:rFonts w:hint="default"/>
                <w:color w:val="auto"/>
                <w:sz w:val="21"/>
                <w:szCs w:val="21"/>
                <w:highlight w:val="none"/>
              </w:rPr>
              <w:t>。</w:t>
            </w:r>
          </w:p>
        </w:tc>
      </w:tr>
      <w:tr w14:paraId="435C4D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62" w:hRule="atLeast"/>
          <w:jc w:val="center"/>
        </w:trPr>
        <w:tc>
          <w:tcPr>
            <w:tcW w:w="851" w:type="dxa"/>
            <w:vMerge w:val="continue"/>
          </w:tcPr>
          <w:p w14:paraId="4B472CE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0334CA2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3DB6F660">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比选申请文件格式</w:t>
            </w:r>
          </w:p>
        </w:tc>
        <w:tc>
          <w:tcPr>
            <w:tcW w:w="5914" w:type="dxa"/>
            <w:vAlign w:val="bottom"/>
          </w:tcPr>
          <w:p w14:paraId="5193D5A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符合</w:t>
            </w:r>
            <w:r>
              <w:rPr>
                <w:rFonts w:hint="eastAsia"/>
                <w:color w:val="auto"/>
                <w:sz w:val="21"/>
                <w:szCs w:val="21"/>
                <w:highlight w:val="none"/>
              </w:rPr>
              <w:t>第二</w:t>
            </w:r>
            <w:r>
              <w:rPr>
                <w:rFonts w:hint="default"/>
                <w:color w:val="auto"/>
                <w:sz w:val="21"/>
                <w:szCs w:val="21"/>
                <w:highlight w:val="none"/>
              </w:rPr>
              <w:t>章“</w:t>
            </w:r>
            <w:r>
              <w:rPr>
                <w:rFonts w:hint="eastAsia"/>
                <w:color w:val="auto"/>
                <w:sz w:val="21"/>
                <w:szCs w:val="21"/>
                <w:highlight w:val="none"/>
                <w:lang w:eastAsia="zh-CN"/>
              </w:rPr>
              <w:t>比选申请人</w:t>
            </w:r>
            <w:r>
              <w:rPr>
                <w:rFonts w:hint="eastAsia"/>
                <w:color w:val="auto"/>
                <w:sz w:val="21"/>
                <w:szCs w:val="21"/>
                <w:highlight w:val="none"/>
              </w:rPr>
              <w:t>须知</w:t>
            </w:r>
            <w:r>
              <w:rPr>
                <w:rFonts w:hint="default"/>
                <w:color w:val="auto"/>
                <w:sz w:val="21"/>
                <w:szCs w:val="21"/>
                <w:highlight w:val="none"/>
              </w:rPr>
              <w:t>”</w:t>
            </w:r>
            <w:r>
              <w:rPr>
                <w:rFonts w:hint="eastAsia"/>
                <w:color w:val="auto"/>
                <w:sz w:val="21"/>
                <w:szCs w:val="21"/>
                <w:highlight w:val="none"/>
              </w:rPr>
              <w:t>第3.7款</w:t>
            </w:r>
            <w:r>
              <w:rPr>
                <w:rFonts w:hint="default"/>
                <w:color w:val="auto"/>
                <w:sz w:val="21"/>
                <w:szCs w:val="21"/>
                <w:highlight w:val="none"/>
              </w:rPr>
              <w:t>的要求。</w:t>
            </w:r>
          </w:p>
        </w:tc>
      </w:tr>
      <w:tr w14:paraId="7E30BA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4B50B5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749E087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0E70CC9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比选申请文件的签署</w:t>
            </w:r>
          </w:p>
        </w:tc>
        <w:tc>
          <w:tcPr>
            <w:tcW w:w="5914" w:type="dxa"/>
            <w:vAlign w:val="bottom"/>
          </w:tcPr>
          <w:p w14:paraId="0501395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color w:val="auto"/>
                <w:sz w:val="21"/>
                <w:szCs w:val="21"/>
                <w:highlight w:val="none"/>
                <w:lang w:val="en-US" w:eastAsia="zh-CN"/>
              </w:rPr>
              <w:t>按</w:t>
            </w:r>
            <w:r>
              <w:rPr>
                <w:rFonts w:hint="eastAsia"/>
                <w:color w:val="auto"/>
                <w:sz w:val="21"/>
                <w:szCs w:val="21"/>
                <w:highlight w:val="none"/>
              </w:rPr>
              <w:t>第八章</w:t>
            </w:r>
            <w:r>
              <w:rPr>
                <w:rFonts w:hint="default"/>
                <w:color w:val="auto"/>
                <w:sz w:val="21"/>
                <w:szCs w:val="21"/>
                <w:highlight w:val="none"/>
              </w:rPr>
              <w:t>比选申请文件</w:t>
            </w:r>
            <w:r>
              <w:rPr>
                <w:rFonts w:hint="eastAsia"/>
                <w:color w:val="auto"/>
                <w:sz w:val="21"/>
                <w:szCs w:val="21"/>
                <w:highlight w:val="none"/>
              </w:rPr>
              <w:t>格式要求加盖单位</w:t>
            </w:r>
            <w:r>
              <w:rPr>
                <w:rFonts w:hint="default"/>
                <w:color w:val="auto"/>
                <w:sz w:val="21"/>
                <w:szCs w:val="21"/>
                <w:highlight w:val="none"/>
              </w:rPr>
              <w:t>公章、法定代表人或其委托代理人签字（或盖章）</w:t>
            </w:r>
            <w:r>
              <w:rPr>
                <w:rFonts w:hint="eastAsia"/>
                <w:color w:val="auto"/>
                <w:sz w:val="21"/>
                <w:szCs w:val="21"/>
                <w:highlight w:val="none"/>
              </w:rPr>
              <w:t>的须</w:t>
            </w:r>
            <w:r>
              <w:rPr>
                <w:rFonts w:hint="default"/>
                <w:color w:val="auto"/>
                <w:sz w:val="21"/>
                <w:szCs w:val="21"/>
                <w:highlight w:val="none"/>
              </w:rPr>
              <w:t>齐全。</w:t>
            </w:r>
          </w:p>
        </w:tc>
      </w:tr>
      <w:tr w14:paraId="5D9E8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48" w:hRule="atLeast"/>
          <w:jc w:val="center"/>
        </w:trPr>
        <w:tc>
          <w:tcPr>
            <w:tcW w:w="851" w:type="dxa"/>
            <w:vMerge w:val="continue"/>
          </w:tcPr>
          <w:p w14:paraId="4C391BC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5298F43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4A94ABAD">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default" w:asciiTheme="minorEastAsia" w:hAnsiTheme="minorEastAsia" w:eastAsiaTheme="minorEastAsia"/>
                <w:color w:val="auto"/>
                <w:sz w:val="21"/>
                <w:szCs w:val="21"/>
                <w:highlight w:val="none"/>
              </w:rPr>
              <w:t>比选申请文件</w:t>
            </w:r>
            <w:r>
              <w:rPr>
                <w:rFonts w:hint="eastAsia" w:ascii="宋体" w:hAnsi="宋体"/>
                <w:color w:val="auto"/>
                <w:kern w:val="0"/>
                <w:highlight w:val="none"/>
              </w:rPr>
              <w:t>份数</w:t>
            </w:r>
          </w:p>
        </w:tc>
        <w:tc>
          <w:tcPr>
            <w:tcW w:w="5914" w:type="dxa"/>
            <w:vAlign w:val="bottom"/>
          </w:tcPr>
          <w:p w14:paraId="77441564">
            <w:pPr>
              <w:keepNext w:val="0"/>
              <w:keepLines w:val="0"/>
              <w:suppressLineNumbers w:val="0"/>
              <w:spacing w:before="0" w:beforeAutospacing="0" w:after="0" w:afterAutospacing="0" w:line="360" w:lineRule="auto"/>
              <w:ind w:left="0" w:right="0"/>
              <w:rPr>
                <w:rFonts w:hint="eastAsia"/>
                <w:color w:val="auto"/>
                <w:sz w:val="21"/>
                <w:szCs w:val="21"/>
                <w:highlight w:val="none"/>
                <w:lang w:val="en-US" w:eastAsia="zh-CN"/>
              </w:rPr>
            </w:pPr>
            <w:r>
              <w:rPr>
                <w:rFonts w:hint="eastAsia" w:cs="Times New Roman"/>
                <w:color w:val="auto"/>
                <w:sz w:val="21"/>
                <w:szCs w:val="21"/>
                <w:highlight w:val="none"/>
              </w:rPr>
              <w:t>符合第二章“</w:t>
            </w:r>
            <w:r>
              <w:rPr>
                <w:rFonts w:hint="eastAsia" w:cs="Times New Roman"/>
                <w:color w:val="auto"/>
                <w:sz w:val="21"/>
                <w:szCs w:val="21"/>
                <w:highlight w:val="none"/>
                <w:lang w:eastAsia="zh-CN"/>
              </w:rPr>
              <w:t>比选申请人</w:t>
            </w:r>
            <w:r>
              <w:rPr>
                <w:rFonts w:hint="eastAsia" w:cs="Times New Roman"/>
                <w:color w:val="auto"/>
                <w:sz w:val="21"/>
                <w:szCs w:val="21"/>
                <w:highlight w:val="none"/>
              </w:rPr>
              <w:t>须知”第3.7</w:t>
            </w:r>
            <w:r>
              <w:rPr>
                <w:rFonts w:hint="eastAsia" w:cs="Times New Roman"/>
                <w:color w:val="auto"/>
                <w:sz w:val="21"/>
                <w:szCs w:val="21"/>
                <w:highlight w:val="none"/>
                <w:lang w:val="en-US" w:eastAsia="zh-CN"/>
              </w:rPr>
              <w:t>.4</w:t>
            </w:r>
            <w:r>
              <w:rPr>
                <w:rFonts w:hint="eastAsia" w:cs="Times New Roman"/>
                <w:color w:val="auto"/>
                <w:sz w:val="21"/>
                <w:szCs w:val="21"/>
                <w:highlight w:val="none"/>
              </w:rPr>
              <w:t>款的要求。</w:t>
            </w:r>
          </w:p>
        </w:tc>
      </w:tr>
      <w:tr w14:paraId="5A7531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821242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63441C6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bottom"/>
          </w:tcPr>
          <w:p w14:paraId="14EE6E9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委托代理人</w:t>
            </w:r>
          </w:p>
        </w:tc>
        <w:tc>
          <w:tcPr>
            <w:tcW w:w="5914" w:type="dxa"/>
            <w:vAlign w:val="bottom"/>
          </w:tcPr>
          <w:p w14:paraId="1D2DCDE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default"/>
                <w:color w:val="auto"/>
                <w:sz w:val="21"/>
                <w:szCs w:val="21"/>
                <w:highlight w:val="none"/>
              </w:rPr>
              <w:t>比选申请人法定代表人的委托代理人有法定代表人签署的授权委托书</w:t>
            </w:r>
            <w:r>
              <w:rPr>
                <w:rFonts w:hint="eastAsia"/>
                <w:color w:val="auto"/>
                <w:sz w:val="21"/>
                <w:szCs w:val="21"/>
                <w:highlight w:val="none"/>
              </w:rPr>
              <w:t>和比选申请人为其缴纳的养老保险证明。</w:t>
            </w:r>
          </w:p>
        </w:tc>
      </w:tr>
      <w:tr w14:paraId="3928BA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67A8BA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4C9DBB6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tcBorders>
              <w:top w:val="single" w:color="auto" w:sz="4" w:space="0"/>
              <w:bottom w:val="single" w:color="auto" w:sz="4" w:space="0"/>
            </w:tcBorders>
            <w:vAlign w:val="center"/>
          </w:tcPr>
          <w:p w14:paraId="596146C0">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报价唯一</w:t>
            </w:r>
          </w:p>
        </w:tc>
        <w:tc>
          <w:tcPr>
            <w:tcW w:w="5914" w:type="dxa"/>
            <w:vAlign w:val="center"/>
          </w:tcPr>
          <w:p w14:paraId="3480FD0E">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只能有一个有效报价，在</w:t>
            </w:r>
            <w:r>
              <w:rPr>
                <w:rFonts w:hint="eastAsia" w:ascii="宋体" w:hAnsi="宋体" w:eastAsia="宋体" w:cs="宋体"/>
                <w:color w:val="auto"/>
                <w:kern w:val="0"/>
                <w:sz w:val="21"/>
                <w:szCs w:val="21"/>
                <w:highlight w:val="none"/>
                <w:lang w:eastAsia="zh-CN"/>
              </w:rPr>
              <w:t>竞争性比选文件</w:t>
            </w:r>
            <w:r>
              <w:rPr>
                <w:rFonts w:hint="eastAsia" w:ascii="宋体" w:hAnsi="宋体" w:eastAsia="宋体" w:cs="宋体"/>
                <w:color w:val="auto"/>
                <w:kern w:val="0"/>
                <w:sz w:val="21"/>
                <w:szCs w:val="21"/>
                <w:highlight w:val="none"/>
              </w:rPr>
              <w:t>没有规定的情况下，不得提交选择性报价。</w:t>
            </w:r>
          </w:p>
        </w:tc>
      </w:tr>
      <w:tr w14:paraId="65199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5EF8EB7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2.1.3</w:t>
            </w:r>
          </w:p>
        </w:tc>
        <w:tc>
          <w:tcPr>
            <w:tcW w:w="626" w:type="dxa"/>
            <w:vMerge w:val="restart"/>
            <w:vAlign w:val="center"/>
          </w:tcPr>
          <w:p w14:paraId="730A69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响应性评审标准</w:t>
            </w:r>
          </w:p>
        </w:tc>
        <w:tc>
          <w:tcPr>
            <w:tcW w:w="2500" w:type="dxa"/>
            <w:gridSpan w:val="2"/>
            <w:tcBorders>
              <w:top w:val="single" w:color="auto" w:sz="4" w:space="0"/>
            </w:tcBorders>
            <w:vAlign w:val="center"/>
          </w:tcPr>
          <w:p w14:paraId="65199CC2">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比选申请总</w:t>
            </w:r>
            <w:r>
              <w:rPr>
                <w:rFonts w:hint="eastAsia"/>
                <w:color w:val="auto"/>
                <w:sz w:val="21"/>
                <w:szCs w:val="21"/>
                <w:highlight w:val="none"/>
                <w:lang w:val="en-US" w:eastAsia="zh-CN"/>
              </w:rPr>
              <w:t>报价</w:t>
            </w:r>
          </w:p>
        </w:tc>
        <w:tc>
          <w:tcPr>
            <w:tcW w:w="5914" w:type="dxa"/>
            <w:tcBorders>
              <w:top w:val="single" w:color="auto" w:sz="4" w:space="0"/>
            </w:tcBorders>
            <w:vAlign w:val="center"/>
          </w:tcPr>
          <w:p w14:paraId="74019B9C">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总报价必须与已标价工程量清单总报价一致。</w:t>
            </w:r>
          </w:p>
          <w:p w14:paraId="64AA56DE">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总报价不得高于</w:t>
            </w:r>
            <w:r>
              <w:rPr>
                <w:rFonts w:hint="eastAsia" w:ascii="宋体" w:hAnsi="宋体" w:eastAsia="宋体" w:cs="宋体"/>
                <w:color w:val="auto"/>
                <w:kern w:val="0"/>
                <w:sz w:val="21"/>
                <w:szCs w:val="21"/>
                <w:highlight w:val="none"/>
                <w:lang w:eastAsia="zh-CN"/>
              </w:rPr>
              <w:t>比选人</w:t>
            </w:r>
            <w:r>
              <w:rPr>
                <w:rFonts w:hint="eastAsia" w:ascii="宋体" w:hAnsi="宋体" w:eastAsia="宋体" w:cs="宋体"/>
                <w:color w:val="auto"/>
                <w:kern w:val="0"/>
                <w:sz w:val="21"/>
                <w:szCs w:val="21"/>
                <w:highlight w:val="none"/>
              </w:rPr>
              <w:t>公布的</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总报价最高限价。</w:t>
            </w:r>
          </w:p>
        </w:tc>
      </w:tr>
      <w:tr w14:paraId="11E2A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21261CC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626" w:type="dxa"/>
            <w:vMerge w:val="continue"/>
            <w:vAlign w:val="center"/>
          </w:tcPr>
          <w:p w14:paraId="1758F8B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2500" w:type="dxa"/>
            <w:gridSpan w:val="2"/>
            <w:tcBorders>
              <w:top w:val="single" w:color="auto" w:sz="4" w:space="0"/>
            </w:tcBorders>
            <w:vAlign w:val="center"/>
          </w:tcPr>
          <w:p w14:paraId="22CBCFC0">
            <w:pPr>
              <w:keepNext w:val="0"/>
              <w:keepLines w:val="0"/>
              <w:suppressLineNumbers w:val="0"/>
              <w:spacing w:before="0" w:beforeAutospacing="0" w:after="0" w:afterAutospacing="0" w:line="400" w:lineRule="exact"/>
              <w:ind w:left="0" w:right="0"/>
              <w:jc w:val="left"/>
              <w:rPr>
                <w:rFonts w:hint="eastAsia"/>
                <w:color w:val="auto"/>
                <w:sz w:val="21"/>
                <w:szCs w:val="21"/>
                <w:highlight w:val="none"/>
              </w:rPr>
            </w:pPr>
            <w:r>
              <w:rPr>
                <w:rFonts w:hint="eastAsia" w:ascii="宋体" w:hAnsi="宋体" w:eastAsia="宋体" w:cs="宋体"/>
                <w:color w:val="auto"/>
                <w:kern w:val="0"/>
                <w:sz w:val="21"/>
                <w:szCs w:val="21"/>
                <w:highlight w:val="none"/>
              </w:rPr>
              <w:t>暂定金额</w:t>
            </w:r>
          </w:p>
        </w:tc>
        <w:tc>
          <w:tcPr>
            <w:tcW w:w="5914" w:type="dxa"/>
            <w:tcBorders>
              <w:top w:val="single" w:color="auto" w:sz="4" w:space="0"/>
            </w:tcBorders>
            <w:vAlign w:val="center"/>
          </w:tcPr>
          <w:p w14:paraId="752B2A67">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暂列金额、暂估价、安全文明施工费等暂定金额必须按照</w:t>
            </w:r>
            <w:r>
              <w:rPr>
                <w:rFonts w:hint="eastAsia" w:ascii="宋体" w:hAnsi="宋体" w:eastAsia="宋体" w:cs="宋体"/>
                <w:color w:val="auto"/>
                <w:kern w:val="0"/>
                <w:sz w:val="21"/>
                <w:szCs w:val="21"/>
                <w:highlight w:val="none"/>
                <w:lang w:eastAsia="zh-CN"/>
              </w:rPr>
              <w:t>竞争性比选文件</w:t>
            </w:r>
            <w:r>
              <w:rPr>
                <w:rFonts w:hint="eastAsia" w:ascii="宋体" w:hAnsi="宋体" w:eastAsia="宋体" w:cs="宋体"/>
                <w:color w:val="auto"/>
                <w:kern w:val="0"/>
                <w:sz w:val="21"/>
                <w:szCs w:val="21"/>
                <w:highlight w:val="none"/>
              </w:rPr>
              <w:t>给定的金额填报</w:t>
            </w:r>
            <w:r>
              <w:rPr>
                <w:rFonts w:hint="eastAsia" w:ascii="宋体" w:hAnsi="宋体" w:cs="宋体"/>
                <w:color w:val="auto"/>
                <w:kern w:val="0"/>
                <w:sz w:val="21"/>
                <w:szCs w:val="21"/>
                <w:highlight w:val="none"/>
                <w:lang w:eastAsia="zh-CN"/>
              </w:rPr>
              <w:t>。</w:t>
            </w:r>
          </w:p>
        </w:tc>
      </w:tr>
      <w:tr w14:paraId="6E1E7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067EE46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626" w:type="dxa"/>
            <w:vMerge w:val="continue"/>
            <w:textDirection w:val="tbRlV"/>
            <w:vAlign w:val="center"/>
          </w:tcPr>
          <w:p w14:paraId="02CE42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2500" w:type="dxa"/>
            <w:gridSpan w:val="2"/>
            <w:vAlign w:val="center"/>
          </w:tcPr>
          <w:p w14:paraId="3D8E6F03">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eastAsia="zh-CN"/>
              </w:rPr>
              <w:t>比选</w:t>
            </w:r>
            <w:r>
              <w:rPr>
                <w:rFonts w:hint="eastAsia" w:ascii="宋体" w:hAnsi="宋体" w:eastAsia="宋体" w:cs="宋体"/>
                <w:color w:val="auto"/>
                <w:kern w:val="0"/>
                <w:sz w:val="21"/>
                <w:szCs w:val="21"/>
                <w:highlight w:val="none"/>
              </w:rPr>
              <w:t>内容</w:t>
            </w:r>
          </w:p>
        </w:tc>
        <w:tc>
          <w:tcPr>
            <w:tcW w:w="5914" w:type="dxa"/>
            <w:vAlign w:val="center"/>
          </w:tcPr>
          <w:p w14:paraId="13C2365B">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符合第二章“比选申请人须知”第1.3.1项规定</w:t>
            </w:r>
          </w:p>
        </w:tc>
      </w:tr>
      <w:tr w14:paraId="0EF1A9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42B214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192BA2E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459F978F">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工期</w:t>
            </w:r>
          </w:p>
        </w:tc>
        <w:tc>
          <w:tcPr>
            <w:tcW w:w="5914" w:type="dxa"/>
            <w:vAlign w:val="center"/>
          </w:tcPr>
          <w:p w14:paraId="7B5C57F4">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符合第二章“比选申请人须知”第1.3.2项规定</w:t>
            </w:r>
          </w:p>
        </w:tc>
      </w:tr>
      <w:tr w14:paraId="465E15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17529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039E571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018467F6">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工程质量</w:t>
            </w:r>
          </w:p>
        </w:tc>
        <w:tc>
          <w:tcPr>
            <w:tcW w:w="5914" w:type="dxa"/>
            <w:vAlign w:val="center"/>
          </w:tcPr>
          <w:p w14:paraId="645554E6">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符合第二章“比选申请人须知”第1.3.3项规定</w:t>
            </w:r>
          </w:p>
        </w:tc>
      </w:tr>
      <w:tr w14:paraId="073EBC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989A20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54E50E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06A547D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eastAsia="zh-CN"/>
              </w:rPr>
              <w:t>比选</w:t>
            </w:r>
            <w:r>
              <w:rPr>
                <w:rFonts w:hint="eastAsia" w:ascii="宋体" w:hAnsi="宋体" w:eastAsia="宋体" w:cs="宋体"/>
                <w:color w:val="auto"/>
                <w:kern w:val="0"/>
                <w:sz w:val="21"/>
                <w:szCs w:val="21"/>
                <w:highlight w:val="none"/>
              </w:rPr>
              <w:t>有效期</w:t>
            </w:r>
          </w:p>
        </w:tc>
        <w:tc>
          <w:tcPr>
            <w:tcW w:w="5914" w:type="dxa"/>
            <w:vAlign w:val="center"/>
          </w:tcPr>
          <w:p w14:paraId="6729D7B9">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符合第二章“比选申请人须知”第3.3.1项规定</w:t>
            </w:r>
          </w:p>
        </w:tc>
      </w:tr>
      <w:tr w14:paraId="26E31C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58CB122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0168598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4EE192A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比选申请保证金</w:t>
            </w:r>
          </w:p>
        </w:tc>
        <w:tc>
          <w:tcPr>
            <w:tcW w:w="5914" w:type="dxa"/>
            <w:vAlign w:val="center"/>
          </w:tcPr>
          <w:p w14:paraId="4F92F35A">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符合第二章“比选申请人须知前附表”第3.4项规定。</w:t>
            </w:r>
          </w:p>
        </w:tc>
      </w:tr>
      <w:tr w14:paraId="482E47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500960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34C3C57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7498D8BD">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权利义务</w:t>
            </w:r>
          </w:p>
        </w:tc>
        <w:tc>
          <w:tcPr>
            <w:tcW w:w="5914" w:type="dxa"/>
            <w:vAlign w:val="center"/>
          </w:tcPr>
          <w:p w14:paraId="4A3A5DB6">
            <w:pPr>
              <w:keepNext w:val="0"/>
              <w:keepLines w:val="0"/>
              <w:suppressLineNumbers w:val="0"/>
              <w:spacing w:before="0" w:beforeAutospacing="0" w:after="62" w:afterLines="2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符合第四章“合同条款及格式”规定，</w:t>
            </w:r>
            <w:r>
              <w:rPr>
                <w:rFonts w:hint="eastAsia" w:ascii="宋体" w:hAnsi="宋体" w:cs="宋体"/>
                <w:color w:val="auto"/>
                <w:kern w:val="0"/>
                <w:sz w:val="21"/>
                <w:szCs w:val="21"/>
                <w:highlight w:val="none"/>
                <w:lang w:eastAsia="zh-CN"/>
              </w:rPr>
              <w:t>比选申请文件</w:t>
            </w:r>
            <w:r>
              <w:rPr>
                <w:rFonts w:hint="eastAsia" w:ascii="宋体" w:hAnsi="宋体" w:eastAsia="宋体" w:cs="宋体"/>
                <w:color w:val="auto"/>
                <w:kern w:val="0"/>
                <w:sz w:val="21"/>
                <w:szCs w:val="21"/>
                <w:highlight w:val="none"/>
              </w:rPr>
              <w:t>不应附有</w:t>
            </w:r>
            <w:r>
              <w:rPr>
                <w:rFonts w:hint="eastAsia" w:ascii="宋体" w:hAnsi="宋体" w:eastAsia="宋体" w:cs="宋体"/>
                <w:color w:val="auto"/>
                <w:kern w:val="0"/>
                <w:sz w:val="21"/>
                <w:szCs w:val="21"/>
                <w:highlight w:val="none"/>
                <w:lang w:eastAsia="zh-CN"/>
              </w:rPr>
              <w:t>比选</w:t>
            </w:r>
            <w:r>
              <w:rPr>
                <w:rFonts w:hint="eastAsia" w:ascii="宋体" w:hAnsi="宋体" w:eastAsia="宋体" w:cs="宋体"/>
                <w:color w:val="auto"/>
                <w:kern w:val="0"/>
                <w:sz w:val="21"/>
                <w:szCs w:val="21"/>
                <w:highlight w:val="none"/>
              </w:rPr>
              <w:t>人不能接受的条件。（由</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人承诺，承诺书格式详见第八章</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文件格式。）</w:t>
            </w:r>
          </w:p>
        </w:tc>
      </w:tr>
      <w:tr w14:paraId="26AD7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982775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1AA6E6B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1FA4D53D">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技术标准和要求</w:t>
            </w:r>
          </w:p>
        </w:tc>
        <w:tc>
          <w:tcPr>
            <w:tcW w:w="5914" w:type="dxa"/>
            <w:vAlign w:val="center"/>
          </w:tcPr>
          <w:p w14:paraId="48CB370F">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符合第七章“技术标准和要求”规定。（由</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人承诺，承诺书格式详见第八章</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文件格式。）</w:t>
            </w:r>
          </w:p>
        </w:tc>
      </w:tr>
      <w:tr w14:paraId="6D8525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1D4DB0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tcPr>
          <w:p w14:paraId="438FE6C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11D807DA">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已标价工程量清单</w:t>
            </w:r>
          </w:p>
        </w:tc>
        <w:tc>
          <w:tcPr>
            <w:tcW w:w="5914" w:type="dxa"/>
            <w:vAlign w:val="center"/>
          </w:tcPr>
          <w:p w14:paraId="7E006650">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比选申请人</w:t>
            </w:r>
            <w:r>
              <w:rPr>
                <w:rFonts w:hint="eastAsia" w:ascii="宋体" w:hAnsi="宋体" w:eastAsia="宋体" w:cs="宋体"/>
                <w:color w:val="auto"/>
                <w:kern w:val="0"/>
                <w:sz w:val="21"/>
                <w:szCs w:val="21"/>
                <w:highlight w:val="none"/>
              </w:rPr>
              <w:t>承诺满足以下内容</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由</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人承诺，承诺书格式详见第八章</w:t>
            </w:r>
            <w:r>
              <w:rPr>
                <w:rFonts w:hint="eastAsia" w:ascii="宋体" w:hAnsi="宋体" w:eastAsia="宋体" w:cs="宋体"/>
                <w:color w:val="auto"/>
                <w:kern w:val="0"/>
                <w:sz w:val="21"/>
                <w:szCs w:val="21"/>
                <w:highlight w:val="none"/>
                <w:lang w:eastAsia="zh-CN"/>
              </w:rPr>
              <w:t>比选申请</w:t>
            </w:r>
            <w:r>
              <w:rPr>
                <w:rFonts w:hint="eastAsia" w:ascii="宋体" w:hAnsi="宋体" w:eastAsia="宋体" w:cs="宋体"/>
                <w:color w:val="auto"/>
                <w:kern w:val="0"/>
                <w:sz w:val="21"/>
                <w:szCs w:val="21"/>
                <w:highlight w:val="none"/>
              </w:rPr>
              <w:t>文件格式</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7CF30E1C">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1.符合第五章“工程量清单”给出的范围及数量。</w:t>
            </w:r>
          </w:p>
          <w:p w14:paraId="6831C743">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竞争性比选文件</w:t>
            </w:r>
            <w:r>
              <w:rPr>
                <w:rFonts w:hint="eastAsia" w:ascii="宋体" w:hAnsi="宋体" w:eastAsia="宋体" w:cs="宋体"/>
                <w:color w:val="auto"/>
                <w:kern w:val="0"/>
                <w:sz w:val="21"/>
                <w:szCs w:val="21"/>
                <w:highlight w:val="none"/>
              </w:rPr>
              <w:t>中规定工程量清单不允许修改的内容不得修改。</w:t>
            </w:r>
          </w:p>
          <w:p w14:paraId="40F4DDA5">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3.每项工程量清单综合单价报价不得高于对应工程量清单综合单价最高限价。</w:t>
            </w:r>
          </w:p>
        </w:tc>
      </w:tr>
      <w:tr w14:paraId="2FDBF0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13379F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26" w:type="dxa"/>
            <w:vMerge w:val="continue"/>
            <w:vAlign w:val="center"/>
          </w:tcPr>
          <w:p w14:paraId="419F601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500" w:type="dxa"/>
            <w:gridSpan w:val="2"/>
            <w:vAlign w:val="center"/>
          </w:tcPr>
          <w:p w14:paraId="1F01AEE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投标报价算术错误修正</w:t>
            </w:r>
          </w:p>
        </w:tc>
        <w:tc>
          <w:tcPr>
            <w:tcW w:w="5914" w:type="dxa"/>
            <w:vAlign w:val="center"/>
          </w:tcPr>
          <w:p w14:paraId="5EB9E41F">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符合第三章3.</w:t>
            </w:r>
            <w:r>
              <w:rPr>
                <w:rFonts w:hint="eastAsia" w:ascii="宋体" w:hAnsi="宋体" w:cs="宋体"/>
                <w:color w:val="auto"/>
                <w:kern w:val="0"/>
                <w:sz w:val="21"/>
                <w:szCs w:val="21"/>
                <w:highlight w:val="none"/>
                <w:lang w:eastAsia="zh-CN"/>
              </w:rPr>
              <w:t>评选</w:t>
            </w:r>
            <w:r>
              <w:rPr>
                <w:rFonts w:hint="eastAsia" w:ascii="宋体" w:hAnsi="宋体" w:eastAsia="宋体" w:cs="宋体"/>
                <w:color w:val="auto"/>
                <w:kern w:val="0"/>
                <w:sz w:val="21"/>
                <w:szCs w:val="21"/>
                <w:highlight w:val="none"/>
              </w:rPr>
              <w:t>程序第3.1.3项规定。</w:t>
            </w:r>
          </w:p>
        </w:tc>
      </w:tr>
      <w:tr w14:paraId="41F5D5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5F9ABE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26" w:type="dxa"/>
            <w:vMerge w:val="continue"/>
          </w:tcPr>
          <w:p w14:paraId="3EECABF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2500" w:type="dxa"/>
            <w:gridSpan w:val="2"/>
            <w:vAlign w:val="center"/>
          </w:tcPr>
          <w:p w14:paraId="34F2916A">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实质性要求</w:t>
            </w:r>
          </w:p>
        </w:tc>
        <w:tc>
          <w:tcPr>
            <w:tcW w:w="5914" w:type="dxa"/>
            <w:vAlign w:val="center"/>
          </w:tcPr>
          <w:p w14:paraId="38C8A121">
            <w:pPr>
              <w:keepNext w:val="0"/>
              <w:keepLines w:val="0"/>
              <w:suppressLineNumbers w:val="0"/>
              <w:spacing w:before="0" w:beforeAutospacing="0" w:after="62" w:afterLines="2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比选申请人须知</w:t>
            </w:r>
            <w:r>
              <w:rPr>
                <w:rFonts w:hint="eastAsia" w:ascii="宋体" w:hAnsi="宋体" w:eastAsia="宋体" w:cs="宋体"/>
                <w:color w:val="auto"/>
                <w:kern w:val="0"/>
                <w:sz w:val="21"/>
                <w:szCs w:val="21"/>
                <w:highlight w:val="none"/>
              </w:rPr>
              <w:t>”第1.4.3项规定。</w:t>
            </w:r>
          </w:p>
          <w:p w14:paraId="3F8C9A8D">
            <w:pPr>
              <w:keepNext w:val="0"/>
              <w:keepLines w:val="0"/>
              <w:suppressLineNumbers w:val="0"/>
              <w:spacing w:before="0" w:beforeAutospacing="0" w:after="62" w:afterLines="2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本次投标不得有串通投标、弄虚作假等其他违反招投标相关法律、法规行为。</w:t>
            </w:r>
          </w:p>
          <w:p w14:paraId="0CFFCC9D">
            <w:pPr>
              <w:keepNext w:val="0"/>
              <w:keepLines w:val="0"/>
              <w:suppressLineNumbers w:val="0"/>
              <w:spacing w:before="0" w:beforeAutospacing="0" w:after="62" w:afterLines="2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按</w:t>
            </w:r>
            <w:r>
              <w:rPr>
                <w:rFonts w:hint="eastAsia" w:ascii="宋体" w:hAnsi="宋体" w:cs="宋体"/>
                <w:color w:val="auto"/>
                <w:kern w:val="0"/>
                <w:sz w:val="21"/>
                <w:szCs w:val="21"/>
                <w:highlight w:val="none"/>
                <w:lang w:eastAsia="zh-CN"/>
              </w:rPr>
              <w:t>评选委员</w:t>
            </w:r>
            <w:r>
              <w:rPr>
                <w:rFonts w:hint="eastAsia" w:ascii="宋体" w:hAnsi="宋体" w:eastAsia="宋体" w:cs="宋体"/>
                <w:color w:val="auto"/>
                <w:kern w:val="0"/>
                <w:sz w:val="21"/>
                <w:szCs w:val="21"/>
                <w:highlight w:val="none"/>
              </w:rPr>
              <w:t>会要求澄清、说明或补正。</w:t>
            </w:r>
          </w:p>
        </w:tc>
      </w:tr>
      <w:tr w14:paraId="173D3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1477" w:type="dxa"/>
            <w:gridSpan w:val="2"/>
            <w:vAlign w:val="center"/>
          </w:tcPr>
          <w:p w14:paraId="3C95E490">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2500" w:type="dxa"/>
            <w:gridSpan w:val="2"/>
            <w:vAlign w:val="center"/>
          </w:tcPr>
          <w:p w14:paraId="30F6566B">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分值构成（总分100分）</w:t>
            </w:r>
          </w:p>
        </w:tc>
        <w:tc>
          <w:tcPr>
            <w:tcW w:w="5914" w:type="dxa"/>
            <w:vAlign w:val="center"/>
          </w:tcPr>
          <w:p w14:paraId="64F7307C">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1.技术部分</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p w14:paraId="43C460F2">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i/>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.经济部分</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w:t>
            </w:r>
          </w:p>
        </w:tc>
      </w:tr>
      <w:tr w14:paraId="168F3D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tcBorders>
              <w:right w:val="single" w:color="auto" w:sz="4" w:space="0"/>
            </w:tcBorders>
            <w:vAlign w:val="center"/>
          </w:tcPr>
          <w:p w14:paraId="43C9900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w:t>
            </w:r>
          </w:p>
        </w:tc>
        <w:tc>
          <w:tcPr>
            <w:tcW w:w="626" w:type="dxa"/>
            <w:vMerge w:val="restart"/>
            <w:tcBorders>
              <w:left w:val="single" w:color="auto" w:sz="4" w:space="0"/>
            </w:tcBorders>
            <w:vAlign w:val="center"/>
          </w:tcPr>
          <w:p w14:paraId="641AC7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1FA9E2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562C453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6791E8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技术部分评分标准</w:t>
            </w:r>
          </w:p>
        </w:tc>
        <w:tc>
          <w:tcPr>
            <w:tcW w:w="700" w:type="dxa"/>
            <w:vMerge w:val="restart"/>
            <w:tcBorders>
              <w:right w:val="single" w:color="auto" w:sz="4" w:space="0"/>
            </w:tcBorders>
            <w:vAlign w:val="center"/>
          </w:tcPr>
          <w:p w14:paraId="57CFADF6">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68F1D4C4">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6A43A9F5">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7358E615">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p w14:paraId="702C9168">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w:t>
            </w:r>
          </w:p>
          <w:p w14:paraId="346AE4C2">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术</w:t>
            </w:r>
          </w:p>
          <w:p w14:paraId="102C4C24">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w:t>
            </w:r>
          </w:p>
          <w:p w14:paraId="1B522DC4">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案</w:t>
            </w:r>
          </w:p>
          <w:p w14:paraId="2EFFFE0C">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w:t>
            </w:r>
          </w:p>
          <w:p w14:paraId="35C8B40B">
            <w:pPr>
              <w:keepNext w:val="0"/>
              <w:keepLines w:val="0"/>
              <w:suppressLineNumbers w:val="0"/>
              <w:tabs>
                <w:tab w:val="left" w:pos="1875"/>
              </w:tabs>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w:t>
            </w:r>
          </w:p>
        </w:tc>
        <w:tc>
          <w:tcPr>
            <w:tcW w:w="1800" w:type="dxa"/>
            <w:tcBorders>
              <w:left w:val="single" w:color="auto" w:sz="4" w:space="0"/>
            </w:tcBorders>
            <w:vAlign w:val="center"/>
          </w:tcPr>
          <w:p w14:paraId="066C9A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对工程施工重点、技术关键点的理解和认识</w:t>
            </w:r>
          </w:p>
        </w:tc>
        <w:tc>
          <w:tcPr>
            <w:tcW w:w="5914" w:type="dxa"/>
            <w:vAlign w:val="center"/>
          </w:tcPr>
          <w:p w14:paraId="69B420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67" w:firstLineChars="32"/>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u w:val="single"/>
                <w:lang w:val="en-US" w:eastAsia="zh-CN"/>
              </w:rPr>
              <w:t xml:space="preserve">  5  </w:t>
            </w:r>
            <w:r>
              <w:rPr>
                <w:rFonts w:hint="eastAsia" w:ascii="宋体" w:hAnsi="宋体" w:cs="宋体"/>
                <w:color w:val="auto"/>
                <w:kern w:val="0"/>
                <w:sz w:val="21"/>
                <w:szCs w:val="21"/>
                <w:highlight w:val="none"/>
                <w:lang w:val="en-US" w:eastAsia="zh-CN"/>
              </w:rPr>
              <w:t>分</w:t>
            </w:r>
          </w:p>
          <w:p w14:paraId="77266C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67" w:firstLineChars="32"/>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编制要点：</w:t>
            </w:r>
            <w:r>
              <w:rPr>
                <w:rFonts w:hint="eastAsia" w:ascii="宋体" w:hAnsi="宋体" w:eastAsia="宋体" w:cs="宋体"/>
                <w:color w:val="auto"/>
                <w:kern w:val="0"/>
                <w:sz w:val="21"/>
                <w:szCs w:val="21"/>
                <w:highlight w:val="none"/>
                <w:u w:val="single"/>
                <w:lang w:val="en-US" w:eastAsia="zh-CN"/>
              </w:rPr>
              <w:t>论述完整清晰，工程施工重点、技术关键点符合实际及符合规范，计划合理，科学可行。</w:t>
            </w:r>
          </w:p>
        </w:tc>
      </w:tr>
      <w:tr w14:paraId="60356F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6106B503">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626" w:type="dxa"/>
            <w:vMerge w:val="continue"/>
            <w:tcBorders>
              <w:left w:val="single" w:color="auto" w:sz="4" w:space="0"/>
            </w:tcBorders>
            <w:vAlign w:val="center"/>
          </w:tcPr>
          <w:p w14:paraId="103D72EB">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700" w:type="dxa"/>
            <w:vMerge w:val="continue"/>
            <w:tcBorders>
              <w:right w:val="single" w:color="auto" w:sz="4" w:space="0"/>
            </w:tcBorders>
            <w:vAlign w:val="center"/>
          </w:tcPr>
          <w:p w14:paraId="69D9066F">
            <w:pPr>
              <w:keepNext w:val="0"/>
              <w:keepLines w:val="0"/>
              <w:suppressLineNumbers w:val="0"/>
              <w:tabs>
                <w:tab w:val="left" w:pos="1875"/>
              </w:tabs>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p>
        </w:tc>
        <w:tc>
          <w:tcPr>
            <w:tcW w:w="1800" w:type="dxa"/>
            <w:tcBorders>
              <w:left w:val="single" w:color="auto" w:sz="4" w:space="0"/>
            </w:tcBorders>
            <w:shd w:val="clear" w:color="auto" w:fill="auto"/>
            <w:vAlign w:val="center"/>
          </w:tcPr>
          <w:p w14:paraId="5CB03BF3">
            <w:pPr>
              <w:keepNext w:val="0"/>
              <w:keepLines w:val="0"/>
              <w:suppressLineNumbers w:val="0"/>
              <w:spacing w:before="0" w:beforeAutospacing="0" w:after="62" w:afterLines="20" w:afterAutospacing="0" w:line="400" w:lineRule="exact"/>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质量管理体系与措施</w:t>
            </w:r>
          </w:p>
        </w:tc>
        <w:tc>
          <w:tcPr>
            <w:tcW w:w="5914" w:type="dxa"/>
            <w:shd w:val="clear" w:color="auto" w:fill="auto"/>
            <w:vAlign w:val="center"/>
          </w:tcPr>
          <w:p w14:paraId="1073E9C1">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leftChars="0" w:right="0" w:rightChars="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u w:val="none"/>
                <w:lang w:val="en-US" w:eastAsia="zh-CN"/>
              </w:rPr>
              <w:t xml:space="preserve"> 分</w:t>
            </w:r>
          </w:p>
          <w:p w14:paraId="44834DC0">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leftChars="0" w:right="0" w:rightChars="0"/>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lang w:val="en-US" w:eastAsia="zh-CN"/>
              </w:rPr>
              <w:t>编制要点：</w:t>
            </w:r>
            <w:r>
              <w:rPr>
                <w:rFonts w:hint="eastAsia" w:ascii="宋体" w:hAnsi="宋体" w:eastAsia="宋体" w:cs="宋体"/>
                <w:color w:val="auto"/>
                <w:kern w:val="0"/>
                <w:sz w:val="21"/>
                <w:szCs w:val="21"/>
                <w:highlight w:val="none"/>
                <w:u w:val="single"/>
                <w:lang w:val="en-US" w:eastAsia="zh-CN"/>
              </w:rPr>
              <w:t>工程质量保证计划全面细致、结合实际；措施具体；责任到人；承诺因工程质量违约；具有承诺违约责任、经济赔偿。</w:t>
            </w:r>
          </w:p>
        </w:tc>
      </w:tr>
      <w:tr w14:paraId="20C9B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7B1765D1">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626" w:type="dxa"/>
            <w:vMerge w:val="continue"/>
            <w:tcBorders>
              <w:left w:val="single" w:color="auto" w:sz="4" w:space="0"/>
            </w:tcBorders>
            <w:vAlign w:val="center"/>
          </w:tcPr>
          <w:p w14:paraId="43D0F861">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700" w:type="dxa"/>
            <w:vMerge w:val="continue"/>
            <w:tcBorders>
              <w:right w:val="single" w:color="auto" w:sz="4" w:space="0"/>
            </w:tcBorders>
            <w:vAlign w:val="center"/>
          </w:tcPr>
          <w:p w14:paraId="0C736882">
            <w:pPr>
              <w:keepNext w:val="0"/>
              <w:keepLines w:val="0"/>
              <w:suppressLineNumbers w:val="0"/>
              <w:tabs>
                <w:tab w:val="left" w:pos="1875"/>
              </w:tabs>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p>
        </w:tc>
        <w:tc>
          <w:tcPr>
            <w:tcW w:w="1800" w:type="dxa"/>
            <w:tcBorders>
              <w:left w:val="single" w:color="auto" w:sz="4" w:space="0"/>
            </w:tcBorders>
            <w:shd w:val="clear" w:color="auto" w:fill="auto"/>
            <w:vAlign w:val="center"/>
          </w:tcPr>
          <w:p w14:paraId="08549E8E">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安全管理体系与措施</w:t>
            </w:r>
          </w:p>
        </w:tc>
        <w:tc>
          <w:tcPr>
            <w:tcW w:w="5914" w:type="dxa"/>
            <w:shd w:val="clear" w:color="auto" w:fill="auto"/>
            <w:vAlign w:val="center"/>
          </w:tcPr>
          <w:p w14:paraId="0C9B4C86">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leftChars="0" w:right="0" w:rightChars="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u w:val="none"/>
                <w:lang w:val="en-US" w:eastAsia="zh-CN"/>
              </w:rPr>
              <w:t>分</w:t>
            </w:r>
          </w:p>
          <w:p w14:paraId="040E1834">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leftChars="0" w:right="0" w:rightChars="0"/>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lang w:val="en-US" w:eastAsia="zh-CN"/>
              </w:rPr>
              <w:t>编制要点：</w:t>
            </w:r>
            <w:r>
              <w:rPr>
                <w:rFonts w:hint="eastAsia" w:ascii="宋体" w:hAnsi="宋体" w:eastAsia="宋体" w:cs="宋体"/>
                <w:color w:val="auto"/>
                <w:kern w:val="0"/>
                <w:sz w:val="21"/>
                <w:szCs w:val="21"/>
                <w:highlight w:val="none"/>
                <w:u w:val="single"/>
                <w:lang w:val="en-US" w:eastAsia="zh-CN"/>
              </w:rPr>
              <w:t>根据实际情况制定安全文明施工保证计划全面周到、完整；关键地点、工序、环节控制保障措施得力；责任人具体；承诺安全文明施工如果不达标；具有承诺违约责任、经济赔偿责任。</w:t>
            </w:r>
          </w:p>
        </w:tc>
      </w:tr>
      <w:tr w14:paraId="79A465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69B433FA">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626" w:type="dxa"/>
            <w:vMerge w:val="continue"/>
            <w:tcBorders>
              <w:left w:val="single" w:color="auto" w:sz="4" w:space="0"/>
            </w:tcBorders>
            <w:vAlign w:val="center"/>
          </w:tcPr>
          <w:p w14:paraId="59FF35CD">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700" w:type="dxa"/>
            <w:vMerge w:val="continue"/>
            <w:tcBorders>
              <w:right w:val="single" w:color="auto" w:sz="4" w:space="0"/>
            </w:tcBorders>
            <w:vAlign w:val="center"/>
          </w:tcPr>
          <w:p w14:paraId="067FB89E">
            <w:pPr>
              <w:keepNext w:val="0"/>
              <w:keepLines w:val="0"/>
              <w:suppressLineNumbers w:val="0"/>
              <w:tabs>
                <w:tab w:val="left" w:pos="1875"/>
              </w:tabs>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p>
        </w:tc>
        <w:tc>
          <w:tcPr>
            <w:tcW w:w="1800" w:type="dxa"/>
            <w:tcBorders>
              <w:left w:val="single" w:color="auto" w:sz="4" w:space="0"/>
            </w:tcBorders>
            <w:shd w:val="clear" w:color="auto" w:fill="auto"/>
            <w:vAlign w:val="center"/>
          </w:tcPr>
          <w:p w14:paraId="65F071FE">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环境保护管理体系措施</w:t>
            </w:r>
          </w:p>
        </w:tc>
        <w:tc>
          <w:tcPr>
            <w:tcW w:w="5914" w:type="dxa"/>
            <w:shd w:val="clear" w:color="auto" w:fill="auto"/>
            <w:vAlign w:val="center"/>
          </w:tcPr>
          <w:p w14:paraId="28972D3F">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5  分</w:t>
            </w:r>
          </w:p>
          <w:p w14:paraId="059FEFB9">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编制要点：</w:t>
            </w:r>
            <w:r>
              <w:rPr>
                <w:rFonts w:hint="eastAsia" w:ascii="宋体" w:hAnsi="宋体" w:eastAsia="宋体" w:cs="宋体"/>
                <w:color w:val="auto"/>
                <w:sz w:val="21"/>
                <w:szCs w:val="21"/>
                <w:highlight w:val="none"/>
                <w:u w:val="single"/>
              </w:rPr>
              <w:t>采取有效的措施防止施工中的燃料、沥青、化学物质等有害物质的污染；采取有效的措施防 止扬尘、噪音和汽油等物质对大气的污染；设有专人负责协调处理施工过程中产生的环境问题及应急处置方案和措施；防疫应急处置方案和措施</w:t>
            </w:r>
            <w:r>
              <w:rPr>
                <w:rFonts w:hint="eastAsia" w:ascii="宋体" w:hAnsi="宋体" w:eastAsia="宋体" w:cs="宋体"/>
                <w:color w:val="auto"/>
                <w:sz w:val="21"/>
                <w:szCs w:val="21"/>
                <w:highlight w:val="none"/>
                <w:u w:val="single"/>
                <w:lang w:eastAsia="zh-CN"/>
              </w:rPr>
              <w:t>。</w:t>
            </w:r>
          </w:p>
        </w:tc>
      </w:tr>
      <w:tr w14:paraId="3E679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51359B46">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626" w:type="dxa"/>
            <w:vMerge w:val="continue"/>
            <w:tcBorders>
              <w:left w:val="single" w:color="auto" w:sz="4" w:space="0"/>
            </w:tcBorders>
            <w:vAlign w:val="center"/>
          </w:tcPr>
          <w:p w14:paraId="7E437289">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700" w:type="dxa"/>
            <w:vMerge w:val="continue"/>
            <w:tcBorders>
              <w:right w:val="single" w:color="auto" w:sz="4" w:space="0"/>
            </w:tcBorders>
            <w:vAlign w:val="center"/>
          </w:tcPr>
          <w:p w14:paraId="5330B970">
            <w:pPr>
              <w:keepNext w:val="0"/>
              <w:keepLines w:val="0"/>
              <w:suppressLineNumbers w:val="0"/>
              <w:tabs>
                <w:tab w:val="left" w:pos="1875"/>
              </w:tabs>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p>
        </w:tc>
        <w:tc>
          <w:tcPr>
            <w:tcW w:w="1800" w:type="dxa"/>
            <w:tcBorders>
              <w:left w:val="single" w:color="auto" w:sz="4" w:space="0"/>
            </w:tcBorders>
            <w:vAlign w:val="center"/>
          </w:tcPr>
          <w:p w14:paraId="0C60662E">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right="0"/>
              <w:jc w:val="center"/>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工程进度计划与措施</w:t>
            </w:r>
          </w:p>
        </w:tc>
        <w:tc>
          <w:tcPr>
            <w:tcW w:w="5914" w:type="dxa"/>
            <w:vAlign w:val="center"/>
          </w:tcPr>
          <w:p w14:paraId="4132EAB3">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single"/>
                <w:lang w:val="en-US" w:eastAsia="zh-CN"/>
              </w:rPr>
              <w:t xml:space="preserve">  5  分</w:t>
            </w:r>
          </w:p>
          <w:p w14:paraId="32A18BD1">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right="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编制要点：</w:t>
            </w:r>
            <w:r>
              <w:rPr>
                <w:rFonts w:hint="eastAsia" w:ascii="宋体" w:hAnsi="宋体" w:eastAsia="宋体" w:cs="宋体"/>
                <w:color w:val="auto"/>
                <w:kern w:val="0"/>
                <w:sz w:val="21"/>
                <w:szCs w:val="21"/>
                <w:highlight w:val="none"/>
                <w:u w:val="single"/>
                <w:lang w:val="en-US" w:eastAsia="zh-CN"/>
              </w:rPr>
              <w:t>施工进度计划编制合理、可行；关键线路清 晰、准确、完整；有明确的开、竣工日期；关键节点控制措施得力、可操作性强；保证措施可靠； 具有承诺违约责任、经济赔偿。</w:t>
            </w:r>
          </w:p>
        </w:tc>
      </w:tr>
      <w:tr w14:paraId="42D161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0B28A04E">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626" w:type="dxa"/>
            <w:vMerge w:val="continue"/>
            <w:tcBorders>
              <w:left w:val="single" w:color="auto" w:sz="4" w:space="0"/>
            </w:tcBorders>
            <w:vAlign w:val="center"/>
          </w:tcPr>
          <w:p w14:paraId="6573C248">
            <w:pPr>
              <w:keepNext w:val="0"/>
              <w:keepLines w:val="0"/>
              <w:suppressLineNumbers w:val="0"/>
              <w:spacing w:before="0" w:beforeAutospacing="0" w:after="0" w:afterAutospacing="0" w:line="400" w:lineRule="exact"/>
              <w:ind w:left="0" w:right="0" w:firstLine="210" w:firstLineChars="100"/>
              <w:jc w:val="center"/>
              <w:rPr>
                <w:rFonts w:hint="eastAsia" w:ascii="宋体" w:hAnsi="宋体" w:eastAsia="宋体" w:cs="宋体"/>
                <w:color w:val="auto"/>
                <w:kern w:val="0"/>
                <w:sz w:val="21"/>
                <w:szCs w:val="21"/>
                <w:highlight w:val="none"/>
              </w:rPr>
            </w:pPr>
          </w:p>
        </w:tc>
        <w:tc>
          <w:tcPr>
            <w:tcW w:w="700" w:type="dxa"/>
            <w:vMerge w:val="continue"/>
            <w:tcBorders>
              <w:right w:val="single" w:color="auto" w:sz="4" w:space="0"/>
            </w:tcBorders>
            <w:vAlign w:val="center"/>
          </w:tcPr>
          <w:p w14:paraId="59A46576">
            <w:pPr>
              <w:keepNext w:val="0"/>
              <w:keepLines w:val="0"/>
              <w:suppressLineNumbers w:val="0"/>
              <w:tabs>
                <w:tab w:val="left" w:pos="1875"/>
              </w:tabs>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p>
        </w:tc>
        <w:tc>
          <w:tcPr>
            <w:tcW w:w="1800" w:type="dxa"/>
            <w:tcBorders>
              <w:left w:val="single" w:color="auto" w:sz="4" w:space="0"/>
            </w:tcBorders>
            <w:vAlign w:val="center"/>
          </w:tcPr>
          <w:p w14:paraId="2A8F08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资源配备计划</w:t>
            </w:r>
          </w:p>
        </w:tc>
        <w:tc>
          <w:tcPr>
            <w:tcW w:w="5914" w:type="dxa"/>
            <w:vAlign w:val="center"/>
          </w:tcPr>
          <w:p w14:paraId="001D81C2">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right="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u w:val="none"/>
                <w:lang w:val="en-US" w:eastAsia="zh-CN"/>
              </w:rPr>
              <w:t>分</w:t>
            </w:r>
          </w:p>
          <w:p w14:paraId="0EAF88BE">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right="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编制要点：</w:t>
            </w:r>
            <w:r>
              <w:rPr>
                <w:rFonts w:hint="eastAsia" w:ascii="宋体" w:hAnsi="宋体" w:eastAsia="宋体" w:cs="宋体"/>
                <w:color w:val="auto"/>
                <w:kern w:val="0"/>
                <w:sz w:val="21"/>
                <w:szCs w:val="21"/>
                <w:highlight w:val="none"/>
                <w:u w:val="single"/>
                <w:lang w:val="en-US" w:eastAsia="zh-CN"/>
              </w:rPr>
              <w:t>劳动力和机械设备投入能满足施工需要；投入计划与进度计划协调；调配计划合理；保证措 施具体。</w:t>
            </w:r>
          </w:p>
        </w:tc>
      </w:tr>
      <w:tr w14:paraId="10DAE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Align w:val="center"/>
          </w:tcPr>
          <w:p w14:paraId="4964627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p>
        </w:tc>
        <w:tc>
          <w:tcPr>
            <w:tcW w:w="1326" w:type="dxa"/>
            <w:gridSpan w:val="2"/>
            <w:vAlign w:val="center"/>
          </w:tcPr>
          <w:p w14:paraId="6D803A7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评选</w:t>
            </w:r>
            <w:r>
              <w:rPr>
                <w:rFonts w:hint="eastAsia" w:ascii="宋体" w:hAnsi="宋体" w:eastAsia="宋体" w:cs="宋体"/>
                <w:color w:val="auto"/>
                <w:sz w:val="21"/>
                <w:szCs w:val="21"/>
                <w:highlight w:val="none"/>
              </w:rPr>
              <w:t>程序</w:t>
            </w:r>
          </w:p>
        </w:tc>
        <w:tc>
          <w:tcPr>
            <w:tcW w:w="7714" w:type="dxa"/>
            <w:gridSpan w:val="2"/>
          </w:tcPr>
          <w:p w14:paraId="58D72795">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1.按本章</w:t>
            </w:r>
            <w:r>
              <w:rPr>
                <w:rFonts w:hint="eastAsia" w:ascii="宋体" w:hAnsi="宋体" w:cs="宋体"/>
                <w:color w:val="auto"/>
                <w:sz w:val="21"/>
                <w:szCs w:val="21"/>
                <w:highlight w:val="none"/>
                <w:lang w:eastAsia="zh-CN"/>
              </w:rPr>
              <w:t>评选</w:t>
            </w:r>
            <w:r>
              <w:rPr>
                <w:rFonts w:hint="eastAsia" w:ascii="宋体" w:hAnsi="宋体" w:eastAsia="宋体" w:cs="宋体"/>
                <w:color w:val="auto"/>
                <w:sz w:val="21"/>
                <w:szCs w:val="21"/>
                <w:highlight w:val="none"/>
              </w:rPr>
              <w:t>办法第3.1款进行初步评审。未通过初步评审或</w:t>
            </w:r>
            <w:r>
              <w:rPr>
                <w:rFonts w:hint="eastAsia" w:ascii="宋体" w:hAnsi="宋体" w:cs="宋体"/>
                <w:color w:val="auto"/>
                <w:sz w:val="21"/>
                <w:szCs w:val="21"/>
                <w:highlight w:val="none"/>
                <w:lang w:eastAsia="zh-CN"/>
              </w:rPr>
              <w:t>评选委员</w:t>
            </w:r>
            <w:r>
              <w:rPr>
                <w:rFonts w:hint="eastAsia" w:ascii="宋体" w:hAnsi="宋体" w:eastAsia="宋体" w:cs="宋体"/>
                <w:color w:val="auto"/>
                <w:sz w:val="21"/>
                <w:szCs w:val="21"/>
                <w:highlight w:val="none"/>
              </w:rPr>
              <w:t>会认定为无效的</w:t>
            </w:r>
            <w:r>
              <w:rPr>
                <w:rFonts w:hint="eastAsia" w:ascii="宋体" w:hAnsi="宋体" w:cs="宋体"/>
                <w:color w:val="auto"/>
                <w:sz w:val="21"/>
                <w:szCs w:val="21"/>
                <w:highlight w:val="none"/>
                <w:lang w:eastAsia="zh-CN"/>
              </w:rPr>
              <w:t>比选申请文件</w:t>
            </w:r>
            <w:r>
              <w:rPr>
                <w:rFonts w:hint="eastAsia" w:ascii="宋体" w:hAnsi="宋体" w:eastAsia="宋体" w:cs="宋体"/>
                <w:color w:val="auto"/>
                <w:sz w:val="21"/>
                <w:szCs w:val="21"/>
                <w:highlight w:val="none"/>
              </w:rPr>
              <w:t>的不再进行后续评审。</w:t>
            </w:r>
          </w:p>
          <w:p w14:paraId="7ED297BB">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w:t>
            </w:r>
            <w:r>
              <w:rPr>
                <w:rFonts w:hint="eastAsia" w:ascii="宋体" w:hAnsi="宋体" w:cs="宋体"/>
                <w:color w:val="auto"/>
                <w:sz w:val="21"/>
                <w:szCs w:val="21"/>
                <w:highlight w:val="none"/>
                <w:lang w:eastAsia="zh-CN"/>
              </w:rPr>
              <w:t>评选</w:t>
            </w:r>
            <w:r>
              <w:rPr>
                <w:rFonts w:hint="eastAsia" w:ascii="宋体" w:hAnsi="宋体" w:eastAsia="宋体" w:cs="宋体"/>
                <w:color w:val="auto"/>
                <w:sz w:val="21"/>
                <w:szCs w:val="21"/>
                <w:highlight w:val="none"/>
              </w:rPr>
              <w:t>办法前附表第2.2.2项及第3.2.1（1）目的规定对技术部分进行评审。</w:t>
            </w:r>
          </w:p>
          <w:p w14:paraId="3B8211C1">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w:t>
            </w:r>
            <w:r>
              <w:rPr>
                <w:rFonts w:hint="eastAsia" w:ascii="宋体" w:hAnsi="宋体" w:cs="宋体"/>
                <w:color w:val="auto"/>
                <w:sz w:val="21"/>
                <w:szCs w:val="21"/>
                <w:highlight w:val="none"/>
                <w:lang w:eastAsia="zh-CN"/>
              </w:rPr>
              <w:t>评选委员</w:t>
            </w:r>
            <w:r>
              <w:rPr>
                <w:rFonts w:hint="eastAsia" w:ascii="宋体" w:hAnsi="宋体" w:eastAsia="宋体" w:cs="宋体"/>
                <w:color w:val="auto"/>
                <w:sz w:val="21"/>
                <w:szCs w:val="21"/>
                <w:highlight w:val="none"/>
              </w:rPr>
              <w:t>会作否决投标处理导致有效</w:t>
            </w:r>
            <w:r>
              <w:rPr>
                <w:rFonts w:hint="eastAsia" w:ascii="宋体" w:hAnsi="宋体" w:eastAsia="宋体" w:cs="宋体"/>
                <w:color w:val="auto"/>
                <w:kern w:val="0"/>
                <w:sz w:val="21"/>
                <w:szCs w:val="21"/>
                <w:highlight w:val="none"/>
              </w:rPr>
              <w:t>比选申请人</w:t>
            </w:r>
            <w:r>
              <w:rPr>
                <w:rFonts w:hint="eastAsia" w:ascii="宋体" w:hAnsi="宋体" w:eastAsia="宋体" w:cs="宋体"/>
                <w:color w:val="auto"/>
                <w:sz w:val="21"/>
                <w:szCs w:val="21"/>
                <w:highlight w:val="none"/>
              </w:rPr>
              <w:t>不足三个的，</w:t>
            </w:r>
            <w:r>
              <w:rPr>
                <w:rFonts w:hint="eastAsia" w:ascii="宋体" w:hAnsi="宋体" w:cs="宋体"/>
                <w:color w:val="auto"/>
                <w:sz w:val="21"/>
                <w:szCs w:val="21"/>
                <w:highlight w:val="none"/>
                <w:lang w:eastAsia="zh-CN"/>
              </w:rPr>
              <w:t>评选委员</w:t>
            </w:r>
            <w:r>
              <w:rPr>
                <w:rFonts w:hint="eastAsia" w:ascii="宋体" w:hAnsi="宋体" w:eastAsia="宋体" w:cs="宋体"/>
                <w:color w:val="auto"/>
                <w:sz w:val="21"/>
                <w:szCs w:val="21"/>
                <w:highlight w:val="none"/>
              </w:rPr>
              <w:t>会应当否决所有投标。但是有效</w:t>
            </w:r>
            <w:r>
              <w:rPr>
                <w:rFonts w:hint="eastAsia" w:ascii="宋体" w:hAnsi="宋体" w:eastAsia="宋体" w:cs="宋体"/>
                <w:color w:val="auto"/>
                <w:kern w:val="0"/>
                <w:sz w:val="21"/>
                <w:szCs w:val="21"/>
                <w:highlight w:val="none"/>
              </w:rPr>
              <w:t>比选申请人</w:t>
            </w:r>
            <w:r>
              <w:rPr>
                <w:rFonts w:hint="eastAsia" w:ascii="宋体" w:hAnsi="宋体" w:eastAsia="宋体" w:cs="宋体"/>
                <w:color w:val="auto"/>
                <w:sz w:val="21"/>
                <w:szCs w:val="21"/>
                <w:highlight w:val="none"/>
              </w:rPr>
              <w:t>的经济、技术等指标仍然具有市场竞争力，能够满足</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eastAsia="zh-CN"/>
              </w:rPr>
              <w:t>评选委员</w:t>
            </w:r>
            <w:r>
              <w:rPr>
                <w:rFonts w:hint="eastAsia" w:ascii="宋体" w:hAnsi="宋体" w:eastAsia="宋体" w:cs="宋体"/>
                <w:color w:val="auto"/>
                <w:sz w:val="21"/>
                <w:szCs w:val="21"/>
                <w:highlight w:val="none"/>
              </w:rPr>
              <w:t>会可以继续</w:t>
            </w:r>
            <w:r>
              <w:rPr>
                <w:rFonts w:hint="eastAsia" w:ascii="宋体" w:hAnsi="宋体" w:cs="宋体"/>
                <w:color w:val="auto"/>
                <w:sz w:val="21"/>
                <w:szCs w:val="21"/>
                <w:highlight w:val="none"/>
                <w:lang w:eastAsia="zh-CN"/>
              </w:rPr>
              <w:t>评选</w:t>
            </w:r>
            <w:r>
              <w:rPr>
                <w:rFonts w:hint="eastAsia" w:ascii="宋体" w:hAnsi="宋体" w:eastAsia="宋体" w:cs="宋体"/>
                <w:color w:val="auto"/>
                <w:sz w:val="21"/>
                <w:szCs w:val="21"/>
                <w:highlight w:val="none"/>
              </w:rPr>
              <w:t>并确定</w:t>
            </w:r>
            <w:r>
              <w:rPr>
                <w:rFonts w:hint="eastAsia" w:ascii="宋体" w:hAnsi="宋体" w:cs="宋体"/>
                <w:color w:val="auto"/>
                <w:sz w:val="21"/>
                <w:szCs w:val="21"/>
                <w:highlight w:val="none"/>
                <w:lang w:eastAsia="zh-CN"/>
              </w:rPr>
              <w:t>中选</w:t>
            </w:r>
            <w:r>
              <w:rPr>
                <w:rFonts w:hint="eastAsia" w:ascii="宋体" w:hAnsi="宋体" w:eastAsia="宋体" w:cs="宋体"/>
                <w:color w:val="auto"/>
                <w:sz w:val="21"/>
                <w:szCs w:val="21"/>
                <w:highlight w:val="none"/>
              </w:rPr>
              <w:t>候选人。</w:t>
            </w:r>
          </w:p>
          <w:p w14:paraId="35F35A8B">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4.对初步评审合格的</w:t>
            </w:r>
            <w:r>
              <w:rPr>
                <w:rFonts w:hint="eastAsia" w:ascii="宋体" w:hAnsi="宋体" w:cs="宋体"/>
                <w:color w:val="auto"/>
                <w:sz w:val="21"/>
                <w:szCs w:val="21"/>
                <w:highlight w:val="none"/>
                <w:lang w:eastAsia="zh-CN"/>
              </w:rPr>
              <w:t>比选申请人</w:t>
            </w:r>
            <w:r>
              <w:rPr>
                <w:rFonts w:hint="eastAsia" w:ascii="宋体" w:hAnsi="宋体" w:eastAsia="宋体" w:cs="宋体"/>
                <w:color w:val="auto"/>
                <w:sz w:val="21"/>
                <w:szCs w:val="21"/>
                <w:highlight w:val="none"/>
              </w:rPr>
              <w:t>按本附表第3.2.1（2）目规定的评分方法对</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总报价进行评分。</w:t>
            </w:r>
          </w:p>
          <w:p w14:paraId="455EAC2A">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5.对技术部分、</w:t>
            </w:r>
            <w:r>
              <w:rPr>
                <w:rFonts w:hint="eastAsia" w:ascii="宋体" w:hAnsi="宋体" w:cs="宋体"/>
                <w:color w:val="auto"/>
                <w:sz w:val="21"/>
                <w:szCs w:val="21"/>
                <w:highlight w:val="none"/>
                <w:lang w:val="en-US" w:eastAsia="zh-CN"/>
              </w:rPr>
              <w:t>比选申请</w:t>
            </w:r>
            <w:r>
              <w:rPr>
                <w:rFonts w:hint="eastAsia" w:ascii="宋体" w:hAnsi="宋体" w:eastAsia="宋体" w:cs="宋体"/>
                <w:color w:val="auto"/>
                <w:sz w:val="21"/>
                <w:szCs w:val="21"/>
                <w:highlight w:val="none"/>
              </w:rPr>
              <w:t>总报价得分进行汇总，确定得分由高至低前三名</w:t>
            </w:r>
            <w:r>
              <w:rPr>
                <w:rFonts w:hint="eastAsia" w:ascii="宋体" w:hAnsi="宋体" w:eastAsia="宋体" w:cs="宋体"/>
                <w:color w:val="auto"/>
                <w:kern w:val="0"/>
                <w:sz w:val="21"/>
                <w:szCs w:val="21"/>
                <w:highlight w:val="none"/>
              </w:rPr>
              <w:t>比选申请人</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eastAsia="zh-CN"/>
              </w:rPr>
              <w:t>中选</w:t>
            </w:r>
            <w:r>
              <w:rPr>
                <w:rFonts w:hint="eastAsia" w:ascii="宋体" w:hAnsi="宋体" w:eastAsia="宋体" w:cs="宋体"/>
                <w:color w:val="auto"/>
                <w:sz w:val="21"/>
                <w:szCs w:val="21"/>
                <w:highlight w:val="none"/>
              </w:rPr>
              <w:t>候选人。</w:t>
            </w:r>
          </w:p>
        </w:tc>
      </w:tr>
      <w:tr w14:paraId="50C68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vMerge w:val="restart"/>
            <w:vAlign w:val="center"/>
          </w:tcPr>
          <w:p w14:paraId="2350968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p w14:paraId="15D986E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dxa"/>
            <w:gridSpan w:val="2"/>
            <w:vMerge w:val="restart"/>
            <w:vAlign w:val="center"/>
          </w:tcPr>
          <w:p w14:paraId="192842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kern w:val="0"/>
                <w:sz w:val="21"/>
                <w:szCs w:val="21"/>
                <w:highlight w:val="none"/>
              </w:rPr>
              <w:t>得分</w:t>
            </w:r>
            <w:r>
              <w:rPr>
                <w:rFonts w:hint="eastAsia" w:ascii="宋体" w:hAnsi="宋体" w:eastAsia="宋体" w:cs="宋体"/>
                <w:color w:val="auto"/>
                <w:spacing w:val="-4"/>
                <w:sz w:val="21"/>
                <w:szCs w:val="21"/>
                <w:highlight w:val="none"/>
              </w:rPr>
              <w:t>（A）</w:t>
            </w:r>
          </w:p>
        </w:tc>
        <w:tc>
          <w:tcPr>
            <w:tcW w:w="1800" w:type="dxa"/>
            <w:tcBorders>
              <w:bottom w:val="single" w:color="auto" w:sz="4" w:space="0"/>
            </w:tcBorders>
            <w:vAlign w:val="center"/>
          </w:tcPr>
          <w:p w14:paraId="7634FF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color w:val="auto"/>
                <w:kern w:val="0"/>
                <w:highlight w:val="none"/>
              </w:rPr>
            </w:pPr>
          </w:p>
          <w:p w14:paraId="065CF2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val="en-US" w:eastAsia="zh-CN"/>
              </w:rPr>
              <w:t>对工程施工重点、技术关键点的理解和认识</w:t>
            </w:r>
          </w:p>
        </w:tc>
        <w:tc>
          <w:tcPr>
            <w:tcW w:w="5914" w:type="dxa"/>
            <w:vMerge w:val="restart"/>
            <w:vAlign w:val="center"/>
          </w:tcPr>
          <w:p w14:paraId="3AD5E071">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评选委员</w:t>
            </w:r>
            <w:r>
              <w:rPr>
                <w:rFonts w:hint="eastAsia" w:ascii="宋体" w:hAnsi="宋体" w:eastAsia="宋体" w:cs="宋体"/>
                <w:color w:val="auto"/>
                <w:sz w:val="21"/>
                <w:szCs w:val="21"/>
                <w:highlight w:val="none"/>
              </w:rPr>
              <w:t>会按第2.2.2项各评审因素设定的分值评分。</w:t>
            </w:r>
          </w:p>
          <w:p w14:paraId="13AB34CE">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比选申请人</w:t>
            </w: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rPr>
              <w:t>得分应在所有评委评分中所有评分汇总后取平均值为该比选申请人的</w:t>
            </w: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rPr>
              <w:t>得分。</w:t>
            </w:r>
          </w:p>
          <w:p w14:paraId="2D9768F0">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rPr>
              <w:t>得分的最终结果取小数点后两位，第三位四舍五入。</w:t>
            </w:r>
          </w:p>
          <w:p w14:paraId="45063B45">
            <w:pPr>
              <w:pStyle w:val="2"/>
              <w:keepNext w:val="0"/>
              <w:keepLines w:val="0"/>
              <w:suppressLineNumbers w:val="0"/>
              <w:spacing w:before="0" w:beforeAutospacing="0" w:afterAutospacing="0"/>
              <w:ind w:left="0" w:right="0"/>
              <w:rPr>
                <w:rFonts w:hint="eastAsia" w:ascii="宋体" w:hAnsi="宋体" w:eastAsia="宋体" w:cs="宋体"/>
                <w:color w:val="auto"/>
                <w:sz w:val="21"/>
                <w:szCs w:val="21"/>
                <w:highlight w:val="none"/>
              </w:rPr>
            </w:pPr>
          </w:p>
        </w:tc>
      </w:tr>
      <w:tr w14:paraId="471FB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vMerge w:val="continue"/>
            <w:vAlign w:val="center"/>
          </w:tcPr>
          <w:p w14:paraId="6C43E1B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326" w:type="dxa"/>
            <w:gridSpan w:val="2"/>
            <w:vMerge w:val="continue"/>
            <w:vAlign w:val="center"/>
          </w:tcPr>
          <w:p w14:paraId="6084B96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800" w:type="dxa"/>
            <w:tcBorders>
              <w:top w:val="single" w:color="auto" w:sz="4" w:space="0"/>
              <w:bottom w:val="single" w:color="auto" w:sz="4" w:space="0"/>
            </w:tcBorders>
            <w:vAlign w:val="center"/>
          </w:tcPr>
          <w:p w14:paraId="262B48D2">
            <w:pPr>
              <w:keepNext w:val="0"/>
              <w:keepLines w:val="0"/>
              <w:suppressLineNumbers w:val="0"/>
              <w:spacing w:before="0" w:beforeAutospacing="0" w:after="62" w:afterLines="2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lang w:val="en-US" w:eastAsia="zh-CN"/>
              </w:rPr>
              <w:t>质量管理体系与措施</w:t>
            </w:r>
          </w:p>
        </w:tc>
        <w:tc>
          <w:tcPr>
            <w:tcW w:w="5914" w:type="dxa"/>
            <w:vMerge w:val="continue"/>
            <w:vAlign w:val="center"/>
          </w:tcPr>
          <w:p w14:paraId="612BB648">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p>
        </w:tc>
      </w:tr>
      <w:tr w14:paraId="7E79B3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vMerge w:val="continue"/>
            <w:vAlign w:val="center"/>
          </w:tcPr>
          <w:p w14:paraId="067D5AE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326" w:type="dxa"/>
            <w:gridSpan w:val="2"/>
            <w:vMerge w:val="continue"/>
            <w:vAlign w:val="center"/>
          </w:tcPr>
          <w:p w14:paraId="563BD3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800" w:type="dxa"/>
            <w:tcBorders>
              <w:top w:val="single" w:color="auto" w:sz="4" w:space="0"/>
              <w:bottom w:val="single" w:color="auto" w:sz="4" w:space="0"/>
            </w:tcBorders>
            <w:vAlign w:val="center"/>
          </w:tcPr>
          <w:p w14:paraId="76F42FA4">
            <w:pPr>
              <w:keepNext w:val="0"/>
              <w:keepLines w:val="0"/>
              <w:suppressLineNumbers w:val="0"/>
              <w:spacing w:before="0" w:beforeAutospacing="0" w:after="62" w:afterLines="2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lang w:val="en-US" w:eastAsia="zh-CN"/>
              </w:rPr>
              <w:t>安全管理体系与措施</w:t>
            </w:r>
          </w:p>
        </w:tc>
        <w:tc>
          <w:tcPr>
            <w:tcW w:w="5914" w:type="dxa"/>
            <w:vMerge w:val="continue"/>
            <w:vAlign w:val="center"/>
          </w:tcPr>
          <w:p w14:paraId="0519FEF9">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p>
        </w:tc>
      </w:tr>
      <w:tr w14:paraId="740EE3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vMerge w:val="continue"/>
            <w:vAlign w:val="center"/>
          </w:tcPr>
          <w:p w14:paraId="4F4E0AE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326" w:type="dxa"/>
            <w:gridSpan w:val="2"/>
            <w:vMerge w:val="continue"/>
            <w:vAlign w:val="center"/>
          </w:tcPr>
          <w:p w14:paraId="708A61D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800" w:type="dxa"/>
            <w:tcBorders>
              <w:top w:val="single" w:color="auto" w:sz="4" w:space="0"/>
              <w:bottom w:val="single" w:color="auto" w:sz="4" w:space="0"/>
            </w:tcBorders>
            <w:vAlign w:val="center"/>
          </w:tcPr>
          <w:p w14:paraId="3C6DAAA3">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环境保护管理体系措施</w:t>
            </w:r>
          </w:p>
        </w:tc>
        <w:tc>
          <w:tcPr>
            <w:tcW w:w="5914" w:type="dxa"/>
            <w:vMerge w:val="continue"/>
            <w:vAlign w:val="center"/>
          </w:tcPr>
          <w:p w14:paraId="70A740EC">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p>
        </w:tc>
      </w:tr>
      <w:tr w14:paraId="335687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vMerge w:val="continue"/>
            <w:vAlign w:val="center"/>
          </w:tcPr>
          <w:p w14:paraId="53AB553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326" w:type="dxa"/>
            <w:gridSpan w:val="2"/>
            <w:vMerge w:val="continue"/>
            <w:vAlign w:val="center"/>
          </w:tcPr>
          <w:p w14:paraId="43864D1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800" w:type="dxa"/>
            <w:tcBorders>
              <w:top w:val="single" w:color="auto" w:sz="4" w:space="0"/>
              <w:bottom w:val="single" w:color="auto" w:sz="4" w:space="0"/>
            </w:tcBorders>
            <w:vAlign w:val="center"/>
          </w:tcPr>
          <w:p w14:paraId="79DEA627">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lang w:val="en-US" w:eastAsia="zh-CN"/>
              </w:rPr>
              <w:t>工程进度计划与措施</w:t>
            </w:r>
          </w:p>
        </w:tc>
        <w:tc>
          <w:tcPr>
            <w:tcW w:w="5914" w:type="dxa"/>
            <w:vMerge w:val="continue"/>
            <w:vAlign w:val="center"/>
          </w:tcPr>
          <w:p w14:paraId="13A9091D">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p>
        </w:tc>
      </w:tr>
      <w:tr w14:paraId="74C99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vMerge w:val="continue"/>
            <w:vAlign w:val="center"/>
          </w:tcPr>
          <w:p w14:paraId="1930E30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326" w:type="dxa"/>
            <w:gridSpan w:val="2"/>
            <w:vMerge w:val="continue"/>
            <w:vAlign w:val="center"/>
          </w:tcPr>
          <w:p w14:paraId="423C2C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800" w:type="dxa"/>
            <w:tcBorders>
              <w:top w:val="single" w:color="auto" w:sz="4" w:space="0"/>
              <w:bottom w:val="single" w:color="auto" w:sz="4" w:space="0"/>
            </w:tcBorders>
            <w:vAlign w:val="center"/>
          </w:tcPr>
          <w:p w14:paraId="11A966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lang w:val="en-US" w:eastAsia="zh-CN"/>
              </w:rPr>
              <w:t>资源配备计划</w:t>
            </w:r>
          </w:p>
        </w:tc>
        <w:tc>
          <w:tcPr>
            <w:tcW w:w="5914" w:type="dxa"/>
            <w:vMerge w:val="continue"/>
            <w:vAlign w:val="center"/>
          </w:tcPr>
          <w:p w14:paraId="1AEEF92A">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p>
        </w:tc>
      </w:tr>
      <w:tr w14:paraId="63E04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51" w:type="dxa"/>
            <w:vAlign w:val="center"/>
          </w:tcPr>
          <w:p w14:paraId="5826962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3.2.1（2）</w:t>
            </w:r>
          </w:p>
        </w:tc>
        <w:tc>
          <w:tcPr>
            <w:tcW w:w="626" w:type="dxa"/>
            <w:vAlign w:val="center"/>
          </w:tcPr>
          <w:p w14:paraId="52F8A20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kern w:val="0"/>
                <w:sz w:val="21"/>
                <w:szCs w:val="21"/>
                <w:highlight w:val="none"/>
              </w:rPr>
              <w:t>得分</w:t>
            </w:r>
            <w:r>
              <w:rPr>
                <w:rFonts w:hint="eastAsia" w:ascii="宋体" w:hAnsi="宋体" w:eastAsia="宋体" w:cs="宋体"/>
                <w:color w:val="auto"/>
                <w:spacing w:val="-8"/>
                <w:sz w:val="21"/>
                <w:szCs w:val="21"/>
                <w:highlight w:val="none"/>
              </w:rPr>
              <w:t>（B）</w:t>
            </w:r>
          </w:p>
        </w:tc>
        <w:tc>
          <w:tcPr>
            <w:tcW w:w="2500" w:type="dxa"/>
            <w:gridSpan w:val="2"/>
            <w:tcBorders>
              <w:top w:val="single" w:color="auto" w:sz="4" w:space="0"/>
            </w:tcBorders>
            <w:vAlign w:val="center"/>
          </w:tcPr>
          <w:p w14:paraId="6E50F76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w:t>
            </w:r>
          </w:p>
        </w:tc>
        <w:tc>
          <w:tcPr>
            <w:tcW w:w="5914" w:type="dxa"/>
            <w:vAlign w:val="center"/>
          </w:tcPr>
          <w:p w14:paraId="59FED91A">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所有通过初步评审和本章第2.2.2（3）目评审合格的</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人的</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总报价，得本附表第2.2.1项规定分值的满分</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分。最低</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总报价得规定分值的满分</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分，最高</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 xml:space="preserve">总报价得 </w:t>
            </w:r>
            <w:r>
              <w:rPr>
                <w:rFonts w:hint="eastAsia" w:ascii="宋体" w:hAnsi="宋体" w:cs="宋体"/>
                <w:color w:val="auto"/>
                <w:kern w:val="0"/>
                <w:sz w:val="21"/>
                <w:szCs w:val="21"/>
                <w:highlight w:val="none"/>
                <w:lang w:val="en-US" w:eastAsia="zh-CN"/>
              </w:rPr>
              <w:t>67</w:t>
            </w:r>
            <w:r>
              <w:rPr>
                <w:rFonts w:hint="eastAsia" w:ascii="宋体" w:hAnsi="宋体" w:eastAsia="宋体" w:cs="宋体"/>
                <w:color w:val="auto"/>
                <w:kern w:val="0"/>
                <w:sz w:val="21"/>
                <w:szCs w:val="21"/>
                <w:highlight w:val="none"/>
              </w:rPr>
              <w:t>分，其他投标总报价按插入法计算得分，具体计算公式如下：</w:t>
            </w:r>
          </w:p>
          <w:p w14:paraId="05D7DE89">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总报价得分＝</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67</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总报价-最低</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总报价）/（最高</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总报价-最低</w:t>
            </w: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w:t>
            </w:r>
          </w:p>
          <w:p w14:paraId="2D94CBCB">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比选申请</w:t>
            </w:r>
            <w:r>
              <w:rPr>
                <w:rFonts w:hint="eastAsia" w:ascii="宋体" w:hAnsi="宋体" w:eastAsia="宋体" w:cs="宋体"/>
                <w:color w:val="auto"/>
                <w:kern w:val="0"/>
                <w:sz w:val="21"/>
                <w:szCs w:val="21"/>
                <w:highlight w:val="none"/>
              </w:rPr>
              <w:t>总报价评分的最终结果取小数点后两位，第三位四舍五入。</w:t>
            </w:r>
          </w:p>
        </w:tc>
      </w:tr>
      <w:tr w14:paraId="6DD9C0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7" w:type="dxa"/>
            <w:gridSpan w:val="2"/>
            <w:vAlign w:val="center"/>
          </w:tcPr>
          <w:p w14:paraId="3BA5D3F3">
            <w:pPr>
              <w:keepNext w:val="0"/>
              <w:keepLines w:val="0"/>
              <w:suppressLineNumbers w:val="0"/>
              <w:spacing w:before="0" w:beforeAutospacing="0" w:after="0" w:afterAutospacing="0" w:line="400" w:lineRule="exact"/>
              <w:ind w:left="0" w:right="0" w:firstLine="18" w:firstLineChars="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500" w:type="dxa"/>
            <w:gridSpan w:val="2"/>
            <w:vAlign w:val="center"/>
          </w:tcPr>
          <w:p w14:paraId="0F76CF5C">
            <w:pPr>
              <w:keepNext w:val="0"/>
              <w:keepLines w:val="0"/>
              <w:suppressLineNumbers w:val="0"/>
              <w:spacing w:before="0" w:beforeAutospacing="0" w:after="0" w:afterAutospacing="0" w:line="400" w:lineRule="exact"/>
              <w:ind w:left="0" w:right="0" w:firstLine="18" w:firstLineChars="9"/>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比选申请人</w:t>
            </w:r>
            <w:r>
              <w:rPr>
                <w:rFonts w:hint="eastAsia" w:ascii="宋体" w:hAnsi="宋体" w:eastAsia="宋体" w:cs="宋体"/>
                <w:color w:val="auto"/>
                <w:sz w:val="21"/>
                <w:szCs w:val="21"/>
                <w:highlight w:val="none"/>
              </w:rPr>
              <w:t>得分</w:t>
            </w:r>
          </w:p>
        </w:tc>
        <w:tc>
          <w:tcPr>
            <w:tcW w:w="5914" w:type="dxa"/>
            <w:vAlign w:val="center"/>
          </w:tcPr>
          <w:p w14:paraId="654F251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比选申请人</w:t>
            </w:r>
            <w:r>
              <w:rPr>
                <w:rFonts w:hint="eastAsia" w:ascii="宋体" w:hAnsi="宋体" w:eastAsia="宋体" w:cs="宋体"/>
                <w:color w:val="auto"/>
                <w:sz w:val="21"/>
                <w:szCs w:val="21"/>
                <w:highlight w:val="none"/>
                <w:u w:val="single"/>
              </w:rPr>
              <w:t>得分=A+B</w:t>
            </w:r>
          </w:p>
        </w:tc>
      </w:tr>
    </w:tbl>
    <w:p w14:paraId="0DFEE1ED">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ascii="宋体" w:hAnsi="宋体"/>
          <w:bCs w:val="0"/>
          <w:snapToGrid w:val="0"/>
          <w:color w:val="auto"/>
          <w:highlight w:val="none"/>
        </w:rPr>
        <w:br w:type="page"/>
      </w:r>
      <w:r>
        <w:rPr>
          <w:rFonts w:hint="eastAsia" w:ascii="宋体" w:hAnsi="宋体" w:eastAsia="宋体" w:cs="Times New Roman"/>
          <w:b w:val="0"/>
          <w:snapToGrid w:val="0"/>
          <w:color w:val="auto"/>
          <w:highlight w:val="none"/>
        </w:rPr>
        <w:t>1. 评选方法</w:t>
      </w:r>
    </w:p>
    <w:p w14:paraId="1D5D5A70">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本次评选采用综合评分法。评选委员会按照本章第 2.2 款规定的评分标准进行打分，按得分由高到低顺序推荐中选候选人，或根据比选人授权直接确定中选人，若出现比选申请人投标报价相同的，以评选办法前附表约定的原则确定排序。</w:t>
      </w:r>
    </w:p>
    <w:p w14:paraId="45D38473">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 评审标准</w:t>
      </w:r>
    </w:p>
    <w:p w14:paraId="703C11FA">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2.1 初步评审标准</w:t>
      </w:r>
    </w:p>
    <w:p w14:paraId="65F1D14A">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2.1.1 资格评审标准：见评选办法前附表。</w:t>
      </w:r>
    </w:p>
    <w:p w14:paraId="7C1960AD">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2.1.2 形式评审标准：见评选办法前附表。</w:t>
      </w:r>
    </w:p>
    <w:p w14:paraId="0A0E6BC3">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2.1.3 响应性评审标准：见评选办法前附表。</w:t>
      </w:r>
    </w:p>
    <w:p w14:paraId="543D4E8A">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2.2 分值构成与评分标准</w:t>
      </w:r>
    </w:p>
    <w:p w14:paraId="14D5E66F">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2.2.1 分值构成</w:t>
      </w:r>
    </w:p>
    <w:p w14:paraId="36AE15AE">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（1）比选申请总报价：见评选办法前附表；</w:t>
      </w:r>
    </w:p>
    <w:p w14:paraId="383D2C1D">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（2）技术部分：见评选办法前附表。</w:t>
      </w:r>
    </w:p>
    <w:p w14:paraId="750D22E3">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2.2.2 评审标准</w:t>
      </w:r>
    </w:p>
    <w:p w14:paraId="3120F3F8">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技术部分评分标准：见评选办法前附表。</w:t>
      </w:r>
    </w:p>
    <w:p w14:paraId="271E1BEA">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2.2.3 评选基准价计算</w:t>
      </w:r>
    </w:p>
    <w:p w14:paraId="02890B0F">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评选基准价的计算方法：见评选办法前附表。</w:t>
      </w:r>
    </w:p>
    <w:p w14:paraId="29330CD0">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 评选程序</w:t>
      </w:r>
    </w:p>
    <w:p w14:paraId="2B8CD70C">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3.1 初步评审</w:t>
      </w:r>
    </w:p>
    <w:p w14:paraId="34243B53">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3.1.1 评选委员会依据本章第 2.1 款规定的标准对比选申请文件进行初步评审。有一项不符合评审标准的，作否决投标处理。</w:t>
      </w:r>
    </w:p>
    <w:p w14:paraId="09335820">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3.1.2 比选申请人有以下情形之一的，其投标作否决投标处理：</w:t>
      </w:r>
    </w:p>
    <w:p w14:paraId="092834CF">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（1）第二章“比选申请人须知”第1.4.3项规定的任何一种情形的；</w:t>
      </w:r>
    </w:p>
    <w:p w14:paraId="0F411580">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（2）本次投标有串通投标、弄虚作假等其他违反招投标相关法律、法规行为的；</w:t>
      </w:r>
    </w:p>
    <w:p w14:paraId="331996D4">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（3）拒绝按评选委员会要求澄清、说明或补正的。</w:t>
      </w:r>
    </w:p>
    <w:p w14:paraId="48387083">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3.1.3  比选申请报价有算术错误的，评选委员会按以下原则对比选申请报价进行修正，修正的价格经比选申请人书面确认后具有约束力，修正原则如下：</w:t>
      </w:r>
    </w:p>
    <w:p w14:paraId="0844D467">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（1）比选申请文件中的大写金额与小写金额不一致的，以大写金额为准；</w:t>
      </w:r>
    </w:p>
    <w:p w14:paraId="3A9483BB">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（2）比选申请函中的总报价与已标价工程量清单总报价不一致的，由评选委员会作否决投标处理。</w:t>
      </w:r>
    </w:p>
    <w:p w14:paraId="70E1A985">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3.2 详细评审</w:t>
      </w:r>
    </w:p>
    <w:p w14:paraId="6A8393C5">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3.2.1 评选委员会按本章第2.2款规定的量化因素和分值进行打分，并计算出综合评估得分。</w:t>
      </w:r>
    </w:p>
    <w:p w14:paraId="79F5AACB">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（1）按本章第3.2.1（1）目规定的评审因素和分值对投标总报价计算出得分A；</w:t>
      </w:r>
    </w:p>
    <w:p w14:paraId="566BA577">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（2）按本章第3.2.1（2）目规定的评审因素和分值对技术部分计算出得分B。</w:t>
      </w:r>
    </w:p>
    <w:p w14:paraId="5B399271">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3.2.2  各类评分分值的最终计算结果保留小数点后两位，小数点后第三位“四舍五入”。</w:t>
      </w:r>
    </w:p>
    <w:p w14:paraId="7692DBA9">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3.2.3  比选申请人得分=A+B。</w:t>
      </w:r>
    </w:p>
    <w:p w14:paraId="12DDFC1F">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3.3 比选申请文件的澄清和补正</w:t>
      </w:r>
    </w:p>
    <w:p w14:paraId="43BA379E">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3.3.1 在评选过程中，评选委员会可以书面形式要求比选申请人对所提交比选申请文件中不明确的内容进行书面澄清或说明，或者对细微偏差进行补正。评选委员会不接受比选申请人主动提出的澄清、说明或补正。</w:t>
      </w:r>
    </w:p>
    <w:p w14:paraId="5A3B16A5">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3.3.2 澄清、说明和补正不得改变比选申请文件的实质性内容（算术性错误修正的除外）。比选申请人的书面澄清、说明和补正属于比选申请文件的组成部分。</w:t>
      </w:r>
    </w:p>
    <w:p w14:paraId="2EC110C6">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3.3.3 评选委员会对比选申请人提交的澄清、说明或补正有疑问的，可以要求比选申请人进一步澄清、说明或补正，直至满足评选委员会的要求。</w:t>
      </w:r>
    </w:p>
    <w:p w14:paraId="598B38B7">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3.4 评选结果</w:t>
      </w:r>
    </w:p>
    <w:p w14:paraId="56E84E56">
      <w:pPr>
        <w:autoSpaceDE w:val="0"/>
        <w:autoSpaceDN w:val="0"/>
        <w:adjustRightInd w:val="0"/>
        <w:snapToGrid w:val="0"/>
        <w:spacing w:line="360" w:lineRule="auto"/>
        <w:ind w:firstLine="420" w:firstLineChars="200"/>
        <w:rPr>
          <w:rFonts w:hint="eastAsia" w:ascii="宋体" w:hAnsi="宋体" w:eastAsia="宋体" w:cs="Times New Roman"/>
          <w:b w:val="0"/>
          <w:snapToGrid w:val="0"/>
          <w:color w:val="auto"/>
          <w:highlight w:val="none"/>
        </w:rPr>
      </w:pPr>
      <w:r>
        <w:rPr>
          <w:rFonts w:hint="eastAsia" w:ascii="宋体" w:hAnsi="宋体" w:eastAsia="宋体" w:cs="Times New Roman"/>
          <w:b w:val="0"/>
          <w:snapToGrid w:val="0"/>
          <w:color w:val="auto"/>
          <w:highlight w:val="none"/>
        </w:rPr>
        <w:t>3.4.1 除第二章“比选申请人须知”前附表授权直接确定中选人外，评选委员会按照得分由高到低的顺序推荐中选候选人。</w:t>
      </w:r>
    </w:p>
    <w:p w14:paraId="71814C91">
      <w:pPr>
        <w:autoSpaceDE w:val="0"/>
        <w:autoSpaceDN w:val="0"/>
        <w:adjustRightInd w:val="0"/>
        <w:snapToGrid w:val="0"/>
        <w:spacing w:line="360" w:lineRule="auto"/>
        <w:ind w:firstLine="420" w:firstLineChars="200"/>
        <w:rPr>
          <w:rFonts w:ascii="宋体" w:hAnsi="宋体" w:eastAsia="宋体" w:cs="Times New Roman"/>
          <w:b w:val="0"/>
          <w:snapToGrid w:val="0"/>
          <w:color w:val="auto"/>
          <w:kern w:val="0"/>
          <w:szCs w:val="21"/>
          <w:highlight w:val="none"/>
        </w:rPr>
      </w:pPr>
      <w:r>
        <w:rPr>
          <w:rFonts w:hint="eastAsia" w:ascii="宋体" w:hAnsi="宋体" w:eastAsia="宋体" w:cs="Times New Roman"/>
          <w:b w:val="0"/>
          <w:snapToGrid w:val="0"/>
          <w:color w:val="auto"/>
          <w:highlight w:val="none"/>
        </w:rPr>
        <w:t>3.4.2 评选委员会完成评选后，应当向比选人提交书面评选报告。</w:t>
      </w:r>
    </w:p>
    <w:p w14:paraId="04BA0676">
      <w:pPr>
        <w:spacing w:line="360" w:lineRule="auto"/>
        <w:rPr>
          <w:rFonts w:ascii="宋体" w:hAnsi="宋体" w:eastAsia="宋体" w:cs="Times New Roman"/>
          <w:b/>
          <w:color w:val="auto"/>
          <w:szCs w:val="20"/>
          <w:highlight w:val="none"/>
        </w:rPr>
      </w:pPr>
      <w:r>
        <w:rPr>
          <w:rFonts w:ascii="宋体" w:hAnsi="宋体" w:eastAsia="宋体" w:cs="Times New Roman"/>
          <w:color w:val="auto"/>
          <w:kern w:val="0"/>
          <w:sz w:val="20"/>
          <w:szCs w:val="20"/>
          <w:highlight w:val="none"/>
        </w:rPr>
        <w:br w:type="page"/>
      </w:r>
    </w:p>
    <w:p w14:paraId="751760C7">
      <w:pPr>
        <w:widowControl/>
        <w:spacing w:line="360" w:lineRule="auto"/>
        <w:jc w:val="center"/>
        <w:rPr>
          <w:rFonts w:ascii="宋体" w:hAnsi="宋体" w:eastAsia="宋体" w:cs="Times New Roman"/>
          <w:b/>
          <w:color w:val="auto"/>
          <w:sz w:val="24"/>
          <w:szCs w:val="24"/>
          <w:highlight w:val="none"/>
          <w:u w:val="none"/>
          <w:lang w:val="en-US" w:eastAsia="zh-CN" w:bidi="ar-SA"/>
        </w:rPr>
      </w:pPr>
      <w:bookmarkStart w:id="546" w:name="招标文件04章合同条款及格式"/>
      <w:bookmarkEnd w:id="546"/>
      <w:bookmarkStart w:id="547" w:name="招标文件03章02评标办法综合评估法02附件02"/>
      <w:bookmarkEnd w:id="547"/>
      <w:r>
        <w:rPr>
          <w:rFonts w:ascii="宋体" w:hAnsi="宋体" w:eastAsia="宋体" w:cs="Times New Roman"/>
          <w:b/>
          <w:color w:val="auto"/>
          <w:sz w:val="24"/>
          <w:szCs w:val="24"/>
          <w:highlight w:val="none"/>
          <w:u w:val="none"/>
          <w:lang w:val="en-US" w:eastAsia="zh-CN" w:bidi="ar-SA"/>
        </w:rPr>
        <w:t>附件A：综合评估法否决投标情况一览表</w:t>
      </w:r>
    </w:p>
    <w:p w14:paraId="698DF20D">
      <w:pPr>
        <w:widowControl/>
        <w:spacing w:line="378" w:lineRule="exact"/>
        <w:ind w:firstLine="420" w:firstLineChars="200"/>
        <w:jc w:val="both"/>
        <w:rPr>
          <w:rFonts w:ascii="宋体" w:hAnsi="宋体" w:eastAsia="宋体" w:cs="Times New Roman"/>
          <w:color w:val="auto"/>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bidi="ar-SA"/>
        </w:rPr>
        <w:t>比选申请文件存在本一览表下列情形之一的，比选申请文件视为重大偏差并作否决投标处理，否则，评选委员会不得视为重大偏差而否决比选申请人的比选申请文件</w:t>
      </w:r>
      <w:r>
        <w:rPr>
          <w:rFonts w:ascii="宋体" w:hAnsi="宋体" w:eastAsia="宋体" w:cs="Times New Roman"/>
          <w:color w:val="auto"/>
          <w:sz w:val="21"/>
          <w:szCs w:val="21"/>
          <w:highlight w:val="none"/>
          <w:u w:val="none"/>
          <w:lang w:val="en-US" w:eastAsia="zh-CN" w:bidi="ar-SA"/>
        </w:rPr>
        <w:t>。</w:t>
      </w:r>
    </w:p>
    <w:tbl>
      <w:tblPr>
        <w:tblStyle w:val="4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AC1AF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62DBFDEB">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章节号</w:t>
            </w:r>
          </w:p>
        </w:tc>
        <w:tc>
          <w:tcPr>
            <w:tcW w:w="1899" w:type="dxa"/>
            <w:noWrap w:val="0"/>
            <w:vAlign w:val="center"/>
          </w:tcPr>
          <w:p w14:paraId="2124C0AA">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条款名称</w:t>
            </w:r>
          </w:p>
        </w:tc>
        <w:tc>
          <w:tcPr>
            <w:tcW w:w="6333" w:type="dxa"/>
            <w:noWrap w:val="0"/>
            <w:vAlign w:val="center"/>
          </w:tcPr>
          <w:p w14:paraId="69D6F685">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否决投标条件</w:t>
            </w:r>
          </w:p>
        </w:tc>
      </w:tr>
      <w:tr w14:paraId="11559F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374CE7C9">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restart"/>
            <w:noWrap w:val="0"/>
            <w:vAlign w:val="center"/>
          </w:tcPr>
          <w:p w14:paraId="757EA50B">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资格评审</w:t>
            </w:r>
          </w:p>
        </w:tc>
        <w:tc>
          <w:tcPr>
            <w:tcW w:w="6333" w:type="dxa"/>
            <w:noWrap w:val="0"/>
            <w:vAlign w:val="center"/>
          </w:tcPr>
          <w:p w14:paraId="3B7555D8">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比选申请人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须知前附表1.4.1项的要求，否则由评标委员会作否决投标处理。</w:t>
            </w:r>
          </w:p>
        </w:tc>
      </w:tr>
      <w:tr w14:paraId="2826C2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44687828">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49457CC1">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057EFA13">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比选申请人</w:t>
            </w:r>
            <w:r>
              <w:rPr>
                <w:rFonts w:hint="eastAsia" w:ascii="宋体" w:hAnsi="宋体"/>
                <w:color w:val="auto"/>
                <w:szCs w:val="21"/>
                <w:highlight w:val="none"/>
              </w:rPr>
              <w:t>的财务须满足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p>
        </w:tc>
      </w:tr>
      <w:tr w14:paraId="05B41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13A30BE">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24EEE2A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404BE04B">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比选申请人</w:t>
            </w:r>
            <w:r>
              <w:rPr>
                <w:rFonts w:hint="eastAsia" w:ascii="宋体" w:hAnsi="宋体"/>
                <w:color w:val="auto"/>
                <w:szCs w:val="21"/>
                <w:highlight w:val="none"/>
              </w:rPr>
              <w:t>的业绩须满足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r>
              <w:rPr>
                <w:rFonts w:hint="eastAsia" w:ascii="宋体" w:hAnsi="宋体"/>
                <w:color w:val="auto"/>
                <w:szCs w:val="21"/>
                <w:highlight w:val="none"/>
                <w:lang w:eastAsia="zh-CN"/>
              </w:rPr>
              <w:t>（如有）</w:t>
            </w:r>
            <w:r>
              <w:rPr>
                <w:rFonts w:hint="eastAsia" w:ascii="宋体" w:hAnsi="宋体"/>
                <w:color w:val="auto"/>
                <w:szCs w:val="21"/>
                <w:highlight w:val="none"/>
              </w:rPr>
              <w:t>。</w:t>
            </w:r>
          </w:p>
        </w:tc>
      </w:tr>
      <w:tr w14:paraId="7F8EC6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801A194">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5C6EE12F">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3F7BC85B">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比选申请人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须知前附表第1.4.1项第4条的要求，否则由评标委员会作否决投标处理。</w:t>
            </w:r>
          </w:p>
        </w:tc>
      </w:tr>
      <w:tr w14:paraId="19FAD8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25664A59">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78D06848">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56AC0808">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比选申请人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p>
        </w:tc>
      </w:tr>
      <w:tr w14:paraId="52AD66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blHeader/>
          <w:jc w:val="center"/>
        </w:trPr>
        <w:tc>
          <w:tcPr>
            <w:tcW w:w="1237" w:type="dxa"/>
            <w:vMerge w:val="continue"/>
            <w:noWrap w:val="0"/>
            <w:vAlign w:val="center"/>
          </w:tcPr>
          <w:p w14:paraId="3BBF1B4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39E05190">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711337BC">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比选申请人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p>
        </w:tc>
      </w:tr>
      <w:tr w14:paraId="66CD50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D109CCE">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restart"/>
            <w:noWrap w:val="0"/>
            <w:vAlign w:val="center"/>
          </w:tcPr>
          <w:p w14:paraId="69A54EC4">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形式评审</w:t>
            </w:r>
          </w:p>
        </w:tc>
        <w:tc>
          <w:tcPr>
            <w:tcW w:w="6333" w:type="dxa"/>
            <w:noWrap w:val="0"/>
            <w:vAlign w:val="top"/>
          </w:tcPr>
          <w:p w14:paraId="523DE019">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比选申请人</w:t>
            </w:r>
            <w:r>
              <w:rPr>
                <w:rFonts w:hint="eastAsia" w:ascii="宋体" w:hAnsi="宋体"/>
                <w:color w:val="auto"/>
                <w:szCs w:val="21"/>
                <w:highlight w:val="none"/>
              </w:rPr>
              <w:t>名称必须与营业执照、资质证书、安全生产许可证一致，依法变更名称的应提交相应证明材料，</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14:paraId="3A998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2EC815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540A2E8F">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top"/>
          </w:tcPr>
          <w:p w14:paraId="3FF4512A">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比选申请函</w:t>
            </w:r>
            <w:r>
              <w:rPr>
                <w:rFonts w:hint="eastAsia" w:ascii="宋体" w:hAnsi="宋体"/>
                <w:color w:val="auto"/>
                <w:szCs w:val="21"/>
                <w:highlight w:val="none"/>
              </w:rPr>
              <w:t>格式规定签字、盖章的位置有法定代表人或其委托代理人签字（或盖章）、加盖单位法人章，否则由评标委员会作否决投标处理。</w:t>
            </w:r>
          </w:p>
        </w:tc>
      </w:tr>
      <w:tr w14:paraId="05BF38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03AD9E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28216CEE">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top"/>
          </w:tcPr>
          <w:p w14:paraId="4FEEF424">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竞争性比选申请文件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须知”第3.7款的要求，否则由评标委员会作否决投标处理。</w:t>
            </w:r>
          </w:p>
          <w:p w14:paraId="231F77CB">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竞争性比选申请文件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竞争性比选申请文件</w:t>
            </w:r>
            <w:r>
              <w:rPr>
                <w:rFonts w:hint="eastAsia" w:ascii="宋体" w:hAnsi="宋体"/>
                <w:color w:val="auto"/>
                <w:kern w:val="0"/>
                <w:szCs w:val="21"/>
                <w:highlight w:val="none"/>
              </w:rPr>
              <w:t>格式”的相应要素作实质性修改，否则由评标委员会作否决投标处理。</w:t>
            </w:r>
          </w:p>
        </w:tc>
      </w:tr>
      <w:tr w14:paraId="3A4A6C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37" w:type="dxa"/>
            <w:vMerge w:val="continue"/>
            <w:noWrap w:val="0"/>
            <w:vAlign w:val="center"/>
          </w:tcPr>
          <w:p w14:paraId="4A558BA3">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35EB4698">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top"/>
          </w:tcPr>
          <w:p w14:paraId="3B70208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firstLineChars="200"/>
              <w:textAlignment w:val="auto"/>
              <w:rPr>
                <w:rFonts w:hint="eastAsia" w:ascii="宋体" w:hAnsi="宋体"/>
                <w:i/>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lang w:eastAsia="zh-CN"/>
              </w:rPr>
              <w:t>竞争性比选申请文件</w:t>
            </w:r>
            <w:r>
              <w:rPr>
                <w:rFonts w:hint="eastAsia" w:ascii="宋体" w:hAnsi="宋体"/>
                <w:color w:val="auto"/>
                <w:szCs w:val="21"/>
                <w:highlight w:val="none"/>
              </w:rPr>
              <w:t>份数符合第二章“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须知”第3.7.4项的规定，</w:t>
            </w:r>
            <w:r>
              <w:rPr>
                <w:rFonts w:hint="eastAsia" w:ascii="宋体" w:hAnsi="宋体"/>
                <w:color w:val="auto"/>
                <w:kern w:val="0"/>
                <w:szCs w:val="21"/>
                <w:highlight w:val="none"/>
              </w:rPr>
              <w:t>否则由评标委员会作否决投标处理。</w:t>
            </w:r>
          </w:p>
        </w:tc>
      </w:tr>
      <w:tr w14:paraId="3EE898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D0720B8">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362AC319">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top"/>
          </w:tcPr>
          <w:p w14:paraId="680D4BDE">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没有规定的情况下，不得提交选择性报价，否则由评标委员会作否决投标处理。</w:t>
            </w:r>
          </w:p>
        </w:tc>
      </w:tr>
      <w:tr w14:paraId="218A08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FD02A9B">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53C3FA72">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top"/>
          </w:tcPr>
          <w:p w14:paraId="0D5AD64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kern w:val="0"/>
                <w:highlight w:val="none"/>
              </w:rPr>
              <w:t xml:space="preserve">第八章 </w:t>
            </w:r>
            <w:r>
              <w:rPr>
                <w:rFonts w:hint="eastAsia" w:ascii="宋体" w:hAnsi="宋体" w:cs="宋体"/>
                <w:color w:val="auto"/>
                <w:kern w:val="0"/>
                <w:highlight w:val="none"/>
                <w:lang w:eastAsia="zh-CN"/>
              </w:rPr>
              <w:t>竞争性比选申请文件</w:t>
            </w:r>
            <w:r>
              <w:rPr>
                <w:rFonts w:hint="eastAsia" w:ascii="宋体" w:hAnsi="宋体" w:cs="宋体"/>
                <w:color w:val="auto"/>
                <w:kern w:val="0"/>
                <w:highlight w:val="none"/>
              </w:rPr>
              <w:t>格式要求法定代表人或其委托代理人签字（或盖章）的须齐全。</w:t>
            </w:r>
          </w:p>
        </w:tc>
      </w:tr>
      <w:tr w14:paraId="5BBCE4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7DB3082">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6145CF76">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top"/>
          </w:tcPr>
          <w:p w14:paraId="7825F8A2">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比选申请人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为其缴纳的养老保险证明材料，否则由评标委员会作否决投标处理。</w:t>
            </w:r>
          </w:p>
        </w:tc>
      </w:tr>
      <w:tr w14:paraId="68903F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3369339">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restart"/>
            <w:noWrap w:val="0"/>
            <w:vAlign w:val="center"/>
          </w:tcPr>
          <w:p w14:paraId="668D8E81">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响应性评审</w:t>
            </w:r>
          </w:p>
        </w:tc>
        <w:tc>
          <w:tcPr>
            <w:tcW w:w="6333" w:type="dxa"/>
            <w:noWrap w:val="0"/>
            <w:vAlign w:val="center"/>
          </w:tcPr>
          <w:p w14:paraId="22E0E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26008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DFE599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370CB2AB">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79CE7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74483C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D1640DE">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62250DA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66BFA4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6</w:t>
            </w:r>
            <w:r>
              <w:rPr>
                <w:rFonts w:hint="eastAsia" w:ascii="宋体" w:hAnsi="宋体"/>
                <w:color w:val="auto"/>
                <w:szCs w:val="21"/>
                <w:highlight w:val="none"/>
              </w:rPr>
              <w:t>暂列金额、暂估价、安全</w:t>
            </w:r>
            <w:r>
              <w:rPr>
                <w:rFonts w:hint="eastAsia" w:ascii="宋体" w:hAnsi="宋体"/>
                <w:color w:val="auto"/>
                <w:szCs w:val="21"/>
                <w:highlight w:val="none"/>
                <w:lang w:val="en-US" w:eastAsia="zh-CN"/>
              </w:rPr>
              <w:t>生产</w:t>
            </w:r>
            <w:r>
              <w:rPr>
                <w:rFonts w:hint="eastAsia" w:ascii="宋体" w:hAnsi="宋体"/>
                <w:color w:val="auto"/>
                <w:szCs w:val="21"/>
                <w:highlight w:val="none"/>
              </w:rPr>
              <w:t>费等暂定金额必须按照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给定的金额填报，否则由评标委员会作否决投标处理。</w:t>
            </w:r>
          </w:p>
        </w:tc>
      </w:tr>
      <w:tr w14:paraId="7A17A8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261D591">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753696A0">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27727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7</w:t>
            </w:r>
            <w:r>
              <w:rPr>
                <w:rFonts w:hint="eastAsia" w:ascii="宋体" w:hAnsi="宋体"/>
                <w:color w:val="auto"/>
                <w:szCs w:val="21"/>
                <w:highlight w:val="none"/>
              </w:rPr>
              <w:t>投标内容符合第二章“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须知”第1.3.1项规定，否则由评标委员会作否决投标处理。</w:t>
            </w:r>
          </w:p>
        </w:tc>
      </w:tr>
      <w:tr w14:paraId="24C8A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A254780">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16A971F9">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382B0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工期符合第二章“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须知”第1.3.2项规定，否则由评标委员会作否决投标处理。</w:t>
            </w:r>
          </w:p>
        </w:tc>
      </w:tr>
      <w:tr w14:paraId="33CCB4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AF126B7">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2D39F392">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770C8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工程质量符合第二章“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须知”第1.3.3项规定，否则由评标委员会作否决投标处理。</w:t>
            </w:r>
          </w:p>
        </w:tc>
      </w:tr>
      <w:tr w14:paraId="573555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F72900C">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752769D6">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63597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投标有效期符合第二章“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须知”第3.3.1项规定，否则由评标委员会作否决投标处理。</w:t>
            </w:r>
          </w:p>
        </w:tc>
      </w:tr>
      <w:tr w14:paraId="0F7C7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CE059E1">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20D5DD06">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5BC33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比选申请人</w:t>
            </w:r>
            <w:r>
              <w:rPr>
                <w:rFonts w:hint="default" w:ascii="宋体" w:hAnsi="宋体"/>
                <w:color w:val="auto"/>
                <w:szCs w:val="21"/>
                <w:highlight w:val="none"/>
              </w:rPr>
              <w:t>应按</w:t>
            </w:r>
            <w:r>
              <w:rPr>
                <w:rFonts w:hint="eastAsia" w:ascii="宋体" w:hAnsi="宋体"/>
                <w:color w:val="auto"/>
                <w:szCs w:val="21"/>
                <w:highlight w:val="none"/>
                <w:lang w:eastAsia="zh-CN"/>
              </w:rPr>
              <w:t>比选申请人</w:t>
            </w:r>
            <w:r>
              <w:rPr>
                <w:rFonts w:hint="default" w:ascii="宋体" w:hAnsi="宋体"/>
                <w:color w:val="auto"/>
                <w:szCs w:val="21"/>
                <w:highlight w:val="none"/>
              </w:rPr>
              <w:t>须知前附表</w:t>
            </w:r>
            <w:r>
              <w:rPr>
                <w:rFonts w:hint="eastAsia" w:ascii="宋体" w:hAnsi="宋体"/>
                <w:color w:val="auto"/>
                <w:szCs w:val="21"/>
                <w:highlight w:val="none"/>
              </w:rPr>
              <w:t>第3.4款的</w:t>
            </w:r>
            <w:r>
              <w:rPr>
                <w:rFonts w:hint="default" w:ascii="宋体" w:hAnsi="宋体"/>
                <w:color w:val="auto"/>
                <w:szCs w:val="21"/>
                <w:highlight w:val="none"/>
              </w:rPr>
              <w:t>规定递交投标保证金，并作为其</w:t>
            </w:r>
            <w:r>
              <w:rPr>
                <w:rFonts w:hint="eastAsia" w:ascii="宋体" w:hAnsi="宋体"/>
                <w:color w:val="auto"/>
                <w:szCs w:val="21"/>
                <w:highlight w:val="none"/>
                <w:lang w:eastAsia="zh-CN"/>
              </w:rPr>
              <w:t>竞争性比选申请文件</w:t>
            </w:r>
            <w:r>
              <w:rPr>
                <w:rFonts w:hint="default" w:ascii="宋体" w:hAnsi="宋体"/>
                <w:color w:val="auto"/>
                <w:szCs w:val="21"/>
                <w:highlight w:val="none"/>
              </w:rPr>
              <w:t>的组成部分</w:t>
            </w:r>
            <w:r>
              <w:rPr>
                <w:rFonts w:hint="eastAsia" w:ascii="宋体" w:hAnsi="宋体"/>
                <w:color w:val="auto"/>
                <w:szCs w:val="21"/>
                <w:highlight w:val="none"/>
              </w:rPr>
              <w:t>，</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14:paraId="0B191D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566EC20">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21BCB6FD">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500A6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符合第四章“合同条款及格式”规定，</w:t>
            </w:r>
            <w:r>
              <w:rPr>
                <w:rFonts w:hint="eastAsia" w:ascii="宋体" w:hAnsi="宋体"/>
                <w:color w:val="auto"/>
                <w:szCs w:val="21"/>
                <w:highlight w:val="none"/>
                <w:lang w:eastAsia="zh-CN"/>
              </w:rPr>
              <w:t>竞争性比选申请文件</w:t>
            </w:r>
            <w:r>
              <w:rPr>
                <w:rFonts w:hint="eastAsia" w:ascii="宋体" w:hAnsi="宋体"/>
                <w:color w:val="auto"/>
                <w:szCs w:val="21"/>
                <w:highlight w:val="none"/>
              </w:rPr>
              <w:t>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竞争性比选申请文件</w:t>
            </w:r>
            <w:r>
              <w:rPr>
                <w:rFonts w:hint="eastAsia" w:ascii="宋体" w:hAnsi="宋体"/>
                <w:color w:val="auto"/>
                <w:szCs w:val="21"/>
                <w:highlight w:val="none"/>
              </w:rPr>
              <w:t>格式。）</w:t>
            </w:r>
          </w:p>
        </w:tc>
      </w:tr>
      <w:tr w14:paraId="2B4952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8E97E42">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0F35B416">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0EC72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3</w:t>
            </w:r>
            <w:r>
              <w:rPr>
                <w:rFonts w:hint="eastAsia" w:ascii="宋体" w:hAnsi="宋体"/>
                <w:color w:val="auto"/>
                <w:szCs w:val="21"/>
                <w:highlight w:val="none"/>
              </w:rPr>
              <w:t>符合第七章“技术标准和要求”规定。否则由评标委员会作否决投标处理（如有）。（由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竞争性比选申请文件</w:t>
            </w:r>
            <w:r>
              <w:rPr>
                <w:rFonts w:hint="eastAsia" w:ascii="宋体" w:hAnsi="宋体"/>
                <w:color w:val="auto"/>
                <w:szCs w:val="21"/>
                <w:highlight w:val="none"/>
              </w:rPr>
              <w:t>格式。）</w:t>
            </w:r>
          </w:p>
        </w:tc>
      </w:tr>
      <w:tr w14:paraId="63F7BF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CBC5BF7">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3322D550">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7F607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比选申请人</w:t>
            </w:r>
            <w:r>
              <w:rPr>
                <w:rFonts w:hint="eastAsia" w:ascii="宋体" w:hAnsi="宋体"/>
                <w:color w:val="auto"/>
                <w:szCs w:val="21"/>
                <w:highlight w:val="none"/>
              </w:rPr>
              <w:t>提供的关于已标价工程量清单的承诺符合</w:t>
            </w:r>
            <w:r>
              <w:rPr>
                <w:rFonts w:hint="eastAsia" w:ascii="宋体" w:hAnsi="宋体"/>
                <w:color w:val="auto"/>
                <w:szCs w:val="21"/>
                <w:highlight w:val="none"/>
                <w:lang w:eastAsia="zh-CN"/>
              </w:rPr>
              <w:t>竞争性比选文件</w:t>
            </w:r>
            <w:r>
              <w:rPr>
                <w:rFonts w:hint="eastAsia" w:ascii="宋体" w:hAnsi="宋体"/>
                <w:color w:val="auto"/>
                <w:szCs w:val="21"/>
                <w:highlight w:val="none"/>
              </w:rPr>
              <w:t>的要求，</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14:paraId="568FA3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3868345">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560F7AC9">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086C1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5</w:t>
            </w:r>
            <w:r>
              <w:rPr>
                <w:rFonts w:hint="eastAsia" w:ascii="宋体" w:hAnsi="宋体"/>
                <w:color w:val="auto"/>
                <w:szCs w:val="21"/>
                <w:highlight w:val="none"/>
              </w:rPr>
              <w:t>投标报价有算术错误的，按照第三章“评标办法”第3.1.3项规定执行，否则由评标委员会作否决投标处理</w:t>
            </w:r>
            <w:r>
              <w:rPr>
                <w:rFonts w:hint="default" w:ascii="宋体" w:hAnsi="宋体"/>
                <w:color w:val="auto"/>
                <w:szCs w:val="21"/>
                <w:highlight w:val="none"/>
              </w:rPr>
              <w:t>。</w:t>
            </w:r>
          </w:p>
        </w:tc>
      </w:tr>
      <w:tr w14:paraId="5D43DD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808DC36">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899" w:type="dxa"/>
            <w:vMerge w:val="continue"/>
            <w:noWrap w:val="0"/>
            <w:vAlign w:val="center"/>
          </w:tcPr>
          <w:p w14:paraId="749EE7E4">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6333" w:type="dxa"/>
            <w:noWrap w:val="0"/>
            <w:vAlign w:val="center"/>
          </w:tcPr>
          <w:p w14:paraId="3A40D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比选申请人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竞争性比选申请文件</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r>
              <w:rPr>
                <w:rFonts w:hint="eastAsia" w:ascii="宋体" w:hAnsi="宋体"/>
                <w:color w:val="auto"/>
                <w:szCs w:val="21"/>
                <w:highlight w:val="none"/>
              </w:rPr>
              <w:t>：</w:t>
            </w:r>
          </w:p>
          <w:p w14:paraId="25D145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须知”第1.4.3项规定的任何一种情形的；</w:t>
            </w:r>
          </w:p>
          <w:p w14:paraId="462FD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2D26D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038AD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7D32E548">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其他</w:t>
            </w:r>
          </w:p>
        </w:tc>
        <w:tc>
          <w:tcPr>
            <w:tcW w:w="1899" w:type="dxa"/>
            <w:noWrap w:val="0"/>
            <w:vAlign w:val="center"/>
          </w:tcPr>
          <w:p w14:paraId="7516A41A">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6333" w:type="dxa"/>
            <w:noWrap w:val="0"/>
            <w:vAlign w:val="top"/>
          </w:tcPr>
          <w:p w14:paraId="2420B741">
            <w:pPr>
              <w:keepNext w:val="0"/>
              <w:keepLines w:val="0"/>
              <w:suppressLineNumbers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color w:val="auto"/>
                <w:szCs w:val="21"/>
                <w:highlight w:val="none"/>
              </w:rPr>
              <w:t>比选文件规定的其他否决情形。</w:t>
            </w:r>
          </w:p>
        </w:tc>
      </w:tr>
    </w:tbl>
    <w:p w14:paraId="4413FA34">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48" w:name="招标文件03章02评标办法综合评估法"/>
      <w:bookmarkEnd w:id="548"/>
      <w:bookmarkStart w:id="549" w:name="招标文件03章02评标办法综合评估法00"/>
      <w:bookmarkEnd w:id="549"/>
      <w:bookmarkStart w:id="550" w:name="_Toc287607812"/>
      <w:bookmarkStart w:id="551" w:name="_Toc200513198"/>
      <w:bookmarkStart w:id="552" w:name="_Toc287620751"/>
      <w:bookmarkStart w:id="553" w:name="_Toc430530500"/>
      <w:bookmarkStart w:id="554" w:name="_Toc277082618"/>
      <w:bookmarkStart w:id="555" w:name="_Toc224103384"/>
    </w:p>
    <w:bookmarkEnd w:id="550"/>
    <w:bookmarkEnd w:id="551"/>
    <w:bookmarkEnd w:id="552"/>
    <w:bookmarkEnd w:id="553"/>
    <w:bookmarkEnd w:id="554"/>
    <w:bookmarkEnd w:id="555"/>
    <w:p w14:paraId="423B9B07">
      <w:pPr>
        <w:keepNext/>
        <w:keepLines/>
        <w:widowControl w:val="0"/>
        <w:spacing w:before="340" w:after="330" w:line="360" w:lineRule="auto"/>
        <w:ind w:firstLine="883"/>
        <w:jc w:val="center"/>
        <w:outlineLvl w:val="0"/>
        <w:rPr>
          <w:rFonts w:ascii="宋体" w:hAnsi="宋体" w:eastAsia="宋体" w:cs="Times New Roman"/>
          <w:b/>
          <w:bCs/>
          <w:color w:val="auto"/>
          <w:kern w:val="0"/>
          <w:sz w:val="44"/>
          <w:szCs w:val="44"/>
          <w:highlight w:val="none"/>
          <w:lang w:val="en-US" w:eastAsia="zh-CN" w:bidi="ar-SA"/>
        </w:rPr>
      </w:pPr>
      <w:bookmarkStart w:id="556" w:name="_Toc430530509"/>
      <w:bookmarkStart w:id="557" w:name="_Toc8427"/>
      <w:bookmarkStart w:id="558" w:name="_Toc25309"/>
      <w:bookmarkStart w:id="559" w:name="_Toc8820"/>
      <w:bookmarkStart w:id="560" w:name="_Toc509218785"/>
      <w:r>
        <w:rPr>
          <w:rFonts w:hint="eastAsia" w:ascii="宋体" w:hAnsi="宋体" w:eastAsia="宋体" w:cs="Times New Roman"/>
          <w:b/>
          <w:bCs/>
          <w:color w:val="auto"/>
          <w:kern w:val="0"/>
          <w:sz w:val="44"/>
          <w:szCs w:val="44"/>
          <w:highlight w:val="none"/>
          <w:lang w:val="en-US" w:eastAsia="zh-CN" w:bidi="ar-SA"/>
        </w:rPr>
        <w:t>第四章  合同条款及格式</w:t>
      </w:r>
      <w:bookmarkEnd w:id="556"/>
      <w:bookmarkEnd w:id="557"/>
      <w:bookmarkEnd w:id="558"/>
      <w:bookmarkEnd w:id="559"/>
      <w:bookmarkEnd w:id="560"/>
    </w:p>
    <w:p w14:paraId="6B72E485">
      <w:pPr>
        <w:rPr>
          <w:rFonts w:ascii="宋体" w:hAnsi="宋体" w:eastAsia="宋体" w:cs="Times New Roman"/>
          <w:b/>
          <w:color w:val="auto"/>
          <w:highlight w:val="none"/>
        </w:rPr>
      </w:pPr>
      <w:r>
        <w:rPr>
          <w:rFonts w:ascii="宋体" w:hAnsi="宋体" w:eastAsia="宋体" w:cs="Times New Roman"/>
          <w:color w:val="auto"/>
          <w:highlight w:val="none"/>
        </w:rPr>
        <w:br w:type="page"/>
      </w:r>
    </w:p>
    <w:p w14:paraId="788A7B4C">
      <w:pPr>
        <w:pStyle w:val="2"/>
        <w:rPr>
          <w:color w:val="auto"/>
          <w:highlight w:val="none"/>
        </w:rPr>
      </w:pPr>
      <w:bookmarkStart w:id="561" w:name="_Toc296503025"/>
      <w:bookmarkStart w:id="562" w:name="_Toc296890982"/>
      <w:bookmarkStart w:id="563" w:name="_Toc351203480"/>
    </w:p>
    <w:p w14:paraId="0E34EC0D">
      <w:pPr>
        <w:spacing w:line="360" w:lineRule="auto"/>
        <w:jc w:val="center"/>
        <w:rPr>
          <w:rFonts w:ascii="宋体" w:hAnsi="宋体"/>
          <w:sz w:val="44"/>
          <w:szCs w:val="44"/>
          <w:highlight w:val="none"/>
        </w:rPr>
      </w:pPr>
      <w:bookmarkStart w:id="564" w:name="_Toc21221"/>
      <w:bookmarkEnd w:id="564"/>
      <w:bookmarkStart w:id="565" w:name="_Toc509218786"/>
      <w:bookmarkEnd w:id="565"/>
      <w:bookmarkStart w:id="566" w:name="_Toc534185765"/>
      <w:bookmarkEnd w:id="566"/>
      <w:bookmarkStart w:id="567" w:name="_Toc12845"/>
      <w:bookmarkEnd w:id="567"/>
      <w:bookmarkStart w:id="568" w:name="_Toc509218843"/>
      <w:bookmarkStart w:id="569" w:name="_Toc287620797"/>
      <w:bookmarkStart w:id="570" w:name="_Toc16194"/>
      <w:bookmarkStart w:id="571" w:name="_Toc534185822"/>
      <w:bookmarkStart w:id="572" w:name="_Toc26787"/>
      <w:bookmarkStart w:id="573" w:name="_Toc430530513"/>
      <w:bookmarkStart w:id="574" w:name="_Toc287607855"/>
      <w:r>
        <w:rPr>
          <w:rFonts w:hint="eastAsia" w:ascii="宋体" w:hAnsi="宋体"/>
          <w:sz w:val="44"/>
          <w:szCs w:val="44"/>
          <w:highlight w:val="none"/>
        </w:rPr>
        <w:t>第一部分 合同协议书</w:t>
      </w:r>
    </w:p>
    <w:p w14:paraId="4A730F6A">
      <w:pPr>
        <w:pStyle w:val="140"/>
        <w:snapToGrid w:val="0"/>
        <w:spacing w:before="0" w:line="360" w:lineRule="auto"/>
        <w:ind w:firstLine="562" w:firstLineChars="200"/>
        <w:rPr>
          <w:rFonts w:ascii="宋体" w:hAnsi="宋体"/>
          <w:color w:val="auto"/>
          <w:highlight w:val="none"/>
        </w:rPr>
      </w:pPr>
    </w:p>
    <w:p w14:paraId="6BF5C19B">
      <w:pPr>
        <w:spacing w:line="360" w:lineRule="auto"/>
        <w:ind w:firstLine="420" w:firstLineChars="200"/>
        <w:rPr>
          <w:rFonts w:ascii="宋体" w:hAnsi="宋体"/>
          <w:bCs/>
          <w:i/>
          <w:szCs w:val="21"/>
          <w:highlight w:val="none"/>
        </w:rPr>
      </w:pPr>
      <w:r>
        <w:rPr>
          <w:rFonts w:hint="eastAsia" w:ascii="宋体" w:hAnsi="宋体"/>
          <w:bCs/>
          <w:i/>
          <w:szCs w:val="21"/>
          <w:highlight w:val="none"/>
        </w:rPr>
        <w:t>[提示：合同协议书为示范性内容，招标人在编制招标文件时不必填写，供中标后签订合同时填写。]</w:t>
      </w:r>
    </w:p>
    <w:p w14:paraId="0BA6E9F6">
      <w:pPr>
        <w:rPr>
          <w:rFonts w:ascii="宋体" w:hAnsi="宋体"/>
          <w:b/>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1569C56C"/>
                        </w:txbxContent>
                      </wps:txbx>
                      <wps:bodyPr wrap="square" upright="1"/>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14:paraId="1569C56C"/>
                  </w:txbxContent>
                </v:textbox>
              </v:rect>
            </w:pict>
          </mc:Fallback>
        </mc:AlternateContent>
      </w:r>
      <w:r>
        <w:rPr>
          <w:rFonts w:ascii="宋体" w:hAnsi="宋体"/>
          <w:highlight w:val="none"/>
        </w:rPr>
        <w:br w:type="page"/>
      </w:r>
    </w:p>
    <w:p w14:paraId="3537EBBF">
      <w:pPr>
        <w:pStyle w:val="5"/>
        <w:jc w:val="center"/>
        <w:rPr>
          <w:rFonts w:ascii="宋体" w:hAnsi="宋体"/>
          <w:b w:val="0"/>
          <w:sz w:val="44"/>
          <w:szCs w:val="44"/>
          <w:highlight w:val="none"/>
        </w:rPr>
      </w:pPr>
      <w:bookmarkStart w:id="575" w:name="_Toc57820637"/>
      <w:bookmarkStart w:id="576" w:name="_Toc22340"/>
      <w:bookmarkStart w:id="577" w:name="_Toc351203494"/>
      <w:r>
        <w:rPr>
          <w:rFonts w:ascii="宋体" w:hAnsi="宋体"/>
          <w:sz w:val="44"/>
          <w:szCs w:val="44"/>
          <w:highlight w:val="none"/>
        </w:rPr>
        <w:t>第一部分 合同协议书</w:t>
      </w:r>
      <w:bookmarkEnd w:id="575"/>
      <w:bookmarkEnd w:id="576"/>
    </w:p>
    <w:bookmarkEnd w:id="577"/>
    <w:p w14:paraId="2B29CA80">
      <w:pPr>
        <w:snapToGrid w:val="0"/>
        <w:spacing w:line="600" w:lineRule="exact"/>
        <w:ind w:firstLine="480" w:firstLineChars="200"/>
        <w:rPr>
          <w:rFonts w:ascii="宋体" w:hAnsi="宋体"/>
          <w:sz w:val="24"/>
          <w:highlight w:val="none"/>
        </w:rPr>
      </w:pPr>
      <w:bookmarkStart w:id="578" w:name="_Toc351203632"/>
    </w:p>
    <w:p w14:paraId="701B5EFD">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14:paraId="58F1E495">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14:paraId="53A4DB06">
      <w:pPr>
        <w:spacing w:line="360" w:lineRule="auto"/>
        <w:ind w:firstLine="420" w:firstLineChars="200"/>
        <w:rPr>
          <w:rFonts w:ascii="宋体" w:hAnsi="宋体"/>
          <w:b/>
          <w:szCs w:val="21"/>
          <w:highlight w:val="none"/>
          <w:u w:val="single"/>
        </w:rPr>
      </w:pPr>
      <w:r>
        <w:rPr>
          <w:rFonts w:hint="eastAsia" w:ascii="宋体" w:hAnsi="宋体"/>
          <w:szCs w:val="21"/>
          <w:highlight w:val="none"/>
        </w:rPr>
        <w:t>根据《中华人民共和国民法典》、《中华人民共和国建筑法》及有关法律、法规规定，遵循平等、自愿、公平和诚实信用的原则，双方就</w:t>
      </w:r>
      <w:r>
        <w:rPr>
          <w:rFonts w:hint="eastAsia" w:ascii="宋体" w:hAnsi="宋体"/>
          <w:szCs w:val="21"/>
          <w:highlight w:val="none"/>
          <w:u w:val="single"/>
        </w:rPr>
        <w:t xml:space="preserve">                           </w:t>
      </w:r>
      <w:r>
        <w:rPr>
          <w:rFonts w:hint="eastAsia" w:ascii="宋体" w:hAnsi="宋体"/>
          <w:szCs w:val="21"/>
          <w:highlight w:val="none"/>
        </w:rPr>
        <w:t>工程施工及有关事项协商一致，共同达成如下协议：</w:t>
      </w:r>
    </w:p>
    <w:p w14:paraId="132B5B92">
      <w:pPr>
        <w:pStyle w:val="6"/>
        <w:keepNext/>
        <w:keepLines/>
        <w:spacing w:before="120" w:after="120" w:line="360" w:lineRule="auto"/>
        <w:ind w:firstLine="422" w:firstLineChars="200"/>
        <w:jc w:val="both"/>
        <w:rPr>
          <w:kern w:val="2"/>
          <w:sz w:val="21"/>
          <w:szCs w:val="21"/>
          <w:highlight w:val="none"/>
        </w:rPr>
      </w:pPr>
      <w:bookmarkStart w:id="579" w:name="_Toc532377166"/>
      <w:bookmarkStart w:id="580" w:name="_Toc351203481"/>
      <w:bookmarkStart w:id="581" w:name="_Toc532375573"/>
      <w:r>
        <w:rPr>
          <w:rFonts w:hint="eastAsia"/>
          <w:kern w:val="2"/>
          <w:sz w:val="21"/>
          <w:szCs w:val="21"/>
          <w:highlight w:val="none"/>
        </w:rPr>
        <w:t>一、工程概况</w:t>
      </w:r>
      <w:bookmarkEnd w:id="579"/>
      <w:bookmarkEnd w:id="580"/>
      <w:bookmarkEnd w:id="581"/>
    </w:p>
    <w:p w14:paraId="2EAEBF4B">
      <w:pPr>
        <w:snapToGrid w:val="0"/>
        <w:spacing w:line="360" w:lineRule="auto"/>
        <w:ind w:firstLine="420" w:firstLineChars="200"/>
        <w:rPr>
          <w:rFonts w:ascii="宋体" w:hAnsi="宋体"/>
          <w:szCs w:val="21"/>
          <w:highlight w:val="none"/>
          <w:u w:val="single"/>
        </w:rPr>
      </w:pPr>
      <w:r>
        <w:rPr>
          <w:rFonts w:hint="eastAsia" w:ascii="宋体" w:hAnsi="宋体"/>
          <w:bCs/>
          <w:szCs w:val="21"/>
          <w:highlight w:val="none"/>
        </w:rPr>
        <w:t>1.工程名称</w:t>
      </w:r>
      <w:r>
        <w:rPr>
          <w:rFonts w:hint="eastAsia" w:ascii="宋体" w:hAnsi="宋体"/>
          <w:szCs w:val="21"/>
          <w:highlight w:val="none"/>
        </w:rPr>
        <w:t>：</w:t>
      </w:r>
      <w:r>
        <w:rPr>
          <w:rFonts w:hint="eastAsia" w:ascii="宋体" w:hAnsi="宋体"/>
          <w:szCs w:val="21"/>
          <w:highlight w:val="none"/>
          <w:u w:val="single"/>
        </w:rPr>
        <w:t xml:space="preserve">                                 </w:t>
      </w:r>
      <w:r>
        <w:rPr>
          <w:rFonts w:hint="eastAsia" w:ascii="宋体" w:hAnsi="宋体"/>
          <w:szCs w:val="21"/>
          <w:highlight w:val="none"/>
        </w:rPr>
        <w:t>。</w:t>
      </w:r>
    </w:p>
    <w:p w14:paraId="667BE05B">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2.工程地点：</w:t>
      </w:r>
      <w:r>
        <w:rPr>
          <w:rFonts w:hint="eastAsia" w:ascii="宋体" w:hAnsi="宋体"/>
          <w:szCs w:val="21"/>
          <w:highlight w:val="none"/>
          <w:u w:val="single"/>
        </w:rPr>
        <w:t xml:space="preserve">                                 </w:t>
      </w:r>
      <w:r>
        <w:rPr>
          <w:rFonts w:hint="eastAsia" w:ascii="宋体" w:hAnsi="宋体"/>
          <w:szCs w:val="21"/>
          <w:highlight w:val="none"/>
        </w:rPr>
        <w:t>。</w:t>
      </w:r>
    </w:p>
    <w:p w14:paraId="6E48DAE2">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3.工程立项批准文号：</w:t>
      </w:r>
      <w:r>
        <w:rPr>
          <w:rFonts w:hint="eastAsia" w:ascii="宋体" w:hAnsi="宋体"/>
          <w:szCs w:val="21"/>
          <w:highlight w:val="none"/>
          <w:u w:val="single"/>
        </w:rPr>
        <w:t xml:space="preserve">                        </w:t>
      </w:r>
      <w:r>
        <w:rPr>
          <w:rFonts w:hint="eastAsia" w:ascii="宋体" w:hAnsi="宋体"/>
          <w:bCs/>
          <w:szCs w:val="21"/>
          <w:highlight w:val="none"/>
        </w:rPr>
        <w:t>。</w:t>
      </w:r>
    </w:p>
    <w:p w14:paraId="2E6FEA31">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4.资金来源：</w:t>
      </w:r>
      <w:r>
        <w:rPr>
          <w:rFonts w:hint="eastAsia" w:ascii="宋体" w:hAnsi="宋体"/>
          <w:szCs w:val="21"/>
          <w:highlight w:val="none"/>
          <w:u w:val="single"/>
        </w:rPr>
        <w:t xml:space="preserve">                                 </w:t>
      </w:r>
      <w:r>
        <w:rPr>
          <w:rFonts w:hint="eastAsia" w:ascii="宋体" w:hAnsi="宋体"/>
          <w:szCs w:val="21"/>
          <w:highlight w:val="none"/>
        </w:rPr>
        <w:t>。</w:t>
      </w:r>
    </w:p>
    <w:p w14:paraId="6913DDDB">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5.工程内容：</w:t>
      </w:r>
      <w:r>
        <w:rPr>
          <w:rFonts w:hint="eastAsia" w:ascii="宋体" w:hAnsi="宋体"/>
          <w:szCs w:val="21"/>
          <w:highlight w:val="none"/>
          <w:u w:val="single"/>
        </w:rPr>
        <w:t xml:space="preserve">                                 </w:t>
      </w:r>
      <w:r>
        <w:rPr>
          <w:rFonts w:hint="eastAsia" w:ascii="宋体" w:hAnsi="宋体"/>
          <w:szCs w:val="21"/>
          <w:highlight w:val="none"/>
        </w:rPr>
        <w:t>。</w:t>
      </w:r>
    </w:p>
    <w:p w14:paraId="6F81308B">
      <w:pPr>
        <w:snapToGrid w:val="0"/>
        <w:spacing w:line="360" w:lineRule="auto"/>
        <w:ind w:firstLine="420" w:firstLineChars="200"/>
        <w:jc w:val="left"/>
        <w:rPr>
          <w:rFonts w:ascii="宋体" w:hAnsi="宋体"/>
          <w:bCs/>
          <w:szCs w:val="21"/>
          <w:highlight w:val="none"/>
        </w:rPr>
      </w:pPr>
      <w:r>
        <w:rPr>
          <w:rFonts w:hint="eastAsia" w:ascii="宋体" w:hAnsi="宋体"/>
          <w:bCs/>
          <w:szCs w:val="21"/>
          <w:highlight w:val="none"/>
        </w:rPr>
        <w:t>6.工程承包范围：</w:t>
      </w:r>
      <w:r>
        <w:rPr>
          <w:rFonts w:hint="eastAsia" w:ascii="宋体" w:hAnsi="宋体"/>
          <w:szCs w:val="21"/>
          <w:highlight w:val="none"/>
          <w:u w:val="single"/>
        </w:rPr>
        <w:t xml:space="preserve">                     </w:t>
      </w:r>
      <w:r>
        <w:rPr>
          <w:rFonts w:hint="eastAsia" w:ascii="宋体" w:hAnsi="宋体"/>
          <w:szCs w:val="21"/>
          <w:highlight w:val="none"/>
        </w:rPr>
        <w:t>。</w:t>
      </w:r>
    </w:p>
    <w:p w14:paraId="2C2026C3">
      <w:pPr>
        <w:pStyle w:val="6"/>
        <w:keepNext/>
        <w:keepLines/>
        <w:spacing w:before="120" w:after="120" w:line="360" w:lineRule="auto"/>
        <w:ind w:firstLine="422" w:firstLineChars="200"/>
        <w:jc w:val="both"/>
        <w:rPr>
          <w:kern w:val="2"/>
          <w:sz w:val="21"/>
          <w:szCs w:val="21"/>
          <w:highlight w:val="none"/>
        </w:rPr>
      </w:pPr>
      <w:bookmarkStart w:id="582" w:name="_Toc351203482"/>
      <w:bookmarkStart w:id="583" w:name="_Toc532377167"/>
      <w:bookmarkStart w:id="584" w:name="_Toc532375574"/>
      <w:r>
        <w:rPr>
          <w:rFonts w:hint="eastAsia"/>
          <w:kern w:val="2"/>
          <w:sz w:val="21"/>
          <w:szCs w:val="21"/>
          <w:highlight w:val="none"/>
        </w:rPr>
        <w:t>二、合同工期</w:t>
      </w:r>
      <w:bookmarkEnd w:id="582"/>
      <w:bookmarkEnd w:id="583"/>
      <w:bookmarkEnd w:id="584"/>
    </w:p>
    <w:p w14:paraId="77F69229">
      <w:pPr>
        <w:spacing w:line="360" w:lineRule="auto"/>
        <w:ind w:firstLine="420" w:firstLineChars="200"/>
        <w:rPr>
          <w:rFonts w:ascii="宋体" w:hAnsi="宋体"/>
          <w:bCs/>
          <w:szCs w:val="21"/>
          <w:highlight w:val="none"/>
        </w:rPr>
      </w:pPr>
      <w:r>
        <w:rPr>
          <w:rFonts w:hint="eastAsia" w:ascii="宋体" w:hAnsi="宋体"/>
          <w:bCs/>
          <w:szCs w:val="21"/>
          <w:highlight w:val="none"/>
        </w:rPr>
        <w:t>承包人投标函中承诺的工期：</w:t>
      </w:r>
      <w:r>
        <w:rPr>
          <w:rFonts w:hint="eastAsia" w:ascii="宋体" w:hAnsi="宋体"/>
          <w:bCs/>
          <w:szCs w:val="21"/>
          <w:highlight w:val="none"/>
          <w:u w:val="single"/>
        </w:rPr>
        <w:t>日历天</w:t>
      </w:r>
      <w:r>
        <w:rPr>
          <w:rFonts w:hint="eastAsia" w:ascii="宋体" w:hAnsi="宋体"/>
          <w:bCs/>
          <w:szCs w:val="21"/>
          <w:highlight w:val="none"/>
        </w:rPr>
        <w:t>。</w:t>
      </w:r>
    </w:p>
    <w:p w14:paraId="33930873">
      <w:pPr>
        <w:spacing w:line="360" w:lineRule="auto"/>
        <w:ind w:firstLine="420" w:firstLineChars="200"/>
        <w:rPr>
          <w:rFonts w:ascii="宋体" w:hAnsi="宋体"/>
          <w:bCs/>
          <w:szCs w:val="21"/>
          <w:highlight w:val="none"/>
        </w:rPr>
      </w:pPr>
      <w:r>
        <w:rPr>
          <w:rFonts w:hint="eastAsia" w:ascii="宋体" w:hAnsi="宋体"/>
          <w:bCs/>
          <w:szCs w:val="21"/>
          <w:highlight w:val="none"/>
        </w:rPr>
        <w:t>计划开工日期：</w:t>
      </w:r>
      <w:r>
        <w:rPr>
          <w:rFonts w:hint="eastAsia" w:ascii="宋体" w:hAnsi="宋体"/>
          <w:bCs/>
          <w:szCs w:val="21"/>
          <w:highlight w:val="none"/>
          <w:u w:val="single"/>
        </w:rPr>
        <w:t></w:t>
      </w:r>
      <w:r>
        <w:rPr>
          <w:rFonts w:hint="eastAsia" w:ascii="宋体" w:hAnsi="宋体"/>
          <w:bCs/>
          <w:szCs w:val="21"/>
          <w:highlight w:val="none"/>
        </w:rPr>
        <w:t>年</w:t>
      </w:r>
      <w:r>
        <w:rPr>
          <w:rFonts w:hint="eastAsia" w:ascii="宋体" w:hAnsi="宋体"/>
          <w:bCs/>
          <w:szCs w:val="21"/>
          <w:highlight w:val="none"/>
          <w:u w:val="single"/>
        </w:rPr>
        <w:t></w:t>
      </w:r>
      <w:r>
        <w:rPr>
          <w:rFonts w:hint="eastAsia" w:ascii="宋体" w:hAnsi="宋体"/>
          <w:bCs/>
          <w:szCs w:val="21"/>
          <w:highlight w:val="none"/>
        </w:rPr>
        <w:t>月</w:t>
      </w:r>
      <w:r>
        <w:rPr>
          <w:rFonts w:hint="eastAsia" w:ascii="宋体" w:hAnsi="宋体"/>
          <w:bCs/>
          <w:szCs w:val="21"/>
          <w:highlight w:val="none"/>
          <w:u w:val="single"/>
        </w:rPr>
        <w:t></w:t>
      </w:r>
      <w:r>
        <w:rPr>
          <w:rFonts w:hint="eastAsia" w:ascii="宋体" w:hAnsi="宋体"/>
          <w:bCs/>
          <w:szCs w:val="21"/>
          <w:highlight w:val="none"/>
        </w:rPr>
        <w:t>日，实际开工日期以监理工程师签发的工程开工通知明确的开工日期为准。</w:t>
      </w:r>
    </w:p>
    <w:p w14:paraId="361A6DA1">
      <w:pPr>
        <w:spacing w:line="360" w:lineRule="auto"/>
        <w:ind w:firstLine="420" w:firstLineChars="200"/>
        <w:rPr>
          <w:rFonts w:ascii="宋体" w:hAnsi="宋体"/>
          <w:bCs/>
          <w:szCs w:val="21"/>
          <w:highlight w:val="none"/>
        </w:rPr>
      </w:pPr>
      <w:r>
        <w:rPr>
          <w:rFonts w:hint="eastAsia" w:ascii="宋体" w:hAnsi="宋体"/>
          <w:bCs/>
          <w:szCs w:val="21"/>
          <w:highlight w:val="none"/>
        </w:rPr>
        <w:t>计划竣工日期：</w:t>
      </w:r>
      <w:r>
        <w:rPr>
          <w:rFonts w:hint="eastAsia" w:ascii="宋体" w:hAnsi="宋体"/>
          <w:bCs/>
          <w:szCs w:val="21"/>
          <w:highlight w:val="none"/>
          <w:u w:val="single"/>
        </w:rPr>
        <w:t></w:t>
      </w:r>
      <w:r>
        <w:rPr>
          <w:rFonts w:hint="eastAsia" w:ascii="宋体" w:hAnsi="宋体"/>
          <w:bCs/>
          <w:szCs w:val="21"/>
          <w:highlight w:val="none"/>
        </w:rPr>
        <w:t>年</w:t>
      </w:r>
      <w:r>
        <w:rPr>
          <w:rFonts w:hint="eastAsia" w:ascii="宋体" w:hAnsi="宋体"/>
          <w:bCs/>
          <w:szCs w:val="21"/>
          <w:highlight w:val="none"/>
          <w:u w:val="single"/>
        </w:rPr>
        <w:t></w:t>
      </w:r>
      <w:r>
        <w:rPr>
          <w:rFonts w:hint="eastAsia" w:ascii="宋体" w:hAnsi="宋体"/>
          <w:bCs/>
          <w:szCs w:val="21"/>
          <w:highlight w:val="none"/>
        </w:rPr>
        <w:t>月</w:t>
      </w:r>
      <w:r>
        <w:rPr>
          <w:rFonts w:hint="eastAsia" w:ascii="宋体" w:hAnsi="宋体"/>
          <w:bCs/>
          <w:szCs w:val="21"/>
          <w:highlight w:val="none"/>
          <w:u w:val="single"/>
        </w:rPr>
        <w:t></w:t>
      </w:r>
      <w:r>
        <w:rPr>
          <w:rFonts w:hint="eastAsia" w:ascii="宋体" w:hAnsi="宋体"/>
          <w:bCs/>
          <w:szCs w:val="21"/>
          <w:highlight w:val="none"/>
        </w:rPr>
        <w:t>日，实际竣工日期以工程竣工验收合格之日为准。</w:t>
      </w:r>
    </w:p>
    <w:p w14:paraId="1F1EB2CC">
      <w:pPr>
        <w:spacing w:line="360" w:lineRule="auto"/>
        <w:ind w:firstLine="420" w:firstLineChars="200"/>
        <w:rPr>
          <w:rFonts w:ascii="宋体" w:hAnsi="宋体"/>
          <w:szCs w:val="21"/>
          <w:highlight w:val="none"/>
        </w:rPr>
      </w:pPr>
      <w:r>
        <w:rPr>
          <w:rFonts w:hint="eastAsia" w:ascii="宋体" w:hAnsi="宋体"/>
          <w:bCs/>
          <w:szCs w:val="21"/>
          <w:highlight w:val="none"/>
        </w:rPr>
        <w:t>工期总日历天数</w:t>
      </w:r>
      <w:r>
        <w:rPr>
          <w:rFonts w:hint="eastAsia" w:ascii="宋体" w:hAnsi="宋体"/>
          <w:bCs/>
          <w:szCs w:val="21"/>
          <w:highlight w:val="none"/>
          <w:u w:val="single"/>
        </w:rPr>
        <w:t></w:t>
      </w:r>
      <w:r>
        <w:rPr>
          <w:rFonts w:hint="eastAsia" w:ascii="宋体" w:hAnsi="宋体"/>
          <w:bCs/>
          <w:szCs w:val="21"/>
          <w:highlight w:val="none"/>
        </w:rPr>
        <w:t>天。工期总日历天数与根据前述计划开竣工日期计算的工期天数不一</w:t>
      </w:r>
      <w:r>
        <w:rPr>
          <w:rFonts w:hint="eastAsia" w:ascii="宋体" w:hAnsi="宋体"/>
          <w:szCs w:val="21"/>
          <w:highlight w:val="none"/>
        </w:rPr>
        <w:t>致的，以工期总日历天数为准。</w:t>
      </w:r>
    </w:p>
    <w:p w14:paraId="62797166">
      <w:pPr>
        <w:pStyle w:val="6"/>
        <w:keepNext/>
        <w:keepLines/>
        <w:spacing w:before="120" w:after="120" w:line="360" w:lineRule="auto"/>
        <w:ind w:firstLine="422" w:firstLineChars="200"/>
        <w:jc w:val="both"/>
        <w:rPr>
          <w:kern w:val="2"/>
          <w:sz w:val="21"/>
          <w:szCs w:val="21"/>
          <w:highlight w:val="none"/>
        </w:rPr>
      </w:pPr>
      <w:bookmarkStart w:id="585" w:name="_Toc532377168"/>
      <w:bookmarkStart w:id="586" w:name="_Toc532375575"/>
      <w:bookmarkStart w:id="587" w:name="_Toc351203483"/>
      <w:r>
        <w:rPr>
          <w:rFonts w:hint="eastAsia"/>
          <w:kern w:val="2"/>
          <w:sz w:val="21"/>
          <w:szCs w:val="21"/>
          <w:highlight w:val="none"/>
        </w:rPr>
        <w:t>三、质量标准</w:t>
      </w:r>
      <w:bookmarkEnd w:id="585"/>
      <w:bookmarkEnd w:id="586"/>
      <w:bookmarkEnd w:id="587"/>
    </w:p>
    <w:p w14:paraId="58181DB3">
      <w:pPr>
        <w:snapToGrid w:val="0"/>
        <w:spacing w:line="360" w:lineRule="auto"/>
        <w:ind w:firstLine="420" w:firstLineChars="200"/>
        <w:rPr>
          <w:rFonts w:ascii="宋体" w:hAnsi="宋体"/>
          <w:szCs w:val="21"/>
          <w:highlight w:val="none"/>
        </w:rPr>
      </w:pPr>
      <w:r>
        <w:rPr>
          <w:rFonts w:hint="eastAsia" w:ascii="宋体" w:hAnsi="宋体"/>
          <w:szCs w:val="21"/>
          <w:highlight w:val="none"/>
        </w:rPr>
        <w:t>工程质量符合强制性质量标准，</w:t>
      </w:r>
      <w:r>
        <w:rPr>
          <w:rFonts w:hint="eastAsia" w:ascii="宋体" w:hAnsi="宋体"/>
          <w:szCs w:val="21"/>
          <w:highlight w:val="none"/>
          <w:u w:val="single"/>
        </w:rPr>
        <w:t>符合国家</w:t>
      </w:r>
      <w:r>
        <w:rPr>
          <w:rFonts w:ascii="宋体" w:hAnsi="宋体"/>
          <w:szCs w:val="21"/>
          <w:highlight w:val="none"/>
          <w:u w:val="single"/>
        </w:rPr>
        <w:t>和重庆市现行</w:t>
      </w:r>
      <w:r>
        <w:rPr>
          <w:rFonts w:hint="eastAsia" w:ascii="宋体" w:hAnsi="宋体"/>
          <w:szCs w:val="21"/>
          <w:highlight w:val="none"/>
          <w:u w:val="single"/>
        </w:rPr>
        <w:t>有关施工质量验收规范要求，并达到合格</w:t>
      </w:r>
      <w:r>
        <w:rPr>
          <w:rFonts w:hint="eastAsia" w:ascii="宋体" w:hAnsi="宋体"/>
          <w:szCs w:val="21"/>
          <w:highlight w:val="none"/>
        </w:rPr>
        <w:t>标准。</w:t>
      </w:r>
    </w:p>
    <w:p w14:paraId="34EAD40E">
      <w:pPr>
        <w:pStyle w:val="6"/>
        <w:keepNext/>
        <w:keepLines/>
        <w:spacing w:before="120" w:after="120" w:line="360" w:lineRule="auto"/>
        <w:ind w:firstLine="422" w:firstLineChars="200"/>
        <w:jc w:val="both"/>
        <w:rPr>
          <w:kern w:val="2"/>
          <w:sz w:val="21"/>
          <w:szCs w:val="21"/>
          <w:highlight w:val="none"/>
        </w:rPr>
      </w:pPr>
      <w:bookmarkStart w:id="588" w:name="_Toc351203484"/>
      <w:bookmarkStart w:id="589" w:name="_Toc532377169"/>
      <w:bookmarkStart w:id="590" w:name="_Toc532375576"/>
      <w:r>
        <w:rPr>
          <w:rFonts w:hint="eastAsia"/>
          <w:kern w:val="2"/>
          <w:sz w:val="21"/>
          <w:szCs w:val="21"/>
          <w:highlight w:val="none"/>
        </w:rPr>
        <w:t>四、签约合同价与合同价格形式</w:t>
      </w:r>
      <w:bookmarkEnd w:id="588"/>
      <w:bookmarkEnd w:id="589"/>
      <w:bookmarkEnd w:id="590"/>
      <w:r>
        <w:rPr>
          <w:rFonts w:hint="eastAsia"/>
          <w:kern w:val="2"/>
          <w:sz w:val="21"/>
          <w:szCs w:val="21"/>
          <w:highlight w:val="none"/>
        </w:rPr>
        <w:tab/>
      </w:r>
    </w:p>
    <w:p w14:paraId="6D688085">
      <w:pPr>
        <w:spacing w:line="360" w:lineRule="auto"/>
        <w:ind w:firstLine="420" w:firstLineChars="200"/>
        <w:rPr>
          <w:rFonts w:ascii="宋体" w:hAnsi="宋体"/>
          <w:szCs w:val="21"/>
          <w:highlight w:val="none"/>
        </w:rPr>
      </w:pPr>
      <w:r>
        <w:rPr>
          <w:rFonts w:hint="eastAsia" w:ascii="宋体" w:hAnsi="宋体"/>
          <w:szCs w:val="21"/>
          <w:highlight w:val="none"/>
        </w:rPr>
        <w:t>1.承包人投标函中承诺的中标价为：</w:t>
      </w:r>
    </w:p>
    <w:p w14:paraId="45CED5FC">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p>
    <w:p w14:paraId="60B090A6">
      <w:pPr>
        <w:spacing w:line="360" w:lineRule="auto"/>
        <w:ind w:firstLine="420" w:firstLineChars="200"/>
        <w:rPr>
          <w:rFonts w:ascii="宋体" w:hAnsi="宋体"/>
          <w:szCs w:val="21"/>
          <w:highlight w:val="none"/>
        </w:rPr>
      </w:pPr>
      <w:r>
        <w:rPr>
          <w:rFonts w:hint="eastAsia" w:ascii="宋体" w:hAnsi="宋体"/>
          <w:szCs w:val="21"/>
          <w:highlight w:val="none"/>
        </w:rPr>
        <w:t>2.签约合同价为：</w:t>
      </w:r>
    </w:p>
    <w:p w14:paraId="4A46AC0A">
      <w:pPr>
        <w:snapToGrid w:val="0"/>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14:paraId="0E6A46B0">
      <w:pPr>
        <w:snapToGrid w:val="0"/>
        <w:spacing w:line="360" w:lineRule="auto"/>
        <w:ind w:firstLine="420" w:firstLineChars="200"/>
        <w:rPr>
          <w:rFonts w:ascii="宋体" w:hAnsi="宋体"/>
          <w:szCs w:val="21"/>
          <w:highlight w:val="none"/>
        </w:rPr>
      </w:pPr>
      <w:r>
        <w:rPr>
          <w:rFonts w:hint="eastAsia" w:ascii="宋体" w:hAnsi="宋体"/>
          <w:szCs w:val="21"/>
          <w:highlight w:val="none"/>
        </w:rPr>
        <w:t>其中：</w:t>
      </w:r>
    </w:p>
    <w:p w14:paraId="5B48A4DB">
      <w:pPr>
        <w:spacing w:line="360" w:lineRule="auto"/>
        <w:ind w:firstLine="420" w:firstLineChars="200"/>
        <w:rPr>
          <w:rFonts w:ascii="宋体" w:hAnsi="宋体"/>
          <w:szCs w:val="21"/>
          <w:highlight w:val="none"/>
        </w:rPr>
      </w:pPr>
      <w:r>
        <w:rPr>
          <w:rFonts w:hint="eastAsia" w:ascii="宋体" w:hAnsi="宋体"/>
          <w:szCs w:val="21"/>
          <w:highlight w:val="none"/>
        </w:rPr>
        <w:t>（1）安全文明施工费：</w:t>
      </w:r>
    </w:p>
    <w:p w14:paraId="01137935">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14:paraId="208CE4B0">
      <w:pPr>
        <w:spacing w:line="360" w:lineRule="auto"/>
        <w:ind w:firstLine="420" w:firstLineChars="200"/>
        <w:rPr>
          <w:rFonts w:ascii="宋体" w:hAnsi="宋体"/>
          <w:szCs w:val="21"/>
          <w:highlight w:val="none"/>
        </w:rPr>
      </w:pPr>
      <w:r>
        <w:rPr>
          <w:rFonts w:hint="eastAsia" w:ascii="宋体" w:hAnsi="宋体"/>
          <w:szCs w:val="21"/>
          <w:highlight w:val="none"/>
        </w:rPr>
        <w:t>（2）材料和工程设备暂估价金额：</w:t>
      </w:r>
    </w:p>
    <w:p w14:paraId="1EA89E36">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14:paraId="1D3DFD96">
      <w:pPr>
        <w:spacing w:line="360" w:lineRule="auto"/>
        <w:ind w:firstLine="420" w:firstLineChars="200"/>
        <w:rPr>
          <w:rFonts w:ascii="宋体" w:hAnsi="宋体"/>
          <w:szCs w:val="21"/>
          <w:highlight w:val="none"/>
        </w:rPr>
      </w:pPr>
      <w:r>
        <w:rPr>
          <w:rFonts w:hint="eastAsia" w:ascii="宋体" w:hAnsi="宋体"/>
          <w:szCs w:val="21"/>
          <w:highlight w:val="none"/>
        </w:rPr>
        <w:t>（3）专业工程暂估价金额：</w:t>
      </w:r>
    </w:p>
    <w:p w14:paraId="7B075321">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14:paraId="395C84A7">
      <w:pPr>
        <w:spacing w:line="360" w:lineRule="auto"/>
        <w:ind w:firstLine="420" w:firstLineChars="200"/>
        <w:rPr>
          <w:rFonts w:ascii="宋体" w:hAnsi="宋体"/>
          <w:szCs w:val="21"/>
          <w:highlight w:val="none"/>
        </w:rPr>
      </w:pPr>
      <w:r>
        <w:rPr>
          <w:rFonts w:hint="eastAsia" w:ascii="宋体" w:hAnsi="宋体"/>
          <w:szCs w:val="21"/>
          <w:highlight w:val="none"/>
        </w:rPr>
        <w:t>（4）暂列金额：</w:t>
      </w:r>
    </w:p>
    <w:p w14:paraId="4F589456">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14:paraId="283280A5">
      <w:pPr>
        <w:spacing w:line="360" w:lineRule="auto"/>
        <w:ind w:firstLine="420" w:firstLineChars="200"/>
        <w:rPr>
          <w:rFonts w:ascii="宋体" w:hAnsi="宋体"/>
          <w:szCs w:val="21"/>
          <w:highlight w:val="none"/>
        </w:rPr>
      </w:pPr>
      <w:r>
        <w:rPr>
          <w:rFonts w:hint="eastAsia" w:ascii="宋体" w:hAnsi="宋体"/>
          <w:szCs w:val="21"/>
          <w:highlight w:val="none"/>
        </w:rPr>
        <w:t>（5）人工费（工资款）</w:t>
      </w:r>
    </w:p>
    <w:p w14:paraId="777E1E2F">
      <w:pPr>
        <w:spacing w:line="360" w:lineRule="auto"/>
        <w:ind w:firstLine="420" w:firstLineChars="200"/>
        <w:rPr>
          <w:rFonts w:ascii="宋体" w:hAnsi="宋体"/>
          <w:szCs w:val="21"/>
          <w:highlight w:val="none"/>
        </w:rPr>
      </w:pPr>
      <w:r>
        <w:rPr>
          <w:rFonts w:hint="eastAsia" w:ascii="宋体" w:hAnsi="宋体"/>
          <w:szCs w:val="21"/>
          <w:highlight w:val="none"/>
        </w:rPr>
        <w:t>该项目实行人工费（工资款）与其他工程款分账管理，发包人将应付工程款中的人工费（工资款），以不低于已完成合同价款的</w:t>
      </w:r>
      <w:r>
        <w:rPr>
          <w:rFonts w:hint="eastAsia" w:ascii="宋体" w:hAnsi="宋体"/>
          <w:szCs w:val="21"/>
          <w:highlight w:val="none"/>
          <w:u w:val="single"/>
        </w:rPr>
        <w:t xml:space="preserve">    </w:t>
      </w:r>
      <w:r>
        <w:rPr>
          <w:rFonts w:hint="eastAsia" w:ascii="宋体" w:hAnsi="宋体"/>
          <w:szCs w:val="21"/>
          <w:highlight w:val="none"/>
        </w:rPr>
        <w:t>，农民工工资单独支付至承包人设立的农民工工资专用账户。</w:t>
      </w:r>
    </w:p>
    <w:p w14:paraId="1174C737">
      <w:pPr>
        <w:spacing w:line="360" w:lineRule="auto"/>
        <w:ind w:firstLine="420" w:firstLineChars="200"/>
        <w:rPr>
          <w:rFonts w:ascii="宋体" w:hAnsi="宋体"/>
          <w:szCs w:val="21"/>
          <w:highlight w:val="none"/>
        </w:rPr>
      </w:pPr>
      <w:r>
        <w:rPr>
          <w:rFonts w:hint="eastAsia" w:ascii="宋体" w:hAnsi="宋体"/>
          <w:szCs w:val="21"/>
          <w:highlight w:val="none"/>
        </w:rPr>
        <w:t>3.合同价格形式：</w:t>
      </w:r>
      <w:r>
        <w:rPr>
          <w:rFonts w:ascii="宋体" w:hAnsi="宋体"/>
          <w:szCs w:val="21"/>
          <w:highlight w:val="none"/>
          <w:u w:val="single"/>
        </w:rPr>
        <w:t xml:space="preserve">              </w:t>
      </w:r>
      <w:r>
        <w:rPr>
          <w:rFonts w:hint="eastAsia" w:ascii="宋体" w:hAnsi="宋体"/>
          <w:szCs w:val="21"/>
          <w:highlight w:val="none"/>
        </w:rPr>
        <w:t>。</w:t>
      </w:r>
    </w:p>
    <w:p w14:paraId="74CCF2D0">
      <w:pPr>
        <w:pStyle w:val="6"/>
        <w:keepNext/>
        <w:keepLines/>
        <w:spacing w:before="120" w:after="120" w:line="360" w:lineRule="auto"/>
        <w:ind w:firstLine="422" w:firstLineChars="200"/>
        <w:jc w:val="both"/>
        <w:rPr>
          <w:kern w:val="2"/>
          <w:sz w:val="21"/>
          <w:szCs w:val="21"/>
          <w:highlight w:val="none"/>
        </w:rPr>
      </w:pPr>
      <w:bookmarkStart w:id="591" w:name="_Toc351203485"/>
      <w:bookmarkStart w:id="592" w:name="_Toc532375577"/>
      <w:bookmarkStart w:id="593" w:name="_Toc532377170"/>
      <w:r>
        <w:rPr>
          <w:rFonts w:hint="eastAsia"/>
          <w:kern w:val="2"/>
          <w:sz w:val="21"/>
          <w:szCs w:val="21"/>
          <w:highlight w:val="none"/>
        </w:rPr>
        <w:t>五、</w:t>
      </w:r>
      <w:bookmarkEnd w:id="591"/>
      <w:r>
        <w:rPr>
          <w:rFonts w:hint="eastAsia"/>
          <w:kern w:val="2"/>
          <w:sz w:val="21"/>
          <w:szCs w:val="21"/>
          <w:highlight w:val="none"/>
        </w:rPr>
        <w:t>项目经理及技术负责人</w:t>
      </w:r>
      <w:bookmarkEnd w:id="592"/>
      <w:bookmarkEnd w:id="593"/>
    </w:p>
    <w:p w14:paraId="2E689A2E">
      <w:pPr>
        <w:spacing w:line="360" w:lineRule="auto"/>
        <w:ind w:firstLine="420" w:firstLineChars="200"/>
        <w:rPr>
          <w:rFonts w:ascii="宋体" w:hAnsi="宋体"/>
          <w:szCs w:val="21"/>
          <w:highlight w:val="none"/>
        </w:rPr>
      </w:pPr>
      <w:r>
        <w:rPr>
          <w:rFonts w:hint="eastAsia" w:ascii="宋体" w:hAnsi="宋体"/>
          <w:szCs w:val="21"/>
          <w:highlight w:val="none"/>
        </w:rPr>
        <w:t>承包人投标文件中承诺的项目经理：</w:t>
      </w:r>
    </w:p>
    <w:p w14:paraId="37E79ADC">
      <w:pPr>
        <w:spacing w:line="360" w:lineRule="auto"/>
        <w:ind w:firstLine="420" w:firstLineChars="200"/>
        <w:rPr>
          <w:rFonts w:ascii="宋体" w:hAns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14:paraId="7FAB22E2">
      <w:pPr>
        <w:spacing w:line="360" w:lineRule="auto"/>
        <w:ind w:firstLine="420" w:firstLineChars="200"/>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14:paraId="274C31F8">
      <w:pPr>
        <w:spacing w:line="360" w:lineRule="auto"/>
        <w:ind w:firstLine="420" w:firstLineChars="200"/>
        <w:rPr>
          <w:rFonts w:ascii="宋体" w:hAnsi="宋体"/>
          <w:szCs w:val="21"/>
          <w:highlight w:val="none"/>
        </w:rPr>
      </w:pPr>
      <w:r>
        <w:rPr>
          <w:rFonts w:hint="eastAsia" w:ascii="宋体" w:hAnsi="宋体"/>
          <w:szCs w:val="21"/>
          <w:highlight w:val="none"/>
        </w:rPr>
        <w:t>建造师</w:t>
      </w:r>
      <w:r>
        <w:rPr>
          <w:rFonts w:ascii="宋体" w:hAnsi="宋体"/>
          <w:szCs w:val="21"/>
          <w:highlight w:val="none"/>
        </w:rPr>
        <w:t>注册证书号</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14:paraId="0E47DF9A">
      <w:pPr>
        <w:spacing w:line="360" w:lineRule="auto"/>
        <w:ind w:firstLine="420" w:firstLineChars="200"/>
        <w:rPr>
          <w:rFonts w:ascii="宋体" w:hAnsi="宋体"/>
          <w:szCs w:val="21"/>
          <w:highlight w:val="none"/>
        </w:rPr>
      </w:pPr>
      <w:r>
        <w:rPr>
          <w:rFonts w:hint="eastAsia" w:ascii="宋体" w:hAnsi="宋体"/>
          <w:szCs w:val="21"/>
          <w:highlight w:val="none"/>
        </w:rPr>
        <w:t>承包人投标文件中承诺的技术负责人：</w:t>
      </w:r>
    </w:p>
    <w:p w14:paraId="7F543DAC">
      <w:pPr>
        <w:spacing w:line="360" w:lineRule="auto"/>
        <w:ind w:firstLine="420" w:firstLineChars="200"/>
        <w:rPr>
          <w:rFonts w:ascii="宋体" w:hAns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14:paraId="199C8D4B">
      <w:pPr>
        <w:spacing w:line="360" w:lineRule="auto"/>
        <w:ind w:firstLine="420" w:firstLineChars="200"/>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14:paraId="51027166">
      <w:pPr>
        <w:pStyle w:val="2"/>
        <w:spacing w:line="360" w:lineRule="auto"/>
        <w:rPr>
          <w:rFonts w:ascii="宋体" w:hAnsi="宋体"/>
          <w:szCs w:val="21"/>
          <w:highlight w:val="none"/>
        </w:rPr>
      </w:pPr>
      <w:r>
        <w:rPr>
          <w:rFonts w:hint="eastAsia" w:ascii="宋体" w:hAnsi="宋体"/>
          <w:szCs w:val="21"/>
          <w:highlight w:val="none"/>
        </w:rPr>
        <w:t xml:space="preserve">    证书名称</w:t>
      </w:r>
      <w:r>
        <w:rPr>
          <w:rFonts w:ascii="宋体" w:hAnsi="宋体"/>
          <w:szCs w:val="21"/>
          <w:highlight w:val="none"/>
        </w:rPr>
        <w:t>及号码：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14:paraId="46C6A83E">
      <w:pPr>
        <w:pStyle w:val="6"/>
        <w:keepNext/>
        <w:keepLines/>
        <w:spacing w:before="120" w:after="120" w:line="360" w:lineRule="auto"/>
        <w:ind w:firstLine="422" w:firstLineChars="200"/>
        <w:jc w:val="both"/>
        <w:rPr>
          <w:kern w:val="2"/>
          <w:sz w:val="21"/>
          <w:szCs w:val="21"/>
          <w:highlight w:val="none"/>
        </w:rPr>
      </w:pPr>
      <w:bookmarkStart w:id="594" w:name="_Toc351203486"/>
      <w:bookmarkStart w:id="595" w:name="_Toc532377171"/>
      <w:bookmarkStart w:id="596" w:name="_Toc532375578"/>
      <w:r>
        <w:rPr>
          <w:rFonts w:hint="eastAsia"/>
          <w:kern w:val="2"/>
          <w:sz w:val="21"/>
          <w:szCs w:val="21"/>
          <w:highlight w:val="none"/>
        </w:rPr>
        <w:t>六、合同文件构成</w:t>
      </w:r>
      <w:bookmarkEnd w:id="594"/>
      <w:bookmarkEnd w:id="595"/>
      <w:bookmarkEnd w:id="596"/>
    </w:p>
    <w:p w14:paraId="5433094D">
      <w:pPr>
        <w:spacing w:line="360" w:lineRule="auto"/>
        <w:ind w:firstLine="420" w:firstLineChars="200"/>
        <w:rPr>
          <w:rFonts w:ascii="宋体" w:hAnsi="宋体"/>
          <w:bCs/>
          <w:szCs w:val="21"/>
          <w:highlight w:val="none"/>
        </w:rPr>
      </w:pPr>
      <w:r>
        <w:rPr>
          <w:rFonts w:hint="eastAsia" w:ascii="宋体" w:hAnsi="宋体"/>
          <w:bCs/>
          <w:szCs w:val="21"/>
          <w:highlight w:val="none"/>
        </w:rPr>
        <w:t>合同由以下文件构成：</w:t>
      </w:r>
    </w:p>
    <w:p w14:paraId="10B0D8CB">
      <w:pPr>
        <w:spacing w:line="360" w:lineRule="auto"/>
        <w:ind w:firstLine="420" w:firstLineChars="200"/>
        <w:rPr>
          <w:rFonts w:ascii="宋体" w:hAnsi="宋体"/>
          <w:szCs w:val="21"/>
          <w:highlight w:val="none"/>
        </w:rPr>
      </w:pPr>
      <w:r>
        <w:rPr>
          <w:rFonts w:hint="eastAsia" w:ascii="宋体" w:hAnsi="宋体"/>
          <w:szCs w:val="21"/>
          <w:highlight w:val="none"/>
        </w:rPr>
        <w:t>（1）合同协议书；</w:t>
      </w:r>
    </w:p>
    <w:p w14:paraId="5359B357">
      <w:pPr>
        <w:spacing w:line="360" w:lineRule="auto"/>
        <w:ind w:firstLine="420" w:firstLineChars="200"/>
        <w:rPr>
          <w:rFonts w:ascii="宋体" w:hAnsi="宋体"/>
          <w:szCs w:val="21"/>
          <w:highlight w:val="none"/>
        </w:rPr>
      </w:pPr>
      <w:r>
        <w:rPr>
          <w:rFonts w:hint="eastAsia" w:ascii="宋体" w:hAnsi="宋体"/>
          <w:szCs w:val="21"/>
          <w:highlight w:val="none"/>
        </w:rPr>
        <w:t>（2）中标通知书；</w:t>
      </w:r>
    </w:p>
    <w:p w14:paraId="15FD0556">
      <w:pPr>
        <w:spacing w:line="360" w:lineRule="auto"/>
        <w:ind w:firstLine="420" w:firstLineChars="200"/>
        <w:rPr>
          <w:rFonts w:ascii="宋体" w:hAnsi="宋体"/>
          <w:szCs w:val="21"/>
          <w:highlight w:val="none"/>
        </w:rPr>
      </w:pPr>
      <w:r>
        <w:rPr>
          <w:rFonts w:hint="eastAsia" w:ascii="宋体" w:hAnsi="宋体"/>
          <w:szCs w:val="21"/>
          <w:highlight w:val="none"/>
        </w:rPr>
        <w:t>（3）投标函及投标函附录；</w:t>
      </w:r>
    </w:p>
    <w:p w14:paraId="1E1CE801">
      <w:pPr>
        <w:spacing w:line="360" w:lineRule="auto"/>
        <w:ind w:firstLine="420" w:firstLineChars="200"/>
        <w:rPr>
          <w:rFonts w:ascii="宋体" w:hAnsi="宋体"/>
          <w:szCs w:val="21"/>
          <w:highlight w:val="none"/>
        </w:rPr>
      </w:pPr>
      <w:r>
        <w:rPr>
          <w:rFonts w:hint="eastAsia" w:ascii="宋体" w:hAnsi="宋体"/>
          <w:szCs w:val="21"/>
          <w:highlight w:val="none"/>
        </w:rPr>
        <w:t>（4）专用合同条款及其附件；</w:t>
      </w:r>
    </w:p>
    <w:p w14:paraId="719B71C0">
      <w:pPr>
        <w:spacing w:line="360" w:lineRule="auto"/>
        <w:ind w:firstLine="420" w:firstLineChars="200"/>
        <w:rPr>
          <w:rFonts w:ascii="宋体" w:hAnsi="宋体"/>
          <w:szCs w:val="21"/>
          <w:highlight w:val="none"/>
        </w:rPr>
      </w:pPr>
      <w:r>
        <w:rPr>
          <w:rFonts w:hint="eastAsia" w:ascii="宋体" w:hAnsi="宋体"/>
          <w:szCs w:val="21"/>
          <w:highlight w:val="none"/>
        </w:rPr>
        <w:t>（5）通用合同条款；</w:t>
      </w:r>
    </w:p>
    <w:p w14:paraId="232D0802">
      <w:pPr>
        <w:spacing w:line="360" w:lineRule="auto"/>
        <w:ind w:firstLine="420" w:firstLineChars="200"/>
        <w:rPr>
          <w:rFonts w:ascii="宋体" w:hAnsi="宋体"/>
          <w:szCs w:val="21"/>
          <w:highlight w:val="none"/>
        </w:rPr>
      </w:pPr>
      <w:r>
        <w:rPr>
          <w:rFonts w:hint="eastAsia" w:ascii="宋体" w:hAnsi="宋体"/>
          <w:szCs w:val="21"/>
          <w:highlight w:val="none"/>
        </w:rPr>
        <w:t>（6）投标文件（投标函及投标函附录除外）；</w:t>
      </w:r>
    </w:p>
    <w:p w14:paraId="592402B2">
      <w:pPr>
        <w:spacing w:line="360" w:lineRule="auto"/>
        <w:ind w:firstLine="420" w:firstLineChars="200"/>
        <w:rPr>
          <w:rFonts w:ascii="宋体" w:hAnsi="宋体"/>
          <w:szCs w:val="21"/>
          <w:highlight w:val="none"/>
        </w:rPr>
      </w:pPr>
      <w:r>
        <w:rPr>
          <w:rFonts w:hint="eastAsia" w:ascii="宋体" w:hAnsi="宋体"/>
          <w:szCs w:val="21"/>
          <w:highlight w:val="none"/>
        </w:rPr>
        <w:t>（7）招标文件及修改文件；</w:t>
      </w:r>
    </w:p>
    <w:p w14:paraId="64AD7599">
      <w:pPr>
        <w:spacing w:line="360" w:lineRule="auto"/>
        <w:ind w:firstLine="420" w:firstLineChars="200"/>
        <w:rPr>
          <w:rFonts w:ascii="宋体" w:hAnsi="宋体"/>
          <w:szCs w:val="21"/>
          <w:highlight w:val="none"/>
        </w:rPr>
      </w:pPr>
      <w:r>
        <w:rPr>
          <w:rFonts w:hint="eastAsia" w:ascii="宋体" w:hAnsi="宋体"/>
          <w:szCs w:val="21"/>
          <w:highlight w:val="none"/>
        </w:rPr>
        <w:t>（8）技术标准和要求；</w:t>
      </w:r>
    </w:p>
    <w:p w14:paraId="04E6DEC1">
      <w:pPr>
        <w:spacing w:line="360" w:lineRule="auto"/>
        <w:ind w:firstLine="420" w:firstLineChars="200"/>
        <w:rPr>
          <w:rFonts w:ascii="宋体" w:hAnsi="宋体"/>
          <w:szCs w:val="21"/>
          <w:highlight w:val="none"/>
        </w:rPr>
      </w:pPr>
      <w:r>
        <w:rPr>
          <w:rFonts w:hint="eastAsia" w:ascii="宋体" w:hAnsi="宋体"/>
          <w:szCs w:val="21"/>
          <w:highlight w:val="none"/>
        </w:rPr>
        <w:t>（9）图纸；</w:t>
      </w:r>
    </w:p>
    <w:p w14:paraId="74A90436">
      <w:pPr>
        <w:spacing w:line="360" w:lineRule="auto"/>
        <w:ind w:firstLine="420" w:firstLineChars="200"/>
        <w:rPr>
          <w:rFonts w:ascii="宋体" w:hAnsi="宋体"/>
          <w:szCs w:val="21"/>
          <w:highlight w:val="none"/>
        </w:rPr>
      </w:pPr>
      <w:r>
        <w:rPr>
          <w:rFonts w:hint="eastAsia" w:ascii="宋体" w:hAnsi="宋体"/>
          <w:szCs w:val="21"/>
          <w:highlight w:val="none"/>
        </w:rPr>
        <w:t>（10）其他合同文件。</w:t>
      </w:r>
    </w:p>
    <w:p w14:paraId="7C9254BD">
      <w:pPr>
        <w:spacing w:line="360" w:lineRule="auto"/>
        <w:ind w:firstLine="420" w:firstLineChars="200"/>
        <w:rPr>
          <w:rFonts w:ascii="宋体" w:hAnsi="宋体"/>
          <w:szCs w:val="21"/>
          <w:highlight w:val="none"/>
        </w:rPr>
      </w:pPr>
      <w:r>
        <w:rPr>
          <w:rFonts w:hint="eastAsia" w:ascii="宋体" w:hAnsi="宋体"/>
          <w:szCs w:val="21"/>
          <w:highlight w:val="none"/>
        </w:rPr>
        <w:t>在合同订立、履行过程中形成的与合同有关的书面形式的文件均构成合同文件组成部分。</w:t>
      </w:r>
    </w:p>
    <w:p w14:paraId="55224A39">
      <w:pPr>
        <w:spacing w:line="360" w:lineRule="auto"/>
        <w:ind w:firstLine="420" w:firstLineChars="200"/>
        <w:rPr>
          <w:rFonts w:ascii="宋体" w:hAnsi="宋体"/>
          <w:szCs w:val="21"/>
          <w:highlight w:val="none"/>
        </w:rPr>
      </w:pPr>
      <w:r>
        <w:rPr>
          <w:rFonts w:hint="eastAsia" w:ascii="宋体" w:hAnsi="宋体"/>
          <w:szCs w:val="21"/>
          <w:highlight w:val="none"/>
        </w:rPr>
        <w:t>上述各项合同文件包括合同当事人就该项合同文件所作出的补充和修改，属于同一类内容的文件，应以最新签署的为准。专用合同条款及其附件须经合同当事人签名或盖章。</w:t>
      </w:r>
    </w:p>
    <w:p w14:paraId="4893950E">
      <w:pPr>
        <w:pStyle w:val="6"/>
        <w:keepNext/>
        <w:keepLines/>
        <w:spacing w:before="120" w:after="120" w:line="360" w:lineRule="auto"/>
        <w:ind w:firstLine="422" w:firstLineChars="200"/>
        <w:jc w:val="both"/>
        <w:rPr>
          <w:kern w:val="2"/>
          <w:sz w:val="21"/>
          <w:szCs w:val="21"/>
          <w:highlight w:val="none"/>
        </w:rPr>
      </w:pPr>
      <w:bookmarkStart w:id="597" w:name="_Toc351203487"/>
      <w:bookmarkStart w:id="598" w:name="_Toc532375579"/>
      <w:bookmarkStart w:id="599" w:name="_Toc532377172"/>
      <w:r>
        <w:rPr>
          <w:rFonts w:hint="eastAsia"/>
          <w:kern w:val="2"/>
          <w:sz w:val="21"/>
          <w:szCs w:val="21"/>
          <w:highlight w:val="none"/>
        </w:rPr>
        <w:t>七、承诺</w:t>
      </w:r>
      <w:bookmarkEnd w:id="597"/>
      <w:bookmarkEnd w:id="598"/>
      <w:bookmarkEnd w:id="599"/>
    </w:p>
    <w:p w14:paraId="7ED47515">
      <w:pPr>
        <w:spacing w:line="360" w:lineRule="auto"/>
        <w:ind w:firstLine="420" w:firstLineChars="200"/>
        <w:rPr>
          <w:rFonts w:ascii="宋体" w:hAnsi="宋体"/>
          <w:bCs/>
          <w:szCs w:val="21"/>
          <w:highlight w:val="none"/>
        </w:rPr>
      </w:pPr>
      <w:r>
        <w:rPr>
          <w:rFonts w:hint="eastAsia" w:ascii="宋体" w:hAnsi="宋体"/>
          <w:bCs/>
          <w:szCs w:val="21"/>
          <w:highlight w:val="none"/>
        </w:rPr>
        <w:t>1.发包人承诺按照法律规定履行项目审批手续、筹集工程建设资金并按照合同约定的期限和方式支付合同价款。</w:t>
      </w:r>
    </w:p>
    <w:p w14:paraId="07089B93">
      <w:pPr>
        <w:spacing w:line="360" w:lineRule="auto"/>
        <w:ind w:firstLine="420" w:firstLineChars="200"/>
        <w:rPr>
          <w:rFonts w:ascii="宋体" w:hAnsi="宋体"/>
          <w:bCs/>
          <w:szCs w:val="21"/>
          <w:highlight w:val="none"/>
        </w:rPr>
      </w:pPr>
      <w:r>
        <w:rPr>
          <w:rFonts w:hint="eastAsia" w:ascii="宋体" w:hAnsi="宋体"/>
          <w:bCs/>
          <w:szCs w:val="21"/>
          <w:highlight w:val="none"/>
        </w:rPr>
        <w:t>2.</w:t>
      </w:r>
      <w:r>
        <w:rPr>
          <w:rFonts w:hint="eastAsia" w:ascii="宋体" w:hAnsi="宋体"/>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highlight w:val="none"/>
        </w:rPr>
        <w:t>。</w:t>
      </w:r>
    </w:p>
    <w:p w14:paraId="32078E4A">
      <w:pPr>
        <w:spacing w:line="360" w:lineRule="auto"/>
        <w:ind w:firstLine="420" w:firstLineChars="200"/>
        <w:rPr>
          <w:rFonts w:ascii="宋体" w:hAnsi="宋体"/>
          <w:bCs/>
          <w:szCs w:val="21"/>
          <w:highlight w:val="none"/>
        </w:rPr>
      </w:pPr>
      <w:r>
        <w:rPr>
          <w:rFonts w:hint="eastAsia" w:ascii="宋体" w:hAnsi="宋体"/>
          <w:bCs/>
          <w:szCs w:val="21"/>
          <w:highlight w:val="none"/>
        </w:rPr>
        <w:t>3.发包人和承包人通过招投标形式签订合同的，双方理解并承诺不再就同一工程另行签订与合同实质性内容相背离的协议。</w:t>
      </w:r>
    </w:p>
    <w:p w14:paraId="6E0DFBE4">
      <w:pPr>
        <w:pStyle w:val="6"/>
        <w:keepNext/>
        <w:keepLines/>
        <w:spacing w:before="120" w:after="120" w:line="360" w:lineRule="auto"/>
        <w:ind w:firstLine="422" w:firstLineChars="200"/>
        <w:jc w:val="both"/>
        <w:rPr>
          <w:kern w:val="2"/>
          <w:sz w:val="21"/>
          <w:szCs w:val="21"/>
          <w:highlight w:val="none"/>
        </w:rPr>
      </w:pPr>
      <w:bookmarkStart w:id="600" w:name="_Toc532377173"/>
      <w:bookmarkStart w:id="601" w:name="_Toc351203488"/>
      <w:bookmarkStart w:id="602" w:name="_Toc532375580"/>
      <w:r>
        <w:rPr>
          <w:rFonts w:hint="eastAsia"/>
          <w:kern w:val="2"/>
          <w:sz w:val="21"/>
          <w:szCs w:val="21"/>
          <w:highlight w:val="none"/>
        </w:rPr>
        <w:t>八、词语含义</w:t>
      </w:r>
      <w:bookmarkEnd w:id="600"/>
      <w:bookmarkEnd w:id="601"/>
      <w:bookmarkEnd w:id="602"/>
    </w:p>
    <w:p w14:paraId="5BC8C4A7">
      <w:pPr>
        <w:spacing w:line="360" w:lineRule="auto"/>
        <w:ind w:firstLine="420" w:firstLineChars="200"/>
        <w:rPr>
          <w:rFonts w:ascii="宋体" w:hAnsi="宋体"/>
          <w:bCs/>
          <w:szCs w:val="21"/>
          <w:highlight w:val="none"/>
        </w:rPr>
      </w:pPr>
      <w:r>
        <w:rPr>
          <w:rFonts w:hint="eastAsia" w:ascii="宋体" w:hAnsi="宋体"/>
          <w:bCs/>
          <w:szCs w:val="21"/>
          <w:highlight w:val="none"/>
        </w:rPr>
        <w:t>本协议书中词语含义与专用合同条款及通用合同条款中赋予的含义相同。</w:t>
      </w:r>
    </w:p>
    <w:p w14:paraId="0D16380B">
      <w:pPr>
        <w:pStyle w:val="6"/>
        <w:keepNext/>
        <w:keepLines/>
        <w:spacing w:before="120" w:after="120" w:line="360" w:lineRule="auto"/>
        <w:ind w:firstLine="422" w:firstLineChars="200"/>
        <w:jc w:val="both"/>
        <w:rPr>
          <w:kern w:val="2"/>
          <w:sz w:val="21"/>
          <w:szCs w:val="21"/>
          <w:highlight w:val="none"/>
        </w:rPr>
      </w:pPr>
      <w:bookmarkStart w:id="603" w:name="_Toc532375581"/>
      <w:bookmarkStart w:id="604" w:name="_Toc532377174"/>
      <w:r>
        <w:rPr>
          <w:rFonts w:hint="eastAsia"/>
          <w:kern w:val="2"/>
          <w:sz w:val="21"/>
          <w:szCs w:val="21"/>
          <w:highlight w:val="none"/>
        </w:rPr>
        <w:t>九、签订时间</w:t>
      </w:r>
      <w:bookmarkEnd w:id="603"/>
      <w:bookmarkEnd w:id="604"/>
    </w:p>
    <w:p w14:paraId="5BE245C6">
      <w:pPr>
        <w:spacing w:line="360" w:lineRule="auto"/>
        <w:ind w:firstLine="420" w:firstLineChars="200"/>
        <w:rPr>
          <w:rFonts w:ascii="宋体" w:hAnsi="宋体"/>
          <w:szCs w:val="21"/>
          <w:highlight w:val="none"/>
        </w:rPr>
      </w:pPr>
      <w:r>
        <w:rPr>
          <w:rFonts w:hint="eastAsia" w:ascii="宋体" w:hAnsi="宋体"/>
          <w:bCs/>
          <w:szCs w:val="21"/>
          <w:highlight w:val="none"/>
        </w:rPr>
        <w:t>合同于</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日签订</w:t>
      </w:r>
    </w:p>
    <w:p w14:paraId="5AB7077F">
      <w:pPr>
        <w:pStyle w:val="6"/>
        <w:keepNext/>
        <w:keepLines/>
        <w:spacing w:before="120" w:after="120" w:line="360" w:lineRule="auto"/>
        <w:ind w:firstLine="422" w:firstLineChars="200"/>
        <w:jc w:val="both"/>
        <w:rPr>
          <w:kern w:val="2"/>
          <w:sz w:val="21"/>
          <w:szCs w:val="21"/>
          <w:highlight w:val="none"/>
        </w:rPr>
      </w:pPr>
      <w:bookmarkStart w:id="605" w:name="_Toc351203489"/>
      <w:bookmarkStart w:id="606" w:name="_Toc532377175"/>
      <w:bookmarkStart w:id="607" w:name="_Toc532375582"/>
      <w:r>
        <w:rPr>
          <w:rFonts w:hint="eastAsia"/>
          <w:kern w:val="2"/>
          <w:sz w:val="21"/>
          <w:szCs w:val="21"/>
          <w:highlight w:val="none"/>
        </w:rPr>
        <w:t>十、</w:t>
      </w:r>
      <w:bookmarkEnd w:id="605"/>
      <w:bookmarkStart w:id="608" w:name="_Toc351203490"/>
      <w:r>
        <w:rPr>
          <w:rFonts w:hint="eastAsia"/>
          <w:kern w:val="2"/>
          <w:sz w:val="21"/>
          <w:szCs w:val="21"/>
          <w:highlight w:val="none"/>
        </w:rPr>
        <w:t>签订地点</w:t>
      </w:r>
      <w:bookmarkEnd w:id="606"/>
      <w:bookmarkEnd w:id="607"/>
      <w:bookmarkEnd w:id="608"/>
    </w:p>
    <w:p w14:paraId="14E7B882">
      <w:pPr>
        <w:spacing w:line="360" w:lineRule="auto"/>
        <w:ind w:firstLine="420" w:firstLineChars="200"/>
        <w:rPr>
          <w:rFonts w:ascii="宋体" w:hAnsi="宋体"/>
          <w:bCs/>
          <w:szCs w:val="21"/>
          <w:highlight w:val="none"/>
        </w:rPr>
      </w:pPr>
      <w:r>
        <w:rPr>
          <w:rFonts w:hint="eastAsia" w:ascii="宋体" w:hAnsi="宋体"/>
          <w:bCs/>
          <w:szCs w:val="21"/>
          <w:highlight w:val="none"/>
        </w:rPr>
        <w:t>合同在</w:t>
      </w:r>
      <w:r>
        <w:rPr>
          <w:rFonts w:hint="eastAsia" w:ascii="宋体" w:hAnsi="宋体"/>
          <w:bCs/>
          <w:szCs w:val="21"/>
          <w:highlight w:val="none"/>
          <w:u w:val="single"/>
        </w:rPr>
        <w:t xml:space="preserve">            </w:t>
      </w:r>
      <w:r>
        <w:rPr>
          <w:rFonts w:hint="eastAsia" w:ascii="宋体" w:hAnsi="宋体"/>
          <w:bCs/>
          <w:szCs w:val="21"/>
          <w:highlight w:val="none"/>
        </w:rPr>
        <w:t>签订。</w:t>
      </w:r>
    </w:p>
    <w:p w14:paraId="35DB725B">
      <w:pPr>
        <w:pStyle w:val="6"/>
        <w:keepNext/>
        <w:keepLines/>
        <w:spacing w:before="120" w:after="120" w:line="360" w:lineRule="auto"/>
        <w:ind w:firstLine="422" w:firstLineChars="200"/>
        <w:jc w:val="both"/>
        <w:rPr>
          <w:kern w:val="2"/>
          <w:sz w:val="21"/>
          <w:szCs w:val="21"/>
          <w:highlight w:val="none"/>
        </w:rPr>
      </w:pPr>
      <w:bookmarkStart w:id="609" w:name="_Toc532377176"/>
      <w:bookmarkStart w:id="610" w:name="_Toc351203491"/>
      <w:bookmarkStart w:id="611" w:name="_Toc532375583"/>
      <w:r>
        <w:rPr>
          <w:rFonts w:hint="eastAsia"/>
          <w:kern w:val="2"/>
          <w:sz w:val="21"/>
          <w:szCs w:val="21"/>
          <w:highlight w:val="none"/>
        </w:rPr>
        <w:t>十一、补充协议</w:t>
      </w:r>
      <w:bookmarkEnd w:id="609"/>
      <w:bookmarkEnd w:id="610"/>
      <w:bookmarkEnd w:id="611"/>
    </w:p>
    <w:p w14:paraId="3CBAAC6E">
      <w:pPr>
        <w:spacing w:line="360" w:lineRule="auto"/>
        <w:ind w:firstLine="420" w:firstLineChars="200"/>
        <w:rPr>
          <w:rFonts w:ascii="宋体" w:hAnsi="宋体"/>
          <w:b/>
          <w:bCs/>
          <w:szCs w:val="21"/>
          <w:highlight w:val="none"/>
        </w:rPr>
      </w:pPr>
      <w:r>
        <w:rPr>
          <w:rFonts w:hint="eastAsia" w:ascii="宋体" w:hAnsi="宋体"/>
          <w:bCs/>
          <w:szCs w:val="21"/>
          <w:highlight w:val="none"/>
        </w:rPr>
        <w:t>合同未尽事宜，合同当事人另行签订补充协议，补充协议是合同的组成部分。</w:t>
      </w:r>
    </w:p>
    <w:p w14:paraId="378B8C8D">
      <w:pPr>
        <w:pStyle w:val="6"/>
        <w:keepNext/>
        <w:keepLines/>
        <w:spacing w:before="120" w:after="120" w:line="360" w:lineRule="auto"/>
        <w:ind w:firstLine="422" w:firstLineChars="200"/>
        <w:jc w:val="both"/>
        <w:rPr>
          <w:kern w:val="2"/>
          <w:sz w:val="21"/>
          <w:szCs w:val="21"/>
          <w:highlight w:val="none"/>
        </w:rPr>
      </w:pPr>
      <w:bookmarkStart w:id="612" w:name="_Toc351203492"/>
      <w:bookmarkStart w:id="613" w:name="_Toc532375584"/>
      <w:bookmarkStart w:id="614" w:name="_Toc532377177"/>
      <w:r>
        <w:rPr>
          <w:rFonts w:hint="eastAsia"/>
          <w:kern w:val="2"/>
          <w:sz w:val="21"/>
          <w:szCs w:val="21"/>
          <w:highlight w:val="none"/>
        </w:rPr>
        <w:t>十二、合同生效</w:t>
      </w:r>
      <w:bookmarkEnd w:id="612"/>
      <w:bookmarkEnd w:id="613"/>
      <w:bookmarkEnd w:id="614"/>
    </w:p>
    <w:p w14:paraId="17D7E9A3">
      <w:pPr>
        <w:spacing w:line="360" w:lineRule="auto"/>
        <w:ind w:firstLine="420" w:firstLineChars="200"/>
        <w:rPr>
          <w:rFonts w:ascii="宋体" w:hAnsi="宋体"/>
          <w:bCs/>
          <w:szCs w:val="21"/>
          <w:highlight w:val="none"/>
        </w:rPr>
      </w:pPr>
      <w:r>
        <w:rPr>
          <w:rFonts w:hint="eastAsia" w:ascii="宋体" w:hAnsi="宋体"/>
          <w:bCs/>
          <w:szCs w:val="21"/>
          <w:highlight w:val="none"/>
        </w:rPr>
        <w:t>合同在以下条件全部满足之后生效：</w:t>
      </w:r>
    </w:p>
    <w:p w14:paraId="0A1BECB3">
      <w:pPr>
        <w:spacing w:line="360" w:lineRule="auto"/>
        <w:ind w:firstLine="420" w:firstLineChars="200"/>
        <w:rPr>
          <w:rFonts w:ascii="宋体" w:hAnsi="宋体"/>
          <w:szCs w:val="21"/>
          <w:highlight w:val="none"/>
        </w:rPr>
      </w:pPr>
      <w:r>
        <w:rPr>
          <w:rFonts w:hint="eastAsia" w:ascii="宋体" w:hAnsi="宋体"/>
          <w:bCs/>
          <w:szCs w:val="21"/>
          <w:highlight w:val="none"/>
        </w:rPr>
        <w:t>1.合同</w:t>
      </w:r>
      <w:r>
        <w:rPr>
          <w:rFonts w:hint="eastAsia" w:ascii="宋体" w:hAnsi="宋体"/>
          <w:szCs w:val="21"/>
          <w:highlight w:val="none"/>
        </w:rPr>
        <w:t>经双方法定代表人或其委托代理人签名并加盖</w:t>
      </w:r>
      <w:r>
        <w:rPr>
          <w:rFonts w:hint="eastAsia" w:ascii="宋体" w:hAnsi="宋体"/>
          <w:szCs w:val="21"/>
          <w:highlight w:val="none"/>
          <w:lang w:val="en-US" w:eastAsia="zh-CN"/>
        </w:rPr>
        <w:t>单位</w:t>
      </w:r>
      <w:r>
        <w:rPr>
          <w:rFonts w:hint="eastAsia" w:ascii="宋体" w:hAnsi="宋体"/>
          <w:snapToGrid w:val="0"/>
          <w:kern w:val="0"/>
          <w:szCs w:val="21"/>
          <w:highlight w:val="none"/>
        </w:rPr>
        <w:t>公章或合同专用章</w:t>
      </w:r>
      <w:r>
        <w:rPr>
          <w:rFonts w:hint="eastAsia" w:ascii="宋体" w:hAnsi="宋体"/>
          <w:szCs w:val="21"/>
          <w:highlight w:val="none"/>
        </w:rPr>
        <w:t>；</w:t>
      </w:r>
    </w:p>
    <w:p w14:paraId="0EB7F049">
      <w:pPr>
        <w:spacing w:line="360" w:lineRule="auto"/>
        <w:ind w:firstLine="420" w:firstLineChars="200"/>
        <w:rPr>
          <w:rFonts w:ascii="宋体" w:hAnsi="宋体"/>
          <w:szCs w:val="21"/>
          <w:highlight w:val="none"/>
        </w:rPr>
      </w:pPr>
      <w:r>
        <w:rPr>
          <w:rFonts w:hint="eastAsia" w:ascii="宋体" w:hAnsi="宋体"/>
          <w:szCs w:val="21"/>
          <w:highlight w:val="none"/>
        </w:rPr>
        <w:t>2.采用保函形式递交履约担保的，承包人按合同约定向发包人提交履约担保后；</w:t>
      </w:r>
    </w:p>
    <w:p w14:paraId="7E2BBC7C">
      <w:pPr>
        <w:spacing w:line="360" w:lineRule="auto"/>
        <w:ind w:firstLine="420" w:firstLineChars="200"/>
        <w:rPr>
          <w:rFonts w:ascii="宋体" w:hAnsi="宋体"/>
          <w:bCs/>
          <w:szCs w:val="21"/>
          <w:highlight w:val="none"/>
        </w:rPr>
      </w:pPr>
      <w:r>
        <w:rPr>
          <w:rFonts w:hint="eastAsia" w:ascii="宋体" w:hAnsi="宋体"/>
          <w:bCs/>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p w14:paraId="4A8F8414">
      <w:pPr>
        <w:pStyle w:val="6"/>
        <w:keepNext/>
        <w:keepLines/>
        <w:spacing w:before="120" w:after="120" w:line="360" w:lineRule="auto"/>
        <w:ind w:firstLine="422" w:firstLineChars="200"/>
        <w:jc w:val="both"/>
        <w:rPr>
          <w:kern w:val="2"/>
          <w:sz w:val="21"/>
          <w:szCs w:val="21"/>
          <w:highlight w:val="none"/>
        </w:rPr>
      </w:pPr>
      <w:bookmarkStart w:id="615" w:name="_Toc532375585"/>
      <w:bookmarkStart w:id="616" w:name="_Toc351203493"/>
      <w:bookmarkStart w:id="617" w:name="_Toc532377178"/>
      <w:r>
        <w:rPr>
          <w:rFonts w:hint="eastAsia"/>
          <w:kern w:val="2"/>
          <w:sz w:val="21"/>
          <w:szCs w:val="21"/>
          <w:highlight w:val="none"/>
        </w:rPr>
        <w:t>十三、合同份数</w:t>
      </w:r>
      <w:bookmarkEnd w:id="615"/>
      <w:bookmarkEnd w:id="616"/>
      <w:bookmarkEnd w:id="617"/>
    </w:p>
    <w:p w14:paraId="5C41E888">
      <w:pPr>
        <w:spacing w:line="360" w:lineRule="auto"/>
        <w:ind w:firstLine="420" w:firstLineChars="200"/>
        <w:rPr>
          <w:rFonts w:ascii="宋体" w:hAnsi="宋体"/>
          <w:bCs/>
          <w:szCs w:val="21"/>
          <w:highlight w:val="none"/>
        </w:rPr>
      </w:pPr>
      <w:r>
        <w:rPr>
          <w:rFonts w:hint="eastAsia" w:ascii="宋体" w:hAnsi="宋体" w:cs="Microsoft Sans Serif"/>
          <w:bCs/>
          <w:szCs w:val="21"/>
          <w:highlight w:val="none"/>
        </w:rPr>
        <w:t>合同一式</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份，其中正本</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份，双方各持</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份，副本</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份，双方各执</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份。副本与正本不一致时，以正本为准</w:t>
      </w:r>
      <w:r>
        <w:rPr>
          <w:rFonts w:hint="eastAsia" w:ascii="宋体" w:hAnsi="宋体"/>
          <w:bCs/>
          <w:szCs w:val="21"/>
          <w:highlight w:val="none"/>
        </w:rPr>
        <w:t>。</w:t>
      </w:r>
    </w:p>
    <w:p w14:paraId="392B7A5E">
      <w:pPr>
        <w:spacing w:line="360" w:lineRule="auto"/>
        <w:ind w:firstLine="420" w:firstLineChars="200"/>
        <w:rPr>
          <w:rFonts w:ascii="宋体" w:hAnsi="宋体"/>
          <w:bCs/>
          <w:szCs w:val="21"/>
          <w:highlight w:val="none"/>
        </w:rPr>
      </w:pPr>
    </w:p>
    <w:p w14:paraId="185CDF21">
      <w:pPr>
        <w:spacing w:line="360" w:lineRule="auto"/>
        <w:ind w:firstLine="420" w:firstLineChars="200"/>
        <w:rPr>
          <w:rFonts w:ascii="宋体" w:hAnsi="宋体"/>
          <w:bCs/>
          <w:szCs w:val="21"/>
          <w:highlight w:val="none"/>
        </w:rPr>
      </w:pPr>
      <w:r>
        <w:rPr>
          <w:rFonts w:hint="eastAsia" w:ascii="宋体" w:hAnsi="宋体"/>
          <w:bCs/>
          <w:szCs w:val="21"/>
          <w:highlight w:val="none"/>
        </w:rPr>
        <w:t>（以下为签名盖章页）。</w:t>
      </w:r>
    </w:p>
    <w:p w14:paraId="0E0C335C">
      <w:pPr>
        <w:pStyle w:val="2"/>
        <w:spacing w:line="360" w:lineRule="auto"/>
        <w:ind w:firstLine="420" w:firstLineChars="200"/>
        <w:rPr>
          <w:rFonts w:ascii="宋体" w:hAnsi="宋体"/>
          <w:szCs w:val="21"/>
          <w:highlight w:val="none"/>
        </w:rPr>
      </w:pPr>
    </w:p>
    <w:p w14:paraId="64810CF2">
      <w:pPr>
        <w:pStyle w:val="2"/>
        <w:spacing w:line="360" w:lineRule="auto"/>
        <w:ind w:firstLine="420" w:firstLineChars="200"/>
        <w:rPr>
          <w:rFonts w:ascii="宋体" w:hAnsi="宋体"/>
          <w:szCs w:val="21"/>
          <w:highlight w:val="none"/>
        </w:rPr>
      </w:pPr>
    </w:p>
    <w:p w14:paraId="0C95A6C9">
      <w:pPr>
        <w:adjustRightInd w:val="0"/>
        <w:spacing w:line="360" w:lineRule="auto"/>
        <w:ind w:firstLine="420" w:firstLineChars="200"/>
        <w:rPr>
          <w:rFonts w:ascii="宋体" w:hAnsi="宋体"/>
          <w:snapToGrid w:val="0"/>
          <w:kern w:val="0"/>
          <w:szCs w:val="21"/>
          <w:highlight w:val="none"/>
        </w:rPr>
      </w:pPr>
      <w:bookmarkStart w:id="618" w:name="_Toc467689623"/>
      <w:r>
        <w:rPr>
          <w:rFonts w:ascii="宋体" w:hAnsi="宋体"/>
          <w:snapToGrid w:val="0"/>
          <w:kern w:val="0"/>
          <w:szCs w:val="21"/>
          <w:highlight w:val="none"/>
        </w:rPr>
        <w:t>发包人：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盖单位</w:t>
      </w:r>
      <w:r>
        <w:rPr>
          <w:rFonts w:ascii="宋体" w:hAnsi="宋体"/>
          <w:snapToGrid w:val="0"/>
          <w:kern w:val="0"/>
          <w:szCs w:val="21"/>
          <w:highlight w:val="none"/>
        </w:rPr>
        <w:t>公章</w:t>
      </w:r>
      <w:r>
        <w:rPr>
          <w:rFonts w:hint="eastAsia" w:ascii="宋体" w:hAnsi="宋体"/>
          <w:snapToGrid w:val="0"/>
          <w:kern w:val="0"/>
          <w:szCs w:val="21"/>
          <w:highlight w:val="none"/>
        </w:rPr>
        <w:t>或合同专用章</w:t>
      </w:r>
      <w:r>
        <w:rPr>
          <w:rFonts w:ascii="宋体" w:hAnsi="宋体"/>
          <w:snapToGrid w:val="0"/>
          <w:kern w:val="0"/>
          <w:szCs w:val="21"/>
          <w:highlight w:val="none"/>
        </w:rPr>
        <w:t>）</w:t>
      </w:r>
    </w:p>
    <w:p w14:paraId="4F0DB29D">
      <w:pPr>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w:t>
      </w:r>
    </w:p>
    <w:p w14:paraId="583E53DD">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统一社会信用代码：</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432D855B">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纳税人识别号：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219F2D7D">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地    址：</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6CFCB396">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电    话：</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4A980861">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开户银行：</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6A6E63B7">
      <w:pPr>
        <w:spacing w:line="360" w:lineRule="auto"/>
        <w:ind w:firstLine="420" w:firstLineChars="200"/>
        <w:rPr>
          <w:rFonts w:ascii="宋体" w:hAnsi="宋体"/>
          <w:szCs w:val="21"/>
          <w:highlight w:val="none"/>
        </w:rPr>
      </w:pPr>
      <w:r>
        <w:rPr>
          <w:rFonts w:hint="eastAsia" w:ascii="宋体" w:hAnsi="宋体"/>
          <w:snapToGrid w:val="0"/>
          <w:kern w:val="0"/>
          <w:szCs w:val="21"/>
          <w:highlight w:val="none"/>
        </w:rPr>
        <w:t>账    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4A56902F">
      <w:pPr>
        <w:spacing w:line="360" w:lineRule="auto"/>
        <w:rPr>
          <w:rFonts w:ascii="宋体" w:hAnsi="宋体"/>
          <w:snapToGrid w:val="0"/>
          <w:kern w:val="0"/>
          <w:szCs w:val="21"/>
          <w:highlight w:val="none"/>
        </w:rPr>
      </w:pPr>
    </w:p>
    <w:p w14:paraId="2783F512">
      <w:pPr>
        <w:spacing w:line="360" w:lineRule="auto"/>
        <w:ind w:firstLine="420" w:firstLineChars="200"/>
        <w:rPr>
          <w:rFonts w:ascii="宋体" w:hAnsi="宋体"/>
          <w:szCs w:val="21"/>
          <w:highlight w:val="none"/>
        </w:rPr>
      </w:pPr>
      <w:r>
        <w:rPr>
          <w:rFonts w:ascii="宋体" w:hAnsi="宋体"/>
          <w:snapToGrid w:val="0"/>
          <w:kern w:val="0"/>
          <w:szCs w:val="21"/>
          <w:highlight w:val="none"/>
        </w:rPr>
        <w:t>承包人：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盖单位</w:t>
      </w:r>
      <w:r>
        <w:rPr>
          <w:rFonts w:ascii="宋体" w:hAnsi="宋体"/>
          <w:snapToGrid w:val="0"/>
          <w:kern w:val="0"/>
          <w:szCs w:val="21"/>
          <w:highlight w:val="none"/>
        </w:rPr>
        <w:t>公章</w:t>
      </w:r>
      <w:r>
        <w:rPr>
          <w:rFonts w:hint="eastAsia" w:ascii="宋体" w:hAnsi="宋体"/>
          <w:snapToGrid w:val="0"/>
          <w:kern w:val="0"/>
          <w:szCs w:val="21"/>
          <w:highlight w:val="none"/>
        </w:rPr>
        <w:t>或合同专用章</w:t>
      </w:r>
      <w:r>
        <w:rPr>
          <w:rFonts w:ascii="宋体" w:hAnsi="宋体"/>
          <w:snapToGrid w:val="0"/>
          <w:kern w:val="0"/>
          <w:szCs w:val="21"/>
          <w:highlight w:val="none"/>
        </w:rPr>
        <w:t>）</w:t>
      </w:r>
    </w:p>
    <w:p w14:paraId="49A131C9">
      <w:pPr>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w:t>
      </w:r>
    </w:p>
    <w:p w14:paraId="5BC4E9E9">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统一社会信用代码：</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3662107A">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纳税人识别号：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2162667C">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地    址：</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22272430">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电    话：</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3D6C9E97">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开户银行：</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63DB763C">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账    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6DA7346D">
      <w:pPr>
        <w:pStyle w:val="2"/>
        <w:spacing w:line="360" w:lineRule="auto"/>
        <w:rPr>
          <w:rFonts w:ascii="宋体" w:hAnsi="宋体"/>
          <w:szCs w:val="21"/>
          <w:highlight w:val="none"/>
        </w:rPr>
      </w:pPr>
    </w:p>
    <w:p w14:paraId="76AEA392">
      <w:pPr>
        <w:spacing w:line="360" w:lineRule="auto"/>
        <w:jc w:val="right"/>
        <w:rPr>
          <w:rFonts w:ascii="宋体" w:hAnsi="宋体"/>
          <w:snapToGrid w:val="0"/>
          <w:kern w:val="0"/>
          <w:szCs w:val="21"/>
          <w:highlight w:val="none"/>
        </w:rPr>
      </w:pPr>
    </w:p>
    <w:p w14:paraId="1FCC10CD">
      <w:pPr>
        <w:spacing w:line="360" w:lineRule="auto"/>
        <w:jc w:val="right"/>
        <w:rPr>
          <w:rFonts w:ascii="宋体" w:hAnsi="宋体"/>
          <w:snapToGrid w:val="0"/>
          <w:kern w:val="0"/>
          <w:szCs w:val="21"/>
          <w:highlight w:val="none"/>
        </w:rPr>
      </w:pPr>
    </w:p>
    <w:p w14:paraId="402C2E37">
      <w:pPr>
        <w:spacing w:line="360" w:lineRule="auto"/>
        <w:jc w:val="right"/>
        <w:rPr>
          <w:rFonts w:ascii="宋体" w:hAnsi="宋体"/>
          <w:snapToGrid w:val="0"/>
          <w:kern w:val="0"/>
          <w:szCs w:val="21"/>
          <w:highlight w:val="none"/>
        </w:rPr>
      </w:pPr>
      <w:r>
        <w:rPr>
          <w:rFonts w:hint="eastAsia" w:ascii="宋体" w:hAnsi="宋体"/>
          <w:snapToGrid w:val="0"/>
          <w:kern w:val="0"/>
          <w:szCs w:val="21"/>
          <w:highlight w:val="none"/>
        </w:rPr>
        <w:t>签约时间：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日</w:t>
      </w:r>
      <w:bookmarkEnd w:id="618"/>
    </w:p>
    <w:p w14:paraId="75E368D0">
      <w:pPr>
        <w:pStyle w:val="5"/>
        <w:jc w:val="center"/>
        <w:rPr>
          <w:rFonts w:ascii="宋体" w:hAnsi="宋体"/>
          <w:bCs w:val="0"/>
          <w:sz w:val="21"/>
          <w:szCs w:val="21"/>
          <w:highlight w:val="none"/>
        </w:rPr>
      </w:pPr>
      <w:r>
        <w:rPr>
          <w:rFonts w:hint="eastAsia" w:ascii="宋体" w:hAnsi="宋体"/>
          <w:b w:val="0"/>
          <w:snapToGrid w:val="0"/>
          <w:sz w:val="21"/>
          <w:szCs w:val="21"/>
          <w:highlight w:val="none"/>
          <w:lang w:val="zh-CN"/>
        </w:rPr>
        <w:br w:type="page"/>
      </w:r>
      <w:bookmarkStart w:id="619" w:name="_Toc57820638"/>
      <w:bookmarkStart w:id="620" w:name="_Toc532375586"/>
      <w:bookmarkStart w:id="621" w:name="_Toc4512"/>
      <w:bookmarkStart w:id="622" w:name="_Toc532377179"/>
      <w:bookmarkStart w:id="623" w:name="_Toc529388289"/>
      <w:r>
        <w:rPr>
          <w:rFonts w:hint="eastAsia" w:ascii="宋体" w:hAnsi="宋体"/>
          <w:sz w:val="44"/>
          <w:szCs w:val="44"/>
          <w:highlight w:val="none"/>
        </w:rPr>
        <w:t>第二部分 通用合同条款</w:t>
      </w:r>
      <w:bookmarkEnd w:id="619"/>
      <w:bookmarkEnd w:id="620"/>
      <w:bookmarkEnd w:id="621"/>
      <w:bookmarkEnd w:id="622"/>
      <w:bookmarkEnd w:id="623"/>
    </w:p>
    <w:p w14:paraId="6E402213">
      <w:pPr>
        <w:pStyle w:val="6"/>
        <w:keepNext/>
        <w:keepLines/>
        <w:spacing w:before="156" w:beforeLines="50" w:beforeAutospacing="0" w:after="156" w:afterLines="50" w:afterAutospacing="0" w:line="360" w:lineRule="auto"/>
        <w:jc w:val="both"/>
        <w:rPr>
          <w:kern w:val="2"/>
          <w:sz w:val="21"/>
          <w:szCs w:val="21"/>
          <w:highlight w:val="none"/>
        </w:rPr>
      </w:pPr>
      <w:bookmarkStart w:id="624" w:name="_Toc532377180"/>
      <w:bookmarkStart w:id="625" w:name="_Toc351203495"/>
      <w:bookmarkStart w:id="626" w:name="_Toc532375587"/>
      <w:r>
        <w:rPr>
          <w:rFonts w:hint="eastAsia"/>
          <w:kern w:val="2"/>
          <w:sz w:val="21"/>
          <w:szCs w:val="21"/>
          <w:highlight w:val="none"/>
        </w:rPr>
        <w:t>1.</w:t>
      </w:r>
      <w:bookmarkStart w:id="627" w:name="_Toc303538976"/>
      <w:bookmarkEnd w:id="627"/>
      <w:bookmarkStart w:id="628" w:name="_Toc303538973"/>
      <w:bookmarkEnd w:id="628"/>
      <w:bookmarkStart w:id="629" w:name="_Toc303538975"/>
      <w:bookmarkEnd w:id="629"/>
      <w:bookmarkStart w:id="630" w:name="_Toc303538972"/>
      <w:bookmarkEnd w:id="630"/>
      <w:bookmarkStart w:id="631" w:name="_Toc303538974"/>
      <w:bookmarkEnd w:id="631"/>
      <w:bookmarkStart w:id="632" w:name="_Toc296503027"/>
      <w:bookmarkStart w:id="633" w:name="_Toc296346528"/>
      <w:r>
        <w:rPr>
          <w:rFonts w:hint="eastAsia"/>
          <w:kern w:val="2"/>
          <w:sz w:val="21"/>
          <w:szCs w:val="21"/>
          <w:highlight w:val="none"/>
        </w:rPr>
        <w:t>一般约定</w:t>
      </w:r>
      <w:bookmarkEnd w:id="624"/>
      <w:bookmarkEnd w:id="625"/>
      <w:bookmarkEnd w:id="626"/>
      <w:bookmarkEnd w:id="632"/>
      <w:bookmarkEnd w:id="633"/>
    </w:p>
    <w:p w14:paraId="5B745462">
      <w:pPr>
        <w:pStyle w:val="7"/>
        <w:spacing w:before="0" w:beforeAutospacing="0" w:after="0" w:afterAutospacing="0" w:line="360" w:lineRule="auto"/>
        <w:ind w:firstLine="422" w:firstLineChars="200"/>
        <w:rPr>
          <w:sz w:val="21"/>
          <w:szCs w:val="21"/>
          <w:highlight w:val="none"/>
        </w:rPr>
      </w:pPr>
      <w:bookmarkStart w:id="634" w:name="_Toc296346529"/>
      <w:bookmarkStart w:id="635" w:name="_Toc337558728"/>
      <w:bookmarkStart w:id="636" w:name="_Toc296503028"/>
      <w:bookmarkStart w:id="637" w:name="_Toc351203496"/>
      <w:bookmarkStart w:id="638" w:name="_Toc532377181"/>
      <w:r>
        <w:rPr>
          <w:rFonts w:hint="eastAsia"/>
          <w:sz w:val="21"/>
          <w:szCs w:val="21"/>
          <w:highlight w:val="none"/>
        </w:rPr>
        <w:t>1.1词语定义</w:t>
      </w:r>
      <w:bookmarkEnd w:id="634"/>
      <w:bookmarkEnd w:id="635"/>
      <w:bookmarkEnd w:id="636"/>
      <w:r>
        <w:rPr>
          <w:rFonts w:hint="eastAsia"/>
          <w:sz w:val="21"/>
          <w:szCs w:val="21"/>
          <w:highlight w:val="none"/>
        </w:rPr>
        <w:t>与解释</w:t>
      </w:r>
      <w:bookmarkEnd w:id="637"/>
      <w:bookmarkEnd w:id="638"/>
    </w:p>
    <w:p w14:paraId="79BC8B9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合同协议书、通用合同条款、专用合同条款中的下列词语具有本款所赋予的含义：</w:t>
      </w:r>
    </w:p>
    <w:p w14:paraId="0B799D56">
      <w:pPr>
        <w:pStyle w:val="7"/>
        <w:spacing w:before="0" w:beforeAutospacing="0" w:after="0" w:afterAutospacing="0" w:line="360" w:lineRule="auto"/>
        <w:ind w:firstLine="420" w:firstLineChars="200"/>
        <w:rPr>
          <w:b w:val="0"/>
          <w:bCs w:val="0"/>
          <w:sz w:val="21"/>
          <w:szCs w:val="21"/>
          <w:highlight w:val="none"/>
        </w:rPr>
      </w:pPr>
      <w:bookmarkStart w:id="639" w:name="_Toc532377182"/>
      <w:r>
        <w:rPr>
          <w:rFonts w:hint="eastAsia"/>
          <w:b w:val="0"/>
          <w:bCs w:val="0"/>
          <w:sz w:val="21"/>
          <w:szCs w:val="21"/>
          <w:highlight w:val="none"/>
        </w:rPr>
        <w:t>1.1.1 合同</w:t>
      </w:r>
      <w:bookmarkEnd w:id="639"/>
    </w:p>
    <w:p w14:paraId="6404ED5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szCs w:val="21"/>
          <w:highlight w:val="none"/>
        </w:rPr>
        <w:t>及其附件</w:t>
      </w:r>
      <w:r>
        <w:rPr>
          <w:rFonts w:hint="eastAsia" w:ascii="宋体" w:hAnsi="宋体"/>
          <w:kern w:val="0"/>
          <w:szCs w:val="21"/>
          <w:highlight w:val="none"/>
        </w:rPr>
        <w:t>、通用合同条款、技术标准和要求、图纸、已标价工程量清单或预算书以及其他合同文件。</w:t>
      </w:r>
    </w:p>
    <w:p w14:paraId="02ED076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1.1.1.2 合同协议书：是指构成合同的由发包人和承包人共同签署的称为“合同协议书”的书面文件。</w:t>
      </w:r>
    </w:p>
    <w:p w14:paraId="1107E8E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1.1.1.3 中标通知书：是指构成合同的由发包人通知承包人中标的书面文件。</w:t>
      </w:r>
    </w:p>
    <w:p w14:paraId="5FA58D2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1.1.1.4 投标函：是指构成合同的由承包人填写并签署的用于投标的称为“投标函”的文件。</w:t>
      </w:r>
    </w:p>
    <w:p w14:paraId="3A0CC11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1.1.1.5 投标函附录：是指构成合同的附在投标函后的称为“投标函附录”的文件。</w:t>
      </w:r>
    </w:p>
    <w:p w14:paraId="403D9CE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1.1.1.6 技术标准和要求：是指构成合同的施工应当遵守的或指导施工的国家、行业或地方的技术标准和要求，以及合同约定的技术标准和要求。</w:t>
      </w:r>
    </w:p>
    <w:p w14:paraId="2D59F04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B6FF73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1.1.1.8 已标价工程量清单：是指构成合同的由承包人按照规定的格式和要求填写并标明价格的工程量清单，包括说明和表格。</w:t>
      </w:r>
    </w:p>
    <w:p w14:paraId="770EBD1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1.1.1.9 预算书：是指构成合同的由承包人按照发包人规定的格式和要求编制的工程预算文件。</w:t>
      </w:r>
    </w:p>
    <w:p w14:paraId="3DA1C21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1.1.1.10 其他合同文件：是指经合同当事人约定的与工程施工有关的具有合同约束力的文件或书面协议。合同当事人可以在专用合同条款中进行约定。</w:t>
      </w:r>
    </w:p>
    <w:p w14:paraId="24A3327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 合同当事人及其他相关方</w:t>
      </w:r>
    </w:p>
    <w:p w14:paraId="237DEC3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1.1.2.1 合同当事人：是指发包人和（或）承包人。</w:t>
      </w:r>
    </w:p>
    <w:p w14:paraId="41E27E8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1.1.2.2 发包人：是指与承包人签订合同协议书的当事人及取得该当事人资格的合法继承人。</w:t>
      </w:r>
    </w:p>
    <w:p w14:paraId="0392A9D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1.1.2.3 承包人：是指与发包人签订合同协议书的，具有相应工程施工承包资质的当事人及取得该当事人资格的合法继承人。</w:t>
      </w:r>
    </w:p>
    <w:p w14:paraId="5B3E136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1.1.2.4 监理人：是指在专用合同条款中指明的，受发包人委托按照法律规定进行工程监督管理的法人或其他组织。</w:t>
      </w:r>
    </w:p>
    <w:p w14:paraId="6183D4F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1.1.2.5 设计人：是指在专用合同条款中指明的，受发包人委托负责工程设计并具备相应工程设计资质的法人或其他组织。</w:t>
      </w:r>
    </w:p>
    <w:p w14:paraId="24E3F80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1.1.2.6 分包人：</w:t>
      </w:r>
      <w:bookmarkStart w:id="640" w:name="#go5"/>
      <w:bookmarkEnd w:id="640"/>
      <w:r>
        <w:rPr>
          <w:rFonts w:hint="eastAsia" w:ascii="宋体" w:hAnsi="宋体"/>
          <w:kern w:val="0"/>
          <w:szCs w:val="21"/>
          <w:highlight w:val="none"/>
        </w:rPr>
        <w:t>是指按照法律规定和合同约定，分包部分工程或工作，并与承包人签订分包合同的具有相应资质的法人。</w:t>
      </w:r>
    </w:p>
    <w:p w14:paraId="1F30434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1.1.2.7 发包人代表：是指由发包人任命并派驻施工现场在发包人授权范围内行使发包人权利的人。</w:t>
      </w:r>
    </w:p>
    <w:p w14:paraId="040F3F2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1.1.2.8 项目经理：是指由承包人任命并派驻施工现场，在承包人授权范围内负责合同履行，且按照法律规定具有相应资格的项目负责人。</w:t>
      </w:r>
    </w:p>
    <w:p w14:paraId="649987B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1.1.2.9 总监理工程师：是指由监理人任命并派驻施工现场进行工程监理的总负责人。</w:t>
      </w:r>
    </w:p>
    <w:p w14:paraId="2722558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 工程和设备</w:t>
      </w:r>
    </w:p>
    <w:p w14:paraId="2539870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1.1.3.1 工程：是指与合同协议书中工程承包范围对应的永久工程和（或）临时工程。</w:t>
      </w:r>
    </w:p>
    <w:p w14:paraId="7B825F3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1.1.3.2 永久工程：是指按合同约定建造并移交给发包人的工程，包括工程设备。</w:t>
      </w:r>
    </w:p>
    <w:p w14:paraId="0826497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1.1.3.3 临时工程：是指为完成合同约定的永久工程所修建的各类临时性工程，不包括施工设备。</w:t>
      </w:r>
    </w:p>
    <w:p w14:paraId="5F7147E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1.1.3.4 单位工程：是指在合同协议书中指明的，具备独立施工条件并能形成独立使用功能的永久工程。</w:t>
      </w:r>
    </w:p>
    <w:p w14:paraId="02A84EA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1.1.3.5 工程设备：是指构成永久工程的机电设备、金属结构设备、仪器及其他类似的设备和装置。</w:t>
      </w:r>
    </w:p>
    <w:p w14:paraId="6FA7B62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1.1.3.6 施工设备：是指为完成合同约定的各项工作所需的设备、器具和其他物品，但不包括工程设备、临时工程和材料。</w:t>
      </w:r>
    </w:p>
    <w:p w14:paraId="23833D1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1.1.3.7 施工现场：是指用于工程施工的场所，以及在专用合同条款中指明作为施工场所组成部分的其他场所，包括永久占地和临时占地。</w:t>
      </w:r>
    </w:p>
    <w:p w14:paraId="7C76F20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1.1.3.8临时设施：是指为完成合同约定的各项工作所服务的临时性生产和生活设施。</w:t>
      </w:r>
    </w:p>
    <w:p w14:paraId="7606817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1.1.3.9 永久占地：是指专用合同条款中指明为实施工程需永久占用的土地。</w:t>
      </w:r>
    </w:p>
    <w:p w14:paraId="039FE72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1.1.3.10 临时占地：是指专用合同条款中指明为实施工程需要临时占用的土地。</w:t>
      </w:r>
    </w:p>
    <w:p w14:paraId="696AF65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 日期和期限</w:t>
      </w:r>
    </w:p>
    <w:p w14:paraId="20174D8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E75B47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1.1.4.2 竣工日期：包括计划竣工日期和实际竣工日期。计划竣工日期是指合同协议书约定的竣工日期；实际竣工日期按照第13.2.3项〔竣工日期〕的约定确定。 </w:t>
      </w:r>
    </w:p>
    <w:p w14:paraId="2B31E58B">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1.1.4.3 工期：是指在合同协议书约定的承包人完成工程所需的期限，包括按照合同约定所作的期限变更。</w:t>
      </w:r>
    </w:p>
    <w:p w14:paraId="1DDD2BA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1.1.4.4 缺陷责任期：是指承包人按照合同约定承担缺陷修复义务，且发包人预留质量保证金（已缴纳履约保证金的除外）的期限，自工程实际竣工日期起计算。</w:t>
      </w:r>
    </w:p>
    <w:p w14:paraId="3122D33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1.1.4.5 保修期：是指承包人按照合同约定对工程承担保修责任的期限，从工程竣工验收合格之日起计算。</w:t>
      </w:r>
    </w:p>
    <w:p w14:paraId="0F42E4A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1.1.4.6 基准日期：招标发包的工程以投标截止日前28天的日期为基准日期，直接发包的工程以合同签订日前28天的日期为基准日期。</w:t>
      </w:r>
    </w:p>
    <w:p w14:paraId="638DD26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1.1.4.7 天：除特别指明外，均指日历天。合同中按天计算时间的，开始当天不计入，从次日开始计算，期限最后一天的截止时间为当天24：00时。</w:t>
      </w:r>
    </w:p>
    <w:p w14:paraId="1E255AC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 合同价格和费用</w:t>
      </w:r>
    </w:p>
    <w:p w14:paraId="75254B38">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1.1.5.1 签约合同价：是指</w:t>
      </w:r>
      <w:r>
        <w:rPr>
          <w:rFonts w:hint="eastAsia" w:ascii="宋体" w:hAnsi="宋体"/>
          <w:szCs w:val="21"/>
          <w:highlight w:val="none"/>
        </w:rPr>
        <w:t>发包人和承包人在合同协议书中确定的总金额，包括安全文明施工费、暂估价及暂列金额等。</w:t>
      </w:r>
    </w:p>
    <w:p w14:paraId="086B49A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1.1.5.2 合同价格：是指发包人用于支付承包人按照合同约定完成承包范围内全部工作的金额，包括合同履行过程中按合同约定发生的价格变化。</w:t>
      </w:r>
    </w:p>
    <w:p w14:paraId="68A92BD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1.1.5.3 费用：是指为履行合同所发生的或将要发生的所有必需的开支，包括管理费和应分摊的其他费用，但不包括利润。</w:t>
      </w:r>
    </w:p>
    <w:p w14:paraId="54E7FC2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1.1.5.4 暂估价：是指发包人在工程量清单或预算书中提供的用于支付必然发生但暂时不能确定价格的材料、工程设备的单价、专业工程以及服务工作的金额。</w:t>
      </w:r>
    </w:p>
    <w:p w14:paraId="7CB81C6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941AB0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1.1.5.6 计日工：是指合同履行过程中，承包人完成发包人提出的零星工作或需要采用计日工计价的变更工作时，按合同中约定的单价计价的一种方式。</w:t>
      </w:r>
    </w:p>
    <w:p w14:paraId="6AB1E60D">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1.1.5.7 质量保证金</w:t>
      </w:r>
      <w:bookmarkStart w:id="641" w:name="#go2"/>
      <w:bookmarkEnd w:id="641"/>
      <w:r>
        <w:rPr>
          <w:rFonts w:hint="eastAsia" w:ascii="宋体" w:hAnsi="宋体"/>
          <w:kern w:val="0"/>
          <w:szCs w:val="21"/>
          <w:highlight w:val="none"/>
        </w:rPr>
        <w:t>：是指按照第15.3款〔质量保证金〕约定承包人用于保证其在缺陷责任期内履行缺陷修补义务的担保</w:t>
      </w:r>
      <w:r>
        <w:rPr>
          <w:rFonts w:hint="eastAsia" w:ascii="宋体" w:hAnsi="宋体"/>
          <w:szCs w:val="21"/>
          <w:highlight w:val="none"/>
        </w:rPr>
        <w:t>。</w:t>
      </w:r>
    </w:p>
    <w:p w14:paraId="4B4EDFF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1.1.5.8 总价项目：是指在现行国家、行业以及地方的计量规则中无工程量计算规则，在已标价工程量清单或预算书中以总价或以费率形式计算的项目。</w:t>
      </w:r>
    </w:p>
    <w:p w14:paraId="43ECF9ED">
      <w:pPr>
        <w:spacing w:line="360" w:lineRule="auto"/>
        <w:ind w:firstLine="420" w:firstLineChars="200"/>
        <w:jc w:val="left"/>
        <w:rPr>
          <w:rFonts w:ascii="宋体" w:hAnsi="宋体"/>
          <w:szCs w:val="21"/>
          <w:highlight w:val="none"/>
        </w:rPr>
      </w:pPr>
      <w:r>
        <w:rPr>
          <w:rFonts w:hint="eastAsia" w:ascii="宋体" w:hAnsi="宋体"/>
          <w:szCs w:val="21"/>
          <w:highlight w:val="none"/>
        </w:rPr>
        <w:t>1.1.6 其他</w:t>
      </w:r>
    </w:p>
    <w:p w14:paraId="7802A5E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1.1.6.1 书面形式：是指合同文件、信函、电报、传真等可以有形地表现所载内容的形式。</w:t>
      </w:r>
    </w:p>
    <w:p w14:paraId="02C654F2">
      <w:pPr>
        <w:pStyle w:val="7"/>
        <w:spacing w:before="0" w:beforeAutospacing="0" w:after="0" w:afterAutospacing="0" w:line="360" w:lineRule="auto"/>
        <w:ind w:firstLine="422" w:firstLineChars="200"/>
        <w:rPr>
          <w:sz w:val="21"/>
          <w:szCs w:val="21"/>
          <w:highlight w:val="none"/>
        </w:rPr>
      </w:pPr>
      <w:bookmarkStart w:id="642" w:name="_Toc532377183"/>
      <w:r>
        <w:rPr>
          <w:rFonts w:hint="eastAsia"/>
          <w:sz w:val="21"/>
          <w:szCs w:val="21"/>
          <w:highlight w:val="none"/>
        </w:rPr>
        <w:t>1.2 语言文字</w:t>
      </w:r>
      <w:bookmarkEnd w:id="642"/>
    </w:p>
    <w:p w14:paraId="4E850C1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合同以中国的汉语简体文字编写、解释和说明。合同当事人在专用合同条款中约定使用两种以上语言时，汉语为优先解释和说明合同的语言。</w:t>
      </w:r>
    </w:p>
    <w:p w14:paraId="66B6D081">
      <w:pPr>
        <w:pStyle w:val="7"/>
        <w:spacing w:before="0" w:beforeAutospacing="0" w:after="0" w:afterAutospacing="0" w:line="360" w:lineRule="auto"/>
        <w:ind w:firstLine="422" w:firstLineChars="200"/>
        <w:rPr>
          <w:sz w:val="21"/>
          <w:szCs w:val="21"/>
          <w:highlight w:val="none"/>
        </w:rPr>
      </w:pPr>
      <w:bookmarkStart w:id="643" w:name="_Toc337558730"/>
      <w:bookmarkStart w:id="644" w:name="_Toc296503030"/>
      <w:bookmarkStart w:id="645" w:name="_Toc296346531"/>
      <w:bookmarkStart w:id="646" w:name="_Toc351203498"/>
      <w:bookmarkStart w:id="647" w:name="_Toc532377184"/>
      <w:r>
        <w:rPr>
          <w:rFonts w:hint="eastAsia"/>
          <w:sz w:val="21"/>
          <w:szCs w:val="21"/>
          <w:highlight w:val="none"/>
        </w:rPr>
        <w:t>1.3法律</w:t>
      </w:r>
      <w:bookmarkEnd w:id="643"/>
      <w:bookmarkEnd w:id="644"/>
      <w:bookmarkEnd w:id="645"/>
      <w:bookmarkEnd w:id="646"/>
      <w:bookmarkEnd w:id="647"/>
    </w:p>
    <w:p w14:paraId="080EAE9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合同所称法律是指中华人民共和国法律、行政法规、部门规章，以及工程所在地的地方性法规、自治条例、单行条例和地方政府规章等。</w:t>
      </w:r>
    </w:p>
    <w:p w14:paraId="339911A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合同当事人可以在专用合同条款中约定合同适用的其他规范性文件。</w:t>
      </w:r>
    </w:p>
    <w:p w14:paraId="0AD3DBE8">
      <w:pPr>
        <w:pStyle w:val="7"/>
        <w:spacing w:before="0" w:beforeAutospacing="0" w:after="0" w:afterAutospacing="0" w:line="360" w:lineRule="auto"/>
        <w:ind w:firstLine="422" w:firstLineChars="200"/>
        <w:rPr>
          <w:sz w:val="21"/>
          <w:szCs w:val="21"/>
          <w:highlight w:val="none"/>
        </w:rPr>
      </w:pPr>
      <w:bookmarkStart w:id="648" w:name="_Toc532377185"/>
      <w:bookmarkStart w:id="649" w:name="_Toc351203499"/>
      <w:r>
        <w:rPr>
          <w:rFonts w:hint="eastAsia"/>
          <w:sz w:val="21"/>
          <w:szCs w:val="21"/>
          <w:highlight w:val="none"/>
        </w:rPr>
        <w:t>1.4 标准和规范</w:t>
      </w:r>
      <w:bookmarkEnd w:id="648"/>
      <w:bookmarkEnd w:id="649"/>
    </w:p>
    <w:p w14:paraId="3B882CC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1.4.1 适用于工程的国家标准、行业标准、工程所在地的地方性标准，以及相应的规范、规程等，合同当事人有特别要求的，应在专用合同条款中约定。</w:t>
      </w:r>
    </w:p>
    <w:p w14:paraId="40FF2FF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1.4.2 发包人要求使用国外标准、规范的，发包人负责提供原文版本和中文译本，并在专用合同条款中约定提供标准规范的名称、份数和时间。</w:t>
      </w:r>
    </w:p>
    <w:p w14:paraId="1F89041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7C0F51B">
      <w:pPr>
        <w:pStyle w:val="7"/>
        <w:spacing w:before="0" w:beforeAutospacing="0" w:after="0" w:afterAutospacing="0" w:line="360" w:lineRule="auto"/>
        <w:ind w:firstLine="422" w:firstLineChars="200"/>
        <w:rPr>
          <w:sz w:val="21"/>
          <w:szCs w:val="21"/>
          <w:highlight w:val="none"/>
        </w:rPr>
      </w:pPr>
      <w:bookmarkStart w:id="650" w:name="_Toc532377186"/>
      <w:bookmarkStart w:id="651" w:name="_Toc351203500"/>
      <w:r>
        <w:rPr>
          <w:rFonts w:hint="eastAsia"/>
          <w:sz w:val="21"/>
          <w:szCs w:val="21"/>
          <w:highlight w:val="none"/>
        </w:rPr>
        <w:t>1</w:t>
      </w:r>
      <w:bookmarkStart w:id="652" w:name="_Toc337558731"/>
      <w:bookmarkStart w:id="653" w:name="_Toc296346532"/>
      <w:bookmarkStart w:id="654" w:name="_Toc296503031"/>
      <w:r>
        <w:rPr>
          <w:rFonts w:hint="eastAsia"/>
          <w:sz w:val="21"/>
          <w:szCs w:val="21"/>
          <w:highlight w:val="none"/>
        </w:rPr>
        <w:t>.5 合同文件的优先顺序</w:t>
      </w:r>
      <w:bookmarkEnd w:id="650"/>
      <w:bookmarkEnd w:id="651"/>
    </w:p>
    <w:bookmarkEnd w:id="652"/>
    <w:bookmarkEnd w:id="653"/>
    <w:bookmarkEnd w:id="654"/>
    <w:p w14:paraId="0D230DB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组成合同的各项文件应互相解释，互为说明。除专用合同条款另有约定外，解释合同文件的优先顺序如下：</w:t>
      </w:r>
    </w:p>
    <w:p w14:paraId="40D1449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（1）合同协议书；</w:t>
      </w:r>
    </w:p>
    <w:p w14:paraId="0A3C37A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（2）中标通知书（如有）；</w:t>
      </w:r>
    </w:p>
    <w:p w14:paraId="668B271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（3）投标函及其附录（如有）；</w:t>
      </w:r>
    </w:p>
    <w:p w14:paraId="5FEABE9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（4）专用合同条款及其附件；</w:t>
      </w:r>
    </w:p>
    <w:p w14:paraId="3D87466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（5）通用合同条款；</w:t>
      </w:r>
    </w:p>
    <w:p w14:paraId="5E509DF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（6）技术标准和要求；</w:t>
      </w:r>
    </w:p>
    <w:p w14:paraId="41A5ACF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（7）图纸；</w:t>
      </w:r>
    </w:p>
    <w:p w14:paraId="7B449F4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（8）已标价工程量清单或预算书；</w:t>
      </w:r>
    </w:p>
    <w:p w14:paraId="05D5E2C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（9）其他合同文件。</w:t>
      </w:r>
    </w:p>
    <w:p w14:paraId="0747DF3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上述各项合同文件包括合同当事人就该项合同文件所作出的补充和修改，属于同一类内容的文件，应以最新签署的为准。</w:t>
      </w:r>
    </w:p>
    <w:p w14:paraId="62BDC62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在合同订立及履行过程中形成的与合同有关的文件均构成合同文件组成部分，并根据其性质确定优先解释顺序。</w:t>
      </w:r>
    </w:p>
    <w:p w14:paraId="403905BD">
      <w:pPr>
        <w:pStyle w:val="7"/>
        <w:spacing w:before="0" w:beforeAutospacing="0" w:after="0" w:afterAutospacing="0" w:line="360" w:lineRule="auto"/>
        <w:ind w:firstLine="422" w:firstLineChars="200"/>
        <w:rPr>
          <w:sz w:val="21"/>
          <w:szCs w:val="21"/>
          <w:highlight w:val="none"/>
        </w:rPr>
      </w:pPr>
      <w:bookmarkStart w:id="655" w:name="_Toc351203501"/>
      <w:bookmarkStart w:id="656" w:name="_Toc532377187"/>
      <w:r>
        <w:rPr>
          <w:rFonts w:hint="eastAsia"/>
          <w:sz w:val="21"/>
          <w:szCs w:val="21"/>
          <w:highlight w:val="none"/>
        </w:rPr>
        <w:t>1</w:t>
      </w:r>
      <w:bookmarkStart w:id="657" w:name="_Toc296346533"/>
      <w:bookmarkStart w:id="658" w:name="_Toc337558732"/>
      <w:bookmarkStart w:id="659" w:name="_Toc296503032"/>
      <w:r>
        <w:rPr>
          <w:rFonts w:hint="eastAsia"/>
          <w:sz w:val="21"/>
          <w:szCs w:val="21"/>
          <w:highlight w:val="none"/>
        </w:rPr>
        <w:t>.6图纸和承包人文件</w:t>
      </w:r>
      <w:bookmarkEnd w:id="655"/>
      <w:bookmarkEnd w:id="656"/>
    </w:p>
    <w:bookmarkEnd w:id="657"/>
    <w:bookmarkEnd w:id="658"/>
    <w:bookmarkEnd w:id="659"/>
    <w:p w14:paraId="087B71C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 图纸的提供和交底</w:t>
      </w:r>
    </w:p>
    <w:p w14:paraId="17BAD06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0CFE2C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因发包人未按合同约定提供图纸导致承包人费用增加和（或）工期延误的，按照第7.5.1项〔因发包人原因导致工期延误〕约定办理。</w:t>
      </w:r>
    </w:p>
    <w:p w14:paraId="1E8BAD6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 图纸的错误</w:t>
      </w:r>
    </w:p>
    <w:p w14:paraId="0FA48D3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26F518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1.6.3 图纸的修改和补充</w:t>
      </w:r>
    </w:p>
    <w:p w14:paraId="723125D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FBB484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1.6.4 承包人文件</w:t>
      </w:r>
    </w:p>
    <w:p w14:paraId="5F3BF28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承包人应按照专用合同条款的约定提供应当由其编制的与工程施工有关的文件，并按照专用合同条款约定的期限、数量和形式提交监理人，并由监理人报送发包人。</w:t>
      </w:r>
    </w:p>
    <w:p w14:paraId="0517038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6EEAC6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1.6.5 图纸和承包人文件的保管</w:t>
      </w:r>
    </w:p>
    <w:p w14:paraId="25C58EB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除专用合同条款另有约定外，承包人应在施工现场另外保存一套完整的图纸和承包人文件，供发包人、监理人及有关人员进行工程检查时使用。</w:t>
      </w:r>
    </w:p>
    <w:p w14:paraId="70995D60">
      <w:pPr>
        <w:pStyle w:val="7"/>
        <w:spacing w:before="0" w:beforeAutospacing="0" w:after="0" w:afterAutospacing="0" w:line="360" w:lineRule="auto"/>
        <w:ind w:firstLine="422" w:firstLineChars="200"/>
        <w:rPr>
          <w:sz w:val="21"/>
          <w:szCs w:val="21"/>
          <w:highlight w:val="none"/>
        </w:rPr>
      </w:pPr>
      <w:bookmarkStart w:id="660" w:name="_Toc532377188"/>
      <w:bookmarkStart w:id="661" w:name="_Toc351203502"/>
      <w:r>
        <w:rPr>
          <w:rFonts w:hint="eastAsia"/>
          <w:sz w:val="21"/>
          <w:szCs w:val="21"/>
          <w:highlight w:val="none"/>
        </w:rPr>
        <w:t>1</w:t>
      </w:r>
      <w:bookmarkStart w:id="662" w:name="_Toc296346534"/>
      <w:bookmarkStart w:id="663" w:name="_Toc337558733"/>
      <w:bookmarkStart w:id="664" w:name="_Toc296503033"/>
      <w:r>
        <w:rPr>
          <w:rFonts w:hint="eastAsia"/>
          <w:sz w:val="21"/>
          <w:szCs w:val="21"/>
          <w:highlight w:val="none"/>
        </w:rPr>
        <w:t>.7联络</w:t>
      </w:r>
      <w:bookmarkEnd w:id="660"/>
      <w:bookmarkEnd w:id="661"/>
    </w:p>
    <w:bookmarkEnd w:id="662"/>
    <w:bookmarkEnd w:id="663"/>
    <w:bookmarkEnd w:id="664"/>
    <w:p w14:paraId="61254BE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1.7.1 与合同有关的通知、批准、证明、证书、指示、指令、要求、请求、同意、意见、确定和决定等，均应采用书面形式，并应在合同约定的期限内送达接收人和送达地点。</w:t>
      </w:r>
    </w:p>
    <w:p w14:paraId="13B2FF2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00CE68B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1.7.3 发包人和承包人应当及时签收另一方送达至送达地点和指定接收人的来往信函。拒不签收的，由此增加的费用和（或）延误的工期由拒绝接收一方承担。</w:t>
      </w:r>
    </w:p>
    <w:p w14:paraId="1CC128C8">
      <w:pPr>
        <w:pStyle w:val="7"/>
        <w:spacing w:before="0" w:beforeAutospacing="0" w:after="0" w:afterAutospacing="0" w:line="360" w:lineRule="auto"/>
        <w:ind w:firstLine="422" w:firstLineChars="200"/>
        <w:rPr>
          <w:sz w:val="21"/>
          <w:szCs w:val="21"/>
          <w:highlight w:val="none"/>
        </w:rPr>
      </w:pPr>
      <w:bookmarkStart w:id="665" w:name="_Toc532377189"/>
      <w:bookmarkStart w:id="666" w:name="_Toc351203503"/>
      <w:r>
        <w:rPr>
          <w:rFonts w:hint="eastAsia"/>
          <w:sz w:val="21"/>
          <w:szCs w:val="21"/>
          <w:highlight w:val="none"/>
        </w:rPr>
        <w:t>1</w:t>
      </w:r>
      <w:bookmarkStart w:id="667" w:name="_Toc296346536"/>
      <w:bookmarkStart w:id="668" w:name="_Toc296503035"/>
      <w:bookmarkStart w:id="669" w:name="_Toc337558734"/>
      <w:r>
        <w:rPr>
          <w:rFonts w:hint="eastAsia"/>
          <w:sz w:val="21"/>
          <w:szCs w:val="21"/>
          <w:highlight w:val="none"/>
        </w:rPr>
        <w:t>.8严禁贿赂</w:t>
      </w:r>
      <w:bookmarkEnd w:id="665"/>
      <w:bookmarkEnd w:id="666"/>
    </w:p>
    <w:bookmarkEnd w:id="667"/>
    <w:bookmarkEnd w:id="668"/>
    <w:bookmarkEnd w:id="669"/>
    <w:p w14:paraId="35569BA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合同当事人不得以贿赂或变相贿赂的方式，谋取非法利益或损害对方权益。因一方合同当事人的贿赂造成对方损失的，应赔偿损失，并承担相应的法律责任。</w:t>
      </w:r>
    </w:p>
    <w:p w14:paraId="429F162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26DF03D">
      <w:pPr>
        <w:pStyle w:val="7"/>
        <w:spacing w:before="0" w:beforeAutospacing="0" w:after="0" w:afterAutospacing="0" w:line="360" w:lineRule="auto"/>
        <w:ind w:firstLine="422" w:firstLineChars="200"/>
        <w:rPr>
          <w:sz w:val="21"/>
          <w:szCs w:val="21"/>
          <w:highlight w:val="none"/>
        </w:rPr>
      </w:pPr>
      <w:bookmarkStart w:id="670" w:name="_Toc532377190"/>
      <w:bookmarkStart w:id="671" w:name="_Toc351203504"/>
      <w:r>
        <w:rPr>
          <w:rFonts w:hint="eastAsia"/>
          <w:sz w:val="21"/>
          <w:szCs w:val="21"/>
          <w:highlight w:val="none"/>
        </w:rPr>
        <w:t>1</w:t>
      </w:r>
      <w:bookmarkStart w:id="672" w:name="_Toc337558735"/>
      <w:bookmarkStart w:id="673" w:name="_Toc296346537"/>
      <w:bookmarkStart w:id="674" w:name="_Toc296503036"/>
      <w:r>
        <w:rPr>
          <w:rFonts w:hint="eastAsia"/>
          <w:sz w:val="21"/>
          <w:szCs w:val="21"/>
          <w:highlight w:val="none"/>
        </w:rPr>
        <w:t>.9化石、文物</w:t>
      </w:r>
      <w:bookmarkEnd w:id="670"/>
      <w:bookmarkEnd w:id="671"/>
    </w:p>
    <w:bookmarkEnd w:id="672"/>
    <w:bookmarkEnd w:id="673"/>
    <w:bookmarkEnd w:id="674"/>
    <w:p w14:paraId="25BC09D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3657A5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发包人、监理人和承包人应按有关政府行政管理部门要求采取妥善的保护措施，由此增加的费用和（或）延误的工期由发包人承担。</w:t>
      </w:r>
    </w:p>
    <w:p w14:paraId="40886DA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承包人发现文物后不及时报告或隐瞒不报，致使文物丢失或损坏的，应赔偿损失，并承担相应的法律责任。</w:t>
      </w:r>
    </w:p>
    <w:p w14:paraId="04763090">
      <w:pPr>
        <w:pStyle w:val="7"/>
        <w:spacing w:before="0" w:beforeAutospacing="0" w:after="0" w:afterAutospacing="0" w:line="360" w:lineRule="auto"/>
        <w:ind w:firstLine="422" w:firstLineChars="200"/>
        <w:rPr>
          <w:sz w:val="21"/>
          <w:szCs w:val="21"/>
          <w:highlight w:val="none"/>
        </w:rPr>
      </w:pPr>
      <w:bookmarkStart w:id="675" w:name="_Toc351203505"/>
      <w:bookmarkStart w:id="676" w:name="_Toc532377191"/>
      <w:r>
        <w:rPr>
          <w:rFonts w:hint="eastAsia"/>
          <w:sz w:val="21"/>
          <w:szCs w:val="21"/>
          <w:highlight w:val="none"/>
        </w:rPr>
        <w:t>1</w:t>
      </w:r>
      <w:bookmarkStart w:id="677" w:name="_Toc337558736"/>
      <w:r>
        <w:rPr>
          <w:rFonts w:hint="eastAsia"/>
          <w:sz w:val="21"/>
          <w:szCs w:val="21"/>
          <w:highlight w:val="none"/>
        </w:rPr>
        <w:t>.10交通运输</w:t>
      </w:r>
      <w:bookmarkEnd w:id="675"/>
      <w:bookmarkEnd w:id="676"/>
    </w:p>
    <w:bookmarkEnd w:id="677"/>
    <w:p w14:paraId="3E9A30C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1.10.1 出入现场的权利</w:t>
      </w:r>
    </w:p>
    <w:p w14:paraId="2133747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5EEBFE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7EEDC8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1.10.2 场外交通</w:t>
      </w:r>
    </w:p>
    <w:p w14:paraId="704D62F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19F49C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1.10.3场内交通</w:t>
      </w:r>
    </w:p>
    <w:p w14:paraId="10E4DC9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32275F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E0E208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场外交通和场内交通的边界由合同当事人在专用合同条款中约定。</w:t>
      </w:r>
    </w:p>
    <w:p w14:paraId="7944877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1.10.4 超大件和超重件的运输</w:t>
      </w:r>
    </w:p>
    <w:p w14:paraId="2865B88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24E707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1.10.5 道路和桥梁的损坏责任</w:t>
      </w:r>
    </w:p>
    <w:p w14:paraId="399F41F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因承包人运输造成施工场地内外公共道路和桥梁损坏的，由承包人承担修复损坏的全部费用和可能引起的赔偿。</w:t>
      </w:r>
    </w:p>
    <w:p w14:paraId="464381C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1.10.6 水路和航空运输</w:t>
      </w:r>
    </w:p>
    <w:p w14:paraId="0CDA722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4FBCCFED">
      <w:pPr>
        <w:pStyle w:val="7"/>
        <w:spacing w:before="0" w:beforeAutospacing="0" w:after="0" w:afterAutospacing="0" w:line="360" w:lineRule="auto"/>
        <w:ind w:firstLine="422" w:firstLineChars="200"/>
        <w:rPr>
          <w:sz w:val="21"/>
          <w:szCs w:val="21"/>
          <w:highlight w:val="none"/>
        </w:rPr>
      </w:pPr>
      <w:bookmarkStart w:id="678" w:name="_Toc532377192"/>
      <w:bookmarkStart w:id="679" w:name="_Toc351203506"/>
      <w:r>
        <w:rPr>
          <w:rFonts w:hint="eastAsia"/>
          <w:sz w:val="21"/>
          <w:szCs w:val="21"/>
          <w:highlight w:val="none"/>
        </w:rPr>
        <w:t>1</w:t>
      </w:r>
      <w:bookmarkStart w:id="680" w:name="_Toc337558737"/>
      <w:bookmarkStart w:id="681" w:name="_Toc296346538"/>
      <w:bookmarkStart w:id="682" w:name="_Toc296503037"/>
      <w:r>
        <w:rPr>
          <w:rFonts w:hint="eastAsia"/>
          <w:sz w:val="21"/>
          <w:szCs w:val="21"/>
          <w:highlight w:val="none"/>
        </w:rPr>
        <w:t>.11知识产权</w:t>
      </w:r>
      <w:bookmarkEnd w:id="678"/>
      <w:bookmarkEnd w:id="679"/>
      <w:bookmarkEnd w:id="680"/>
    </w:p>
    <w:bookmarkEnd w:id="681"/>
    <w:bookmarkEnd w:id="682"/>
    <w:p w14:paraId="6EC19B7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72FDA0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57F177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22EC5B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1.11.4 除专用合同条款另有约定外，承包人在合同签订前和签订时已确定采用的专利、专有技术、技术秘密的使用费已包含在签约合同价中。</w:t>
      </w:r>
    </w:p>
    <w:p w14:paraId="6D057187">
      <w:pPr>
        <w:pStyle w:val="7"/>
        <w:spacing w:before="0" w:beforeAutospacing="0" w:after="0" w:afterAutospacing="0" w:line="360" w:lineRule="auto"/>
        <w:ind w:firstLine="422" w:firstLineChars="200"/>
        <w:rPr>
          <w:sz w:val="21"/>
          <w:szCs w:val="21"/>
          <w:highlight w:val="none"/>
        </w:rPr>
      </w:pPr>
      <w:bookmarkStart w:id="683" w:name="_Toc351203507"/>
      <w:bookmarkStart w:id="684" w:name="_Toc532377193"/>
      <w:r>
        <w:rPr>
          <w:rFonts w:hint="eastAsia"/>
          <w:sz w:val="21"/>
          <w:szCs w:val="21"/>
          <w:highlight w:val="none"/>
        </w:rPr>
        <w:t>1</w:t>
      </w:r>
      <w:bookmarkStart w:id="685" w:name="_Toc337558738"/>
      <w:r>
        <w:rPr>
          <w:rFonts w:hint="eastAsia"/>
          <w:sz w:val="21"/>
          <w:szCs w:val="21"/>
          <w:highlight w:val="none"/>
        </w:rPr>
        <w:t>.12保密</w:t>
      </w:r>
      <w:bookmarkEnd w:id="683"/>
      <w:bookmarkEnd w:id="684"/>
    </w:p>
    <w:bookmarkEnd w:id="685"/>
    <w:p w14:paraId="14DF9A8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除法律规定或合同另有约定外，未经发包人同意，承包人不得将发包人提供的图纸、文件以及声明需要保密的资料信息等商业秘密泄露给第三方。</w:t>
      </w:r>
    </w:p>
    <w:p w14:paraId="709B8A9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除法律规定或合同另有约定外，未经承包人同意，发包人不得将承包人提供的技术秘密及声明需要保密的资料信息等商业秘密泄露给第三方。</w:t>
      </w:r>
    </w:p>
    <w:p w14:paraId="0E8E7069">
      <w:pPr>
        <w:pStyle w:val="7"/>
        <w:spacing w:before="0" w:beforeAutospacing="0" w:after="0" w:afterAutospacing="0" w:line="360" w:lineRule="auto"/>
        <w:ind w:firstLine="422" w:firstLineChars="200"/>
        <w:rPr>
          <w:sz w:val="21"/>
          <w:szCs w:val="21"/>
          <w:highlight w:val="none"/>
        </w:rPr>
      </w:pPr>
      <w:bookmarkStart w:id="686" w:name="_Toc351203508"/>
      <w:bookmarkStart w:id="687" w:name="_Toc532377194"/>
      <w:r>
        <w:rPr>
          <w:rFonts w:hint="eastAsia"/>
          <w:sz w:val="21"/>
          <w:szCs w:val="21"/>
          <w:highlight w:val="none"/>
        </w:rPr>
        <w:t>1.13工程量清单错误的修正</w:t>
      </w:r>
      <w:bookmarkEnd w:id="686"/>
      <w:bookmarkEnd w:id="687"/>
    </w:p>
    <w:p w14:paraId="0936E1E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除专用合同条款另有约定外，发包人提供的工程量清单，应被认为是准确的和完整的。出现下列情形之一时，发包人应予以修正，并相应调整合同价格：</w:t>
      </w:r>
    </w:p>
    <w:p w14:paraId="2AC93AD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（1）工程量清单存在缺项、漏项的；</w:t>
      </w:r>
    </w:p>
    <w:p w14:paraId="121D01B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（2）工程量清单偏差超出专用合同条款约定的工程量偏差范围的；</w:t>
      </w:r>
    </w:p>
    <w:p w14:paraId="2D718B6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（3）未按照国家现行计量规范强制性规定计量的。</w:t>
      </w:r>
    </w:p>
    <w:p w14:paraId="06ED7B77">
      <w:pPr>
        <w:pStyle w:val="6"/>
        <w:keepNext/>
        <w:keepLines/>
        <w:spacing w:before="156" w:beforeLines="50" w:beforeAutospacing="0" w:after="156" w:afterLines="50" w:afterAutospacing="0" w:line="360" w:lineRule="auto"/>
        <w:jc w:val="both"/>
        <w:rPr>
          <w:kern w:val="2"/>
          <w:sz w:val="21"/>
          <w:szCs w:val="21"/>
          <w:highlight w:val="none"/>
        </w:rPr>
      </w:pPr>
      <w:bookmarkStart w:id="688" w:name="_Toc532375588"/>
      <w:bookmarkStart w:id="689" w:name="_Toc351203509"/>
      <w:bookmarkStart w:id="690" w:name="_Toc532377195"/>
      <w:r>
        <w:rPr>
          <w:rFonts w:hint="eastAsia"/>
          <w:kern w:val="2"/>
          <w:sz w:val="21"/>
          <w:szCs w:val="21"/>
          <w:highlight w:val="none"/>
        </w:rPr>
        <w:t>2</w:t>
      </w:r>
      <w:bookmarkStart w:id="691" w:name="_Toc296503038"/>
      <w:bookmarkStart w:id="692" w:name="_Toc337558739"/>
      <w:bookmarkStart w:id="693" w:name="_Toc296346539"/>
      <w:bookmarkStart w:id="694" w:name="OLE_LINK2"/>
      <w:r>
        <w:rPr>
          <w:rFonts w:hint="eastAsia"/>
          <w:kern w:val="2"/>
          <w:sz w:val="21"/>
          <w:szCs w:val="21"/>
          <w:highlight w:val="none"/>
        </w:rPr>
        <w:t>. 发包人</w:t>
      </w:r>
      <w:bookmarkEnd w:id="688"/>
      <w:bookmarkEnd w:id="689"/>
      <w:bookmarkEnd w:id="690"/>
    </w:p>
    <w:bookmarkEnd w:id="691"/>
    <w:bookmarkEnd w:id="692"/>
    <w:bookmarkEnd w:id="693"/>
    <w:p w14:paraId="70132136">
      <w:pPr>
        <w:pStyle w:val="7"/>
        <w:spacing w:before="0" w:beforeAutospacing="0" w:after="0" w:afterAutospacing="0" w:line="360" w:lineRule="auto"/>
        <w:ind w:firstLine="422" w:firstLineChars="200"/>
        <w:rPr>
          <w:sz w:val="21"/>
          <w:szCs w:val="21"/>
          <w:highlight w:val="none"/>
        </w:rPr>
      </w:pPr>
      <w:bookmarkStart w:id="695" w:name="_Toc532377196"/>
      <w:bookmarkStart w:id="696" w:name="_Toc351203510"/>
      <w:r>
        <w:rPr>
          <w:rFonts w:hint="eastAsia"/>
          <w:sz w:val="21"/>
          <w:szCs w:val="21"/>
          <w:highlight w:val="none"/>
        </w:rPr>
        <w:t>2</w:t>
      </w:r>
      <w:bookmarkStart w:id="697" w:name="_Toc337558740"/>
      <w:bookmarkStart w:id="698" w:name="_Toc296503039"/>
      <w:bookmarkStart w:id="699" w:name="_Toc296346540"/>
      <w:r>
        <w:rPr>
          <w:rFonts w:hint="eastAsia"/>
          <w:sz w:val="21"/>
          <w:szCs w:val="21"/>
          <w:highlight w:val="none"/>
        </w:rPr>
        <w:t>.1 许可或批准</w:t>
      </w:r>
      <w:bookmarkEnd w:id="695"/>
      <w:bookmarkEnd w:id="696"/>
    </w:p>
    <w:p w14:paraId="070E56D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F72A2C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因发包人原因未能及时办理完毕前述许可、批准或备案，由发包人承担由此增加的费用和（或）延误的工期，并支付承包人合理的利润。</w:t>
      </w:r>
    </w:p>
    <w:p w14:paraId="7AA2742C">
      <w:pPr>
        <w:pStyle w:val="7"/>
        <w:spacing w:before="0" w:beforeAutospacing="0" w:after="0" w:afterAutospacing="0" w:line="360" w:lineRule="auto"/>
        <w:ind w:firstLine="422" w:firstLineChars="200"/>
        <w:rPr>
          <w:sz w:val="21"/>
          <w:szCs w:val="21"/>
          <w:highlight w:val="none"/>
        </w:rPr>
      </w:pPr>
      <w:bookmarkStart w:id="700" w:name="_Toc532377197"/>
      <w:bookmarkStart w:id="701" w:name="_Toc351203511"/>
      <w:r>
        <w:rPr>
          <w:rFonts w:hint="eastAsia"/>
          <w:sz w:val="21"/>
          <w:szCs w:val="21"/>
          <w:highlight w:val="none"/>
        </w:rPr>
        <w:t>2.2 发包人代表</w:t>
      </w:r>
      <w:bookmarkEnd w:id="700"/>
      <w:bookmarkEnd w:id="701"/>
    </w:p>
    <w:p w14:paraId="22A5B81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21E410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发包人代表不能按照合同约定履行其职责及义务，并导致合同无法继续正常履行的，承包人可以要求发包人撤换发包人代表。</w:t>
      </w:r>
    </w:p>
    <w:p w14:paraId="55F6A9D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不属于法定必须监理的工程，监理人的职权可以由发包人代表或发包人指定的其他人员行使。</w:t>
      </w:r>
    </w:p>
    <w:p w14:paraId="0090E0F0">
      <w:pPr>
        <w:pStyle w:val="7"/>
        <w:spacing w:before="0" w:beforeAutospacing="0" w:after="0" w:afterAutospacing="0" w:line="360" w:lineRule="auto"/>
        <w:ind w:firstLine="422" w:firstLineChars="200"/>
        <w:rPr>
          <w:sz w:val="21"/>
          <w:szCs w:val="21"/>
          <w:highlight w:val="none"/>
        </w:rPr>
      </w:pPr>
      <w:bookmarkStart w:id="702" w:name="_Toc532377198"/>
      <w:bookmarkStart w:id="703" w:name="_Toc351203512"/>
      <w:r>
        <w:rPr>
          <w:rFonts w:hint="eastAsia"/>
          <w:sz w:val="21"/>
          <w:szCs w:val="21"/>
          <w:highlight w:val="none"/>
        </w:rPr>
        <w:t>2.3 发包人人员</w:t>
      </w:r>
      <w:bookmarkEnd w:id="702"/>
      <w:bookmarkEnd w:id="703"/>
    </w:p>
    <w:p w14:paraId="57C76B1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64AC19E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发包人人员包括发包人代表及其他由发包人派驻施工现场的人员。</w:t>
      </w:r>
      <w:bookmarkEnd w:id="697"/>
      <w:bookmarkEnd w:id="698"/>
      <w:bookmarkEnd w:id="699"/>
    </w:p>
    <w:p w14:paraId="2B41CF54">
      <w:pPr>
        <w:pStyle w:val="7"/>
        <w:spacing w:before="0" w:beforeAutospacing="0" w:after="0" w:afterAutospacing="0" w:line="360" w:lineRule="auto"/>
        <w:ind w:firstLine="422" w:firstLineChars="200"/>
        <w:rPr>
          <w:sz w:val="21"/>
          <w:szCs w:val="21"/>
          <w:highlight w:val="none"/>
        </w:rPr>
      </w:pPr>
      <w:bookmarkStart w:id="704" w:name="_Toc532377199"/>
      <w:bookmarkStart w:id="705" w:name="_Toc351203513"/>
      <w:r>
        <w:rPr>
          <w:rFonts w:hint="eastAsia"/>
          <w:sz w:val="21"/>
          <w:szCs w:val="21"/>
          <w:highlight w:val="none"/>
        </w:rPr>
        <w:t>2</w:t>
      </w:r>
      <w:bookmarkStart w:id="706" w:name="_Toc337558741"/>
      <w:bookmarkStart w:id="707" w:name="_Toc296503040"/>
      <w:bookmarkStart w:id="708" w:name="_Toc296346541"/>
      <w:r>
        <w:rPr>
          <w:rFonts w:hint="eastAsia"/>
          <w:sz w:val="21"/>
          <w:szCs w:val="21"/>
          <w:highlight w:val="none"/>
        </w:rPr>
        <w:t>.4 施工现场、施工条件和基础资料的提供</w:t>
      </w:r>
      <w:bookmarkEnd w:id="704"/>
      <w:bookmarkEnd w:id="705"/>
      <w:bookmarkEnd w:id="706"/>
      <w:bookmarkEnd w:id="707"/>
      <w:bookmarkEnd w:id="708"/>
    </w:p>
    <w:p w14:paraId="37CAF98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2.4.1 提供施工现场</w:t>
      </w:r>
    </w:p>
    <w:p w14:paraId="7D0CD2F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w:t>
      </w:r>
      <w:bookmarkEnd w:id="694"/>
      <w:r>
        <w:rPr>
          <w:rFonts w:hint="eastAsia" w:ascii="宋体" w:hAnsi="宋体"/>
          <w:kern w:val="0"/>
          <w:szCs w:val="21"/>
          <w:highlight w:val="none"/>
        </w:rPr>
        <w:t>专用合同条款另有约定外，发包人应最迟于开工日期7天前向承包人移交施工现场。</w:t>
      </w:r>
    </w:p>
    <w:p w14:paraId="4CB0F30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2.4.2 提供施工条件</w:t>
      </w:r>
    </w:p>
    <w:p w14:paraId="12D4FA6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除专用合同条款另有约定外，发包人应负责提供施工所需要的条件，包括：</w:t>
      </w:r>
    </w:p>
    <w:p w14:paraId="678C743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（1）将施工用水、电力、通讯线路等施工所必需的条件接至施工现场内；</w:t>
      </w:r>
    </w:p>
    <w:p w14:paraId="7EDE2E2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（2）保证向承包人提供正常施工所需要的进入施工现场的交通条件；</w:t>
      </w:r>
    </w:p>
    <w:p w14:paraId="14A1210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（3）协调处理施工现场周围地下管线和邻近建筑物、构筑物、古树名木的保护工作，并承担相关费用；</w:t>
      </w:r>
    </w:p>
    <w:p w14:paraId="3781AC3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（4）按照专用合同条款约定应提供的其他设施和条件。</w:t>
      </w:r>
    </w:p>
    <w:p w14:paraId="6B6A160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2.4.3 提供基础资料</w:t>
      </w:r>
    </w:p>
    <w:p w14:paraId="5FBB5EA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5A302F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按照法律规定确需在开工后方能提供的基础资料，发包人应尽其努力及时地在相应工程施工前的合理期限内提供，合理期限应以不影响承包人的正常施工为限。</w:t>
      </w:r>
    </w:p>
    <w:p w14:paraId="4B781A3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2.4.4 逾期提供的责任</w:t>
      </w:r>
    </w:p>
    <w:p w14:paraId="1925014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因发包人原因未能按合同约定及时向承包人提供施工现场、施工条件、基础资料的，由发包人承担由此增加的费用和（或）延误的工期。</w:t>
      </w:r>
    </w:p>
    <w:p w14:paraId="6652FFD3">
      <w:pPr>
        <w:pStyle w:val="7"/>
        <w:spacing w:before="0" w:beforeAutospacing="0" w:after="0" w:afterAutospacing="0" w:line="360" w:lineRule="auto"/>
        <w:ind w:firstLine="422" w:firstLineChars="200"/>
        <w:rPr>
          <w:sz w:val="21"/>
          <w:szCs w:val="21"/>
          <w:highlight w:val="none"/>
        </w:rPr>
      </w:pPr>
      <w:bookmarkStart w:id="709" w:name="_Toc351203514"/>
      <w:bookmarkStart w:id="710" w:name="_Toc532377200"/>
      <w:r>
        <w:rPr>
          <w:rFonts w:hint="eastAsia"/>
          <w:sz w:val="21"/>
          <w:szCs w:val="21"/>
          <w:highlight w:val="none"/>
        </w:rPr>
        <w:t>2</w:t>
      </w:r>
      <w:bookmarkStart w:id="711" w:name="_Toc296346543"/>
      <w:bookmarkStart w:id="712" w:name="_Toc337558745"/>
      <w:bookmarkStart w:id="713" w:name="_Toc296503042"/>
      <w:r>
        <w:rPr>
          <w:rFonts w:hint="eastAsia"/>
          <w:sz w:val="21"/>
          <w:szCs w:val="21"/>
          <w:highlight w:val="none"/>
        </w:rPr>
        <w:t>.5 资</w:t>
      </w:r>
      <w:bookmarkEnd w:id="711"/>
      <w:bookmarkEnd w:id="712"/>
      <w:bookmarkEnd w:id="713"/>
      <w:r>
        <w:rPr>
          <w:rFonts w:hint="eastAsia"/>
          <w:sz w:val="21"/>
          <w:szCs w:val="21"/>
          <w:highlight w:val="none"/>
        </w:rPr>
        <w:t>金来源证明及支付担保</w:t>
      </w:r>
      <w:bookmarkEnd w:id="709"/>
      <w:bookmarkEnd w:id="710"/>
    </w:p>
    <w:p w14:paraId="130118A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189E69B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379F903">
      <w:pPr>
        <w:pStyle w:val="7"/>
        <w:spacing w:before="0" w:beforeAutospacing="0" w:after="0" w:afterAutospacing="0" w:line="360" w:lineRule="auto"/>
        <w:ind w:firstLine="422" w:firstLineChars="200"/>
        <w:rPr>
          <w:sz w:val="21"/>
          <w:szCs w:val="21"/>
          <w:highlight w:val="none"/>
        </w:rPr>
      </w:pPr>
      <w:bookmarkStart w:id="714" w:name="_Toc532377201"/>
      <w:bookmarkStart w:id="715" w:name="_Toc351203515"/>
      <w:r>
        <w:rPr>
          <w:rFonts w:hint="eastAsia"/>
          <w:sz w:val="21"/>
          <w:szCs w:val="21"/>
          <w:highlight w:val="none"/>
        </w:rPr>
        <w:t>2.6 支付合同价款</w:t>
      </w:r>
      <w:bookmarkEnd w:id="714"/>
      <w:bookmarkEnd w:id="715"/>
    </w:p>
    <w:p w14:paraId="783D20D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发包人应按合同约定向承包人及时支付合同价款。</w:t>
      </w:r>
    </w:p>
    <w:p w14:paraId="336FF545">
      <w:pPr>
        <w:pStyle w:val="7"/>
        <w:spacing w:before="0" w:beforeAutospacing="0" w:after="0" w:afterAutospacing="0" w:line="360" w:lineRule="auto"/>
        <w:ind w:firstLine="422" w:firstLineChars="200"/>
        <w:rPr>
          <w:sz w:val="21"/>
          <w:szCs w:val="21"/>
          <w:highlight w:val="none"/>
        </w:rPr>
      </w:pPr>
      <w:bookmarkStart w:id="716" w:name="_Toc532377202"/>
      <w:bookmarkStart w:id="717" w:name="_Toc351203516"/>
      <w:r>
        <w:rPr>
          <w:rFonts w:hint="eastAsia"/>
          <w:sz w:val="21"/>
          <w:szCs w:val="21"/>
          <w:highlight w:val="none"/>
        </w:rPr>
        <w:t>2.7 组织竣工验收</w:t>
      </w:r>
      <w:bookmarkEnd w:id="716"/>
      <w:bookmarkEnd w:id="717"/>
    </w:p>
    <w:p w14:paraId="61D24B8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发包人应按合同约定及时组织竣工验收。</w:t>
      </w:r>
    </w:p>
    <w:p w14:paraId="3344BD2A">
      <w:pPr>
        <w:pStyle w:val="7"/>
        <w:spacing w:before="0" w:beforeAutospacing="0" w:after="0" w:afterAutospacing="0" w:line="360" w:lineRule="auto"/>
        <w:ind w:firstLine="422" w:firstLineChars="200"/>
        <w:rPr>
          <w:sz w:val="21"/>
          <w:szCs w:val="21"/>
          <w:highlight w:val="none"/>
        </w:rPr>
      </w:pPr>
      <w:bookmarkStart w:id="718" w:name="_Toc532377203"/>
      <w:bookmarkStart w:id="719" w:name="_Toc351203517"/>
      <w:r>
        <w:rPr>
          <w:rFonts w:hint="eastAsia"/>
          <w:sz w:val="21"/>
          <w:szCs w:val="21"/>
          <w:highlight w:val="none"/>
        </w:rPr>
        <w:t>2.8 现场统一管理协议</w:t>
      </w:r>
      <w:bookmarkEnd w:id="718"/>
      <w:bookmarkEnd w:id="719"/>
    </w:p>
    <w:p w14:paraId="2D1A668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发包人应与承包人、由发包人直接发包的专业工程的承包人签订施工现场统一管理协议，明确各方的权利义务。施工现场统一管理协议作为专用合同条款的附件。</w:t>
      </w:r>
    </w:p>
    <w:p w14:paraId="58CE773F">
      <w:pPr>
        <w:pStyle w:val="6"/>
        <w:keepNext/>
        <w:keepLines/>
        <w:spacing w:before="156" w:beforeLines="50" w:beforeAutospacing="0" w:after="156" w:afterLines="50" w:afterAutospacing="0" w:line="360" w:lineRule="auto"/>
        <w:jc w:val="both"/>
        <w:rPr>
          <w:bCs w:val="0"/>
          <w:kern w:val="2"/>
          <w:sz w:val="21"/>
          <w:szCs w:val="21"/>
          <w:highlight w:val="none"/>
        </w:rPr>
      </w:pPr>
      <w:bookmarkStart w:id="720" w:name="_Toc532377204"/>
      <w:bookmarkStart w:id="721" w:name="_Toc532375589"/>
      <w:bookmarkStart w:id="722" w:name="_Toc351203518"/>
      <w:r>
        <w:rPr>
          <w:rFonts w:hint="eastAsia"/>
          <w:kern w:val="2"/>
          <w:sz w:val="21"/>
          <w:szCs w:val="21"/>
          <w:highlight w:val="none"/>
        </w:rPr>
        <w:t>3</w:t>
      </w:r>
      <w:bookmarkStart w:id="723" w:name="_Toc337558746"/>
      <w:bookmarkStart w:id="724" w:name="_Toc296346546"/>
      <w:bookmarkStart w:id="725" w:name="_Toc296503045"/>
      <w:r>
        <w:rPr>
          <w:rFonts w:hint="eastAsia"/>
          <w:kern w:val="2"/>
          <w:sz w:val="21"/>
          <w:szCs w:val="21"/>
          <w:highlight w:val="none"/>
        </w:rPr>
        <w:t>. 承包人</w:t>
      </w:r>
      <w:bookmarkEnd w:id="720"/>
      <w:bookmarkEnd w:id="721"/>
      <w:bookmarkEnd w:id="722"/>
    </w:p>
    <w:bookmarkEnd w:id="723"/>
    <w:bookmarkEnd w:id="724"/>
    <w:bookmarkEnd w:id="725"/>
    <w:p w14:paraId="16CF1E73">
      <w:pPr>
        <w:pStyle w:val="7"/>
        <w:spacing w:before="0" w:beforeAutospacing="0" w:after="0" w:afterAutospacing="0" w:line="360" w:lineRule="auto"/>
        <w:ind w:firstLine="422" w:firstLineChars="200"/>
        <w:rPr>
          <w:sz w:val="21"/>
          <w:szCs w:val="21"/>
          <w:highlight w:val="none"/>
        </w:rPr>
      </w:pPr>
      <w:bookmarkStart w:id="726" w:name="_Toc351203519"/>
      <w:bookmarkStart w:id="727" w:name="_Toc532377205"/>
      <w:r>
        <w:rPr>
          <w:rFonts w:hint="eastAsia"/>
          <w:sz w:val="21"/>
          <w:szCs w:val="21"/>
          <w:highlight w:val="none"/>
        </w:rPr>
        <w:t>3</w:t>
      </w:r>
      <w:bookmarkStart w:id="728" w:name="_Toc337558747"/>
      <w:bookmarkStart w:id="729" w:name="_Toc296346547"/>
      <w:bookmarkStart w:id="730" w:name="_Toc296503046"/>
      <w:r>
        <w:rPr>
          <w:rFonts w:hint="eastAsia"/>
          <w:sz w:val="21"/>
          <w:szCs w:val="21"/>
          <w:highlight w:val="none"/>
        </w:rPr>
        <w:t>.1 承包人的一般义务</w:t>
      </w:r>
      <w:bookmarkEnd w:id="726"/>
      <w:bookmarkEnd w:id="727"/>
    </w:p>
    <w:bookmarkEnd w:id="728"/>
    <w:bookmarkEnd w:id="729"/>
    <w:bookmarkEnd w:id="730"/>
    <w:p w14:paraId="6AED8D8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承包人在履行合同过程中应遵守法律和工程建设标准规范，并履行以下义务：</w:t>
      </w:r>
    </w:p>
    <w:p w14:paraId="2A69F2AA">
      <w:pPr>
        <w:numPr>
          <w:ilvl w:val="0"/>
          <w:numId w:val="1"/>
        </w:num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办理法律规定应由承包人办理的许可和批准，并将办理结果书面报送发包人留存；</w:t>
      </w:r>
    </w:p>
    <w:p w14:paraId="0FC7E96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（2）按法律规定和合同约定完成工程，并在保修期内承担保修义务；</w:t>
      </w:r>
    </w:p>
    <w:p w14:paraId="154B624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（3）按法律规定和合同约定采取施工安全和环境保护措施，办理工伤保险，确保工程及人员、材料、设备和设施的安全；</w:t>
      </w:r>
    </w:p>
    <w:p w14:paraId="2CD1966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（4）按合同约定的工作内容和施工进度要求，编制施工组织设计和施工措施计划，并对所有施工作业和施工方法的完备性和安全可靠性负责；</w:t>
      </w:r>
    </w:p>
    <w:p w14:paraId="639BEDF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DF4BD7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（6）按照第6.3款〔环境保护〕约定负责施工场地及其周边环境与生态的保护工作；</w:t>
      </w:r>
    </w:p>
    <w:p w14:paraId="759A97C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（7）按第6.1款〔安全文明施工〕约定采取施工安全措施，确保工程及其人员、材料、设备和设施的安全，防止因工程施工造成的人身伤害和财产损失；</w:t>
      </w:r>
    </w:p>
    <w:p w14:paraId="66B169A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（8）将发包人按合同约定支付的各项价款专用于合同工程，且应及时支付其雇用人员工资，并及时向分包人支付合同价款；</w:t>
      </w:r>
    </w:p>
    <w:p w14:paraId="3186956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（9）按照法律规定和合同约定编制竣工资料，完成竣工资料立卷及归档，并按专用合同条款约定的竣工资料的套数、内容、时间等要求移交发包人；</w:t>
      </w:r>
    </w:p>
    <w:p w14:paraId="226A9B0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（10）应履行的其他义务。</w:t>
      </w:r>
    </w:p>
    <w:p w14:paraId="6CDDDE1F">
      <w:pPr>
        <w:pStyle w:val="7"/>
        <w:spacing w:before="0" w:beforeAutospacing="0" w:after="0" w:afterAutospacing="0" w:line="360" w:lineRule="auto"/>
        <w:ind w:firstLine="422" w:firstLineChars="200"/>
        <w:rPr>
          <w:sz w:val="21"/>
          <w:szCs w:val="21"/>
          <w:highlight w:val="none"/>
        </w:rPr>
      </w:pPr>
      <w:bookmarkStart w:id="731" w:name="_Toc351203520"/>
      <w:bookmarkStart w:id="732" w:name="_Toc532377206"/>
      <w:r>
        <w:rPr>
          <w:rFonts w:hint="eastAsia"/>
          <w:sz w:val="21"/>
          <w:szCs w:val="21"/>
          <w:highlight w:val="none"/>
        </w:rPr>
        <w:t>3</w:t>
      </w:r>
      <w:bookmarkStart w:id="733" w:name="_Toc296346548"/>
      <w:bookmarkStart w:id="734" w:name="_Toc296503047"/>
      <w:bookmarkStart w:id="735" w:name="_Toc337558748"/>
      <w:r>
        <w:rPr>
          <w:rFonts w:hint="eastAsia"/>
          <w:sz w:val="21"/>
          <w:szCs w:val="21"/>
          <w:highlight w:val="none"/>
        </w:rPr>
        <w:t xml:space="preserve">.2 </w:t>
      </w:r>
      <w:bookmarkEnd w:id="731"/>
      <w:r>
        <w:rPr>
          <w:rFonts w:hint="eastAsia"/>
          <w:sz w:val="21"/>
          <w:szCs w:val="21"/>
          <w:highlight w:val="none"/>
        </w:rPr>
        <w:t>项目经理</w:t>
      </w:r>
      <w:bookmarkEnd w:id="732"/>
    </w:p>
    <w:bookmarkEnd w:id="733"/>
    <w:bookmarkEnd w:id="734"/>
    <w:bookmarkEnd w:id="735"/>
    <w:p w14:paraId="2F8B157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9E8C05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B58830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承包人违反上述约定的，应按照专用合同条款的约定，承担违约责任。</w:t>
      </w:r>
    </w:p>
    <w:p w14:paraId="0E9A98F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B9B066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63A978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1B64D4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AA94408">
      <w:pPr>
        <w:pStyle w:val="7"/>
        <w:spacing w:before="0" w:beforeAutospacing="0" w:after="0" w:afterAutospacing="0" w:line="360" w:lineRule="auto"/>
        <w:ind w:firstLine="422" w:firstLineChars="200"/>
        <w:rPr>
          <w:sz w:val="21"/>
          <w:szCs w:val="21"/>
          <w:highlight w:val="none"/>
        </w:rPr>
      </w:pPr>
      <w:bookmarkStart w:id="736" w:name="_Toc351203521"/>
      <w:bookmarkStart w:id="737" w:name="_Toc532377207"/>
      <w:r>
        <w:rPr>
          <w:rFonts w:hint="eastAsia"/>
          <w:sz w:val="21"/>
          <w:szCs w:val="21"/>
          <w:highlight w:val="none"/>
        </w:rPr>
        <w:t>3</w:t>
      </w:r>
      <w:bookmarkStart w:id="738" w:name="_Toc296346549"/>
      <w:bookmarkStart w:id="739" w:name="_Toc296503048"/>
      <w:bookmarkStart w:id="740" w:name="_Toc337558749"/>
      <w:r>
        <w:rPr>
          <w:rFonts w:hint="eastAsia"/>
          <w:sz w:val="21"/>
          <w:szCs w:val="21"/>
          <w:highlight w:val="none"/>
        </w:rPr>
        <w:t xml:space="preserve">.3 </w:t>
      </w:r>
      <w:bookmarkEnd w:id="738"/>
      <w:bookmarkEnd w:id="739"/>
      <w:r>
        <w:rPr>
          <w:rFonts w:hint="eastAsia"/>
          <w:sz w:val="21"/>
          <w:szCs w:val="21"/>
          <w:highlight w:val="none"/>
        </w:rPr>
        <w:t>承包人人员</w:t>
      </w:r>
      <w:bookmarkEnd w:id="736"/>
      <w:bookmarkEnd w:id="737"/>
    </w:p>
    <w:bookmarkEnd w:id="740"/>
    <w:p w14:paraId="793797E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024CFC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9C5A65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特殊工种作业人员均应持有相应的资格证明，监理人可以随时检查。</w:t>
      </w:r>
    </w:p>
    <w:p w14:paraId="7E16402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F1744F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8D72E7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3.3.5 承包人擅自更换主要施工管理人员，或前述人员未经监理人或发包人同意擅自离开施工现场的，应按照专用合同条款约定承担违约责任。</w:t>
      </w:r>
    </w:p>
    <w:p w14:paraId="312E7505">
      <w:pPr>
        <w:pStyle w:val="7"/>
        <w:spacing w:before="0" w:beforeAutospacing="0" w:after="0" w:afterAutospacing="0" w:line="360" w:lineRule="auto"/>
        <w:ind w:firstLine="422" w:firstLineChars="200"/>
        <w:rPr>
          <w:sz w:val="21"/>
          <w:szCs w:val="21"/>
          <w:highlight w:val="none"/>
        </w:rPr>
      </w:pPr>
      <w:bookmarkStart w:id="741" w:name="_Toc532377208"/>
      <w:bookmarkStart w:id="742" w:name="_Toc351203522"/>
      <w:r>
        <w:rPr>
          <w:rFonts w:hint="eastAsia"/>
          <w:sz w:val="21"/>
          <w:szCs w:val="21"/>
          <w:highlight w:val="none"/>
        </w:rPr>
        <w:t>3</w:t>
      </w:r>
      <w:bookmarkStart w:id="743" w:name="_Toc296503050"/>
      <w:bookmarkStart w:id="744" w:name="_Toc296346551"/>
      <w:bookmarkStart w:id="745" w:name="_Toc337558750"/>
      <w:r>
        <w:rPr>
          <w:rFonts w:hint="eastAsia"/>
          <w:sz w:val="21"/>
          <w:szCs w:val="21"/>
          <w:highlight w:val="none"/>
        </w:rPr>
        <w:t>.4 承包人现场查勘</w:t>
      </w:r>
      <w:bookmarkEnd w:id="741"/>
      <w:bookmarkEnd w:id="742"/>
    </w:p>
    <w:bookmarkEnd w:id="743"/>
    <w:bookmarkEnd w:id="744"/>
    <w:bookmarkEnd w:id="745"/>
    <w:p w14:paraId="564709F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5944B36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B1D605A">
      <w:pPr>
        <w:pStyle w:val="7"/>
        <w:spacing w:before="0" w:beforeAutospacing="0" w:after="0" w:afterAutospacing="0" w:line="360" w:lineRule="auto"/>
        <w:ind w:firstLine="422" w:firstLineChars="200"/>
        <w:rPr>
          <w:sz w:val="21"/>
          <w:szCs w:val="21"/>
          <w:highlight w:val="none"/>
        </w:rPr>
      </w:pPr>
      <w:bookmarkStart w:id="746" w:name="_Toc532377209"/>
      <w:bookmarkStart w:id="747" w:name="_Toc351203523"/>
      <w:r>
        <w:rPr>
          <w:rFonts w:hint="eastAsia"/>
          <w:sz w:val="21"/>
          <w:szCs w:val="21"/>
          <w:highlight w:val="none"/>
        </w:rPr>
        <w:t>3</w:t>
      </w:r>
      <w:bookmarkStart w:id="748" w:name="_Toc337558751"/>
      <w:bookmarkStart w:id="749" w:name="_Toc296346552"/>
      <w:bookmarkStart w:id="750" w:name="_Toc296503051"/>
      <w:r>
        <w:rPr>
          <w:rFonts w:hint="eastAsia"/>
          <w:sz w:val="21"/>
          <w:szCs w:val="21"/>
          <w:highlight w:val="none"/>
        </w:rPr>
        <w:t>.5 分包</w:t>
      </w:r>
      <w:bookmarkEnd w:id="746"/>
      <w:bookmarkEnd w:id="747"/>
    </w:p>
    <w:bookmarkEnd w:id="748"/>
    <w:bookmarkEnd w:id="749"/>
    <w:bookmarkEnd w:id="750"/>
    <w:p w14:paraId="243C95B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3.5.1 分包的一般约定</w:t>
      </w:r>
    </w:p>
    <w:p w14:paraId="4902A5E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6571F1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承包人不得以劳务分包的名义转包或违法分包工程。</w:t>
      </w:r>
    </w:p>
    <w:p w14:paraId="07F10CA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3.5.2 分包的确定</w:t>
      </w:r>
    </w:p>
    <w:p w14:paraId="62334F7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E60A73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3.5.3 分包管理</w:t>
      </w:r>
    </w:p>
    <w:p w14:paraId="07F6ECF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承包人应向监理人提交分包人的主要施工管理人员表，并对分包人的施工人员进行实名制管理，包括但不限于进出场管理、登记造册以及各种证照的办理。</w:t>
      </w:r>
    </w:p>
    <w:p w14:paraId="441729C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3.5.4 分包合同价款</w:t>
      </w:r>
    </w:p>
    <w:p w14:paraId="06DF692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（1）除本项第（2）目约定的情况或专用合同条款另有约定外，分包合同价款由承包人与分包人结算，未经承包人同意，发包人不得向分包人支付分包工程价款；</w:t>
      </w:r>
    </w:p>
    <w:p w14:paraId="35461FF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（2）生效法律文书要求发包人向分包人支付分包合同价款的，发包人有权从应付承包人工程款中扣除该部分款项。</w:t>
      </w:r>
    </w:p>
    <w:p w14:paraId="03DB8EB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3.5.5 分包合同权益的转让</w:t>
      </w:r>
    </w:p>
    <w:p w14:paraId="12DCD2F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51" w:name="_Toc351203524"/>
    </w:p>
    <w:p w14:paraId="07C0C7A0">
      <w:pPr>
        <w:pStyle w:val="7"/>
        <w:spacing w:before="0" w:beforeAutospacing="0" w:after="0" w:afterAutospacing="0" w:line="360" w:lineRule="auto"/>
        <w:ind w:firstLine="422" w:firstLineChars="200"/>
        <w:rPr>
          <w:sz w:val="21"/>
          <w:szCs w:val="21"/>
          <w:highlight w:val="none"/>
        </w:rPr>
      </w:pPr>
      <w:bookmarkStart w:id="752" w:name="_Toc532377210"/>
      <w:r>
        <w:rPr>
          <w:rFonts w:hint="eastAsia"/>
          <w:sz w:val="21"/>
          <w:szCs w:val="21"/>
          <w:highlight w:val="none"/>
        </w:rPr>
        <w:t>3.6 工程照管与成品、半成品保护</w:t>
      </w:r>
      <w:bookmarkEnd w:id="751"/>
      <w:bookmarkEnd w:id="752"/>
    </w:p>
    <w:p w14:paraId="4EE3F5B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（1）除专用合同条款另有约定外，自发包人向承包人移交施工现场之日起，承包人应负责照管工程及工程相关的材料、工程设备，直到颁发工程接收证书之日止。</w:t>
      </w:r>
    </w:p>
    <w:p w14:paraId="4C075E0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（2）在承包人负责照管期间，因承包人原因造成工程、材料、工程设备损坏的，由承包人负责修复或更换，并承担由此增加的费用和（或）延误的工期。</w:t>
      </w:r>
    </w:p>
    <w:p w14:paraId="66B4378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DB958F6">
      <w:pPr>
        <w:pStyle w:val="7"/>
        <w:spacing w:before="0" w:beforeAutospacing="0" w:after="0" w:afterAutospacing="0" w:line="360" w:lineRule="auto"/>
        <w:ind w:firstLine="422" w:firstLineChars="200"/>
        <w:rPr>
          <w:sz w:val="21"/>
          <w:szCs w:val="21"/>
          <w:highlight w:val="none"/>
        </w:rPr>
      </w:pPr>
      <w:bookmarkStart w:id="753" w:name="_Toc532377211"/>
      <w:bookmarkStart w:id="754" w:name="_Toc351203525"/>
      <w:r>
        <w:rPr>
          <w:rFonts w:hint="eastAsia"/>
          <w:sz w:val="21"/>
          <w:szCs w:val="21"/>
          <w:highlight w:val="none"/>
        </w:rPr>
        <w:t>3</w:t>
      </w:r>
      <w:bookmarkStart w:id="755" w:name="_Toc337558752"/>
      <w:bookmarkStart w:id="756" w:name="_Toc296346553"/>
      <w:bookmarkStart w:id="757" w:name="_Toc296503052"/>
      <w:r>
        <w:rPr>
          <w:rFonts w:hint="eastAsia"/>
          <w:sz w:val="21"/>
          <w:szCs w:val="21"/>
          <w:highlight w:val="none"/>
        </w:rPr>
        <w:t>.7 履约担保</w:t>
      </w:r>
      <w:bookmarkEnd w:id="753"/>
      <w:bookmarkEnd w:id="754"/>
    </w:p>
    <w:bookmarkEnd w:id="755"/>
    <w:bookmarkEnd w:id="756"/>
    <w:bookmarkEnd w:id="757"/>
    <w:p w14:paraId="66F0F4A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75D6D8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因承包人原因导致工期延长的，继续提供履约担保所增加的费用由承包人承担；非因承包人原因导致工期延长的，继续提供履约担保所增加的费用由发包人承担。</w:t>
      </w:r>
    </w:p>
    <w:p w14:paraId="59CCDB10">
      <w:pPr>
        <w:pStyle w:val="7"/>
        <w:spacing w:before="0" w:beforeAutospacing="0" w:after="0" w:afterAutospacing="0" w:line="360" w:lineRule="auto"/>
        <w:ind w:firstLine="422" w:firstLineChars="200"/>
        <w:rPr>
          <w:sz w:val="21"/>
          <w:szCs w:val="21"/>
          <w:highlight w:val="none"/>
        </w:rPr>
      </w:pPr>
      <w:bookmarkStart w:id="758" w:name="_Toc532377212"/>
      <w:bookmarkStart w:id="759" w:name="_Toc351203526"/>
      <w:r>
        <w:rPr>
          <w:rFonts w:hint="eastAsia"/>
          <w:sz w:val="21"/>
          <w:szCs w:val="21"/>
          <w:highlight w:val="none"/>
        </w:rPr>
        <w:t>3.8 联合体</w:t>
      </w:r>
      <w:bookmarkEnd w:id="758"/>
      <w:bookmarkEnd w:id="759"/>
    </w:p>
    <w:p w14:paraId="574EF75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3.8.1 联合体各方应共同与发包人签订合同协议书。联合体各方应为履行合同向发包人承担连带责任。</w:t>
      </w:r>
    </w:p>
    <w:p w14:paraId="591A8BA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3.8.2 联合体协议经发包人确认后作为合同附件。在履行合同过程中，未经发包人同意，不得修改联合体协议。</w:t>
      </w:r>
    </w:p>
    <w:p w14:paraId="696E895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3.8.3 联合体牵头人负责与发包人和监理人联系，并接受指示，负责组织联合体各成员全面履行合同。</w:t>
      </w:r>
    </w:p>
    <w:p w14:paraId="2D9EE422">
      <w:pPr>
        <w:pStyle w:val="6"/>
        <w:keepNext/>
        <w:keepLines/>
        <w:spacing w:before="156" w:beforeLines="50" w:beforeAutospacing="0" w:after="156" w:afterLines="50" w:afterAutospacing="0" w:line="360" w:lineRule="auto"/>
        <w:jc w:val="both"/>
        <w:rPr>
          <w:bCs w:val="0"/>
          <w:kern w:val="2"/>
          <w:sz w:val="21"/>
          <w:szCs w:val="21"/>
          <w:highlight w:val="none"/>
        </w:rPr>
      </w:pPr>
      <w:bookmarkStart w:id="760" w:name="_Toc532377213"/>
      <w:bookmarkStart w:id="761" w:name="_Toc351203527"/>
      <w:bookmarkStart w:id="762" w:name="_Toc532375590"/>
      <w:r>
        <w:rPr>
          <w:rFonts w:hint="eastAsia"/>
          <w:kern w:val="2"/>
          <w:sz w:val="21"/>
          <w:szCs w:val="21"/>
          <w:highlight w:val="none"/>
        </w:rPr>
        <w:t>4</w:t>
      </w:r>
      <w:bookmarkStart w:id="763" w:name="_Toc296503053"/>
      <w:bookmarkStart w:id="764" w:name="_Toc296346554"/>
      <w:bookmarkStart w:id="765" w:name="_Toc337558753"/>
      <w:r>
        <w:rPr>
          <w:rFonts w:hint="eastAsia"/>
          <w:kern w:val="2"/>
          <w:sz w:val="21"/>
          <w:szCs w:val="21"/>
          <w:highlight w:val="none"/>
        </w:rPr>
        <w:t>. 监</w:t>
      </w:r>
      <w:bookmarkEnd w:id="763"/>
      <w:bookmarkEnd w:id="764"/>
      <w:r>
        <w:rPr>
          <w:rFonts w:hint="eastAsia"/>
          <w:kern w:val="2"/>
          <w:sz w:val="21"/>
          <w:szCs w:val="21"/>
          <w:highlight w:val="none"/>
        </w:rPr>
        <w:t>理人</w:t>
      </w:r>
      <w:bookmarkEnd w:id="760"/>
      <w:bookmarkEnd w:id="761"/>
      <w:bookmarkEnd w:id="762"/>
    </w:p>
    <w:bookmarkEnd w:id="765"/>
    <w:p w14:paraId="21993B7C">
      <w:pPr>
        <w:pStyle w:val="7"/>
        <w:spacing w:before="0" w:beforeAutospacing="0" w:after="0" w:afterAutospacing="0" w:line="360" w:lineRule="auto"/>
        <w:ind w:firstLine="422" w:firstLineChars="200"/>
        <w:rPr>
          <w:sz w:val="21"/>
          <w:szCs w:val="21"/>
          <w:highlight w:val="none"/>
        </w:rPr>
      </w:pPr>
      <w:bookmarkStart w:id="766" w:name="_Toc351203528"/>
      <w:bookmarkStart w:id="767" w:name="_Toc532377214"/>
      <w:r>
        <w:rPr>
          <w:rFonts w:hint="eastAsia"/>
          <w:sz w:val="21"/>
          <w:szCs w:val="21"/>
          <w:highlight w:val="none"/>
        </w:rPr>
        <w:t>4</w:t>
      </w:r>
      <w:bookmarkStart w:id="768" w:name="_Toc296503054"/>
      <w:bookmarkStart w:id="769" w:name="_Toc296346555"/>
      <w:bookmarkStart w:id="770" w:name="_Toc337558754"/>
      <w:r>
        <w:rPr>
          <w:rFonts w:hint="eastAsia"/>
          <w:sz w:val="21"/>
          <w:szCs w:val="21"/>
          <w:highlight w:val="none"/>
        </w:rPr>
        <w:t>.1监理人的一般规定</w:t>
      </w:r>
      <w:bookmarkEnd w:id="766"/>
      <w:bookmarkEnd w:id="767"/>
    </w:p>
    <w:bookmarkEnd w:id="768"/>
    <w:bookmarkEnd w:id="769"/>
    <w:bookmarkEnd w:id="770"/>
    <w:p w14:paraId="0CDE009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FE7DE3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除专用合同条款另有约定外，监理人在施工现场的办公场所、生活场所由承包人提供，所发生的费用由发包人承担。</w:t>
      </w:r>
    </w:p>
    <w:p w14:paraId="3B55A4A3">
      <w:pPr>
        <w:pStyle w:val="7"/>
        <w:spacing w:before="0" w:beforeAutospacing="0" w:after="0" w:afterAutospacing="0" w:line="360" w:lineRule="auto"/>
        <w:ind w:firstLine="422" w:firstLineChars="200"/>
        <w:rPr>
          <w:sz w:val="21"/>
          <w:szCs w:val="21"/>
          <w:highlight w:val="none"/>
        </w:rPr>
      </w:pPr>
      <w:bookmarkStart w:id="771" w:name="_Toc351203529"/>
      <w:bookmarkStart w:id="772" w:name="_Toc532377215"/>
      <w:r>
        <w:rPr>
          <w:rFonts w:hint="eastAsia"/>
          <w:sz w:val="21"/>
          <w:szCs w:val="21"/>
          <w:highlight w:val="none"/>
        </w:rPr>
        <w:t>4</w:t>
      </w:r>
      <w:bookmarkStart w:id="773" w:name="_Toc337558755"/>
      <w:r>
        <w:rPr>
          <w:rFonts w:hint="eastAsia"/>
          <w:sz w:val="21"/>
          <w:szCs w:val="21"/>
          <w:highlight w:val="none"/>
        </w:rPr>
        <w:t>.2监理人员</w:t>
      </w:r>
      <w:bookmarkEnd w:id="771"/>
      <w:bookmarkEnd w:id="772"/>
    </w:p>
    <w:bookmarkEnd w:id="773"/>
    <w:p w14:paraId="5202F60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D366F02">
      <w:pPr>
        <w:pStyle w:val="7"/>
        <w:spacing w:before="0" w:beforeAutospacing="0" w:after="0" w:afterAutospacing="0" w:line="360" w:lineRule="auto"/>
        <w:ind w:firstLine="422" w:firstLineChars="200"/>
        <w:rPr>
          <w:sz w:val="21"/>
          <w:szCs w:val="21"/>
          <w:highlight w:val="none"/>
        </w:rPr>
      </w:pPr>
      <w:bookmarkStart w:id="774" w:name="_Toc532377216"/>
      <w:bookmarkStart w:id="775" w:name="_Toc351203530"/>
      <w:r>
        <w:rPr>
          <w:rFonts w:hint="eastAsia"/>
          <w:sz w:val="21"/>
          <w:szCs w:val="21"/>
          <w:highlight w:val="none"/>
        </w:rPr>
        <w:t>4</w:t>
      </w:r>
      <w:bookmarkStart w:id="776" w:name="_Toc296346556"/>
      <w:bookmarkStart w:id="777" w:name="_Toc296503055"/>
      <w:bookmarkStart w:id="778" w:name="_Toc337558756"/>
      <w:r>
        <w:rPr>
          <w:rFonts w:hint="eastAsia"/>
          <w:sz w:val="21"/>
          <w:szCs w:val="21"/>
          <w:highlight w:val="none"/>
        </w:rPr>
        <w:t>.3</w:t>
      </w:r>
      <w:bookmarkEnd w:id="776"/>
      <w:bookmarkEnd w:id="777"/>
      <w:r>
        <w:rPr>
          <w:rFonts w:hint="eastAsia"/>
          <w:sz w:val="21"/>
          <w:szCs w:val="21"/>
          <w:highlight w:val="none"/>
        </w:rPr>
        <w:t>监理人的指</w:t>
      </w:r>
      <w:bookmarkEnd w:id="778"/>
      <w:r>
        <w:rPr>
          <w:rFonts w:hint="eastAsia"/>
          <w:sz w:val="21"/>
          <w:szCs w:val="21"/>
          <w:highlight w:val="none"/>
        </w:rPr>
        <w:t>示</w:t>
      </w:r>
      <w:bookmarkEnd w:id="774"/>
      <w:bookmarkEnd w:id="775"/>
    </w:p>
    <w:p w14:paraId="256773E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B978A0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32007C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618ADC1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FFF25F5">
      <w:pPr>
        <w:pStyle w:val="7"/>
        <w:spacing w:before="0" w:beforeAutospacing="0" w:after="0" w:afterAutospacing="0" w:line="360" w:lineRule="auto"/>
        <w:ind w:firstLine="422" w:firstLineChars="200"/>
        <w:rPr>
          <w:sz w:val="21"/>
          <w:szCs w:val="21"/>
          <w:highlight w:val="none"/>
        </w:rPr>
      </w:pPr>
      <w:bookmarkStart w:id="779" w:name="_Toc351203531"/>
      <w:bookmarkStart w:id="780" w:name="_Toc532377217"/>
      <w:r>
        <w:rPr>
          <w:rFonts w:hint="eastAsia"/>
          <w:sz w:val="21"/>
          <w:szCs w:val="21"/>
          <w:highlight w:val="none"/>
        </w:rPr>
        <w:t>4</w:t>
      </w:r>
      <w:bookmarkStart w:id="781" w:name="_Toc296503057"/>
      <w:bookmarkStart w:id="782" w:name="_Toc337558757"/>
      <w:bookmarkStart w:id="783" w:name="_Toc296346558"/>
      <w:r>
        <w:rPr>
          <w:rFonts w:hint="eastAsia"/>
          <w:sz w:val="21"/>
          <w:szCs w:val="21"/>
          <w:highlight w:val="none"/>
        </w:rPr>
        <w:t>.4 商定或确定</w:t>
      </w:r>
      <w:bookmarkEnd w:id="779"/>
      <w:bookmarkEnd w:id="780"/>
    </w:p>
    <w:bookmarkEnd w:id="781"/>
    <w:bookmarkEnd w:id="782"/>
    <w:bookmarkEnd w:id="783"/>
    <w:p w14:paraId="39B084F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合同当事人进行商定或确定时，总监理工程师应当会同合同当事人尽量通过协商达成一致，不能达成一致的，由总监理工程师按照合同约定审慎做出公正的确定。</w:t>
      </w:r>
    </w:p>
    <w:p w14:paraId="2E12FF9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A8CC407">
      <w:pPr>
        <w:pStyle w:val="6"/>
        <w:keepNext/>
        <w:keepLines/>
        <w:spacing w:before="156" w:beforeLines="50" w:beforeAutospacing="0" w:after="156" w:afterLines="50" w:afterAutospacing="0" w:line="360" w:lineRule="auto"/>
        <w:jc w:val="both"/>
        <w:rPr>
          <w:bCs w:val="0"/>
          <w:kern w:val="2"/>
          <w:sz w:val="21"/>
          <w:szCs w:val="21"/>
          <w:highlight w:val="none"/>
        </w:rPr>
      </w:pPr>
      <w:bookmarkStart w:id="784" w:name="_Toc532375591"/>
      <w:bookmarkStart w:id="785" w:name="_Toc532377218"/>
      <w:bookmarkStart w:id="786" w:name="_Toc351203532"/>
      <w:r>
        <w:rPr>
          <w:rFonts w:hint="eastAsia"/>
          <w:kern w:val="2"/>
          <w:sz w:val="21"/>
          <w:szCs w:val="21"/>
          <w:highlight w:val="none"/>
        </w:rPr>
        <w:t>5</w:t>
      </w:r>
      <w:bookmarkStart w:id="787" w:name="_Toc337558758"/>
      <w:r>
        <w:rPr>
          <w:rFonts w:hint="eastAsia"/>
          <w:kern w:val="2"/>
          <w:sz w:val="21"/>
          <w:szCs w:val="21"/>
          <w:highlight w:val="none"/>
        </w:rPr>
        <w:t>. 工程质量</w:t>
      </w:r>
      <w:bookmarkEnd w:id="784"/>
      <w:bookmarkEnd w:id="785"/>
      <w:bookmarkEnd w:id="786"/>
    </w:p>
    <w:bookmarkEnd w:id="787"/>
    <w:p w14:paraId="57CBF074">
      <w:pPr>
        <w:pStyle w:val="7"/>
        <w:spacing w:before="0" w:beforeAutospacing="0" w:after="0" w:afterAutospacing="0" w:line="360" w:lineRule="auto"/>
        <w:ind w:firstLine="422" w:firstLineChars="200"/>
        <w:rPr>
          <w:sz w:val="21"/>
          <w:szCs w:val="21"/>
          <w:highlight w:val="none"/>
        </w:rPr>
      </w:pPr>
      <w:bookmarkStart w:id="788" w:name="_Toc532377219"/>
      <w:bookmarkStart w:id="789" w:name="_Toc351203533"/>
      <w:r>
        <w:rPr>
          <w:rFonts w:hint="eastAsia"/>
          <w:sz w:val="21"/>
          <w:szCs w:val="21"/>
          <w:highlight w:val="none"/>
        </w:rPr>
        <w:t>5</w:t>
      </w:r>
      <w:bookmarkStart w:id="790" w:name="_Toc337558759"/>
      <w:r>
        <w:rPr>
          <w:rFonts w:hint="eastAsia"/>
          <w:sz w:val="21"/>
          <w:szCs w:val="21"/>
          <w:highlight w:val="none"/>
        </w:rPr>
        <w:t>.1质量要求</w:t>
      </w:r>
      <w:bookmarkEnd w:id="788"/>
      <w:bookmarkEnd w:id="789"/>
    </w:p>
    <w:bookmarkEnd w:id="790"/>
    <w:p w14:paraId="15D8E7F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5.1.1 工程质量标准必须符合现行国家有关工程施工质量验收规范和标准的要求。有关工程质量的特殊标准或要求由合同当事人在专用合同条款中约定。</w:t>
      </w:r>
    </w:p>
    <w:p w14:paraId="2DA6CD4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5.1.2 因发包人原因造成工程质量未达到合同约定标准的，由发包人承担由此增加的费用和（或）延误的工期，并支付承包人合理的利润。</w:t>
      </w:r>
    </w:p>
    <w:p w14:paraId="22644FF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33A897C1">
      <w:pPr>
        <w:pStyle w:val="7"/>
        <w:spacing w:before="0" w:beforeAutospacing="0" w:after="0" w:afterAutospacing="0" w:line="360" w:lineRule="auto"/>
        <w:ind w:firstLine="422" w:firstLineChars="200"/>
        <w:rPr>
          <w:sz w:val="21"/>
          <w:szCs w:val="21"/>
          <w:highlight w:val="none"/>
        </w:rPr>
      </w:pPr>
      <w:bookmarkStart w:id="791" w:name="_Toc532377220"/>
      <w:bookmarkStart w:id="792" w:name="_Toc351203534"/>
      <w:r>
        <w:rPr>
          <w:rFonts w:hint="eastAsia"/>
          <w:sz w:val="21"/>
          <w:szCs w:val="21"/>
          <w:highlight w:val="none"/>
        </w:rPr>
        <w:t>5</w:t>
      </w:r>
      <w:bookmarkStart w:id="793" w:name="_Toc337558760"/>
      <w:r>
        <w:rPr>
          <w:rFonts w:hint="eastAsia"/>
          <w:sz w:val="21"/>
          <w:szCs w:val="21"/>
          <w:highlight w:val="none"/>
        </w:rPr>
        <w:t>.2质量保证措施</w:t>
      </w:r>
      <w:bookmarkEnd w:id="791"/>
      <w:bookmarkEnd w:id="792"/>
    </w:p>
    <w:bookmarkEnd w:id="793"/>
    <w:p w14:paraId="7E5DF9F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5.2.1 发包人的质量管理</w:t>
      </w:r>
    </w:p>
    <w:p w14:paraId="244EFEE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发包人应按照法律规定及合同约定完成与工程质量有关的各项工作。</w:t>
      </w:r>
    </w:p>
    <w:p w14:paraId="1EE0A46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5.2.2 承包人的质量管理</w:t>
      </w:r>
    </w:p>
    <w:p w14:paraId="3F1F477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13A066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承包人应对施工人员进行质量教育和技术培训，定期考核施工人员的劳动技能，严格执行施工规范和操作规程。</w:t>
      </w:r>
    </w:p>
    <w:p w14:paraId="5D46974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4BEF15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5.2.3 监理人的质量检查和检验</w:t>
      </w:r>
    </w:p>
    <w:p w14:paraId="3D94056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4E0234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3305FC3">
      <w:pPr>
        <w:pStyle w:val="7"/>
        <w:spacing w:before="0" w:beforeAutospacing="0" w:after="0" w:afterAutospacing="0" w:line="360" w:lineRule="auto"/>
        <w:ind w:firstLine="422" w:firstLineChars="200"/>
        <w:rPr>
          <w:sz w:val="21"/>
          <w:szCs w:val="21"/>
          <w:highlight w:val="none"/>
        </w:rPr>
      </w:pPr>
      <w:bookmarkStart w:id="794" w:name="_Toc351203535"/>
      <w:bookmarkStart w:id="795" w:name="_Toc532377221"/>
      <w:r>
        <w:rPr>
          <w:rFonts w:hint="eastAsia"/>
          <w:sz w:val="21"/>
          <w:szCs w:val="21"/>
          <w:highlight w:val="none"/>
        </w:rPr>
        <w:t>5</w:t>
      </w:r>
      <w:bookmarkStart w:id="796" w:name="_Toc337558761"/>
      <w:r>
        <w:rPr>
          <w:rFonts w:hint="eastAsia"/>
          <w:sz w:val="21"/>
          <w:szCs w:val="21"/>
          <w:highlight w:val="none"/>
        </w:rPr>
        <w:t>.3 隐蔽工程检查</w:t>
      </w:r>
      <w:bookmarkEnd w:id="794"/>
      <w:bookmarkEnd w:id="795"/>
    </w:p>
    <w:bookmarkEnd w:id="796"/>
    <w:p w14:paraId="2590E68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5.3.1承包人自检</w:t>
      </w:r>
    </w:p>
    <w:p w14:paraId="25978E5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承包人应当对工程隐蔽部位进行自检，并经自检确认是否具备覆盖条件。</w:t>
      </w:r>
    </w:p>
    <w:p w14:paraId="13DB497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5.3.2检查程序</w:t>
      </w:r>
    </w:p>
    <w:p w14:paraId="1BE21B6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1A26BD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274AD50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50E62E7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5.3.3 重新检查</w:t>
      </w:r>
    </w:p>
    <w:p w14:paraId="7732730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E8D297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5.3.4 承包人私自覆盖</w:t>
      </w:r>
    </w:p>
    <w:p w14:paraId="57773B9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5E1897C">
      <w:pPr>
        <w:pStyle w:val="7"/>
        <w:spacing w:before="0" w:beforeAutospacing="0" w:after="0" w:afterAutospacing="0" w:line="360" w:lineRule="auto"/>
        <w:ind w:firstLine="422" w:firstLineChars="200"/>
        <w:rPr>
          <w:sz w:val="21"/>
          <w:szCs w:val="21"/>
          <w:highlight w:val="none"/>
        </w:rPr>
      </w:pPr>
      <w:bookmarkStart w:id="797" w:name="_Toc532377222"/>
      <w:r>
        <w:rPr>
          <w:rFonts w:hint="eastAsia"/>
          <w:sz w:val="21"/>
          <w:szCs w:val="21"/>
          <w:highlight w:val="none"/>
        </w:rPr>
        <w:t>5.4不合格工程的处理</w:t>
      </w:r>
      <w:bookmarkEnd w:id="797"/>
    </w:p>
    <w:p w14:paraId="18FDDDB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93BF2B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5.4.2 因发包人原因造成工程不合格的，由此增加的费用和（或）延误的工期由发包人承担，并支付承包人合理的利润。</w:t>
      </w:r>
    </w:p>
    <w:p w14:paraId="468DAA14">
      <w:pPr>
        <w:pStyle w:val="7"/>
        <w:spacing w:before="0" w:beforeAutospacing="0" w:after="0" w:afterAutospacing="0" w:line="360" w:lineRule="auto"/>
        <w:ind w:firstLine="422" w:firstLineChars="200"/>
        <w:rPr>
          <w:sz w:val="21"/>
          <w:szCs w:val="21"/>
          <w:highlight w:val="none"/>
        </w:rPr>
      </w:pPr>
      <w:bookmarkStart w:id="798" w:name="_Toc532377223"/>
      <w:bookmarkStart w:id="799" w:name="_Toc351203537"/>
      <w:r>
        <w:rPr>
          <w:rFonts w:hint="eastAsia"/>
          <w:sz w:val="21"/>
          <w:szCs w:val="21"/>
          <w:highlight w:val="none"/>
        </w:rPr>
        <w:t>5.5 质量争议检测</w:t>
      </w:r>
      <w:bookmarkEnd w:id="798"/>
      <w:bookmarkEnd w:id="799"/>
    </w:p>
    <w:p w14:paraId="6719CFF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合同当事人对工程质量有争议的，由双方协商确定的工程质量检测机构鉴定，由此产生的费用及因此造成的损失，由责任方承担。</w:t>
      </w:r>
    </w:p>
    <w:p w14:paraId="7D6CE3E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合同当事人均有责任的，由双方根据其责任分别承担。合同当事人无法达成一致的，按照第4.4款〔商定或确定〕执行。</w:t>
      </w:r>
    </w:p>
    <w:p w14:paraId="5D06C6EF">
      <w:pPr>
        <w:pStyle w:val="6"/>
        <w:keepNext/>
        <w:keepLines/>
        <w:spacing w:before="156" w:beforeLines="50" w:beforeAutospacing="0" w:after="156" w:afterLines="50" w:afterAutospacing="0" w:line="360" w:lineRule="auto"/>
        <w:jc w:val="both"/>
        <w:rPr>
          <w:bCs w:val="0"/>
          <w:kern w:val="2"/>
          <w:sz w:val="21"/>
          <w:szCs w:val="21"/>
          <w:highlight w:val="none"/>
        </w:rPr>
      </w:pPr>
      <w:bookmarkStart w:id="800" w:name="_Toc532375592"/>
      <w:bookmarkStart w:id="801" w:name="_Toc351203538"/>
      <w:bookmarkStart w:id="802" w:name="_Toc532377224"/>
      <w:r>
        <w:rPr>
          <w:rFonts w:hint="eastAsia"/>
          <w:kern w:val="2"/>
          <w:sz w:val="21"/>
          <w:szCs w:val="21"/>
          <w:highlight w:val="none"/>
        </w:rPr>
        <w:t>6</w:t>
      </w:r>
      <w:bookmarkStart w:id="803" w:name="_Toc337558763"/>
      <w:r>
        <w:rPr>
          <w:rFonts w:hint="eastAsia"/>
          <w:kern w:val="2"/>
          <w:sz w:val="21"/>
          <w:szCs w:val="21"/>
          <w:highlight w:val="none"/>
        </w:rPr>
        <w:t>. 安全文明施工与环境保护</w:t>
      </w:r>
      <w:bookmarkEnd w:id="800"/>
      <w:bookmarkEnd w:id="801"/>
      <w:bookmarkEnd w:id="802"/>
    </w:p>
    <w:bookmarkEnd w:id="803"/>
    <w:p w14:paraId="464A1C24">
      <w:pPr>
        <w:pStyle w:val="7"/>
        <w:spacing w:before="0" w:beforeAutospacing="0" w:after="0" w:afterAutospacing="0" w:line="360" w:lineRule="auto"/>
        <w:ind w:firstLine="422" w:firstLineChars="200"/>
        <w:rPr>
          <w:sz w:val="21"/>
          <w:szCs w:val="21"/>
          <w:highlight w:val="none"/>
        </w:rPr>
      </w:pPr>
      <w:bookmarkStart w:id="804" w:name="_Toc351203539"/>
      <w:bookmarkStart w:id="805" w:name="_Toc532377225"/>
      <w:r>
        <w:rPr>
          <w:rFonts w:hint="eastAsia"/>
          <w:sz w:val="21"/>
          <w:szCs w:val="21"/>
          <w:highlight w:val="none"/>
        </w:rPr>
        <w:t>6</w:t>
      </w:r>
      <w:bookmarkStart w:id="806" w:name="_Toc337558764"/>
      <w:r>
        <w:rPr>
          <w:rFonts w:hint="eastAsia"/>
          <w:sz w:val="21"/>
          <w:szCs w:val="21"/>
          <w:highlight w:val="none"/>
        </w:rPr>
        <w:t>.1安全文明施工</w:t>
      </w:r>
      <w:bookmarkEnd w:id="804"/>
      <w:bookmarkEnd w:id="805"/>
    </w:p>
    <w:bookmarkEnd w:id="806"/>
    <w:p w14:paraId="328A5ED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6.1.1安全生产要求</w:t>
      </w:r>
    </w:p>
    <w:p w14:paraId="6DFD59A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963761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CB1B9E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因安全生产需要暂停施工的，按照第7.8款〔暂停施工〕的约定执行。</w:t>
      </w:r>
    </w:p>
    <w:p w14:paraId="27FD46B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6.1.2 安全生产保证措施</w:t>
      </w:r>
    </w:p>
    <w:p w14:paraId="47DF091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55F143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6.1.3特别安全生产事项</w:t>
      </w:r>
    </w:p>
    <w:p w14:paraId="27C64C5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D948A5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E86F32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FAF093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需单独编制危险性较大分部分项专项工程施工方案的，及要求进行专家论证的超过一定规模的危险性较大的分部分项工程，承包人应及时编制和组织论证。</w:t>
      </w:r>
    </w:p>
    <w:p w14:paraId="46EB75E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6.1.4 治安保卫</w:t>
      </w:r>
    </w:p>
    <w:p w14:paraId="2EB955E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6969911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发包人和承包人除应协助现场治安管理机构或联防组织维护施工场地的社会治安外，还应做好包括生活区在内的各自管辖区的治安保卫工作。</w:t>
      </w:r>
    </w:p>
    <w:p w14:paraId="0E2C33F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1A4E5D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6.1.5 文明施工</w:t>
      </w:r>
    </w:p>
    <w:p w14:paraId="66E544A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04693F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F0070C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6.1.6 安全文明施工费</w:t>
      </w:r>
    </w:p>
    <w:p w14:paraId="2E09179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4246E9E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CF931F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B7EF9F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5D8E82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6.1.7 紧急情况处理</w:t>
      </w:r>
    </w:p>
    <w:p w14:paraId="0328F23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6017BF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6.1.8 事故处理</w:t>
      </w:r>
    </w:p>
    <w:p w14:paraId="01E7093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921F5E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6.1.9 安全生产责任</w:t>
      </w:r>
    </w:p>
    <w:p w14:paraId="55AA84F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6.1.9.1 发包人的安全责任</w:t>
      </w:r>
    </w:p>
    <w:p w14:paraId="49CFB44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发包人应负责赔偿以下各种情况造成的损失：</w:t>
      </w:r>
    </w:p>
    <w:p w14:paraId="6FC55F1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（1）工程或工程的任何部分对土地的占用所造成的第三者财产损失；</w:t>
      </w:r>
    </w:p>
    <w:p w14:paraId="4E590D0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（2）由于发包人原因在施工场地及其毗邻地带造成的第三者人身伤亡和财产损失；</w:t>
      </w:r>
    </w:p>
    <w:p w14:paraId="5A1119F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（3）由于发包人原因对承包人、监理人造成的人员人身伤亡和财产损失；</w:t>
      </w:r>
    </w:p>
    <w:p w14:paraId="0C85520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（4）由于发包人原因造成的发包人自身人员的人身伤害以及财产损失。</w:t>
      </w:r>
    </w:p>
    <w:p w14:paraId="448186B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6.1.9.2 承包人的安全责任</w:t>
      </w:r>
    </w:p>
    <w:p w14:paraId="2B00367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由于承包人原因在施工场地内及其毗邻地带造成的发包人、监理人以及第三者人员伤亡和财产损失，由承包人负责赔偿。</w:t>
      </w:r>
    </w:p>
    <w:p w14:paraId="612ABC7D">
      <w:pPr>
        <w:pStyle w:val="7"/>
        <w:spacing w:before="0" w:beforeAutospacing="0" w:after="0" w:afterAutospacing="0" w:line="360" w:lineRule="auto"/>
        <w:ind w:firstLine="422" w:firstLineChars="200"/>
        <w:rPr>
          <w:sz w:val="21"/>
          <w:szCs w:val="21"/>
          <w:highlight w:val="none"/>
        </w:rPr>
      </w:pPr>
      <w:bookmarkStart w:id="807" w:name="_Toc532377226"/>
      <w:bookmarkStart w:id="808" w:name="_Toc351203540"/>
      <w:r>
        <w:rPr>
          <w:rFonts w:hint="eastAsia"/>
          <w:sz w:val="21"/>
          <w:szCs w:val="21"/>
          <w:highlight w:val="none"/>
        </w:rPr>
        <w:t>6</w:t>
      </w:r>
      <w:bookmarkStart w:id="809" w:name="_Toc337558765"/>
      <w:r>
        <w:rPr>
          <w:rFonts w:hint="eastAsia"/>
          <w:sz w:val="21"/>
          <w:szCs w:val="21"/>
          <w:highlight w:val="none"/>
        </w:rPr>
        <w:t>.2 职业健康</w:t>
      </w:r>
      <w:bookmarkEnd w:id="807"/>
      <w:bookmarkEnd w:id="808"/>
    </w:p>
    <w:bookmarkEnd w:id="809"/>
    <w:p w14:paraId="417119D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6.2.1 劳动保护</w:t>
      </w:r>
    </w:p>
    <w:p w14:paraId="1213480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E8EE89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7956EC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DB78CA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6.2.2 生活条件</w:t>
      </w:r>
    </w:p>
    <w:p w14:paraId="6A504A8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4FD1EEE">
      <w:pPr>
        <w:pStyle w:val="7"/>
        <w:spacing w:before="0" w:beforeAutospacing="0" w:after="0" w:afterAutospacing="0" w:line="360" w:lineRule="auto"/>
        <w:ind w:firstLine="422" w:firstLineChars="200"/>
        <w:rPr>
          <w:sz w:val="21"/>
          <w:szCs w:val="21"/>
          <w:highlight w:val="none"/>
        </w:rPr>
      </w:pPr>
      <w:bookmarkStart w:id="810" w:name="_Toc351203541"/>
      <w:bookmarkStart w:id="811" w:name="_Toc532377227"/>
      <w:r>
        <w:rPr>
          <w:rFonts w:hint="eastAsia"/>
          <w:sz w:val="21"/>
          <w:szCs w:val="21"/>
          <w:highlight w:val="none"/>
        </w:rPr>
        <w:t>6</w:t>
      </w:r>
      <w:bookmarkStart w:id="812" w:name="_Toc337558766"/>
      <w:r>
        <w:rPr>
          <w:rFonts w:hint="eastAsia"/>
          <w:sz w:val="21"/>
          <w:szCs w:val="21"/>
          <w:highlight w:val="none"/>
        </w:rPr>
        <w:t>.3 环境保护</w:t>
      </w:r>
      <w:bookmarkEnd w:id="810"/>
      <w:bookmarkEnd w:id="811"/>
    </w:p>
    <w:bookmarkEnd w:id="812"/>
    <w:p w14:paraId="42A2214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9BC03F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承包人应当承担因其原因引起的环境污染侵权损害赔偿责任，因上述环境污染引起纠纷而导致暂停施工的，由此增加的费用和（或）延误的工期由承包人承担。</w:t>
      </w:r>
    </w:p>
    <w:p w14:paraId="32EC64A7">
      <w:pPr>
        <w:pStyle w:val="6"/>
        <w:keepNext/>
        <w:keepLines/>
        <w:spacing w:before="156" w:beforeLines="50" w:beforeAutospacing="0" w:after="156" w:afterLines="50" w:afterAutospacing="0" w:line="360" w:lineRule="auto"/>
        <w:jc w:val="both"/>
        <w:rPr>
          <w:bCs w:val="0"/>
          <w:kern w:val="2"/>
          <w:sz w:val="21"/>
          <w:szCs w:val="21"/>
          <w:highlight w:val="none"/>
        </w:rPr>
      </w:pPr>
      <w:bookmarkStart w:id="813" w:name="_Toc351203542"/>
      <w:bookmarkStart w:id="814" w:name="_Toc532375593"/>
      <w:bookmarkStart w:id="815" w:name="_Toc532377228"/>
      <w:r>
        <w:rPr>
          <w:rFonts w:hint="eastAsia"/>
          <w:kern w:val="2"/>
          <w:sz w:val="21"/>
          <w:szCs w:val="21"/>
          <w:highlight w:val="none"/>
        </w:rPr>
        <w:t>7</w:t>
      </w:r>
      <w:bookmarkStart w:id="816" w:name="_Toc337558767"/>
      <w:r>
        <w:rPr>
          <w:rFonts w:hint="eastAsia"/>
          <w:kern w:val="2"/>
          <w:sz w:val="21"/>
          <w:szCs w:val="21"/>
          <w:highlight w:val="none"/>
        </w:rPr>
        <w:t>. 工期和进度</w:t>
      </w:r>
      <w:bookmarkEnd w:id="813"/>
      <w:bookmarkEnd w:id="814"/>
      <w:bookmarkEnd w:id="815"/>
    </w:p>
    <w:bookmarkEnd w:id="816"/>
    <w:p w14:paraId="1DE1E1EB">
      <w:pPr>
        <w:pStyle w:val="7"/>
        <w:spacing w:before="0" w:beforeAutospacing="0" w:after="0" w:afterAutospacing="0" w:line="360" w:lineRule="auto"/>
        <w:ind w:firstLine="422" w:firstLineChars="200"/>
        <w:rPr>
          <w:sz w:val="21"/>
          <w:szCs w:val="21"/>
          <w:highlight w:val="none"/>
        </w:rPr>
      </w:pPr>
      <w:bookmarkStart w:id="817" w:name="_Toc351203543"/>
      <w:bookmarkStart w:id="818" w:name="_Toc532377229"/>
      <w:r>
        <w:rPr>
          <w:rFonts w:hint="eastAsia"/>
          <w:sz w:val="21"/>
          <w:szCs w:val="21"/>
          <w:highlight w:val="none"/>
        </w:rPr>
        <w:t>7</w:t>
      </w:r>
      <w:bookmarkStart w:id="819" w:name="_Toc337558768"/>
      <w:bookmarkStart w:id="820" w:name="_Toc296346567"/>
      <w:bookmarkStart w:id="821" w:name="_Toc296503066"/>
      <w:r>
        <w:rPr>
          <w:rFonts w:hint="eastAsia"/>
          <w:sz w:val="21"/>
          <w:szCs w:val="21"/>
          <w:highlight w:val="none"/>
        </w:rPr>
        <w:t>.1施工组织设计</w:t>
      </w:r>
      <w:bookmarkEnd w:id="817"/>
      <w:bookmarkEnd w:id="818"/>
    </w:p>
    <w:bookmarkEnd w:id="819"/>
    <w:p w14:paraId="15BF1C9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7.1.1 施工组织设计的内容</w:t>
      </w:r>
    </w:p>
    <w:p w14:paraId="791FBF8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施工组织设计应包含以下内容：</w:t>
      </w:r>
    </w:p>
    <w:p w14:paraId="04BF8AE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（1）施工方案； </w:t>
      </w:r>
    </w:p>
    <w:p w14:paraId="36467DB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（2）施工现场平面布置图；</w:t>
      </w:r>
    </w:p>
    <w:p w14:paraId="17B7687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（3）施工进度计划和保证措施； </w:t>
      </w:r>
    </w:p>
    <w:p w14:paraId="0A960DC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（4）劳动力及材料供应计划；</w:t>
      </w:r>
    </w:p>
    <w:p w14:paraId="1EB8528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（5）施工机械设备的选用；</w:t>
      </w:r>
    </w:p>
    <w:p w14:paraId="1F7365B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（6）质量保证体系及措施；</w:t>
      </w:r>
    </w:p>
    <w:p w14:paraId="5859FCB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（7）安全生产、文明施工措施；</w:t>
      </w:r>
    </w:p>
    <w:p w14:paraId="3562883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（8）环境保护、成本控制措施；</w:t>
      </w:r>
    </w:p>
    <w:p w14:paraId="3B306BC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（9）合同当事人约定的其他内容。</w:t>
      </w:r>
    </w:p>
    <w:p w14:paraId="2D3BCCB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7.1.2 施工组织设计的提交和修改</w:t>
      </w:r>
    </w:p>
    <w:p w14:paraId="5CF78A6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7002E8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施工进度计划的编制和修改按照第7.2款〔施工进度计划〕执行。</w:t>
      </w:r>
    </w:p>
    <w:p w14:paraId="2D9DBF2C">
      <w:pPr>
        <w:pStyle w:val="7"/>
        <w:spacing w:before="0" w:beforeAutospacing="0" w:after="0" w:afterAutospacing="0" w:line="360" w:lineRule="auto"/>
        <w:ind w:firstLine="422" w:firstLineChars="200"/>
        <w:rPr>
          <w:sz w:val="21"/>
          <w:szCs w:val="21"/>
          <w:highlight w:val="none"/>
        </w:rPr>
      </w:pPr>
      <w:bookmarkStart w:id="822" w:name="_Toc532377230"/>
      <w:bookmarkStart w:id="823" w:name="_Toc351203544"/>
      <w:r>
        <w:rPr>
          <w:rFonts w:hint="eastAsia"/>
          <w:sz w:val="21"/>
          <w:szCs w:val="21"/>
          <w:highlight w:val="none"/>
        </w:rPr>
        <w:t>7</w:t>
      </w:r>
      <w:bookmarkStart w:id="824" w:name="_Toc337558769"/>
      <w:r>
        <w:rPr>
          <w:rFonts w:hint="eastAsia"/>
          <w:sz w:val="21"/>
          <w:szCs w:val="21"/>
          <w:highlight w:val="none"/>
        </w:rPr>
        <w:t>.2 施工进度计划</w:t>
      </w:r>
      <w:bookmarkEnd w:id="822"/>
      <w:bookmarkEnd w:id="823"/>
    </w:p>
    <w:bookmarkEnd w:id="824"/>
    <w:p w14:paraId="258D312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7.2.1 施工进度计划的编制</w:t>
      </w:r>
    </w:p>
    <w:p w14:paraId="55DC27C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98A576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7.2.2 施工进度计划的修订</w:t>
      </w:r>
    </w:p>
    <w:p w14:paraId="1CD3AC7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8FEA6CB">
      <w:pPr>
        <w:pStyle w:val="7"/>
        <w:spacing w:before="0" w:beforeAutospacing="0" w:after="0" w:afterAutospacing="0" w:line="360" w:lineRule="auto"/>
        <w:ind w:firstLine="422" w:firstLineChars="200"/>
        <w:rPr>
          <w:sz w:val="21"/>
          <w:szCs w:val="21"/>
          <w:highlight w:val="none"/>
        </w:rPr>
      </w:pPr>
      <w:bookmarkStart w:id="825" w:name="_Toc532377231"/>
      <w:bookmarkStart w:id="826" w:name="_Toc351203545"/>
      <w:r>
        <w:rPr>
          <w:rFonts w:hint="eastAsia"/>
          <w:sz w:val="21"/>
          <w:szCs w:val="21"/>
          <w:highlight w:val="none"/>
        </w:rPr>
        <w:t>7</w:t>
      </w:r>
      <w:bookmarkStart w:id="827" w:name="_Toc337558770"/>
      <w:r>
        <w:rPr>
          <w:rFonts w:hint="eastAsia"/>
          <w:sz w:val="21"/>
          <w:szCs w:val="21"/>
          <w:highlight w:val="none"/>
        </w:rPr>
        <w:t>.3 开工</w:t>
      </w:r>
      <w:bookmarkEnd w:id="825"/>
      <w:bookmarkEnd w:id="826"/>
    </w:p>
    <w:p w14:paraId="7869853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7.3.1 开工准备</w:t>
      </w:r>
    </w:p>
    <w:p w14:paraId="007A434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1F2B1A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除专用合同条款另有约定外，合同当事人应按约定完成开工准备工作。</w:t>
      </w:r>
    </w:p>
    <w:p w14:paraId="24C1A41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7.3.2 开工通知</w:t>
      </w:r>
    </w:p>
    <w:bookmarkEnd w:id="827"/>
    <w:p w14:paraId="178E70D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D2AA15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0AE37C4">
      <w:pPr>
        <w:pStyle w:val="7"/>
        <w:spacing w:before="0" w:beforeAutospacing="0" w:after="0" w:afterAutospacing="0" w:line="360" w:lineRule="auto"/>
        <w:ind w:firstLine="422" w:firstLineChars="200"/>
        <w:rPr>
          <w:sz w:val="21"/>
          <w:szCs w:val="21"/>
          <w:highlight w:val="none"/>
        </w:rPr>
      </w:pPr>
      <w:bookmarkStart w:id="828" w:name="_Toc532377232"/>
      <w:bookmarkStart w:id="829" w:name="_Toc351203546"/>
      <w:r>
        <w:rPr>
          <w:rFonts w:hint="eastAsia"/>
          <w:sz w:val="21"/>
          <w:szCs w:val="21"/>
          <w:highlight w:val="none"/>
        </w:rPr>
        <w:t>7.4测量放线</w:t>
      </w:r>
      <w:bookmarkEnd w:id="828"/>
      <w:bookmarkEnd w:id="829"/>
    </w:p>
    <w:p w14:paraId="0925C4D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50A67D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8C4332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8329AF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施工过程中对施工现场内水准点等测量标志物的保护工作由承包人负责。</w:t>
      </w:r>
      <w:bookmarkStart w:id="830" w:name="_Toc351203547"/>
    </w:p>
    <w:p w14:paraId="5F6BAF87">
      <w:pPr>
        <w:pStyle w:val="7"/>
        <w:spacing w:before="0" w:beforeAutospacing="0" w:after="0" w:afterAutospacing="0" w:line="360" w:lineRule="auto"/>
        <w:ind w:firstLine="422" w:firstLineChars="200"/>
        <w:rPr>
          <w:sz w:val="21"/>
          <w:szCs w:val="21"/>
          <w:highlight w:val="none"/>
        </w:rPr>
      </w:pPr>
      <w:bookmarkStart w:id="831" w:name="_Toc532377233"/>
      <w:r>
        <w:rPr>
          <w:rFonts w:hint="eastAsia"/>
          <w:sz w:val="21"/>
          <w:szCs w:val="21"/>
          <w:highlight w:val="none"/>
        </w:rPr>
        <w:t>7</w:t>
      </w:r>
      <w:bookmarkEnd w:id="820"/>
      <w:bookmarkEnd w:id="821"/>
      <w:bookmarkStart w:id="832" w:name="_Toc337558772"/>
      <w:bookmarkStart w:id="833" w:name="_Toc296503073"/>
      <w:bookmarkStart w:id="834" w:name="_Toc296346574"/>
      <w:r>
        <w:rPr>
          <w:rFonts w:hint="eastAsia"/>
          <w:sz w:val="21"/>
          <w:szCs w:val="21"/>
          <w:highlight w:val="none"/>
        </w:rPr>
        <w:t>.5 工期延误</w:t>
      </w:r>
      <w:bookmarkEnd w:id="830"/>
      <w:bookmarkEnd w:id="831"/>
    </w:p>
    <w:bookmarkEnd w:id="832"/>
    <w:bookmarkEnd w:id="833"/>
    <w:bookmarkEnd w:id="834"/>
    <w:p w14:paraId="62E1F1A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7.5.1 因发包人原因导致工期延误</w:t>
      </w:r>
    </w:p>
    <w:p w14:paraId="01D056C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在合同履行过程中，因下列情况导致工期延误和（或）费用增加的，由发包人承担由此延误的工期和（或）增加的费用，且发包人应支付承包人合理的利润： </w:t>
      </w:r>
    </w:p>
    <w:p w14:paraId="2726B68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（1）发包人未能按合同约定提供图纸或所提供图纸不符合合同约定的；</w:t>
      </w:r>
    </w:p>
    <w:p w14:paraId="4002EEC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（2）发包人未能按合同约定提供施工现场、施工条件、基础资料、许可、批准等开工条件的；</w:t>
      </w:r>
    </w:p>
    <w:p w14:paraId="639B8B5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（3）发包人提供的测量基准点、基准线和水准点及其书面资料存在错误或疏漏的；</w:t>
      </w:r>
    </w:p>
    <w:p w14:paraId="1E9BD67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（4）发包人未能在计划开工日期之日起7天内同意下达开工通知的；</w:t>
      </w:r>
    </w:p>
    <w:p w14:paraId="34D5215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（5）发包人未能按合同约定日期支付工程预付款、进度款或竣工结算款的；</w:t>
      </w:r>
    </w:p>
    <w:p w14:paraId="0263020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（6）监理人未按合同约定发出指示、批准等文件的；</w:t>
      </w:r>
    </w:p>
    <w:p w14:paraId="599E93F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（7）专用合同条款中约定的其他情形。</w:t>
      </w:r>
    </w:p>
    <w:p w14:paraId="0DBC8E4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E20B2D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7.5.2 因承包人原因导致工期延误</w:t>
      </w:r>
    </w:p>
    <w:p w14:paraId="16D57E25">
      <w:pPr>
        <w:autoSpaceDE w:val="0"/>
        <w:autoSpaceDN w:val="0"/>
        <w:spacing w:line="360" w:lineRule="auto"/>
        <w:ind w:firstLine="420" w:firstLineChars="200"/>
        <w:jc w:val="left"/>
        <w:rPr>
          <w:rFonts w:ascii="宋体" w:hAnsi="宋体"/>
          <w:kern w:val="0"/>
          <w:szCs w:val="21"/>
          <w:highlight w:val="none"/>
        </w:rPr>
      </w:pPr>
      <w:bookmarkStart w:id="835" w:name="_Toc296346577"/>
      <w:bookmarkStart w:id="836" w:name="_Toc296503076"/>
      <w:r>
        <w:rPr>
          <w:rFonts w:hint="eastAsia" w:ascii="宋体" w:hAnsi="宋体"/>
          <w:kern w:val="0"/>
          <w:szCs w:val="21"/>
          <w:highlight w:val="none"/>
        </w:rPr>
        <w:t>因</w:t>
      </w:r>
      <w:bookmarkEnd w:id="835"/>
      <w:bookmarkEnd w:id="836"/>
      <w:r>
        <w:rPr>
          <w:rFonts w:hint="eastAsia" w:ascii="宋体" w:hAnsi="宋体"/>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97CCD77">
      <w:pPr>
        <w:pStyle w:val="7"/>
        <w:spacing w:before="0" w:beforeAutospacing="0" w:after="0" w:afterAutospacing="0" w:line="360" w:lineRule="auto"/>
        <w:ind w:firstLine="422" w:firstLineChars="200"/>
        <w:rPr>
          <w:sz w:val="21"/>
          <w:szCs w:val="21"/>
          <w:highlight w:val="none"/>
        </w:rPr>
      </w:pPr>
      <w:bookmarkStart w:id="837" w:name="_Toc351203548"/>
      <w:bookmarkStart w:id="838" w:name="_Toc532377234"/>
      <w:r>
        <w:rPr>
          <w:rFonts w:hint="eastAsia"/>
          <w:sz w:val="21"/>
          <w:szCs w:val="21"/>
          <w:highlight w:val="none"/>
        </w:rPr>
        <w:t>7</w:t>
      </w:r>
      <w:bookmarkStart w:id="839" w:name="_Toc296503074"/>
      <w:bookmarkStart w:id="840" w:name="_Toc337558773"/>
      <w:bookmarkStart w:id="841" w:name="_Toc296346575"/>
      <w:bookmarkStart w:id="842" w:name="_Toc296346578"/>
      <w:bookmarkStart w:id="843" w:name="_Toc296503077"/>
      <w:r>
        <w:rPr>
          <w:rFonts w:hint="eastAsia"/>
          <w:sz w:val="21"/>
          <w:szCs w:val="21"/>
          <w:highlight w:val="none"/>
        </w:rPr>
        <w:t>.6 不利物质条件</w:t>
      </w:r>
      <w:bookmarkEnd w:id="837"/>
      <w:bookmarkEnd w:id="838"/>
    </w:p>
    <w:bookmarkEnd w:id="839"/>
    <w:bookmarkEnd w:id="840"/>
    <w:bookmarkEnd w:id="841"/>
    <w:p w14:paraId="289060B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A1515A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8909B8B">
      <w:pPr>
        <w:pStyle w:val="7"/>
        <w:spacing w:before="0" w:beforeAutospacing="0" w:after="0" w:afterAutospacing="0" w:line="360" w:lineRule="auto"/>
        <w:ind w:firstLine="422" w:firstLineChars="200"/>
        <w:rPr>
          <w:sz w:val="21"/>
          <w:szCs w:val="21"/>
          <w:highlight w:val="none"/>
        </w:rPr>
      </w:pPr>
      <w:bookmarkStart w:id="844" w:name="_Toc351203549"/>
      <w:bookmarkStart w:id="845" w:name="_Toc532377235"/>
      <w:r>
        <w:rPr>
          <w:rFonts w:hint="eastAsia"/>
          <w:sz w:val="21"/>
          <w:szCs w:val="21"/>
          <w:highlight w:val="none"/>
        </w:rPr>
        <w:t>7</w:t>
      </w:r>
      <w:bookmarkStart w:id="846" w:name="_Toc296503075"/>
      <w:bookmarkStart w:id="847" w:name="_Toc296346576"/>
      <w:bookmarkStart w:id="848" w:name="_Toc337558774"/>
      <w:r>
        <w:rPr>
          <w:rFonts w:hint="eastAsia"/>
          <w:sz w:val="21"/>
          <w:szCs w:val="21"/>
          <w:highlight w:val="none"/>
        </w:rPr>
        <w:t>.7 异常恶劣的气候条件</w:t>
      </w:r>
      <w:bookmarkEnd w:id="844"/>
      <w:bookmarkEnd w:id="845"/>
    </w:p>
    <w:bookmarkEnd w:id="846"/>
    <w:bookmarkEnd w:id="847"/>
    <w:bookmarkEnd w:id="848"/>
    <w:p w14:paraId="241BFFC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F55B35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49" w:name="_Toc351203550"/>
    </w:p>
    <w:p w14:paraId="09F81640">
      <w:pPr>
        <w:pStyle w:val="7"/>
        <w:spacing w:before="0" w:beforeAutospacing="0" w:after="0" w:afterAutospacing="0" w:line="360" w:lineRule="auto"/>
        <w:ind w:firstLine="422" w:firstLineChars="200"/>
        <w:rPr>
          <w:sz w:val="21"/>
          <w:szCs w:val="21"/>
          <w:highlight w:val="none"/>
        </w:rPr>
      </w:pPr>
      <w:bookmarkStart w:id="850" w:name="_Toc532377236"/>
      <w:r>
        <w:rPr>
          <w:rFonts w:hint="eastAsia"/>
          <w:sz w:val="21"/>
          <w:szCs w:val="21"/>
          <w:highlight w:val="none"/>
        </w:rPr>
        <w:t>7</w:t>
      </w:r>
      <w:bookmarkStart w:id="851" w:name="_Toc337558775"/>
      <w:r>
        <w:rPr>
          <w:rFonts w:hint="eastAsia"/>
          <w:sz w:val="21"/>
          <w:szCs w:val="21"/>
          <w:highlight w:val="none"/>
        </w:rPr>
        <w:t>.8 暂停施工</w:t>
      </w:r>
      <w:bookmarkEnd w:id="849"/>
      <w:bookmarkEnd w:id="850"/>
    </w:p>
    <w:bookmarkEnd w:id="842"/>
    <w:bookmarkEnd w:id="843"/>
    <w:bookmarkEnd w:id="851"/>
    <w:p w14:paraId="42537CC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7.8.1发包人原因引起的暂停施工</w:t>
      </w:r>
    </w:p>
    <w:p w14:paraId="1E7D321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09D051A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因发包人原因引起的暂停施工，发包人应承担由此增加的费用和（或）延误的工期，并支付承包人合理的利润。</w:t>
      </w:r>
    </w:p>
    <w:p w14:paraId="0325EF4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7.8.2 承包人原因引起的暂停施工</w:t>
      </w:r>
    </w:p>
    <w:p w14:paraId="7974CDE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7A501A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7.8.3 指示暂停施工</w:t>
      </w:r>
    </w:p>
    <w:p w14:paraId="3EF6825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监理人认为有必要时，并经发包人批准后，可向承包人作出暂停施工的指示，承包人应按监理人指示暂停施工。</w:t>
      </w:r>
    </w:p>
    <w:p w14:paraId="4FA1293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7.8.4 紧急情况下的暂停施工</w:t>
      </w:r>
    </w:p>
    <w:p w14:paraId="240B531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7E3101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7.8.5 暂停施工后的复工</w:t>
      </w:r>
    </w:p>
    <w:p w14:paraId="4A567D1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9D8FC0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承包人无故拖延和拒绝复工的，承包人承担由此增加的费用和（或）延误的工期；因发包人原因无法按时复工的，按照第7.5.1项〔因发包人原因导致工期延误〕约定办理。</w:t>
      </w:r>
    </w:p>
    <w:p w14:paraId="306FE12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7.8.6 暂停施工持续56天以上</w:t>
      </w:r>
    </w:p>
    <w:p w14:paraId="517BB07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B7A55A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9BD27E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7.8.7 暂停施工期间的工程照管</w:t>
      </w:r>
    </w:p>
    <w:p w14:paraId="73D2E9B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暂停施工期间，承包人应负责妥善照管工程并提供安全保障，由此增加的费用由责任方承担。</w:t>
      </w:r>
    </w:p>
    <w:p w14:paraId="2D9651E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7.8.8 暂停施工的措施</w:t>
      </w:r>
    </w:p>
    <w:p w14:paraId="419C692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暂停施工期间，发包人和承包人均应采取必要的措施确保工程质量及安全，防止因暂停施工扩大损失。</w:t>
      </w:r>
    </w:p>
    <w:p w14:paraId="303371A9">
      <w:pPr>
        <w:pStyle w:val="7"/>
        <w:spacing w:before="0" w:beforeAutospacing="0" w:after="0" w:afterAutospacing="0" w:line="360" w:lineRule="auto"/>
        <w:ind w:firstLine="422" w:firstLineChars="200"/>
        <w:rPr>
          <w:sz w:val="21"/>
          <w:szCs w:val="21"/>
          <w:highlight w:val="none"/>
        </w:rPr>
      </w:pPr>
      <w:bookmarkStart w:id="852" w:name="_Toc351203551"/>
      <w:bookmarkStart w:id="853" w:name="_Toc532377237"/>
      <w:r>
        <w:rPr>
          <w:rFonts w:hint="eastAsia"/>
          <w:sz w:val="21"/>
          <w:szCs w:val="21"/>
          <w:highlight w:val="none"/>
        </w:rPr>
        <w:t>7.9提前竣工</w:t>
      </w:r>
      <w:bookmarkEnd w:id="852"/>
      <w:bookmarkEnd w:id="853"/>
    </w:p>
    <w:p w14:paraId="3DCBF0A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CBB71B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7.9.2 发包人要求承包人提前竣工，或承包人提出提前竣工的建议能够给发包人带来效益的，合同当事人可以在专用合同条款中约定提前竣工的奖励。</w:t>
      </w:r>
    </w:p>
    <w:p w14:paraId="30233164">
      <w:pPr>
        <w:pStyle w:val="6"/>
        <w:keepNext/>
        <w:keepLines/>
        <w:spacing w:before="156" w:beforeLines="50" w:beforeAutospacing="0" w:after="156" w:afterLines="50" w:afterAutospacing="0" w:line="360" w:lineRule="auto"/>
        <w:jc w:val="both"/>
        <w:rPr>
          <w:bCs w:val="0"/>
          <w:kern w:val="2"/>
          <w:sz w:val="21"/>
          <w:szCs w:val="21"/>
          <w:highlight w:val="none"/>
        </w:rPr>
      </w:pPr>
      <w:bookmarkStart w:id="854" w:name="_Toc351203552"/>
      <w:bookmarkStart w:id="855" w:name="_Toc532377238"/>
      <w:bookmarkStart w:id="856" w:name="_Toc532375594"/>
      <w:r>
        <w:rPr>
          <w:rFonts w:hint="eastAsia"/>
          <w:kern w:val="2"/>
          <w:sz w:val="21"/>
          <w:szCs w:val="21"/>
          <w:highlight w:val="none"/>
        </w:rPr>
        <w:t>8</w:t>
      </w:r>
      <w:bookmarkStart w:id="857" w:name="_Toc337558776"/>
      <w:bookmarkStart w:id="858" w:name="_Toc296503058"/>
      <w:bookmarkStart w:id="859" w:name="_Toc296346559"/>
      <w:r>
        <w:rPr>
          <w:rFonts w:hint="eastAsia"/>
          <w:kern w:val="2"/>
          <w:sz w:val="21"/>
          <w:szCs w:val="21"/>
          <w:highlight w:val="none"/>
        </w:rPr>
        <w:t>. 材料与设备</w:t>
      </w:r>
      <w:bookmarkEnd w:id="854"/>
      <w:bookmarkEnd w:id="855"/>
      <w:bookmarkEnd w:id="856"/>
    </w:p>
    <w:bookmarkEnd w:id="857"/>
    <w:bookmarkEnd w:id="858"/>
    <w:bookmarkEnd w:id="859"/>
    <w:p w14:paraId="2D4CB3D0">
      <w:pPr>
        <w:pStyle w:val="7"/>
        <w:spacing w:before="0" w:beforeAutospacing="0" w:after="0" w:afterAutospacing="0" w:line="360" w:lineRule="auto"/>
        <w:ind w:firstLine="422" w:firstLineChars="200"/>
        <w:rPr>
          <w:sz w:val="21"/>
          <w:szCs w:val="21"/>
          <w:highlight w:val="none"/>
        </w:rPr>
      </w:pPr>
      <w:bookmarkStart w:id="860" w:name="_Toc532377239"/>
      <w:bookmarkStart w:id="861" w:name="_Toc351203553"/>
      <w:r>
        <w:rPr>
          <w:rFonts w:hint="eastAsia"/>
          <w:sz w:val="21"/>
          <w:szCs w:val="21"/>
          <w:highlight w:val="none"/>
        </w:rPr>
        <w:t>8</w:t>
      </w:r>
      <w:bookmarkStart w:id="862" w:name="_Toc337558777"/>
      <w:bookmarkStart w:id="863" w:name="_Toc296503059"/>
      <w:bookmarkStart w:id="864" w:name="_Toc296346560"/>
      <w:bookmarkStart w:id="865" w:name="_Toc468936960"/>
      <w:r>
        <w:rPr>
          <w:rFonts w:hint="eastAsia"/>
          <w:sz w:val="21"/>
          <w:szCs w:val="21"/>
          <w:highlight w:val="none"/>
        </w:rPr>
        <w:t>.1发包人供应材料与工程设备</w:t>
      </w:r>
      <w:bookmarkEnd w:id="860"/>
      <w:bookmarkEnd w:id="861"/>
    </w:p>
    <w:bookmarkEnd w:id="862"/>
    <w:bookmarkEnd w:id="863"/>
    <w:bookmarkEnd w:id="864"/>
    <w:p w14:paraId="11734FF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388763F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B74EA7A">
      <w:pPr>
        <w:pStyle w:val="7"/>
        <w:spacing w:before="0" w:beforeAutospacing="0" w:after="0" w:afterAutospacing="0" w:line="360" w:lineRule="auto"/>
        <w:ind w:firstLine="422" w:firstLineChars="200"/>
        <w:rPr>
          <w:sz w:val="21"/>
          <w:szCs w:val="21"/>
          <w:highlight w:val="none"/>
        </w:rPr>
      </w:pPr>
      <w:bookmarkStart w:id="866" w:name="_Toc532377240"/>
      <w:r>
        <w:rPr>
          <w:rFonts w:hint="eastAsia"/>
          <w:sz w:val="21"/>
          <w:szCs w:val="21"/>
          <w:highlight w:val="none"/>
        </w:rPr>
        <w:t>8.2承包人采购材料与工程设备</w:t>
      </w:r>
      <w:bookmarkEnd w:id="866"/>
    </w:p>
    <w:p w14:paraId="6202271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A0262AC">
      <w:pPr>
        <w:pStyle w:val="7"/>
        <w:spacing w:before="0" w:beforeAutospacing="0" w:after="0" w:afterAutospacing="0" w:line="360" w:lineRule="auto"/>
        <w:ind w:firstLine="422" w:firstLineChars="200"/>
        <w:rPr>
          <w:sz w:val="21"/>
          <w:szCs w:val="21"/>
          <w:highlight w:val="none"/>
        </w:rPr>
      </w:pPr>
      <w:bookmarkStart w:id="867" w:name="_Toc351203555"/>
      <w:bookmarkStart w:id="868" w:name="_Toc532377241"/>
      <w:r>
        <w:rPr>
          <w:rFonts w:hint="eastAsia"/>
          <w:sz w:val="21"/>
          <w:szCs w:val="21"/>
          <w:highlight w:val="none"/>
        </w:rPr>
        <w:t>8</w:t>
      </w:r>
      <w:bookmarkStart w:id="869" w:name="_Toc296346562"/>
      <w:bookmarkStart w:id="870" w:name="_Toc337558779"/>
      <w:bookmarkStart w:id="871" w:name="_Toc296503061"/>
      <w:r>
        <w:rPr>
          <w:rFonts w:hint="eastAsia"/>
          <w:sz w:val="21"/>
          <w:szCs w:val="21"/>
          <w:highlight w:val="none"/>
        </w:rPr>
        <w:t>.3材料与工程设备的接收与拒收</w:t>
      </w:r>
      <w:bookmarkEnd w:id="867"/>
      <w:bookmarkEnd w:id="868"/>
    </w:p>
    <w:bookmarkEnd w:id="869"/>
    <w:bookmarkEnd w:id="870"/>
    <w:bookmarkEnd w:id="871"/>
    <w:p w14:paraId="46E7072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8BF646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08F95DA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8.3.2 承包人采购的材料和工程设备，应保证产品质量合格，承包人应在材料和工程设备到货前24小时通知监理人检验。承</w:t>
      </w:r>
      <w:bookmarkStart w:id="872" w:name="_Toc250655469"/>
      <w:r>
        <w:rPr>
          <w:rFonts w:hint="eastAsia" w:ascii="宋体" w:hAnsi="宋体"/>
          <w:kern w:val="0"/>
          <w:szCs w:val="21"/>
          <w:highlight w:val="none"/>
        </w:rPr>
        <w:t>包人进行永久设备、材料的制造和生产的，应符合相关质量标准，并向监理人提交材料的样本以及有关资料，并应在使用该材料或工程设备之前获得监理人同意。</w:t>
      </w:r>
    </w:p>
    <w:bookmarkEnd w:id="872"/>
    <w:p w14:paraId="6E43E32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27EE40D">
      <w:pPr>
        <w:pStyle w:val="7"/>
        <w:spacing w:before="0" w:beforeAutospacing="0" w:after="0" w:afterAutospacing="0" w:line="360" w:lineRule="auto"/>
        <w:ind w:firstLine="422" w:firstLineChars="200"/>
        <w:rPr>
          <w:sz w:val="21"/>
          <w:szCs w:val="21"/>
          <w:highlight w:val="none"/>
        </w:rPr>
      </w:pPr>
      <w:bookmarkStart w:id="873" w:name="_Toc351203556"/>
      <w:bookmarkStart w:id="874" w:name="_Toc532377242"/>
      <w:r>
        <w:rPr>
          <w:rFonts w:hint="eastAsia"/>
          <w:sz w:val="21"/>
          <w:szCs w:val="21"/>
          <w:highlight w:val="none"/>
        </w:rPr>
        <w:t>8</w:t>
      </w:r>
      <w:bookmarkStart w:id="875" w:name="_Toc337558780"/>
      <w:bookmarkStart w:id="876" w:name="_Toc296346563"/>
      <w:bookmarkStart w:id="877" w:name="_Toc296503062"/>
      <w:r>
        <w:rPr>
          <w:rFonts w:hint="eastAsia"/>
          <w:sz w:val="21"/>
          <w:szCs w:val="21"/>
          <w:highlight w:val="none"/>
        </w:rPr>
        <w:t>.4材料与工程设备的保管与使用</w:t>
      </w:r>
      <w:bookmarkEnd w:id="873"/>
      <w:bookmarkEnd w:id="874"/>
    </w:p>
    <w:bookmarkEnd w:id="875"/>
    <w:bookmarkEnd w:id="876"/>
    <w:bookmarkEnd w:id="877"/>
    <w:p w14:paraId="71AC700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8.4.1 发包人供应材料与工程设备的保管与使用</w:t>
      </w:r>
    </w:p>
    <w:p w14:paraId="596DA27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6AE714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发包人供应的材料和工程设备使用前，由承包人负责检验，检验费用由发包人承担，不合格的不得使用。</w:t>
      </w:r>
    </w:p>
    <w:p w14:paraId="02089F1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8.4.2 承包人采购材料与工程设备的保管与使用</w:t>
      </w:r>
    </w:p>
    <w:p w14:paraId="7A04499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A0EA72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3E393EDD">
      <w:pPr>
        <w:pStyle w:val="7"/>
        <w:spacing w:before="0" w:beforeAutospacing="0" w:after="0" w:afterAutospacing="0" w:line="360" w:lineRule="auto"/>
        <w:ind w:firstLine="422" w:firstLineChars="200"/>
        <w:rPr>
          <w:sz w:val="21"/>
          <w:szCs w:val="21"/>
          <w:highlight w:val="none"/>
        </w:rPr>
      </w:pPr>
      <w:bookmarkStart w:id="878" w:name="_Toc351203557"/>
      <w:bookmarkStart w:id="879" w:name="_Toc532377243"/>
      <w:r>
        <w:rPr>
          <w:rFonts w:hint="eastAsia"/>
          <w:sz w:val="21"/>
          <w:szCs w:val="21"/>
          <w:highlight w:val="none"/>
        </w:rPr>
        <w:t>8.5禁止使用不合格的材料和工程设备</w:t>
      </w:r>
      <w:bookmarkEnd w:id="878"/>
      <w:bookmarkEnd w:id="879"/>
    </w:p>
    <w:p w14:paraId="573D0FF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301AEEB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8.5.2 监理人发现承包人使用了不合格的材料和工程设备，承包人应按照监理人的指示立即改正，并禁止在工程中继续使用不合格的材料和工程设备。</w:t>
      </w:r>
    </w:p>
    <w:p w14:paraId="35D9177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7DCC5448">
      <w:pPr>
        <w:pStyle w:val="7"/>
        <w:spacing w:before="0" w:beforeAutospacing="0" w:after="0" w:afterAutospacing="0" w:line="360" w:lineRule="auto"/>
        <w:ind w:firstLine="422" w:firstLineChars="200"/>
        <w:rPr>
          <w:sz w:val="21"/>
          <w:szCs w:val="21"/>
          <w:highlight w:val="none"/>
        </w:rPr>
      </w:pPr>
      <w:bookmarkStart w:id="880" w:name="_Toc351203558"/>
      <w:bookmarkStart w:id="881" w:name="_Toc532377244"/>
      <w:r>
        <w:rPr>
          <w:rFonts w:hint="eastAsia"/>
          <w:sz w:val="21"/>
          <w:szCs w:val="21"/>
          <w:highlight w:val="none"/>
        </w:rPr>
        <w:t>8.6 样品</w:t>
      </w:r>
      <w:bookmarkEnd w:id="880"/>
      <w:bookmarkEnd w:id="881"/>
    </w:p>
    <w:p w14:paraId="11E3011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8.6.1</w:t>
      </w:r>
      <w:r>
        <w:rPr>
          <w:rFonts w:hint="eastAsia" w:ascii="宋体" w:hAnsi="宋体"/>
          <w:kern w:val="0"/>
          <w:szCs w:val="21"/>
          <w:highlight w:val="none"/>
        </w:rPr>
        <w:tab/>
      </w:r>
      <w:r>
        <w:rPr>
          <w:rFonts w:hint="eastAsia" w:ascii="宋体" w:hAnsi="宋体"/>
          <w:kern w:val="0"/>
          <w:szCs w:val="21"/>
          <w:highlight w:val="none"/>
        </w:rPr>
        <w:t>样品的报送与封存</w:t>
      </w:r>
    </w:p>
    <w:p w14:paraId="78C4DC2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需要承包人报送样品的材料或工程设备，样品的种类、名称、规格、数量等要求均应在专用合同条款中约定。样品的报送程序如下：</w:t>
      </w:r>
    </w:p>
    <w:p w14:paraId="4598391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D4C84A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DA6186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0D21EB6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862F7B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8.6.2 样品的保管</w:t>
      </w:r>
    </w:p>
    <w:p w14:paraId="73DE065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经批准的样品应由监理人负责封存于现场，承包人应在现场为保存样品提供适当和固定的场所并保持适当和良好的存储环境条件。</w:t>
      </w:r>
    </w:p>
    <w:p w14:paraId="6DCBF46B">
      <w:pPr>
        <w:pStyle w:val="7"/>
        <w:spacing w:before="0" w:beforeAutospacing="0" w:after="0" w:afterAutospacing="0" w:line="360" w:lineRule="auto"/>
        <w:ind w:firstLine="422" w:firstLineChars="200"/>
        <w:rPr>
          <w:sz w:val="21"/>
          <w:szCs w:val="21"/>
          <w:highlight w:val="none"/>
        </w:rPr>
      </w:pPr>
      <w:bookmarkStart w:id="882" w:name="_Toc351203559"/>
      <w:bookmarkStart w:id="883" w:name="_Toc532377245"/>
      <w:r>
        <w:rPr>
          <w:rFonts w:hint="eastAsia"/>
          <w:sz w:val="21"/>
          <w:szCs w:val="21"/>
          <w:highlight w:val="none"/>
        </w:rPr>
        <w:t>8.7材料与工程设备的替代</w:t>
      </w:r>
      <w:bookmarkEnd w:id="882"/>
      <w:bookmarkEnd w:id="883"/>
    </w:p>
    <w:p w14:paraId="713D0C9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8.7.1 出现下列情况需要使用替代材料和工程设备的，承包人应按照第8.7.2项约定的程序执行：</w:t>
      </w:r>
    </w:p>
    <w:p w14:paraId="4961040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（1）基准日期后生效的法律规定禁止使用的；</w:t>
      </w:r>
    </w:p>
    <w:p w14:paraId="5FF214D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（2）发包人要求使用替代品的；</w:t>
      </w:r>
    </w:p>
    <w:p w14:paraId="3A613AF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（3）因其他原因必须使用替代品的。</w:t>
      </w:r>
    </w:p>
    <w:p w14:paraId="2C5CF3E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8.7.2 承包人应在使用替代材料和工程设备28天前书面通知监理人，并附下列文件：</w:t>
      </w:r>
    </w:p>
    <w:p w14:paraId="6A354F4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（1）被替代的材料和工程设备的名称、数量、规格、型号、品牌、性能、价格及其他相关资料；</w:t>
      </w:r>
    </w:p>
    <w:p w14:paraId="18BFA0F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（2）替代品的名称、数量、规格、型号、品牌、性能、价格及其他相关资料；</w:t>
      </w:r>
    </w:p>
    <w:p w14:paraId="6BC0069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（3）替代品与被替代产品之间的差异以及使用替代品可能对工程产生的影响；</w:t>
      </w:r>
    </w:p>
    <w:p w14:paraId="0001828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（4）替代品与被替代产品的价格差异；</w:t>
      </w:r>
    </w:p>
    <w:p w14:paraId="248C630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（5）使用替代品的理由和原因说明；</w:t>
      </w:r>
    </w:p>
    <w:p w14:paraId="4252DAD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（6）监理人要求的其他文件。</w:t>
      </w:r>
    </w:p>
    <w:p w14:paraId="0380DD7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监理人应在收到通知后14天内向承包人发出经发包人签认的书面指示；监理人逾期发出书面指示的，视为发包人和监理人同意使用替代品。</w:t>
      </w:r>
    </w:p>
    <w:p w14:paraId="649197B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A9F9363">
      <w:pPr>
        <w:pStyle w:val="7"/>
        <w:spacing w:before="0" w:beforeAutospacing="0" w:after="0" w:afterAutospacing="0" w:line="360" w:lineRule="auto"/>
        <w:ind w:firstLine="422" w:firstLineChars="200"/>
        <w:rPr>
          <w:sz w:val="21"/>
          <w:szCs w:val="21"/>
          <w:highlight w:val="none"/>
        </w:rPr>
      </w:pPr>
      <w:bookmarkStart w:id="884" w:name="_Toc351203560"/>
      <w:bookmarkStart w:id="885" w:name="_Toc532377246"/>
      <w:r>
        <w:rPr>
          <w:rFonts w:hint="eastAsia"/>
          <w:sz w:val="21"/>
          <w:szCs w:val="21"/>
          <w:highlight w:val="none"/>
        </w:rPr>
        <w:t>8.8施工设备和临时设施</w:t>
      </w:r>
      <w:bookmarkEnd w:id="884"/>
      <w:bookmarkEnd w:id="885"/>
    </w:p>
    <w:p w14:paraId="5EEBFE3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8.8.1 承包人提供的施工设备和临时设施</w:t>
      </w:r>
    </w:p>
    <w:p w14:paraId="70124ED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8724D4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除专用合同条款另有约定外，承包人应自行承担修建临时设施的费用，需要临时占地的，应由发包人办理申请手续并承担相应费用。</w:t>
      </w:r>
    </w:p>
    <w:p w14:paraId="6C40747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8.8.2发包人提供的施工设备和临时设施</w:t>
      </w:r>
    </w:p>
    <w:p w14:paraId="5FC95D5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发包人提供的施工设备或临时设施在专用合同条款中约定。</w:t>
      </w:r>
    </w:p>
    <w:p w14:paraId="3FA8275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8.8.3要求承包人增加或更换施工设备</w:t>
      </w:r>
    </w:p>
    <w:p w14:paraId="0998267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1786694">
      <w:pPr>
        <w:pStyle w:val="7"/>
        <w:spacing w:before="0" w:beforeAutospacing="0" w:after="0" w:afterAutospacing="0" w:line="360" w:lineRule="auto"/>
        <w:ind w:firstLine="422" w:firstLineChars="200"/>
        <w:rPr>
          <w:sz w:val="21"/>
          <w:szCs w:val="21"/>
          <w:highlight w:val="none"/>
        </w:rPr>
      </w:pPr>
      <w:bookmarkStart w:id="886" w:name="_Toc351203561"/>
      <w:bookmarkStart w:id="887" w:name="_Toc532377247"/>
      <w:r>
        <w:rPr>
          <w:rFonts w:hint="eastAsia"/>
          <w:sz w:val="21"/>
          <w:szCs w:val="21"/>
          <w:highlight w:val="none"/>
        </w:rPr>
        <w:t>8</w:t>
      </w:r>
      <w:bookmarkStart w:id="888" w:name="_Toc337558781"/>
      <w:bookmarkStart w:id="889" w:name="_Toc296346564"/>
      <w:bookmarkStart w:id="890" w:name="_Toc296503063"/>
      <w:r>
        <w:rPr>
          <w:rFonts w:hint="eastAsia"/>
          <w:sz w:val="21"/>
          <w:szCs w:val="21"/>
          <w:highlight w:val="none"/>
        </w:rPr>
        <w:t>.9材料与设备专用</w:t>
      </w:r>
      <w:bookmarkEnd w:id="886"/>
      <w:r>
        <w:rPr>
          <w:rFonts w:hint="eastAsia"/>
          <w:sz w:val="21"/>
          <w:szCs w:val="21"/>
          <w:highlight w:val="none"/>
        </w:rPr>
        <w:t>要求</w:t>
      </w:r>
      <w:bookmarkEnd w:id="887"/>
    </w:p>
    <w:bookmarkEnd w:id="888"/>
    <w:bookmarkEnd w:id="889"/>
    <w:bookmarkEnd w:id="890"/>
    <w:p w14:paraId="33D73F5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65"/>
      <w:r>
        <w:rPr>
          <w:rFonts w:hint="eastAsia" w:ascii="宋体" w:hAnsi="宋体"/>
          <w:kern w:val="0"/>
          <w:szCs w:val="21"/>
          <w:highlight w:val="none"/>
        </w:rPr>
        <w:t>经发包人批准，承包人可以根据施工进度计划撤走闲置的施工设备和其他物品。</w:t>
      </w:r>
    </w:p>
    <w:p w14:paraId="4333F1CC">
      <w:pPr>
        <w:pStyle w:val="6"/>
        <w:keepNext/>
        <w:keepLines/>
        <w:spacing w:before="156" w:beforeLines="50" w:beforeAutospacing="0" w:after="156" w:afterLines="50" w:afterAutospacing="0" w:line="360" w:lineRule="auto"/>
        <w:jc w:val="both"/>
        <w:rPr>
          <w:bCs w:val="0"/>
          <w:kern w:val="2"/>
          <w:sz w:val="21"/>
          <w:szCs w:val="21"/>
          <w:highlight w:val="none"/>
        </w:rPr>
      </w:pPr>
      <w:bookmarkStart w:id="891" w:name="_Toc351203562"/>
      <w:bookmarkStart w:id="892" w:name="_Toc532377248"/>
      <w:bookmarkStart w:id="893" w:name="_Toc532375595"/>
      <w:r>
        <w:rPr>
          <w:rFonts w:hint="eastAsia"/>
          <w:kern w:val="2"/>
          <w:sz w:val="21"/>
          <w:szCs w:val="21"/>
          <w:highlight w:val="none"/>
        </w:rPr>
        <w:t>9</w:t>
      </w:r>
      <w:bookmarkStart w:id="894" w:name="_Toc337558782"/>
      <w:bookmarkStart w:id="895" w:name="_Toc296503083"/>
      <w:bookmarkStart w:id="896" w:name="_Toc296346584"/>
      <w:r>
        <w:rPr>
          <w:rFonts w:hint="eastAsia"/>
          <w:kern w:val="2"/>
          <w:sz w:val="21"/>
          <w:szCs w:val="21"/>
          <w:highlight w:val="none"/>
        </w:rPr>
        <w:t>. 试验与检验</w:t>
      </w:r>
      <w:bookmarkEnd w:id="891"/>
      <w:bookmarkEnd w:id="892"/>
      <w:bookmarkEnd w:id="893"/>
    </w:p>
    <w:bookmarkEnd w:id="894"/>
    <w:p w14:paraId="314CA2BC">
      <w:pPr>
        <w:pStyle w:val="7"/>
        <w:spacing w:before="0" w:beforeAutospacing="0" w:after="0" w:afterAutospacing="0" w:line="360" w:lineRule="auto"/>
        <w:ind w:firstLine="422" w:firstLineChars="200"/>
        <w:rPr>
          <w:sz w:val="21"/>
          <w:szCs w:val="21"/>
          <w:highlight w:val="none"/>
        </w:rPr>
      </w:pPr>
      <w:bookmarkStart w:id="897" w:name="_Toc532377249"/>
      <w:bookmarkStart w:id="898" w:name="_Toc351203563"/>
      <w:r>
        <w:rPr>
          <w:rFonts w:hint="eastAsia"/>
          <w:sz w:val="21"/>
          <w:szCs w:val="21"/>
          <w:highlight w:val="none"/>
        </w:rPr>
        <w:t>9</w:t>
      </w:r>
      <w:bookmarkStart w:id="899" w:name="_Toc337558783"/>
      <w:r>
        <w:rPr>
          <w:rFonts w:hint="eastAsia"/>
          <w:sz w:val="21"/>
          <w:szCs w:val="21"/>
          <w:highlight w:val="none"/>
        </w:rPr>
        <w:t>.1试验设备与试验人员</w:t>
      </w:r>
      <w:bookmarkEnd w:id="897"/>
      <w:bookmarkEnd w:id="898"/>
    </w:p>
    <w:bookmarkEnd w:id="899"/>
    <w:p w14:paraId="0DC16D7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2511D8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9.1.2 承包人应按专用合同条款的约定提供试验设备、取样装置、试验场所和试验条件，并向监理人提交相应进场计划表。</w:t>
      </w:r>
    </w:p>
    <w:p w14:paraId="1A11DDD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承包人配置的试验设备要符合相应试验规程的要求并经过具有资质的检测单位检测，且在正式使用该试验设备前，需要经过监理人与承包人共同校定。</w:t>
      </w:r>
    </w:p>
    <w:p w14:paraId="63FBA11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425DBFF5">
      <w:pPr>
        <w:pStyle w:val="7"/>
        <w:spacing w:before="0" w:beforeAutospacing="0" w:after="0" w:afterAutospacing="0" w:line="360" w:lineRule="auto"/>
        <w:ind w:firstLine="422" w:firstLineChars="200"/>
        <w:rPr>
          <w:sz w:val="21"/>
          <w:szCs w:val="21"/>
          <w:highlight w:val="none"/>
        </w:rPr>
      </w:pPr>
      <w:bookmarkStart w:id="900" w:name="_Toc351203564"/>
      <w:bookmarkStart w:id="901" w:name="_Toc532377250"/>
      <w:r>
        <w:rPr>
          <w:rFonts w:hint="eastAsia"/>
          <w:sz w:val="21"/>
          <w:szCs w:val="21"/>
          <w:highlight w:val="none"/>
        </w:rPr>
        <w:t>9</w:t>
      </w:r>
      <w:bookmarkStart w:id="902" w:name="_Toc337558784"/>
      <w:r>
        <w:rPr>
          <w:rFonts w:hint="eastAsia"/>
          <w:sz w:val="21"/>
          <w:szCs w:val="21"/>
          <w:highlight w:val="none"/>
        </w:rPr>
        <w:t>.2取样</w:t>
      </w:r>
      <w:bookmarkEnd w:id="900"/>
      <w:bookmarkEnd w:id="901"/>
    </w:p>
    <w:bookmarkEnd w:id="902"/>
    <w:p w14:paraId="68E70E7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试验属于自检性质的，承包人可以单独取样。试验属于监理人抽检性质的，可由监理人取样，也可由承包人的试验人员在监理人的监督下取样。</w:t>
      </w:r>
    </w:p>
    <w:p w14:paraId="6CD17423">
      <w:pPr>
        <w:pStyle w:val="7"/>
        <w:spacing w:before="0" w:beforeAutospacing="0" w:after="0" w:afterAutospacing="0" w:line="360" w:lineRule="auto"/>
        <w:ind w:firstLine="422" w:firstLineChars="200"/>
        <w:rPr>
          <w:sz w:val="21"/>
          <w:szCs w:val="21"/>
          <w:highlight w:val="none"/>
        </w:rPr>
      </w:pPr>
      <w:bookmarkStart w:id="903" w:name="_Toc532377251"/>
      <w:bookmarkStart w:id="904" w:name="_Toc351203565"/>
      <w:r>
        <w:rPr>
          <w:rFonts w:hint="eastAsia"/>
          <w:sz w:val="21"/>
          <w:szCs w:val="21"/>
          <w:highlight w:val="none"/>
        </w:rPr>
        <w:t>9</w:t>
      </w:r>
      <w:bookmarkStart w:id="905" w:name="_Toc337558785"/>
      <w:r>
        <w:rPr>
          <w:rFonts w:hint="eastAsia"/>
          <w:sz w:val="21"/>
          <w:szCs w:val="21"/>
          <w:highlight w:val="none"/>
        </w:rPr>
        <w:t>.3材料、工程设备和工程的试验和检验</w:t>
      </w:r>
      <w:bookmarkEnd w:id="903"/>
      <w:bookmarkEnd w:id="904"/>
    </w:p>
    <w:bookmarkEnd w:id="905"/>
    <w:p w14:paraId="6E7BB80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9B0BF6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C88CF5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55128D3">
      <w:pPr>
        <w:pStyle w:val="7"/>
        <w:spacing w:before="0" w:beforeAutospacing="0" w:after="0" w:afterAutospacing="0" w:line="360" w:lineRule="auto"/>
        <w:ind w:firstLine="422" w:firstLineChars="200"/>
        <w:rPr>
          <w:sz w:val="21"/>
          <w:szCs w:val="21"/>
          <w:highlight w:val="none"/>
        </w:rPr>
      </w:pPr>
      <w:bookmarkStart w:id="906" w:name="_Toc351203566"/>
      <w:bookmarkStart w:id="907" w:name="_Toc532377252"/>
      <w:r>
        <w:rPr>
          <w:rFonts w:hint="eastAsia"/>
          <w:sz w:val="21"/>
          <w:szCs w:val="21"/>
          <w:highlight w:val="none"/>
        </w:rPr>
        <w:t>9</w:t>
      </w:r>
      <w:bookmarkStart w:id="908" w:name="_Toc337558786"/>
      <w:r>
        <w:rPr>
          <w:rFonts w:hint="eastAsia"/>
          <w:sz w:val="21"/>
          <w:szCs w:val="21"/>
          <w:highlight w:val="none"/>
        </w:rPr>
        <w:t>.4现场工艺试验</w:t>
      </w:r>
      <w:bookmarkEnd w:id="906"/>
      <w:bookmarkEnd w:id="907"/>
    </w:p>
    <w:bookmarkEnd w:id="908"/>
    <w:p w14:paraId="6028118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27F9C859">
      <w:pPr>
        <w:pStyle w:val="6"/>
        <w:keepNext/>
        <w:keepLines/>
        <w:spacing w:before="156" w:beforeLines="50" w:beforeAutospacing="0" w:after="156" w:afterLines="50" w:afterAutospacing="0" w:line="360" w:lineRule="auto"/>
        <w:jc w:val="both"/>
        <w:rPr>
          <w:bCs w:val="0"/>
          <w:kern w:val="2"/>
          <w:sz w:val="21"/>
          <w:szCs w:val="21"/>
          <w:highlight w:val="none"/>
        </w:rPr>
      </w:pPr>
      <w:bookmarkStart w:id="909" w:name="_Toc532375596"/>
      <w:bookmarkStart w:id="910" w:name="_Toc532377253"/>
      <w:bookmarkStart w:id="911" w:name="_Toc351203567"/>
      <w:r>
        <w:rPr>
          <w:rFonts w:hint="eastAsia"/>
          <w:kern w:val="2"/>
          <w:sz w:val="21"/>
          <w:szCs w:val="21"/>
          <w:highlight w:val="none"/>
        </w:rPr>
        <w:t>1</w:t>
      </w:r>
      <w:bookmarkStart w:id="912" w:name="_Toc337558787"/>
      <w:r>
        <w:rPr>
          <w:rFonts w:hint="eastAsia"/>
          <w:kern w:val="2"/>
          <w:sz w:val="21"/>
          <w:szCs w:val="21"/>
          <w:highlight w:val="none"/>
        </w:rPr>
        <w:t>0. 变更</w:t>
      </w:r>
      <w:bookmarkEnd w:id="895"/>
      <w:bookmarkEnd w:id="896"/>
      <w:bookmarkEnd w:id="909"/>
      <w:bookmarkEnd w:id="910"/>
      <w:bookmarkEnd w:id="911"/>
    </w:p>
    <w:bookmarkEnd w:id="912"/>
    <w:p w14:paraId="7775BB9A">
      <w:pPr>
        <w:pStyle w:val="7"/>
        <w:spacing w:before="0" w:beforeAutospacing="0" w:after="0" w:afterAutospacing="0" w:line="360" w:lineRule="auto"/>
        <w:ind w:firstLine="422" w:firstLineChars="200"/>
        <w:rPr>
          <w:sz w:val="21"/>
          <w:szCs w:val="21"/>
          <w:highlight w:val="none"/>
        </w:rPr>
      </w:pPr>
      <w:bookmarkStart w:id="913" w:name="_Toc532377254"/>
      <w:bookmarkStart w:id="914" w:name="_Toc351203568"/>
      <w:r>
        <w:rPr>
          <w:rFonts w:hint="eastAsia"/>
          <w:sz w:val="21"/>
          <w:szCs w:val="21"/>
          <w:highlight w:val="none"/>
        </w:rPr>
        <w:t>1</w:t>
      </w:r>
      <w:bookmarkStart w:id="915" w:name="_Toc337558788"/>
      <w:bookmarkStart w:id="916" w:name="_Toc296503084"/>
      <w:bookmarkStart w:id="917" w:name="_Toc296346585"/>
      <w:r>
        <w:rPr>
          <w:rFonts w:hint="eastAsia"/>
          <w:sz w:val="21"/>
          <w:szCs w:val="21"/>
          <w:highlight w:val="none"/>
        </w:rPr>
        <w:t>0.1变更的范围</w:t>
      </w:r>
      <w:bookmarkEnd w:id="913"/>
      <w:bookmarkEnd w:id="914"/>
    </w:p>
    <w:bookmarkEnd w:id="915"/>
    <w:bookmarkEnd w:id="916"/>
    <w:bookmarkEnd w:id="917"/>
    <w:p w14:paraId="1530065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除专用合同条款另有约定外，合同履行过程中发生以下情形的，应按照本条约定进行变更：</w:t>
      </w:r>
    </w:p>
    <w:p w14:paraId="1D5AF46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（1）增加或减少合同中任何工作，或追加额外的工作；</w:t>
      </w:r>
    </w:p>
    <w:p w14:paraId="471E8D9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（2）取消合同中任何工作，但转由他人实施的工作除外；</w:t>
      </w:r>
    </w:p>
    <w:p w14:paraId="5FA0C4A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（3）改变合同中任何工作的质量标准或其他特性；</w:t>
      </w:r>
    </w:p>
    <w:p w14:paraId="542F908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（4）改变工程的基线、标高、位置和尺寸；</w:t>
      </w:r>
    </w:p>
    <w:p w14:paraId="71609EF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（5）改变工程的时间安排或实施顺序。</w:t>
      </w:r>
    </w:p>
    <w:p w14:paraId="3E4FA882">
      <w:pPr>
        <w:pStyle w:val="7"/>
        <w:spacing w:before="0" w:beforeAutospacing="0" w:after="0" w:afterAutospacing="0" w:line="360" w:lineRule="auto"/>
        <w:ind w:firstLine="422" w:firstLineChars="200"/>
        <w:rPr>
          <w:sz w:val="21"/>
          <w:szCs w:val="21"/>
          <w:highlight w:val="none"/>
        </w:rPr>
      </w:pPr>
      <w:bookmarkStart w:id="918" w:name="_Toc532377255"/>
      <w:r>
        <w:rPr>
          <w:rFonts w:hint="eastAsia"/>
          <w:sz w:val="21"/>
          <w:szCs w:val="21"/>
          <w:highlight w:val="none"/>
        </w:rPr>
        <w:t>10.2变更权</w:t>
      </w:r>
      <w:bookmarkEnd w:id="918"/>
    </w:p>
    <w:p w14:paraId="415590F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69C691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涉及设计变更的，应由设计人提供变更后的图纸和说明。如变更超过原设计标准或批准的建设规模时，发包人应及时办理规划、设计变更等审批手续。</w:t>
      </w:r>
    </w:p>
    <w:p w14:paraId="3BC869C4">
      <w:pPr>
        <w:pStyle w:val="7"/>
        <w:spacing w:before="0" w:beforeAutospacing="0" w:after="0" w:afterAutospacing="0" w:line="360" w:lineRule="auto"/>
        <w:ind w:firstLine="422" w:firstLineChars="200"/>
        <w:rPr>
          <w:sz w:val="21"/>
          <w:szCs w:val="21"/>
          <w:highlight w:val="none"/>
        </w:rPr>
      </w:pPr>
      <w:bookmarkStart w:id="919" w:name="_Toc532377256"/>
      <w:r>
        <w:rPr>
          <w:rFonts w:hint="eastAsia"/>
          <w:sz w:val="21"/>
          <w:szCs w:val="21"/>
          <w:highlight w:val="none"/>
        </w:rPr>
        <w:t>10.3变更程序</w:t>
      </w:r>
      <w:bookmarkEnd w:id="919"/>
    </w:p>
    <w:p w14:paraId="40A0D44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10.3.1 发包人提出变更</w:t>
      </w:r>
    </w:p>
    <w:p w14:paraId="28D7F11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发包人提出变更的，应通过监理人向承包人发出变更指示，变更指示应说明计划变更的工程范围和变更的内容。</w:t>
      </w:r>
    </w:p>
    <w:p w14:paraId="0A95254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10.3.2 监理人提出变更建议</w:t>
      </w:r>
    </w:p>
    <w:p w14:paraId="4988CB3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5939BB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10.3.3 变更执行</w:t>
      </w:r>
    </w:p>
    <w:p w14:paraId="6634CDB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934CAD">
      <w:pPr>
        <w:pStyle w:val="7"/>
        <w:spacing w:before="0" w:beforeAutospacing="0" w:after="0" w:afterAutospacing="0" w:line="360" w:lineRule="auto"/>
        <w:ind w:firstLine="422" w:firstLineChars="200"/>
        <w:rPr>
          <w:sz w:val="21"/>
          <w:szCs w:val="21"/>
          <w:highlight w:val="none"/>
        </w:rPr>
      </w:pPr>
      <w:bookmarkStart w:id="920" w:name="_Toc351203571"/>
      <w:bookmarkStart w:id="921" w:name="_Toc532377257"/>
      <w:r>
        <w:rPr>
          <w:rFonts w:hint="eastAsia"/>
          <w:sz w:val="21"/>
          <w:szCs w:val="21"/>
          <w:highlight w:val="none"/>
        </w:rPr>
        <w:t>1</w:t>
      </w:r>
      <w:bookmarkStart w:id="922" w:name="_Toc337558791"/>
      <w:bookmarkStart w:id="923" w:name="_Toc296503087"/>
      <w:bookmarkStart w:id="924" w:name="_Toc296346588"/>
      <w:r>
        <w:rPr>
          <w:rFonts w:hint="eastAsia"/>
          <w:sz w:val="21"/>
          <w:szCs w:val="21"/>
          <w:highlight w:val="none"/>
        </w:rPr>
        <w:t>0.4变更估价</w:t>
      </w:r>
      <w:bookmarkEnd w:id="920"/>
      <w:bookmarkEnd w:id="921"/>
    </w:p>
    <w:bookmarkEnd w:id="922"/>
    <w:bookmarkEnd w:id="923"/>
    <w:bookmarkEnd w:id="924"/>
    <w:p w14:paraId="06050E2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10.4.1 变更估价原则</w:t>
      </w:r>
    </w:p>
    <w:p w14:paraId="26A3220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除专用合同条款另有约定外，变更估价按照本款约定处理：</w:t>
      </w:r>
    </w:p>
    <w:p w14:paraId="5288FE3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（1）已标价工程量清单或预算书有相同项目的，按照相同项目单价认定；</w:t>
      </w:r>
    </w:p>
    <w:p w14:paraId="022E6D6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（2）已标价工程量清单或预算书中无相同项目，但有类似项目的，参照类似项目的单价认定；</w:t>
      </w:r>
    </w:p>
    <w:p w14:paraId="48F2A94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A6657E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10.4.2 变更估价程序</w:t>
      </w:r>
    </w:p>
    <w:p w14:paraId="025B855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363D1D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因变更引起的价格调整应计入最近一期的进度款中支付。</w:t>
      </w:r>
    </w:p>
    <w:p w14:paraId="3D5777BB">
      <w:pPr>
        <w:pStyle w:val="7"/>
        <w:spacing w:before="0" w:beforeAutospacing="0" w:after="0" w:afterAutospacing="0" w:line="360" w:lineRule="auto"/>
        <w:ind w:firstLine="422" w:firstLineChars="200"/>
        <w:rPr>
          <w:sz w:val="21"/>
          <w:szCs w:val="21"/>
          <w:highlight w:val="none"/>
        </w:rPr>
      </w:pPr>
      <w:bookmarkStart w:id="925" w:name="_Toc351203572"/>
      <w:bookmarkStart w:id="926" w:name="_Toc532377258"/>
      <w:r>
        <w:rPr>
          <w:rFonts w:hint="eastAsia"/>
          <w:sz w:val="21"/>
          <w:szCs w:val="21"/>
          <w:highlight w:val="none"/>
        </w:rPr>
        <w:t>1</w:t>
      </w:r>
      <w:bookmarkStart w:id="927" w:name="_Toc337558792"/>
      <w:bookmarkStart w:id="928" w:name="_Toc296346595"/>
      <w:bookmarkStart w:id="929" w:name="_Toc296503094"/>
      <w:r>
        <w:rPr>
          <w:rFonts w:hint="eastAsia"/>
          <w:sz w:val="21"/>
          <w:szCs w:val="21"/>
          <w:highlight w:val="none"/>
        </w:rPr>
        <w:t>0.5承包人的合理化建议</w:t>
      </w:r>
      <w:bookmarkEnd w:id="925"/>
      <w:bookmarkEnd w:id="926"/>
    </w:p>
    <w:bookmarkEnd w:id="927"/>
    <w:bookmarkEnd w:id="928"/>
    <w:bookmarkEnd w:id="929"/>
    <w:p w14:paraId="012FA82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承包人提出合理化建议的，应向监理人提交合理化建议说明，说明建议的内容和理由，以及实施该建议对合同价格和工期的影响。</w:t>
      </w:r>
    </w:p>
    <w:p w14:paraId="2F8E71F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314C1CD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合理化建议降低了合同价格或者提高了工程经济效益的，发包人可对承包人给予奖励，奖励的方法和金额在专用合同条款中约定。</w:t>
      </w:r>
    </w:p>
    <w:p w14:paraId="662AA872">
      <w:pPr>
        <w:pStyle w:val="7"/>
        <w:spacing w:before="0" w:beforeAutospacing="0" w:after="0" w:afterAutospacing="0" w:line="360" w:lineRule="auto"/>
        <w:ind w:firstLine="422" w:firstLineChars="200"/>
        <w:rPr>
          <w:sz w:val="21"/>
          <w:szCs w:val="21"/>
          <w:highlight w:val="none"/>
        </w:rPr>
      </w:pPr>
      <w:bookmarkStart w:id="930" w:name="_Toc532377259"/>
      <w:bookmarkStart w:id="931" w:name="_Toc351203573"/>
      <w:r>
        <w:rPr>
          <w:rFonts w:hint="eastAsia"/>
          <w:sz w:val="21"/>
          <w:szCs w:val="21"/>
          <w:highlight w:val="none"/>
        </w:rPr>
        <w:t>1</w:t>
      </w:r>
      <w:bookmarkStart w:id="932" w:name="_Toc337558793"/>
      <w:r>
        <w:rPr>
          <w:rFonts w:hint="eastAsia"/>
          <w:sz w:val="21"/>
          <w:szCs w:val="21"/>
          <w:highlight w:val="none"/>
        </w:rPr>
        <w:t>0.6变更引起的工期调整</w:t>
      </w:r>
      <w:bookmarkEnd w:id="930"/>
      <w:bookmarkEnd w:id="931"/>
      <w:bookmarkEnd w:id="932"/>
    </w:p>
    <w:p w14:paraId="77669D4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因变更引起工期变化的，合同当事人均可要求调整合同工期，由合同当事人按照第4.4款〔商定或确定〕并参考工程所在地的工期定额标准确定增减工期天数。</w:t>
      </w:r>
    </w:p>
    <w:p w14:paraId="6CF4FAB3">
      <w:pPr>
        <w:pStyle w:val="7"/>
        <w:spacing w:before="0" w:beforeAutospacing="0" w:after="0" w:afterAutospacing="0" w:line="360" w:lineRule="auto"/>
        <w:ind w:firstLine="422" w:firstLineChars="200"/>
        <w:rPr>
          <w:sz w:val="21"/>
          <w:szCs w:val="21"/>
          <w:highlight w:val="none"/>
        </w:rPr>
      </w:pPr>
      <w:bookmarkStart w:id="933" w:name="_Toc351203574"/>
      <w:bookmarkStart w:id="934" w:name="_Toc532377260"/>
      <w:r>
        <w:rPr>
          <w:rFonts w:hint="eastAsia"/>
          <w:sz w:val="21"/>
          <w:szCs w:val="21"/>
          <w:highlight w:val="none"/>
        </w:rPr>
        <w:t>10.7暂估价</w:t>
      </w:r>
      <w:bookmarkEnd w:id="933"/>
      <w:bookmarkEnd w:id="934"/>
    </w:p>
    <w:p w14:paraId="5420992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暂估价专业分包工程、服务、材料和工程设备的明细由合同当事人在专用合同条款中约定。</w:t>
      </w:r>
    </w:p>
    <w:p w14:paraId="7499040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10.7.1 依法必须招标的暂估价项目</w:t>
      </w:r>
    </w:p>
    <w:p w14:paraId="1408BD8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对于依法必须招标的暂估价项目，采取以下第1种方式确定。合同当事人也可以在专用合同条款中选择其他招标方式。</w:t>
      </w:r>
    </w:p>
    <w:p w14:paraId="29E473B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第1种方式：对于依法必须招标的暂估价项目，由承包人招标，对该暂估价项目的确认和批准按照以下约定执行：</w:t>
      </w:r>
    </w:p>
    <w:p w14:paraId="7FCDD85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2DCBDF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710B756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2CEADC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2E23D5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10.7.2不属于依法必须招标的暂估价项目</w:t>
      </w:r>
    </w:p>
    <w:p w14:paraId="30E0BB0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除专用合同条款另有约定外，对于不属于依法必须招标的暂估价项目，采取以下第1种方式确定： </w:t>
      </w:r>
    </w:p>
    <w:p w14:paraId="2B32424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第1种方式：对于不属于依法必须招标的暂估价项目，按本项约定确认和批准：</w:t>
      </w:r>
    </w:p>
    <w:p w14:paraId="4BA84CE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0D17D4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（2）发包人认为承包人确定的供应商、分包人无法满足工程质量或合同要求的，发包人可以要求承包人重新确定暂估价项目的供应商、分包人;</w:t>
      </w:r>
    </w:p>
    <w:p w14:paraId="5F5F227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（3）承包人应当在签订暂估价合同后7天内，将暂估价合同副本报送发包人留存。</w:t>
      </w:r>
    </w:p>
    <w:p w14:paraId="12277A6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第2种方式：承包人按照第10.7.1项〔依法必须招标的暂估价项目〕约定的第1种方式确定暂估价项目。</w:t>
      </w:r>
    </w:p>
    <w:p w14:paraId="3DCEFBD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第3种方式：承包人直接实施的暂估价项目</w:t>
      </w:r>
    </w:p>
    <w:p w14:paraId="77E85A6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承包人具备实施暂估价项目的资格和条件的，经发包人和承包人协商一致后，可由承包人自行实施暂估价项目，合同当事人可以在专用合同条款约定具体事项。</w:t>
      </w:r>
    </w:p>
    <w:p w14:paraId="13C4F3D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0A868B8">
      <w:pPr>
        <w:pStyle w:val="7"/>
        <w:spacing w:before="0" w:beforeAutospacing="0" w:after="0" w:afterAutospacing="0" w:line="360" w:lineRule="auto"/>
        <w:ind w:firstLine="422" w:firstLineChars="200"/>
        <w:rPr>
          <w:sz w:val="21"/>
          <w:szCs w:val="21"/>
          <w:highlight w:val="none"/>
        </w:rPr>
      </w:pPr>
      <w:bookmarkStart w:id="935" w:name="_Toc532377261"/>
      <w:bookmarkStart w:id="936" w:name="_Toc351203575"/>
      <w:r>
        <w:rPr>
          <w:rFonts w:hint="eastAsia"/>
          <w:sz w:val="21"/>
          <w:szCs w:val="21"/>
          <w:highlight w:val="none"/>
        </w:rPr>
        <w:t>1</w:t>
      </w:r>
      <w:bookmarkStart w:id="937" w:name="_Toc337558794"/>
      <w:bookmarkStart w:id="938" w:name="_Toc296346591"/>
      <w:bookmarkStart w:id="939" w:name="_Toc296503090"/>
      <w:bookmarkStart w:id="940" w:name="_Toc322522561"/>
      <w:r>
        <w:rPr>
          <w:rFonts w:hint="eastAsia"/>
          <w:sz w:val="21"/>
          <w:szCs w:val="21"/>
          <w:highlight w:val="none"/>
        </w:rPr>
        <w:t>0.8暂列金额</w:t>
      </w:r>
      <w:bookmarkEnd w:id="935"/>
      <w:bookmarkEnd w:id="936"/>
    </w:p>
    <w:bookmarkEnd w:id="937"/>
    <w:p w14:paraId="01E58C3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暂列金额应按照发包人的要求使用，发包人的要求应通过监理人发出。合同当事人可以在专用合同条款中协商确定有关事项。</w:t>
      </w:r>
    </w:p>
    <w:bookmarkEnd w:id="938"/>
    <w:bookmarkEnd w:id="939"/>
    <w:bookmarkEnd w:id="940"/>
    <w:p w14:paraId="339F60B2">
      <w:pPr>
        <w:pStyle w:val="7"/>
        <w:spacing w:before="0" w:beforeAutospacing="0" w:after="0" w:afterAutospacing="0" w:line="360" w:lineRule="auto"/>
        <w:ind w:firstLine="422" w:firstLineChars="200"/>
        <w:rPr>
          <w:sz w:val="21"/>
          <w:szCs w:val="21"/>
          <w:highlight w:val="none"/>
        </w:rPr>
      </w:pPr>
      <w:bookmarkStart w:id="941" w:name="_Toc351203576"/>
      <w:bookmarkStart w:id="942" w:name="_Toc532377262"/>
      <w:r>
        <w:rPr>
          <w:rFonts w:hint="eastAsia"/>
          <w:sz w:val="21"/>
          <w:szCs w:val="21"/>
          <w:highlight w:val="none"/>
        </w:rPr>
        <w:t>1</w:t>
      </w:r>
      <w:bookmarkStart w:id="943" w:name="_Toc296346592"/>
      <w:bookmarkStart w:id="944" w:name="_Toc337558796"/>
      <w:bookmarkStart w:id="945" w:name="_Toc296503091"/>
      <w:r>
        <w:rPr>
          <w:rFonts w:hint="eastAsia"/>
          <w:sz w:val="21"/>
          <w:szCs w:val="21"/>
          <w:highlight w:val="none"/>
        </w:rPr>
        <w:t>0.9计日工</w:t>
      </w:r>
      <w:bookmarkEnd w:id="941"/>
      <w:bookmarkEnd w:id="942"/>
      <w:bookmarkEnd w:id="943"/>
      <w:bookmarkEnd w:id="944"/>
      <w:bookmarkEnd w:id="945"/>
    </w:p>
    <w:p w14:paraId="7D2D52A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42AB84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采用计日工计价的任何一项工作，承包人应在该项工作实施过程中，每天提交以下报表和有关凭证报送监理人审查：</w:t>
      </w:r>
    </w:p>
    <w:p w14:paraId="4300885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（1）工作名称、内容和数量；</w:t>
      </w:r>
    </w:p>
    <w:p w14:paraId="5101748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（2）投入该工作的所有人员的姓名、专业、工种、级别和耗用工时；</w:t>
      </w:r>
    </w:p>
    <w:p w14:paraId="3EF8381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（3）投入该工作的材料类别和数量；</w:t>
      </w:r>
    </w:p>
    <w:p w14:paraId="680BEED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（4）投入该工作的施工设备型号、台数和耗用台时；</w:t>
      </w:r>
    </w:p>
    <w:p w14:paraId="63628D3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（5）其他有关资料和凭证。</w:t>
      </w:r>
    </w:p>
    <w:p w14:paraId="02BB55C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 计日工由承包人汇总后，列入最近一期进度付款申请单，由监理人审查并经发包人批准后列入进度付款。</w:t>
      </w:r>
    </w:p>
    <w:p w14:paraId="20513A62">
      <w:pPr>
        <w:pStyle w:val="6"/>
        <w:keepNext/>
        <w:keepLines/>
        <w:spacing w:before="156" w:beforeLines="50" w:beforeAutospacing="0" w:after="156" w:afterLines="50" w:afterAutospacing="0" w:line="360" w:lineRule="auto"/>
        <w:jc w:val="both"/>
        <w:rPr>
          <w:bCs w:val="0"/>
          <w:kern w:val="2"/>
          <w:sz w:val="21"/>
          <w:szCs w:val="21"/>
          <w:highlight w:val="none"/>
        </w:rPr>
      </w:pPr>
      <w:bookmarkStart w:id="946" w:name="_Toc351203577"/>
      <w:bookmarkStart w:id="947" w:name="_Toc532375597"/>
      <w:bookmarkStart w:id="948" w:name="_Toc532377263"/>
      <w:r>
        <w:rPr>
          <w:rFonts w:hint="eastAsia"/>
          <w:kern w:val="2"/>
          <w:sz w:val="21"/>
          <w:szCs w:val="21"/>
          <w:highlight w:val="none"/>
        </w:rPr>
        <w:t>11. 价格调整</w:t>
      </w:r>
      <w:bookmarkEnd w:id="946"/>
      <w:bookmarkEnd w:id="947"/>
      <w:bookmarkEnd w:id="948"/>
    </w:p>
    <w:p w14:paraId="1F2C750D">
      <w:pPr>
        <w:pStyle w:val="7"/>
        <w:spacing w:before="0" w:beforeAutospacing="0" w:after="0" w:afterAutospacing="0" w:line="360" w:lineRule="auto"/>
        <w:ind w:firstLine="422" w:firstLineChars="200"/>
        <w:rPr>
          <w:sz w:val="21"/>
          <w:szCs w:val="21"/>
          <w:highlight w:val="none"/>
        </w:rPr>
      </w:pPr>
      <w:bookmarkStart w:id="949" w:name="_Toc351203578"/>
      <w:bookmarkStart w:id="950" w:name="_Toc532377264"/>
      <w:bookmarkStart w:id="951" w:name="_Toc337558797"/>
      <w:bookmarkStart w:id="952" w:name="_Toc296346593"/>
      <w:bookmarkStart w:id="953" w:name="_Toc296503092"/>
      <w:r>
        <w:rPr>
          <w:rFonts w:hint="eastAsia"/>
          <w:sz w:val="21"/>
          <w:szCs w:val="21"/>
          <w:highlight w:val="none"/>
        </w:rPr>
        <w:t>11.1市场价格波动引起的调整</w:t>
      </w:r>
      <w:bookmarkEnd w:id="949"/>
      <w:bookmarkEnd w:id="950"/>
    </w:p>
    <w:bookmarkEnd w:id="951"/>
    <w:bookmarkEnd w:id="952"/>
    <w:bookmarkEnd w:id="953"/>
    <w:p w14:paraId="42EA24A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4C07276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第1种方式：采用价格指数进行价格调整。</w:t>
      </w:r>
    </w:p>
    <w:p w14:paraId="7849E98F">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（1）价格调整公式</w:t>
      </w:r>
    </w:p>
    <w:p w14:paraId="29DCD397">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因人工、材料和设备等价格波动影响合同价格时，根据专用合同条款中约定的数据，按以下公式计算差额并调整合同价格：</w:t>
      </w:r>
    </w:p>
    <w:p w14:paraId="33D9048C">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5" o:spt="75" type="#_x0000_t75" style="height:43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21B8B67F">
      <w:pPr>
        <w:tabs>
          <w:tab w:val="left" w:pos="0"/>
          <w:tab w:val="left" w:pos="360"/>
          <w:tab w:val="left" w:pos="540"/>
        </w:tabs>
        <w:spacing w:line="360" w:lineRule="auto"/>
        <w:ind w:firstLine="200"/>
        <w:jc w:val="left"/>
        <w:rPr>
          <w:rFonts w:ascii="宋体" w:hAnsi="宋体"/>
          <w:kern w:val="0"/>
          <w:szCs w:val="21"/>
          <w:highlight w:val="none"/>
        </w:rPr>
      </w:pPr>
      <w:r>
        <w:rPr>
          <w:rFonts w:hint="eastAsia" w:ascii="宋体" w:hAnsi="宋体"/>
          <w:kern w:val="0"/>
          <w:szCs w:val="21"/>
          <w:highlight w:val="none"/>
        </w:rPr>
        <w:t>公式中：ΔP——需调整的价格差额；</w:t>
      </w:r>
    </w:p>
    <w:p w14:paraId="3E92ED4E">
      <w:pPr>
        <w:tabs>
          <w:tab w:val="left" w:pos="0"/>
          <w:tab w:val="left" w:pos="360"/>
          <w:tab w:val="left" w:pos="540"/>
        </w:tabs>
        <w:spacing w:line="360" w:lineRule="auto"/>
        <w:ind w:firstLine="1260" w:firstLineChars="600"/>
        <w:jc w:val="left"/>
        <w:rPr>
          <w:rFonts w:ascii="宋体" w:hAnsi="宋体"/>
          <w:kern w:val="0"/>
          <w:szCs w:val="21"/>
          <w:highlight w:val="none"/>
        </w:rPr>
      </w:pPr>
      <w:r>
        <w:rPr>
          <w:rFonts w:hint="eastAsia" w:ascii="宋体" w:hAnsi="宋体"/>
          <w:kern w:val="0"/>
          <w:szCs w:val="21"/>
          <w:highlight w:val="none"/>
        </w:rPr>
        <w:object>
          <v:shape id="_x0000_i1026" o:spt="75" type="#_x0000_t75" style="height:18.5pt;width:1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FA69A15">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A——定值权重（即不调部分的权重）；</w:t>
      </w:r>
    </w:p>
    <w:p w14:paraId="7AB89BCA">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7" o:spt="75" type="#_x0000_t75" style="height:22pt;width:10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kern w:val="0"/>
          <w:szCs w:val="21"/>
          <w:highlight w:val="none"/>
        </w:rPr>
        <w:t>——各可调因子的变值权重（即可调部分的权重），为各可调因子在签约合同价中所占的比例；</w:t>
      </w:r>
    </w:p>
    <w:p w14:paraId="047B7CFE">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8" o:spt="75" type="#_x0000_t75" style="height:22pt;width:101.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kern w:val="0"/>
          <w:szCs w:val="21"/>
          <w:highlight w:val="none"/>
        </w:rPr>
        <w:t>——各可调因子的现行价格指数，指约定的付款证书相关周期最后一天的前42天的各可调因子的价格指数；</w:t>
      </w:r>
    </w:p>
    <w:p w14:paraId="7AFD79EE">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9" o:spt="75" type="#_x0000_t75" style="height:22pt;width:109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kern w:val="0"/>
          <w:szCs w:val="21"/>
          <w:highlight w:val="none"/>
        </w:rPr>
        <w:t>——各可调因子的基本价格指数，指基准日期的各可调因子的价格指数。</w:t>
      </w:r>
    </w:p>
    <w:p w14:paraId="3D7EF0DF">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819C046">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（2）暂时确定调整差额</w:t>
      </w:r>
    </w:p>
    <w:p w14:paraId="5D8762E6">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在计算调整差额时无现行价格指数的，合同当事人同意暂用前次价格指数计算。实际价格指数有调整的，合同当事人进行相应调整。</w:t>
      </w:r>
    </w:p>
    <w:p w14:paraId="462E1A81">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（3）权重的调整</w:t>
      </w:r>
    </w:p>
    <w:p w14:paraId="06C6D79C">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因变更导致合同约定的权重不合理时，按照第4.4款〔商定或确定〕执行。</w:t>
      </w:r>
    </w:p>
    <w:p w14:paraId="370800B9">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（4）因承包人原因工期延误后的价格调整</w:t>
      </w:r>
    </w:p>
    <w:p w14:paraId="2462EBE8">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B834AE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第2种方式：采用造价信息进行价格调整。</w:t>
      </w:r>
    </w:p>
    <w:p w14:paraId="657DFC3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DBB14A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93EE3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（2）材料、工程设备价格变化的价款调整按照发包人提供的基准价格，按以下风险范围规定执行：</w:t>
      </w:r>
    </w:p>
    <w:p w14:paraId="3B49A23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5E9105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B0FA26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7CEB50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AB42B22">
      <w:pPr>
        <w:spacing w:line="360" w:lineRule="auto"/>
        <w:ind w:firstLine="420" w:firstLineChars="200"/>
        <w:jc w:val="left"/>
        <w:rPr>
          <w:rFonts w:ascii="宋体" w:hAnsi="宋体"/>
          <w:kern w:val="0"/>
          <w:szCs w:val="21"/>
          <w:highlight w:val="none"/>
        </w:rPr>
      </w:pPr>
      <w:bookmarkStart w:id="954" w:name="OLE_LINK3"/>
      <w:r>
        <w:rPr>
          <w:rFonts w:hint="eastAsia" w:ascii="宋体" w:hAnsi="宋体"/>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6BAE060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（3）施工机械台班单价或施工机械使用费发生变化超过省级或行业建设主管部门或其授权的工程造价管理机构规定的范围时，按规定调整合同价格。</w:t>
      </w:r>
    </w:p>
    <w:p w14:paraId="48AFB54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第3种方式：专用合同条款约定的其他方式。</w:t>
      </w:r>
    </w:p>
    <w:p w14:paraId="27983006">
      <w:pPr>
        <w:pStyle w:val="7"/>
        <w:spacing w:before="0" w:beforeAutospacing="0" w:after="0" w:afterAutospacing="0" w:line="360" w:lineRule="auto"/>
        <w:ind w:firstLine="422" w:firstLineChars="200"/>
        <w:rPr>
          <w:sz w:val="21"/>
          <w:szCs w:val="21"/>
          <w:highlight w:val="none"/>
        </w:rPr>
      </w:pPr>
      <w:bookmarkStart w:id="955" w:name="_Toc532377265"/>
      <w:bookmarkStart w:id="956" w:name="_Toc351203579"/>
      <w:bookmarkStart w:id="957" w:name="_Toc296346594"/>
      <w:bookmarkStart w:id="958" w:name="_Toc296503093"/>
      <w:bookmarkStart w:id="959" w:name="_Toc337558798"/>
      <w:r>
        <w:rPr>
          <w:rFonts w:hint="eastAsia"/>
          <w:sz w:val="21"/>
          <w:szCs w:val="21"/>
          <w:highlight w:val="none"/>
        </w:rPr>
        <w:t>11.2法律变化引起的调整</w:t>
      </w:r>
      <w:bookmarkEnd w:id="955"/>
      <w:bookmarkEnd w:id="956"/>
    </w:p>
    <w:bookmarkEnd w:id="957"/>
    <w:bookmarkEnd w:id="958"/>
    <w:bookmarkEnd w:id="959"/>
    <w:p w14:paraId="08BEE25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0DCAAE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因法律变化引起的合同价格和工期调整，合同当事人无法达成一致的，由总监理工程师按第4.4款〔商定或确定〕的约定处理。</w:t>
      </w:r>
    </w:p>
    <w:p w14:paraId="5536A6B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因承包人原因造成工期延误，在工期延误期间出现法律变化的，由此增加的费用和（或）延误的工期由承包人承担。</w:t>
      </w:r>
    </w:p>
    <w:p w14:paraId="6DEBDBF1">
      <w:pPr>
        <w:pStyle w:val="6"/>
        <w:keepNext/>
        <w:keepLines/>
        <w:spacing w:before="156" w:beforeLines="50" w:beforeAutospacing="0" w:after="156" w:afterLines="50" w:afterAutospacing="0" w:line="360" w:lineRule="auto"/>
        <w:jc w:val="both"/>
        <w:rPr>
          <w:bCs w:val="0"/>
          <w:kern w:val="2"/>
          <w:sz w:val="21"/>
          <w:szCs w:val="21"/>
          <w:highlight w:val="none"/>
        </w:rPr>
      </w:pPr>
      <w:bookmarkStart w:id="960" w:name="_Toc532377266"/>
      <w:bookmarkStart w:id="961" w:name="_Toc351203580"/>
      <w:bookmarkStart w:id="962" w:name="_Toc532375598"/>
      <w:bookmarkStart w:id="963" w:name="_Toc337558799"/>
      <w:bookmarkStart w:id="964" w:name="_Toc296346597"/>
      <w:bookmarkStart w:id="965" w:name="_Toc296503096"/>
      <w:r>
        <w:rPr>
          <w:rFonts w:hint="eastAsia"/>
          <w:kern w:val="2"/>
          <w:sz w:val="21"/>
          <w:szCs w:val="21"/>
          <w:highlight w:val="none"/>
        </w:rPr>
        <w:t>12. 合同价格、计量与支付</w:t>
      </w:r>
      <w:bookmarkEnd w:id="960"/>
      <w:bookmarkEnd w:id="961"/>
      <w:bookmarkEnd w:id="962"/>
    </w:p>
    <w:bookmarkEnd w:id="963"/>
    <w:p w14:paraId="785DACF7">
      <w:pPr>
        <w:pStyle w:val="7"/>
        <w:spacing w:before="0" w:beforeAutospacing="0" w:after="0" w:afterAutospacing="0" w:line="360" w:lineRule="auto"/>
        <w:ind w:firstLine="422" w:firstLineChars="200"/>
        <w:rPr>
          <w:sz w:val="21"/>
          <w:szCs w:val="21"/>
          <w:highlight w:val="none"/>
        </w:rPr>
      </w:pPr>
      <w:bookmarkStart w:id="966" w:name="_Toc532377267"/>
      <w:bookmarkStart w:id="967" w:name="_Toc351203581"/>
      <w:bookmarkStart w:id="968" w:name="_Toc337558800"/>
      <w:r>
        <w:rPr>
          <w:rFonts w:hint="eastAsia"/>
          <w:sz w:val="21"/>
          <w:szCs w:val="21"/>
          <w:highlight w:val="none"/>
        </w:rPr>
        <w:t>12.1 合同价</w:t>
      </w:r>
      <w:bookmarkEnd w:id="964"/>
      <w:bookmarkEnd w:id="965"/>
      <w:r>
        <w:rPr>
          <w:rFonts w:hint="eastAsia"/>
          <w:sz w:val="21"/>
          <w:szCs w:val="21"/>
          <w:highlight w:val="none"/>
        </w:rPr>
        <w:t>格形式</w:t>
      </w:r>
      <w:bookmarkEnd w:id="966"/>
      <w:bookmarkEnd w:id="967"/>
    </w:p>
    <w:bookmarkEnd w:id="968"/>
    <w:p w14:paraId="0D296BB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发包人和承包人应在合同协议书中选择下列一种合同价格形式： </w:t>
      </w:r>
    </w:p>
    <w:p w14:paraId="07D2210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1.单价合同</w:t>
      </w:r>
    </w:p>
    <w:p w14:paraId="6A4AFEF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1D71B67">
      <w:pPr>
        <w:pStyle w:val="7"/>
        <w:spacing w:before="0" w:beforeAutospacing="0" w:after="0" w:afterAutospacing="0" w:line="360" w:lineRule="auto"/>
        <w:ind w:firstLine="420" w:firstLineChars="200"/>
        <w:rPr>
          <w:b w:val="0"/>
          <w:sz w:val="21"/>
          <w:szCs w:val="21"/>
          <w:highlight w:val="none"/>
        </w:rPr>
      </w:pPr>
      <w:bookmarkStart w:id="969" w:name="_Toc532377268"/>
      <w:r>
        <w:rPr>
          <w:rFonts w:hint="eastAsia"/>
          <w:b w:val="0"/>
          <w:sz w:val="21"/>
          <w:szCs w:val="21"/>
          <w:highlight w:val="none"/>
        </w:rPr>
        <w:t>2.总价合同</w:t>
      </w:r>
      <w:bookmarkEnd w:id="969"/>
    </w:p>
    <w:p w14:paraId="382B97F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F65787B">
      <w:pPr>
        <w:pStyle w:val="7"/>
        <w:spacing w:before="0" w:beforeAutospacing="0" w:after="0" w:afterAutospacing="0" w:line="360" w:lineRule="auto"/>
        <w:ind w:firstLine="420" w:firstLineChars="200"/>
        <w:rPr>
          <w:b w:val="0"/>
          <w:sz w:val="21"/>
          <w:szCs w:val="21"/>
          <w:highlight w:val="none"/>
        </w:rPr>
      </w:pPr>
      <w:bookmarkStart w:id="970" w:name="_Toc532377269"/>
      <w:r>
        <w:rPr>
          <w:rFonts w:hint="eastAsia"/>
          <w:b w:val="0"/>
          <w:sz w:val="21"/>
          <w:szCs w:val="21"/>
          <w:highlight w:val="none"/>
        </w:rPr>
        <w:t>3.其它价格形式</w:t>
      </w:r>
      <w:bookmarkEnd w:id="970"/>
    </w:p>
    <w:p w14:paraId="2C7AEE9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合同当事人可在专用合同条款中约定其他合同价格形式。</w:t>
      </w:r>
    </w:p>
    <w:p w14:paraId="5BFDEFDD">
      <w:pPr>
        <w:pStyle w:val="7"/>
        <w:spacing w:before="0" w:beforeAutospacing="0" w:after="0" w:afterAutospacing="0" w:line="360" w:lineRule="auto"/>
        <w:ind w:firstLine="422" w:firstLineChars="200"/>
        <w:rPr>
          <w:sz w:val="21"/>
          <w:szCs w:val="21"/>
          <w:highlight w:val="none"/>
        </w:rPr>
      </w:pPr>
      <w:bookmarkStart w:id="971" w:name="_Toc296346598"/>
      <w:bookmarkStart w:id="972" w:name="_Toc296503097"/>
      <w:bookmarkStart w:id="973" w:name="_Toc351203582"/>
      <w:bookmarkStart w:id="974" w:name="_Toc532377270"/>
      <w:bookmarkStart w:id="975" w:name="_Toc337558801"/>
      <w:r>
        <w:rPr>
          <w:rFonts w:hint="eastAsia"/>
          <w:sz w:val="21"/>
          <w:szCs w:val="21"/>
          <w:highlight w:val="none"/>
        </w:rPr>
        <w:t>12.2预</w:t>
      </w:r>
      <w:bookmarkEnd w:id="971"/>
      <w:bookmarkEnd w:id="972"/>
      <w:bookmarkStart w:id="976" w:name="_Toc296503100"/>
      <w:bookmarkStart w:id="977" w:name="_Toc296346601"/>
      <w:r>
        <w:rPr>
          <w:rFonts w:hint="eastAsia"/>
          <w:sz w:val="21"/>
          <w:szCs w:val="21"/>
          <w:highlight w:val="none"/>
        </w:rPr>
        <w:t>付款</w:t>
      </w:r>
      <w:bookmarkEnd w:id="973"/>
      <w:bookmarkEnd w:id="974"/>
    </w:p>
    <w:bookmarkEnd w:id="975"/>
    <w:bookmarkEnd w:id="976"/>
    <w:bookmarkEnd w:id="977"/>
    <w:p w14:paraId="0927B64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12.2.1预付款的支付</w:t>
      </w:r>
    </w:p>
    <w:p w14:paraId="171EB03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53ABAA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除专用合同条款另有约定外，预付款在进度付款中同比例扣回。</w:t>
      </w:r>
      <w:bookmarkEnd w:id="954"/>
      <w:r>
        <w:rPr>
          <w:rFonts w:hint="eastAsia" w:ascii="宋体" w:hAnsi="宋体"/>
          <w:kern w:val="0"/>
          <w:szCs w:val="21"/>
          <w:highlight w:val="none"/>
        </w:rPr>
        <w:t>在颁发工程接收证书前，提前解除合同的，尚未扣完的预付款应与合同价款一并结算。</w:t>
      </w:r>
    </w:p>
    <w:p w14:paraId="232A7E2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0FAC5D8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12.2.2 预付款担保</w:t>
      </w:r>
    </w:p>
    <w:p w14:paraId="6F1AD2E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09614C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发包人在工程款中逐期扣回预付款后，预付款担保额度应相应减少，但剩余的预付款担保金额不得低于未被扣回的预付款金额。</w:t>
      </w:r>
    </w:p>
    <w:p w14:paraId="26DFF817">
      <w:pPr>
        <w:pStyle w:val="7"/>
        <w:spacing w:before="0" w:beforeAutospacing="0" w:after="0" w:afterAutospacing="0" w:line="360" w:lineRule="auto"/>
        <w:ind w:firstLine="422" w:firstLineChars="200"/>
        <w:rPr>
          <w:sz w:val="21"/>
          <w:szCs w:val="21"/>
          <w:highlight w:val="none"/>
        </w:rPr>
      </w:pPr>
      <w:bookmarkStart w:id="978" w:name="_Toc532377271"/>
      <w:bookmarkStart w:id="979" w:name="_Toc351203583"/>
      <w:bookmarkStart w:id="980" w:name="_Toc337558802"/>
      <w:r>
        <w:rPr>
          <w:rFonts w:hint="eastAsia"/>
          <w:sz w:val="21"/>
          <w:szCs w:val="21"/>
          <w:highlight w:val="none"/>
        </w:rPr>
        <w:t>12.3计量</w:t>
      </w:r>
      <w:bookmarkEnd w:id="978"/>
      <w:bookmarkEnd w:id="979"/>
    </w:p>
    <w:bookmarkEnd w:id="980"/>
    <w:p w14:paraId="68690B8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12.3.1 计量原则</w:t>
      </w:r>
    </w:p>
    <w:p w14:paraId="2BD73AA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44725D7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12.3.2 计量周期</w:t>
      </w:r>
    </w:p>
    <w:p w14:paraId="6889354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除专用合同条款另有约定外，工程量的计量按月进行。</w:t>
      </w:r>
    </w:p>
    <w:p w14:paraId="10FABA0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12.3.3 单价合同的计量</w:t>
      </w:r>
    </w:p>
    <w:p w14:paraId="53C0161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除专用合同条款另有约定外，单价合同的计量按照本项约定执行：</w:t>
      </w:r>
    </w:p>
    <w:p w14:paraId="58E1B60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（1）承包人应于每月25日向监理人报送上月20日至当月19日已完成的工程量报告，并附具进度付款申请单、已完成工程量报表和有关资料。</w:t>
      </w:r>
    </w:p>
    <w:p w14:paraId="5F3B2E0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066283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（3）监理人未在收到承包人提交的工程量报表后的7天内完成审核的，承包人报送的工程量报告中的工程量视为承包人实际完成的工程量，据此计算工程价款。</w:t>
      </w:r>
    </w:p>
    <w:p w14:paraId="3B5840B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12.3.4 总价合同的计量</w:t>
      </w:r>
    </w:p>
    <w:p w14:paraId="71591E2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除专用合同条款另有约定外，按月计量支付的总价合同，按照本项约定执行：</w:t>
      </w:r>
    </w:p>
    <w:p w14:paraId="6FC2771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（1）承包人应于每月25日向监理人报送上月20日至当月19日已完成的工程量报告，并附具进度付款申请单、已完成工程量报表和有关资料。</w:t>
      </w:r>
    </w:p>
    <w:p w14:paraId="7E7AB28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C99397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（3）监理人未在收到承包人提交的工程量报表后的7天内完成复核的，承包人提交的工程量报告中的工程量视为承包人实际完成的工程量。</w:t>
      </w:r>
    </w:p>
    <w:p w14:paraId="0646F74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12.3.5 总价合同采用支付分解表计量支付的，可以按照第12.3.4项〔总价合同的计量〕约定进行计量，但合同价款按照支付分解表进行支付。</w:t>
      </w:r>
    </w:p>
    <w:p w14:paraId="062618B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12.3.6 其他价格形式合同的计量</w:t>
      </w:r>
    </w:p>
    <w:p w14:paraId="3CF3C4F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合同当事人可在专用合同条款中约定其他价格形式合同的计量方式和程序。</w:t>
      </w:r>
    </w:p>
    <w:p w14:paraId="29728492">
      <w:pPr>
        <w:pStyle w:val="7"/>
        <w:spacing w:before="0" w:beforeAutospacing="0" w:after="0" w:afterAutospacing="0" w:line="360" w:lineRule="auto"/>
        <w:ind w:firstLine="422" w:firstLineChars="200"/>
        <w:rPr>
          <w:sz w:val="21"/>
          <w:szCs w:val="21"/>
          <w:highlight w:val="none"/>
        </w:rPr>
      </w:pPr>
      <w:bookmarkStart w:id="981" w:name="_Toc296503101"/>
      <w:bookmarkStart w:id="982" w:name="_Toc296346602"/>
      <w:bookmarkStart w:id="983" w:name="_Toc532377272"/>
      <w:bookmarkStart w:id="984" w:name="_Toc351203584"/>
      <w:bookmarkStart w:id="985" w:name="_Toc337558803"/>
      <w:r>
        <w:rPr>
          <w:rFonts w:hint="eastAsia"/>
          <w:sz w:val="21"/>
          <w:szCs w:val="21"/>
          <w:highlight w:val="none"/>
        </w:rPr>
        <w:t>12.4工程进度款支</w:t>
      </w:r>
      <w:bookmarkEnd w:id="981"/>
      <w:bookmarkEnd w:id="982"/>
      <w:r>
        <w:rPr>
          <w:rFonts w:hint="eastAsia"/>
          <w:sz w:val="21"/>
          <w:szCs w:val="21"/>
          <w:highlight w:val="none"/>
        </w:rPr>
        <w:t>付</w:t>
      </w:r>
      <w:bookmarkEnd w:id="983"/>
      <w:bookmarkEnd w:id="984"/>
    </w:p>
    <w:bookmarkEnd w:id="985"/>
    <w:p w14:paraId="270A09F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12.4.1 付款周期</w:t>
      </w:r>
    </w:p>
    <w:p w14:paraId="22554FB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除专用合同条款另有约定外，付款周期应按照第12.3.2项〔计量周期〕的约定与计量周期保持一致。</w:t>
      </w:r>
    </w:p>
    <w:p w14:paraId="4E2D599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12.4.2 进度付款申请单的编制</w:t>
      </w:r>
    </w:p>
    <w:p w14:paraId="422DA4E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除专用合同条款另有约定外，进度付款申请单应包括下列内容：</w:t>
      </w:r>
    </w:p>
    <w:p w14:paraId="42E7F60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（1）截至本次付款周期已完成工作对应的金额；</w:t>
      </w:r>
    </w:p>
    <w:p w14:paraId="7613997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（2）根据第10条〔变更〕应增加和扣减的变更金额；</w:t>
      </w:r>
    </w:p>
    <w:p w14:paraId="0617609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（3）根据第12.2款〔预付款〕约定应支付的预付款和扣减的返还预付款；</w:t>
      </w:r>
    </w:p>
    <w:p w14:paraId="2A4AE10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（4）根据第15.3款〔质量保证金〕约定应扣减的质量保证金；</w:t>
      </w:r>
    </w:p>
    <w:p w14:paraId="0443C9D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（5）根据第19条〔索赔〕应增加和扣减的索赔金额；</w:t>
      </w:r>
    </w:p>
    <w:p w14:paraId="6350470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（6）对已签发的进度款支付证书中出现错误的修正，应在本次进度付款中支付或扣除的金额；</w:t>
      </w:r>
    </w:p>
    <w:p w14:paraId="242614C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（7）根据合同约定应增加和扣减的其他金额。</w:t>
      </w:r>
    </w:p>
    <w:p w14:paraId="367E3E6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12.4.3 进度付款申请单的提交</w:t>
      </w:r>
    </w:p>
    <w:p w14:paraId="3CD3B51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（1）单价合同进度付款申请单的提交</w:t>
      </w:r>
    </w:p>
    <w:p w14:paraId="59686DB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71D4C8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（2）总价合同进度付款申请单的提交</w:t>
      </w:r>
    </w:p>
    <w:p w14:paraId="37E0049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总价合同按月计量支付的，承包人按照第12.3.4项〔总价合同的计量〕约定的时间按月向监理人提交进度付款申请单，并附上已完成工程量报表和有关资料。</w:t>
      </w:r>
    </w:p>
    <w:p w14:paraId="462A056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总价合同按支付分解表支付的，承包人应按照第12.4.6项〔支付分解表〕及第12.4.2项〔进度付款申请单的编制〕的约定向监理人提交进度付款申请单。</w:t>
      </w:r>
    </w:p>
    <w:p w14:paraId="1E49F15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（3）其他价格形式合同的进度付款申请单的提交</w:t>
      </w:r>
    </w:p>
    <w:p w14:paraId="5688939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合同当事人可在专用合同条款中约定其他价格形式合同的进度付款申请单的编制和提交程序。</w:t>
      </w:r>
    </w:p>
    <w:p w14:paraId="3668E8C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12.4.4 进度款审核和支付</w:t>
      </w:r>
    </w:p>
    <w:p w14:paraId="02A7ADE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BB8DFC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3B7549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7437289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（3）发包人签发进度款支付证书或临时进度款支付证书，不表明发包人已同意、批准或接受了承包人完成的相应部分的工作。</w:t>
      </w:r>
    </w:p>
    <w:p w14:paraId="68B0C5D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12.4.5 进度付款的修正</w:t>
      </w:r>
    </w:p>
    <w:p w14:paraId="1F924A1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B34C5C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12.4.6 支付分解表</w:t>
      </w:r>
    </w:p>
    <w:p w14:paraId="2350C97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1.支付分解表的编制要求</w:t>
      </w:r>
    </w:p>
    <w:p w14:paraId="38F3AD5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（1）支付分解表中所列的每期付款金额，应为第12.4.2项〔进度付款申请单的编制〕第（1）目的估算金额；</w:t>
      </w:r>
    </w:p>
    <w:p w14:paraId="2AB0BEF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（2）实际进度与施工进度计划不一致的，合同当事人可按照第4.4款〔商定或确定〕修改支付分解表；</w:t>
      </w:r>
    </w:p>
    <w:p w14:paraId="76232AB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（3）不采用支付分解表的，承包人应向发包人和监理人提交按季度编制的支付估算分解表，用于支付参考。</w:t>
      </w:r>
    </w:p>
    <w:p w14:paraId="54D4BFA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2.总价合同支付分解表的编制与审批</w:t>
      </w:r>
    </w:p>
    <w:p w14:paraId="059B9B6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82627F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384E4B7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（3）发包人逾期未完成支付分解表审批的，也未及时要求承包人进行修正和提供补充资料的，则承包人提交的支付分解表视为已经获得发包人批准。</w:t>
      </w:r>
    </w:p>
    <w:p w14:paraId="425F5A1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3.单价合同的总价项目支付分解表的编制与审批</w:t>
      </w:r>
    </w:p>
    <w:p w14:paraId="5A374B4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0333B39">
      <w:pPr>
        <w:pStyle w:val="7"/>
        <w:spacing w:before="0" w:beforeAutospacing="0" w:after="0" w:afterAutospacing="0" w:line="360" w:lineRule="auto"/>
        <w:ind w:firstLine="422" w:firstLineChars="200"/>
        <w:rPr>
          <w:sz w:val="21"/>
          <w:szCs w:val="21"/>
          <w:highlight w:val="none"/>
        </w:rPr>
      </w:pPr>
      <w:bookmarkStart w:id="986" w:name="_Toc532377273"/>
      <w:r>
        <w:rPr>
          <w:rFonts w:hint="eastAsia"/>
          <w:sz w:val="21"/>
          <w:szCs w:val="21"/>
          <w:highlight w:val="none"/>
        </w:rPr>
        <w:t>12.5支付账户</w:t>
      </w:r>
      <w:bookmarkEnd w:id="986"/>
    </w:p>
    <w:p w14:paraId="5E88C1C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发包人应将合同价款支付至合同协议书中约定的承包人账户。</w:t>
      </w:r>
    </w:p>
    <w:p w14:paraId="6AFA5EF5">
      <w:pPr>
        <w:pStyle w:val="6"/>
        <w:keepNext/>
        <w:keepLines/>
        <w:spacing w:before="156" w:beforeLines="50" w:beforeAutospacing="0" w:after="156" w:afterLines="50" w:afterAutospacing="0" w:line="360" w:lineRule="auto"/>
        <w:jc w:val="both"/>
        <w:rPr>
          <w:bCs w:val="0"/>
          <w:kern w:val="2"/>
          <w:sz w:val="21"/>
          <w:szCs w:val="21"/>
          <w:highlight w:val="none"/>
        </w:rPr>
      </w:pPr>
      <w:bookmarkStart w:id="987" w:name="_Toc532377274"/>
      <w:bookmarkStart w:id="988" w:name="_Toc351203586"/>
      <w:bookmarkStart w:id="989" w:name="_Toc532375599"/>
      <w:bookmarkStart w:id="990" w:name="_Toc322522574"/>
      <w:bookmarkStart w:id="991" w:name="_Toc296346607"/>
      <w:bookmarkStart w:id="992" w:name="_Toc337558804"/>
      <w:bookmarkStart w:id="993" w:name="_Toc296503106"/>
      <w:r>
        <w:rPr>
          <w:rFonts w:hint="eastAsia"/>
          <w:kern w:val="2"/>
          <w:sz w:val="21"/>
          <w:szCs w:val="21"/>
          <w:highlight w:val="none"/>
        </w:rPr>
        <w:t>13. 验收和工程试车</w:t>
      </w:r>
      <w:bookmarkEnd w:id="987"/>
      <w:bookmarkEnd w:id="988"/>
      <w:bookmarkEnd w:id="989"/>
    </w:p>
    <w:bookmarkEnd w:id="990"/>
    <w:bookmarkEnd w:id="991"/>
    <w:bookmarkEnd w:id="992"/>
    <w:bookmarkEnd w:id="993"/>
    <w:p w14:paraId="39755531">
      <w:pPr>
        <w:pStyle w:val="7"/>
        <w:spacing w:before="0" w:beforeAutospacing="0" w:after="0" w:afterAutospacing="0" w:line="360" w:lineRule="auto"/>
        <w:ind w:firstLine="422" w:firstLineChars="200"/>
        <w:rPr>
          <w:sz w:val="21"/>
          <w:szCs w:val="21"/>
          <w:highlight w:val="none"/>
        </w:rPr>
      </w:pPr>
      <w:bookmarkStart w:id="994" w:name="_Toc532377275"/>
      <w:bookmarkStart w:id="995" w:name="_Toc351203587"/>
      <w:bookmarkStart w:id="996" w:name="_Toc337558805"/>
      <w:bookmarkStart w:id="997" w:name="_Toc296346611"/>
      <w:bookmarkStart w:id="998" w:name="_Toc296503110"/>
      <w:r>
        <w:rPr>
          <w:rFonts w:hint="eastAsia"/>
          <w:sz w:val="21"/>
          <w:szCs w:val="21"/>
          <w:highlight w:val="none"/>
        </w:rPr>
        <w:t>13.1分部分项工程验收</w:t>
      </w:r>
      <w:bookmarkEnd w:id="994"/>
      <w:bookmarkEnd w:id="995"/>
    </w:p>
    <w:bookmarkEnd w:id="996"/>
    <w:p w14:paraId="597BC79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13.1.1 分部分项工程质量应符合国家有关工程施工验收规范、标准及合同约定，承包人应按照施工组织设计的要求完成分部分项工程施工。</w:t>
      </w:r>
    </w:p>
    <w:p w14:paraId="248C1CE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59B1E1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分部分项工程的验收资料应当作为竣工资料的组成部分。</w:t>
      </w:r>
    </w:p>
    <w:p w14:paraId="6F162566">
      <w:pPr>
        <w:pStyle w:val="7"/>
        <w:spacing w:before="0" w:beforeAutospacing="0" w:after="0" w:afterAutospacing="0" w:line="360" w:lineRule="auto"/>
        <w:ind w:firstLine="422" w:firstLineChars="200"/>
        <w:rPr>
          <w:sz w:val="21"/>
          <w:szCs w:val="21"/>
          <w:highlight w:val="none"/>
        </w:rPr>
      </w:pPr>
      <w:bookmarkStart w:id="999" w:name="_Toc351203588"/>
      <w:bookmarkStart w:id="1000" w:name="_Toc532377276"/>
      <w:bookmarkStart w:id="1001" w:name="_Toc337558806"/>
      <w:r>
        <w:rPr>
          <w:rFonts w:hint="eastAsia"/>
          <w:sz w:val="21"/>
          <w:szCs w:val="21"/>
          <w:highlight w:val="none"/>
        </w:rPr>
        <w:t>13.2竣工验收</w:t>
      </w:r>
      <w:bookmarkEnd w:id="999"/>
      <w:bookmarkEnd w:id="1000"/>
    </w:p>
    <w:bookmarkEnd w:id="997"/>
    <w:bookmarkEnd w:id="998"/>
    <w:bookmarkEnd w:id="1001"/>
    <w:p w14:paraId="4229CE2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13.2.1竣工验收条件</w:t>
      </w:r>
    </w:p>
    <w:p w14:paraId="6360A6D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工程具备以下条件的，承包人可以申请竣工验收：</w:t>
      </w:r>
    </w:p>
    <w:p w14:paraId="61BCA05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（1）除发包人同意的甩项工作和缺陷修补工作外，合同范围内的全部工程以及有关工作，包括合同要求的试验、试运行以及检验均已完成，并符合合同要求；</w:t>
      </w:r>
    </w:p>
    <w:p w14:paraId="6EFCAF7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（2）已按合同约定编制了甩项工作和缺陷修补工作清单以及相应的施工计划；</w:t>
      </w:r>
    </w:p>
    <w:p w14:paraId="1BE8182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（3）已按合同约定的内容和份数备齐竣工资料。</w:t>
      </w:r>
    </w:p>
    <w:p w14:paraId="14C4F0D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13.2.2竣工验收程序</w:t>
      </w:r>
    </w:p>
    <w:p w14:paraId="7472A7B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除专用合同条款另有约定外，承包人申请竣工验收的，应当按照以下程序进行：</w:t>
      </w:r>
    </w:p>
    <w:p w14:paraId="72F0CFC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B75DCA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7F6CA3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5B9CBC6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D8A887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1D6F65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14FA6A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13.2.3竣工日期</w:t>
      </w:r>
    </w:p>
    <w:p w14:paraId="21AEB6E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02" w:name="#go14"/>
      <w:bookmarkEnd w:id="1002"/>
      <w:r>
        <w:rPr>
          <w:rFonts w:hint="eastAsia" w:ascii="宋体" w:hAnsi="宋体"/>
          <w:kern w:val="0"/>
          <w:szCs w:val="21"/>
          <w:highlight w:val="none"/>
        </w:rPr>
        <w:t>收申请报告的日期为实际竣工日期；工程未经竣工验收，发包人擅自使用的，以转移占有工程之日为实际竣工日期。</w:t>
      </w:r>
    </w:p>
    <w:p w14:paraId="4413100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13.2.4 拒绝接收全部或部分工程</w:t>
      </w:r>
    </w:p>
    <w:p w14:paraId="0C00DED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31EEC9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13.2.5 移交、接收全部与部分工程</w:t>
      </w:r>
    </w:p>
    <w:p w14:paraId="670C310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除专用合同条款另有约定外，合同当事人应当在颁发工程接收证书后7天内完成工程的移交。</w:t>
      </w:r>
    </w:p>
    <w:p w14:paraId="3CB9EDF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1C452A6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D4D1EC4">
      <w:pPr>
        <w:pStyle w:val="7"/>
        <w:spacing w:before="0" w:beforeAutospacing="0" w:after="0" w:afterAutospacing="0" w:line="360" w:lineRule="auto"/>
        <w:ind w:firstLine="422" w:firstLineChars="200"/>
        <w:rPr>
          <w:sz w:val="21"/>
          <w:szCs w:val="21"/>
          <w:highlight w:val="none"/>
        </w:rPr>
      </w:pPr>
      <w:bookmarkStart w:id="1003" w:name="_Toc532377277"/>
      <w:bookmarkStart w:id="1004" w:name="_Toc351203589"/>
      <w:bookmarkStart w:id="1005" w:name="_Toc296346612"/>
      <w:bookmarkStart w:id="1006" w:name="_Toc296503111"/>
      <w:bookmarkStart w:id="1007" w:name="_Toc337558807"/>
      <w:r>
        <w:rPr>
          <w:rFonts w:hint="eastAsia"/>
          <w:sz w:val="21"/>
          <w:szCs w:val="21"/>
          <w:highlight w:val="none"/>
        </w:rPr>
        <w:t>13.3工程试车</w:t>
      </w:r>
      <w:bookmarkEnd w:id="1003"/>
      <w:bookmarkEnd w:id="1004"/>
    </w:p>
    <w:bookmarkEnd w:id="1005"/>
    <w:bookmarkEnd w:id="1006"/>
    <w:bookmarkEnd w:id="1007"/>
    <w:p w14:paraId="2E8FFD8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13.3.1试车程序</w:t>
      </w:r>
    </w:p>
    <w:p w14:paraId="1EC96BC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工程需要试车的，除专用合同条款另有约定外，试车内容应与承包人承包范围相一致，试车费用由承包人承担。工程试车应按如下程序进行：</w:t>
      </w:r>
    </w:p>
    <w:p w14:paraId="2CF4F91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5595185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CC2A17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0FD773C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13.3.2 试车中的责任</w:t>
      </w:r>
    </w:p>
    <w:p w14:paraId="7DC3C5E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1BBD3E">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E45A23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13.3.3 投料试车</w:t>
      </w:r>
    </w:p>
    <w:p w14:paraId="79A7AE8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0932552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DE1AC31">
      <w:pPr>
        <w:pStyle w:val="7"/>
        <w:spacing w:before="0" w:beforeAutospacing="0" w:after="0" w:afterAutospacing="0" w:line="360" w:lineRule="auto"/>
        <w:ind w:firstLine="422" w:firstLineChars="200"/>
        <w:rPr>
          <w:sz w:val="21"/>
          <w:szCs w:val="21"/>
          <w:highlight w:val="none"/>
        </w:rPr>
      </w:pPr>
      <w:bookmarkStart w:id="1008" w:name="_Toc532377278"/>
      <w:r>
        <w:rPr>
          <w:rFonts w:hint="eastAsia"/>
          <w:sz w:val="21"/>
          <w:szCs w:val="21"/>
          <w:highlight w:val="none"/>
        </w:rPr>
        <w:t>13.4提前交付单位工程的验收</w:t>
      </w:r>
      <w:bookmarkEnd w:id="1008"/>
    </w:p>
    <w:p w14:paraId="6FFD70EB">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6ABAFD4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DA8828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13.4.2 发包人要求在工程竣工前交付单位工程，由此导致承包人费用增加和（或）工期延误的，由发包人承担由此增加的费用和（或）延误的工期，并支付承包人合理的利润。</w:t>
      </w:r>
    </w:p>
    <w:p w14:paraId="2A125A6D">
      <w:pPr>
        <w:pStyle w:val="7"/>
        <w:spacing w:before="0" w:beforeAutospacing="0" w:after="0" w:afterAutospacing="0" w:line="360" w:lineRule="auto"/>
        <w:ind w:firstLine="422" w:firstLineChars="200"/>
        <w:rPr>
          <w:sz w:val="21"/>
          <w:szCs w:val="21"/>
          <w:highlight w:val="none"/>
        </w:rPr>
      </w:pPr>
      <w:bookmarkStart w:id="1009" w:name="_Toc351203591"/>
      <w:bookmarkStart w:id="1010" w:name="_Toc532377279"/>
      <w:r>
        <w:rPr>
          <w:rFonts w:hint="eastAsia"/>
          <w:sz w:val="21"/>
          <w:szCs w:val="21"/>
          <w:highlight w:val="none"/>
        </w:rPr>
        <w:t>13.5 施工期运行</w:t>
      </w:r>
      <w:bookmarkEnd w:id="1009"/>
      <w:bookmarkEnd w:id="1010"/>
    </w:p>
    <w:p w14:paraId="26B79BF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88A68C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13.5.2 在施工期运行中发现工程或工程设备损坏或存在缺陷的，由承包人按第15.2款〔缺陷责任期〕约定进行修复。</w:t>
      </w:r>
    </w:p>
    <w:p w14:paraId="274990E9">
      <w:pPr>
        <w:pStyle w:val="7"/>
        <w:spacing w:before="0" w:beforeAutospacing="0" w:after="0" w:afterAutospacing="0" w:line="360" w:lineRule="auto"/>
        <w:ind w:firstLine="422" w:firstLineChars="200"/>
        <w:rPr>
          <w:sz w:val="21"/>
          <w:szCs w:val="21"/>
          <w:highlight w:val="none"/>
        </w:rPr>
      </w:pPr>
      <w:bookmarkStart w:id="1011" w:name="_Toc296503112"/>
      <w:bookmarkStart w:id="1012" w:name="_Toc296346613"/>
      <w:bookmarkStart w:id="1013" w:name="_Toc532377280"/>
      <w:bookmarkStart w:id="1014" w:name="_Toc351203592"/>
      <w:bookmarkStart w:id="1015" w:name="_Toc337558809"/>
      <w:r>
        <w:rPr>
          <w:rFonts w:hint="eastAsia"/>
          <w:sz w:val="21"/>
          <w:szCs w:val="21"/>
          <w:highlight w:val="none"/>
        </w:rPr>
        <w:t>13.6 竣工退</w:t>
      </w:r>
      <w:bookmarkEnd w:id="1011"/>
      <w:bookmarkEnd w:id="1012"/>
      <w:r>
        <w:rPr>
          <w:rFonts w:hint="eastAsia"/>
          <w:sz w:val="21"/>
          <w:szCs w:val="21"/>
          <w:highlight w:val="none"/>
        </w:rPr>
        <w:t>场</w:t>
      </w:r>
      <w:bookmarkEnd w:id="1013"/>
      <w:bookmarkEnd w:id="1014"/>
    </w:p>
    <w:bookmarkEnd w:id="1015"/>
    <w:p w14:paraId="62C6BBB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13.6.1 竣工退场</w:t>
      </w:r>
    </w:p>
    <w:p w14:paraId="04BD0C6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颁发工程接收证书后，承包人应按以下要求对施工现场进行清理：</w:t>
      </w:r>
    </w:p>
    <w:p w14:paraId="240016F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（1）施工现场内残留的垃圾已全部清除出场；</w:t>
      </w:r>
    </w:p>
    <w:p w14:paraId="3241461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（2）临时工程已拆除，场地已进行清理、平整或复原；</w:t>
      </w:r>
    </w:p>
    <w:p w14:paraId="47DF5CB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（3）按合同约定应撤离的人员、承包人施工设备和剩余的材料，包括废弃的施工设备和材料，已按计划撤离施工现场；</w:t>
      </w:r>
    </w:p>
    <w:p w14:paraId="2EB8A73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（4）施工现场周边及其附近道路、河道的施工堆积物，已全部清理；</w:t>
      </w:r>
    </w:p>
    <w:p w14:paraId="2A6D23CC">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（5）施工现场其他场地清理工作已全部完成。</w:t>
      </w:r>
    </w:p>
    <w:p w14:paraId="255BB18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14DF4AA">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13.6.2 地表还原</w:t>
      </w:r>
    </w:p>
    <w:p w14:paraId="3520815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F8E6D5F">
      <w:pPr>
        <w:pStyle w:val="6"/>
        <w:keepNext/>
        <w:keepLines/>
        <w:spacing w:before="156" w:beforeLines="50" w:beforeAutospacing="0" w:after="156" w:afterLines="50" w:afterAutospacing="0" w:line="360" w:lineRule="auto"/>
        <w:jc w:val="both"/>
        <w:rPr>
          <w:bCs w:val="0"/>
          <w:kern w:val="2"/>
          <w:sz w:val="21"/>
          <w:szCs w:val="21"/>
          <w:highlight w:val="none"/>
        </w:rPr>
      </w:pPr>
      <w:bookmarkStart w:id="1016" w:name="_Toc532375600"/>
      <w:bookmarkStart w:id="1017" w:name="_Toc351203593"/>
      <w:bookmarkStart w:id="1018" w:name="_Toc532377281"/>
      <w:bookmarkStart w:id="1019" w:name="_Toc337558810"/>
      <w:bookmarkStart w:id="1020" w:name="_Toc296503113"/>
      <w:bookmarkStart w:id="1021" w:name="_Toc296346614"/>
      <w:r>
        <w:rPr>
          <w:rFonts w:hint="eastAsia"/>
          <w:kern w:val="2"/>
          <w:sz w:val="21"/>
          <w:szCs w:val="21"/>
          <w:highlight w:val="none"/>
        </w:rPr>
        <w:t>14. 竣工结算</w:t>
      </w:r>
      <w:bookmarkEnd w:id="1016"/>
      <w:bookmarkEnd w:id="1017"/>
      <w:bookmarkEnd w:id="1018"/>
    </w:p>
    <w:bookmarkEnd w:id="1019"/>
    <w:p w14:paraId="07607B9E">
      <w:pPr>
        <w:pStyle w:val="7"/>
        <w:spacing w:before="0" w:beforeAutospacing="0" w:after="0" w:afterAutospacing="0" w:line="360" w:lineRule="auto"/>
        <w:ind w:firstLine="422" w:firstLineChars="200"/>
        <w:rPr>
          <w:sz w:val="21"/>
          <w:szCs w:val="21"/>
          <w:highlight w:val="none"/>
        </w:rPr>
      </w:pPr>
      <w:bookmarkStart w:id="1022" w:name="_Toc532377282"/>
      <w:bookmarkStart w:id="1023" w:name="_Toc351203594"/>
      <w:bookmarkStart w:id="1024" w:name="_Toc337558811"/>
      <w:r>
        <w:rPr>
          <w:rFonts w:hint="eastAsia"/>
          <w:sz w:val="21"/>
          <w:szCs w:val="21"/>
          <w:highlight w:val="none"/>
        </w:rPr>
        <w:t>14.1 竣工结算申请</w:t>
      </w:r>
      <w:bookmarkEnd w:id="1022"/>
      <w:bookmarkEnd w:id="1023"/>
    </w:p>
    <w:bookmarkEnd w:id="1024"/>
    <w:p w14:paraId="0712DBA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6C8C03F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除专用合同条款另有约定外，竣工结算申请单应包括以下内容：</w:t>
      </w:r>
    </w:p>
    <w:p w14:paraId="45E904E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（1）竣工结算合同价格；</w:t>
      </w:r>
    </w:p>
    <w:p w14:paraId="3AACFCA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（2）发包人已支付承包人的款项；</w:t>
      </w:r>
    </w:p>
    <w:p w14:paraId="732FE69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（3）应扣留的质量保证金。已缴纳履约保证金的或提供其他工程质量担保方式的除外； </w:t>
      </w:r>
    </w:p>
    <w:p w14:paraId="069737B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（4）发包人应支付承包人的合同价款。</w:t>
      </w:r>
    </w:p>
    <w:p w14:paraId="4082E93B">
      <w:pPr>
        <w:pStyle w:val="7"/>
        <w:spacing w:before="0" w:beforeAutospacing="0" w:after="0" w:afterAutospacing="0" w:line="360" w:lineRule="auto"/>
        <w:ind w:firstLine="422" w:firstLineChars="200"/>
        <w:rPr>
          <w:sz w:val="21"/>
          <w:szCs w:val="21"/>
          <w:highlight w:val="none"/>
        </w:rPr>
      </w:pPr>
      <w:bookmarkStart w:id="1025" w:name="_Toc532377283"/>
      <w:bookmarkStart w:id="1026" w:name="_Toc351203595"/>
      <w:bookmarkStart w:id="1027" w:name="_Toc337558812"/>
      <w:r>
        <w:rPr>
          <w:rFonts w:hint="eastAsia"/>
          <w:sz w:val="21"/>
          <w:szCs w:val="21"/>
          <w:highlight w:val="none"/>
        </w:rPr>
        <w:t>14.2 竣工结算审核</w:t>
      </w:r>
      <w:bookmarkEnd w:id="1025"/>
      <w:bookmarkEnd w:id="1026"/>
    </w:p>
    <w:bookmarkEnd w:id="1027"/>
    <w:p w14:paraId="302759D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833BDD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EB90B7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60D34A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108412B">
      <w:pPr>
        <w:pStyle w:val="7"/>
        <w:spacing w:before="0" w:beforeAutospacing="0" w:after="0" w:afterAutospacing="0" w:line="360" w:lineRule="auto"/>
        <w:ind w:firstLine="422" w:firstLineChars="200"/>
        <w:rPr>
          <w:sz w:val="21"/>
          <w:szCs w:val="21"/>
          <w:highlight w:val="none"/>
        </w:rPr>
      </w:pPr>
      <w:bookmarkStart w:id="1028" w:name="_Toc532377284"/>
      <w:bookmarkStart w:id="1029" w:name="_Toc351203596"/>
      <w:bookmarkStart w:id="1030" w:name="_Toc337558813"/>
      <w:r>
        <w:rPr>
          <w:rFonts w:hint="eastAsia"/>
          <w:sz w:val="21"/>
          <w:szCs w:val="21"/>
          <w:highlight w:val="none"/>
        </w:rPr>
        <w:t>14.3 甩项竣工协议</w:t>
      </w:r>
      <w:bookmarkEnd w:id="1028"/>
      <w:bookmarkEnd w:id="1029"/>
    </w:p>
    <w:bookmarkEnd w:id="1030"/>
    <w:p w14:paraId="10F4910D">
      <w:pPr>
        <w:autoSpaceDE w:val="0"/>
        <w:autoSpaceDN w:val="0"/>
        <w:spacing w:line="360" w:lineRule="auto"/>
        <w:ind w:firstLine="411" w:firstLineChars="196"/>
        <w:jc w:val="left"/>
        <w:rPr>
          <w:rFonts w:ascii="宋体" w:hAnsi="宋体"/>
          <w:kern w:val="0"/>
          <w:szCs w:val="21"/>
          <w:highlight w:val="none"/>
        </w:rPr>
      </w:pPr>
      <w:r>
        <w:rPr>
          <w:rFonts w:hint="eastAsia" w:ascii="宋体" w:hAnsi="宋体"/>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40E0979">
      <w:pPr>
        <w:pStyle w:val="7"/>
        <w:spacing w:before="0" w:beforeAutospacing="0" w:after="0" w:afterAutospacing="0" w:line="360" w:lineRule="auto"/>
        <w:ind w:firstLine="422" w:firstLineChars="200"/>
        <w:rPr>
          <w:sz w:val="21"/>
          <w:szCs w:val="21"/>
          <w:highlight w:val="none"/>
        </w:rPr>
      </w:pPr>
      <w:bookmarkStart w:id="1031" w:name="_Toc351203597"/>
      <w:bookmarkStart w:id="1032" w:name="_Toc532377285"/>
      <w:bookmarkStart w:id="1033" w:name="_Toc337558814"/>
      <w:r>
        <w:rPr>
          <w:rFonts w:hint="eastAsia"/>
          <w:sz w:val="21"/>
          <w:szCs w:val="21"/>
          <w:highlight w:val="none"/>
        </w:rPr>
        <w:t>14.4 最终结清</w:t>
      </w:r>
      <w:bookmarkEnd w:id="1031"/>
      <w:bookmarkEnd w:id="1032"/>
    </w:p>
    <w:bookmarkEnd w:id="1033"/>
    <w:p w14:paraId="2E68BEE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14.4.1 最终结清申请单</w:t>
      </w:r>
    </w:p>
    <w:p w14:paraId="3E98DF7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（1）除专用合同条款另有约定外，承包人应在缺陷责任期终止证书颁发后7天内，按专用合同条款约定的份数向发包人提交最终结清申请单，并提供相关证明材料。</w:t>
      </w:r>
    </w:p>
    <w:p w14:paraId="78B9D3A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除专用合同条款另有约定外，最终结清申请单应列明质量保证金、应扣除的质量保证金、缺陷责任期内发生的增减费用。</w:t>
      </w:r>
    </w:p>
    <w:p w14:paraId="0AEBA99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（2）发包人对最终结清申请单内容有异议的，有权要求承包人进行修正和提供补充资料，承包人应向发包人提交修正后的最终结清申请单。</w:t>
      </w:r>
    </w:p>
    <w:p w14:paraId="24DD990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14.4.2 最终结清证书和支付</w:t>
      </w:r>
    </w:p>
    <w:p w14:paraId="7E6FA3C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7B52DC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A0A7C5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（3）承包人对发包人颁发的最终结清证书有异议的，按第20条〔争议解决〕的约定办理。</w:t>
      </w:r>
    </w:p>
    <w:p w14:paraId="6B6D0BCF">
      <w:pPr>
        <w:pStyle w:val="6"/>
        <w:keepNext/>
        <w:keepLines/>
        <w:spacing w:before="156" w:beforeLines="50" w:beforeAutospacing="0" w:after="156" w:afterLines="50" w:afterAutospacing="0" w:line="360" w:lineRule="auto"/>
        <w:jc w:val="both"/>
        <w:rPr>
          <w:bCs w:val="0"/>
          <w:kern w:val="2"/>
          <w:sz w:val="21"/>
          <w:szCs w:val="21"/>
          <w:highlight w:val="none"/>
        </w:rPr>
      </w:pPr>
      <w:bookmarkStart w:id="1034" w:name="_Toc532375601"/>
      <w:bookmarkStart w:id="1035" w:name="_Toc351203598"/>
      <w:bookmarkStart w:id="1036" w:name="_Toc532377286"/>
      <w:bookmarkStart w:id="1037" w:name="_Toc337558815"/>
      <w:r>
        <w:rPr>
          <w:rFonts w:hint="eastAsia"/>
          <w:kern w:val="2"/>
          <w:sz w:val="21"/>
          <w:szCs w:val="21"/>
          <w:highlight w:val="none"/>
        </w:rPr>
        <w:t>15. 缺陷责任与保修</w:t>
      </w:r>
      <w:bookmarkEnd w:id="1034"/>
      <w:bookmarkEnd w:id="1035"/>
      <w:bookmarkEnd w:id="1036"/>
    </w:p>
    <w:bookmarkEnd w:id="1020"/>
    <w:bookmarkEnd w:id="1021"/>
    <w:bookmarkEnd w:id="1037"/>
    <w:p w14:paraId="7E30E816">
      <w:pPr>
        <w:pStyle w:val="7"/>
        <w:spacing w:before="0" w:beforeAutospacing="0" w:after="0" w:afterAutospacing="0" w:line="360" w:lineRule="auto"/>
        <w:ind w:firstLine="422" w:firstLineChars="200"/>
        <w:rPr>
          <w:sz w:val="21"/>
          <w:szCs w:val="21"/>
          <w:highlight w:val="none"/>
        </w:rPr>
      </w:pPr>
      <w:bookmarkStart w:id="1038" w:name="_Toc351203599"/>
      <w:bookmarkStart w:id="1039" w:name="_Toc532377287"/>
      <w:bookmarkStart w:id="1040" w:name="_Toc337558816"/>
      <w:bookmarkStart w:id="1041" w:name="_Toc296503114"/>
      <w:bookmarkStart w:id="1042" w:name="_Toc296346615"/>
      <w:r>
        <w:rPr>
          <w:rFonts w:hint="eastAsia"/>
          <w:sz w:val="21"/>
          <w:szCs w:val="21"/>
          <w:highlight w:val="none"/>
        </w:rPr>
        <w:t>15.1 工程保修的原则</w:t>
      </w:r>
      <w:bookmarkEnd w:id="1038"/>
      <w:bookmarkEnd w:id="1039"/>
    </w:p>
    <w:bookmarkEnd w:id="1040"/>
    <w:p w14:paraId="671A06D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685CEE16">
      <w:pPr>
        <w:pStyle w:val="7"/>
        <w:spacing w:before="0" w:beforeAutospacing="0" w:after="0" w:afterAutospacing="0" w:line="360" w:lineRule="auto"/>
        <w:ind w:firstLine="422" w:firstLineChars="200"/>
        <w:rPr>
          <w:sz w:val="21"/>
          <w:szCs w:val="21"/>
          <w:highlight w:val="none"/>
        </w:rPr>
      </w:pPr>
      <w:bookmarkStart w:id="1043" w:name="_Toc351203600"/>
      <w:bookmarkStart w:id="1044" w:name="_Toc532377288"/>
      <w:bookmarkStart w:id="1045" w:name="_Toc337558817"/>
      <w:r>
        <w:rPr>
          <w:rFonts w:hint="eastAsia"/>
          <w:sz w:val="21"/>
          <w:szCs w:val="21"/>
          <w:highlight w:val="none"/>
        </w:rPr>
        <w:t>15.2 缺陷责任期</w:t>
      </w:r>
      <w:bookmarkEnd w:id="1041"/>
      <w:bookmarkEnd w:id="1042"/>
      <w:bookmarkEnd w:id="1043"/>
      <w:bookmarkEnd w:id="1044"/>
    </w:p>
    <w:bookmarkEnd w:id="1045"/>
    <w:p w14:paraId="2649FD6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15.2.1 缺陷责任期从工程通过竣工验收之日起计算，合同当事人应在专用合同条款约定缺陷责任期的具体期限，但该期限最长不超过24个月。</w:t>
      </w:r>
    </w:p>
    <w:p w14:paraId="40222C3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9CA33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B2EB8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由他人原因造成的缺陷，发包人负责组织维修，承包人不承担费用，且发包人不得从保证金中扣除费用。</w:t>
      </w:r>
    </w:p>
    <w:p w14:paraId="1D8D3A8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18D3DAA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1D30F2">
      <w:pPr>
        <w:pStyle w:val="7"/>
        <w:spacing w:before="0" w:beforeAutospacing="0" w:after="0" w:afterAutospacing="0" w:line="360" w:lineRule="auto"/>
        <w:ind w:firstLine="422" w:firstLineChars="200"/>
        <w:rPr>
          <w:sz w:val="21"/>
          <w:szCs w:val="21"/>
          <w:highlight w:val="none"/>
        </w:rPr>
      </w:pPr>
      <w:bookmarkStart w:id="1046" w:name="_Toc532377289"/>
      <w:bookmarkStart w:id="1047" w:name="_Toc351203601"/>
      <w:bookmarkStart w:id="1048" w:name="_Toc337558818"/>
      <w:bookmarkStart w:id="1049" w:name="_Toc296503115"/>
      <w:bookmarkStart w:id="1050" w:name="_Toc296346616"/>
      <w:r>
        <w:rPr>
          <w:rFonts w:hint="eastAsia"/>
          <w:sz w:val="21"/>
          <w:szCs w:val="21"/>
          <w:highlight w:val="none"/>
        </w:rPr>
        <w:t>15.3 质量保证金</w:t>
      </w:r>
      <w:bookmarkEnd w:id="1046"/>
      <w:bookmarkEnd w:id="1047"/>
    </w:p>
    <w:bookmarkEnd w:id="1048"/>
    <w:p w14:paraId="153B9F6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经合同当事人协商一致扣留质量保证金的，应在专用合同条款中予以明确。</w:t>
      </w:r>
    </w:p>
    <w:p w14:paraId="1032EE4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在工程项目竣工前，承包人已经提供履约担保的，发包人不得同时预留工程质量保证金。</w:t>
      </w:r>
    </w:p>
    <w:p w14:paraId="01FDA01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15.3.1 承包人提供质量保证金的方式</w:t>
      </w:r>
    </w:p>
    <w:p w14:paraId="0844255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承包人提供质量保证金有以下三种方式：</w:t>
      </w:r>
    </w:p>
    <w:p w14:paraId="3938279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（1）质量保证金保函；</w:t>
      </w:r>
    </w:p>
    <w:p w14:paraId="6C4B939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（2）相应比例的工程款；</w:t>
      </w:r>
    </w:p>
    <w:p w14:paraId="38E6DBB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（3）双方约定的其他方式。</w:t>
      </w:r>
    </w:p>
    <w:p w14:paraId="5187EAC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除专用合同条款另有约定外，质量保证金原则上采用上述第（1）种方式。</w:t>
      </w:r>
    </w:p>
    <w:p w14:paraId="6CED669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15.3.2 质量保证金的扣留</w:t>
      </w:r>
    </w:p>
    <w:p w14:paraId="5CD96FB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质量保证金的扣留有以下三种方式：</w:t>
      </w:r>
    </w:p>
    <w:p w14:paraId="20F507C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（1）在支付工程进度款时逐次扣留，在此情形下，质量保证金的计算基数不包括预付款的支付、扣回以及价格调整的金额；</w:t>
      </w:r>
    </w:p>
    <w:p w14:paraId="011FFB7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（2）工</w:t>
      </w:r>
      <w:bookmarkStart w:id="1051" w:name="#go6"/>
      <w:bookmarkEnd w:id="1051"/>
      <w:r>
        <w:rPr>
          <w:rFonts w:hint="eastAsia" w:ascii="宋体" w:hAnsi="宋体"/>
          <w:kern w:val="0"/>
          <w:szCs w:val="21"/>
          <w:highlight w:val="none"/>
        </w:rPr>
        <w:t>程竣工结算时一次性扣留质量保证金；</w:t>
      </w:r>
    </w:p>
    <w:p w14:paraId="15BEA0C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（3）双方约定的其他扣留方式。</w:t>
      </w:r>
    </w:p>
    <w:p w14:paraId="79AAA7D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除专用合同条款另有约定外，质量保证金的扣留原则上采用上述第（1）种方式。</w:t>
      </w:r>
    </w:p>
    <w:p w14:paraId="0198192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w:t>
      </w:r>
      <w:bookmarkStart w:id="1052" w:name="#go4"/>
      <w:bookmarkEnd w:id="1052"/>
      <w:r>
        <w:rPr>
          <w:rFonts w:hint="eastAsia" w:ascii="宋体" w:hAnsi="宋体"/>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1B735C4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发包人在退还质量保证金的同时按照中国人民银行发布的同期同类贷款基准利率支付利息。</w:t>
      </w:r>
    </w:p>
    <w:p w14:paraId="16FFDFB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15.3.3 质量保证金的退还</w:t>
      </w:r>
    </w:p>
    <w:p w14:paraId="2BC9671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缺陷责任期内，承包人认真履行合同约定的责任，到期后，承包人可向发包人申请返还保证金。</w:t>
      </w:r>
    </w:p>
    <w:p w14:paraId="659DFEC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DE002E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发包人和承包人对保证金预留、返还以及工程维修质量、费用有争议的，按合同第20条约定的争议和纠纷解决程序处理。</w:t>
      </w:r>
    </w:p>
    <w:p w14:paraId="75CA5590">
      <w:pPr>
        <w:pStyle w:val="7"/>
        <w:spacing w:before="0" w:beforeAutospacing="0" w:after="0" w:afterAutospacing="0" w:line="360" w:lineRule="auto"/>
        <w:ind w:firstLine="422" w:firstLineChars="200"/>
        <w:rPr>
          <w:sz w:val="21"/>
          <w:szCs w:val="21"/>
          <w:highlight w:val="none"/>
        </w:rPr>
      </w:pPr>
      <w:bookmarkStart w:id="1053" w:name="_Toc351203602"/>
      <w:bookmarkStart w:id="1054" w:name="_Toc532377290"/>
      <w:bookmarkStart w:id="1055" w:name="_Toc337558819"/>
      <w:r>
        <w:rPr>
          <w:rFonts w:hint="eastAsia"/>
          <w:sz w:val="21"/>
          <w:szCs w:val="21"/>
          <w:highlight w:val="none"/>
        </w:rPr>
        <w:t>15.4 保修</w:t>
      </w:r>
      <w:bookmarkEnd w:id="1053"/>
      <w:bookmarkEnd w:id="1054"/>
    </w:p>
    <w:bookmarkEnd w:id="1049"/>
    <w:bookmarkEnd w:id="1050"/>
    <w:bookmarkEnd w:id="1055"/>
    <w:p w14:paraId="120798F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15.4.1保修责任</w:t>
      </w:r>
    </w:p>
    <w:p w14:paraId="6549549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091D90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发包人未经竣工验收擅自使用工程的，保修期自转移占有之日起算。</w:t>
      </w:r>
    </w:p>
    <w:p w14:paraId="71DF426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15.4.2 修复费用</w:t>
      </w:r>
    </w:p>
    <w:p w14:paraId="3A4D50A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保修期内，修复的费用按照以下约定处理：</w:t>
      </w:r>
    </w:p>
    <w:p w14:paraId="56FBD90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（1）保修期内，因承包人原因造成工程的缺陷、损坏，承包人应负责修复，并承担修复的费用以及因工程的缺陷、损坏造成的人身伤害和财产损失；</w:t>
      </w:r>
    </w:p>
    <w:p w14:paraId="0E5C1A8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（2）保修期内，因发包人使用不当造成工程的缺陷、损坏，可以委托承包人修复，但发包人应承担修复的费用，并支付承包人合理利润；</w:t>
      </w:r>
    </w:p>
    <w:p w14:paraId="212F0B0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1A226A3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15.4.3 修复通知</w:t>
      </w:r>
    </w:p>
    <w:p w14:paraId="77C4E79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FB63E8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15.4.4 未能修复</w:t>
      </w:r>
    </w:p>
    <w:p w14:paraId="25CDEA9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9BE3DB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15.4.5 承包人出入权</w:t>
      </w:r>
    </w:p>
    <w:p w14:paraId="009A210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18A929E">
      <w:pPr>
        <w:pStyle w:val="6"/>
        <w:keepNext/>
        <w:keepLines/>
        <w:spacing w:before="156" w:beforeLines="50" w:beforeAutospacing="0" w:after="156" w:afterLines="50" w:afterAutospacing="0" w:line="360" w:lineRule="auto"/>
        <w:jc w:val="both"/>
        <w:rPr>
          <w:bCs w:val="0"/>
          <w:kern w:val="2"/>
          <w:sz w:val="21"/>
          <w:szCs w:val="21"/>
          <w:highlight w:val="none"/>
        </w:rPr>
      </w:pPr>
      <w:bookmarkStart w:id="1056" w:name="_Toc532377291"/>
      <w:bookmarkStart w:id="1057" w:name="_Toc532375602"/>
      <w:bookmarkStart w:id="1058" w:name="_Toc351203603"/>
      <w:bookmarkStart w:id="1059" w:name="_Toc337558820"/>
      <w:r>
        <w:rPr>
          <w:rFonts w:hint="eastAsia"/>
          <w:kern w:val="2"/>
          <w:sz w:val="21"/>
          <w:szCs w:val="21"/>
          <w:highlight w:val="none"/>
        </w:rPr>
        <w:t>16. 违约</w:t>
      </w:r>
      <w:bookmarkEnd w:id="1056"/>
      <w:bookmarkEnd w:id="1057"/>
      <w:bookmarkEnd w:id="1058"/>
    </w:p>
    <w:bookmarkEnd w:id="1059"/>
    <w:p w14:paraId="64E8FEFE">
      <w:pPr>
        <w:pStyle w:val="7"/>
        <w:spacing w:before="0" w:beforeAutospacing="0" w:after="0" w:afterAutospacing="0" w:line="360" w:lineRule="auto"/>
        <w:ind w:firstLine="422" w:firstLineChars="200"/>
        <w:rPr>
          <w:sz w:val="21"/>
          <w:szCs w:val="21"/>
          <w:highlight w:val="none"/>
        </w:rPr>
      </w:pPr>
      <w:bookmarkStart w:id="1060" w:name="_Toc296503129"/>
      <w:bookmarkStart w:id="1061" w:name="_Toc296346630"/>
      <w:bookmarkStart w:id="1062" w:name="_Toc532377292"/>
      <w:bookmarkStart w:id="1063" w:name="_Toc351203604"/>
      <w:bookmarkStart w:id="1064" w:name="_Toc337558821"/>
      <w:r>
        <w:rPr>
          <w:rFonts w:hint="eastAsia"/>
          <w:sz w:val="21"/>
          <w:szCs w:val="21"/>
          <w:highlight w:val="none"/>
        </w:rPr>
        <w:t>16.1 发</w:t>
      </w:r>
      <w:bookmarkEnd w:id="1060"/>
      <w:bookmarkEnd w:id="1061"/>
      <w:r>
        <w:rPr>
          <w:rFonts w:hint="eastAsia"/>
          <w:sz w:val="21"/>
          <w:szCs w:val="21"/>
          <w:highlight w:val="none"/>
        </w:rPr>
        <w:t>包人违约</w:t>
      </w:r>
      <w:bookmarkEnd w:id="1062"/>
      <w:bookmarkEnd w:id="1063"/>
    </w:p>
    <w:bookmarkEnd w:id="1064"/>
    <w:p w14:paraId="1C1BB3B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16.1.1 发包人违约的情形</w:t>
      </w:r>
    </w:p>
    <w:p w14:paraId="1B31903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在合同履行过程中发生的下列情形，属于发包人违约：</w:t>
      </w:r>
    </w:p>
    <w:p w14:paraId="7C92DF8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（1）因发包人原因未能在计划开工日期前7天内下达开工通知的；</w:t>
      </w:r>
    </w:p>
    <w:p w14:paraId="05428D5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（2）因发包人原因未能按合同约定支付合同价款的；</w:t>
      </w:r>
    </w:p>
    <w:p w14:paraId="7862A7C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（3）发包人违反第10.1款〔变更的范围〕第（2）项约定，自行实施被取消的工作或转由他人实施的；</w:t>
      </w:r>
    </w:p>
    <w:p w14:paraId="5D0C24B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（4）发包人提供的材料、工程设备的规格、数量或质量不符合合同约定，或因发包人原因导致交货日期延误或交货地点变更等情况的；</w:t>
      </w:r>
    </w:p>
    <w:p w14:paraId="089011A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（5）因发包人违反合同约定造成暂停施工的；</w:t>
      </w:r>
    </w:p>
    <w:p w14:paraId="66E2250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（6）发包人无正当理由没有在约定期限内发出复工指示，导致承包人无法复工的；</w:t>
      </w:r>
    </w:p>
    <w:p w14:paraId="0211E6C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（7）发包人明确表示或者以其行为表明不履行合同主要义务的；</w:t>
      </w:r>
    </w:p>
    <w:p w14:paraId="4B1489B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（8）发包人未能按照合同约定履行其他义务的。</w:t>
      </w:r>
    </w:p>
    <w:p w14:paraId="1C49088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5FA752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16.1.2 发包人违约的责任</w:t>
      </w:r>
    </w:p>
    <w:p w14:paraId="779CC77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0C1AA15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16.1.3 因发包人违约解除合同</w:t>
      </w:r>
    </w:p>
    <w:p w14:paraId="1C1863C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0EDA78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16.1.4 因发包人违约解除合同后的付款</w:t>
      </w:r>
    </w:p>
    <w:p w14:paraId="1BBFC09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承包人按照本款约定解除合同的，发包人应在解除合同后28天内支付下列款项，并解除履约担保：</w:t>
      </w:r>
    </w:p>
    <w:p w14:paraId="48E9E88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（1）合同解除前所完成工作的价款；</w:t>
      </w:r>
    </w:p>
    <w:p w14:paraId="50D3AA0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（2）承包人为工程施工订购并已付款的材料、工程设备和其他物品的价款；</w:t>
      </w:r>
    </w:p>
    <w:p w14:paraId="500CA35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（3）承包人撤离施工现场以及遣散承包人人员的款项；</w:t>
      </w:r>
    </w:p>
    <w:p w14:paraId="18C3889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（4）按照合同约定在合同解除前应支付的违约金；</w:t>
      </w:r>
    </w:p>
    <w:p w14:paraId="08C3EE4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（5）按照合同约定应当支付给承包人的其他款项；</w:t>
      </w:r>
    </w:p>
    <w:p w14:paraId="4936EEA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（6）按照合同约定应退还的质量保证金；</w:t>
      </w:r>
    </w:p>
    <w:p w14:paraId="32630A1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（7）因解除合同给承包人造成的损失。</w:t>
      </w:r>
    </w:p>
    <w:p w14:paraId="584E821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合同当事人未能就解除合同后的结清达成一致的，按照第20条〔争议解决〕的约定处理。</w:t>
      </w:r>
    </w:p>
    <w:p w14:paraId="4370F89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承包人应妥善做好已完工程和与工程有关的已购材料、工程设备的保护和移交工作，并将施工设备和人员撤出施工现场，发包人应为承包人撤出提供必要条件。</w:t>
      </w:r>
    </w:p>
    <w:p w14:paraId="47BDAF25">
      <w:pPr>
        <w:pStyle w:val="7"/>
        <w:spacing w:before="0" w:beforeAutospacing="0" w:after="0" w:afterAutospacing="0" w:line="360" w:lineRule="auto"/>
        <w:ind w:firstLine="422" w:firstLineChars="200"/>
        <w:rPr>
          <w:sz w:val="21"/>
          <w:szCs w:val="21"/>
          <w:highlight w:val="none"/>
        </w:rPr>
      </w:pPr>
      <w:bookmarkStart w:id="1065" w:name="_Toc532377293"/>
      <w:bookmarkStart w:id="1066" w:name="_Toc351203605"/>
      <w:bookmarkStart w:id="1067" w:name="_Toc296503131"/>
      <w:bookmarkStart w:id="1068" w:name="_Toc337558822"/>
      <w:bookmarkStart w:id="1069" w:name="_Toc296346632"/>
      <w:r>
        <w:rPr>
          <w:rFonts w:hint="eastAsia"/>
          <w:sz w:val="21"/>
          <w:szCs w:val="21"/>
          <w:highlight w:val="none"/>
        </w:rPr>
        <w:t>16.2 承包人违约</w:t>
      </w:r>
      <w:bookmarkEnd w:id="1065"/>
      <w:bookmarkEnd w:id="1066"/>
    </w:p>
    <w:bookmarkEnd w:id="1067"/>
    <w:bookmarkEnd w:id="1068"/>
    <w:bookmarkEnd w:id="1069"/>
    <w:p w14:paraId="09EEEF9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16.2.1 承包人违约的情形</w:t>
      </w:r>
    </w:p>
    <w:p w14:paraId="6E6C330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在合同履行过程中发生的下列情形，属于承包人违约：</w:t>
      </w:r>
    </w:p>
    <w:p w14:paraId="4136C76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（1）承包人违反合同约定进行转包或违法分包的；</w:t>
      </w:r>
    </w:p>
    <w:p w14:paraId="0F7B9AD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（2）承包人违反合同约定采购和使用不合格的材料和工程设备的；</w:t>
      </w:r>
    </w:p>
    <w:p w14:paraId="7543A9A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（3）因承包人原因导致工程质量不符合合同要求的； </w:t>
      </w:r>
    </w:p>
    <w:p w14:paraId="02301B9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（4）承包人违反第8.9款〔材料与设备专用要求〕的约定，未经批准，私自将已按照合同约定进入施工现场的材料或设备撤离施工现场的；</w:t>
      </w:r>
    </w:p>
    <w:p w14:paraId="2064D65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（5）承包人未能按施工进度计划及时完成合同约定的工作，造成工期延误的；</w:t>
      </w:r>
    </w:p>
    <w:p w14:paraId="2751722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（6）承包人在缺陷责任期及保修期内，未能在合理期限对工程缺陷进行修复，或拒绝按发包人要求进行修复的；</w:t>
      </w:r>
    </w:p>
    <w:p w14:paraId="78790F2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（7）承包人明确表示或者以其行为表明不履行合同主要义务的；</w:t>
      </w:r>
    </w:p>
    <w:p w14:paraId="0261CFF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（8）承包人未能按照合同约定履行其他义务的。</w:t>
      </w:r>
    </w:p>
    <w:p w14:paraId="4C2C447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承包人发生除本项第（7）目约定以外的其他违约情况时，监理人可向承包人发出整改通知，要求其在指定的期限内改正。</w:t>
      </w:r>
    </w:p>
    <w:p w14:paraId="641E4C6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16.2.2 承包人违约的责任</w:t>
      </w:r>
    </w:p>
    <w:p w14:paraId="7D54898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承包人应承担因其违约行为而增加的费用和（或）延误的工期。此外，合同当事人可在专用合同条款中另行约定承包人违约责任的承担方式和计算方法。</w:t>
      </w:r>
    </w:p>
    <w:p w14:paraId="41D251F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16.2.3 因承包人违约解除合同</w:t>
      </w:r>
    </w:p>
    <w:p w14:paraId="63636C2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74EA93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16.2.4因承包人违约解除合同后的处理</w:t>
      </w:r>
    </w:p>
    <w:p w14:paraId="36BD389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因承包人原因导致合同解除的，则合同当事人应在合同解除后28天内完成估价、付款和清算，并按以下约定执行：</w:t>
      </w:r>
    </w:p>
    <w:p w14:paraId="3C7690B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（1）合同解除后，按第4.4款〔商定或确定〕商定或确定承包人实际完成工作对应的合同价款，以及承包人已提供的材料、工程设备、施工设备和临时工程等的价值；</w:t>
      </w:r>
    </w:p>
    <w:p w14:paraId="05A11F7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（2）合同解除后，承包人应支付的违约金；</w:t>
      </w:r>
    </w:p>
    <w:p w14:paraId="791A232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（3）合同解除后，因解除合同给发包人造成的损失；</w:t>
      </w:r>
    </w:p>
    <w:p w14:paraId="66359E7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（4）合同解除后，承包人应按照发包人要求和监理人的指示完成现场的清理和撤离；</w:t>
      </w:r>
    </w:p>
    <w:p w14:paraId="7B61C25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（5）发包人和承包人应在合同解除后进行清算，出具最终结清付款证书，结清全部款项。</w:t>
      </w:r>
    </w:p>
    <w:p w14:paraId="62ED83D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EF3391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16.2.5采购合同权益转让</w:t>
      </w:r>
    </w:p>
    <w:p w14:paraId="0AAA619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4E42019">
      <w:pPr>
        <w:pStyle w:val="7"/>
        <w:spacing w:before="0" w:beforeAutospacing="0" w:after="0" w:afterAutospacing="0" w:line="360" w:lineRule="auto"/>
        <w:ind w:firstLine="422" w:firstLineChars="200"/>
        <w:rPr>
          <w:sz w:val="21"/>
          <w:szCs w:val="21"/>
          <w:highlight w:val="none"/>
        </w:rPr>
      </w:pPr>
      <w:bookmarkStart w:id="1070" w:name="_Toc351203606"/>
      <w:bookmarkStart w:id="1071" w:name="_Toc532377294"/>
      <w:r>
        <w:rPr>
          <w:rFonts w:hint="eastAsia"/>
          <w:sz w:val="21"/>
          <w:szCs w:val="21"/>
          <w:highlight w:val="none"/>
        </w:rPr>
        <w:t>16.3 第三人造成的违约</w:t>
      </w:r>
      <w:bookmarkEnd w:id="1070"/>
      <w:bookmarkEnd w:id="1071"/>
    </w:p>
    <w:p w14:paraId="5C57BB4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在履行合同过程中，一方当事人因第三人的原因造成违约的，应当向对方当事人承担违约责任。一方当事人和第三人之间的纠纷，依照法律规定或者按照约定解决。</w:t>
      </w:r>
    </w:p>
    <w:p w14:paraId="5BFE4CF8">
      <w:pPr>
        <w:pStyle w:val="6"/>
        <w:keepNext/>
        <w:keepLines/>
        <w:spacing w:before="156" w:beforeLines="50" w:beforeAutospacing="0" w:after="156" w:afterLines="50" w:afterAutospacing="0" w:line="360" w:lineRule="auto"/>
        <w:jc w:val="both"/>
        <w:rPr>
          <w:bCs w:val="0"/>
          <w:kern w:val="2"/>
          <w:sz w:val="21"/>
          <w:szCs w:val="21"/>
          <w:highlight w:val="none"/>
        </w:rPr>
      </w:pPr>
      <w:bookmarkStart w:id="1072" w:name="_Toc337558823"/>
      <w:bookmarkStart w:id="1073" w:name="_Toc296503116"/>
      <w:bookmarkStart w:id="1074" w:name="_Toc296346617"/>
      <w:bookmarkStart w:id="1075" w:name="_Toc532377295"/>
      <w:bookmarkStart w:id="1076" w:name="_Toc351203607"/>
      <w:bookmarkStart w:id="1077" w:name="_Toc532375603"/>
      <w:r>
        <w:rPr>
          <w:rFonts w:hint="eastAsia"/>
          <w:kern w:val="2"/>
          <w:sz w:val="21"/>
          <w:szCs w:val="21"/>
          <w:highlight w:val="none"/>
        </w:rPr>
        <w:t>17. 不可抗力</w:t>
      </w:r>
      <w:bookmarkEnd w:id="1072"/>
      <w:bookmarkEnd w:id="1073"/>
      <w:bookmarkEnd w:id="1074"/>
      <w:bookmarkEnd w:id="1075"/>
      <w:bookmarkEnd w:id="1076"/>
      <w:bookmarkEnd w:id="1077"/>
    </w:p>
    <w:p w14:paraId="542D81A6">
      <w:pPr>
        <w:pStyle w:val="7"/>
        <w:spacing w:before="0" w:beforeAutospacing="0" w:after="0" w:afterAutospacing="0" w:line="360" w:lineRule="auto"/>
        <w:ind w:firstLine="422" w:firstLineChars="200"/>
        <w:rPr>
          <w:sz w:val="21"/>
          <w:szCs w:val="21"/>
          <w:highlight w:val="none"/>
        </w:rPr>
      </w:pPr>
      <w:bookmarkStart w:id="1078" w:name="_Toc351203608"/>
      <w:bookmarkStart w:id="1079" w:name="_Toc532377296"/>
      <w:bookmarkStart w:id="1080" w:name="_Toc337558824"/>
      <w:bookmarkStart w:id="1081" w:name="_Toc296503117"/>
      <w:bookmarkStart w:id="1082" w:name="_Toc296346618"/>
      <w:r>
        <w:rPr>
          <w:rFonts w:hint="eastAsia"/>
          <w:sz w:val="21"/>
          <w:szCs w:val="21"/>
          <w:highlight w:val="none"/>
        </w:rPr>
        <w:t>17.1 不可抗力的确认</w:t>
      </w:r>
      <w:bookmarkEnd w:id="1078"/>
      <w:bookmarkEnd w:id="1079"/>
    </w:p>
    <w:bookmarkEnd w:id="1080"/>
    <w:bookmarkEnd w:id="1081"/>
    <w:bookmarkEnd w:id="1082"/>
    <w:p w14:paraId="24B8BDE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1860E1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EC412FF">
      <w:pPr>
        <w:pStyle w:val="7"/>
        <w:spacing w:before="0" w:beforeAutospacing="0" w:after="0" w:afterAutospacing="0" w:line="360" w:lineRule="auto"/>
        <w:ind w:firstLine="422" w:firstLineChars="200"/>
        <w:rPr>
          <w:sz w:val="21"/>
          <w:szCs w:val="21"/>
          <w:highlight w:val="none"/>
        </w:rPr>
      </w:pPr>
      <w:bookmarkStart w:id="1083" w:name="_Toc532377297"/>
      <w:bookmarkStart w:id="1084" w:name="_Toc351203609"/>
      <w:bookmarkStart w:id="1085" w:name="_Toc296346619"/>
      <w:bookmarkStart w:id="1086" w:name="_Toc337558825"/>
      <w:bookmarkStart w:id="1087" w:name="_Toc296503118"/>
      <w:r>
        <w:rPr>
          <w:rFonts w:hint="eastAsia"/>
          <w:sz w:val="21"/>
          <w:szCs w:val="21"/>
          <w:highlight w:val="none"/>
        </w:rPr>
        <w:t>17.2 不可抗力的通知</w:t>
      </w:r>
      <w:bookmarkEnd w:id="1083"/>
      <w:bookmarkEnd w:id="1084"/>
    </w:p>
    <w:bookmarkEnd w:id="1085"/>
    <w:bookmarkEnd w:id="1086"/>
    <w:bookmarkEnd w:id="1087"/>
    <w:p w14:paraId="4326758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6B2BB46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C237BFA">
      <w:pPr>
        <w:pStyle w:val="7"/>
        <w:spacing w:before="0" w:beforeAutospacing="0" w:after="0" w:afterAutospacing="0" w:line="360" w:lineRule="auto"/>
        <w:ind w:firstLine="422" w:firstLineChars="200"/>
        <w:rPr>
          <w:sz w:val="21"/>
          <w:szCs w:val="21"/>
          <w:highlight w:val="none"/>
        </w:rPr>
      </w:pPr>
      <w:bookmarkStart w:id="1088" w:name="_Toc532377298"/>
      <w:r>
        <w:rPr>
          <w:rFonts w:hint="eastAsia"/>
          <w:sz w:val="21"/>
          <w:szCs w:val="21"/>
          <w:highlight w:val="none"/>
        </w:rPr>
        <w:t>17.3 不可抗力后果的承担</w:t>
      </w:r>
      <w:bookmarkEnd w:id="1088"/>
    </w:p>
    <w:p w14:paraId="48AEF97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17.3.1 不可抗力引起的后果及造成的损失由合同当事人按照法律规定及合同约定各自承担。不可抗力发生前已完成的工程应当按照合同约定进行计量支付。</w:t>
      </w:r>
    </w:p>
    <w:p w14:paraId="67E9BF5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17.3.2 不可抗力导致的人员伤亡、财产损失、费用增加和（或）工期延误等后果，由合同当事人按以下原则承担：</w:t>
      </w:r>
    </w:p>
    <w:p w14:paraId="7D94EDF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（1）永久工程、已运至施工现场的材料和工程设备的损坏，以及因工程损坏造成的第三人人员伤亡和财产损失由发包人承担；</w:t>
      </w:r>
    </w:p>
    <w:p w14:paraId="0B814FE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（2）承包人施工设备的损坏由承包人承担；</w:t>
      </w:r>
    </w:p>
    <w:p w14:paraId="641DFD1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（3）发包人和承包人承担各自人员伤亡和财产的损失；</w:t>
      </w:r>
    </w:p>
    <w:p w14:paraId="634B8C5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807A90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（5）因不可抗力引起或将引起工期延误，发包人要求赶工的，由此增加的赶工费用由发包人承担；</w:t>
      </w:r>
    </w:p>
    <w:p w14:paraId="0016C91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（6）承包人在停工期间按照发包人要求照管、清理和修复工程的费用由发包人承担。</w:t>
      </w:r>
    </w:p>
    <w:p w14:paraId="09524E5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不可抗力发生后，合同当事人均应采取措施尽量避免和减少损失的扩大，任何一方当事人没有采取有效措施导致损失扩大的，应对扩大的损失承担责任。</w:t>
      </w:r>
    </w:p>
    <w:p w14:paraId="40BB01D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因合同一方迟延履行合同义务，在迟延履行期间遭遇不可抗力的，不免除其违约责任。</w:t>
      </w:r>
    </w:p>
    <w:p w14:paraId="4E4B5858">
      <w:pPr>
        <w:pStyle w:val="7"/>
        <w:spacing w:before="0" w:beforeAutospacing="0" w:after="0" w:afterAutospacing="0" w:line="360" w:lineRule="auto"/>
        <w:ind w:firstLine="422" w:firstLineChars="200"/>
        <w:rPr>
          <w:sz w:val="21"/>
          <w:szCs w:val="21"/>
          <w:highlight w:val="none"/>
        </w:rPr>
      </w:pPr>
      <w:bookmarkStart w:id="1089" w:name="_Toc532377299"/>
      <w:bookmarkStart w:id="1090" w:name="_Toc351203611"/>
      <w:bookmarkStart w:id="1091" w:name="_Toc337558827"/>
      <w:r>
        <w:rPr>
          <w:rFonts w:hint="eastAsia"/>
          <w:sz w:val="21"/>
          <w:szCs w:val="21"/>
          <w:highlight w:val="none"/>
        </w:rPr>
        <w:t>17.4 因不可抗力解除合同</w:t>
      </w:r>
      <w:bookmarkEnd w:id="1089"/>
      <w:bookmarkEnd w:id="1090"/>
    </w:p>
    <w:bookmarkEnd w:id="1091"/>
    <w:p w14:paraId="45058FF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2E1221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（1）合同解除前承包人已完成工作的价款；</w:t>
      </w:r>
    </w:p>
    <w:p w14:paraId="21B86D0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（2）承包人为工程订购的并已交付给承包人，或承包人有责任接受交付的材料、工程设备和其他物品的价款；</w:t>
      </w:r>
    </w:p>
    <w:p w14:paraId="7E23370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（3）发包人要求承包人退货或解除订货合同而产生的费用，或因不能退货或解除合同而产生的损失；</w:t>
      </w:r>
    </w:p>
    <w:p w14:paraId="3FF06C3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（4）承包人撤离施工现场以及遣散承包人人员的费用；</w:t>
      </w:r>
    </w:p>
    <w:p w14:paraId="5E8E6D8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（5）按照合同约定在合同解除前应支付给承包人的其他款项；</w:t>
      </w:r>
    </w:p>
    <w:p w14:paraId="22E1D06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（6）扣减承包人按照合同约定应向发包人支付的款项；</w:t>
      </w:r>
    </w:p>
    <w:p w14:paraId="57BA98F7">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（7）双方商定或确定的其他款项。</w:t>
      </w:r>
    </w:p>
    <w:p w14:paraId="6A2C217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除专用合同条款另有约定外，合同解除后，发包人应在商定或确定上述款项后28天内完成上述款项的支付。</w:t>
      </w:r>
    </w:p>
    <w:p w14:paraId="592FE3F0">
      <w:pPr>
        <w:pStyle w:val="6"/>
        <w:keepNext/>
        <w:keepLines/>
        <w:spacing w:before="156" w:beforeLines="50" w:beforeAutospacing="0" w:after="156" w:afterLines="50" w:afterAutospacing="0" w:line="360" w:lineRule="auto"/>
        <w:jc w:val="both"/>
        <w:rPr>
          <w:bCs w:val="0"/>
          <w:kern w:val="2"/>
          <w:sz w:val="21"/>
          <w:szCs w:val="21"/>
          <w:highlight w:val="none"/>
        </w:rPr>
      </w:pPr>
      <w:bookmarkStart w:id="1092" w:name="_Toc351203612"/>
      <w:bookmarkStart w:id="1093" w:name="_Toc532377300"/>
      <w:bookmarkStart w:id="1094" w:name="_Toc532375604"/>
      <w:bookmarkStart w:id="1095" w:name="_Toc296346621"/>
      <w:bookmarkStart w:id="1096" w:name="_Toc337558828"/>
      <w:bookmarkStart w:id="1097" w:name="_Toc296503120"/>
      <w:r>
        <w:rPr>
          <w:rFonts w:hint="eastAsia"/>
          <w:kern w:val="2"/>
          <w:sz w:val="21"/>
          <w:szCs w:val="21"/>
          <w:highlight w:val="none"/>
        </w:rPr>
        <w:t>18. 保险</w:t>
      </w:r>
      <w:bookmarkEnd w:id="1092"/>
      <w:bookmarkEnd w:id="1093"/>
      <w:bookmarkEnd w:id="1094"/>
    </w:p>
    <w:bookmarkEnd w:id="1095"/>
    <w:bookmarkEnd w:id="1096"/>
    <w:bookmarkEnd w:id="1097"/>
    <w:p w14:paraId="1A1C00E7">
      <w:pPr>
        <w:pStyle w:val="7"/>
        <w:spacing w:before="0" w:beforeAutospacing="0" w:after="0" w:afterAutospacing="0" w:line="360" w:lineRule="auto"/>
        <w:ind w:firstLine="422" w:firstLineChars="200"/>
        <w:rPr>
          <w:sz w:val="21"/>
          <w:szCs w:val="21"/>
          <w:highlight w:val="none"/>
        </w:rPr>
      </w:pPr>
      <w:bookmarkStart w:id="1098" w:name="_Toc532377301"/>
      <w:bookmarkStart w:id="1099" w:name="_Toc351203613"/>
      <w:bookmarkStart w:id="1100" w:name="_Toc337558829"/>
      <w:bookmarkStart w:id="1101" w:name="_Toc296503121"/>
      <w:bookmarkStart w:id="1102" w:name="_Toc296346622"/>
      <w:r>
        <w:rPr>
          <w:rFonts w:hint="eastAsia"/>
          <w:sz w:val="21"/>
          <w:szCs w:val="21"/>
          <w:highlight w:val="none"/>
        </w:rPr>
        <w:t>18.1 工程保险</w:t>
      </w:r>
      <w:bookmarkEnd w:id="1098"/>
      <w:bookmarkEnd w:id="1099"/>
    </w:p>
    <w:bookmarkEnd w:id="1100"/>
    <w:bookmarkEnd w:id="1101"/>
    <w:bookmarkEnd w:id="1102"/>
    <w:p w14:paraId="5E3F7A4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除专用合同条款另有约定外，发包人应投保建筑工程一切险或安装工程一切险；发包人委托承包人投保的，因投保产生的保险费和其他相关费用由发包人承担。</w:t>
      </w:r>
    </w:p>
    <w:p w14:paraId="204F51E6">
      <w:pPr>
        <w:pStyle w:val="7"/>
        <w:spacing w:before="0" w:beforeAutospacing="0" w:after="0" w:afterAutospacing="0" w:line="360" w:lineRule="auto"/>
        <w:ind w:firstLine="422" w:firstLineChars="200"/>
        <w:rPr>
          <w:sz w:val="21"/>
          <w:szCs w:val="21"/>
          <w:highlight w:val="none"/>
        </w:rPr>
      </w:pPr>
      <w:bookmarkStart w:id="1103" w:name="_Toc532377302"/>
      <w:bookmarkStart w:id="1104" w:name="_Toc351203614"/>
      <w:bookmarkStart w:id="1105" w:name="_Toc296346623"/>
      <w:bookmarkStart w:id="1106" w:name="_Toc296503122"/>
      <w:bookmarkStart w:id="1107" w:name="_Toc337558830"/>
      <w:r>
        <w:rPr>
          <w:rFonts w:hint="eastAsia"/>
          <w:sz w:val="21"/>
          <w:szCs w:val="21"/>
          <w:highlight w:val="none"/>
        </w:rPr>
        <w:t>18.2 工伤保险</w:t>
      </w:r>
      <w:bookmarkEnd w:id="1103"/>
      <w:bookmarkEnd w:id="1104"/>
    </w:p>
    <w:bookmarkEnd w:id="1105"/>
    <w:bookmarkEnd w:id="1106"/>
    <w:bookmarkEnd w:id="1107"/>
    <w:p w14:paraId="2D798D6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6B22837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07F91116">
      <w:pPr>
        <w:pStyle w:val="7"/>
        <w:spacing w:before="0" w:beforeAutospacing="0" w:after="0" w:afterAutospacing="0" w:line="360" w:lineRule="auto"/>
        <w:ind w:firstLine="422" w:firstLineChars="200"/>
        <w:rPr>
          <w:sz w:val="21"/>
          <w:szCs w:val="21"/>
          <w:highlight w:val="none"/>
        </w:rPr>
      </w:pPr>
      <w:bookmarkStart w:id="1108" w:name="_Toc351203615"/>
      <w:bookmarkStart w:id="1109" w:name="_Toc532377303"/>
      <w:bookmarkStart w:id="1110" w:name="_Toc296503125"/>
      <w:bookmarkStart w:id="1111" w:name="_Toc337558831"/>
      <w:bookmarkStart w:id="1112" w:name="_Toc296346626"/>
      <w:r>
        <w:rPr>
          <w:rFonts w:hint="eastAsia"/>
          <w:sz w:val="21"/>
          <w:szCs w:val="21"/>
          <w:highlight w:val="none"/>
        </w:rPr>
        <w:t>18.3其他保险</w:t>
      </w:r>
      <w:bookmarkEnd w:id="1108"/>
      <w:bookmarkEnd w:id="1109"/>
    </w:p>
    <w:bookmarkEnd w:id="1110"/>
    <w:bookmarkEnd w:id="1111"/>
    <w:bookmarkEnd w:id="1112"/>
    <w:p w14:paraId="3086164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BF5021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除专用合同条款另有约定外，承包人应为其施工设备等办理财产保险。</w:t>
      </w:r>
    </w:p>
    <w:p w14:paraId="4F03D435">
      <w:pPr>
        <w:pStyle w:val="7"/>
        <w:spacing w:before="0" w:beforeAutospacing="0" w:after="0" w:afterAutospacing="0" w:line="360" w:lineRule="auto"/>
        <w:ind w:firstLine="422" w:firstLineChars="200"/>
        <w:rPr>
          <w:sz w:val="21"/>
          <w:szCs w:val="21"/>
          <w:highlight w:val="none"/>
        </w:rPr>
      </w:pPr>
      <w:bookmarkStart w:id="1113" w:name="_Toc532377304"/>
      <w:bookmarkStart w:id="1114" w:name="_Toc351203616"/>
      <w:r>
        <w:rPr>
          <w:rFonts w:hint="eastAsia"/>
          <w:sz w:val="21"/>
          <w:szCs w:val="21"/>
          <w:highlight w:val="none"/>
        </w:rPr>
        <w:t>18.4持续保险</w:t>
      </w:r>
      <w:bookmarkEnd w:id="1113"/>
      <w:bookmarkEnd w:id="1114"/>
    </w:p>
    <w:p w14:paraId="711FC5D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合同当事人应与保险人保持联系，使保险人能够随时了解工程实施中的变动，并确保按保险合同条款要求持续保险。</w:t>
      </w:r>
    </w:p>
    <w:p w14:paraId="6A7DADA0">
      <w:pPr>
        <w:pStyle w:val="7"/>
        <w:spacing w:before="0" w:beforeAutospacing="0" w:after="0" w:afterAutospacing="0" w:line="360" w:lineRule="auto"/>
        <w:ind w:firstLine="422" w:firstLineChars="200"/>
        <w:rPr>
          <w:sz w:val="21"/>
          <w:szCs w:val="21"/>
          <w:highlight w:val="none"/>
        </w:rPr>
      </w:pPr>
      <w:bookmarkStart w:id="1115" w:name="_Toc351203617"/>
      <w:bookmarkStart w:id="1116" w:name="_Toc532377305"/>
      <w:bookmarkStart w:id="1117" w:name="_Toc337558832"/>
      <w:bookmarkStart w:id="1118" w:name="_Toc296503126"/>
      <w:bookmarkStart w:id="1119" w:name="_Toc296346627"/>
      <w:r>
        <w:rPr>
          <w:rFonts w:hint="eastAsia"/>
          <w:sz w:val="21"/>
          <w:szCs w:val="21"/>
          <w:highlight w:val="none"/>
        </w:rPr>
        <w:t>18.5 保险凭证</w:t>
      </w:r>
      <w:bookmarkEnd w:id="1115"/>
      <w:bookmarkEnd w:id="1116"/>
    </w:p>
    <w:bookmarkEnd w:id="1117"/>
    <w:bookmarkEnd w:id="1118"/>
    <w:bookmarkEnd w:id="1119"/>
    <w:p w14:paraId="7E83BF4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合同当事人应及时向另一方当事人提交其已投保的各项保险的凭证和保险单复印件。</w:t>
      </w:r>
    </w:p>
    <w:p w14:paraId="0E15E628">
      <w:pPr>
        <w:pStyle w:val="7"/>
        <w:spacing w:before="0" w:beforeAutospacing="0" w:after="0" w:afterAutospacing="0" w:line="360" w:lineRule="auto"/>
        <w:ind w:firstLine="422" w:firstLineChars="200"/>
        <w:rPr>
          <w:sz w:val="21"/>
          <w:szCs w:val="21"/>
          <w:highlight w:val="none"/>
        </w:rPr>
      </w:pPr>
      <w:bookmarkStart w:id="1120" w:name="_Toc532377306"/>
      <w:bookmarkStart w:id="1121" w:name="_Toc351203618"/>
      <w:bookmarkStart w:id="1122" w:name="_Toc296346628"/>
      <w:bookmarkStart w:id="1123" w:name="_Toc296503127"/>
      <w:bookmarkStart w:id="1124" w:name="_Toc337558833"/>
      <w:r>
        <w:rPr>
          <w:rFonts w:hint="eastAsia"/>
          <w:sz w:val="21"/>
          <w:szCs w:val="21"/>
          <w:highlight w:val="none"/>
        </w:rPr>
        <w:t>18.6 未按约定投保的补救</w:t>
      </w:r>
      <w:bookmarkEnd w:id="1120"/>
      <w:bookmarkEnd w:id="1121"/>
    </w:p>
    <w:bookmarkEnd w:id="1122"/>
    <w:bookmarkEnd w:id="1123"/>
    <w:bookmarkEnd w:id="1124"/>
    <w:p w14:paraId="7BB3C12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3936F58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110EF690">
      <w:pPr>
        <w:pStyle w:val="7"/>
        <w:spacing w:before="0" w:beforeAutospacing="0" w:after="0" w:afterAutospacing="0" w:line="360" w:lineRule="auto"/>
        <w:ind w:firstLine="422" w:firstLineChars="200"/>
        <w:rPr>
          <w:sz w:val="21"/>
          <w:szCs w:val="21"/>
          <w:highlight w:val="none"/>
        </w:rPr>
      </w:pPr>
      <w:bookmarkStart w:id="1125" w:name="_Toc532377307"/>
      <w:bookmarkStart w:id="1126" w:name="_Toc351203619"/>
      <w:bookmarkStart w:id="1127" w:name="_Toc337558834"/>
      <w:r>
        <w:rPr>
          <w:rFonts w:hint="eastAsia"/>
          <w:sz w:val="21"/>
          <w:szCs w:val="21"/>
          <w:highlight w:val="none"/>
        </w:rPr>
        <w:t>18.7 通知义务</w:t>
      </w:r>
      <w:bookmarkEnd w:id="1125"/>
      <w:bookmarkEnd w:id="1126"/>
    </w:p>
    <w:bookmarkEnd w:id="1127"/>
    <w:p w14:paraId="30376B2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2491FE3">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保险事故发生时，投保人应按照保险合同规定的条件和期限及时向保险人报告。发包人和承包人应当在知道保险事故发生后及时通知对方。</w:t>
      </w:r>
    </w:p>
    <w:p w14:paraId="24237140">
      <w:pPr>
        <w:pStyle w:val="6"/>
        <w:keepNext/>
        <w:keepLines/>
        <w:spacing w:before="156" w:beforeLines="50" w:beforeAutospacing="0" w:after="156" w:afterLines="50" w:afterAutospacing="0" w:line="360" w:lineRule="auto"/>
        <w:jc w:val="both"/>
        <w:rPr>
          <w:bCs w:val="0"/>
          <w:kern w:val="2"/>
          <w:sz w:val="21"/>
          <w:szCs w:val="21"/>
          <w:highlight w:val="none"/>
        </w:rPr>
      </w:pPr>
      <w:bookmarkStart w:id="1128" w:name="_Toc532377308"/>
      <w:bookmarkStart w:id="1129" w:name="_Toc532375605"/>
      <w:r>
        <w:rPr>
          <w:rFonts w:hint="eastAsia"/>
          <w:kern w:val="2"/>
          <w:sz w:val="21"/>
          <w:szCs w:val="21"/>
          <w:highlight w:val="none"/>
        </w:rPr>
        <w:t>19. 索赔</w:t>
      </w:r>
      <w:bookmarkEnd w:id="1128"/>
      <w:bookmarkEnd w:id="1129"/>
    </w:p>
    <w:p w14:paraId="1068A0D3">
      <w:pPr>
        <w:pStyle w:val="7"/>
        <w:spacing w:before="0" w:beforeAutospacing="0" w:after="0" w:afterAutospacing="0" w:line="360" w:lineRule="auto"/>
        <w:ind w:firstLine="422" w:firstLineChars="200"/>
        <w:rPr>
          <w:sz w:val="21"/>
          <w:szCs w:val="21"/>
          <w:highlight w:val="none"/>
        </w:rPr>
      </w:pPr>
      <w:bookmarkStart w:id="1130" w:name="_Toc532377309"/>
      <w:r>
        <w:rPr>
          <w:rFonts w:hint="eastAsia"/>
          <w:sz w:val="21"/>
          <w:szCs w:val="21"/>
          <w:highlight w:val="none"/>
        </w:rPr>
        <w:t>19.1承包人的索赔</w:t>
      </w:r>
      <w:bookmarkEnd w:id="1130"/>
    </w:p>
    <w:p w14:paraId="052EE0CD">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根据合同约定，承包人认为有权得到追加付款和（或）延长工期的，应按以下程序向发包人提出索赔：</w:t>
      </w:r>
    </w:p>
    <w:p w14:paraId="3184E98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5B19C4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3054208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（3）索赔事件具有持续影响的，承包人应按合理时间间隔继续递交延续索赔通知，说明持续影响的实际情况和记录，列出累计的追加付款金额和（或）工期延长天数；</w:t>
      </w:r>
    </w:p>
    <w:p w14:paraId="0AA3E88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（4）在索赔事件影响结束后28天内，承包人应向监理人递交最终索赔报告，说明最终要求索赔的追加付款金额和（或）延长的工期，并附必要的记录和证明材料。</w:t>
      </w:r>
    </w:p>
    <w:p w14:paraId="56D7AE79">
      <w:pPr>
        <w:pStyle w:val="7"/>
        <w:spacing w:before="0" w:beforeAutospacing="0" w:after="0" w:afterAutospacing="0" w:line="360" w:lineRule="auto"/>
        <w:ind w:firstLine="422" w:firstLineChars="200"/>
        <w:rPr>
          <w:sz w:val="21"/>
          <w:szCs w:val="21"/>
          <w:highlight w:val="none"/>
        </w:rPr>
      </w:pPr>
      <w:bookmarkStart w:id="1131" w:name="_Toc532377310"/>
      <w:bookmarkStart w:id="1132" w:name="_Toc351203622"/>
      <w:bookmarkStart w:id="1133" w:name="_Toc296503142"/>
      <w:bookmarkStart w:id="1134" w:name="_Toc337558837"/>
      <w:bookmarkStart w:id="1135" w:name="_Toc296346643"/>
      <w:r>
        <w:rPr>
          <w:rFonts w:hint="eastAsia"/>
          <w:sz w:val="21"/>
          <w:szCs w:val="21"/>
          <w:highlight w:val="none"/>
        </w:rPr>
        <w:t>19.2 对承包人索赔的处理</w:t>
      </w:r>
      <w:bookmarkEnd w:id="1131"/>
      <w:bookmarkEnd w:id="1132"/>
    </w:p>
    <w:bookmarkEnd w:id="1133"/>
    <w:bookmarkEnd w:id="1134"/>
    <w:bookmarkEnd w:id="1135"/>
    <w:p w14:paraId="38E20471">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对承包人索赔的处理如下：</w:t>
      </w:r>
    </w:p>
    <w:p w14:paraId="296A3BC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（1）监理人应在收到索赔报告后14天内完成审查并报送发包人。监理人对索赔报告存在异议的，有权要求承包人提交全部原始记录副本；</w:t>
      </w:r>
    </w:p>
    <w:p w14:paraId="5F75E7D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07A221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（3）承包人接受索赔处理结果的，索赔款项在当期进度款中进行支付；承包人不接受索赔处理结果的，按照第20条〔争议解决〕约定处理。</w:t>
      </w:r>
    </w:p>
    <w:p w14:paraId="703BDF11">
      <w:pPr>
        <w:pStyle w:val="7"/>
        <w:spacing w:before="0" w:beforeAutospacing="0" w:after="0" w:afterAutospacing="0" w:line="360" w:lineRule="auto"/>
        <w:ind w:firstLine="422" w:firstLineChars="200"/>
        <w:rPr>
          <w:sz w:val="21"/>
          <w:szCs w:val="21"/>
          <w:highlight w:val="none"/>
        </w:rPr>
      </w:pPr>
      <w:bookmarkStart w:id="1136" w:name="_Toc532377311"/>
      <w:bookmarkStart w:id="1137" w:name="_Toc351203623"/>
      <w:bookmarkStart w:id="1138" w:name="_Toc296503143"/>
      <w:bookmarkStart w:id="1139" w:name="_Toc337558838"/>
      <w:bookmarkStart w:id="1140" w:name="_Toc296346644"/>
      <w:r>
        <w:rPr>
          <w:rFonts w:hint="eastAsia"/>
          <w:sz w:val="21"/>
          <w:szCs w:val="21"/>
          <w:highlight w:val="none"/>
        </w:rPr>
        <w:t>19.3发包人的索赔</w:t>
      </w:r>
      <w:bookmarkEnd w:id="1136"/>
      <w:bookmarkEnd w:id="1137"/>
    </w:p>
    <w:bookmarkEnd w:id="1138"/>
    <w:bookmarkEnd w:id="1139"/>
    <w:bookmarkEnd w:id="1140"/>
    <w:p w14:paraId="5FF9089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根据合同约定，发包人认为有权得到赔付金额和（或）延长缺陷责任期的，监理人应向承包人发出通知并附有详细的证明。</w:t>
      </w:r>
    </w:p>
    <w:p w14:paraId="5CF19E2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C54A730">
      <w:pPr>
        <w:pStyle w:val="7"/>
        <w:spacing w:before="0" w:beforeAutospacing="0" w:after="0" w:afterAutospacing="0" w:line="360" w:lineRule="auto"/>
        <w:ind w:firstLine="422" w:firstLineChars="200"/>
        <w:rPr>
          <w:sz w:val="21"/>
          <w:szCs w:val="21"/>
          <w:highlight w:val="none"/>
        </w:rPr>
      </w:pPr>
      <w:bookmarkStart w:id="1141" w:name="_Toc351203624"/>
      <w:bookmarkStart w:id="1142" w:name="_Toc532377312"/>
      <w:bookmarkStart w:id="1143" w:name="_Toc337558839"/>
      <w:bookmarkStart w:id="1144" w:name="_Toc296503144"/>
      <w:bookmarkStart w:id="1145" w:name="_Toc296346645"/>
      <w:r>
        <w:rPr>
          <w:rFonts w:hint="eastAsia"/>
          <w:sz w:val="21"/>
          <w:szCs w:val="21"/>
          <w:highlight w:val="none"/>
        </w:rPr>
        <w:t>19.4 对发包人索赔的处理</w:t>
      </w:r>
      <w:bookmarkEnd w:id="1141"/>
      <w:bookmarkEnd w:id="1142"/>
    </w:p>
    <w:bookmarkEnd w:id="1143"/>
    <w:bookmarkEnd w:id="1144"/>
    <w:bookmarkEnd w:id="1145"/>
    <w:p w14:paraId="1F3A545A">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对发包人索赔的处理如下：</w:t>
      </w:r>
    </w:p>
    <w:p w14:paraId="12A07A2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（1）承包人收到发包人提交的索赔报告后，应及时审查索赔报告的内容、查验发包人证明材料；</w:t>
      </w:r>
    </w:p>
    <w:p w14:paraId="6A8C0BB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0788B75C">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147626C6">
      <w:pPr>
        <w:pStyle w:val="7"/>
        <w:spacing w:before="0" w:beforeAutospacing="0" w:after="0" w:afterAutospacing="0" w:line="360" w:lineRule="auto"/>
        <w:ind w:firstLine="420" w:firstLineChars="200"/>
        <w:rPr>
          <w:b w:val="0"/>
          <w:sz w:val="21"/>
          <w:szCs w:val="21"/>
          <w:highlight w:val="none"/>
        </w:rPr>
      </w:pPr>
      <w:bookmarkStart w:id="1146" w:name="_Toc532377313"/>
      <w:bookmarkStart w:id="1147" w:name="_Toc351203625"/>
      <w:r>
        <w:rPr>
          <w:rFonts w:hint="eastAsia"/>
          <w:b w:val="0"/>
          <w:sz w:val="21"/>
          <w:szCs w:val="21"/>
          <w:highlight w:val="none"/>
        </w:rPr>
        <w:t>19.5 提出索赔的期限</w:t>
      </w:r>
      <w:bookmarkEnd w:id="1146"/>
      <w:bookmarkEnd w:id="1147"/>
    </w:p>
    <w:p w14:paraId="342E32C0">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（1）承包人按第14.2款〔竣工结算审核〕约定接收竣工付款证书后，应被视为已无权再提出在工程接收证书颁发前所发生的任何索赔。</w:t>
      </w:r>
    </w:p>
    <w:p w14:paraId="78E9EBA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（2）承包人按第14.4款〔最终结清〕提交的最终结清申请单中，只限于提出工程接收证书颁发后发生的索赔。提出索赔的期限自接受最终结清证书时终止。</w:t>
      </w:r>
    </w:p>
    <w:p w14:paraId="7BFE5DD3">
      <w:pPr>
        <w:pStyle w:val="6"/>
        <w:keepNext/>
        <w:keepLines/>
        <w:spacing w:before="156" w:beforeLines="50" w:beforeAutospacing="0" w:after="156" w:afterLines="50" w:afterAutospacing="0" w:line="360" w:lineRule="auto"/>
        <w:jc w:val="both"/>
        <w:rPr>
          <w:bCs w:val="0"/>
          <w:kern w:val="2"/>
          <w:sz w:val="21"/>
          <w:szCs w:val="21"/>
          <w:highlight w:val="none"/>
        </w:rPr>
      </w:pPr>
      <w:bookmarkStart w:id="1148" w:name="_Toc351203626"/>
      <w:bookmarkStart w:id="1149" w:name="_Toc532375606"/>
      <w:bookmarkStart w:id="1150" w:name="_Toc532377314"/>
      <w:r>
        <w:rPr>
          <w:rFonts w:hint="eastAsia"/>
          <w:kern w:val="2"/>
          <w:sz w:val="21"/>
          <w:szCs w:val="21"/>
          <w:highlight w:val="none"/>
        </w:rPr>
        <w:t>20</w:t>
      </w:r>
      <w:bookmarkStart w:id="1151" w:name="_Toc296346647"/>
      <w:bookmarkStart w:id="1152" w:name="_Toc337558840"/>
      <w:bookmarkStart w:id="1153" w:name="_Toc296503146"/>
      <w:r>
        <w:rPr>
          <w:rFonts w:hint="eastAsia"/>
          <w:kern w:val="2"/>
          <w:sz w:val="21"/>
          <w:szCs w:val="21"/>
          <w:highlight w:val="none"/>
        </w:rPr>
        <w:t>. 争议解决</w:t>
      </w:r>
      <w:bookmarkEnd w:id="1148"/>
      <w:bookmarkEnd w:id="1149"/>
      <w:bookmarkEnd w:id="1150"/>
    </w:p>
    <w:bookmarkEnd w:id="1151"/>
    <w:bookmarkEnd w:id="1152"/>
    <w:bookmarkEnd w:id="1153"/>
    <w:p w14:paraId="402A4C6D">
      <w:pPr>
        <w:pStyle w:val="7"/>
        <w:spacing w:before="0" w:beforeAutospacing="0" w:after="0" w:afterAutospacing="0" w:line="360" w:lineRule="auto"/>
        <w:ind w:firstLine="422" w:firstLineChars="200"/>
        <w:rPr>
          <w:sz w:val="21"/>
          <w:szCs w:val="21"/>
          <w:highlight w:val="none"/>
        </w:rPr>
      </w:pPr>
      <w:bookmarkStart w:id="1154" w:name="_Toc351203627"/>
      <w:bookmarkStart w:id="1155" w:name="_Toc532377315"/>
      <w:bookmarkStart w:id="1156" w:name="_Toc337558841"/>
      <w:bookmarkStart w:id="1157" w:name="_Toc296346648"/>
      <w:bookmarkStart w:id="1158" w:name="_Toc296503147"/>
      <w:r>
        <w:rPr>
          <w:rFonts w:hint="eastAsia"/>
          <w:sz w:val="21"/>
          <w:szCs w:val="21"/>
          <w:highlight w:val="none"/>
        </w:rPr>
        <w:t>20.1和解</w:t>
      </w:r>
      <w:bookmarkEnd w:id="1154"/>
      <w:bookmarkEnd w:id="1155"/>
    </w:p>
    <w:bookmarkEnd w:id="1156"/>
    <w:bookmarkEnd w:id="1157"/>
    <w:bookmarkEnd w:id="1158"/>
    <w:p w14:paraId="1C7B337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合同当事人可以就争议自行和解，自行和解达成协议的经双方签名并盖章后作为合同补充文件，双方均应遵照执行。</w:t>
      </w:r>
    </w:p>
    <w:p w14:paraId="1C90B86D">
      <w:pPr>
        <w:pStyle w:val="7"/>
        <w:spacing w:before="0" w:beforeAutospacing="0" w:after="0" w:afterAutospacing="0" w:line="360" w:lineRule="auto"/>
        <w:ind w:firstLine="422" w:firstLineChars="200"/>
        <w:rPr>
          <w:sz w:val="21"/>
          <w:szCs w:val="21"/>
          <w:highlight w:val="none"/>
        </w:rPr>
      </w:pPr>
      <w:bookmarkStart w:id="1159" w:name="_Toc532377316"/>
      <w:bookmarkStart w:id="1160" w:name="_Toc351203628"/>
      <w:r>
        <w:rPr>
          <w:rFonts w:hint="eastAsia"/>
          <w:sz w:val="21"/>
          <w:szCs w:val="21"/>
          <w:highlight w:val="none"/>
        </w:rPr>
        <w:t>20</w:t>
      </w:r>
      <w:bookmarkStart w:id="1161" w:name="_Toc296346649"/>
      <w:bookmarkStart w:id="1162" w:name="_Toc296503148"/>
      <w:bookmarkStart w:id="1163" w:name="_Toc337558842"/>
      <w:r>
        <w:rPr>
          <w:rFonts w:hint="eastAsia"/>
          <w:sz w:val="21"/>
          <w:szCs w:val="21"/>
          <w:highlight w:val="none"/>
        </w:rPr>
        <w:t>.2调解</w:t>
      </w:r>
      <w:bookmarkEnd w:id="1159"/>
      <w:bookmarkEnd w:id="1160"/>
    </w:p>
    <w:bookmarkEnd w:id="1161"/>
    <w:bookmarkEnd w:id="1162"/>
    <w:bookmarkEnd w:id="1163"/>
    <w:p w14:paraId="4F31D40E">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合同当事人可以就争议请求建设行政主管部门、行业协会或其他第三方进行调解，调解达成协议的，经双方签名并盖章后作为合同补充文件，双方均应遵照执行。</w:t>
      </w:r>
    </w:p>
    <w:p w14:paraId="0C915FA6">
      <w:pPr>
        <w:pStyle w:val="7"/>
        <w:spacing w:before="0" w:beforeAutospacing="0" w:after="0" w:afterAutospacing="0" w:line="360" w:lineRule="auto"/>
        <w:ind w:firstLine="422" w:firstLineChars="200"/>
        <w:rPr>
          <w:sz w:val="21"/>
          <w:szCs w:val="21"/>
          <w:highlight w:val="none"/>
        </w:rPr>
      </w:pPr>
      <w:bookmarkStart w:id="1164" w:name="_Toc351203629"/>
      <w:bookmarkStart w:id="1165" w:name="_Toc532377317"/>
      <w:bookmarkStart w:id="1166" w:name="_Toc337558843"/>
      <w:bookmarkStart w:id="1167" w:name="_Toc296346650"/>
      <w:bookmarkStart w:id="1168" w:name="_Toc296503149"/>
      <w:r>
        <w:rPr>
          <w:rFonts w:hint="eastAsia"/>
          <w:sz w:val="21"/>
          <w:szCs w:val="21"/>
          <w:highlight w:val="none"/>
        </w:rPr>
        <w:t>20.3争议评审</w:t>
      </w:r>
      <w:bookmarkEnd w:id="1164"/>
      <w:bookmarkEnd w:id="1165"/>
    </w:p>
    <w:bookmarkEnd w:id="1166"/>
    <w:bookmarkEnd w:id="1167"/>
    <w:bookmarkEnd w:id="1168"/>
    <w:p w14:paraId="647C6B6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合同当事人在专用合同条款中约定采取争议评审方式解决争议以及评审规则，并按下列约定执行： </w:t>
      </w:r>
    </w:p>
    <w:p w14:paraId="4DC1451B">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20.3.1 争议评审小组的确定</w:t>
      </w:r>
    </w:p>
    <w:p w14:paraId="4975AC68">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6516278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5446815">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除专用合同条款另有约定外，评审员报酬由发包人和承包人各承担一半。</w:t>
      </w:r>
    </w:p>
    <w:p w14:paraId="54B34C9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20.3.2 争议评审小组的决定</w:t>
      </w:r>
    </w:p>
    <w:p w14:paraId="193F32B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533AB9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20.3.3 争议评审小组决定的效力</w:t>
      </w:r>
    </w:p>
    <w:p w14:paraId="71708942">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争议评审小组作出的书面决定经合同当事人签名确认后，对双方具有约束力，双方应遵照执行。</w:t>
      </w:r>
    </w:p>
    <w:p w14:paraId="2CAB0FEF">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任何一方当事人不接受争议评审小组决定或不履行争议评审小组决定的，双方可选择采用其他争议解决方式。</w:t>
      </w:r>
    </w:p>
    <w:p w14:paraId="499B3147">
      <w:pPr>
        <w:pStyle w:val="7"/>
        <w:spacing w:before="0" w:beforeAutospacing="0" w:after="0" w:afterAutospacing="0" w:line="360" w:lineRule="auto"/>
        <w:ind w:firstLine="422" w:firstLineChars="200"/>
        <w:rPr>
          <w:sz w:val="21"/>
          <w:szCs w:val="21"/>
          <w:highlight w:val="none"/>
        </w:rPr>
      </w:pPr>
      <w:bookmarkStart w:id="1169" w:name="_Toc351203630"/>
      <w:bookmarkStart w:id="1170" w:name="_Toc532377318"/>
      <w:bookmarkStart w:id="1171" w:name="_Toc296346651"/>
      <w:bookmarkStart w:id="1172" w:name="_Toc337558844"/>
      <w:bookmarkStart w:id="1173" w:name="_Toc296503150"/>
      <w:r>
        <w:rPr>
          <w:rFonts w:hint="eastAsia"/>
          <w:sz w:val="21"/>
          <w:szCs w:val="21"/>
          <w:highlight w:val="none"/>
        </w:rPr>
        <w:t>20.4仲裁或诉讼</w:t>
      </w:r>
      <w:bookmarkEnd w:id="1169"/>
      <w:bookmarkEnd w:id="1170"/>
    </w:p>
    <w:bookmarkEnd w:id="1171"/>
    <w:bookmarkEnd w:id="1172"/>
    <w:bookmarkEnd w:id="1173"/>
    <w:p w14:paraId="64E1BF86">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因合同及合同有关事项产生的争议，合同当事人可以在专用合同条款中约定以下一种方式解决争议：</w:t>
      </w:r>
    </w:p>
    <w:p w14:paraId="6E1C9E49">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（1）向约定的仲裁委员会申请仲裁；</w:t>
      </w:r>
    </w:p>
    <w:p w14:paraId="0078DD54">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（2）向有管辖权的人民法院起诉。</w:t>
      </w:r>
    </w:p>
    <w:p w14:paraId="1A134D9E">
      <w:pPr>
        <w:pStyle w:val="7"/>
        <w:spacing w:before="0" w:beforeAutospacing="0" w:after="0" w:afterAutospacing="0" w:line="360" w:lineRule="auto"/>
        <w:ind w:firstLine="420" w:firstLineChars="200"/>
        <w:rPr>
          <w:b w:val="0"/>
          <w:sz w:val="21"/>
          <w:szCs w:val="21"/>
          <w:highlight w:val="none"/>
        </w:rPr>
      </w:pPr>
      <w:bookmarkStart w:id="1174" w:name="_Toc532377319"/>
      <w:bookmarkStart w:id="1175" w:name="_Toc351203631"/>
      <w:bookmarkStart w:id="1176" w:name="_Toc337558845"/>
      <w:bookmarkStart w:id="1177" w:name="_Toc296346653"/>
      <w:bookmarkStart w:id="1178" w:name="_Toc296503152"/>
      <w:r>
        <w:rPr>
          <w:rFonts w:hint="eastAsia"/>
          <w:b w:val="0"/>
          <w:sz w:val="21"/>
          <w:szCs w:val="21"/>
          <w:highlight w:val="none"/>
        </w:rPr>
        <w:t>20.5争议解决条款效力</w:t>
      </w:r>
      <w:bookmarkEnd w:id="1174"/>
      <w:bookmarkEnd w:id="1175"/>
    </w:p>
    <w:bookmarkEnd w:id="1176"/>
    <w:bookmarkEnd w:id="1177"/>
    <w:bookmarkEnd w:id="1178"/>
    <w:p w14:paraId="0BDB593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合同有关争议解决的条款独立存在，合同的变更、解除、终止、无效或者被撤销均不影响其效力。</w:t>
      </w:r>
    </w:p>
    <w:p w14:paraId="0AC63F68">
      <w:pPr>
        <w:keepNext/>
        <w:keepLines/>
        <w:snapToGrid w:val="0"/>
        <w:spacing w:before="260" w:after="260" w:line="360" w:lineRule="auto"/>
        <w:outlineLvl w:val="2"/>
        <w:rPr>
          <w:rFonts w:ascii="宋体" w:hAnsi="宋体"/>
          <w:b/>
          <w:bCs/>
          <w:szCs w:val="21"/>
          <w:highlight w:val="none"/>
          <w:lang w:val="zh-CN"/>
        </w:rPr>
      </w:pPr>
      <w:r>
        <w:rPr>
          <w:rFonts w:hint="eastAsia" w:ascii="宋体" w:hAnsi="宋体"/>
          <w:b/>
          <w:bCs/>
          <w:szCs w:val="21"/>
          <w:highlight w:val="none"/>
          <w:lang w:val="zh-CN"/>
        </w:rPr>
        <w:br w:type="page"/>
      </w:r>
    </w:p>
    <w:p w14:paraId="35154F38">
      <w:pPr>
        <w:pStyle w:val="5"/>
        <w:jc w:val="center"/>
        <w:rPr>
          <w:rFonts w:ascii="宋体" w:hAnsi="宋体"/>
          <w:sz w:val="44"/>
          <w:szCs w:val="44"/>
          <w:highlight w:val="none"/>
        </w:rPr>
      </w:pPr>
      <w:bookmarkStart w:id="1179" w:name="_Toc529388290"/>
      <w:bookmarkStart w:id="1180" w:name="_Toc25408"/>
      <w:bookmarkStart w:id="1181" w:name="_Toc57820639"/>
      <w:bookmarkStart w:id="1182" w:name="_Toc532377320"/>
      <w:bookmarkStart w:id="1183" w:name="_Toc532375607"/>
      <w:r>
        <w:rPr>
          <w:rFonts w:hint="eastAsia" w:ascii="宋体" w:hAnsi="宋体"/>
          <w:sz w:val="44"/>
          <w:szCs w:val="44"/>
          <w:highlight w:val="none"/>
        </w:rPr>
        <w:t>第三部分 专用合同条款</w:t>
      </w:r>
      <w:bookmarkEnd w:id="1179"/>
      <w:bookmarkEnd w:id="1180"/>
      <w:bookmarkEnd w:id="1181"/>
      <w:bookmarkEnd w:id="1182"/>
      <w:bookmarkEnd w:id="1183"/>
    </w:p>
    <w:p w14:paraId="1A61B444">
      <w:pPr>
        <w:pStyle w:val="6"/>
        <w:keepNext/>
        <w:keepLines/>
        <w:spacing w:before="156" w:beforeLines="50" w:beforeAutospacing="0" w:after="156" w:afterLines="50" w:afterAutospacing="0" w:line="360" w:lineRule="auto"/>
        <w:jc w:val="both"/>
        <w:rPr>
          <w:bCs w:val="0"/>
          <w:kern w:val="2"/>
          <w:sz w:val="21"/>
          <w:szCs w:val="21"/>
          <w:highlight w:val="none"/>
        </w:rPr>
      </w:pPr>
      <w:bookmarkStart w:id="1184" w:name="_Toc532377321"/>
      <w:bookmarkStart w:id="1185" w:name="_Toc532375608"/>
      <w:bookmarkStart w:id="1186" w:name="_Toc351203633"/>
      <w:bookmarkStart w:id="1187" w:name="_Hlk528927191"/>
      <w:r>
        <w:rPr>
          <w:rFonts w:hint="eastAsia"/>
          <w:kern w:val="2"/>
          <w:sz w:val="21"/>
          <w:szCs w:val="21"/>
          <w:highlight w:val="none"/>
        </w:rPr>
        <w:t>1</w:t>
      </w:r>
      <w:bookmarkStart w:id="1188" w:name="_Toc292559361"/>
      <w:bookmarkStart w:id="1189" w:name="_Toc296503156"/>
      <w:bookmarkStart w:id="1190" w:name="_Toc296347155"/>
      <w:bookmarkStart w:id="1191" w:name="_Toc296346657"/>
      <w:bookmarkStart w:id="1192" w:name="_Toc297048342"/>
      <w:bookmarkStart w:id="1193" w:name="_Toc296944495"/>
      <w:bookmarkStart w:id="1194" w:name="_Toc296891196"/>
      <w:bookmarkStart w:id="1195" w:name="_Toc292559866"/>
      <w:bookmarkStart w:id="1196" w:name="_Toc297120456"/>
      <w:bookmarkStart w:id="1197" w:name="_Toc296890984"/>
      <w:r>
        <w:rPr>
          <w:rFonts w:hint="eastAsia"/>
          <w:kern w:val="2"/>
          <w:sz w:val="21"/>
          <w:szCs w:val="21"/>
          <w:highlight w:val="none"/>
        </w:rPr>
        <w:t>. 一般约定</w:t>
      </w:r>
      <w:bookmarkEnd w:id="1184"/>
      <w:bookmarkEnd w:id="1185"/>
      <w:bookmarkEnd w:id="1186"/>
    </w:p>
    <w:bookmarkEnd w:id="1188"/>
    <w:bookmarkEnd w:id="1189"/>
    <w:bookmarkEnd w:id="1190"/>
    <w:bookmarkEnd w:id="1191"/>
    <w:bookmarkEnd w:id="1192"/>
    <w:bookmarkEnd w:id="1193"/>
    <w:bookmarkEnd w:id="1194"/>
    <w:bookmarkEnd w:id="1195"/>
    <w:bookmarkEnd w:id="1196"/>
    <w:bookmarkEnd w:id="1197"/>
    <w:p w14:paraId="18898334">
      <w:pPr>
        <w:pStyle w:val="7"/>
        <w:spacing w:before="0" w:beforeAutospacing="0" w:after="0" w:afterAutospacing="0" w:line="360" w:lineRule="auto"/>
        <w:ind w:firstLine="422" w:firstLineChars="200"/>
        <w:rPr>
          <w:sz w:val="21"/>
          <w:szCs w:val="21"/>
          <w:highlight w:val="none"/>
        </w:rPr>
      </w:pPr>
      <w:bookmarkStart w:id="1198" w:name="_Toc532377322"/>
      <w:r>
        <w:rPr>
          <w:rFonts w:hint="eastAsia"/>
          <w:sz w:val="21"/>
          <w:szCs w:val="21"/>
          <w:highlight w:val="none"/>
        </w:rPr>
        <w:t>1.1词语定义与解释</w:t>
      </w:r>
      <w:bookmarkEnd w:id="1198"/>
    </w:p>
    <w:p w14:paraId="5DD18365">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 合同</w:t>
      </w:r>
    </w:p>
    <w:p w14:paraId="35844DC8">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1.1.1.6技术标准和要求：</w:t>
      </w:r>
      <w:r>
        <w:rPr>
          <w:rFonts w:hint="eastAsia" w:ascii="宋体" w:hAnsi="宋体"/>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highlight w:val="none"/>
        </w:rPr>
        <w:t>。</w:t>
      </w:r>
    </w:p>
    <w:p w14:paraId="427F608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1.1.1.8 已标价工程量清单：</w:t>
      </w:r>
      <w:r>
        <w:rPr>
          <w:rFonts w:hint="eastAsia" w:ascii="宋体" w:hAnsi="宋体"/>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highlight w:val="none"/>
        </w:rPr>
        <w:t>。</w:t>
      </w:r>
    </w:p>
    <w:p w14:paraId="0822E76A">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1.1.1.10 其他合同文件包括：</w:t>
      </w:r>
      <w:r>
        <w:rPr>
          <w:rFonts w:hint="eastAsia" w:ascii="宋体" w:hAnsi="宋体"/>
          <w:szCs w:val="21"/>
          <w:highlight w:val="none"/>
          <w:u w:val="single"/>
        </w:rPr>
        <w:t>按照合同协议书</w:t>
      </w:r>
      <w:r>
        <w:rPr>
          <w:rFonts w:hint="eastAsia" w:ascii="宋体" w:hAnsi="宋体"/>
          <w:bCs/>
          <w:szCs w:val="21"/>
          <w:highlight w:val="none"/>
          <w:u w:val="single"/>
        </w:rPr>
        <w:t>〔</w:t>
      </w:r>
      <w:r>
        <w:rPr>
          <w:rFonts w:hint="eastAsia" w:ascii="宋体" w:hAnsi="宋体"/>
          <w:szCs w:val="21"/>
          <w:highlight w:val="none"/>
          <w:u w:val="single"/>
        </w:rPr>
        <w:t>第六条</w:t>
      </w:r>
      <w:r>
        <w:rPr>
          <w:rFonts w:hint="eastAsia" w:ascii="宋体" w:hAnsi="宋体"/>
          <w:bCs/>
          <w:szCs w:val="21"/>
          <w:highlight w:val="none"/>
          <w:u w:val="single"/>
        </w:rPr>
        <w:t>〕</w:t>
      </w:r>
      <w:r>
        <w:rPr>
          <w:rFonts w:hint="eastAsia" w:ascii="宋体" w:hAnsi="宋体"/>
          <w:szCs w:val="21"/>
          <w:highlight w:val="none"/>
          <w:u w:val="single"/>
        </w:rPr>
        <w:t>约定执行</w:t>
      </w:r>
      <w:r>
        <w:rPr>
          <w:rFonts w:hint="eastAsia" w:ascii="宋体" w:hAnsi="宋体"/>
          <w:szCs w:val="21"/>
          <w:highlight w:val="none"/>
        </w:rPr>
        <w:t>。</w:t>
      </w:r>
    </w:p>
    <w:p w14:paraId="6258276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本项补充1.1.1.11～1.1.1.16目：</w:t>
      </w:r>
    </w:p>
    <w:p w14:paraId="219B7AE2">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1.1.1.11 招标文件：</w:t>
      </w:r>
      <w:r>
        <w:rPr>
          <w:rFonts w:hint="eastAsia" w:ascii="宋体" w:hAnsi="宋体"/>
          <w:kern w:val="0"/>
          <w:szCs w:val="21"/>
          <w:highlight w:val="none"/>
          <w:u w:val="single"/>
        </w:rPr>
        <w:t>指本工程的招标文件、图纸、其他技术资料及招标人发出的对招标文件所作的澄清、修改等资料</w:t>
      </w:r>
      <w:r>
        <w:rPr>
          <w:rFonts w:hint="eastAsia" w:ascii="宋体" w:hAnsi="宋体"/>
          <w:kern w:val="0"/>
          <w:szCs w:val="21"/>
          <w:highlight w:val="none"/>
        </w:rPr>
        <w:t>。</w:t>
      </w:r>
    </w:p>
    <w:p w14:paraId="67F6558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1.1.1.12 工作：</w:t>
      </w:r>
      <w:r>
        <w:rPr>
          <w:rFonts w:hint="eastAsia" w:ascii="宋体" w:hAnsi="宋体"/>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highlight w:val="none"/>
        </w:rPr>
        <w:t>。</w:t>
      </w:r>
    </w:p>
    <w:p w14:paraId="740F0AE1">
      <w:pPr>
        <w:spacing w:line="360" w:lineRule="auto"/>
        <w:ind w:firstLine="420" w:firstLineChars="200"/>
        <w:jc w:val="left"/>
        <w:rPr>
          <w:rFonts w:ascii="宋体" w:hAnsi="宋体"/>
          <w:szCs w:val="21"/>
          <w:highlight w:val="none"/>
        </w:rPr>
      </w:pPr>
      <w:r>
        <w:rPr>
          <w:rFonts w:hint="eastAsia" w:ascii="宋体" w:hAnsi="宋体"/>
          <w:szCs w:val="21"/>
          <w:highlight w:val="none"/>
        </w:rPr>
        <w:t>1.1.1.13 重大设计变更：按照规定需要重新报建设行政主管部门批准的设计变更。</w:t>
      </w:r>
    </w:p>
    <w:p w14:paraId="5B891EB2">
      <w:pPr>
        <w:spacing w:line="360" w:lineRule="auto"/>
        <w:ind w:firstLine="420" w:firstLineChars="200"/>
        <w:jc w:val="left"/>
        <w:rPr>
          <w:rFonts w:ascii="宋体" w:hAnsi="宋体"/>
          <w:szCs w:val="21"/>
          <w:highlight w:val="none"/>
        </w:rPr>
      </w:pPr>
      <w:r>
        <w:rPr>
          <w:rFonts w:ascii="宋体" w:hAnsi="宋体"/>
          <w:szCs w:val="21"/>
          <w:highlight w:val="none"/>
        </w:rPr>
        <w:t>1.1.1.</w:t>
      </w:r>
      <w:r>
        <w:rPr>
          <w:rFonts w:hint="eastAsia" w:ascii="宋体" w:hAnsi="宋体"/>
          <w:szCs w:val="21"/>
          <w:highlight w:val="none"/>
        </w:rPr>
        <w:t>14 公章：专指法定单位名称章</w:t>
      </w:r>
      <w:r>
        <w:rPr>
          <w:rFonts w:ascii="宋体" w:hAnsi="宋体"/>
          <w:szCs w:val="21"/>
          <w:highlight w:val="none"/>
        </w:rPr>
        <w:t>。</w:t>
      </w:r>
    </w:p>
    <w:bookmarkEnd w:id="1187"/>
    <w:p w14:paraId="1DECF366">
      <w:pPr>
        <w:spacing w:line="360" w:lineRule="auto"/>
        <w:ind w:firstLine="420" w:firstLineChars="200"/>
        <w:jc w:val="left"/>
        <w:rPr>
          <w:rFonts w:ascii="宋体" w:hAnsi="宋体"/>
          <w:szCs w:val="21"/>
          <w:highlight w:val="none"/>
        </w:rPr>
      </w:pPr>
      <w:r>
        <w:rPr>
          <w:rFonts w:hint="eastAsia" w:ascii="宋体" w:hAnsi="宋体"/>
          <w:szCs w:val="21"/>
          <w:highlight w:val="none"/>
        </w:rPr>
        <w:t>1.1.1.15 到岗：指承包人按照到岗履职承诺安排满足办理施工许可手续相关要求的项目主要管理人员实际到施工现场就职履约的行为。</w:t>
      </w:r>
    </w:p>
    <w:p w14:paraId="1176539C">
      <w:pPr>
        <w:spacing w:line="360" w:lineRule="auto"/>
        <w:ind w:firstLine="420" w:firstLineChars="200"/>
        <w:jc w:val="left"/>
        <w:rPr>
          <w:rFonts w:ascii="宋体" w:hAnsi="宋体"/>
          <w:szCs w:val="21"/>
          <w:highlight w:val="none"/>
        </w:rPr>
      </w:pPr>
      <w:r>
        <w:rPr>
          <w:rFonts w:hint="eastAsia" w:ascii="宋体" w:hAnsi="宋体"/>
          <w:szCs w:val="21"/>
          <w:highlight w:val="none"/>
        </w:rPr>
        <w:t>1.1.1.16 项目法人：指具有民事权利能力和民事行为能力，依法独立享有民事权利和承担民事义务，以建设项目为目的，从事项目管理的机构、单位或组织。</w:t>
      </w:r>
    </w:p>
    <w:p w14:paraId="35548B78">
      <w:pPr>
        <w:spacing w:line="360" w:lineRule="auto"/>
        <w:ind w:firstLine="420" w:firstLineChars="200"/>
        <w:jc w:val="left"/>
        <w:rPr>
          <w:rFonts w:ascii="宋体" w:hAnsi="宋体"/>
          <w:szCs w:val="21"/>
          <w:highlight w:val="none"/>
        </w:rPr>
      </w:pPr>
      <w:r>
        <w:rPr>
          <w:rFonts w:hint="eastAsia" w:ascii="宋体" w:hAnsi="宋体"/>
          <w:szCs w:val="21"/>
          <w:highlight w:val="none"/>
        </w:rPr>
        <w:t>1.1.2 合同当事人及其他相关方</w:t>
      </w:r>
    </w:p>
    <w:p w14:paraId="001A48ED">
      <w:pPr>
        <w:spacing w:line="360" w:lineRule="auto"/>
        <w:ind w:firstLine="420" w:firstLineChars="200"/>
        <w:jc w:val="left"/>
        <w:rPr>
          <w:rFonts w:ascii="宋体" w:hAnsi="宋体"/>
          <w:szCs w:val="21"/>
          <w:highlight w:val="none"/>
        </w:rPr>
      </w:pPr>
      <w:r>
        <w:rPr>
          <w:rFonts w:hint="eastAsia" w:ascii="宋体" w:hAnsi="宋体"/>
          <w:szCs w:val="21"/>
          <w:highlight w:val="none"/>
        </w:rPr>
        <w:t>1.1.2.4 监理人：</w:t>
      </w:r>
    </w:p>
    <w:p w14:paraId="2E98B778">
      <w:pPr>
        <w:spacing w:line="360" w:lineRule="auto"/>
        <w:ind w:firstLine="420" w:firstLineChars="200"/>
        <w:jc w:val="left"/>
        <w:rPr>
          <w:rFonts w:ascii="宋体" w:hAnsi="宋体"/>
          <w:szCs w:val="21"/>
          <w:highlight w:val="none"/>
        </w:rPr>
      </w:pPr>
      <w:r>
        <w:rPr>
          <w:rFonts w:hint="eastAsia" w:ascii="宋体" w:hAnsi="宋体"/>
          <w:szCs w:val="21"/>
          <w:highlight w:val="none"/>
        </w:rPr>
        <w:t>名    称：</w:t>
      </w:r>
      <w:r>
        <w:rPr>
          <w:rFonts w:ascii="宋体" w:hAnsi="宋体"/>
          <w:szCs w:val="21"/>
          <w:highlight w:val="none"/>
          <w:u w:val="single"/>
        </w:rPr>
        <w:t xml:space="preserve">    </w:t>
      </w:r>
      <w:r>
        <w:rPr>
          <w:rFonts w:hint="eastAsia" w:ascii="宋体" w:hAnsi="宋体"/>
          <w:szCs w:val="21"/>
          <w:highlight w:val="none"/>
        </w:rPr>
        <w:t>；</w:t>
      </w:r>
    </w:p>
    <w:p w14:paraId="2C514ED4">
      <w:pPr>
        <w:spacing w:line="360" w:lineRule="auto"/>
        <w:ind w:firstLine="420" w:firstLineChars="200"/>
        <w:jc w:val="left"/>
        <w:rPr>
          <w:rFonts w:ascii="宋体" w:hAnsi="宋体"/>
          <w:szCs w:val="21"/>
          <w:highlight w:val="none"/>
        </w:rPr>
      </w:pPr>
      <w:r>
        <w:rPr>
          <w:rFonts w:hint="eastAsia" w:ascii="宋体" w:hAnsi="宋体"/>
          <w:szCs w:val="21"/>
          <w:highlight w:val="none"/>
        </w:rPr>
        <w:t>资质类别和等级：</w:t>
      </w:r>
      <w:r>
        <w:rPr>
          <w:rFonts w:ascii="宋体" w:hAnsi="宋体"/>
          <w:szCs w:val="21"/>
          <w:highlight w:val="none"/>
          <w:u w:val="single"/>
        </w:rPr>
        <w:t></w:t>
      </w:r>
      <w:r>
        <w:rPr>
          <w:rFonts w:hint="eastAsia" w:ascii="宋体" w:hAnsi="宋体"/>
          <w:szCs w:val="21"/>
          <w:highlight w:val="none"/>
        </w:rPr>
        <w:t>；</w:t>
      </w:r>
    </w:p>
    <w:p w14:paraId="1E70BE73">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w:t>
      </w:r>
      <w:r>
        <w:rPr>
          <w:rFonts w:hint="eastAsia" w:ascii="宋体" w:hAnsi="宋体"/>
          <w:szCs w:val="21"/>
          <w:highlight w:val="none"/>
        </w:rPr>
        <w:t>。</w:t>
      </w:r>
    </w:p>
    <w:p w14:paraId="360C0C45">
      <w:pPr>
        <w:spacing w:line="360" w:lineRule="auto"/>
        <w:ind w:firstLine="420" w:firstLineChars="200"/>
        <w:jc w:val="left"/>
        <w:rPr>
          <w:rFonts w:ascii="宋体" w:hAnsi="宋体"/>
          <w:szCs w:val="21"/>
          <w:highlight w:val="none"/>
        </w:rPr>
      </w:pPr>
      <w:r>
        <w:rPr>
          <w:rFonts w:hint="eastAsia" w:ascii="宋体" w:hAnsi="宋体"/>
          <w:szCs w:val="21"/>
          <w:highlight w:val="none"/>
        </w:rPr>
        <w:t>1.1.2.5 设计人：</w:t>
      </w:r>
    </w:p>
    <w:p w14:paraId="21691274">
      <w:pPr>
        <w:spacing w:line="360" w:lineRule="auto"/>
        <w:ind w:firstLine="420" w:firstLineChars="200"/>
        <w:jc w:val="left"/>
        <w:rPr>
          <w:rFonts w:ascii="宋体" w:hAnsi="宋体"/>
          <w:szCs w:val="21"/>
          <w:highlight w:val="none"/>
        </w:rPr>
      </w:pPr>
      <w:r>
        <w:rPr>
          <w:rFonts w:hint="eastAsia" w:ascii="宋体" w:hAnsi="宋体"/>
          <w:szCs w:val="21"/>
          <w:highlight w:val="none"/>
        </w:rPr>
        <w:t>名    称：</w:t>
      </w:r>
      <w:r>
        <w:rPr>
          <w:rFonts w:ascii="宋体" w:hAnsi="宋体"/>
          <w:szCs w:val="21"/>
          <w:highlight w:val="none"/>
          <w:u w:val="single"/>
        </w:rPr>
        <w:t xml:space="preserve">    </w:t>
      </w:r>
      <w:r>
        <w:rPr>
          <w:rFonts w:hint="eastAsia" w:ascii="宋体" w:hAnsi="宋体"/>
          <w:szCs w:val="21"/>
          <w:highlight w:val="none"/>
        </w:rPr>
        <w:t>；</w:t>
      </w:r>
    </w:p>
    <w:p w14:paraId="3481A6E1">
      <w:pPr>
        <w:spacing w:line="360" w:lineRule="auto"/>
        <w:ind w:firstLine="420" w:firstLineChars="200"/>
        <w:jc w:val="left"/>
        <w:rPr>
          <w:rFonts w:ascii="宋体" w:hAnsi="宋体"/>
          <w:szCs w:val="21"/>
          <w:highlight w:val="none"/>
        </w:rPr>
      </w:pPr>
      <w:r>
        <w:rPr>
          <w:rFonts w:hint="eastAsia" w:ascii="宋体" w:hAnsi="宋体"/>
          <w:szCs w:val="21"/>
          <w:highlight w:val="none"/>
        </w:rPr>
        <w:t>资质类别和等级：</w:t>
      </w:r>
      <w:r>
        <w:rPr>
          <w:rFonts w:ascii="宋体" w:hAnsi="宋体"/>
          <w:szCs w:val="21"/>
          <w:highlight w:val="none"/>
          <w:u w:val="single"/>
        </w:rPr>
        <w:t></w:t>
      </w:r>
      <w:r>
        <w:rPr>
          <w:rFonts w:hint="eastAsia" w:ascii="宋体" w:hAnsi="宋体"/>
          <w:szCs w:val="21"/>
          <w:highlight w:val="none"/>
        </w:rPr>
        <w:t>；</w:t>
      </w:r>
    </w:p>
    <w:p w14:paraId="7E9E6F0E">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w:t>
      </w:r>
      <w:r>
        <w:rPr>
          <w:rFonts w:hint="eastAsia" w:ascii="宋体" w:hAnsi="宋体"/>
          <w:szCs w:val="21"/>
          <w:highlight w:val="none"/>
        </w:rPr>
        <w:t>。</w:t>
      </w:r>
    </w:p>
    <w:p w14:paraId="7CDEDC22">
      <w:pPr>
        <w:spacing w:line="360" w:lineRule="auto"/>
        <w:ind w:firstLine="420" w:firstLineChars="200"/>
        <w:jc w:val="left"/>
        <w:rPr>
          <w:rFonts w:ascii="宋体" w:hAnsi="宋体"/>
          <w:szCs w:val="21"/>
          <w:highlight w:val="none"/>
        </w:rPr>
      </w:pPr>
      <w:r>
        <w:rPr>
          <w:rFonts w:hint="eastAsia" w:ascii="宋体" w:hAnsi="宋体"/>
          <w:szCs w:val="21"/>
          <w:highlight w:val="none"/>
        </w:rPr>
        <w:t>1.1.3 工程和设备</w:t>
      </w:r>
    </w:p>
    <w:p w14:paraId="28DDC7A2">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1.1.3.7 作为施工现场组成部分的其他场所包括：</w:t>
      </w:r>
      <w:r>
        <w:rPr>
          <w:rFonts w:hint="eastAsia" w:ascii="宋体" w:hAnsi="宋体"/>
          <w:kern w:val="0"/>
          <w:szCs w:val="21"/>
          <w:highlight w:val="none"/>
          <w:u w:val="single"/>
        </w:rPr>
        <w:t>永久占地、临时占地以及为修建临时工程而租用、占用的土地</w:t>
      </w:r>
      <w:r>
        <w:rPr>
          <w:rFonts w:hint="eastAsia" w:ascii="宋体" w:hAnsi="宋体"/>
          <w:szCs w:val="21"/>
          <w:highlight w:val="none"/>
        </w:rPr>
        <w:t>。</w:t>
      </w:r>
    </w:p>
    <w:p w14:paraId="1A8C81E2">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1.1.3.9 永久占地包括：</w:t>
      </w:r>
      <w:r>
        <w:rPr>
          <w:rFonts w:hint="eastAsia" w:ascii="宋体" w:hAnsi="宋体"/>
          <w:kern w:val="0"/>
          <w:szCs w:val="21"/>
          <w:highlight w:val="none"/>
          <w:u w:val="single"/>
        </w:rPr>
        <w:t>为实施合同工程而需要的一切永久占用的土地，即合同工程</w:t>
      </w:r>
      <w:r>
        <w:rPr>
          <w:rFonts w:hint="eastAsia" w:ascii="宋体" w:hAnsi="宋体"/>
          <w:szCs w:val="21"/>
          <w:highlight w:val="none"/>
          <w:u w:val="single"/>
        </w:rPr>
        <w:t>用地红线范围内的土地</w:t>
      </w:r>
      <w:r>
        <w:rPr>
          <w:rFonts w:hint="eastAsia" w:ascii="宋体" w:hAnsi="宋体"/>
          <w:szCs w:val="21"/>
          <w:highlight w:val="none"/>
        </w:rPr>
        <w:t>。</w:t>
      </w:r>
    </w:p>
    <w:p w14:paraId="75FE285C">
      <w:pPr>
        <w:spacing w:line="360" w:lineRule="auto"/>
        <w:ind w:firstLine="420" w:firstLineChars="200"/>
        <w:jc w:val="left"/>
        <w:rPr>
          <w:rFonts w:ascii="宋体" w:hAnsi="宋体"/>
          <w:szCs w:val="21"/>
          <w:highlight w:val="none"/>
        </w:rPr>
      </w:pPr>
      <w:r>
        <w:rPr>
          <w:rFonts w:hint="eastAsia" w:ascii="宋体" w:hAnsi="宋体"/>
          <w:szCs w:val="21"/>
          <w:highlight w:val="none"/>
        </w:rPr>
        <w:t>1.1.3.10 临时占地包括：</w:t>
      </w:r>
      <w:r>
        <w:rPr>
          <w:rFonts w:hint="eastAsia" w:ascii="宋体" w:hAnsi="宋体"/>
          <w:szCs w:val="21"/>
          <w:highlight w:val="none"/>
          <w:u w:val="single"/>
        </w:rPr>
        <w:t>为实施合同工程而需要</w:t>
      </w:r>
      <w:r>
        <w:rPr>
          <w:rFonts w:hint="eastAsia" w:ascii="宋体" w:hAnsi="宋体"/>
          <w:kern w:val="0"/>
          <w:szCs w:val="21"/>
          <w:highlight w:val="none"/>
          <w:u w:val="single"/>
        </w:rPr>
        <w:t>的一切</w:t>
      </w:r>
      <w:r>
        <w:rPr>
          <w:rFonts w:hint="eastAsia" w:ascii="宋体" w:hAnsi="宋体"/>
          <w:szCs w:val="21"/>
          <w:highlight w:val="none"/>
          <w:u w:val="single"/>
        </w:rPr>
        <w:t>临时占用的土地，包括施工所用的临时便道等的临时出入道，以及生产（办公）、生活等临时设施用地</w:t>
      </w:r>
      <w:r>
        <w:rPr>
          <w:rFonts w:hint="eastAsia" w:ascii="宋体" w:hAnsi="宋体"/>
          <w:szCs w:val="21"/>
          <w:highlight w:val="none"/>
        </w:rPr>
        <w:t>。</w:t>
      </w:r>
    </w:p>
    <w:p w14:paraId="3A39A566">
      <w:pPr>
        <w:spacing w:line="360" w:lineRule="auto"/>
        <w:ind w:firstLine="420" w:firstLineChars="200"/>
        <w:jc w:val="left"/>
        <w:rPr>
          <w:rFonts w:ascii="宋体" w:hAnsi="宋体"/>
          <w:szCs w:val="21"/>
          <w:highlight w:val="none"/>
        </w:rPr>
      </w:pPr>
      <w:r>
        <w:rPr>
          <w:rFonts w:hint="eastAsia" w:ascii="宋体" w:hAnsi="宋体"/>
          <w:szCs w:val="21"/>
          <w:highlight w:val="none"/>
        </w:rPr>
        <w:t>1.1.6 其他</w:t>
      </w:r>
    </w:p>
    <w:p w14:paraId="014CB2F1">
      <w:pPr>
        <w:spacing w:line="360" w:lineRule="auto"/>
        <w:ind w:firstLine="420" w:firstLineChars="200"/>
        <w:jc w:val="left"/>
        <w:rPr>
          <w:rFonts w:ascii="宋体" w:hAnsi="宋体"/>
          <w:szCs w:val="21"/>
          <w:highlight w:val="none"/>
        </w:rPr>
      </w:pPr>
      <w:bookmarkStart w:id="1199" w:name="_Hlk528927262"/>
      <w:r>
        <w:rPr>
          <w:rFonts w:hint="eastAsia" w:ascii="宋体" w:hAnsi="宋体"/>
          <w:szCs w:val="21"/>
          <w:highlight w:val="none"/>
        </w:rPr>
        <w:t>本项补充1.1.6.2～1.1.6.3目：</w:t>
      </w:r>
    </w:p>
    <w:p w14:paraId="613282DE">
      <w:pPr>
        <w:spacing w:line="360" w:lineRule="auto"/>
        <w:ind w:firstLine="420" w:firstLineChars="200"/>
        <w:jc w:val="left"/>
        <w:rPr>
          <w:rFonts w:ascii="宋体" w:hAnsi="宋体"/>
          <w:szCs w:val="21"/>
          <w:highlight w:val="none"/>
        </w:rPr>
      </w:pPr>
      <w:r>
        <w:rPr>
          <w:rFonts w:hint="eastAsia" w:ascii="宋体" w:hAnsi="宋体"/>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highlight w:val="none"/>
        </w:rPr>
        <w:t>违法行为</w:t>
      </w:r>
      <w:r>
        <w:rPr>
          <w:rFonts w:hint="eastAsia" w:ascii="宋体" w:hAnsi="宋体"/>
          <w:szCs w:val="21"/>
          <w:highlight w:val="none"/>
        </w:rPr>
        <w:t>。</w:t>
      </w:r>
    </w:p>
    <w:bookmarkEnd w:id="1199"/>
    <w:p w14:paraId="0A0C71AF">
      <w:pPr>
        <w:spacing w:line="360" w:lineRule="auto"/>
        <w:ind w:firstLine="420" w:firstLineChars="200"/>
        <w:jc w:val="left"/>
        <w:rPr>
          <w:rFonts w:ascii="宋体" w:hAnsi="宋体"/>
          <w:szCs w:val="21"/>
          <w:highlight w:val="none"/>
        </w:rPr>
      </w:pPr>
      <w:r>
        <w:rPr>
          <w:rFonts w:hint="eastAsia" w:ascii="宋体" w:hAnsi="宋体"/>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DB48033">
      <w:pPr>
        <w:pStyle w:val="7"/>
        <w:spacing w:before="0" w:beforeAutospacing="0" w:after="0" w:afterAutospacing="0" w:line="360" w:lineRule="auto"/>
        <w:ind w:firstLine="422" w:firstLineChars="200"/>
        <w:rPr>
          <w:sz w:val="21"/>
          <w:szCs w:val="21"/>
          <w:highlight w:val="none"/>
        </w:rPr>
      </w:pPr>
      <w:bookmarkStart w:id="1200" w:name="_Toc532377323"/>
      <w:r>
        <w:rPr>
          <w:rFonts w:hint="eastAsia"/>
          <w:sz w:val="21"/>
          <w:szCs w:val="21"/>
          <w:highlight w:val="none"/>
        </w:rPr>
        <w:t>1.4 标准和规范</w:t>
      </w:r>
      <w:bookmarkEnd w:id="1200"/>
    </w:p>
    <w:p w14:paraId="21325721">
      <w:pPr>
        <w:spacing w:line="360" w:lineRule="auto"/>
        <w:ind w:firstLine="420" w:firstLineChars="200"/>
        <w:jc w:val="left"/>
        <w:rPr>
          <w:rFonts w:ascii="宋体" w:hAnsi="宋体"/>
          <w:szCs w:val="21"/>
          <w:highlight w:val="none"/>
        </w:rPr>
      </w:pPr>
      <w:r>
        <w:rPr>
          <w:rFonts w:hint="eastAsia" w:ascii="宋体" w:hAnsi="宋体"/>
          <w:szCs w:val="21"/>
          <w:highlight w:val="none"/>
        </w:rPr>
        <w:t>1.4.1 适用于工程的标准规范包括：</w:t>
      </w:r>
    </w:p>
    <w:p w14:paraId="316E8A40">
      <w:pPr>
        <w:spacing w:line="360" w:lineRule="auto"/>
        <w:ind w:firstLine="420" w:firstLineChars="200"/>
        <w:jc w:val="left"/>
        <w:rPr>
          <w:rFonts w:ascii="宋体" w:hAnsi="宋体"/>
          <w:szCs w:val="21"/>
          <w:highlight w:val="none"/>
        </w:rPr>
      </w:pPr>
      <w:r>
        <w:rPr>
          <w:rFonts w:hint="eastAsia" w:ascii="宋体" w:hAnsi="宋体"/>
          <w:szCs w:val="21"/>
          <w:highlight w:val="none"/>
        </w:rPr>
        <w:t>（1）施工图所涉及的技术标准、规范、规程、图集等；</w:t>
      </w:r>
    </w:p>
    <w:p w14:paraId="0AF6AD33">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（2）国家、行业或重庆市与本工程有关的标准，以及相应的规范、规程等，当这些标准、规范、规程不一致时，以标准、规范、规程要求最高的为准。</w:t>
      </w:r>
    </w:p>
    <w:p w14:paraId="56735275">
      <w:pPr>
        <w:spacing w:line="360" w:lineRule="auto"/>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w:t>
      </w:r>
    </w:p>
    <w:p w14:paraId="2F56D8C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1.4.2 发包人提供国外标准、规范的名称：</w:t>
      </w:r>
      <w:r>
        <w:rPr>
          <w:rFonts w:hint="eastAsia" w:ascii="宋体" w:hAnsi="宋体"/>
          <w:kern w:val="0"/>
          <w:szCs w:val="21"/>
          <w:highlight w:val="none"/>
          <w:u w:val="single"/>
        </w:rPr>
        <w:t xml:space="preserve"> / </w:t>
      </w:r>
      <w:r>
        <w:rPr>
          <w:rFonts w:hint="eastAsia" w:ascii="宋体" w:hAnsi="宋体"/>
          <w:kern w:val="0"/>
          <w:szCs w:val="21"/>
          <w:highlight w:val="none"/>
        </w:rPr>
        <w:t>；</w:t>
      </w:r>
    </w:p>
    <w:p w14:paraId="017BF32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发包人提供国外标准、规范的份数：</w:t>
      </w:r>
      <w:r>
        <w:rPr>
          <w:rFonts w:hint="eastAsia" w:ascii="宋体" w:hAnsi="宋体"/>
          <w:kern w:val="0"/>
          <w:szCs w:val="21"/>
          <w:highlight w:val="none"/>
          <w:u w:val="single"/>
        </w:rPr>
        <w:t xml:space="preserve"> / </w:t>
      </w:r>
      <w:r>
        <w:rPr>
          <w:rFonts w:hint="eastAsia" w:ascii="宋体" w:hAnsi="宋体"/>
          <w:kern w:val="0"/>
          <w:szCs w:val="21"/>
          <w:highlight w:val="none"/>
        </w:rPr>
        <w:t>；</w:t>
      </w:r>
    </w:p>
    <w:p w14:paraId="03E17DB4">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发包人提供国外标准、规范的名称：</w:t>
      </w:r>
      <w:r>
        <w:rPr>
          <w:rFonts w:hint="eastAsia" w:ascii="宋体" w:hAnsi="宋体"/>
          <w:kern w:val="0"/>
          <w:szCs w:val="21"/>
          <w:highlight w:val="none"/>
          <w:u w:val="single"/>
        </w:rPr>
        <w:t xml:space="preserve"> / </w:t>
      </w:r>
      <w:r>
        <w:rPr>
          <w:rFonts w:hint="eastAsia" w:ascii="宋体" w:hAnsi="宋体"/>
          <w:kern w:val="0"/>
          <w:szCs w:val="21"/>
          <w:highlight w:val="none"/>
        </w:rPr>
        <w:t>。</w:t>
      </w:r>
    </w:p>
    <w:p w14:paraId="4AD35E37">
      <w:pPr>
        <w:spacing w:line="360" w:lineRule="auto"/>
        <w:ind w:firstLine="420" w:firstLineChars="200"/>
        <w:jc w:val="left"/>
        <w:rPr>
          <w:rFonts w:ascii="宋体" w:hAnsi="宋体"/>
          <w:szCs w:val="21"/>
          <w:highlight w:val="none"/>
        </w:rPr>
      </w:pPr>
      <w:r>
        <w:rPr>
          <w:rFonts w:hint="eastAsia" w:ascii="宋体" w:hAnsi="宋体"/>
          <w:szCs w:val="21"/>
          <w:highlight w:val="none"/>
        </w:rPr>
        <w:t>1.4.3 发包人对工程的技术标准和功能要求的特殊要求：</w:t>
      </w:r>
      <w:r>
        <w:rPr>
          <w:rFonts w:hint="eastAsia" w:ascii="宋体" w:hAnsi="宋体"/>
          <w:kern w:val="0"/>
          <w:szCs w:val="21"/>
          <w:highlight w:val="none"/>
          <w:u w:val="single"/>
        </w:rPr>
        <w:t xml:space="preserve">/ </w:t>
      </w:r>
      <w:r>
        <w:rPr>
          <w:rFonts w:hint="eastAsia" w:ascii="宋体" w:hAnsi="宋体"/>
          <w:szCs w:val="21"/>
          <w:highlight w:val="none"/>
        </w:rPr>
        <w:t>。</w:t>
      </w:r>
    </w:p>
    <w:p w14:paraId="77089092">
      <w:pPr>
        <w:pStyle w:val="7"/>
        <w:spacing w:before="0" w:beforeAutospacing="0" w:after="0" w:afterAutospacing="0" w:line="360" w:lineRule="auto"/>
        <w:ind w:firstLine="422" w:firstLineChars="200"/>
        <w:rPr>
          <w:sz w:val="21"/>
          <w:szCs w:val="21"/>
          <w:highlight w:val="none"/>
        </w:rPr>
      </w:pPr>
      <w:bookmarkStart w:id="1201" w:name="_Toc532377324"/>
      <w:r>
        <w:rPr>
          <w:rFonts w:hint="eastAsia"/>
          <w:sz w:val="21"/>
          <w:szCs w:val="21"/>
          <w:highlight w:val="none"/>
        </w:rPr>
        <w:t>1.5 合同文件的优先顺序</w:t>
      </w:r>
      <w:bookmarkEnd w:id="1201"/>
    </w:p>
    <w:p w14:paraId="4B785964">
      <w:pPr>
        <w:spacing w:line="360" w:lineRule="auto"/>
        <w:ind w:firstLine="420" w:firstLineChars="200"/>
        <w:jc w:val="left"/>
        <w:rPr>
          <w:rFonts w:ascii="宋体" w:hAnsi="宋体"/>
          <w:szCs w:val="21"/>
          <w:highlight w:val="none"/>
        </w:rPr>
      </w:pPr>
      <w:r>
        <w:rPr>
          <w:rFonts w:hint="eastAsia" w:ascii="宋体" w:hAnsi="宋体"/>
          <w:szCs w:val="21"/>
          <w:highlight w:val="none"/>
        </w:rPr>
        <w:t>合同文件组成及优先顺序为：</w:t>
      </w:r>
      <w:r>
        <w:rPr>
          <w:rFonts w:hint="eastAsia" w:ascii="宋体" w:hAnsi="宋体"/>
          <w:szCs w:val="21"/>
          <w:highlight w:val="none"/>
          <w:u w:val="single"/>
        </w:rPr>
        <w:t>按照合同协议书</w:t>
      </w:r>
      <w:r>
        <w:rPr>
          <w:rFonts w:hint="eastAsia" w:ascii="宋体" w:hAnsi="宋体"/>
          <w:bCs/>
          <w:szCs w:val="21"/>
          <w:highlight w:val="none"/>
          <w:u w:val="single"/>
        </w:rPr>
        <w:t>〔</w:t>
      </w:r>
      <w:r>
        <w:rPr>
          <w:rFonts w:hint="eastAsia" w:ascii="宋体" w:hAnsi="宋体"/>
          <w:szCs w:val="21"/>
          <w:highlight w:val="none"/>
          <w:u w:val="single"/>
        </w:rPr>
        <w:t>第六条</w:t>
      </w:r>
      <w:r>
        <w:rPr>
          <w:rFonts w:hint="eastAsia" w:ascii="宋体" w:hAnsi="宋体"/>
          <w:bCs/>
          <w:szCs w:val="21"/>
          <w:highlight w:val="none"/>
          <w:u w:val="single"/>
        </w:rPr>
        <w:t>〕</w:t>
      </w:r>
      <w:r>
        <w:rPr>
          <w:rFonts w:hint="eastAsia" w:ascii="宋体" w:hAnsi="宋体"/>
          <w:szCs w:val="21"/>
          <w:highlight w:val="none"/>
          <w:u w:val="single"/>
        </w:rPr>
        <w:t>约定执行</w:t>
      </w:r>
      <w:r>
        <w:rPr>
          <w:rFonts w:hint="eastAsia" w:ascii="宋体" w:hAnsi="宋体"/>
          <w:szCs w:val="21"/>
          <w:highlight w:val="none"/>
        </w:rPr>
        <w:t>。</w:t>
      </w:r>
    </w:p>
    <w:p w14:paraId="2E0AF6EE">
      <w:pPr>
        <w:pStyle w:val="7"/>
        <w:spacing w:before="0" w:beforeAutospacing="0" w:after="0" w:afterAutospacing="0" w:line="360" w:lineRule="auto"/>
        <w:ind w:firstLine="422" w:firstLineChars="200"/>
        <w:rPr>
          <w:sz w:val="21"/>
          <w:szCs w:val="21"/>
          <w:highlight w:val="none"/>
        </w:rPr>
      </w:pPr>
      <w:bookmarkStart w:id="1202" w:name="_Toc532377325"/>
      <w:r>
        <w:rPr>
          <w:rFonts w:hint="eastAsia"/>
          <w:sz w:val="21"/>
          <w:szCs w:val="21"/>
          <w:highlight w:val="none"/>
        </w:rPr>
        <w:t>1.6 图纸和承包人文件</w:t>
      </w:r>
      <w:bookmarkEnd w:id="1202"/>
    </w:p>
    <w:p w14:paraId="42385372">
      <w:pPr>
        <w:spacing w:line="360" w:lineRule="auto"/>
        <w:ind w:firstLine="420" w:firstLineChars="200"/>
        <w:jc w:val="left"/>
        <w:rPr>
          <w:rFonts w:ascii="宋体" w:hAnsi="宋体"/>
          <w:szCs w:val="21"/>
          <w:highlight w:val="none"/>
        </w:rPr>
      </w:pPr>
      <w:r>
        <w:rPr>
          <w:rFonts w:hint="eastAsia" w:ascii="宋体" w:hAnsi="宋体"/>
          <w:szCs w:val="21"/>
          <w:highlight w:val="none"/>
        </w:rPr>
        <w:t>1.6.1 图纸的提供和交底</w:t>
      </w:r>
    </w:p>
    <w:p w14:paraId="54FD1B98">
      <w:pPr>
        <w:spacing w:line="360" w:lineRule="auto"/>
        <w:ind w:firstLine="420" w:firstLineChars="200"/>
        <w:jc w:val="left"/>
        <w:rPr>
          <w:rFonts w:ascii="宋体" w:hAnsi="宋体"/>
          <w:szCs w:val="21"/>
          <w:highlight w:val="none"/>
        </w:rPr>
      </w:pPr>
      <w:r>
        <w:rPr>
          <w:rFonts w:hint="eastAsia" w:ascii="宋体" w:hAnsi="宋体"/>
          <w:szCs w:val="21"/>
          <w:highlight w:val="none"/>
        </w:rPr>
        <w:t>发包人向承包人提供图纸的期限：</w:t>
      </w:r>
      <w:r>
        <w:rPr>
          <w:rFonts w:hint="eastAsia" w:ascii="宋体" w:hAnsi="宋体"/>
          <w:szCs w:val="21"/>
          <w:highlight w:val="none"/>
          <w:u w:val="single"/>
        </w:rPr>
        <w:t>通用合同条款第7.3.2款</w:t>
      </w:r>
      <w:r>
        <w:rPr>
          <w:rFonts w:hint="eastAsia" w:ascii="宋体" w:hAnsi="宋体"/>
          <w:bCs/>
          <w:szCs w:val="21"/>
          <w:highlight w:val="none"/>
          <w:u w:val="single"/>
        </w:rPr>
        <w:t>〔</w:t>
      </w:r>
      <w:r>
        <w:rPr>
          <w:rFonts w:hint="eastAsia" w:ascii="宋体" w:hAnsi="宋体"/>
          <w:szCs w:val="21"/>
          <w:highlight w:val="none"/>
          <w:u w:val="single"/>
        </w:rPr>
        <w:t>开工通知</w:t>
      </w:r>
      <w:r>
        <w:rPr>
          <w:rFonts w:hint="eastAsia" w:ascii="宋体" w:hAnsi="宋体"/>
          <w:bCs/>
          <w:szCs w:val="21"/>
          <w:highlight w:val="none"/>
          <w:u w:val="single"/>
        </w:rPr>
        <w:t>〕</w:t>
      </w:r>
      <w:r>
        <w:rPr>
          <w:rFonts w:hint="eastAsia" w:ascii="宋体" w:hAnsi="宋体"/>
          <w:szCs w:val="21"/>
          <w:highlight w:val="none"/>
          <w:u w:val="single"/>
        </w:rPr>
        <w:t>载明的开工日期前14天</w:t>
      </w:r>
      <w:r>
        <w:rPr>
          <w:rFonts w:hint="eastAsia" w:ascii="宋体" w:hAnsi="宋体"/>
          <w:szCs w:val="21"/>
          <w:highlight w:val="none"/>
        </w:rPr>
        <w:t>；</w:t>
      </w:r>
    </w:p>
    <w:p w14:paraId="00A5D08E">
      <w:pPr>
        <w:spacing w:line="360" w:lineRule="auto"/>
        <w:ind w:firstLine="420" w:firstLineChars="200"/>
        <w:jc w:val="left"/>
        <w:rPr>
          <w:rFonts w:ascii="宋体" w:hAnsi="宋体"/>
          <w:szCs w:val="21"/>
          <w:highlight w:val="none"/>
        </w:rPr>
      </w:pPr>
      <w:r>
        <w:rPr>
          <w:rFonts w:hint="eastAsia" w:ascii="宋体" w:hAnsi="宋体"/>
          <w:szCs w:val="21"/>
          <w:highlight w:val="none"/>
        </w:rPr>
        <w:t>发包人向承包人提供图纸的数量：</w:t>
      </w:r>
      <w:r>
        <w:rPr>
          <w:rFonts w:hint="eastAsia" w:ascii="宋体" w:hAnsi="宋体"/>
          <w:szCs w:val="21"/>
          <w:highlight w:val="none"/>
          <w:u w:val="single"/>
        </w:rPr>
        <w:t xml:space="preserve">  套</w:t>
      </w:r>
      <w:r>
        <w:rPr>
          <w:rFonts w:hint="eastAsia" w:ascii="宋体" w:hAnsi="宋体"/>
          <w:szCs w:val="21"/>
          <w:highlight w:val="none"/>
        </w:rPr>
        <w:t xml:space="preserve">； </w:t>
      </w:r>
    </w:p>
    <w:p w14:paraId="47C96600">
      <w:pPr>
        <w:spacing w:line="360" w:lineRule="auto"/>
        <w:ind w:firstLine="420" w:firstLineChars="200"/>
        <w:jc w:val="left"/>
        <w:rPr>
          <w:rFonts w:ascii="宋体" w:hAnsi="宋体"/>
          <w:szCs w:val="21"/>
          <w:highlight w:val="none"/>
        </w:rPr>
      </w:pPr>
      <w:r>
        <w:rPr>
          <w:rFonts w:hint="eastAsia" w:ascii="宋体" w:hAnsi="宋体"/>
          <w:szCs w:val="21"/>
          <w:highlight w:val="none"/>
        </w:rPr>
        <w:t>发包人向承包人提供图纸的内容：</w:t>
      </w:r>
      <w:r>
        <w:rPr>
          <w:rFonts w:hint="eastAsia" w:ascii="宋体" w:hAnsi="宋体"/>
          <w:szCs w:val="21"/>
          <w:highlight w:val="none"/>
          <w:u w:val="single"/>
        </w:rPr>
        <w:t>工程承包范围内工程的施工图设计文件</w:t>
      </w:r>
      <w:r>
        <w:rPr>
          <w:rFonts w:hint="eastAsia" w:ascii="宋体" w:hAnsi="宋体"/>
          <w:szCs w:val="21"/>
          <w:highlight w:val="none"/>
        </w:rPr>
        <w:t>；</w:t>
      </w:r>
    </w:p>
    <w:p w14:paraId="4AD7D350">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发包人组织承包人、监理人和设计人进行图纸会审和设计交底的时间：</w:t>
      </w:r>
      <w:r>
        <w:rPr>
          <w:rFonts w:hint="eastAsia" w:ascii="宋体" w:hAnsi="宋体"/>
          <w:szCs w:val="21"/>
          <w:highlight w:val="none"/>
          <w:u w:val="single"/>
        </w:rPr>
        <w:t>提供施工图后7天内</w:t>
      </w:r>
      <w:r>
        <w:rPr>
          <w:rFonts w:hint="eastAsia" w:ascii="宋体" w:hAnsi="宋体"/>
          <w:szCs w:val="21"/>
          <w:highlight w:val="none"/>
        </w:rPr>
        <w:t>。</w:t>
      </w:r>
    </w:p>
    <w:p w14:paraId="3A8777F6">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承包人可以书面方式通过监理人向发包人申请进行紧急的设计交底，发包人认为确有必要且条件许可时，应尽快组织实施承包人申请的设计交底。</w:t>
      </w:r>
    </w:p>
    <w:p w14:paraId="538D9B1D">
      <w:pPr>
        <w:spacing w:line="360" w:lineRule="auto"/>
        <w:ind w:firstLine="420" w:firstLineChars="200"/>
        <w:jc w:val="left"/>
        <w:rPr>
          <w:rFonts w:ascii="宋体" w:hAnsi="宋体"/>
          <w:szCs w:val="21"/>
          <w:highlight w:val="none"/>
        </w:rPr>
      </w:pPr>
      <w:r>
        <w:rPr>
          <w:rFonts w:hint="eastAsia" w:ascii="宋体" w:hAnsi="宋体"/>
          <w:szCs w:val="21"/>
          <w:highlight w:val="none"/>
        </w:rPr>
        <w:t>1.6.2 图纸的错误</w:t>
      </w:r>
    </w:p>
    <w:p w14:paraId="52C972A8">
      <w:pPr>
        <w:spacing w:line="360" w:lineRule="auto"/>
        <w:ind w:firstLine="420" w:firstLineChars="200"/>
        <w:jc w:val="left"/>
        <w:rPr>
          <w:rFonts w:ascii="宋体" w:hAnsi="宋体"/>
          <w:szCs w:val="21"/>
          <w:highlight w:val="none"/>
        </w:rPr>
      </w:pPr>
      <w:r>
        <w:rPr>
          <w:rFonts w:hint="eastAsia" w:ascii="宋体" w:hAnsi="宋体"/>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6B288FC2">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承包人不得利用图纸的差错、遗漏或缺陷，从中获得不正当的利益。</w:t>
      </w:r>
    </w:p>
    <w:p w14:paraId="08A5D38C">
      <w:pPr>
        <w:spacing w:line="360" w:lineRule="auto"/>
        <w:ind w:firstLine="420" w:firstLineChars="200"/>
        <w:jc w:val="left"/>
        <w:rPr>
          <w:rFonts w:ascii="宋体" w:hAnsi="宋体"/>
          <w:szCs w:val="21"/>
          <w:highlight w:val="none"/>
        </w:rPr>
      </w:pPr>
      <w:r>
        <w:rPr>
          <w:rFonts w:hint="eastAsia" w:ascii="宋体" w:hAnsi="宋体"/>
          <w:szCs w:val="21"/>
          <w:highlight w:val="none"/>
        </w:rPr>
        <w:t>1.6.4 承包人文件</w:t>
      </w:r>
    </w:p>
    <w:p w14:paraId="17A281DD">
      <w:pPr>
        <w:spacing w:line="360" w:lineRule="auto"/>
        <w:ind w:firstLine="420" w:firstLineChars="200"/>
        <w:jc w:val="left"/>
        <w:rPr>
          <w:rFonts w:ascii="宋体" w:hAnsi="宋体"/>
          <w:szCs w:val="21"/>
          <w:highlight w:val="none"/>
        </w:rPr>
      </w:pPr>
      <w:r>
        <w:rPr>
          <w:rFonts w:hint="eastAsia" w:ascii="宋体" w:hAnsi="宋体"/>
          <w:szCs w:val="21"/>
          <w:highlight w:val="none"/>
        </w:rPr>
        <w:t>需要由承包人提供的书面文件，包括：</w:t>
      </w:r>
      <w:r>
        <w:rPr>
          <w:rFonts w:hint="eastAsia" w:ascii="宋体" w:hAnsi="宋体"/>
          <w:szCs w:val="21"/>
          <w:highlight w:val="none"/>
          <w:u w:val="single"/>
        </w:rPr>
        <w:t>施工组织设计、专项施工方案、</w:t>
      </w:r>
      <w:r>
        <w:rPr>
          <w:rFonts w:ascii="宋体" w:hAnsi="宋体"/>
          <w:szCs w:val="21"/>
          <w:highlight w:val="none"/>
          <w:u w:val="single"/>
        </w:rPr>
        <w:t>危险性较大分部分项工程施工方案</w:t>
      </w:r>
      <w:r>
        <w:rPr>
          <w:rFonts w:hint="eastAsia" w:ascii="宋体" w:hAnsi="宋体"/>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highlight w:val="none"/>
        </w:rPr>
        <w:t>。</w:t>
      </w:r>
    </w:p>
    <w:p w14:paraId="5E5BF88B">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承包人提供文件的期限、数量：</w:t>
      </w:r>
    </w:p>
    <w:p w14:paraId="4A8102D4">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w:t>
      </w:r>
      <w:r>
        <w:rPr>
          <w:rFonts w:hint="eastAsia" w:ascii="宋体" w:hAnsi="宋体"/>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highlight w:val="none"/>
        </w:rPr>
        <w:t>。</w:t>
      </w:r>
    </w:p>
    <w:p w14:paraId="438B9F88">
      <w:pPr>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每月  日前报送月工程进度完成报表</w:t>
      </w:r>
      <w:r>
        <w:rPr>
          <w:rFonts w:hint="eastAsia" w:ascii="宋体" w:hAnsi="宋体"/>
          <w:szCs w:val="21"/>
          <w:highlight w:val="none"/>
        </w:rPr>
        <w:t>。</w:t>
      </w:r>
    </w:p>
    <w:p w14:paraId="3EC0824D">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（3）合同另有约定的，按照其约定。</w:t>
      </w:r>
    </w:p>
    <w:p w14:paraId="588C4BF5">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highlight w:val="none"/>
          <w:u w:val="single"/>
        </w:rPr>
        <w:t>收到施工组织设计和工程总体进度计划及当年年度施工进度计划后7天内；合同另有约定的，从其约定</w:t>
      </w:r>
      <w:r>
        <w:rPr>
          <w:rFonts w:hint="eastAsia" w:ascii="宋体" w:hAnsi="宋体"/>
          <w:szCs w:val="21"/>
          <w:highlight w:val="none"/>
        </w:rPr>
        <w:t>。</w:t>
      </w:r>
    </w:p>
    <w:p w14:paraId="340611CA">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承包人提供的文件的费用：</w:t>
      </w:r>
      <w:r>
        <w:rPr>
          <w:rFonts w:hint="eastAsia" w:ascii="宋体" w:hAnsi="宋体"/>
          <w:szCs w:val="21"/>
          <w:highlight w:val="none"/>
          <w:u w:val="single"/>
        </w:rPr>
        <w:t>由承包人承担</w:t>
      </w:r>
      <w:r>
        <w:rPr>
          <w:rFonts w:hint="eastAsia" w:ascii="宋体" w:hAnsi="宋体"/>
          <w:szCs w:val="21"/>
          <w:highlight w:val="none"/>
        </w:rPr>
        <w:t>。</w:t>
      </w:r>
    </w:p>
    <w:p w14:paraId="04FFBC4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发包人审批承包人文件的期限：</w:t>
      </w:r>
      <w:r>
        <w:rPr>
          <w:rFonts w:hint="eastAsia" w:ascii="宋体" w:hAnsi="宋体"/>
          <w:szCs w:val="21"/>
          <w:highlight w:val="none"/>
          <w:u w:val="single"/>
        </w:rPr>
        <w:t>收到后14天内；合同另有约定的，从其约定</w:t>
      </w:r>
      <w:r>
        <w:rPr>
          <w:rFonts w:hint="eastAsia" w:ascii="宋体" w:hAnsi="宋体"/>
          <w:szCs w:val="21"/>
          <w:highlight w:val="none"/>
        </w:rPr>
        <w:t>。</w:t>
      </w:r>
    </w:p>
    <w:p w14:paraId="5AF90EDD">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监理人、发包人的修改意见和审批，不免除或减轻承包人对该工作、工程、材料、工程设备等应承担的责任和义务</w:t>
      </w:r>
      <w:r>
        <w:rPr>
          <w:rFonts w:hint="eastAsia" w:ascii="宋体" w:hAnsi="宋体"/>
          <w:szCs w:val="21"/>
          <w:highlight w:val="none"/>
        </w:rPr>
        <w:t>。</w:t>
      </w:r>
    </w:p>
    <w:p w14:paraId="3E80360C">
      <w:pPr>
        <w:pStyle w:val="7"/>
        <w:spacing w:before="0" w:beforeAutospacing="0" w:after="0" w:afterAutospacing="0" w:line="360" w:lineRule="auto"/>
        <w:ind w:firstLine="422" w:firstLineChars="200"/>
        <w:rPr>
          <w:sz w:val="21"/>
          <w:szCs w:val="21"/>
          <w:highlight w:val="none"/>
        </w:rPr>
      </w:pPr>
      <w:bookmarkStart w:id="1203" w:name="_Toc532377326"/>
      <w:r>
        <w:rPr>
          <w:rFonts w:hint="eastAsia"/>
          <w:sz w:val="21"/>
          <w:szCs w:val="21"/>
          <w:highlight w:val="none"/>
        </w:rPr>
        <w:t>1.7 联络</w:t>
      </w:r>
      <w:bookmarkEnd w:id="1203"/>
    </w:p>
    <w:p w14:paraId="0C7851B1">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1.7.1 发包人和承包人应当在</w:t>
      </w:r>
      <w:r>
        <w:rPr>
          <w:rFonts w:hint="eastAsia" w:ascii="宋体" w:hAnsi="宋体"/>
          <w:szCs w:val="21"/>
          <w:highlight w:val="none"/>
          <w:u w:val="single"/>
        </w:rPr>
        <w:t xml:space="preserve"> 1 </w:t>
      </w:r>
      <w:r>
        <w:rPr>
          <w:rFonts w:hint="eastAsia" w:ascii="宋体" w:hAnsi="宋体"/>
          <w:kern w:val="0"/>
          <w:szCs w:val="21"/>
          <w:highlight w:val="none"/>
        </w:rPr>
        <w:t>天内将与合同有关的通知、批准、证明、证书、指示、指令、要求、请求、同意、意见、确定和决定等书面函件送达对方当事人，并办理书面签收手续。</w:t>
      </w:r>
    </w:p>
    <w:p w14:paraId="40A26A99">
      <w:pPr>
        <w:tabs>
          <w:tab w:val="left" w:pos="7513"/>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1.7.2 发包人接收文件地点：</w:t>
      </w:r>
      <w:r>
        <w:rPr>
          <w:rFonts w:ascii="宋体" w:hAnsi="宋体"/>
          <w:kern w:val="0"/>
          <w:szCs w:val="21"/>
          <w:highlight w:val="none"/>
          <w:u w:val="single"/>
        </w:rPr>
        <w:t xml:space="preserve">                        </w:t>
      </w:r>
      <w:r>
        <w:rPr>
          <w:rFonts w:hint="eastAsia" w:ascii="宋体" w:hAnsi="宋体"/>
          <w:kern w:val="0"/>
          <w:szCs w:val="21"/>
          <w:highlight w:val="none"/>
        </w:rPr>
        <w:t>；</w:t>
      </w:r>
    </w:p>
    <w:p w14:paraId="44B28DD0">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发包人指定的接收人：</w:t>
      </w:r>
      <w:bookmarkStart w:id="1204" w:name="_Hlk528493983"/>
      <w:bookmarkEnd w:id="1204"/>
      <w:r>
        <w:rPr>
          <w:rFonts w:ascii="宋体" w:hAnsi="宋体"/>
          <w:kern w:val="0"/>
          <w:szCs w:val="21"/>
          <w:highlight w:val="none"/>
          <w:u w:val="single"/>
        </w:rPr>
        <w:t xml:space="preserve">                             </w:t>
      </w:r>
      <w:r>
        <w:rPr>
          <w:rFonts w:hint="eastAsia" w:ascii="宋体" w:hAnsi="宋体"/>
          <w:kern w:val="0"/>
          <w:szCs w:val="21"/>
          <w:highlight w:val="none"/>
        </w:rPr>
        <w:t>；</w:t>
      </w:r>
    </w:p>
    <w:p w14:paraId="283E447E">
      <w:pPr>
        <w:tabs>
          <w:tab w:val="left" w:pos="7513"/>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承包人接收文件地点：</w:t>
      </w:r>
      <w:r>
        <w:rPr>
          <w:rFonts w:ascii="宋体" w:hAnsi="宋体"/>
          <w:kern w:val="0"/>
          <w:szCs w:val="21"/>
          <w:highlight w:val="none"/>
          <w:u w:val="single"/>
        </w:rPr>
        <w:t xml:space="preserve">                             </w:t>
      </w:r>
      <w:r>
        <w:rPr>
          <w:rFonts w:hint="eastAsia" w:ascii="宋体" w:hAnsi="宋体"/>
          <w:kern w:val="0"/>
          <w:szCs w:val="21"/>
          <w:highlight w:val="none"/>
        </w:rPr>
        <w:t>；</w:t>
      </w:r>
    </w:p>
    <w:p w14:paraId="29B4EDB6">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承包人指定的接收人：</w:t>
      </w:r>
      <w:r>
        <w:rPr>
          <w:rFonts w:ascii="宋体" w:hAnsi="宋体"/>
          <w:kern w:val="0"/>
          <w:szCs w:val="21"/>
          <w:highlight w:val="none"/>
          <w:u w:val="single"/>
        </w:rPr>
        <w:t xml:space="preserve">                             </w:t>
      </w:r>
      <w:r>
        <w:rPr>
          <w:rFonts w:hint="eastAsia" w:ascii="宋体" w:hAnsi="宋体"/>
          <w:kern w:val="0"/>
          <w:szCs w:val="21"/>
          <w:highlight w:val="none"/>
        </w:rPr>
        <w:t>；</w:t>
      </w:r>
    </w:p>
    <w:p w14:paraId="205603BE">
      <w:pPr>
        <w:tabs>
          <w:tab w:val="left" w:pos="7371"/>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监理人接收文件地点：</w:t>
      </w:r>
      <w:r>
        <w:rPr>
          <w:rFonts w:ascii="宋体" w:hAnsi="宋体"/>
          <w:kern w:val="0"/>
          <w:szCs w:val="21"/>
          <w:highlight w:val="none"/>
          <w:u w:val="single"/>
        </w:rPr>
        <w:t xml:space="preserve">                             </w:t>
      </w:r>
      <w:r>
        <w:rPr>
          <w:rFonts w:hint="eastAsia" w:ascii="宋体" w:hAnsi="宋体"/>
          <w:kern w:val="0"/>
          <w:szCs w:val="21"/>
          <w:highlight w:val="none"/>
        </w:rPr>
        <w:t>；</w:t>
      </w:r>
    </w:p>
    <w:p w14:paraId="46DC563D">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监理人指定的接收人：</w:t>
      </w:r>
      <w:r>
        <w:rPr>
          <w:rFonts w:ascii="宋体" w:hAnsi="宋体"/>
          <w:kern w:val="0"/>
          <w:szCs w:val="21"/>
          <w:highlight w:val="none"/>
          <w:u w:val="single"/>
        </w:rPr>
        <w:t xml:space="preserve">                             </w:t>
      </w:r>
      <w:r>
        <w:rPr>
          <w:rFonts w:hint="eastAsia" w:ascii="宋体" w:hAnsi="宋体"/>
          <w:kern w:val="0"/>
          <w:szCs w:val="21"/>
          <w:highlight w:val="none"/>
        </w:rPr>
        <w:t>。</w:t>
      </w:r>
    </w:p>
    <w:p w14:paraId="315BF015">
      <w:pPr>
        <w:pStyle w:val="7"/>
        <w:spacing w:before="0" w:beforeAutospacing="0" w:after="0" w:afterAutospacing="0" w:line="360" w:lineRule="auto"/>
        <w:ind w:firstLine="422" w:firstLineChars="200"/>
        <w:rPr>
          <w:sz w:val="21"/>
          <w:szCs w:val="21"/>
          <w:highlight w:val="none"/>
        </w:rPr>
      </w:pPr>
      <w:bookmarkStart w:id="1205" w:name="_Toc532377327"/>
      <w:r>
        <w:rPr>
          <w:rFonts w:hint="eastAsia"/>
          <w:sz w:val="21"/>
          <w:szCs w:val="21"/>
          <w:highlight w:val="none"/>
        </w:rPr>
        <w:t>1.8 严禁贿赂</w:t>
      </w:r>
      <w:bookmarkEnd w:id="1205"/>
    </w:p>
    <w:p w14:paraId="55CB6A03">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本款补充以下内容：</w:t>
      </w:r>
    </w:p>
    <w:p w14:paraId="636F420E">
      <w:pPr>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在合同执行过程中，合同当事人应严格履行附件8《廉洁从业协议》。</w:t>
      </w:r>
    </w:p>
    <w:p w14:paraId="4D3D8CF2">
      <w:pPr>
        <w:pStyle w:val="7"/>
        <w:spacing w:before="0" w:beforeAutospacing="0" w:after="0" w:afterAutospacing="0" w:line="360" w:lineRule="auto"/>
        <w:ind w:firstLine="422" w:firstLineChars="200"/>
        <w:rPr>
          <w:sz w:val="21"/>
          <w:szCs w:val="21"/>
          <w:highlight w:val="none"/>
        </w:rPr>
      </w:pPr>
      <w:bookmarkStart w:id="1206" w:name="_Toc532377328"/>
      <w:r>
        <w:rPr>
          <w:rFonts w:hint="eastAsia"/>
          <w:sz w:val="21"/>
          <w:szCs w:val="21"/>
          <w:highlight w:val="none"/>
        </w:rPr>
        <w:t>1.10 交通运输</w:t>
      </w:r>
      <w:bookmarkEnd w:id="1206"/>
    </w:p>
    <w:p w14:paraId="76E6F5F0">
      <w:pPr>
        <w:spacing w:line="360" w:lineRule="auto"/>
        <w:ind w:firstLine="420" w:firstLineChars="200"/>
        <w:jc w:val="left"/>
        <w:rPr>
          <w:rFonts w:ascii="宋体" w:hAnsi="宋体"/>
          <w:szCs w:val="21"/>
          <w:highlight w:val="none"/>
        </w:rPr>
      </w:pPr>
      <w:r>
        <w:rPr>
          <w:rFonts w:hint="eastAsia" w:ascii="宋体" w:hAnsi="宋体"/>
          <w:szCs w:val="21"/>
          <w:highlight w:val="none"/>
        </w:rPr>
        <w:t>1</w:t>
      </w:r>
      <w:bookmarkStart w:id="1207" w:name="_Toc303539100"/>
      <w:bookmarkStart w:id="1208" w:name="_Toc300934943"/>
      <w:bookmarkStart w:id="1209" w:name="_Toc318581155"/>
      <w:bookmarkStart w:id="1210" w:name="_Toc312677986"/>
      <w:bookmarkStart w:id="1211" w:name="_Toc304295521"/>
      <w:r>
        <w:rPr>
          <w:rFonts w:hint="eastAsia" w:ascii="宋体" w:hAnsi="宋体"/>
          <w:szCs w:val="21"/>
          <w:highlight w:val="none"/>
        </w:rPr>
        <w:t>.10.1 出入现场的权利</w:t>
      </w:r>
    </w:p>
    <w:p w14:paraId="59A67E75">
      <w:pPr>
        <w:spacing w:line="360" w:lineRule="auto"/>
        <w:ind w:firstLine="420" w:firstLineChars="200"/>
        <w:jc w:val="left"/>
        <w:rPr>
          <w:rFonts w:ascii="宋体" w:hAnsi="宋体"/>
          <w:kern w:val="0"/>
          <w:szCs w:val="21"/>
          <w:highlight w:val="none"/>
        </w:rPr>
      </w:pPr>
      <w:r>
        <w:rPr>
          <w:rFonts w:hint="eastAsia" w:ascii="宋体" w:hAnsi="宋体"/>
          <w:szCs w:val="21"/>
          <w:highlight w:val="none"/>
        </w:rPr>
        <w:t>关于出入现场的权利的约定：</w:t>
      </w:r>
      <w:r>
        <w:rPr>
          <w:rFonts w:hint="eastAsia" w:ascii="宋体" w:hAnsi="宋体"/>
          <w:szCs w:val="21"/>
          <w:highlight w:val="none"/>
          <w:u w:val="single"/>
        </w:rPr>
        <w:t xml:space="preserve">        </w:t>
      </w:r>
      <w:r>
        <w:rPr>
          <w:rFonts w:hint="eastAsia" w:ascii="宋体" w:hAnsi="宋体"/>
          <w:szCs w:val="21"/>
          <w:highlight w:val="none"/>
        </w:rPr>
        <w:t>。</w:t>
      </w:r>
    </w:p>
    <w:bookmarkEnd w:id="1207"/>
    <w:bookmarkEnd w:id="1208"/>
    <w:bookmarkEnd w:id="1209"/>
    <w:bookmarkEnd w:id="1210"/>
    <w:bookmarkEnd w:id="1211"/>
    <w:p w14:paraId="7ED83B5E">
      <w:pPr>
        <w:spacing w:line="360" w:lineRule="auto"/>
        <w:ind w:firstLine="420" w:firstLineChars="200"/>
        <w:jc w:val="left"/>
        <w:rPr>
          <w:rFonts w:ascii="宋体" w:hAnsi="宋体"/>
          <w:szCs w:val="21"/>
          <w:highlight w:val="none"/>
        </w:rPr>
      </w:pPr>
      <w:r>
        <w:rPr>
          <w:rFonts w:hint="eastAsia" w:ascii="宋体" w:hAnsi="宋体"/>
          <w:szCs w:val="21"/>
          <w:highlight w:val="none"/>
        </w:rPr>
        <w:t>1.10.2 场外交通</w:t>
      </w:r>
    </w:p>
    <w:p w14:paraId="766413A7">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承包人应遵守有关交通法规，执行有关道路限速、限行、禁止超载的规定，并配合交通管理部门的监督和检查。场外交通以施工场地移交时的现状为准。</w:t>
      </w:r>
    </w:p>
    <w:p w14:paraId="7C225AF2">
      <w:pPr>
        <w:spacing w:line="360" w:lineRule="auto"/>
        <w:ind w:firstLine="420" w:firstLineChars="200"/>
        <w:jc w:val="left"/>
        <w:rPr>
          <w:rFonts w:ascii="宋体" w:hAnsi="宋体"/>
          <w:szCs w:val="21"/>
          <w:highlight w:val="none"/>
        </w:rPr>
      </w:pPr>
      <w:r>
        <w:rPr>
          <w:rFonts w:hint="eastAsia" w:ascii="宋体" w:hAnsi="宋体"/>
          <w:szCs w:val="21"/>
          <w:highlight w:val="none"/>
        </w:rPr>
        <w:t>1</w:t>
      </w:r>
      <w:bookmarkStart w:id="1212" w:name="_Toc300934944"/>
      <w:bookmarkStart w:id="1213" w:name="_Toc303539101"/>
      <w:bookmarkStart w:id="1214" w:name="_Toc318581156"/>
      <w:bookmarkStart w:id="1215" w:name="_Toc304295522"/>
      <w:bookmarkStart w:id="1216" w:name="_Toc312677987"/>
      <w:r>
        <w:rPr>
          <w:rFonts w:hint="eastAsia" w:ascii="宋体" w:hAnsi="宋体"/>
          <w:szCs w:val="21"/>
          <w:highlight w:val="none"/>
        </w:rPr>
        <w:t>.10.3 场内交通</w:t>
      </w:r>
    </w:p>
    <w:p w14:paraId="027E70F4">
      <w:pPr>
        <w:spacing w:line="360" w:lineRule="auto"/>
        <w:ind w:firstLine="420" w:firstLineChars="200"/>
        <w:jc w:val="left"/>
        <w:rPr>
          <w:rFonts w:ascii="宋体" w:hAnsi="宋体"/>
          <w:szCs w:val="21"/>
          <w:highlight w:val="none"/>
          <w:u w:val="single"/>
        </w:rPr>
      </w:pPr>
      <w:r>
        <w:rPr>
          <w:rFonts w:hint="eastAsia" w:ascii="宋体" w:hAnsi="宋体"/>
          <w:kern w:val="0"/>
          <w:szCs w:val="21"/>
          <w:highlight w:val="none"/>
        </w:rPr>
        <w:t>关于场外交通和场内交通的边界的约定：</w:t>
      </w:r>
      <w:r>
        <w:rPr>
          <w:rFonts w:hint="eastAsia" w:ascii="宋体" w:hAnsi="宋体"/>
          <w:szCs w:val="21"/>
          <w:highlight w:val="none"/>
          <w:u w:val="single"/>
        </w:rPr>
        <w:t>以合同工程用地红线为界，用地红线外为场外交通，用地红线范围内为场内交通（场外道路穿越场内的除外）</w:t>
      </w:r>
      <w:r>
        <w:rPr>
          <w:rFonts w:hint="eastAsia" w:ascii="宋体" w:hAnsi="宋体"/>
          <w:szCs w:val="21"/>
          <w:highlight w:val="none"/>
        </w:rPr>
        <w:t>。</w:t>
      </w:r>
    </w:p>
    <w:p w14:paraId="6F8D037E">
      <w:pPr>
        <w:spacing w:line="360" w:lineRule="auto"/>
        <w:ind w:firstLine="420" w:firstLineChars="200"/>
        <w:jc w:val="left"/>
        <w:rPr>
          <w:rFonts w:ascii="宋体" w:hAnsi="宋体"/>
          <w:szCs w:val="21"/>
          <w:highlight w:val="none"/>
        </w:rPr>
      </w:pPr>
      <w:r>
        <w:rPr>
          <w:rFonts w:hint="eastAsia" w:ascii="宋体" w:hAnsi="宋体"/>
          <w:kern w:val="0"/>
          <w:szCs w:val="21"/>
          <w:highlight w:val="none"/>
        </w:rPr>
        <w:t>关于发包人向承包人免费提供满足工程施工需要的场内道路和交通设施的约定：</w:t>
      </w:r>
      <w:r>
        <w:rPr>
          <w:rFonts w:hint="eastAsia" w:ascii="宋体" w:hAnsi="宋体"/>
          <w:kern w:val="0"/>
          <w:szCs w:val="21"/>
          <w:highlight w:val="none"/>
          <w:u w:val="single"/>
        </w:rPr>
        <w:t>以施工场地移交时的现状为准</w:t>
      </w:r>
      <w:r>
        <w:rPr>
          <w:rFonts w:hint="eastAsia" w:ascii="宋体" w:hAnsi="宋体"/>
          <w:szCs w:val="21"/>
          <w:highlight w:val="none"/>
        </w:rPr>
        <w:t>。</w:t>
      </w:r>
    </w:p>
    <w:bookmarkEnd w:id="1212"/>
    <w:bookmarkEnd w:id="1213"/>
    <w:bookmarkEnd w:id="1214"/>
    <w:bookmarkEnd w:id="1215"/>
    <w:bookmarkEnd w:id="1216"/>
    <w:p w14:paraId="60E090DA">
      <w:pPr>
        <w:spacing w:line="360" w:lineRule="auto"/>
        <w:ind w:firstLine="420" w:firstLineChars="200"/>
        <w:jc w:val="left"/>
        <w:rPr>
          <w:rFonts w:ascii="宋体" w:hAnsi="宋体"/>
          <w:szCs w:val="21"/>
          <w:highlight w:val="none"/>
        </w:rPr>
      </w:pPr>
      <w:bookmarkStart w:id="1217" w:name="_Toc318581157"/>
      <w:r>
        <w:rPr>
          <w:rFonts w:hint="eastAsia" w:ascii="宋体" w:hAnsi="宋体"/>
          <w:szCs w:val="21"/>
          <w:highlight w:val="none"/>
        </w:rPr>
        <w:t>1.10.4 超大件和超重件的运输</w:t>
      </w:r>
    </w:p>
    <w:p w14:paraId="3F4687F4">
      <w:pPr>
        <w:spacing w:line="360" w:lineRule="auto"/>
        <w:ind w:firstLine="420" w:firstLineChars="200"/>
        <w:jc w:val="left"/>
        <w:rPr>
          <w:rFonts w:ascii="宋体" w:hAnsi="宋体"/>
          <w:szCs w:val="21"/>
          <w:highlight w:val="none"/>
        </w:rPr>
      </w:pPr>
      <w:r>
        <w:rPr>
          <w:rFonts w:hint="eastAsia" w:ascii="宋体" w:hAnsi="宋体"/>
          <w:szCs w:val="21"/>
          <w:highlight w:val="none"/>
        </w:rPr>
        <w:t>运输超大件或超重件所需的道路和桥梁临时加固改造费用和其他有关费用由</w:t>
      </w:r>
      <w:r>
        <w:rPr>
          <w:rFonts w:hint="eastAsia" w:ascii="宋体" w:hAnsi="宋体"/>
          <w:szCs w:val="21"/>
          <w:highlight w:val="none"/>
          <w:u w:val="single"/>
        </w:rPr>
        <w:t>发包人</w:t>
      </w:r>
      <w:r>
        <w:rPr>
          <w:rFonts w:hint="eastAsia" w:ascii="宋体" w:hAnsi="宋体"/>
          <w:szCs w:val="21"/>
          <w:highlight w:val="none"/>
        </w:rPr>
        <w:t>承担。</w:t>
      </w:r>
    </w:p>
    <w:bookmarkEnd w:id="1217"/>
    <w:p w14:paraId="692277AE">
      <w:pPr>
        <w:pStyle w:val="7"/>
        <w:spacing w:before="0" w:beforeAutospacing="0" w:after="0" w:afterAutospacing="0" w:line="360" w:lineRule="auto"/>
        <w:ind w:firstLine="422" w:firstLineChars="200"/>
        <w:rPr>
          <w:sz w:val="21"/>
          <w:szCs w:val="21"/>
          <w:highlight w:val="none"/>
        </w:rPr>
      </w:pPr>
      <w:bookmarkStart w:id="1218" w:name="_Toc532377329"/>
      <w:r>
        <w:rPr>
          <w:rFonts w:hint="eastAsia"/>
          <w:sz w:val="21"/>
          <w:szCs w:val="21"/>
          <w:highlight w:val="none"/>
        </w:rPr>
        <w:t>1.11 知识产权</w:t>
      </w:r>
      <w:bookmarkEnd w:id="1218"/>
    </w:p>
    <w:p w14:paraId="771739B7">
      <w:pPr>
        <w:spacing w:line="360" w:lineRule="auto"/>
        <w:ind w:firstLine="420" w:firstLineChars="200"/>
        <w:jc w:val="left"/>
        <w:rPr>
          <w:rFonts w:ascii="宋体" w:hAnsi="宋体"/>
          <w:szCs w:val="21"/>
          <w:highlight w:val="none"/>
        </w:rPr>
      </w:pPr>
      <w:r>
        <w:rPr>
          <w:rFonts w:hint="eastAsia" w:ascii="宋体" w:hAnsi="宋体"/>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highlight w:val="none"/>
          <w:u w:val="single"/>
        </w:rPr>
        <w:t>属于发包人</w:t>
      </w:r>
      <w:r>
        <w:rPr>
          <w:rFonts w:hint="eastAsia" w:ascii="宋体" w:hAnsi="宋体"/>
          <w:szCs w:val="21"/>
          <w:highlight w:val="none"/>
        </w:rPr>
        <w:t>。</w:t>
      </w:r>
    </w:p>
    <w:p w14:paraId="3EE417DA">
      <w:pPr>
        <w:spacing w:line="360" w:lineRule="auto"/>
        <w:ind w:firstLine="420" w:firstLineChars="200"/>
        <w:jc w:val="left"/>
        <w:rPr>
          <w:rFonts w:ascii="宋体" w:hAnsi="宋体"/>
          <w:szCs w:val="21"/>
          <w:highlight w:val="none"/>
        </w:rPr>
      </w:pPr>
      <w:r>
        <w:rPr>
          <w:rFonts w:hint="eastAsia" w:ascii="宋体" w:hAnsi="宋体"/>
          <w:szCs w:val="21"/>
          <w:highlight w:val="none"/>
        </w:rPr>
        <w:t>关于发包人提供的上述文件的使用限制的要求：</w:t>
      </w:r>
      <w:r>
        <w:rPr>
          <w:rFonts w:hint="eastAsia" w:ascii="宋体" w:hAnsi="宋体"/>
          <w:szCs w:val="21"/>
          <w:highlight w:val="none"/>
          <w:u w:val="single"/>
        </w:rPr>
        <w:t>按通用合同条款执行</w:t>
      </w:r>
      <w:r>
        <w:rPr>
          <w:rFonts w:hint="eastAsia" w:ascii="宋体" w:hAnsi="宋体"/>
          <w:szCs w:val="21"/>
          <w:highlight w:val="none"/>
        </w:rPr>
        <w:t>。</w:t>
      </w:r>
    </w:p>
    <w:p w14:paraId="361E5443">
      <w:pPr>
        <w:spacing w:line="360" w:lineRule="auto"/>
        <w:ind w:firstLine="420" w:firstLineChars="200"/>
        <w:jc w:val="left"/>
        <w:rPr>
          <w:rFonts w:ascii="宋体" w:hAnsi="宋体"/>
          <w:szCs w:val="21"/>
          <w:highlight w:val="none"/>
        </w:rPr>
      </w:pPr>
      <w:r>
        <w:rPr>
          <w:rFonts w:hint="eastAsia" w:ascii="宋体" w:hAnsi="宋体"/>
          <w:szCs w:val="21"/>
          <w:highlight w:val="none"/>
        </w:rPr>
        <w:t>1.11.4 承包人在施工过程中所采用的专利、专有技术、技术秘密的使用费的承担方式：</w:t>
      </w:r>
      <w:r>
        <w:rPr>
          <w:rFonts w:hint="eastAsia" w:ascii="宋体" w:hAnsi="宋体"/>
          <w:szCs w:val="21"/>
          <w:highlight w:val="none"/>
          <w:u w:val="single"/>
        </w:rPr>
        <w:t xml:space="preserve">        </w:t>
      </w:r>
      <w:r>
        <w:rPr>
          <w:rFonts w:hint="eastAsia" w:ascii="宋体" w:hAnsi="宋体"/>
          <w:szCs w:val="21"/>
          <w:highlight w:val="none"/>
        </w:rPr>
        <w:t>。</w:t>
      </w:r>
    </w:p>
    <w:p w14:paraId="61F8B34F">
      <w:pPr>
        <w:pStyle w:val="7"/>
        <w:spacing w:before="0" w:beforeAutospacing="0" w:after="0" w:afterAutospacing="0" w:line="360" w:lineRule="auto"/>
        <w:ind w:firstLine="422" w:firstLineChars="200"/>
        <w:rPr>
          <w:sz w:val="21"/>
          <w:szCs w:val="21"/>
          <w:highlight w:val="none"/>
        </w:rPr>
      </w:pPr>
      <w:bookmarkStart w:id="1219" w:name="_Toc532377330"/>
      <w:r>
        <w:rPr>
          <w:rFonts w:hint="eastAsia"/>
          <w:sz w:val="21"/>
          <w:szCs w:val="21"/>
          <w:highlight w:val="none"/>
        </w:rPr>
        <w:t>1.13工程量清单错误的修正</w:t>
      </w:r>
      <w:bookmarkEnd w:id="1219"/>
    </w:p>
    <w:p w14:paraId="3541FE7E">
      <w:pPr>
        <w:spacing w:line="360" w:lineRule="auto"/>
        <w:ind w:firstLine="420" w:firstLineChars="200"/>
        <w:jc w:val="left"/>
        <w:rPr>
          <w:rFonts w:ascii="宋体" w:hAnsi="宋体"/>
          <w:szCs w:val="21"/>
          <w:highlight w:val="none"/>
        </w:rPr>
      </w:pPr>
      <w:r>
        <w:rPr>
          <w:rFonts w:hint="eastAsia" w:ascii="宋体" w:hAnsi="宋体"/>
          <w:szCs w:val="21"/>
          <w:highlight w:val="none"/>
        </w:rPr>
        <w:t>出现工程量清单错误时，责任和权利划分：</w:t>
      </w:r>
      <w:r>
        <w:rPr>
          <w:rFonts w:hint="eastAsia" w:ascii="宋体" w:hAnsi="宋体"/>
          <w:szCs w:val="21"/>
          <w:highlight w:val="none"/>
          <w:u w:val="single"/>
        </w:rPr>
        <w:t xml:space="preserve">        </w:t>
      </w:r>
      <w:r>
        <w:rPr>
          <w:rFonts w:hint="eastAsia" w:ascii="宋体" w:hAnsi="宋体"/>
          <w:szCs w:val="21"/>
          <w:highlight w:val="none"/>
        </w:rPr>
        <w:t>。</w:t>
      </w:r>
    </w:p>
    <w:p w14:paraId="05623F46">
      <w:pPr>
        <w:spacing w:line="360" w:lineRule="auto"/>
        <w:ind w:firstLine="420" w:firstLineChars="200"/>
        <w:jc w:val="left"/>
        <w:rPr>
          <w:rFonts w:ascii="宋体" w:hAnsi="宋体"/>
          <w:szCs w:val="21"/>
          <w:highlight w:val="none"/>
        </w:rPr>
      </w:pPr>
      <w:r>
        <w:rPr>
          <w:rFonts w:hint="eastAsia" w:ascii="宋体" w:hAnsi="宋体"/>
          <w:szCs w:val="21"/>
          <w:highlight w:val="none"/>
        </w:rPr>
        <w:t>出现工程量清单错误时，是否调整合同价格：</w:t>
      </w:r>
      <w:r>
        <w:rPr>
          <w:rFonts w:hint="eastAsia" w:ascii="宋体" w:hAnsi="宋体"/>
          <w:szCs w:val="21"/>
          <w:highlight w:val="none"/>
          <w:u w:val="single"/>
        </w:rPr>
        <w:t xml:space="preserve">        </w:t>
      </w:r>
      <w:r>
        <w:rPr>
          <w:rFonts w:hint="eastAsia" w:ascii="宋体" w:hAnsi="宋体"/>
          <w:kern w:val="0"/>
          <w:szCs w:val="21"/>
          <w:highlight w:val="none"/>
        </w:rPr>
        <w:t>。</w:t>
      </w:r>
    </w:p>
    <w:p w14:paraId="06923CCC">
      <w:pPr>
        <w:spacing w:line="360" w:lineRule="auto"/>
        <w:ind w:firstLine="420" w:firstLineChars="200"/>
        <w:jc w:val="left"/>
        <w:rPr>
          <w:rFonts w:ascii="宋体" w:hAnsi="宋体"/>
          <w:szCs w:val="21"/>
          <w:highlight w:val="none"/>
        </w:rPr>
      </w:pPr>
      <w:r>
        <w:rPr>
          <w:rFonts w:hint="eastAsia" w:ascii="宋体" w:hAnsi="宋体"/>
          <w:szCs w:val="21"/>
          <w:highlight w:val="none"/>
        </w:rPr>
        <w:t>允许调整合同价格的工程量偏差范围：</w:t>
      </w:r>
      <w:r>
        <w:rPr>
          <w:rFonts w:hint="eastAsia" w:ascii="宋体" w:hAnsi="宋体"/>
          <w:szCs w:val="21"/>
          <w:highlight w:val="none"/>
          <w:u w:val="single"/>
        </w:rPr>
        <w:t xml:space="preserve">        </w:t>
      </w:r>
      <w:r>
        <w:rPr>
          <w:rFonts w:hint="eastAsia" w:ascii="宋体" w:hAnsi="宋体"/>
          <w:szCs w:val="21"/>
          <w:highlight w:val="none"/>
        </w:rPr>
        <w:t>。</w:t>
      </w:r>
    </w:p>
    <w:p w14:paraId="20D88BE8">
      <w:pPr>
        <w:pStyle w:val="6"/>
        <w:keepNext/>
        <w:keepLines/>
        <w:spacing w:before="156" w:beforeLines="50" w:beforeAutospacing="0" w:after="156" w:afterLines="50" w:afterAutospacing="0" w:line="360" w:lineRule="auto"/>
        <w:jc w:val="both"/>
        <w:rPr>
          <w:bCs w:val="0"/>
          <w:kern w:val="2"/>
          <w:sz w:val="21"/>
          <w:szCs w:val="21"/>
          <w:highlight w:val="none"/>
        </w:rPr>
      </w:pPr>
      <w:bookmarkStart w:id="1220" w:name="_Toc532375609"/>
      <w:bookmarkStart w:id="1221" w:name="_Toc351203634"/>
      <w:bookmarkStart w:id="1222" w:name="_Toc532377331"/>
      <w:r>
        <w:rPr>
          <w:rFonts w:hint="eastAsia"/>
          <w:kern w:val="2"/>
          <w:sz w:val="21"/>
          <w:szCs w:val="21"/>
          <w:highlight w:val="none"/>
        </w:rPr>
        <w:t>2</w:t>
      </w:r>
      <w:bookmarkStart w:id="1223" w:name="_Toc296891197"/>
      <w:bookmarkStart w:id="1224" w:name="_Toc297048343"/>
      <w:bookmarkStart w:id="1225" w:name="_Toc292559362"/>
      <w:bookmarkStart w:id="1226" w:name="_Toc296346658"/>
      <w:bookmarkStart w:id="1227" w:name="_Toc296890985"/>
      <w:bookmarkStart w:id="1228" w:name="_Toc296944496"/>
      <w:bookmarkStart w:id="1229" w:name="_Toc292559867"/>
      <w:bookmarkStart w:id="1230" w:name="_Toc296503157"/>
      <w:bookmarkStart w:id="1231" w:name="_Toc296347156"/>
      <w:bookmarkStart w:id="1232" w:name="_Toc297120457"/>
      <w:r>
        <w:rPr>
          <w:rFonts w:hint="eastAsia"/>
          <w:kern w:val="2"/>
          <w:sz w:val="21"/>
          <w:szCs w:val="21"/>
          <w:highlight w:val="none"/>
        </w:rPr>
        <w:t>. 发包人</w:t>
      </w:r>
      <w:bookmarkEnd w:id="1220"/>
      <w:bookmarkEnd w:id="1221"/>
      <w:bookmarkEnd w:id="1222"/>
    </w:p>
    <w:bookmarkEnd w:id="1223"/>
    <w:bookmarkEnd w:id="1224"/>
    <w:bookmarkEnd w:id="1225"/>
    <w:bookmarkEnd w:id="1226"/>
    <w:bookmarkEnd w:id="1227"/>
    <w:bookmarkEnd w:id="1228"/>
    <w:bookmarkEnd w:id="1229"/>
    <w:bookmarkEnd w:id="1230"/>
    <w:bookmarkEnd w:id="1231"/>
    <w:bookmarkEnd w:id="1232"/>
    <w:p w14:paraId="0C1A9307">
      <w:pPr>
        <w:spacing w:line="360" w:lineRule="auto"/>
        <w:ind w:firstLine="420" w:firstLineChars="200"/>
        <w:jc w:val="left"/>
        <w:rPr>
          <w:rFonts w:ascii="宋体" w:hAnsi="宋体"/>
          <w:szCs w:val="21"/>
          <w:highlight w:val="none"/>
        </w:rPr>
      </w:pPr>
      <w:r>
        <w:rPr>
          <w:rFonts w:hint="eastAsia" w:ascii="宋体" w:hAnsi="宋体"/>
          <w:szCs w:val="21"/>
          <w:highlight w:val="none"/>
        </w:rPr>
        <w:t>2.2.1 发包人代表</w:t>
      </w:r>
    </w:p>
    <w:p w14:paraId="0E34F8B7">
      <w:pPr>
        <w:spacing w:line="360" w:lineRule="auto"/>
        <w:ind w:firstLine="420" w:firstLineChars="200"/>
        <w:jc w:val="left"/>
        <w:rPr>
          <w:rFonts w:ascii="宋体" w:hAnsi="宋体"/>
          <w:szCs w:val="21"/>
          <w:highlight w:val="none"/>
        </w:rPr>
      </w:pPr>
      <w:r>
        <w:rPr>
          <w:rFonts w:hint="eastAsia" w:ascii="宋体" w:hAnsi="宋体"/>
          <w:szCs w:val="21"/>
          <w:highlight w:val="none"/>
        </w:rPr>
        <w:t>发包人代表：</w:t>
      </w:r>
    </w:p>
    <w:p w14:paraId="137E914A">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w:t>
      </w:r>
      <w:r>
        <w:rPr>
          <w:rFonts w:hint="eastAsia" w:ascii="宋体" w:hAnsi="宋体"/>
          <w:szCs w:val="21"/>
          <w:highlight w:val="none"/>
        </w:rPr>
        <w:t>；</w:t>
      </w:r>
    </w:p>
    <w:p w14:paraId="005F07A3">
      <w:pPr>
        <w:spacing w:line="360" w:lineRule="auto"/>
        <w:ind w:firstLine="420" w:firstLineChars="200"/>
        <w:jc w:val="left"/>
        <w:rPr>
          <w:rFonts w:ascii="宋体" w:hAnsi="宋体"/>
          <w:szCs w:val="21"/>
          <w:highlight w:val="none"/>
        </w:rPr>
      </w:pPr>
      <w:r>
        <w:rPr>
          <w:rFonts w:hint="eastAsia" w:ascii="宋体" w:hAnsi="宋体"/>
          <w:szCs w:val="21"/>
          <w:highlight w:val="none"/>
        </w:rPr>
        <w:t>身份证号：</w:t>
      </w:r>
      <w:r>
        <w:rPr>
          <w:rFonts w:ascii="宋体" w:hAnsi="宋体"/>
          <w:szCs w:val="21"/>
          <w:highlight w:val="none"/>
          <w:u w:val="single"/>
        </w:rPr>
        <w:t xml:space="preserve">              </w:t>
      </w:r>
      <w:r>
        <w:rPr>
          <w:rFonts w:hint="eastAsia" w:ascii="宋体" w:hAnsi="宋体"/>
          <w:szCs w:val="21"/>
          <w:highlight w:val="none"/>
        </w:rPr>
        <w:t>；</w:t>
      </w:r>
    </w:p>
    <w:p w14:paraId="4BD959ED">
      <w:pPr>
        <w:spacing w:line="360" w:lineRule="auto"/>
        <w:ind w:firstLine="420" w:firstLineChars="200"/>
        <w:jc w:val="left"/>
        <w:rPr>
          <w:rFonts w:ascii="宋体" w:hAnsi="宋体"/>
          <w:szCs w:val="21"/>
          <w:highlight w:val="none"/>
        </w:rPr>
      </w:pPr>
      <w:r>
        <w:rPr>
          <w:rFonts w:hint="eastAsia" w:ascii="宋体" w:hAnsi="宋体"/>
          <w:szCs w:val="21"/>
          <w:highlight w:val="none"/>
        </w:rPr>
        <w:t>职    务：</w:t>
      </w:r>
      <w:r>
        <w:rPr>
          <w:rFonts w:ascii="宋体" w:hAnsi="宋体"/>
          <w:szCs w:val="21"/>
          <w:highlight w:val="none"/>
          <w:u w:val="single"/>
        </w:rPr>
        <w:t xml:space="preserve">              </w:t>
      </w:r>
      <w:r>
        <w:rPr>
          <w:rFonts w:hint="eastAsia" w:ascii="宋体" w:hAnsi="宋体"/>
          <w:szCs w:val="21"/>
          <w:highlight w:val="none"/>
        </w:rPr>
        <w:t>；</w:t>
      </w:r>
    </w:p>
    <w:p w14:paraId="0E359C92">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   </w:t>
      </w:r>
      <w:r>
        <w:rPr>
          <w:rFonts w:hint="eastAsia" w:ascii="宋体" w:hAnsi="宋体"/>
          <w:szCs w:val="21"/>
          <w:highlight w:val="none"/>
        </w:rPr>
        <w:t>；</w:t>
      </w:r>
    </w:p>
    <w:p w14:paraId="169AE881">
      <w:pPr>
        <w:spacing w:line="360" w:lineRule="auto"/>
        <w:ind w:firstLine="420" w:firstLineChars="200"/>
        <w:jc w:val="left"/>
        <w:rPr>
          <w:rFonts w:ascii="宋体" w:hAnsi="宋体"/>
          <w:szCs w:val="21"/>
          <w:highlight w:val="none"/>
        </w:rPr>
      </w:pPr>
      <w:r>
        <w:rPr>
          <w:rFonts w:hint="eastAsia" w:ascii="宋体" w:hAnsi="宋体"/>
          <w:szCs w:val="21"/>
          <w:highlight w:val="none"/>
        </w:rPr>
        <w:t>邮    编：</w:t>
      </w:r>
      <w:r>
        <w:rPr>
          <w:rFonts w:ascii="宋体" w:hAnsi="宋体"/>
          <w:szCs w:val="21"/>
          <w:highlight w:val="none"/>
          <w:u w:val="single"/>
        </w:rPr>
        <w:t xml:space="preserve">              </w:t>
      </w:r>
      <w:r>
        <w:rPr>
          <w:rFonts w:hint="eastAsia" w:ascii="宋体" w:hAnsi="宋体"/>
          <w:szCs w:val="21"/>
          <w:highlight w:val="none"/>
        </w:rPr>
        <w:t>；</w:t>
      </w:r>
    </w:p>
    <w:p w14:paraId="054B6C36">
      <w:pPr>
        <w:spacing w:line="360" w:lineRule="auto"/>
        <w:ind w:firstLine="420" w:firstLineChars="200"/>
        <w:jc w:val="left"/>
        <w:rPr>
          <w:rFonts w:ascii="宋体" w:hAnsi="宋体"/>
          <w:szCs w:val="21"/>
          <w:highlight w:val="none"/>
        </w:rPr>
      </w:pPr>
      <w:r>
        <w:rPr>
          <w:rFonts w:hint="eastAsia" w:ascii="宋体" w:hAnsi="宋体"/>
          <w:szCs w:val="21"/>
          <w:highlight w:val="none"/>
        </w:rPr>
        <w:t>发包人对发包人代表的授权范围如下：</w:t>
      </w:r>
      <w:r>
        <w:rPr>
          <w:rFonts w:hint="eastAsia" w:ascii="宋体" w:hAnsi="宋体"/>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highlight w:val="none"/>
        </w:rPr>
        <w:t>。</w:t>
      </w:r>
    </w:p>
    <w:p w14:paraId="770F6659">
      <w:pPr>
        <w:pStyle w:val="7"/>
        <w:spacing w:before="0" w:beforeAutospacing="0" w:after="0" w:afterAutospacing="0" w:line="360" w:lineRule="auto"/>
        <w:ind w:firstLine="422" w:firstLineChars="200"/>
        <w:rPr>
          <w:sz w:val="21"/>
          <w:szCs w:val="21"/>
          <w:highlight w:val="none"/>
        </w:rPr>
      </w:pPr>
      <w:bookmarkStart w:id="1233" w:name="_Toc532377332"/>
      <w:r>
        <w:rPr>
          <w:rFonts w:hint="eastAsia"/>
          <w:sz w:val="21"/>
          <w:szCs w:val="21"/>
          <w:highlight w:val="none"/>
        </w:rPr>
        <w:t>2.4 施工现场、施工条件和基础资料的提供</w:t>
      </w:r>
      <w:bookmarkEnd w:id="1233"/>
    </w:p>
    <w:p w14:paraId="1D061C1D">
      <w:pPr>
        <w:spacing w:line="360" w:lineRule="auto"/>
        <w:ind w:firstLine="420" w:firstLineChars="200"/>
        <w:jc w:val="left"/>
        <w:rPr>
          <w:rFonts w:ascii="宋体" w:hAnsi="宋体"/>
          <w:szCs w:val="21"/>
          <w:highlight w:val="none"/>
        </w:rPr>
      </w:pPr>
      <w:r>
        <w:rPr>
          <w:rFonts w:hint="eastAsia" w:ascii="宋体" w:hAnsi="宋体"/>
          <w:szCs w:val="21"/>
          <w:highlight w:val="none"/>
        </w:rPr>
        <w:t>2.4.1 提供施工现场</w:t>
      </w:r>
    </w:p>
    <w:p w14:paraId="2261AC34">
      <w:pPr>
        <w:spacing w:line="360" w:lineRule="auto"/>
        <w:ind w:firstLine="420" w:firstLineChars="200"/>
        <w:jc w:val="left"/>
        <w:rPr>
          <w:rFonts w:ascii="宋体" w:hAnsi="宋体"/>
          <w:szCs w:val="21"/>
          <w:highlight w:val="none"/>
        </w:rPr>
      </w:pPr>
      <w:r>
        <w:rPr>
          <w:rFonts w:hint="eastAsia" w:ascii="宋体" w:hAnsi="宋体"/>
          <w:szCs w:val="21"/>
          <w:highlight w:val="none"/>
        </w:rPr>
        <w:t>2.4.1.1 提供场地：</w:t>
      </w:r>
    </w:p>
    <w:p w14:paraId="4541EA81">
      <w:pPr>
        <w:spacing w:line="360" w:lineRule="auto"/>
        <w:ind w:firstLine="420" w:firstLineChars="200"/>
        <w:jc w:val="left"/>
        <w:rPr>
          <w:rFonts w:ascii="宋体" w:hAnsi="宋体"/>
          <w:szCs w:val="21"/>
          <w:highlight w:val="none"/>
        </w:rPr>
      </w:pPr>
      <w:r>
        <w:rPr>
          <w:rFonts w:hint="eastAsia" w:ascii="宋体" w:hAnsi="宋体"/>
          <w:szCs w:val="21"/>
          <w:highlight w:val="none"/>
        </w:rPr>
        <w:t>施工场地的提供采用以下第</w:t>
      </w:r>
      <w:r>
        <w:rPr>
          <w:rFonts w:hint="eastAsia" w:ascii="宋体" w:hAnsi="宋体"/>
          <w:szCs w:val="21"/>
          <w:highlight w:val="none"/>
          <w:u w:val="single"/>
        </w:rPr>
        <w:t xml:space="preserve">    </w:t>
      </w:r>
      <w:r>
        <w:rPr>
          <w:rFonts w:hint="eastAsia" w:ascii="宋体" w:hAnsi="宋体"/>
          <w:szCs w:val="21"/>
          <w:highlight w:val="none"/>
        </w:rPr>
        <w:t>种方式：</w:t>
      </w:r>
    </w:p>
    <w:p w14:paraId="4C949F1B">
      <w:pPr>
        <w:spacing w:line="360" w:lineRule="auto"/>
        <w:ind w:firstLine="420" w:firstLineChars="200"/>
        <w:jc w:val="left"/>
        <w:rPr>
          <w:rFonts w:ascii="宋体" w:hAnsi="宋体"/>
          <w:szCs w:val="21"/>
          <w:highlight w:val="none"/>
        </w:rPr>
      </w:pPr>
      <w:r>
        <w:rPr>
          <w:rFonts w:hint="eastAsia" w:ascii="宋体" w:hAnsi="宋体"/>
          <w:szCs w:val="21"/>
          <w:highlight w:val="none"/>
        </w:rPr>
        <w:t>（1）一次提供全部施工场地：发包人于</w:t>
      </w:r>
      <w:r>
        <w:rPr>
          <w:rFonts w:hint="eastAsia" w:ascii="宋体" w:hAnsi="宋体"/>
          <w:szCs w:val="21"/>
          <w:highlight w:val="none"/>
          <w:u w:val="single"/>
        </w:rPr>
        <w:t>开工</w:t>
      </w:r>
      <w:r>
        <w:rPr>
          <w:rFonts w:hint="eastAsia" w:ascii="宋体" w:hAnsi="宋体"/>
          <w:szCs w:val="21"/>
          <w:highlight w:val="none"/>
        </w:rPr>
        <w:t>前向承包人提供合同工程用地红线范围内的施工场地。</w:t>
      </w:r>
    </w:p>
    <w:p w14:paraId="2E7A62BA">
      <w:pPr>
        <w:spacing w:line="360" w:lineRule="auto"/>
        <w:ind w:firstLine="420" w:firstLineChars="200"/>
        <w:jc w:val="left"/>
        <w:rPr>
          <w:rFonts w:ascii="宋体" w:hAnsi="宋体"/>
          <w:szCs w:val="21"/>
          <w:highlight w:val="none"/>
        </w:rPr>
      </w:pPr>
      <w:r>
        <w:rPr>
          <w:rFonts w:hint="eastAsia" w:ascii="宋体" w:hAnsi="宋体"/>
          <w:szCs w:val="21"/>
          <w:highlight w:val="none"/>
        </w:rPr>
        <w:t>（2）分次提供全部施工场地：</w:t>
      </w:r>
      <w:r>
        <w:rPr>
          <w:rFonts w:hint="eastAsia" w:ascii="宋体" w:hAnsi="宋体"/>
          <w:szCs w:val="21"/>
          <w:highlight w:val="none"/>
          <w:u w:val="single"/>
        </w:rPr>
        <w:t>发包人按约定的时间分次向承包人提供合同工程用地红线范围内的施工场地</w:t>
      </w:r>
      <w:r>
        <w:rPr>
          <w:rFonts w:hint="eastAsia" w:ascii="宋体" w:hAnsi="宋体"/>
          <w:szCs w:val="21"/>
          <w:highlight w:val="none"/>
        </w:rPr>
        <w:t>。</w:t>
      </w:r>
    </w:p>
    <w:p w14:paraId="49C26A96">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承包人编制的施工组织计划已充分考虑了施工场地提供的因素</w:t>
      </w:r>
      <w:r>
        <w:rPr>
          <w:rFonts w:hint="eastAsia" w:ascii="宋体" w:hAnsi="宋体"/>
          <w:szCs w:val="21"/>
          <w:highlight w:val="none"/>
        </w:rPr>
        <w:t>。</w:t>
      </w:r>
    </w:p>
    <w:p w14:paraId="5E2C9AE5">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highlight w:val="none"/>
        </w:rPr>
        <w:t>。</w:t>
      </w:r>
    </w:p>
    <w:p w14:paraId="735E0E6A">
      <w:pPr>
        <w:spacing w:line="360" w:lineRule="auto"/>
        <w:ind w:firstLine="420" w:firstLineChars="200"/>
        <w:jc w:val="left"/>
        <w:rPr>
          <w:rFonts w:ascii="宋体" w:hAnsi="宋体"/>
          <w:szCs w:val="21"/>
          <w:highlight w:val="none"/>
        </w:rPr>
      </w:pPr>
      <w:r>
        <w:rPr>
          <w:rFonts w:hint="eastAsia" w:ascii="宋体" w:hAnsi="宋体"/>
          <w:szCs w:val="21"/>
          <w:highlight w:val="none"/>
        </w:rPr>
        <w:t>2.4.2 提供施工条件</w:t>
      </w:r>
    </w:p>
    <w:p w14:paraId="4226F4DF">
      <w:pPr>
        <w:spacing w:line="360" w:lineRule="auto"/>
        <w:ind w:firstLine="420" w:firstLineChars="200"/>
        <w:jc w:val="left"/>
        <w:rPr>
          <w:rFonts w:ascii="宋体" w:hAnsi="宋体"/>
          <w:szCs w:val="21"/>
          <w:highlight w:val="none"/>
        </w:rPr>
      </w:pPr>
      <w:r>
        <w:rPr>
          <w:rFonts w:hint="eastAsia" w:ascii="宋体" w:hAnsi="宋体"/>
          <w:szCs w:val="21"/>
          <w:highlight w:val="none"/>
        </w:rPr>
        <w:t>关于发包人应负责提供施工所需要的条件：</w:t>
      </w:r>
      <w:r>
        <w:rPr>
          <w:rFonts w:hint="eastAsia" w:ascii="宋体" w:hAnsi="宋体"/>
          <w:szCs w:val="21"/>
          <w:highlight w:val="none"/>
          <w:u w:val="single"/>
        </w:rPr>
        <w:t xml:space="preserve">        </w:t>
      </w:r>
      <w:r>
        <w:rPr>
          <w:rFonts w:hint="eastAsia" w:ascii="宋体" w:hAnsi="宋体"/>
          <w:szCs w:val="21"/>
          <w:highlight w:val="none"/>
        </w:rPr>
        <w:t>。</w:t>
      </w:r>
    </w:p>
    <w:p w14:paraId="0699B1D2">
      <w:pPr>
        <w:pStyle w:val="7"/>
        <w:spacing w:before="0" w:beforeAutospacing="0" w:after="0" w:afterAutospacing="0" w:line="360" w:lineRule="auto"/>
        <w:ind w:firstLine="422" w:firstLineChars="200"/>
        <w:rPr>
          <w:sz w:val="21"/>
          <w:szCs w:val="21"/>
          <w:highlight w:val="none"/>
        </w:rPr>
      </w:pPr>
      <w:bookmarkStart w:id="1234" w:name="_Toc532377333"/>
      <w:r>
        <w:rPr>
          <w:rFonts w:hint="eastAsia"/>
          <w:sz w:val="21"/>
          <w:szCs w:val="21"/>
          <w:highlight w:val="none"/>
        </w:rPr>
        <w:t>2.5 资金来源证明及支付担保</w:t>
      </w:r>
      <w:bookmarkEnd w:id="1234"/>
    </w:p>
    <w:p w14:paraId="1C4B6A6F">
      <w:pPr>
        <w:spacing w:line="360" w:lineRule="auto"/>
        <w:ind w:firstLine="420" w:firstLineChars="200"/>
        <w:jc w:val="left"/>
        <w:rPr>
          <w:rFonts w:ascii="宋体" w:hAnsi="宋体"/>
          <w:szCs w:val="21"/>
          <w:highlight w:val="none"/>
        </w:rPr>
      </w:pPr>
      <w:r>
        <w:rPr>
          <w:rFonts w:hint="eastAsia" w:ascii="宋体" w:hAnsi="宋体"/>
          <w:szCs w:val="21"/>
          <w:highlight w:val="none"/>
        </w:rPr>
        <w:t>发包人提供资金来源证明的期限要求：</w:t>
      </w:r>
      <w:r>
        <w:rPr>
          <w:rFonts w:hint="eastAsia" w:ascii="宋体" w:hAnsi="宋体"/>
          <w:szCs w:val="21"/>
          <w:highlight w:val="none"/>
          <w:u w:val="single"/>
        </w:rPr>
        <w:t>不采用</w:t>
      </w:r>
      <w:r>
        <w:rPr>
          <w:rFonts w:hint="eastAsia" w:ascii="宋体" w:hAnsi="宋体"/>
          <w:szCs w:val="21"/>
          <w:highlight w:val="none"/>
        </w:rPr>
        <w:t>。</w:t>
      </w:r>
    </w:p>
    <w:p w14:paraId="536C7B85">
      <w:pPr>
        <w:spacing w:line="360" w:lineRule="auto"/>
        <w:ind w:firstLine="420" w:firstLineChars="200"/>
        <w:jc w:val="left"/>
        <w:rPr>
          <w:rFonts w:ascii="宋体" w:hAnsi="宋体"/>
          <w:szCs w:val="21"/>
          <w:highlight w:val="none"/>
        </w:rPr>
      </w:pPr>
      <w:r>
        <w:rPr>
          <w:rFonts w:hint="eastAsia" w:ascii="宋体" w:hAnsi="宋体"/>
          <w:szCs w:val="21"/>
          <w:highlight w:val="none"/>
        </w:rPr>
        <w:t>发包人是否提供支付担保：</w:t>
      </w:r>
      <w:r>
        <w:rPr>
          <w:rFonts w:hint="eastAsia" w:ascii="宋体" w:hAnsi="宋体"/>
          <w:szCs w:val="21"/>
          <w:highlight w:val="none"/>
          <w:u w:val="single"/>
        </w:rPr>
        <w:t>提供</w:t>
      </w:r>
      <w:r>
        <w:rPr>
          <w:rFonts w:hint="eastAsia" w:ascii="宋体" w:hAnsi="宋体"/>
          <w:szCs w:val="21"/>
          <w:highlight w:val="none"/>
        </w:rPr>
        <w:t>。</w:t>
      </w:r>
    </w:p>
    <w:p w14:paraId="6E8662D4">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支付担保的形式：</w:t>
      </w:r>
      <w:r>
        <w:rPr>
          <w:rFonts w:hint="eastAsia" w:ascii="宋体" w:hAnsi="宋体"/>
          <w:szCs w:val="21"/>
          <w:highlight w:val="none"/>
          <w:u w:val="single"/>
        </w:rPr>
        <w:t xml:space="preserve">        </w:t>
      </w:r>
      <w:r>
        <w:rPr>
          <w:rFonts w:hint="eastAsia" w:ascii="宋体" w:hAnsi="宋体"/>
          <w:szCs w:val="21"/>
          <w:highlight w:val="none"/>
        </w:rPr>
        <w:t>。</w:t>
      </w:r>
    </w:p>
    <w:p w14:paraId="4DF9CF16">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支付担保的金额：</w:t>
      </w:r>
      <w:r>
        <w:rPr>
          <w:rFonts w:hint="eastAsia" w:ascii="宋体" w:hAnsi="宋体"/>
          <w:szCs w:val="21"/>
          <w:highlight w:val="none"/>
          <w:u w:val="single"/>
        </w:rPr>
        <w:t xml:space="preserve">        </w:t>
      </w:r>
      <w:r>
        <w:rPr>
          <w:rFonts w:hint="eastAsia" w:ascii="宋体" w:hAnsi="宋体"/>
          <w:szCs w:val="21"/>
          <w:highlight w:val="none"/>
        </w:rPr>
        <w:t>。</w:t>
      </w:r>
    </w:p>
    <w:p w14:paraId="6AE54E89">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支付担保的时间：</w:t>
      </w:r>
      <w:r>
        <w:rPr>
          <w:rFonts w:hint="eastAsia" w:ascii="宋体" w:hAnsi="宋体"/>
          <w:szCs w:val="21"/>
          <w:highlight w:val="none"/>
          <w:u w:val="single"/>
        </w:rPr>
        <w:t xml:space="preserve">        </w:t>
      </w:r>
      <w:r>
        <w:rPr>
          <w:rFonts w:hint="eastAsia" w:ascii="宋体" w:hAnsi="宋体"/>
          <w:szCs w:val="21"/>
          <w:highlight w:val="none"/>
        </w:rPr>
        <w:t>。</w:t>
      </w:r>
    </w:p>
    <w:p w14:paraId="62753547">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支付担保的期限：</w:t>
      </w:r>
      <w:r>
        <w:rPr>
          <w:rFonts w:hint="eastAsia" w:ascii="宋体" w:hAnsi="宋体"/>
          <w:szCs w:val="21"/>
          <w:highlight w:val="none"/>
          <w:u w:val="single"/>
        </w:rPr>
        <w:t xml:space="preserve">        </w:t>
      </w:r>
      <w:r>
        <w:rPr>
          <w:rFonts w:hint="eastAsia" w:ascii="宋体" w:hAnsi="宋体"/>
          <w:szCs w:val="21"/>
          <w:highlight w:val="none"/>
        </w:rPr>
        <w:t>。</w:t>
      </w:r>
    </w:p>
    <w:p w14:paraId="73A9137C">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支付担保的退还时间：</w:t>
      </w:r>
      <w:r>
        <w:rPr>
          <w:rFonts w:hint="eastAsia" w:ascii="宋体" w:hAnsi="宋体"/>
          <w:szCs w:val="21"/>
          <w:highlight w:val="none"/>
          <w:u w:val="single"/>
        </w:rPr>
        <w:t xml:space="preserve">        </w:t>
      </w:r>
      <w:r>
        <w:rPr>
          <w:rFonts w:hint="eastAsia" w:ascii="宋体" w:hAnsi="宋体"/>
          <w:szCs w:val="21"/>
          <w:highlight w:val="none"/>
        </w:rPr>
        <w:t>。</w:t>
      </w:r>
    </w:p>
    <w:p w14:paraId="5C280E91">
      <w:pPr>
        <w:pStyle w:val="6"/>
        <w:keepNext/>
        <w:keepLines/>
        <w:spacing w:before="156" w:beforeLines="50" w:beforeAutospacing="0" w:after="156" w:afterLines="50" w:afterAutospacing="0" w:line="360" w:lineRule="auto"/>
        <w:jc w:val="both"/>
        <w:rPr>
          <w:bCs w:val="0"/>
          <w:kern w:val="2"/>
          <w:sz w:val="21"/>
          <w:szCs w:val="21"/>
          <w:highlight w:val="none"/>
        </w:rPr>
      </w:pPr>
      <w:bookmarkStart w:id="1235" w:name="_Toc351203635"/>
      <w:bookmarkStart w:id="1236" w:name="_Toc532375610"/>
      <w:bookmarkStart w:id="1237" w:name="_Toc532377334"/>
      <w:r>
        <w:rPr>
          <w:rFonts w:hint="eastAsia"/>
          <w:kern w:val="2"/>
          <w:sz w:val="21"/>
          <w:szCs w:val="21"/>
          <w:highlight w:val="none"/>
        </w:rPr>
        <w:t>3</w:t>
      </w:r>
      <w:bookmarkStart w:id="1238" w:name="_Toc297120458"/>
      <w:bookmarkStart w:id="1239" w:name="_Toc296890986"/>
      <w:bookmarkStart w:id="1240" w:name="_Toc297048344"/>
      <w:bookmarkStart w:id="1241" w:name="_Toc296503158"/>
      <w:bookmarkStart w:id="1242" w:name="_Toc296891198"/>
      <w:bookmarkStart w:id="1243" w:name="_Toc292559363"/>
      <w:bookmarkStart w:id="1244" w:name="_Toc296346659"/>
      <w:bookmarkStart w:id="1245" w:name="_Toc296347157"/>
      <w:bookmarkStart w:id="1246" w:name="_Toc292559868"/>
      <w:bookmarkStart w:id="1247" w:name="_Toc296944497"/>
      <w:r>
        <w:rPr>
          <w:rFonts w:hint="eastAsia"/>
          <w:kern w:val="2"/>
          <w:sz w:val="21"/>
          <w:szCs w:val="21"/>
          <w:highlight w:val="none"/>
        </w:rPr>
        <w:t>. 承包人</w:t>
      </w:r>
      <w:bookmarkEnd w:id="1235"/>
      <w:bookmarkEnd w:id="1236"/>
      <w:bookmarkEnd w:id="1237"/>
    </w:p>
    <w:bookmarkEnd w:id="1238"/>
    <w:bookmarkEnd w:id="1239"/>
    <w:bookmarkEnd w:id="1240"/>
    <w:bookmarkEnd w:id="1241"/>
    <w:bookmarkEnd w:id="1242"/>
    <w:bookmarkEnd w:id="1243"/>
    <w:bookmarkEnd w:id="1244"/>
    <w:bookmarkEnd w:id="1245"/>
    <w:bookmarkEnd w:id="1246"/>
    <w:bookmarkEnd w:id="1247"/>
    <w:p w14:paraId="34039A42">
      <w:pPr>
        <w:pStyle w:val="7"/>
        <w:spacing w:before="0" w:beforeAutospacing="0" w:after="0" w:afterAutospacing="0" w:line="360" w:lineRule="auto"/>
        <w:ind w:firstLine="422" w:firstLineChars="200"/>
        <w:rPr>
          <w:sz w:val="21"/>
          <w:szCs w:val="21"/>
          <w:highlight w:val="none"/>
        </w:rPr>
      </w:pPr>
      <w:bookmarkStart w:id="1248" w:name="_Toc532377335"/>
      <w:r>
        <w:rPr>
          <w:rFonts w:hint="eastAsia"/>
          <w:sz w:val="21"/>
          <w:szCs w:val="21"/>
          <w:highlight w:val="none"/>
        </w:rPr>
        <w:t>3.1 承包人的一般义务</w:t>
      </w:r>
      <w:bookmarkEnd w:id="1248"/>
    </w:p>
    <w:p w14:paraId="61A04696">
      <w:pPr>
        <w:spacing w:line="360" w:lineRule="auto"/>
        <w:ind w:firstLine="420" w:firstLineChars="200"/>
        <w:jc w:val="left"/>
        <w:rPr>
          <w:rFonts w:ascii="宋体" w:hAnsi="宋体"/>
          <w:szCs w:val="21"/>
          <w:highlight w:val="none"/>
        </w:rPr>
      </w:pPr>
      <w:r>
        <w:rPr>
          <w:rFonts w:hint="eastAsia" w:ascii="宋体" w:hAnsi="宋体"/>
          <w:szCs w:val="21"/>
          <w:highlight w:val="none"/>
        </w:rPr>
        <w:t>本款细化为3.1.1～3.1.10项：</w:t>
      </w:r>
    </w:p>
    <w:p w14:paraId="69EF7C9F">
      <w:pPr>
        <w:spacing w:line="360" w:lineRule="auto"/>
        <w:ind w:firstLine="420" w:firstLineChars="200"/>
        <w:jc w:val="left"/>
        <w:rPr>
          <w:rFonts w:ascii="宋体" w:hAnsi="宋体"/>
          <w:szCs w:val="21"/>
          <w:highlight w:val="none"/>
        </w:rPr>
      </w:pPr>
      <w:r>
        <w:rPr>
          <w:rFonts w:hint="eastAsia" w:ascii="宋体" w:hAnsi="宋体"/>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4977339C">
      <w:pPr>
        <w:spacing w:line="360" w:lineRule="auto"/>
        <w:ind w:firstLine="420" w:firstLineChars="200"/>
        <w:jc w:val="left"/>
        <w:rPr>
          <w:rFonts w:ascii="宋体" w:hAnsi="宋体"/>
          <w:szCs w:val="21"/>
          <w:highlight w:val="none"/>
        </w:rPr>
      </w:pPr>
      <w:r>
        <w:rPr>
          <w:rFonts w:hint="eastAsia" w:ascii="宋体" w:hAnsi="宋体"/>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B445269">
      <w:pPr>
        <w:spacing w:line="360" w:lineRule="auto"/>
        <w:ind w:firstLine="420" w:firstLineChars="200"/>
        <w:jc w:val="left"/>
        <w:rPr>
          <w:rFonts w:ascii="宋体" w:hAnsi="宋体"/>
          <w:szCs w:val="21"/>
          <w:highlight w:val="none"/>
        </w:rPr>
      </w:pPr>
      <w:r>
        <w:rPr>
          <w:rFonts w:hint="eastAsia" w:ascii="宋体" w:hAnsi="宋体"/>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D985559">
      <w:pPr>
        <w:spacing w:line="360" w:lineRule="auto"/>
        <w:ind w:firstLine="420" w:firstLineChars="200"/>
        <w:jc w:val="left"/>
        <w:rPr>
          <w:rFonts w:ascii="宋体" w:hAnsi="宋体"/>
          <w:szCs w:val="21"/>
          <w:highlight w:val="none"/>
        </w:rPr>
      </w:pPr>
      <w:r>
        <w:rPr>
          <w:rFonts w:hint="eastAsia" w:ascii="宋体" w:hAnsi="宋体"/>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6227320C">
      <w:pPr>
        <w:spacing w:line="360" w:lineRule="auto"/>
        <w:ind w:firstLine="420" w:firstLineChars="200"/>
        <w:jc w:val="left"/>
        <w:rPr>
          <w:rFonts w:ascii="宋体" w:hAnsi="宋体"/>
          <w:szCs w:val="21"/>
          <w:highlight w:val="none"/>
        </w:rPr>
      </w:pPr>
      <w:r>
        <w:rPr>
          <w:rFonts w:hint="eastAsia" w:ascii="宋体" w:hAnsi="宋体"/>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28A1585">
      <w:pPr>
        <w:spacing w:line="360" w:lineRule="auto"/>
        <w:ind w:firstLine="420" w:firstLineChars="200"/>
        <w:jc w:val="left"/>
        <w:rPr>
          <w:rFonts w:ascii="宋体" w:hAnsi="宋体"/>
          <w:szCs w:val="21"/>
          <w:highlight w:val="none"/>
        </w:rPr>
      </w:pPr>
      <w:r>
        <w:rPr>
          <w:rFonts w:hint="eastAsia" w:ascii="宋体" w:hAnsi="宋体"/>
          <w:szCs w:val="21"/>
          <w:highlight w:val="none"/>
        </w:rPr>
        <w:t>3.1.6按照第6.3款〔环境保护〕约定负责施工场地及其周边环境与生态的保护工作。</w:t>
      </w:r>
    </w:p>
    <w:p w14:paraId="03E228DC">
      <w:pPr>
        <w:spacing w:line="360" w:lineRule="auto"/>
        <w:ind w:firstLine="420" w:firstLineChars="200"/>
        <w:jc w:val="left"/>
        <w:rPr>
          <w:rFonts w:ascii="宋体" w:hAnsi="宋体"/>
          <w:szCs w:val="21"/>
          <w:highlight w:val="none"/>
        </w:rPr>
      </w:pPr>
      <w:r>
        <w:rPr>
          <w:rFonts w:hint="eastAsia" w:ascii="宋体" w:hAnsi="宋体"/>
          <w:szCs w:val="21"/>
          <w:highlight w:val="none"/>
        </w:rPr>
        <w:t>3.1.7按照第6.1款〔安全文明施工〕约定采取施工安全措施，确保工程及其人员、材料、设备和设施的安全，防止因工程施工造成的人身伤害和财产损失。</w:t>
      </w:r>
    </w:p>
    <w:p w14:paraId="55F488AC">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3.1.8将发包人按合同约定支付的各项价款专用于合同工程，且应及时支付其雇用人员工资，并及时向分包人支付合同价款。</w:t>
      </w:r>
    </w:p>
    <w:p w14:paraId="666DA74E">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3.1.9承包人提交的竣工资料的内容：</w:t>
      </w:r>
      <w:r>
        <w:rPr>
          <w:rFonts w:hint="eastAsia" w:ascii="宋体" w:hAnsi="宋体"/>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highlight w:val="none"/>
        </w:rPr>
        <w:t>。</w:t>
      </w:r>
    </w:p>
    <w:p w14:paraId="2356C30A">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承包人需要提交的竣工资料套数：完整竣工资料一式</w:t>
      </w:r>
      <w:r>
        <w:rPr>
          <w:rFonts w:hint="eastAsia" w:ascii="宋体" w:hAnsi="宋体"/>
          <w:szCs w:val="21"/>
          <w:highlight w:val="none"/>
          <w:u w:val="single"/>
        </w:rPr>
        <w:t xml:space="preserve">    </w:t>
      </w:r>
      <w:r>
        <w:rPr>
          <w:rFonts w:hint="eastAsia" w:ascii="宋体" w:hAnsi="宋体"/>
          <w:szCs w:val="21"/>
          <w:highlight w:val="none"/>
        </w:rPr>
        <w:t>套（含电子文档）。</w:t>
      </w:r>
    </w:p>
    <w:p w14:paraId="3DE030D7">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承包人提交的竣工资料的费用承担：</w:t>
      </w:r>
      <w:r>
        <w:rPr>
          <w:rFonts w:hint="eastAsia" w:ascii="宋体" w:hAnsi="宋体"/>
          <w:szCs w:val="21"/>
          <w:highlight w:val="none"/>
          <w:u w:val="single"/>
        </w:rPr>
        <w:t>由承包人承担</w:t>
      </w:r>
      <w:r>
        <w:rPr>
          <w:rFonts w:hint="eastAsia" w:ascii="宋体" w:hAnsi="宋体"/>
          <w:szCs w:val="21"/>
          <w:highlight w:val="none"/>
        </w:rPr>
        <w:t>。</w:t>
      </w:r>
    </w:p>
    <w:p w14:paraId="2895DCC5">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承包人提交的竣工资料移交时间：</w:t>
      </w:r>
      <w:r>
        <w:rPr>
          <w:rFonts w:hint="eastAsia" w:ascii="宋体" w:hAnsi="宋体"/>
          <w:szCs w:val="21"/>
          <w:highlight w:val="none"/>
          <w:u w:val="single"/>
        </w:rPr>
        <w:t>工程竣工验收合格后  个月内移交给发包人</w:t>
      </w:r>
      <w:r>
        <w:rPr>
          <w:rFonts w:hint="eastAsia" w:ascii="宋体" w:hAnsi="宋体"/>
          <w:szCs w:val="21"/>
          <w:highlight w:val="none"/>
        </w:rPr>
        <w:t>。</w:t>
      </w:r>
    </w:p>
    <w:p w14:paraId="6FFC585E">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承包人提交的竣工资料形式要求：</w:t>
      </w:r>
      <w:r>
        <w:rPr>
          <w:rFonts w:hint="eastAsia" w:ascii="宋体" w:hAnsi="宋体"/>
          <w:szCs w:val="21"/>
          <w:highlight w:val="none"/>
          <w:u w:val="single"/>
        </w:rPr>
        <w:t>完整的书面文件及电子文档</w:t>
      </w:r>
      <w:r>
        <w:rPr>
          <w:rFonts w:hint="eastAsia" w:ascii="宋体" w:hAnsi="宋体"/>
          <w:szCs w:val="21"/>
          <w:highlight w:val="none"/>
        </w:rPr>
        <w:t>。</w:t>
      </w:r>
    </w:p>
    <w:p w14:paraId="694B29CC">
      <w:pPr>
        <w:spacing w:line="360" w:lineRule="auto"/>
        <w:ind w:firstLine="420" w:firstLineChars="200"/>
        <w:jc w:val="left"/>
        <w:rPr>
          <w:rFonts w:ascii="宋体" w:hAnsi="宋体"/>
          <w:szCs w:val="21"/>
          <w:highlight w:val="none"/>
        </w:rPr>
      </w:pPr>
      <w:r>
        <w:rPr>
          <w:rFonts w:hint="eastAsia" w:ascii="宋体" w:hAnsi="宋体"/>
          <w:szCs w:val="21"/>
          <w:highlight w:val="none"/>
        </w:rPr>
        <w:t>3.1.10承包人应履行的其他义务：</w:t>
      </w:r>
    </w:p>
    <w:p w14:paraId="4F32C0BA">
      <w:pPr>
        <w:spacing w:line="360" w:lineRule="auto"/>
        <w:ind w:firstLine="420" w:firstLineChars="200"/>
        <w:jc w:val="left"/>
        <w:rPr>
          <w:rFonts w:ascii="宋体" w:hAnsi="宋体"/>
          <w:szCs w:val="21"/>
          <w:highlight w:val="none"/>
        </w:rPr>
      </w:pPr>
      <w:r>
        <w:rPr>
          <w:rFonts w:hint="eastAsia" w:ascii="宋体" w:hAnsi="宋体"/>
          <w:szCs w:val="21"/>
          <w:highlight w:val="none"/>
        </w:rPr>
        <w:t>3.1.10.1在开始施工之前，承包人应核查、复测本工程的各种基准标志。承包人应及时将上述基准标志中存在的错误、不完整或其他缺陷通知发包人，以便发包人核实后重新确认。</w:t>
      </w:r>
    </w:p>
    <w:p w14:paraId="5AEDC3A0">
      <w:pPr>
        <w:spacing w:line="360" w:lineRule="auto"/>
        <w:ind w:firstLine="420" w:firstLineChars="200"/>
        <w:jc w:val="left"/>
        <w:rPr>
          <w:rFonts w:ascii="宋体" w:hAnsi="宋体"/>
          <w:szCs w:val="21"/>
          <w:highlight w:val="none"/>
        </w:rPr>
      </w:pPr>
      <w:r>
        <w:rPr>
          <w:rFonts w:hint="eastAsia" w:ascii="宋体" w:hAnsi="宋体"/>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789055C">
      <w:pPr>
        <w:spacing w:line="360" w:lineRule="auto"/>
        <w:ind w:firstLine="420" w:firstLineChars="200"/>
        <w:jc w:val="left"/>
        <w:rPr>
          <w:rFonts w:ascii="宋体" w:hAnsi="宋体"/>
          <w:szCs w:val="21"/>
          <w:highlight w:val="none"/>
        </w:rPr>
      </w:pPr>
      <w:r>
        <w:rPr>
          <w:rFonts w:hint="eastAsia" w:ascii="宋体" w:hAnsi="宋体"/>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64C8E48E">
      <w:pPr>
        <w:spacing w:line="360" w:lineRule="auto"/>
        <w:ind w:firstLine="420" w:firstLineChars="200"/>
        <w:jc w:val="left"/>
        <w:rPr>
          <w:rFonts w:ascii="宋体" w:hAnsi="宋体"/>
          <w:szCs w:val="21"/>
          <w:highlight w:val="none"/>
        </w:rPr>
      </w:pPr>
      <w:r>
        <w:rPr>
          <w:rFonts w:hint="eastAsia" w:ascii="宋体" w:hAnsi="宋体"/>
          <w:szCs w:val="21"/>
          <w:highlight w:val="none"/>
        </w:rPr>
        <w:t>3.1.10.4承包人应服从发包人要求的管理模式、工作方式和工作要求，同时接受监理人、跟审单位的管理和全程监督，配合项目结、决算的办理。</w:t>
      </w:r>
    </w:p>
    <w:p w14:paraId="02D46B0C">
      <w:pPr>
        <w:spacing w:line="360" w:lineRule="auto"/>
        <w:ind w:firstLine="420" w:firstLineChars="200"/>
        <w:jc w:val="left"/>
        <w:rPr>
          <w:rFonts w:ascii="宋体" w:hAnsi="宋体"/>
          <w:szCs w:val="21"/>
          <w:highlight w:val="none"/>
        </w:rPr>
      </w:pPr>
      <w:r>
        <w:rPr>
          <w:rFonts w:hint="eastAsia" w:ascii="宋体" w:hAnsi="宋体"/>
          <w:szCs w:val="21"/>
          <w:highlight w:val="none"/>
        </w:rPr>
        <w:t>3.1.10.5</w:t>
      </w:r>
      <w:r>
        <w:rPr>
          <w:rFonts w:hint="eastAsia" w:ascii="宋体" w:hAnsi="宋体"/>
          <w:szCs w:val="21"/>
          <w:highlight w:val="none"/>
          <w:u w:val="single"/>
        </w:rPr>
        <w:t>承包人应为本工程开立专用账户，接受发包人的监管</w:t>
      </w:r>
      <w:r>
        <w:rPr>
          <w:rFonts w:hint="eastAsia" w:ascii="宋体" w:hAnsi="宋体"/>
          <w:szCs w:val="21"/>
          <w:highlight w:val="none"/>
        </w:rPr>
        <w:t>。</w:t>
      </w:r>
    </w:p>
    <w:p w14:paraId="178FD03B">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3.1.10.6</w:t>
      </w:r>
      <w:r>
        <w:rPr>
          <w:rFonts w:hint="eastAsia" w:ascii="宋体" w:hAnsi="宋体"/>
          <w:szCs w:val="21"/>
          <w:highlight w:val="none"/>
          <w:u w:val="single"/>
        </w:rPr>
        <w:t xml:space="preserve">        。</w:t>
      </w:r>
    </w:p>
    <w:p w14:paraId="009959BE">
      <w:pPr>
        <w:pStyle w:val="7"/>
        <w:spacing w:before="0" w:beforeAutospacing="0" w:after="0" w:afterAutospacing="0" w:line="360" w:lineRule="auto"/>
        <w:ind w:firstLine="422" w:firstLineChars="200"/>
        <w:rPr>
          <w:sz w:val="21"/>
          <w:szCs w:val="21"/>
          <w:highlight w:val="none"/>
        </w:rPr>
      </w:pPr>
      <w:bookmarkStart w:id="1249" w:name="_Toc532377336"/>
      <w:r>
        <w:rPr>
          <w:rFonts w:hint="eastAsia"/>
          <w:sz w:val="21"/>
          <w:szCs w:val="21"/>
          <w:highlight w:val="none"/>
        </w:rPr>
        <w:t>3.2 项目经理</w:t>
      </w:r>
      <w:bookmarkEnd w:id="1249"/>
    </w:p>
    <w:p w14:paraId="34F202AD">
      <w:pPr>
        <w:spacing w:line="360" w:lineRule="auto"/>
        <w:ind w:firstLine="420" w:firstLineChars="200"/>
        <w:jc w:val="left"/>
        <w:rPr>
          <w:rFonts w:ascii="宋体" w:hAnsi="宋体"/>
          <w:szCs w:val="21"/>
          <w:highlight w:val="none"/>
        </w:rPr>
      </w:pPr>
      <w:r>
        <w:rPr>
          <w:rFonts w:hint="eastAsia" w:ascii="宋体" w:hAnsi="宋体"/>
          <w:kern w:val="0"/>
          <w:szCs w:val="21"/>
          <w:highlight w:val="none"/>
        </w:rPr>
        <w:t xml:space="preserve">3.2.1 </w:t>
      </w:r>
      <w:r>
        <w:rPr>
          <w:rFonts w:hint="eastAsia" w:ascii="宋体" w:hAnsi="宋体"/>
          <w:szCs w:val="21"/>
          <w:highlight w:val="none"/>
        </w:rPr>
        <w:t>项目经理：</w:t>
      </w:r>
    </w:p>
    <w:p w14:paraId="50EA8798">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 </w:t>
      </w:r>
      <w:r>
        <w:rPr>
          <w:rFonts w:hint="eastAsia" w:ascii="宋体" w:hAnsi="宋体"/>
          <w:szCs w:val="21"/>
          <w:highlight w:val="none"/>
        </w:rPr>
        <w:t>；</w:t>
      </w:r>
    </w:p>
    <w:p w14:paraId="4796AFF0">
      <w:pPr>
        <w:spacing w:line="360" w:lineRule="auto"/>
        <w:ind w:firstLine="420" w:firstLineChars="200"/>
        <w:jc w:val="left"/>
        <w:rPr>
          <w:rFonts w:ascii="宋体" w:hAnsi="宋体"/>
          <w:szCs w:val="21"/>
          <w:highlight w:val="none"/>
        </w:rPr>
      </w:pPr>
      <w:r>
        <w:rPr>
          <w:rFonts w:hint="eastAsia" w:ascii="宋体" w:hAnsi="宋体"/>
          <w:szCs w:val="21"/>
          <w:highlight w:val="none"/>
        </w:rPr>
        <w:t>身份证号：</w:t>
      </w:r>
      <w:r>
        <w:rPr>
          <w:rFonts w:ascii="宋体" w:hAnsi="宋体"/>
          <w:szCs w:val="21"/>
          <w:highlight w:val="none"/>
          <w:u w:val="single"/>
        </w:rPr>
        <w:t>                    </w:t>
      </w:r>
      <w:r>
        <w:rPr>
          <w:rFonts w:hint="eastAsia" w:ascii="宋体" w:hAnsi="宋体"/>
          <w:szCs w:val="21"/>
          <w:highlight w:val="none"/>
        </w:rPr>
        <w:t>；</w:t>
      </w:r>
    </w:p>
    <w:p w14:paraId="3A5CE748">
      <w:pPr>
        <w:spacing w:line="360" w:lineRule="auto"/>
        <w:ind w:firstLine="420" w:firstLineChars="200"/>
        <w:jc w:val="left"/>
        <w:rPr>
          <w:rFonts w:ascii="宋体" w:hAnsi="宋体"/>
          <w:szCs w:val="21"/>
          <w:highlight w:val="none"/>
        </w:rPr>
      </w:pPr>
      <w:r>
        <w:rPr>
          <w:rFonts w:hint="eastAsia" w:ascii="宋体" w:hAnsi="宋体"/>
          <w:szCs w:val="21"/>
          <w:highlight w:val="none"/>
        </w:rPr>
        <w:t>建造师执业资格等级：</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14:paraId="65699CBF">
      <w:pPr>
        <w:spacing w:line="360" w:lineRule="auto"/>
        <w:ind w:firstLine="420" w:firstLineChars="200"/>
        <w:jc w:val="left"/>
        <w:rPr>
          <w:rFonts w:ascii="宋体" w:hAnsi="宋体"/>
          <w:szCs w:val="21"/>
          <w:highlight w:val="none"/>
        </w:rPr>
      </w:pPr>
      <w:r>
        <w:rPr>
          <w:rFonts w:hint="eastAsia" w:ascii="宋体" w:hAnsi="宋体"/>
          <w:szCs w:val="21"/>
          <w:highlight w:val="none"/>
        </w:rPr>
        <w:t>建造师注册证书号：</w:t>
      </w:r>
      <w:r>
        <w:rPr>
          <w:rFonts w:ascii="宋体" w:hAnsi="宋体"/>
          <w:szCs w:val="21"/>
          <w:highlight w:val="none"/>
          <w:u w:val="single"/>
        </w:rPr>
        <w:t>       </w:t>
      </w:r>
      <w:r>
        <w:rPr>
          <w:rFonts w:hint="eastAsia" w:ascii="宋体" w:hAnsi="宋体"/>
          <w:szCs w:val="21"/>
          <w:highlight w:val="none"/>
        </w:rPr>
        <w:t>；</w:t>
      </w:r>
    </w:p>
    <w:p w14:paraId="5B31EBB2">
      <w:pPr>
        <w:spacing w:line="360" w:lineRule="auto"/>
        <w:ind w:firstLine="420" w:firstLineChars="200"/>
        <w:jc w:val="left"/>
        <w:rPr>
          <w:rFonts w:ascii="宋体" w:hAnsi="宋体"/>
          <w:szCs w:val="21"/>
          <w:highlight w:val="none"/>
        </w:rPr>
      </w:pPr>
      <w:r>
        <w:rPr>
          <w:rFonts w:hint="eastAsia" w:ascii="宋体" w:hAnsi="宋体"/>
          <w:szCs w:val="21"/>
          <w:highlight w:val="none"/>
        </w:rPr>
        <w:t>建造师执业印章号：</w:t>
      </w:r>
      <w:r>
        <w:rPr>
          <w:rFonts w:ascii="宋体" w:hAnsi="宋体"/>
          <w:szCs w:val="21"/>
          <w:highlight w:val="none"/>
          <w:u w:val="single"/>
        </w:rPr>
        <w:t>                     </w:t>
      </w:r>
      <w:r>
        <w:rPr>
          <w:rFonts w:hint="eastAsia" w:ascii="宋体" w:hAnsi="宋体"/>
          <w:szCs w:val="21"/>
          <w:highlight w:val="none"/>
        </w:rPr>
        <w:t>；</w:t>
      </w:r>
    </w:p>
    <w:p w14:paraId="08333001">
      <w:pPr>
        <w:spacing w:line="360" w:lineRule="auto"/>
        <w:ind w:firstLine="420" w:firstLineChars="200"/>
        <w:jc w:val="left"/>
        <w:rPr>
          <w:rFonts w:ascii="宋体" w:hAnsi="宋体"/>
          <w:szCs w:val="21"/>
          <w:highlight w:val="none"/>
        </w:rPr>
      </w:pPr>
      <w:r>
        <w:rPr>
          <w:rFonts w:hint="eastAsia" w:ascii="宋体" w:hAnsi="宋体"/>
          <w:szCs w:val="21"/>
          <w:highlight w:val="none"/>
        </w:rPr>
        <w:t>安全生产考核合格证书号：</w:t>
      </w:r>
      <w:r>
        <w:rPr>
          <w:rFonts w:ascii="宋体" w:hAnsi="宋体"/>
          <w:szCs w:val="21"/>
          <w:highlight w:val="none"/>
          <w:u w:val="single"/>
        </w:rPr>
        <w:t>           </w:t>
      </w:r>
      <w:r>
        <w:rPr>
          <w:rFonts w:hint="eastAsia" w:ascii="宋体" w:hAnsi="宋体"/>
          <w:szCs w:val="21"/>
          <w:highlight w:val="none"/>
        </w:rPr>
        <w:t>；</w:t>
      </w:r>
    </w:p>
    <w:p w14:paraId="7A7E18C5">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       </w:t>
      </w:r>
      <w:r>
        <w:rPr>
          <w:rFonts w:hint="eastAsia" w:ascii="宋体" w:hAnsi="宋体"/>
          <w:szCs w:val="21"/>
          <w:highlight w:val="none"/>
        </w:rPr>
        <w:t>。</w:t>
      </w:r>
    </w:p>
    <w:p w14:paraId="652B8A41">
      <w:pPr>
        <w:spacing w:line="360" w:lineRule="auto"/>
        <w:ind w:firstLine="420" w:firstLineChars="200"/>
        <w:jc w:val="left"/>
        <w:rPr>
          <w:rFonts w:ascii="宋体" w:hAnsi="宋体"/>
          <w:szCs w:val="21"/>
          <w:highlight w:val="none"/>
        </w:rPr>
      </w:pPr>
      <w:r>
        <w:rPr>
          <w:rFonts w:hint="eastAsia" w:ascii="宋体" w:hAnsi="宋体"/>
          <w:szCs w:val="21"/>
          <w:highlight w:val="none"/>
        </w:rPr>
        <w:t>承包人对项目经理的授权范围如下：</w:t>
      </w:r>
      <w:r>
        <w:rPr>
          <w:rFonts w:hint="eastAsia" w:ascii="宋体" w:hAnsi="宋体"/>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highlight w:val="none"/>
        </w:rPr>
        <w:t>。</w:t>
      </w:r>
    </w:p>
    <w:p w14:paraId="25BC4461">
      <w:pPr>
        <w:spacing w:line="360" w:lineRule="auto"/>
        <w:ind w:firstLine="420" w:firstLineChars="200"/>
        <w:jc w:val="left"/>
        <w:rPr>
          <w:rFonts w:ascii="宋体" w:hAnsi="宋体"/>
          <w:szCs w:val="21"/>
          <w:highlight w:val="none"/>
        </w:rPr>
      </w:pPr>
      <w:r>
        <w:rPr>
          <w:rFonts w:hint="eastAsia" w:ascii="宋体" w:hAnsi="宋体"/>
          <w:szCs w:val="21"/>
          <w:highlight w:val="none"/>
        </w:rPr>
        <w:t>关于项目经理每月在施工现场的时间要求：</w:t>
      </w:r>
      <w:r>
        <w:rPr>
          <w:rFonts w:hint="eastAsia" w:ascii="宋体" w:hAnsi="宋体"/>
          <w:szCs w:val="21"/>
          <w:highlight w:val="none"/>
          <w:u w:val="single"/>
        </w:rPr>
        <w:t>不少于22天，由监理人负责项目经理的考勤</w:t>
      </w:r>
      <w:r>
        <w:rPr>
          <w:rFonts w:hint="eastAsia" w:ascii="宋体" w:hAnsi="宋体"/>
          <w:szCs w:val="21"/>
          <w:highlight w:val="none"/>
        </w:rPr>
        <w:t>。</w:t>
      </w:r>
    </w:p>
    <w:p w14:paraId="1C8AD389">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highlight w:val="none"/>
        </w:rPr>
        <w:t>。</w:t>
      </w:r>
    </w:p>
    <w:p w14:paraId="03D922F4">
      <w:pPr>
        <w:spacing w:line="360" w:lineRule="auto"/>
        <w:ind w:firstLine="420" w:firstLineChars="200"/>
        <w:jc w:val="left"/>
        <w:rPr>
          <w:rFonts w:ascii="宋体" w:hAnsi="宋体"/>
          <w:szCs w:val="21"/>
          <w:highlight w:val="none"/>
        </w:rPr>
      </w:pPr>
      <w:r>
        <w:rPr>
          <w:rFonts w:hint="eastAsia" w:ascii="宋体" w:hAnsi="宋体"/>
          <w:szCs w:val="21"/>
          <w:highlight w:val="none"/>
        </w:rPr>
        <w:t>3.2.2 技术负责人</w:t>
      </w:r>
    </w:p>
    <w:p w14:paraId="3F09D522">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14:paraId="1442E53B">
      <w:pPr>
        <w:spacing w:line="360" w:lineRule="auto"/>
        <w:ind w:firstLine="420" w:firstLineChars="200"/>
        <w:jc w:val="left"/>
        <w:rPr>
          <w:rFonts w:ascii="宋体" w:hAnsi="宋体"/>
          <w:szCs w:val="21"/>
          <w:highlight w:val="none"/>
        </w:rPr>
      </w:pPr>
      <w:r>
        <w:rPr>
          <w:rFonts w:hint="eastAsia" w:ascii="宋体" w:hAnsi="宋体"/>
          <w:szCs w:val="21"/>
          <w:highlight w:val="none"/>
        </w:rPr>
        <w:t>身份证号：</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14:paraId="5CC46F0E">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14:paraId="10A3F0F7">
      <w:pPr>
        <w:spacing w:line="360" w:lineRule="auto"/>
        <w:ind w:firstLine="420" w:firstLineChars="200"/>
        <w:jc w:val="left"/>
        <w:rPr>
          <w:rFonts w:ascii="宋体" w:hAnsi="宋体"/>
          <w:szCs w:val="21"/>
          <w:highlight w:val="none"/>
        </w:rPr>
      </w:pPr>
      <w:r>
        <w:rPr>
          <w:rFonts w:hint="eastAsia" w:ascii="宋体" w:hAnsi="宋体"/>
          <w:szCs w:val="21"/>
          <w:highlight w:val="none"/>
        </w:rPr>
        <w:t>专     业：</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14:paraId="180CD3EB">
      <w:pPr>
        <w:spacing w:line="360" w:lineRule="auto"/>
        <w:ind w:firstLine="420" w:firstLineChars="200"/>
        <w:jc w:val="left"/>
        <w:rPr>
          <w:rFonts w:ascii="宋体" w:hAnsi="宋体"/>
          <w:szCs w:val="21"/>
          <w:highlight w:val="none"/>
        </w:rPr>
      </w:pPr>
      <w:r>
        <w:rPr>
          <w:rFonts w:hint="eastAsia" w:ascii="宋体" w:hAnsi="宋体"/>
          <w:szCs w:val="21"/>
          <w:highlight w:val="none"/>
        </w:rPr>
        <w:t>证书名称及号码：</w:t>
      </w:r>
      <w:r>
        <w:rPr>
          <w:rFonts w:ascii="宋体" w:hAnsi="宋体"/>
          <w:szCs w:val="21"/>
          <w:highlight w:val="none"/>
          <w:u w:val="single"/>
        </w:rPr>
        <w:t xml:space="preserve">                         </w:t>
      </w:r>
      <w:r>
        <w:rPr>
          <w:rFonts w:hint="eastAsia" w:ascii="宋体" w:hAnsi="宋体"/>
          <w:szCs w:val="21"/>
          <w:highlight w:val="none"/>
        </w:rPr>
        <w:t>；</w:t>
      </w:r>
    </w:p>
    <w:p w14:paraId="184DAF1C">
      <w:pPr>
        <w:pStyle w:val="2"/>
        <w:spacing w:after="0"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联系方式：</w:t>
      </w:r>
      <w:r>
        <w:rPr>
          <w:rFonts w:ascii="宋体" w:hAnsi="宋体"/>
          <w:szCs w:val="21"/>
          <w:highlight w:val="none"/>
          <w:u w:val="single"/>
        </w:rPr>
        <w:t xml:space="preserve">         </w:t>
      </w:r>
      <w:r>
        <w:rPr>
          <w:rFonts w:hint="eastAsia" w:ascii="宋体" w:hAnsi="宋体"/>
          <w:szCs w:val="21"/>
          <w:highlight w:val="none"/>
        </w:rPr>
        <w:t>。</w:t>
      </w:r>
    </w:p>
    <w:p w14:paraId="19033D6D">
      <w:pPr>
        <w:spacing w:line="360" w:lineRule="auto"/>
        <w:ind w:firstLine="420" w:firstLineChars="200"/>
        <w:jc w:val="left"/>
        <w:rPr>
          <w:rFonts w:ascii="宋体" w:hAnsi="宋体"/>
          <w:szCs w:val="21"/>
          <w:highlight w:val="none"/>
        </w:rPr>
      </w:pPr>
      <w:r>
        <w:rPr>
          <w:rFonts w:hint="eastAsia" w:ascii="宋体" w:hAnsi="宋体"/>
          <w:kern w:val="0"/>
          <w:szCs w:val="21"/>
          <w:highlight w:val="none"/>
        </w:rPr>
        <w:t>关于技</w:t>
      </w:r>
      <w:r>
        <w:rPr>
          <w:rFonts w:hint="eastAsia" w:ascii="宋体" w:hAnsi="宋体"/>
          <w:szCs w:val="21"/>
          <w:highlight w:val="none"/>
        </w:rPr>
        <w:t>术负责人每月在施工现场的时间要求：</w:t>
      </w:r>
      <w:r>
        <w:rPr>
          <w:rFonts w:hint="eastAsia" w:ascii="宋体" w:hAnsi="宋体"/>
          <w:szCs w:val="21"/>
          <w:highlight w:val="none"/>
          <w:u w:val="single"/>
        </w:rPr>
        <w:t>不少于22天，由监理人负责技术负责人的考勤</w:t>
      </w:r>
      <w:r>
        <w:rPr>
          <w:rFonts w:hint="eastAsia" w:ascii="宋体" w:hAnsi="宋体"/>
          <w:szCs w:val="21"/>
          <w:highlight w:val="none"/>
        </w:rPr>
        <w:t>。</w:t>
      </w:r>
    </w:p>
    <w:p w14:paraId="5D5F8024">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highlight w:val="none"/>
        </w:rPr>
        <w:t>。</w:t>
      </w:r>
      <w:bookmarkStart w:id="1250" w:name="_Hlk528927599"/>
    </w:p>
    <w:bookmarkEnd w:id="1250"/>
    <w:p w14:paraId="4D493EF7">
      <w:pPr>
        <w:spacing w:line="360" w:lineRule="auto"/>
        <w:ind w:firstLine="420" w:firstLineChars="200"/>
        <w:jc w:val="left"/>
        <w:rPr>
          <w:rFonts w:ascii="宋体" w:hAnsi="宋体"/>
          <w:szCs w:val="21"/>
          <w:highlight w:val="none"/>
        </w:rPr>
      </w:pPr>
      <w:bookmarkStart w:id="1251" w:name="_Hlk528927718"/>
      <w:r>
        <w:rPr>
          <w:rFonts w:hint="eastAsia" w:ascii="宋体" w:hAnsi="宋体"/>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51"/>
    </w:p>
    <w:p w14:paraId="523A401E">
      <w:pPr>
        <w:spacing w:line="360" w:lineRule="auto"/>
        <w:ind w:firstLine="420" w:firstLineChars="200"/>
        <w:jc w:val="left"/>
        <w:rPr>
          <w:rFonts w:ascii="宋体" w:hAnsi="宋体"/>
          <w:szCs w:val="21"/>
          <w:highlight w:val="none"/>
        </w:rPr>
      </w:pPr>
      <w:r>
        <w:rPr>
          <w:rFonts w:hint="eastAsia" w:ascii="宋体" w:hAnsi="宋体"/>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0111E74F">
      <w:pPr>
        <w:spacing w:line="360" w:lineRule="auto"/>
        <w:ind w:firstLine="420" w:firstLineChars="200"/>
        <w:jc w:val="left"/>
        <w:rPr>
          <w:rFonts w:ascii="宋体" w:hAnsi="宋体"/>
          <w:szCs w:val="21"/>
          <w:highlight w:val="none"/>
        </w:rPr>
      </w:pPr>
      <w:r>
        <w:rPr>
          <w:rFonts w:hint="eastAsia" w:ascii="宋体" w:hAnsi="宋体"/>
          <w:szCs w:val="21"/>
          <w:highlight w:val="none"/>
        </w:rPr>
        <w:t>1、死亡；</w:t>
      </w:r>
    </w:p>
    <w:p w14:paraId="36C4CBFA">
      <w:pPr>
        <w:spacing w:line="360" w:lineRule="auto"/>
        <w:ind w:firstLine="420" w:firstLineChars="200"/>
        <w:jc w:val="left"/>
        <w:rPr>
          <w:rFonts w:ascii="宋体" w:hAnsi="宋体"/>
          <w:szCs w:val="21"/>
          <w:highlight w:val="none"/>
        </w:rPr>
      </w:pPr>
      <w:r>
        <w:rPr>
          <w:rFonts w:hint="eastAsia" w:ascii="宋体" w:hAnsi="宋体"/>
          <w:szCs w:val="21"/>
          <w:highlight w:val="none"/>
        </w:rPr>
        <w:t>2、非承包人原因导致工期延长，而致使项目经理和技术负责人达到法定退休年龄且确需退休；</w:t>
      </w:r>
    </w:p>
    <w:p w14:paraId="429DC005">
      <w:pPr>
        <w:spacing w:line="360" w:lineRule="auto"/>
        <w:ind w:firstLine="420" w:firstLineChars="200"/>
        <w:jc w:val="left"/>
        <w:rPr>
          <w:rFonts w:ascii="宋体" w:hAnsi="宋体"/>
          <w:szCs w:val="21"/>
          <w:highlight w:val="none"/>
        </w:rPr>
      </w:pPr>
      <w:r>
        <w:rPr>
          <w:rFonts w:hint="eastAsia" w:ascii="宋体" w:hAnsi="宋体"/>
          <w:szCs w:val="21"/>
          <w:highlight w:val="none"/>
        </w:rPr>
        <w:t>3、按《职工非因工伤残或因病丧失劳动能力程度鉴定标准（试行）》规定鉴定为完全丧失劳动能力和大部分丧失劳动能力；</w:t>
      </w:r>
    </w:p>
    <w:p w14:paraId="042F283E">
      <w:pPr>
        <w:spacing w:line="360" w:lineRule="auto"/>
        <w:ind w:firstLine="420" w:firstLineChars="200"/>
        <w:jc w:val="left"/>
        <w:rPr>
          <w:rFonts w:ascii="宋体" w:hAnsi="宋体"/>
          <w:szCs w:val="21"/>
          <w:highlight w:val="none"/>
        </w:rPr>
      </w:pPr>
      <w:r>
        <w:rPr>
          <w:rFonts w:hint="eastAsia" w:ascii="宋体" w:hAnsi="宋体"/>
          <w:szCs w:val="21"/>
          <w:highlight w:val="none"/>
        </w:rPr>
        <w:t>4、非承包人原因导致中标3个月不能开工；</w:t>
      </w:r>
    </w:p>
    <w:p w14:paraId="5EFC665A">
      <w:pPr>
        <w:spacing w:line="360" w:lineRule="auto"/>
        <w:ind w:firstLine="420" w:firstLineChars="200"/>
        <w:jc w:val="left"/>
        <w:rPr>
          <w:rFonts w:ascii="宋体" w:hAnsi="宋体"/>
          <w:szCs w:val="21"/>
          <w:highlight w:val="none"/>
        </w:rPr>
      </w:pPr>
      <w:r>
        <w:rPr>
          <w:rFonts w:hint="eastAsia" w:ascii="宋体" w:hAnsi="宋体"/>
          <w:szCs w:val="21"/>
          <w:highlight w:val="none"/>
        </w:rPr>
        <w:t>5、被公安或者司法机关限制人身自由；</w:t>
      </w:r>
    </w:p>
    <w:p w14:paraId="2872C4FA">
      <w:pPr>
        <w:spacing w:line="360" w:lineRule="auto"/>
        <w:ind w:firstLine="420" w:firstLineChars="200"/>
        <w:jc w:val="left"/>
        <w:rPr>
          <w:rFonts w:ascii="宋体" w:hAnsi="宋体"/>
          <w:szCs w:val="21"/>
          <w:highlight w:val="none"/>
        </w:rPr>
      </w:pPr>
      <w:r>
        <w:rPr>
          <w:rFonts w:hint="eastAsia" w:ascii="宋体" w:hAnsi="宋体"/>
          <w:szCs w:val="21"/>
          <w:highlight w:val="none"/>
        </w:rPr>
        <w:t>6、被取消职称或者执业资格，不满足项目管理要求；</w:t>
      </w:r>
    </w:p>
    <w:p w14:paraId="0EEBD8AC">
      <w:pPr>
        <w:spacing w:line="360" w:lineRule="auto"/>
        <w:ind w:firstLine="420" w:firstLineChars="200"/>
        <w:jc w:val="left"/>
        <w:rPr>
          <w:rFonts w:ascii="宋体" w:hAnsi="宋体"/>
          <w:szCs w:val="21"/>
          <w:highlight w:val="none"/>
        </w:rPr>
      </w:pPr>
      <w:r>
        <w:rPr>
          <w:rFonts w:hint="eastAsia" w:ascii="宋体" w:hAnsi="宋体"/>
          <w:szCs w:val="21"/>
          <w:highlight w:val="none"/>
        </w:rPr>
        <w:t>7、非承包人原因导致确需变更的其它情形。</w:t>
      </w:r>
    </w:p>
    <w:p w14:paraId="0E551226">
      <w:pPr>
        <w:spacing w:line="360" w:lineRule="auto"/>
        <w:ind w:firstLine="420" w:firstLineChars="200"/>
        <w:jc w:val="left"/>
        <w:rPr>
          <w:rFonts w:ascii="宋体" w:hAnsi="宋体"/>
          <w:szCs w:val="21"/>
          <w:highlight w:val="none"/>
        </w:rPr>
      </w:pPr>
      <w:r>
        <w:rPr>
          <w:rFonts w:hint="eastAsia" w:ascii="宋体" w:hAnsi="宋体"/>
          <w:szCs w:val="21"/>
          <w:highlight w:val="none"/>
        </w:rPr>
        <w:t>本款补充3.2.6项</w:t>
      </w:r>
    </w:p>
    <w:p w14:paraId="73921D6A">
      <w:pPr>
        <w:spacing w:line="360" w:lineRule="auto"/>
        <w:ind w:firstLine="420" w:firstLineChars="200"/>
        <w:jc w:val="left"/>
        <w:rPr>
          <w:rFonts w:ascii="宋体" w:hAnsi="宋体"/>
          <w:szCs w:val="21"/>
          <w:highlight w:val="none"/>
        </w:rPr>
      </w:pPr>
      <w:r>
        <w:rPr>
          <w:rFonts w:hint="eastAsia" w:ascii="宋体" w:hAnsi="宋体"/>
          <w:szCs w:val="21"/>
          <w:highlight w:val="none"/>
        </w:rPr>
        <w:t>3.2.6 国有资金投资项目其他主要人员变更参照《重庆市政府投资项目合同变更管理暂行办法》的规定。</w:t>
      </w:r>
    </w:p>
    <w:p w14:paraId="0CE377D2">
      <w:pPr>
        <w:pStyle w:val="7"/>
        <w:spacing w:before="0" w:beforeAutospacing="0" w:after="0" w:afterAutospacing="0" w:line="360" w:lineRule="auto"/>
        <w:ind w:firstLine="422" w:firstLineChars="200"/>
        <w:rPr>
          <w:sz w:val="21"/>
          <w:szCs w:val="21"/>
          <w:highlight w:val="none"/>
        </w:rPr>
      </w:pPr>
      <w:bookmarkStart w:id="1252" w:name="_Toc532377337"/>
      <w:r>
        <w:rPr>
          <w:rFonts w:hint="eastAsia"/>
          <w:sz w:val="21"/>
          <w:szCs w:val="21"/>
          <w:highlight w:val="none"/>
        </w:rPr>
        <w:t>3.3 承包人人员</w:t>
      </w:r>
      <w:bookmarkEnd w:id="1252"/>
    </w:p>
    <w:p w14:paraId="23A500EA">
      <w:pPr>
        <w:spacing w:line="360" w:lineRule="auto"/>
        <w:ind w:firstLine="420" w:firstLineChars="200"/>
        <w:jc w:val="left"/>
        <w:rPr>
          <w:rFonts w:ascii="宋体" w:hAnsi="宋体"/>
          <w:szCs w:val="21"/>
          <w:highlight w:val="none"/>
        </w:rPr>
      </w:pPr>
      <w:r>
        <w:rPr>
          <w:rFonts w:hint="eastAsia" w:ascii="宋体" w:hAnsi="宋体"/>
          <w:szCs w:val="21"/>
          <w:highlight w:val="none"/>
        </w:rPr>
        <w:t>3.3.1 承包人应按建设行政主管部门现行规定配备现场施工从业人员，具体要求如下：</w:t>
      </w:r>
      <w:r>
        <w:rPr>
          <w:rFonts w:hint="eastAsia" w:ascii="宋体" w:hAnsi="宋体"/>
          <w:szCs w:val="21"/>
          <w:highlight w:val="none"/>
          <w:u w:val="single"/>
        </w:rPr>
        <w:t xml:space="preserve">        </w:t>
      </w:r>
    </w:p>
    <w:p w14:paraId="00C094F7">
      <w:pPr>
        <w:spacing w:line="360" w:lineRule="auto"/>
        <w:ind w:firstLine="420" w:firstLineChars="200"/>
        <w:jc w:val="left"/>
        <w:rPr>
          <w:rFonts w:ascii="宋体" w:hAnsi="宋体"/>
          <w:szCs w:val="21"/>
          <w:highlight w:val="none"/>
        </w:rPr>
      </w:pPr>
      <w:r>
        <w:rPr>
          <w:rFonts w:hint="eastAsia" w:ascii="宋体" w:hAnsi="宋体"/>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67D0FB8">
      <w:pPr>
        <w:spacing w:line="360" w:lineRule="auto"/>
        <w:ind w:firstLine="420" w:firstLineChars="200"/>
        <w:jc w:val="left"/>
        <w:rPr>
          <w:rFonts w:ascii="宋体" w:hAnsi="宋体"/>
          <w:szCs w:val="21"/>
          <w:highlight w:val="none"/>
        </w:rPr>
      </w:pPr>
      <w:r>
        <w:rPr>
          <w:rFonts w:hint="eastAsia" w:ascii="宋体" w:hAnsi="宋体"/>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44CD6E87">
      <w:pPr>
        <w:spacing w:line="360" w:lineRule="auto"/>
        <w:ind w:firstLine="420" w:firstLineChars="200"/>
        <w:jc w:val="left"/>
        <w:rPr>
          <w:rFonts w:ascii="宋体" w:hAnsi="宋体"/>
          <w:szCs w:val="21"/>
          <w:highlight w:val="none"/>
        </w:rPr>
      </w:pPr>
      <w:r>
        <w:rPr>
          <w:rFonts w:hint="eastAsia" w:ascii="宋体" w:hAnsi="宋体"/>
          <w:szCs w:val="21"/>
          <w:highlight w:val="none"/>
        </w:rPr>
        <w:t>3.3.4 承包人主要施工管理人员离开施工现场，指定的临时人员需满足：</w:t>
      </w:r>
      <w:r>
        <w:rPr>
          <w:rFonts w:hint="eastAsia" w:ascii="宋体" w:hAnsi="宋体"/>
          <w:szCs w:val="21"/>
          <w:highlight w:val="none"/>
          <w:u w:val="single"/>
        </w:rPr>
        <w:t>《重庆市房屋建筑与市政基础设施工程现场施工从业人员配备标准》（DBJ50-157-2013）的相应要求</w:t>
      </w:r>
      <w:r>
        <w:rPr>
          <w:rFonts w:hint="eastAsia" w:ascii="宋体" w:hAnsi="宋体"/>
          <w:szCs w:val="21"/>
          <w:highlight w:val="none"/>
        </w:rPr>
        <w:t>。</w:t>
      </w:r>
    </w:p>
    <w:p w14:paraId="456BA34C">
      <w:pPr>
        <w:pStyle w:val="7"/>
        <w:spacing w:before="0" w:beforeAutospacing="0" w:after="0" w:afterAutospacing="0" w:line="360" w:lineRule="auto"/>
        <w:ind w:firstLine="422" w:firstLineChars="200"/>
        <w:rPr>
          <w:sz w:val="21"/>
          <w:szCs w:val="21"/>
          <w:highlight w:val="none"/>
        </w:rPr>
      </w:pPr>
      <w:bookmarkStart w:id="1253" w:name="_Toc532377338"/>
      <w:r>
        <w:rPr>
          <w:rFonts w:hint="eastAsia"/>
          <w:sz w:val="21"/>
          <w:szCs w:val="21"/>
          <w:highlight w:val="none"/>
        </w:rPr>
        <w:t>3</w:t>
      </w:r>
      <w:bookmarkStart w:id="1254" w:name="_Toc296891199"/>
      <w:bookmarkStart w:id="1255" w:name="_Toc296346660"/>
      <w:bookmarkStart w:id="1256" w:name="_Toc297048345"/>
      <w:bookmarkStart w:id="1257" w:name="_Toc296503159"/>
      <w:bookmarkStart w:id="1258" w:name="_Toc303539102"/>
      <w:bookmarkStart w:id="1259" w:name="_Toc296347158"/>
      <w:bookmarkStart w:id="1260" w:name="_Toc297123492"/>
      <w:bookmarkStart w:id="1261" w:name="_Toc312677988"/>
      <w:bookmarkStart w:id="1262" w:name="_Toc297216151"/>
      <w:bookmarkStart w:id="1263" w:name="_Toc292559869"/>
      <w:bookmarkStart w:id="1264" w:name="_Toc300934945"/>
      <w:bookmarkStart w:id="1265" w:name="_Toc296944498"/>
      <w:bookmarkStart w:id="1266" w:name="_Toc304295523"/>
      <w:bookmarkStart w:id="1267" w:name="_Toc296890987"/>
      <w:bookmarkStart w:id="1268" w:name="_Toc292559364"/>
      <w:bookmarkStart w:id="1269" w:name="_Toc297120459"/>
      <w:r>
        <w:rPr>
          <w:rFonts w:hint="eastAsia"/>
          <w:sz w:val="21"/>
          <w:szCs w:val="21"/>
          <w:highlight w:val="none"/>
        </w:rPr>
        <w:t>.5 分包</w:t>
      </w:r>
      <w:bookmarkEnd w:id="1253"/>
    </w:p>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14:paraId="40DB8DA2">
      <w:pPr>
        <w:spacing w:line="360" w:lineRule="auto"/>
        <w:ind w:firstLine="420" w:firstLineChars="200"/>
        <w:jc w:val="left"/>
        <w:rPr>
          <w:rFonts w:ascii="宋体" w:hAnsi="宋体"/>
          <w:szCs w:val="21"/>
          <w:highlight w:val="none"/>
        </w:rPr>
      </w:pPr>
      <w:r>
        <w:rPr>
          <w:rFonts w:hint="eastAsia" w:ascii="宋体" w:hAnsi="宋体"/>
          <w:szCs w:val="21"/>
          <w:highlight w:val="none"/>
        </w:rPr>
        <w:t>3</w:t>
      </w:r>
      <w:bookmarkStart w:id="1270" w:name="_Toc296944499"/>
      <w:bookmarkStart w:id="1271" w:name="_Toc304295524"/>
      <w:bookmarkStart w:id="1272" w:name="_Toc296346661"/>
      <w:bookmarkStart w:id="1273" w:name="_Toc297048346"/>
      <w:bookmarkStart w:id="1274" w:name="_Toc292559870"/>
      <w:bookmarkStart w:id="1275" w:name="_Toc297216152"/>
      <w:bookmarkStart w:id="1276" w:name="_Toc296347159"/>
      <w:bookmarkStart w:id="1277" w:name="_Toc296503160"/>
      <w:bookmarkStart w:id="1278" w:name="_Toc300934946"/>
      <w:bookmarkStart w:id="1279" w:name="_Toc292559365"/>
      <w:bookmarkStart w:id="1280" w:name="_Toc318581158"/>
      <w:bookmarkStart w:id="1281" w:name="_Toc312677989"/>
      <w:bookmarkStart w:id="1282" w:name="_Toc303539103"/>
      <w:bookmarkStart w:id="1283" w:name="_Toc297123493"/>
      <w:bookmarkStart w:id="1284" w:name="_Toc297120460"/>
      <w:bookmarkStart w:id="1285" w:name="_Toc296891200"/>
      <w:bookmarkStart w:id="1286" w:name="_Toc296890988"/>
      <w:r>
        <w:rPr>
          <w:rFonts w:hint="eastAsia" w:ascii="宋体" w:hAnsi="宋体"/>
          <w:szCs w:val="21"/>
          <w:highlight w:val="none"/>
        </w:rPr>
        <w:t>.5.1 分包的一般约定</w:t>
      </w:r>
    </w:p>
    <w:p w14:paraId="3C082BAE">
      <w:pPr>
        <w:spacing w:line="360" w:lineRule="auto"/>
        <w:ind w:firstLine="420" w:firstLineChars="200"/>
        <w:jc w:val="left"/>
        <w:rPr>
          <w:rFonts w:ascii="宋体" w:hAnsi="宋体"/>
          <w:szCs w:val="21"/>
          <w:highlight w:val="none"/>
        </w:rPr>
      </w:pPr>
      <w:r>
        <w:rPr>
          <w:rFonts w:hint="eastAsia" w:ascii="宋体" w:hAnsi="宋体"/>
          <w:szCs w:val="21"/>
          <w:highlight w:val="none"/>
        </w:rPr>
        <w:t>禁止分包的工程包括：主体结构、关键性工作等国家法律、法规禁止分包的工程。</w:t>
      </w:r>
    </w:p>
    <w:p w14:paraId="7E6994F4">
      <w:pPr>
        <w:spacing w:line="360" w:lineRule="auto"/>
        <w:ind w:firstLine="420" w:firstLineChars="200"/>
        <w:jc w:val="left"/>
        <w:rPr>
          <w:rFonts w:ascii="宋体" w:hAnsi="宋体"/>
          <w:szCs w:val="21"/>
          <w:highlight w:val="none"/>
        </w:rPr>
      </w:pPr>
      <w:r>
        <w:rPr>
          <w:rFonts w:hint="eastAsia" w:ascii="宋体" w:hAnsi="宋体"/>
          <w:szCs w:val="21"/>
          <w:highlight w:val="none"/>
        </w:rPr>
        <w:t>主体结构、关键性工作的范围：国家法律、法规、规范、标准等所约束的范围。如房建工程主体结构指混凝土工程、砌体工程、钢结构工程（具体有基础、梁、板、柱、砼墙、楼梯工程等）</w:t>
      </w:r>
      <w:bookmarkStart w:id="1287" w:name="_Toc296891201"/>
      <w:bookmarkStart w:id="1288" w:name="_Toc297216153"/>
      <w:bookmarkStart w:id="1289" w:name="_Toc297123494"/>
      <w:bookmarkStart w:id="1290" w:name="_Toc296346662"/>
      <w:bookmarkStart w:id="1291" w:name="_Toc296347160"/>
      <w:bookmarkStart w:id="1292" w:name="_Toc297120461"/>
      <w:bookmarkStart w:id="1293" w:name="_Toc300934947"/>
      <w:bookmarkStart w:id="1294" w:name="_Toc296503161"/>
      <w:bookmarkStart w:id="1295" w:name="_Toc303539104"/>
      <w:bookmarkStart w:id="1296" w:name="_Toc304295525"/>
      <w:bookmarkStart w:id="1297" w:name="_Toc296890989"/>
      <w:bookmarkStart w:id="1298" w:name="_Toc296944500"/>
      <w:bookmarkStart w:id="1299" w:name="_Toc297048347"/>
      <w:r>
        <w:rPr>
          <w:rFonts w:hint="eastAsia" w:ascii="宋体" w:hAnsi="宋体"/>
          <w:szCs w:val="21"/>
          <w:highlight w:val="none"/>
        </w:rPr>
        <w:t>；关键性工作指梁、板、柱等部位。</w:t>
      </w:r>
    </w:p>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14:paraId="1F0F1E5F">
      <w:pPr>
        <w:spacing w:line="360" w:lineRule="auto"/>
        <w:ind w:firstLine="420" w:firstLineChars="200"/>
        <w:jc w:val="left"/>
        <w:rPr>
          <w:rFonts w:ascii="宋体" w:hAnsi="宋体"/>
          <w:szCs w:val="21"/>
          <w:highlight w:val="none"/>
        </w:rPr>
      </w:pPr>
      <w:r>
        <w:rPr>
          <w:rFonts w:hint="eastAsia" w:ascii="宋体" w:hAnsi="宋体"/>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DF4BE18">
      <w:pPr>
        <w:spacing w:line="360" w:lineRule="auto"/>
        <w:ind w:firstLine="420" w:firstLineChars="200"/>
        <w:jc w:val="left"/>
        <w:rPr>
          <w:rFonts w:ascii="宋体" w:hAnsi="宋体"/>
          <w:szCs w:val="21"/>
          <w:highlight w:val="none"/>
        </w:rPr>
      </w:pPr>
      <w:r>
        <w:rPr>
          <w:rFonts w:hint="eastAsia" w:ascii="宋体" w:hAnsi="宋体"/>
          <w:szCs w:val="21"/>
          <w:highlight w:val="none"/>
        </w:rPr>
        <w:t>3</w:t>
      </w:r>
      <w:bookmarkStart w:id="1300" w:name="_Toc318581159"/>
      <w:bookmarkStart w:id="1301" w:name="_Toc312677990"/>
      <w:r>
        <w:rPr>
          <w:rFonts w:hint="eastAsia" w:ascii="宋体" w:hAnsi="宋体"/>
          <w:szCs w:val="21"/>
          <w:highlight w:val="none"/>
        </w:rPr>
        <w:t>.5.2分包的确定</w:t>
      </w:r>
    </w:p>
    <w:p w14:paraId="069B5B64">
      <w:pPr>
        <w:spacing w:line="360" w:lineRule="auto"/>
        <w:ind w:firstLine="420" w:firstLineChars="200"/>
        <w:jc w:val="left"/>
        <w:rPr>
          <w:rFonts w:ascii="宋体" w:hAnsi="宋体"/>
          <w:i/>
          <w:iCs/>
          <w:szCs w:val="21"/>
          <w:highlight w:val="none"/>
        </w:rPr>
      </w:pPr>
      <w:r>
        <w:rPr>
          <w:rFonts w:hint="eastAsia" w:ascii="宋体" w:hAnsi="宋体"/>
          <w:szCs w:val="21"/>
          <w:highlight w:val="none"/>
        </w:rPr>
        <w:t>允许分包的专业工程包括：</w:t>
      </w:r>
      <w:r>
        <w:rPr>
          <w:rFonts w:hint="eastAsia" w:ascii="宋体" w:hAnsi="宋体"/>
          <w:szCs w:val="21"/>
          <w:highlight w:val="none"/>
          <w:u w:val="single"/>
        </w:rPr>
        <w:t xml:space="preserve">        。</w:t>
      </w:r>
      <w:r>
        <w:rPr>
          <w:rFonts w:hint="eastAsia" w:ascii="宋体" w:hAnsi="宋体"/>
          <w:i/>
          <w:iCs/>
          <w:szCs w:val="21"/>
          <w:highlight w:val="none"/>
        </w:rPr>
        <w:t>[提示：符合《中华人民共和国建筑法》和《中华人民共和国招标投标法》的相关规定。]</w:t>
      </w:r>
    </w:p>
    <w:p w14:paraId="0575B261">
      <w:pPr>
        <w:spacing w:line="360" w:lineRule="auto"/>
        <w:ind w:firstLine="420" w:firstLineChars="200"/>
        <w:jc w:val="left"/>
        <w:rPr>
          <w:rFonts w:ascii="宋体" w:hAnsi="宋体"/>
          <w:szCs w:val="21"/>
          <w:highlight w:val="none"/>
        </w:rPr>
      </w:pPr>
      <w:r>
        <w:rPr>
          <w:rFonts w:hint="eastAsia" w:ascii="宋体" w:hAnsi="宋体"/>
          <w:szCs w:val="21"/>
          <w:highlight w:val="none"/>
        </w:rPr>
        <w:t>3.5.4 分包合同价款</w:t>
      </w:r>
    </w:p>
    <w:p w14:paraId="1EA33F42">
      <w:pPr>
        <w:spacing w:line="360" w:lineRule="auto"/>
        <w:ind w:firstLine="420" w:firstLineChars="200"/>
        <w:jc w:val="left"/>
        <w:rPr>
          <w:rFonts w:ascii="宋体" w:hAnsi="宋体"/>
          <w:szCs w:val="21"/>
          <w:highlight w:val="none"/>
        </w:rPr>
      </w:pPr>
      <w:r>
        <w:rPr>
          <w:rFonts w:hint="eastAsia" w:ascii="宋体" w:hAnsi="宋体"/>
          <w:szCs w:val="21"/>
          <w:highlight w:val="none"/>
        </w:rPr>
        <w:t>关于分包合同价款支付的约定：</w:t>
      </w:r>
      <w:bookmarkEnd w:id="1300"/>
      <w:bookmarkEnd w:id="1301"/>
      <w:r>
        <w:rPr>
          <w:rFonts w:hint="eastAsia" w:ascii="宋体" w:hAnsi="宋体"/>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highlight w:val="none"/>
        </w:rPr>
        <w:t>。</w:t>
      </w:r>
    </w:p>
    <w:p w14:paraId="74E0203F">
      <w:pPr>
        <w:spacing w:line="360" w:lineRule="auto"/>
        <w:ind w:firstLine="420" w:firstLineChars="200"/>
        <w:jc w:val="left"/>
        <w:rPr>
          <w:rFonts w:ascii="宋体" w:hAnsi="宋体"/>
          <w:szCs w:val="21"/>
          <w:highlight w:val="none"/>
        </w:rPr>
      </w:pPr>
      <w:r>
        <w:rPr>
          <w:rFonts w:hint="eastAsia" w:ascii="宋体" w:hAnsi="宋体"/>
          <w:szCs w:val="21"/>
          <w:highlight w:val="none"/>
        </w:rPr>
        <w:t>本款补充3.5.6项：</w:t>
      </w:r>
    </w:p>
    <w:p w14:paraId="0B8ED36C">
      <w:pPr>
        <w:spacing w:line="360" w:lineRule="auto"/>
        <w:ind w:firstLine="420" w:firstLineChars="200"/>
        <w:jc w:val="left"/>
        <w:rPr>
          <w:rFonts w:ascii="宋体" w:hAnsi="宋体"/>
          <w:szCs w:val="21"/>
          <w:highlight w:val="none"/>
        </w:rPr>
      </w:pPr>
      <w:r>
        <w:rPr>
          <w:rFonts w:hint="eastAsia" w:ascii="宋体" w:hAnsi="宋体"/>
          <w:szCs w:val="21"/>
          <w:highlight w:val="none"/>
        </w:rPr>
        <w:t>3.5.6严禁违法分包</w:t>
      </w:r>
    </w:p>
    <w:p w14:paraId="60791676">
      <w:pPr>
        <w:spacing w:line="360" w:lineRule="auto"/>
        <w:ind w:firstLine="420" w:firstLineChars="200"/>
        <w:jc w:val="left"/>
        <w:rPr>
          <w:rFonts w:ascii="宋体" w:hAnsi="宋体"/>
          <w:szCs w:val="21"/>
          <w:highlight w:val="none"/>
        </w:rPr>
      </w:pPr>
      <w:r>
        <w:rPr>
          <w:rFonts w:hint="eastAsia" w:ascii="宋体" w:hAnsi="宋体"/>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4D2A1CC2">
      <w:pPr>
        <w:pStyle w:val="7"/>
        <w:spacing w:before="0" w:beforeAutospacing="0" w:after="0" w:afterAutospacing="0" w:line="360" w:lineRule="auto"/>
        <w:ind w:firstLine="422" w:firstLineChars="200"/>
        <w:rPr>
          <w:sz w:val="21"/>
          <w:szCs w:val="21"/>
          <w:highlight w:val="none"/>
        </w:rPr>
      </w:pPr>
      <w:bookmarkStart w:id="1302" w:name="_Toc532377339"/>
      <w:r>
        <w:rPr>
          <w:rFonts w:hint="eastAsia"/>
          <w:sz w:val="21"/>
          <w:szCs w:val="21"/>
          <w:highlight w:val="none"/>
        </w:rPr>
        <w:t>3.7 履约担保</w:t>
      </w:r>
      <w:bookmarkEnd w:id="1302"/>
    </w:p>
    <w:p w14:paraId="500211C1">
      <w:pPr>
        <w:spacing w:line="360" w:lineRule="auto"/>
        <w:ind w:firstLine="420" w:firstLineChars="200"/>
        <w:jc w:val="left"/>
        <w:rPr>
          <w:rFonts w:ascii="宋体" w:hAnsi="宋体"/>
          <w:szCs w:val="21"/>
          <w:highlight w:val="none"/>
        </w:rPr>
      </w:pPr>
      <w:r>
        <w:rPr>
          <w:rFonts w:hint="eastAsia" w:ascii="宋体" w:hAnsi="宋体"/>
          <w:szCs w:val="21"/>
          <w:highlight w:val="none"/>
        </w:rPr>
        <w:t>3.7.1承包人是否提供履约担保：</w:t>
      </w:r>
      <w:r>
        <w:rPr>
          <w:rFonts w:hint="eastAsia" w:ascii="宋体" w:hAnsi="宋体"/>
          <w:szCs w:val="21"/>
          <w:highlight w:val="none"/>
          <w:u w:val="single"/>
          <w:lang w:val="en-US" w:eastAsia="zh-CN"/>
        </w:rPr>
        <w:t>不</w:t>
      </w:r>
      <w:r>
        <w:rPr>
          <w:rFonts w:hint="eastAsia" w:ascii="宋体" w:hAnsi="宋体"/>
          <w:szCs w:val="21"/>
          <w:highlight w:val="none"/>
          <w:u w:val="single"/>
        </w:rPr>
        <w:t>提供</w:t>
      </w:r>
      <w:r>
        <w:rPr>
          <w:rFonts w:hint="eastAsia" w:ascii="宋体" w:hAnsi="宋体"/>
          <w:szCs w:val="21"/>
          <w:highlight w:val="none"/>
        </w:rPr>
        <w:t>。</w:t>
      </w:r>
    </w:p>
    <w:p w14:paraId="7DA8AE89">
      <w:pPr>
        <w:pStyle w:val="6"/>
        <w:keepNext/>
        <w:keepLines/>
        <w:spacing w:before="156" w:beforeLines="50" w:beforeAutospacing="0" w:after="156" w:afterLines="50" w:afterAutospacing="0" w:line="360" w:lineRule="auto"/>
        <w:jc w:val="both"/>
        <w:rPr>
          <w:bCs w:val="0"/>
          <w:kern w:val="2"/>
          <w:sz w:val="21"/>
          <w:szCs w:val="21"/>
          <w:highlight w:val="none"/>
        </w:rPr>
      </w:pPr>
      <w:bookmarkStart w:id="1303" w:name="_Toc532377340"/>
      <w:bookmarkStart w:id="1304" w:name="_Toc532375611"/>
      <w:bookmarkStart w:id="1305" w:name="_Toc351203636"/>
      <w:r>
        <w:rPr>
          <w:rFonts w:hint="eastAsia"/>
          <w:kern w:val="2"/>
          <w:sz w:val="21"/>
          <w:szCs w:val="21"/>
          <w:highlight w:val="none"/>
        </w:rPr>
        <w:t>4</w:t>
      </w:r>
      <w:bookmarkStart w:id="1306" w:name="_Toc296346663"/>
      <w:bookmarkStart w:id="1307" w:name="_Toc267251413"/>
      <w:bookmarkStart w:id="1308" w:name="_Toc297048348"/>
      <w:bookmarkStart w:id="1309" w:name="_Toc296944501"/>
      <w:bookmarkStart w:id="1310" w:name="_Toc292559366"/>
      <w:bookmarkStart w:id="1311" w:name="_Toc296891202"/>
      <w:bookmarkStart w:id="1312" w:name="_Toc296347161"/>
      <w:bookmarkStart w:id="1313" w:name="_Toc297120462"/>
      <w:bookmarkStart w:id="1314" w:name="_Toc296503162"/>
      <w:bookmarkStart w:id="1315" w:name="_Toc296890990"/>
      <w:bookmarkStart w:id="1316" w:name="_Toc292559871"/>
      <w:r>
        <w:rPr>
          <w:rFonts w:hint="eastAsia"/>
          <w:kern w:val="2"/>
          <w:sz w:val="21"/>
          <w:szCs w:val="21"/>
          <w:highlight w:val="none"/>
        </w:rPr>
        <w:t>. 监</w:t>
      </w:r>
      <w:bookmarkEnd w:id="1306"/>
      <w:bookmarkEnd w:id="1307"/>
      <w:bookmarkEnd w:id="1308"/>
      <w:bookmarkEnd w:id="1309"/>
      <w:bookmarkEnd w:id="1310"/>
      <w:bookmarkEnd w:id="1311"/>
      <w:bookmarkEnd w:id="1312"/>
      <w:bookmarkEnd w:id="1313"/>
      <w:bookmarkEnd w:id="1314"/>
      <w:bookmarkEnd w:id="1315"/>
      <w:bookmarkEnd w:id="1316"/>
      <w:r>
        <w:rPr>
          <w:rFonts w:hint="eastAsia"/>
          <w:kern w:val="2"/>
          <w:sz w:val="21"/>
          <w:szCs w:val="21"/>
          <w:highlight w:val="none"/>
        </w:rPr>
        <w:t>理人</w:t>
      </w:r>
      <w:bookmarkEnd w:id="1303"/>
      <w:bookmarkEnd w:id="1304"/>
      <w:bookmarkEnd w:id="1305"/>
    </w:p>
    <w:p w14:paraId="43297E1B">
      <w:pPr>
        <w:pStyle w:val="7"/>
        <w:spacing w:before="0" w:beforeAutospacing="0" w:after="0" w:afterAutospacing="0" w:line="360" w:lineRule="auto"/>
        <w:ind w:firstLine="422" w:firstLineChars="200"/>
        <w:rPr>
          <w:sz w:val="21"/>
          <w:szCs w:val="21"/>
          <w:highlight w:val="none"/>
        </w:rPr>
      </w:pPr>
      <w:bookmarkStart w:id="1317" w:name="_Toc532377341"/>
      <w:r>
        <w:rPr>
          <w:rFonts w:hint="eastAsia"/>
          <w:sz w:val="21"/>
          <w:szCs w:val="21"/>
          <w:highlight w:val="none"/>
        </w:rPr>
        <w:t>4.1 监理人的一般规定</w:t>
      </w:r>
      <w:bookmarkEnd w:id="1317"/>
    </w:p>
    <w:p w14:paraId="608D64FD">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关于监理人的监理内容：</w:t>
      </w:r>
      <w:r>
        <w:rPr>
          <w:rFonts w:hint="eastAsia" w:ascii="宋体" w:hAnsi="宋体"/>
          <w:szCs w:val="21"/>
          <w:highlight w:val="none"/>
          <w:u w:val="single"/>
        </w:rPr>
        <w:t>见发包人与监理人就本工程签订的监理合同</w:t>
      </w:r>
      <w:r>
        <w:rPr>
          <w:rFonts w:hint="eastAsia" w:ascii="宋体" w:hAnsi="宋体"/>
          <w:szCs w:val="21"/>
          <w:highlight w:val="none"/>
        </w:rPr>
        <w:t>。</w:t>
      </w:r>
    </w:p>
    <w:p w14:paraId="27DE8C8D">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关于监理人的监理权限：</w:t>
      </w:r>
      <w:r>
        <w:rPr>
          <w:rFonts w:hint="eastAsia" w:ascii="宋体" w:hAnsi="宋体"/>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highlight w:val="none"/>
        </w:rPr>
        <w:t>。</w:t>
      </w:r>
    </w:p>
    <w:p w14:paraId="5AC263B4">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关于监理人在施工现场的办公场所、生活场所的提供和费用承担的约定：</w:t>
      </w:r>
      <w:r>
        <w:rPr>
          <w:rFonts w:hint="eastAsia" w:ascii="宋体" w:hAnsi="宋体"/>
          <w:szCs w:val="21"/>
          <w:highlight w:val="none"/>
          <w:u w:val="single"/>
        </w:rPr>
        <w:t xml:space="preserve">                          </w:t>
      </w:r>
      <w:r>
        <w:rPr>
          <w:rFonts w:hint="eastAsia" w:ascii="宋体" w:hAnsi="宋体"/>
          <w:szCs w:val="21"/>
          <w:highlight w:val="none"/>
        </w:rPr>
        <w:t>。</w:t>
      </w:r>
    </w:p>
    <w:p w14:paraId="6976075F">
      <w:pPr>
        <w:pStyle w:val="7"/>
        <w:spacing w:before="0" w:beforeAutospacing="0" w:after="0" w:afterAutospacing="0" w:line="360" w:lineRule="auto"/>
        <w:ind w:firstLine="422" w:firstLineChars="200"/>
        <w:rPr>
          <w:sz w:val="21"/>
          <w:szCs w:val="21"/>
          <w:highlight w:val="none"/>
        </w:rPr>
      </w:pPr>
      <w:bookmarkStart w:id="1318" w:name="_Toc532377342"/>
      <w:r>
        <w:rPr>
          <w:rFonts w:hint="eastAsia"/>
          <w:sz w:val="21"/>
          <w:szCs w:val="21"/>
          <w:highlight w:val="none"/>
        </w:rPr>
        <w:t>4.2 监理人员</w:t>
      </w:r>
      <w:bookmarkEnd w:id="1318"/>
    </w:p>
    <w:p w14:paraId="2E383D40">
      <w:pPr>
        <w:spacing w:line="360" w:lineRule="auto"/>
        <w:ind w:firstLine="420" w:firstLineChars="200"/>
        <w:jc w:val="left"/>
        <w:rPr>
          <w:rFonts w:ascii="宋体" w:hAnsi="宋体"/>
          <w:szCs w:val="21"/>
          <w:highlight w:val="none"/>
        </w:rPr>
      </w:pPr>
      <w:r>
        <w:rPr>
          <w:rFonts w:hint="eastAsia" w:ascii="宋体" w:hAnsi="宋体"/>
          <w:szCs w:val="21"/>
          <w:highlight w:val="none"/>
        </w:rPr>
        <w:t>总监理工程师：</w:t>
      </w:r>
    </w:p>
    <w:p w14:paraId="251A5309">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 </w:t>
      </w:r>
      <w:r>
        <w:rPr>
          <w:rFonts w:hint="eastAsia" w:ascii="宋体" w:hAnsi="宋体"/>
          <w:szCs w:val="21"/>
          <w:highlight w:val="none"/>
        </w:rPr>
        <w:t>；</w:t>
      </w:r>
    </w:p>
    <w:p w14:paraId="3049DF94">
      <w:pPr>
        <w:spacing w:line="360" w:lineRule="auto"/>
        <w:ind w:firstLine="420" w:firstLineChars="200"/>
        <w:jc w:val="left"/>
        <w:rPr>
          <w:rFonts w:ascii="宋体" w:hAnsi="宋体"/>
          <w:szCs w:val="21"/>
          <w:highlight w:val="none"/>
        </w:rPr>
      </w:pPr>
      <w:r>
        <w:rPr>
          <w:rFonts w:hint="eastAsia" w:ascii="宋体" w:hAnsi="宋体"/>
          <w:szCs w:val="21"/>
          <w:highlight w:val="none"/>
        </w:rPr>
        <w:t>职    务：</w:t>
      </w:r>
      <w:r>
        <w:rPr>
          <w:rFonts w:ascii="宋体" w:hAnsi="宋体"/>
          <w:szCs w:val="21"/>
          <w:highlight w:val="none"/>
          <w:u w:val="single"/>
        </w:rPr>
        <w:t xml:space="preserve">                          </w:t>
      </w:r>
      <w:r>
        <w:rPr>
          <w:rFonts w:hint="eastAsia" w:ascii="宋体" w:hAnsi="宋体"/>
          <w:szCs w:val="21"/>
          <w:highlight w:val="none"/>
        </w:rPr>
        <w:t>；</w:t>
      </w:r>
    </w:p>
    <w:p w14:paraId="3C0C9C63">
      <w:pPr>
        <w:spacing w:line="360" w:lineRule="auto"/>
        <w:ind w:firstLine="420" w:firstLineChars="200"/>
        <w:jc w:val="left"/>
        <w:rPr>
          <w:rFonts w:ascii="宋体" w:hAnsi="宋体"/>
          <w:szCs w:val="21"/>
          <w:highlight w:val="none"/>
        </w:rPr>
      </w:pPr>
      <w:r>
        <w:rPr>
          <w:rFonts w:hint="eastAsia" w:ascii="宋体" w:hAnsi="宋体"/>
          <w:szCs w:val="21"/>
          <w:highlight w:val="none"/>
        </w:rPr>
        <w:t>监理工程师执业资格证书号：</w:t>
      </w:r>
      <w:r>
        <w:rPr>
          <w:rFonts w:ascii="宋体" w:hAnsi="宋体"/>
          <w:szCs w:val="21"/>
          <w:highlight w:val="none"/>
          <w:u w:val="single"/>
        </w:rPr>
        <w:t xml:space="preserve">              </w:t>
      </w:r>
      <w:r>
        <w:rPr>
          <w:rFonts w:hint="eastAsia" w:ascii="宋体" w:hAnsi="宋体"/>
          <w:szCs w:val="21"/>
          <w:highlight w:val="none"/>
        </w:rPr>
        <w:t>；</w:t>
      </w:r>
    </w:p>
    <w:p w14:paraId="6726ABA8">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                    </w:t>
      </w:r>
      <w:r>
        <w:rPr>
          <w:rFonts w:hint="eastAsia" w:ascii="宋体" w:hAnsi="宋体"/>
          <w:szCs w:val="21"/>
          <w:highlight w:val="none"/>
        </w:rPr>
        <w:t>；</w:t>
      </w:r>
    </w:p>
    <w:p w14:paraId="188A4E9D">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关于监理人的其他约定：</w:t>
      </w:r>
      <w:r>
        <w:rPr>
          <w:rFonts w:hint="eastAsia" w:ascii="宋体" w:hAnsi="宋体"/>
          <w:szCs w:val="21"/>
          <w:highlight w:val="none"/>
          <w:u w:val="single"/>
        </w:rPr>
        <w:t>见发包人与监理人就本工程签订的监理合同</w:t>
      </w:r>
      <w:r>
        <w:rPr>
          <w:rFonts w:hint="eastAsia" w:ascii="宋体" w:hAnsi="宋体"/>
          <w:szCs w:val="21"/>
          <w:highlight w:val="none"/>
        </w:rPr>
        <w:t>。</w:t>
      </w:r>
    </w:p>
    <w:p w14:paraId="7467FD6E">
      <w:pPr>
        <w:pStyle w:val="7"/>
        <w:spacing w:before="0" w:beforeAutospacing="0" w:after="0" w:afterAutospacing="0" w:line="360" w:lineRule="auto"/>
        <w:ind w:firstLine="420" w:firstLineChars="200"/>
        <w:rPr>
          <w:b w:val="0"/>
          <w:sz w:val="21"/>
          <w:szCs w:val="21"/>
          <w:highlight w:val="none"/>
        </w:rPr>
      </w:pPr>
      <w:bookmarkStart w:id="1319" w:name="_Toc532377343"/>
      <w:r>
        <w:rPr>
          <w:rFonts w:hint="eastAsia"/>
          <w:b w:val="0"/>
          <w:sz w:val="21"/>
          <w:szCs w:val="21"/>
          <w:highlight w:val="none"/>
        </w:rPr>
        <w:t>4.4 商定或确定</w:t>
      </w:r>
      <w:bookmarkEnd w:id="1319"/>
    </w:p>
    <w:p w14:paraId="10A74A92">
      <w:pPr>
        <w:spacing w:line="360" w:lineRule="auto"/>
        <w:ind w:firstLine="420" w:firstLineChars="200"/>
        <w:jc w:val="left"/>
        <w:rPr>
          <w:rFonts w:ascii="宋体" w:hAnsi="宋体"/>
          <w:szCs w:val="21"/>
          <w:highlight w:val="none"/>
        </w:rPr>
      </w:pPr>
      <w:bookmarkStart w:id="1320" w:name="_Toc267251418"/>
      <w:r>
        <w:rPr>
          <w:rFonts w:hint="eastAsia" w:ascii="宋体" w:hAnsi="宋体"/>
          <w:szCs w:val="21"/>
          <w:highlight w:val="none"/>
        </w:rPr>
        <w:t>在发包人和承包人不能通过协商达成一致意见时，发包人授权监理人对以下事项进行确定：</w:t>
      </w:r>
    </w:p>
    <w:p w14:paraId="287350CA">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                    </w:t>
      </w:r>
      <w:r>
        <w:rPr>
          <w:rFonts w:hint="eastAsia" w:ascii="宋体" w:hAnsi="宋体"/>
          <w:szCs w:val="21"/>
          <w:highlight w:val="none"/>
        </w:rPr>
        <w:t>。</w:t>
      </w:r>
    </w:p>
    <w:p w14:paraId="4B260683">
      <w:pPr>
        <w:pStyle w:val="6"/>
        <w:keepNext/>
        <w:keepLines/>
        <w:spacing w:before="156" w:beforeLines="50" w:beforeAutospacing="0" w:after="156" w:afterLines="50" w:afterAutospacing="0" w:line="360" w:lineRule="auto"/>
        <w:jc w:val="both"/>
        <w:rPr>
          <w:bCs w:val="0"/>
          <w:kern w:val="2"/>
          <w:sz w:val="21"/>
          <w:szCs w:val="21"/>
          <w:highlight w:val="none"/>
        </w:rPr>
      </w:pPr>
      <w:bookmarkStart w:id="1321" w:name="_Toc532375612"/>
      <w:bookmarkStart w:id="1322" w:name="_Toc532377344"/>
      <w:bookmarkStart w:id="1323" w:name="_Toc351203637"/>
      <w:r>
        <w:rPr>
          <w:rFonts w:hint="eastAsia"/>
          <w:kern w:val="2"/>
          <w:sz w:val="21"/>
          <w:szCs w:val="21"/>
          <w:highlight w:val="none"/>
        </w:rPr>
        <w:t>5</w:t>
      </w:r>
      <w:bookmarkEnd w:id="1320"/>
      <w:bookmarkStart w:id="1324" w:name="_Toc296346664"/>
      <w:bookmarkStart w:id="1325" w:name="_Toc297120463"/>
      <w:bookmarkStart w:id="1326" w:name="_Toc292559872"/>
      <w:bookmarkStart w:id="1327" w:name="_Toc296347162"/>
      <w:bookmarkStart w:id="1328" w:name="_Toc296891203"/>
      <w:bookmarkStart w:id="1329" w:name="_Toc296890991"/>
      <w:bookmarkStart w:id="1330" w:name="_Toc296944502"/>
      <w:bookmarkStart w:id="1331" w:name="_Toc297048349"/>
      <w:bookmarkStart w:id="1332" w:name="_Toc292559367"/>
      <w:bookmarkStart w:id="1333" w:name="_Toc296503163"/>
      <w:r>
        <w:rPr>
          <w:rFonts w:hint="eastAsia"/>
          <w:kern w:val="2"/>
          <w:sz w:val="21"/>
          <w:szCs w:val="21"/>
          <w:highlight w:val="none"/>
        </w:rPr>
        <w:t>. 工程质量</w:t>
      </w:r>
      <w:bookmarkEnd w:id="1321"/>
      <w:bookmarkEnd w:id="1322"/>
      <w:bookmarkEnd w:id="1323"/>
    </w:p>
    <w:p w14:paraId="37D0FDE1">
      <w:pPr>
        <w:pStyle w:val="7"/>
        <w:spacing w:before="0" w:beforeAutospacing="0" w:after="0" w:afterAutospacing="0" w:line="360" w:lineRule="auto"/>
        <w:ind w:firstLine="422" w:firstLineChars="200"/>
        <w:rPr>
          <w:sz w:val="21"/>
          <w:szCs w:val="21"/>
          <w:highlight w:val="none"/>
        </w:rPr>
      </w:pPr>
      <w:bookmarkStart w:id="1334" w:name="_Toc532377345"/>
      <w:r>
        <w:rPr>
          <w:rFonts w:hint="eastAsia"/>
          <w:sz w:val="21"/>
          <w:szCs w:val="21"/>
          <w:highlight w:val="none"/>
        </w:rPr>
        <w:t>5.1 质量要求</w:t>
      </w:r>
      <w:bookmarkEnd w:id="1334"/>
      <w:bookmarkStart w:id="1335" w:name="_Hlk528909888"/>
      <w:bookmarkStart w:id="1336" w:name="_Toc300934949"/>
      <w:bookmarkStart w:id="1337" w:name="_Toc318581164"/>
      <w:bookmarkStart w:id="1338" w:name="_Toc297216155"/>
      <w:bookmarkStart w:id="1339" w:name="_Toc297123496"/>
      <w:bookmarkStart w:id="1340" w:name="_Toc303539106"/>
      <w:bookmarkStart w:id="1341" w:name="_Toc312677997"/>
      <w:bookmarkStart w:id="1342" w:name="_Toc304295527"/>
    </w:p>
    <w:p w14:paraId="4F241044">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工程质量符合强制性质量标准，</w:t>
      </w:r>
      <w:r>
        <w:rPr>
          <w:rFonts w:hint="eastAsia" w:ascii="宋体" w:hAnsi="宋体"/>
          <w:szCs w:val="21"/>
          <w:highlight w:val="none"/>
          <w:u w:val="single"/>
        </w:rPr>
        <w:t>符合国家和重庆市现行有关施工质量验收规范要求，并达到合格标准</w:t>
      </w:r>
      <w:r>
        <w:rPr>
          <w:rFonts w:hint="eastAsia" w:ascii="宋体" w:hAnsi="宋体"/>
          <w:szCs w:val="21"/>
          <w:highlight w:val="none"/>
        </w:rPr>
        <w:t>。强制性质量标准有（包括但不限于）：</w:t>
      </w:r>
      <w:r>
        <w:rPr>
          <w:rFonts w:hint="eastAsia" w:ascii="宋体" w:hAnsi="宋体"/>
          <w:szCs w:val="21"/>
          <w:highlight w:val="none"/>
          <w:u w:val="single"/>
        </w:rPr>
        <w:t xml:space="preserve">            </w:t>
      </w:r>
      <w:r>
        <w:rPr>
          <w:rFonts w:hint="eastAsia" w:ascii="宋体" w:hAnsi="宋体"/>
          <w:szCs w:val="21"/>
          <w:highlight w:val="none"/>
        </w:rPr>
        <w:t>。</w:t>
      </w:r>
    </w:p>
    <w:bookmarkEnd w:id="1335"/>
    <w:p w14:paraId="67ECBD33">
      <w:pPr>
        <w:pStyle w:val="7"/>
        <w:spacing w:before="0" w:beforeAutospacing="0" w:after="0" w:afterAutospacing="0" w:line="360" w:lineRule="auto"/>
        <w:ind w:firstLine="422" w:firstLineChars="200"/>
        <w:rPr>
          <w:sz w:val="21"/>
          <w:szCs w:val="21"/>
          <w:highlight w:val="none"/>
        </w:rPr>
      </w:pPr>
      <w:bookmarkStart w:id="1343" w:name="_Toc532377346"/>
      <w:r>
        <w:rPr>
          <w:rFonts w:hint="eastAsia"/>
          <w:sz w:val="21"/>
          <w:szCs w:val="21"/>
          <w:highlight w:val="none"/>
        </w:rPr>
        <w:t>5.2 质量保证措施</w:t>
      </w:r>
      <w:bookmarkEnd w:id="1343"/>
    </w:p>
    <w:p w14:paraId="207154DF">
      <w:pPr>
        <w:spacing w:line="360" w:lineRule="auto"/>
        <w:ind w:firstLine="420" w:firstLineChars="200"/>
        <w:jc w:val="left"/>
        <w:rPr>
          <w:rFonts w:ascii="宋体" w:hAnsi="宋体"/>
          <w:szCs w:val="21"/>
          <w:highlight w:val="none"/>
        </w:rPr>
      </w:pPr>
      <w:r>
        <w:rPr>
          <w:rFonts w:hint="eastAsia" w:ascii="宋体" w:hAnsi="宋体"/>
          <w:szCs w:val="21"/>
          <w:highlight w:val="none"/>
        </w:rPr>
        <w:t>本款补充5.2.4项：</w:t>
      </w:r>
    </w:p>
    <w:p w14:paraId="19B85AF5">
      <w:pPr>
        <w:spacing w:line="360" w:lineRule="auto"/>
        <w:ind w:firstLine="420" w:firstLineChars="200"/>
        <w:jc w:val="left"/>
        <w:rPr>
          <w:rFonts w:ascii="宋体" w:hAnsi="宋体"/>
          <w:szCs w:val="21"/>
          <w:highlight w:val="none"/>
        </w:rPr>
      </w:pPr>
      <w:r>
        <w:rPr>
          <w:rFonts w:hint="eastAsia" w:ascii="宋体" w:hAnsi="宋体"/>
          <w:szCs w:val="21"/>
          <w:highlight w:val="none"/>
        </w:rPr>
        <w:t>5.2.4 在工程建设中，参建各方应严格执行以下规定（包括但不限于）：</w:t>
      </w:r>
    </w:p>
    <w:p w14:paraId="39B0D7DB">
      <w:pPr>
        <w:spacing w:line="360" w:lineRule="auto"/>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《建筑工程施工质量验收统一标准》（GB50300-2013）</w:t>
      </w:r>
      <w:r>
        <w:rPr>
          <w:rFonts w:hint="eastAsia" w:ascii="宋体" w:hAnsi="宋体"/>
          <w:szCs w:val="21"/>
          <w:highlight w:val="none"/>
        </w:rPr>
        <w:t>；</w:t>
      </w:r>
    </w:p>
    <w:p w14:paraId="0E505C6C">
      <w:pPr>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《住房城乡建设部关于印发工程质量安全提升行动方案的通知》（建质〔2017〕57号）</w:t>
      </w:r>
      <w:r>
        <w:rPr>
          <w:rFonts w:hint="eastAsia" w:ascii="宋体" w:hAnsi="宋体"/>
          <w:szCs w:val="21"/>
          <w:highlight w:val="none"/>
        </w:rPr>
        <w:t>；</w:t>
      </w:r>
    </w:p>
    <w:p w14:paraId="770D6521">
      <w:pPr>
        <w:spacing w:line="360"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《房屋建筑和市政基础设施工程竣工验收规定》（建质〔2013〕171号）</w:t>
      </w:r>
      <w:r>
        <w:rPr>
          <w:rFonts w:hint="eastAsia" w:ascii="宋体" w:hAnsi="宋体"/>
          <w:szCs w:val="21"/>
          <w:highlight w:val="none"/>
        </w:rPr>
        <w:t>；</w:t>
      </w:r>
    </w:p>
    <w:p w14:paraId="543ABB6C">
      <w:pPr>
        <w:spacing w:line="360" w:lineRule="auto"/>
        <w:ind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u w:val="single"/>
        </w:rPr>
        <w:t>《建设部关于贯彻执行建筑工程勘察设计及施工质量验收规范若干问题的通知》（建标〔2002〕212号）</w:t>
      </w:r>
      <w:r>
        <w:rPr>
          <w:rFonts w:hint="eastAsia" w:ascii="宋体" w:hAnsi="宋体"/>
          <w:szCs w:val="21"/>
          <w:highlight w:val="none"/>
        </w:rPr>
        <w:t>；</w:t>
      </w:r>
    </w:p>
    <w:p w14:paraId="11D6A4E0">
      <w:pPr>
        <w:spacing w:line="360" w:lineRule="auto"/>
        <w:ind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szCs w:val="21"/>
          <w:highlight w:val="none"/>
        </w:rPr>
        <w:t>；</w:t>
      </w:r>
    </w:p>
    <w:p w14:paraId="39787BF2">
      <w:pPr>
        <w:spacing w:line="360" w:lineRule="auto"/>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u w:val="single"/>
        </w:rPr>
        <w:t>《关于印发&lt;重庆市房屋建筑和市政基础设施工程预拌商品砂浆应用推进工作方案&gt;的通知》（渝建〔2018〕375号）</w:t>
      </w:r>
      <w:r>
        <w:rPr>
          <w:rFonts w:hint="eastAsia" w:ascii="宋体" w:hAnsi="宋体"/>
          <w:szCs w:val="21"/>
          <w:highlight w:val="none"/>
        </w:rPr>
        <w:t>；</w:t>
      </w:r>
    </w:p>
    <w:p w14:paraId="326996C5">
      <w:pPr>
        <w:spacing w:line="360" w:lineRule="auto"/>
        <w:ind w:firstLine="420" w:firstLineChars="200"/>
        <w:jc w:val="left"/>
        <w:rPr>
          <w:rFonts w:ascii="宋体" w:hAnsi="宋体"/>
          <w:szCs w:val="21"/>
          <w:highlight w:val="none"/>
        </w:rPr>
      </w:pPr>
      <w:r>
        <w:rPr>
          <w:rFonts w:hint="eastAsia" w:ascii="宋体" w:hAnsi="宋体"/>
          <w:szCs w:val="21"/>
          <w:highlight w:val="none"/>
        </w:rPr>
        <w:t>（7）</w:t>
      </w:r>
      <w:r>
        <w:rPr>
          <w:rFonts w:hint="eastAsia" w:ascii="宋体" w:hAnsi="宋体"/>
          <w:szCs w:val="21"/>
          <w:highlight w:val="none"/>
          <w:u w:val="single"/>
        </w:rPr>
        <w:t>《重庆市城乡建设委员会关于印发2018年房屋建筑和市政基础设施工程质量要点的通知》（渝建〔2018〕94号）</w:t>
      </w:r>
      <w:r>
        <w:rPr>
          <w:rFonts w:hint="eastAsia" w:ascii="宋体" w:hAnsi="宋体"/>
          <w:szCs w:val="21"/>
          <w:highlight w:val="none"/>
        </w:rPr>
        <w:t>；</w:t>
      </w:r>
    </w:p>
    <w:p w14:paraId="4193A2D9">
      <w:pPr>
        <w:spacing w:line="360" w:lineRule="auto"/>
        <w:ind w:firstLine="420" w:firstLineChars="200"/>
        <w:jc w:val="left"/>
        <w:rPr>
          <w:rFonts w:ascii="宋体" w:hAnsi="宋体"/>
          <w:szCs w:val="21"/>
          <w:highlight w:val="none"/>
        </w:rPr>
      </w:pPr>
      <w:r>
        <w:rPr>
          <w:rFonts w:hint="eastAsia" w:ascii="宋体" w:hAnsi="宋体"/>
          <w:szCs w:val="21"/>
          <w:highlight w:val="none"/>
        </w:rPr>
        <w:t>（8）</w:t>
      </w:r>
      <w:r>
        <w:rPr>
          <w:rFonts w:hint="eastAsia" w:ascii="宋体" w:hAnsi="宋体"/>
          <w:szCs w:val="21"/>
          <w:highlight w:val="none"/>
          <w:u w:val="single"/>
        </w:rPr>
        <w:t>《重庆市城乡建设委员会关于进一步推广应用预拌商品砂浆的通知》（渝建〔2016〕318号）</w:t>
      </w:r>
      <w:r>
        <w:rPr>
          <w:rFonts w:hint="eastAsia" w:ascii="宋体" w:hAnsi="宋体"/>
          <w:szCs w:val="21"/>
          <w:highlight w:val="none"/>
        </w:rPr>
        <w:t>；</w:t>
      </w:r>
    </w:p>
    <w:p w14:paraId="65E8B3FD">
      <w:pPr>
        <w:spacing w:line="360" w:lineRule="auto"/>
        <w:ind w:firstLine="420" w:firstLineChars="200"/>
        <w:jc w:val="left"/>
        <w:rPr>
          <w:rFonts w:ascii="宋体" w:hAnsi="宋体"/>
          <w:szCs w:val="21"/>
          <w:highlight w:val="none"/>
        </w:rPr>
      </w:pPr>
      <w:r>
        <w:rPr>
          <w:rFonts w:hint="eastAsia" w:ascii="宋体" w:hAnsi="宋体"/>
          <w:szCs w:val="21"/>
          <w:highlight w:val="none"/>
        </w:rPr>
        <w:t>（9）</w:t>
      </w:r>
      <w:r>
        <w:rPr>
          <w:rFonts w:hint="eastAsia" w:ascii="宋体" w:hAnsi="宋体"/>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highlight w:val="none"/>
        </w:rPr>
        <w:t>；</w:t>
      </w:r>
    </w:p>
    <w:p w14:paraId="6543BAB9">
      <w:pPr>
        <w:spacing w:line="360" w:lineRule="auto"/>
        <w:ind w:firstLine="420" w:firstLineChars="200"/>
        <w:jc w:val="left"/>
        <w:rPr>
          <w:rFonts w:ascii="宋体" w:hAnsi="宋体"/>
          <w:szCs w:val="21"/>
          <w:highlight w:val="none"/>
        </w:rPr>
      </w:pPr>
      <w:r>
        <w:rPr>
          <w:rFonts w:hint="eastAsia" w:ascii="宋体" w:hAnsi="宋体"/>
          <w:szCs w:val="21"/>
          <w:highlight w:val="none"/>
        </w:rPr>
        <w:t>（10）</w:t>
      </w:r>
      <w:r>
        <w:rPr>
          <w:rFonts w:hint="eastAsia" w:ascii="宋体" w:hAnsi="宋体"/>
          <w:szCs w:val="21"/>
          <w:highlight w:val="none"/>
          <w:u w:val="single"/>
        </w:rPr>
        <w:t>国家和本市现行有关建设工程质量验收标准、规范和要求</w:t>
      </w:r>
      <w:r>
        <w:rPr>
          <w:rFonts w:hint="eastAsia" w:ascii="宋体" w:hAnsi="宋体"/>
          <w:szCs w:val="21"/>
          <w:highlight w:val="none"/>
        </w:rPr>
        <w:t>；</w:t>
      </w:r>
    </w:p>
    <w:p w14:paraId="7A90F0A8">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（11）</w:t>
      </w:r>
      <w:r>
        <w:rPr>
          <w:rFonts w:hint="eastAsia" w:ascii="宋体" w:hAnsi="宋体"/>
          <w:szCs w:val="21"/>
          <w:highlight w:val="none"/>
          <w:u w:val="single"/>
        </w:rPr>
        <w:t xml:space="preserve">        </w:t>
      </w:r>
      <w:r>
        <w:rPr>
          <w:rFonts w:hint="eastAsia" w:ascii="宋体" w:hAnsi="宋体"/>
          <w:szCs w:val="21"/>
          <w:highlight w:val="none"/>
        </w:rPr>
        <w:t>。</w:t>
      </w:r>
    </w:p>
    <w:p w14:paraId="166F3596">
      <w:pPr>
        <w:spacing w:line="360" w:lineRule="auto"/>
        <w:ind w:firstLine="420" w:firstLineChars="200"/>
        <w:jc w:val="left"/>
        <w:rPr>
          <w:rFonts w:ascii="宋体" w:hAnsi="宋体"/>
          <w:szCs w:val="21"/>
          <w:highlight w:val="none"/>
        </w:rPr>
      </w:pPr>
      <w:r>
        <w:rPr>
          <w:rFonts w:hint="eastAsia" w:ascii="宋体" w:hAnsi="宋体"/>
          <w:szCs w:val="21"/>
          <w:highlight w:val="none"/>
        </w:rPr>
        <w:t>承包人、监理人和发包人在工程建设中，应严格执行国家及重庆市现行标准，如上述标准及规范要求有出入则以较严格者为准。</w:t>
      </w:r>
    </w:p>
    <w:p w14:paraId="6318293F">
      <w:pPr>
        <w:pStyle w:val="7"/>
        <w:spacing w:before="0" w:beforeAutospacing="0" w:after="0" w:afterAutospacing="0" w:line="360" w:lineRule="auto"/>
        <w:ind w:firstLine="422" w:firstLineChars="200"/>
        <w:rPr>
          <w:sz w:val="21"/>
          <w:szCs w:val="21"/>
          <w:highlight w:val="none"/>
        </w:rPr>
      </w:pPr>
      <w:bookmarkStart w:id="1344" w:name="_Toc351203536"/>
      <w:bookmarkStart w:id="1345" w:name="_Toc532377347"/>
      <w:bookmarkStart w:id="1346" w:name="_Hlk528927873"/>
      <w:r>
        <w:rPr>
          <w:rFonts w:hint="eastAsia"/>
          <w:sz w:val="21"/>
          <w:szCs w:val="21"/>
          <w:highlight w:val="none"/>
        </w:rPr>
        <w:t>5.3隐蔽工程检查</w:t>
      </w:r>
    </w:p>
    <w:p w14:paraId="2B5AB8D1">
      <w:pPr>
        <w:spacing w:line="360" w:lineRule="auto"/>
        <w:ind w:firstLine="420" w:firstLineChars="200"/>
        <w:jc w:val="left"/>
        <w:rPr>
          <w:rFonts w:ascii="宋体" w:hAnsi="宋体"/>
          <w:szCs w:val="21"/>
          <w:highlight w:val="none"/>
        </w:rPr>
      </w:pPr>
      <w:r>
        <w:rPr>
          <w:rFonts w:hint="eastAsia" w:ascii="宋体" w:hAnsi="宋体"/>
          <w:szCs w:val="21"/>
          <w:highlight w:val="none"/>
        </w:rPr>
        <w:t>5.3.2检查程序</w:t>
      </w:r>
    </w:p>
    <w:p w14:paraId="4A1DB573">
      <w:pPr>
        <w:spacing w:line="360" w:lineRule="auto"/>
        <w:ind w:firstLine="420" w:firstLineChars="200"/>
        <w:jc w:val="left"/>
        <w:rPr>
          <w:rFonts w:ascii="宋体" w:hAnsi="宋体"/>
          <w:szCs w:val="21"/>
          <w:highlight w:val="none"/>
        </w:rPr>
      </w:pPr>
      <w:r>
        <w:rPr>
          <w:rFonts w:hint="eastAsia" w:ascii="宋体" w:hAnsi="宋体"/>
          <w:szCs w:val="21"/>
          <w:highlight w:val="none"/>
        </w:rPr>
        <w:t>工程隐蔽部位经承包人自检确认具备覆盖条件的，承包人应在共同检查前</w:t>
      </w:r>
      <w:r>
        <w:rPr>
          <w:rFonts w:hint="eastAsia" w:ascii="宋体" w:hAnsi="宋体"/>
          <w:szCs w:val="21"/>
          <w:highlight w:val="none"/>
          <w:u w:val="single"/>
        </w:rPr>
        <w:t xml:space="preserve">    </w:t>
      </w:r>
      <w:r>
        <w:rPr>
          <w:rFonts w:hint="eastAsia" w:ascii="宋体" w:hAnsi="宋体"/>
          <w:szCs w:val="21"/>
          <w:highlight w:val="none"/>
        </w:rPr>
        <w:t>小时书面通知监理人检查，通知中应载明隐蔽检查的内容、时间和地点，并应附有自检记录和必要的检查资料。</w:t>
      </w:r>
    </w:p>
    <w:p w14:paraId="2189B29F">
      <w:pPr>
        <w:pStyle w:val="7"/>
        <w:spacing w:before="0" w:beforeAutospacing="0" w:after="0" w:afterAutospacing="0" w:line="360" w:lineRule="auto"/>
        <w:ind w:firstLine="422" w:firstLineChars="200"/>
        <w:rPr>
          <w:sz w:val="21"/>
          <w:szCs w:val="21"/>
          <w:highlight w:val="none"/>
        </w:rPr>
      </w:pPr>
      <w:r>
        <w:rPr>
          <w:rFonts w:hint="eastAsia"/>
          <w:sz w:val="21"/>
          <w:szCs w:val="21"/>
          <w:highlight w:val="none"/>
        </w:rPr>
        <w:t>5</w:t>
      </w:r>
      <w:bookmarkStart w:id="1347" w:name="_Toc337558762"/>
      <w:r>
        <w:rPr>
          <w:rFonts w:hint="eastAsia"/>
          <w:sz w:val="21"/>
          <w:szCs w:val="21"/>
          <w:highlight w:val="none"/>
        </w:rPr>
        <w:t>.4 不合格工程的处理</w:t>
      </w:r>
      <w:bookmarkEnd w:id="1344"/>
      <w:bookmarkEnd w:id="1345"/>
    </w:p>
    <w:bookmarkEnd w:id="1347"/>
    <w:p w14:paraId="4F0779F7">
      <w:pPr>
        <w:spacing w:line="360" w:lineRule="auto"/>
        <w:ind w:firstLine="420" w:firstLineChars="200"/>
        <w:jc w:val="left"/>
        <w:rPr>
          <w:rFonts w:ascii="宋体" w:hAnsi="宋体"/>
          <w:szCs w:val="21"/>
          <w:highlight w:val="none"/>
        </w:rPr>
      </w:pPr>
      <w:r>
        <w:rPr>
          <w:rFonts w:hint="eastAsia" w:ascii="宋体" w:hAnsi="宋体"/>
          <w:szCs w:val="21"/>
          <w:highlight w:val="none"/>
        </w:rPr>
        <w:t>本款补充5.4.3项：</w:t>
      </w:r>
    </w:p>
    <w:p w14:paraId="2F53B776">
      <w:pPr>
        <w:spacing w:line="360" w:lineRule="auto"/>
        <w:ind w:firstLine="420" w:firstLineChars="200"/>
        <w:jc w:val="left"/>
        <w:rPr>
          <w:rFonts w:ascii="宋体" w:hAnsi="宋体"/>
          <w:szCs w:val="21"/>
          <w:highlight w:val="none"/>
        </w:rPr>
      </w:pPr>
      <w:r>
        <w:rPr>
          <w:rFonts w:hint="eastAsia" w:ascii="宋体" w:hAnsi="宋体"/>
          <w:szCs w:val="21"/>
          <w:highlight w:val="none"/>
        </w:rPr>
        <w:t>5.4.3 承包人在收到监理人发出的《不合格分项报告》或监理通知单后，必须在监理人规定时间内按要求完成整改，未能在限定时间内完成整改的，须承担相应违约责任。</w:t>
      </w:r>
    </w:p>
    <w:p w14:paraId="10764562">
      <w:pPr>
        <w:spacing w:line="360" w:lineRule="auto"/>
        <w:ind w:firstLine="420" w:firstLineChars="200"/>
        <w:jc w:val="left"/>
        <w:rPr>
          <w:rFonts w:ascii="宋体" w:hAnsi="宋体"/>
          <w:szCs w:val="21"/>
          <w:highlight w:val="none"/>
        </w:rPr>
      </w:pPr>
      <w:r>
        <w:rPr>
          <w:rFonts w:hint="eastAsia" w:ascii="宋体" w:hAnsi="宋体"/>
          <w:szCs w:val="21"/>
          <w:highlight w:val="none"/>
        </w:rPr>
        <w:t>本条补充5.6款：</w:t>
      </w:r>
    </w:p>
    <w:bookmarkEnd w:id="1346"/>
    <w:p w14:paraId="3B30B617">
      <w:pPr>
        <w:pStyle w:val="7"/>
        <w:spacing w:before="0" w:beforeAutospacing="0" w:after="0" w:afterAutospacing="0" w:line="360" w:lineRule="auto"/>
        <w:ind w:firstLine="422" w:firstLineChars="200"/>
        <w:rPr>
          <w:sz w:val="21"/>
          <w:szCs w:val="21"/>
          <w:highlight w:val="none"/>
        </w:rPr>
      </w:pPr>
      <w:bookmarkStart w:id="1348" w:name="_Toc532377348"/>
      <w:r>
        <w:rPr>
          <w:rFonts w:hint="eastAsia"/>
          <w:sz w:val="21"/>
          <w:szCs w:val="21"/>
          <w:highlight w:val="none"/>
        </w:rPr>
        <w:t>5.6 质量事故的处理</w:t>
      </w:r>
      <w:bookmarkEnd w:id="1348"/>
    </w:p>
    <w:p w14:paraId="048B8C9E">
      <w:pPr>
        <w:spacing w:line="360" w:lineRule="auto"/>
        <w:ind w:firstLine="420" w:firstLineChars="200"/>
        <w:jc w:val="left"/>
        <w:rPr>
          <w:rFonts w:ascii="宋体" w:hAnsi="宋体"/>
          <w:szCs w:val="21"/>
          <w:highlight w:val="none"/>
        </w:rPr>
      </w:pPr>
      <w:r>
        <w:rPr>
          <w:rFonts w:hint="eastAsia" w:ascii="宋体" w:hAnsi="宋体"/>
          <w:szCs w:val="21"/>
          <w:highlight w:val="none"/>
        </w:rPr>
        <w:t>5.6.1 合同履行过程中，发生工程质量事故的调查处理按照国家及重庆市现行规定处理。</w:t>
      </w:r>
    </w:p>
    <w:p w14:paraId="64C60E3B">
      <w:pPr>
        <w:spacing w:line="360" w:lineRule="auto"/>
        <w:ind w:firstLine="420" w:firstLineChars="200"/>
        <w:jc w:val="left"/>
        <w:rPr>
          <w:rFonts w:ascii="宋体" w:hAnsi="宋体"/>
          <w:szCs w:val="21"/>
          <w:highlight w:val="none"/>
        </w:rPr>
      </w:pPr>
      <w:r>
        <w:rPr>
          <w:rFonts w:hint="eastAsia" w:ascii="宋体" w:hAnsi="宋体"/>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24"/>
    <w:bookmarkEnd w:id="1325"/>
    <w:bookmarkEnd w:id="1326"/>
    <w:bookmarkEnd w:id="1327"/>
    <w:bookmarkEnd w:id="1328"/>
    <w:bookmarkEnd w:id="1329"/>
    <w:bookmarkEnd w:id="1330"/>
    <w:bookmarkEnd w:id="1331"/>
    <w:bookmarkEnd w:id="1332"/>
    <w:bookmarkEnd w:id="1333"/>
    <w:bookmarkEnd w:id="1336"/>
    <w:bookmarkEnd w:id="1337"/>
    <w:bookmarkEnd w:id="1338"/>
    <w:bookmarkEnd w:id="1339"/>
    <w:bookmarkEnd w:id="1340"/>
    <w:bookmarkEnd w:id="1341"/>
    <w:bookmarkEnd w:id="1342"/>
    <w:p w14:paraId="6465F4F6">
      <w:pPr>
        <w:pStyle w:val="6"/>
        <w:keepNext/>
        <w:keepLines/>
        <w:spacing w:before="156" w:beforeLines="50" w:beforeAutospacing="0" w:after="156" w:afterLines="50" w:afterAutospacing="0" w:line="360" w:lineRule="auto"/>
        <w:jc w:val="both"/>
        <w:rPr>
          <w:bCs w:val="0"/>
          <w:kern w:val="2"/>
          <w:sz w:val="21"/>
          <w:szCs w:val="21"/>
          <w:highlight w:val="none"/>
        </w:rPr>
      </w:pPr>
      <w:bookmarkStart w:id="1349" w:name="_Toc532377349"/>
      <w:bookmarkStart w:id="1350" w:name="_Toc532375613"/>
      <w:bookmarkStart w:id="1351" w:name="_Toc351203638"/>
      <w:bookmarkStart w:id="1352" w:name="_Toc296503173"/>
      <w:bookmarkStart w:id="1353" w:name="_Toc296944512"/>
      <w:bookmarkStart w:id="1354" w:name="_Toc296891001"/>
      <w:bookmarkStart w:id="1355" w:name="_Toc267251427"/>
      <w:bookmarkStart w:id="1356" w:name="_Toc296891213"/>
      <w:bookmarkStart w:id="1357" w:name="_Toc292559378"/>
      <w:bookmarkStart w:id="1358" w:name="_Toc297120473"/>
      <w:bookmarkStart w:id="1359" w:name="_Toc351203642"/>
      <w:bookmarkStart w:id="1360" w:name="_Toc297048359"/>
      <w:bookmarkStart w:id="1361" w:name="_Toc296346674"/>
      <w:bookmarkStart w:id="1362" w:name="_Toc267251428"/>
      <w:bookmarkStart w:id="1363" w:name="_Toc296347172"/>
      <w:bookmarkStart w:id="1364" w:name="_Toc292559883"/>
      <w:r>
        <w:rPr>
          <w:rFonts w:hint="eastAsia"/>
          <w:kern w:val="2"/>
          <w:sz w:val="21"/>
          <w:szCs w:val="21"/>
          <w:highlight w:val="none"/>
        </w:rPr>
        <w:t>6. 安全文明施工与环境保护</w:t>
      </w:r>
      <w:bookmarkEnd w:id="1349"/>
      <w:bookmarkEnd w:id="1350"/>
      <w:bookmarkEnd w:id="1351"/>
    </w:p>
    <w:p w14:paraId="09D7C39A">
      <w:pPr>
        <w:pStyle w:val="7"/>
        <w:spacing w:before="0" w:beforeAutospacing="0" w:after="0" w:afterAutospacing="0" w:line="360" w:lineRule="auto"/>
        <w:ind w:firstLine="422" w:firstLineChars="200"/>
        <w:rPr>
          <w:sz w:val="21"/>
          <w:szCs w:val="21"/>
          <w:highlight w:val="none"/>
        </w:rPr>
      </w:pPr>
      <w:bookmarkStart w:id="1365" w:name="_Toc532375614"/>
      <w:bookmarkStart w:id="1366" w:name="_Toc532377350"/>
      <w:r>
        <w:rPr>
          <w:rFonts w:hint="eastAsia"/>
          <w:sz w:val="21"/>
          <w:szCs w:val="21"/>
          <w:highlight w:val="none"/>
        </w:rPr>
        <w:t>6.1 安全文明施工</w:t>
      </w:r>
      <w:bookmarkEnd w:id="1365"/>
      <w:bookmarkEnd w:id="1366"/>
    </w:p>
    <w:p w14:paraId="3B100474">
      <w:pPr>
        <w:spacing w:line="360" w:lineRule="auto"/>
        <w:ind w:firstLine="420" w:firstLineChars="200"/>
        <w:jc w:val="left"/>
        <w:rPr>
          <w:rFonts w:ascii="宋体" w:hAnsi="宋体"/>
          <w:szCs w:val="21"/>
          <w:highlight w:val="none"/>
        </w:rPr>
      </w:pPr>
      <w:r>
        <w:rPr>
          <w:rFonts w:hint="eastAsia" w:ascii="宋体" w:hAnsi="宋体"/>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75A46B90">
      <w:pPr>
        <w:spacing w:line="360" w:lineRule="auto"/>
        <w:ind w:firstLine="420" w:firstLineChars="200"/>
        <w:jc w:val="left"/>
        <w:rPr>
          <w:rFonts w:ascii="宋体" w:hAnsi="宋体"/>
          <w:szCs w:val="21"/>
          <w:highlight w:val="none"/>
        </w:rPr>
      </w:pPr>
      <w:r>
        <w:rPr>
          <w:rFonts w:hint="eastAsia" w:ascii="宋体" w:hAnsi="宋体"/>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A81CB88">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6.1.1 项目安全生产的达标目标及相应事项的约定：</w:t>
      </w:r>
      <w:r>
        <w:rPr>
          <w:rFonts w:hint="eastAsia" w:ascii="宋体" w:hAnsi="宋体"/>
          <w:szCs w:val="21"/>
          <w:highlight w:val="none"/>
          <w:u w:val="single"/>
        </w:rPr>
        <w:t>达到《建筑施工安全检查标准》（JGJ59-2011）的要求</w:t>
      </w:r>
      <w:r>
        <w:rPr>
          <w:rFonts w:hint="eastAsia" w:ascii="宋体" w:hAnsi="宋体"/>
          <w:szCs w:val="21"/>
          <w:highlight w:val="none"/>
        </w:rPr>
        <w:t>。</w:t>
      </w:r>
    </w:p>
    <w:p w14:paraId="673B5839">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（1）按现行安全文明施工费计取及使用管理的政策文件规定及发包人制订的安全管理制度执行</w:t>
      </w:r>
      <w:r>
        <w:rPr>
          <w:rFonts w:hint="eastAsia" w:ascii="宋体" w:hAnsi="宋体"/>
          <w:szCs w:val="21"/>
          <w:highlight w:val="none"/>
        </w:rPr>
        <w:t>。</w:t>
      </w:r>
    </w:p>
    <w:p w14:paraId="5EB6B855">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（2）承包人的原因造成事故，由此产生的法律责任和事故责任及费用由承包人全部承担</w:t>
      </w:r>
      <w:r>
        <w:rPr>
          <w:rFonts w:hint="eastAsia" w:ascii="宋体" w:hAnsi="宋体"/>
          <w:szCs w:val="21"/>
          <w:highlight w:val="none"/>
        </w:rPr>
        <w:t>。</w:t>
      </w:r>
    </w:p>
    <w:p w14:paraId="68943341">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（3）承包人向发包人做出安全承诺，并签订《安全生产目标责任书》和《安全承诺书》</w:t>
      </w:r>
      <w:r>
        <w:rPr>
          <w:rFonts w:hint="eastAsia" w:ascii="宋体" w:hAnsi="宋体"/>
          <w:szCs w:val="21"/>
          <w:highlight w:val="none"/>
        </w:rPr>
        <w:t>。</w:t>
      </w:r>
    </w:p>
    <w:p w14:paraId="1DA08BEE">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（4）承包人在施工过程中，必须严格执行安全生产法的相关规定，制定切实可靠的安全技术措施</w:t>
      </w:r>
      <w:r>
        <w:rPr>
          <w:rFonts w:hint="eastAsia" w:ascii="宋体" w:hAnsi="宋体"/>
          <w:szCs w:val="21"/>
          <w:highlight w:val="none"/>
        </w:rPr>
        <w:t>。</w:t>
      </w:r>
    </w:p>
    <w:p w14:paraId="52D87C51">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（5）接受发包人安全监督和管理，在施工中违反安全管理规定和操作规程、违章作业的，承担违约责任</w:t>
      </w:r>
      <w:r>
        <w:rPr>
          <w:rFonts w:hint="eastAsia" w:ascii="宋体" w:hAnsi="宋体"/>
          <w:szCs w:val="21"/>
          <w:highlight w:val="none"/>
        </w:rPr>
        <w:t>。</w:t>
      </w:r>
    </w:p>
    <w:p w14:paraId="6C086ABB">
      <w:pPr>
        <w:spacing w:line="360" w:lineRule="auto"/>
        <w:ind w:firstLine="420" w:firstLineChars="200"/>
        <w:jc w:val="left"/>
        <w:rPr>
          <w:rFonts w:ascii="宋体" w:hAnsi="宋体"/>
          <w:szCs w:val="21"/>
          <w:highlight w:val="none"/>
        </w:rPr>
      </w:pPr>
      <w:r>
        <w:rPr>
          <w:rFonts w:hint="eastAsia" w:ascii="宋体" w:hAnsi="宋体"/>
          <w:szCs w:val="21"/>
          <w:highlight w:val="none"/>
        </w:rPr>
        <w:t>6.1.4 关于治安保卫的特别约定：</w:t>
      </w:r>
      <w:r>
        <w:rPr>
          <w:rFonts w:hint="eastAsia" w:ascii="宋体" w:hAnsi="宋体"/>
          <w:szCs w:val="21"/>
          <w:highlight w:val="none"/>
          <w:u w:val="single"/>
        </w:rPr>
        <w:t>承包人负责组建施工现场治安管理机构或联防组织；承包人负责编制施工场地治安管理计划和突发治安事件紧急预案</w:t>
      </w:r>
      <w:r>
        <w:rPr>
          <w:rFonts w:hint="eastAsia" w:ascii="宋体" w:hAnsi="宋体"/>
          <w:szCs w:val="21"/>
          <w:highlight w:val="none"/>
        </w:rPr>
        <w:t>。</w:t>
      </w:r>
    </w:p>
    <w:p w14:paraId="119BFEE3">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关于编制施工场地治安管理计划的约定：</w:t>
      </w:r>
      <w:r>
        <w:rPr>
          <w:rFonts w:hint="eastAsia" w:ascii="宋体" w:hAnsi="宋体"/>
          <w:szCs w:val="21"/>
          <w:highlight w:val="none"/>
          <w:u w:val="single"/>
        </w:rPr>
        <w:t>由承包人负责</w:t>
      </w:r>
      <w:r>
        <w:rPr>
          <w:rFonts w:hint="eastAsia" w:ascii="宋体" w:hAnsi="宋体"/>
          <w:szCs w:val="21"/>
          <w:highlight w:val="none"/>
        </w:rPr>
        <w:t>。</w:t>
      </w:r>
    </w:p>
    <w:p w14:paraId="47BD813A">
      <w:pPr>
        <w:spacing w:line="360" w:lineRule="auto"/>
        <w:ind w:firstLine="420" w:firstLineChars="200"/>
        <w:jc w:val="left"/>
        <w:rPr>
          <w:rFonts w:ascii="宋体" w:hAnsi="宋体"/>
          <w:szCs w:val="21"/>
          <w:highlight w:val="none"/>
        </w:rPr>
      </w:pPr>
      <w:r>
        <w:rPr>
          <w:rFonts w:hint="eastAsia" w:ascii="宋体" w:hAnsi="宋体"/>
          <w:szCs w:val="21"/>
          <w:highlight w:val="none"/>
        </w:rPr>
        <w:t>6.1.5 文明施工</w:t>
      </w:r>
    </w:p>
    <w:p w14:paraId="3DEFBA5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合同当事人对文明施工的要求：</w:t>
      </w:r>
      <w:r>
        <w:rPr>
          <w:rFonts w:hint="eastAsia" w:ascii="宋体" w:hAnsi="宋体"/>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highlight w:val="none"/>
        </w:rPr>
        <w:t>。</w:t>
      </w:r>
    </w:p>
    <w:p w14:paraId="2F77350A">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highlight w:val="none"/>
        </w:rPr>
        <w:t>。</w:t>
      </w:r>
    </w:p>
    <w:p w14:paraId="5C987A05">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6.1.6 关于安全文明施工费支付比例和支付期限的约定：按照行业主管部门相关规定</w:t>
      </w:r>
      <w:r>
        <w:rPr>
          <w:rFonts w:hint="eastAsia" w:ascii="宋体" w:hAnsi="宋体"/>
          <w:szCs w:val="21"/>
          <w:highlight w:val="none"/>
          <w:u w:val="single"/>
        </w:rPr>
        <w:t xml:space="preserve">                 </w:t>
      </w:r>
      <w:r>
        <w:rPr>
          <w:rFonts w:hint="eastAsia" w:ascii="宋体" w:hAnsi="宋体"/>
          <w:szCs w:val="21"/>
          <w:highlight w:val="none"/>
        </w:rPr>
        <w:t>执行。</w:t>
      </w:r>
    </w:p>
    <w:p w14:paraId="7D69B7F7">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安全文明施工费的要求与内容、提取支付方法以及违反约定造成损失的赔偿等条款，按照现行规范要求执行，做到专款专用</w:t>
      </w:r>
      <w:r>
        <w:rPr>
          <w:rFonts w:hint="eastAsia" w:ascii="宋体" w:hAnsi="宋体"/>
          <w:szCs w:val="21"/>
          <w:highlight w:val="none"/>
        </w:rPr>
        <w:t>。</w:t>
      </w:r>
    </w:p>
    <w:p w14:paraId="732264E2">
      <w:pPr>
        <w:pStyle w:val="7"/>
        <w:spacing w:before="0" w:beforeAutospacing="0" w:after="0" w:afterAutospacing="0" w:line="360" w:lineRule="auto"/>
        <w:ind w:firstLine="422" w:firstLineChars="200"/>
        <w:rPr>
          <w:sz w:val="21"/>
          <w:szCs w:val="21"/>
          <w:highlight w:val="none"/>
        </w:rPr>
      </w:pPr>
      <w:bookmarkStart w:id="1367" w:name="_Toc532375615"/>
      <w:bookmarkStart w:id="1368" w:name="_Toc532377351"/>
      <w:r>
        <w:rPr>
          <w:rFonts w:hint="eastAsia"/>
          <w:sz w:val="21"/>
          <w:szCs w:val="21"/>
          <w:highlight w:val="none"/>
        </w:rPr>
        <w:t>6.3 环境保护</w:t>
      </w:r>
      <w:bookmarkEnd w:id="1367"/>
      <w:bookmarkEnd w:id="1368"/>
    </w:p>
    <w:p w14:paraId="789D33C0">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本款补充6.3.1～6.3.8项：</w:t>
      </w:r>
    </w:p>
    <w:p w14:paraId="1A7C00B2">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1A2A5B9A">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F355D9B">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20A59091">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186A7A6B">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6.3.5 承包人应重视大气污染物污染防治措施。施工期间，严格执行市政府“蓝天行动”方案等有关规定，通过洒水防尘，严格控制施工场地扬尘和运输扬尘污染。</w:t>
      </w:r>
    </w:p>
    <w:p w14:paraId="04E04D5A">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6.3.6 承包人应落实固体废物污染防治措施。施工期间，项目产生的弃方不可合理</w:t>
      </w:r>
      <w:r>
        <w:rPr>
          <w:rFonts w:ascii="宋体" w:hAnsi="宋体"/>
          <w:szCs w:val="21"/>
          <w:highlight w:val="none"/>
        </w:rPr>
        <w:t>利用的</w:t>
      </w:r>
      <w:r>
        <w:rPr>
          <w:rFonts w:hint="eastAsia" w:ascii="宋体" w:hAnsi="宋体"/>
          <w:szCs w:val="21"/>
          <w:highlight w:val="none"/>
        </w:rPr>
        <w:t>，应运往指定的弃渣场内堆存；建筑垃圾运至指定的建筑垃圾消纳场处置；生活垃圾由当地环卫部门统一处置。</w:t>
      </w:r>
    </w:p>
    <w:p w14:paraId="6F3829A1">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6.3.7 承包人应认真落实噪声污染防治措施。施工期间，优选低噪声设备，合理安排施工时间，严格控制夜间施工，昼、夜施工场界需满足《建筑施工场界环境噪声排放标准》（GB12523-2011）。</w:t>
      </w:r>
    </w:p>
    <w:p w14:paraId="6951AB12">
      <w:pPr>
        <w:spacing w:line="360" w:lineRule="auto"/>
        <w:ind w:firstLine="420" w:firstLineChars="200"/>
        <w:jc w:val="left"/>
        <w:rPr>
          <w:rFonts w:ascii="宋体" w:hAnsi="宋体"/>
          <w:szCs w:val="21"/>
          <w:highlight w:val="none"/>
        </w:rPr>
      </w:pPr>
      <w:r>
        <w:rPr>
          <w:rFonts w:hint="eastAsia" w:ascii="宋体" w:hAnsi="宋体"/>
          <w:szCs w:val="21"/>
          <w:highlight w:val="none"/>
        </w:rPr>
        <w:t>6.3.8 承包人自行负责办理有关施工场地交通、环卫和施工噪音管理等手续，并应按要求结合自身实际和重庆市相关规定，考虑不低于以上标准的此类工作。</w:t>
      </w:r>
    </w:p>
    <w:p w14:paraId="0E295970">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6.3.9 </w:t>
      </w:r>
      <w:r>
        <w:rPr>
          <w:rFonts w:hint="eastAsia" w:ascii="宋体" w:hAnsi="宋体"/>
          <w:szCs w:val="21"/>
          <w:highlight w:val="none"/>
          <w:u w:val="single"/>
        </w:rPr>
        <w:t xml:space="preserve">        </w:t>
      </w:r>
      <w:r>
        <w:rPr>
          <w:rFonts w:hint="eastAsia" w:ascii="宋体" w:hAnsi="宋体"/>
          <w:szCs w:val="21"/>
          <w:highlight w:val="none"/>
        </w:rPr>
        <w:t>。</w:t>
      </w:r>
    </w:p>
    <w:p w14:paraId="50AF0660">
      <w:pPr>
        <w:pStyle w:val="6"/>
        <w:keepNext/>
        <w:keepLines/>
        <w:spacing w:before="156" w:beforeLines="50" w:beforeAutospacing="0" w:after="156" w:afterLines="50" w:afterAutospacing="0" w:line="360" w:lineRule="auto"/>
        <w:jc w:val="both"/>
        <w:rPr>
          <w:bCs w:val="0"/>
          <w:kern w:val="2"/>
          <w:sz w:val="21"/>
          <w:szCs w:val="21"/>
          <w:highlight w:val="none"/>
        </w:rPr>
      </w:pPr>
      <w:bookmarkStart w:id="1369" w:name="_Toc351203639"/>
      <w:bookmarkStart w:id="1370" w:name="_Toc532377352"/>
      <w:bookmarkStart w:id="1371" w:name="_Toc532375616"/>
      <w:r>
        <w:rPr>
          <w:rFonts w:hint="eastAsia"/>
          <w:kern w:val="2"/>
          <w:sz w:val="21"/>
          <w:szCs w:val="21"/>
          <w:highlight w:val="none"/>
        </w:rPr>
        <w:t>7. 工期和进度</w:t>
      </w:r>
      <w:bookmarkEnd w:id="1369"/>
      <w:bookmarkEnd w:id="1370"/>
      <w:bookmarkEnd w:id="1371"/>
    </w:p>
    <w:p w14:paraId="6B123123">
      <w:pPr>
        <w:pStyle w:val="7"/>
        <w:spacing w:before="0" w:beforeAutospacing="0" w:after="0" w:afterAutospacing="0" w:line="360" w:lineRule="auto"/>
        <w:ind w:firstLine="422" w:firstLineChars="200"/>
        <w:rPr>
          <w:sz w:val="21"/>
          <w:szCs w:val="21"/>
          <w:highlight w:val="none"/>
        </w:rPr>
      </w:pPr>
      <w:bookmarkStart w:id="1372" w:name="_Toc532375617"/>
      <w:bookmarkStart w:id="1373" w:name="_Toc532377353"/>
      <w:r>
        <w:rPr>
          <w:rFonts w:hint="eastAsia"/>
          <w:sz w:val="21"/>
          <w:szCs w:val="21"/>
          <w:highlight w:val="none"/>
        </w:rPr>
        <w:t>7.1 施工组织设计</w:t>
      </w:r>
      <w:bookmarkEnd w:id="1372"/>
      <w:bookmarkEnd w:id="1373"/>
    </w:p>
    <w:p w14:paraId="02979876">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rPr>
        <w:t>7.1.1 合同当事人约定的施工组织设计应包括的其他内容：</w:t>
      </w:r>
      <w:r>
        <w:rPr>
          <w:rFonts w:hint="eastAsia" w:ascii="宋体" w:hAnsi="宋体"/>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highlight w:val="none"/>
        </w:rPr>
        <w:t>。</w:t>
      </w:r>
    </w:p>
    <w:p w14:paraId="089D1108">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7.1.2 施工组织设计的提交和修改</w:t>
      </w:r>
    </w:p>
    <w:p w14:paraId="33E70789">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承包人提交详细施工组织设计的期限的约定：</w:t>
      </w:r>
      <w:r>
        <w:rPr>
          <w:rFonts w:hint="eastAsia" w:ascii="宋体" w:hAnsi="宋体"/>
          <w:szCs w:val="21"/>
          <w:highlight w:val="none"/>
          <w:u w:val="single"/>
        </w:rPr>
        <w:t>合同签订后  天内，但最迟不得晚于开工通知载明的开工日期前7天</w:t>
      </w:r>
      <w:r>
        <w:rPr>
          <w:rFonts w:hint="eastAsia" w:ascii="宋体" w:hAnsi="宋体"/>
          <w:szCs w:val="21"/>
          <w:highlight w:val="none"/>
        </w:rPr>
        <w:t>。</w:t>
      </w:r>
    </w:p>
    <w:p w14:paraId="0E876C14">
      <w:pPr>
        <w:spacing w:line="360" w:lineRule="auto"/>
        <w:ind w:firstLine="420" w:firstLineChars="200"/>
        <w:jc w:val="left"/>
        <w:rPr>
          <w:rFonts w:ascii="宋体" w:hAnsi="宋体"/>
          <w:szCs w:val="21"/>
          <w:highlight w:val="none"/>
        </w:rPr>
      </w:pPr>
      <w:r>
        <w:rPr>
          <w:rFonts w:hint="eastAsia" w:ascii="宋体" w:hAnsi="宋体"/>
          <w:szCs w:val="21"/>
          <w:highlight w:val="none"/>
        </w:rPr>
        <w:t>发包人和监理人在收到详细的施工组织设计后确认或提出修改意见的期限：</w:t>
      </w:r>
      <w:r>
        <w:rPr>
          <w:rFonts w:hint="eastAsia" w:ascii="宋体" w:hAnsi="宋体"/>
          <w:szCs w:val="21"/>
          <w:highlight w:val="none"/>
          <w:u w:val="single"/>
        </w:rPr>
        <w:t>收到施工组织设计后  天内</w:t>
      </w:r>
      <w:r>
        <w:rPr>
          <w:rFonts w:hint="eastAsia" w:ascii="宋体" w:hAnsi="宋体"/>
          <w:szCs w:val="21"/>
          <w:highlight w:val="none"/>
        </w:rPr>
        <w:t>。</w:t>
      </w:r>
    </w:p>
    <w:p w14:paraId="7A3E6246">
      <w:pPr>
        <w:pStyle w:val="7"/>
        <w:spacing w:before="0" w:beforeAutospacing="0" w:after="0" w:afterAutospacing="0" w:line="360" w:lineRule="auto"/>
        <w:ind w:firstLine="422" w:firstLineChars="200"/>
        <w:rPr>
          <w:sz w:val="21"/>
          <w:szCs w:val="21"/>
          <w:highlight w:val="none"/>
        </w:rPr>
      </w:pPr>
      <w:bookmarkStart w:id="1374" w:name="_Toc532377354"/>
      <w:bookmarkStart w:id="1375" w:name="_Toc532375618"/>
      <w:r>
        <w:rPr>
          <w:rFonts w:hint="eastAsia"/>
          <w:sz w:val="21"/>
          <w:szCs w:val="21"/>
          <w:highlight w:val="none"/>
        </w:rPr>
        <w:t>7.2 施工进度计划</w:t>
      </w:r>
      <w:bookmarkEnd w:id="1374"/>
      <w:bookmarkEnd w:id="1375"/>
    </w:p>
    <w:p w14:paraId="7548537A">
      <w:pPr>
        <w:spacing w:line="360" w:lineRule="auto"/>
        <w:ind w:firstLine="420" w:firstLineChars="200"/>
        <w:jc w:val="left"/>
        <w:rPr>
          <w:rFonts w:ascii="宋体" w:hAnsi="宋体"/>
          <w:szCs w:val="21"/>
          <w:highlight w:val="none"/>
        </w:rPr>
      </w:pPr>
      <w:r>
        <w:rPr>
          <w:rFonts w:hint="eastAsia" w:ascii="宋体" w:hAnsi="宋体"/>
          <w:szCs w:val="21"/>
          <w:highlight w:val="none"/>
        </w:rPr>
        <w:t>7.2.2 施工进度计划的修订</w:t>
      </w:r>
    </w:p>
    <w:p w14:paraId="0992C374">
      <w:pPr>
        <w:spacing w:line="360" w:lineRule="auto"/>
        <w:ind w:firstLine="420" w:firstLineChars="200"/>
        <w:jc w:val="left"/>
        <w:rPr>
          <w:rFonts w:ascii="宋体" w:hAnsi="宋体"/>
          <w:szCs w:val="21"/>
          <w:highlight w:val="none"/>
        </w:rPr>
      </w:pPr>
      <w:r>
        <w:rPr>
          <w:rFonts w:hint="eastAsia" w:ascii="宋体" w:hAnsi="宋体"/>
          <w:szCs w:val="21"/>
          <w:highlight w:val="none"/>
        </w:rPr>
        <w:t>发包人和监理人在收到修订的施工进度计划后确认或提出修改意见的期限：</w:t>
      </w:r>
      <w:r>
        <w:rPr>
          <w:rFonts w:hint="eastAsia" w:ascii="宋体" w:hAnsi="宋体"/>
          <w:szCs w:val="21"/>
          <w:highlight w:val="none"/>
          <w:u w:val="single"/>
        </w:rPr>
        <w:t>收到修订的施工进度计划后  天内</w:t>
      </w:r>
      <w:r>
        <w:rPr>
          <w:rFonts w:hint="eastAsia" w:ascii="宋体" w:hAnsi="宋体"/>
          <w:szCs w:val="21"/>
          <w:highlight w:val="none"/>
        </w:rPr>
        <w:t>。</w:t>
      </w:r>
    </w:p>
    <w:p w14:paraId="57461FFC">
      <w:pPr>
        <w:pStyle w:val="7"/>
        <w:spacing w:before="0" w:beforeAutospacing="0" w:after="0" w:afterAutospacing="0" w:line="360" w:lineRule="auto"/>
        <w:ind w:firstLine="422" w:firstLineChars="200"/>
        <w:rPr>
          <w:sz w:val="21"/>
          <w:szCs w:val="21"/>
          <w:highlight w:val="none"/>
        </w:rPr>
      </w:pPr>
      <w:bookmarkStart w:id="1376" w:name="_Toc532375619"/>
      <w:bookmarkStart w:id="1377" w:name="_Toc532377355"/>
      <w:bookmarkStart w:id="1378" w:name="_Toc312678005"/>
      <w:bookmarkStart w:id="1379" w:name="_Toc303539123"/>
      <w:bookmarkStart w:id="1380" w:name="_Toc297123514"/>
      <w:bookmarkStart w:id="1381" w:name="_Toc312677479"/>
      <w:bookmarkStart w:id="1382" w:name="_Toc304295541"/>
      <w:bookmarkStart w:id="1383" w:name="_Toc300934966"/>
      <w:bookmarkStart w:id="1384" w:name="_Toc297216173"/>
      <w:r>
        <w:rPr>
          <w:rFonts w:hint="eastAsia"/>
          <w:sz w:val="21"/>
          <w:szCs w:val="21"/>
          <w:highlight w:val="none"/>
        </w:rPr>
        <w:t>7.3 开工</w:t>
      </w:r>
      <w:bookmarkEnd w:id="1376"/>
      <w:bookmarkEnd w:id="1377"/>
    </w:p>
    <w:p w14:paraId="0EEFB94E">
      <w:pPr>
        <w:spacing w:line="360" w:lineRule="auto"/>
        <w:ind w:firstLine="420" w:firstLineChars="200"/>
        <w:jc w:val="left"/>
        <w:rPr>
          <w:rFonts w:ascii="宋体" w:hAnsi="宋体"/>
          <w:szCs w:val="21"/>
          <w:highlight w:val="none"/>
        </w:rPr>
      </w:pPr>
      <w:r>
        <w:rPr>
          <w:rFonts w:hint="eastAsia" w:ascii="宋体" w:hAnsi="宋体"/>
          <w:szCs w:val="21"/>
          <w:highlight w:val="none"/>
        </w:rPr>
        <w:t>7.3.1 开工准备</w:t>
      </w:r>
    </w:p>
    <w:p w14:paraId="1D796DC4">
      <w:pPr>
        <w:spacing w:line="360" w:lineRule="auto"/>
        <w:ind w:firstLine="420" w:firstLineChars="200"/>
        <w:jc w:val="left"/>
        <w:rPr>
          <w:rFonts w:ascii="宋体" w:hAnsi="宋体"/>
          <w:szCs w:val="21"/>
          <w:highlight w:val="none"/>
        </w:rPr>
      </w:pPr>
      <w:r>
        <w:rPr>
          <w:rFonts w:hint="eastAsia" w:ascii="宋体" w:hAnsi="宋体"/>
          <w:szCs w:val="21"/>
          <w:highlight w:val="none"/>
        </w:rPr>
        <w:t>关于承包人提交工程开工报审表的期限：</w:t>
      </w:r>
      <w:r>
        <w:rPr>
          <w:rFonts w:hint="eastAsia" w:ascii="宋体" w:hAnsi="宋体"/>
          <w:szCs w:val="21"/>
          <w:highlight w:val="none"/>
          <w:u w:val="single"/>
        </w:rPr>
        <w:t>不晚于开工前  天</w:t>
      </w:r>
      <w:r>
        <w:rPr>
          <w:rFonts w:hint="eastAsia" w:ascii="宋体" w:hAnsi="宋体"/>
          <w:szCs w:val="21"/>
          <w:highlight w:val="none"/>
        </w:rPr>
        <w:t>。</w:t>
      </w:r>
    </w:p>
    <w:p w14:paraId="2886BB04">
      <w:pPr>
        <w:spacing w:line="360" w:lineRule="auto"/>
        <w:ind w:firstLine="420" w:firstLineChars="200"/>
        <w:jc w:val="left"/>
        <w:rPr>
          <w:rFonts w:ascii="宋体" w:hAnsi="宋体"/>
          <w:szCs w:val="21"/>
          <w:highlight w:val="none"/>
        </w:rPr>
      </w:pPr>
      <w:r>
        <w:rPr>
          <w:rFonts w:hint="eastAsia" w:ascii="宋体" w:hAnsi="宋体"/>
          <w:szCs w:val="21"/>
          <w:highlight w:val="none"/>
        </w:rPr>
        <w:t>关于发包人应完成的其他开工准备工作及期限：</w:t>
      </w:r>
      <w:r>
        <w:rPr>
          <w:rFonts w:hint="eastAsia" w:ascii="宋体" w:hAnsi="宋体"/>
          <w:szCs w:val="21"/>
          <w:highlight w:val="none"/>
          <w:u w:val="single"/>
        </w:rPr>
        <w:t>不晚于开工前  天</w:t>
      </w:r>
      <w:r>
        <w:rPr>
          <w:rFonts w:hint="eastAsia" w:ascii="宋体" w:hAnsi="宋体"/>
          <w:szCs w:val="21"/>
          <w:highlight w:val="none"/>
        </w:rPr>
        <w:t>。</w:t>
      </w:r>
    </w:p>
    <w:p w14:paraId="09D03657">
      <w:pPr>
        <w:spacing w:line="360" w:lineRule="auto"/>
        <w:ind w:firstLine="420" w:firstLineChars="200"/>
        <w:jc w:val="left"/>
        <w:rPr>
          <w:rFonts w:ascii="宋体" w:hAnsi="宋体"/>
          <w:szCs w:val="21"/>
          <w:highlight w:val="none"/>
        </w:rPr>
      </w:pPr>
      <w:r>
        <w:rPr>
          <w:rFonts w:hint="eastAsia" w:ascii="宋体" w:hAnsi="宋体"/>
          <w:szCs w:val="21"/>
          <w:highlight w:val="none"/>
        </w:rPr>
        <w:t>关于承包人应完成的其他开工准备工作及期限：</w:t>
      </w:r>
      <w:r>
        <w:rPr>
          <w:rFonts w:hint="eastAsia" w:ascii="宋体" w:hAnsi="宋体"/>
          <w:szCs w:val="21"/>
          <w:highlight w:val="none"/>
          <w:u w:val="single"/>
        </w:rPr>
        <w:t>不晚于开工前  天</w:t>
      </w:r>
      <w:r>
        <w:rPr>
          <w:rFonts w:hint="eastAsia" w:ascii="宋体" w:hAnsi="宋体"/>
          <w:szCs w:val="21"/>
          <w:highlight w:val="none"/>
        </w:rPr>
        <w:t>。</w:t>
      </w:r>
    </w:p>
    <w:bookmarkEnd w:id="1378"/>
    <w:bookmarkEnd w:id="1379"/>
    <w:bookmarkEnd w:id="1380"/>
    <w:bookmarkEnd w:id="1381"/>
    <w:bookmarkEnd w:id="1382"/>
    <w:bookmarkEnd w:id="1383"/>
    <w:bookmarkEnd w:id="1384"/>
    <w:p w14:paraId="39BEF2CF">
      <w:pPr>
        <w:pStyle w:val="7"/>
        <w:spacing w:before="0" w:beforeAutospacing="0" w:after="0" w:afterAutospacing="0" w:line="360" w:lineRule="auto"/>
        <w:ind w:firstLine="422" w:firstLineChars="200"/>
        <w:rPr>
          <w:sz w:val="21"/>
          <w:szCs w:val="21"/>
          <w:highlight w:val="none"/>
        </w:rPr>
      </w:pPr>
      <w:bookmarkStart w:id="1385" w:name="_Toc532375620"/>
      <w:bookmarkStart w:id="1386" w:name="_Toc532377356"/>
      <w:r>
        <w:rPr>
          <w:rFonts w:hint="eastAsia"/>
          <w:sz w:val="21"/>
          <w:szCs w:val="21"/>
          <w:highlight w:val="none"/>
        </w:rPr>
        <w:t>7.4 测量放线</w:t>
      </w:r>
      <w:bookmarkEnd w:id="1385"/>
      <w:bookmarkEnd w:id="1386"/>
    </w:p>
    <w:p w14:paraId="5FC815EF">
      <w:pPr>
        <w:spacing w:line="360" w:lineRule="auto"/>
        <w:ind w:firstLine="420" w:firstLineChars="200"/>
        <w:jc w:val="left"/>
        <w:rPr>
          <w:rFonts w:ascii="宋体" w:hAnsi="宋体"/>
          <w:szCs w:val="21"/>
          <w:highlight w:val="none"/>
        </w:rPr>
      </w:pPr>
      <w:r>
        <w:rPr>
          <w:rFonts w:hint="eastAsia" w:ascii="宋体" w:hAnsi="宋体"/>
          <w:szCs w:val="21"/>
          <w:highlight w:val="none"/>
        </w:rPr>
        <w:t>7.4.1 发包人通过监理人向承包人提供测量基准点、基准线和水准点及其书面资料的期限：</w:t>
      </w:r>
      <w:r>
        <w:rPr>
          <w:rFonts w:hint="eastAsia" w:ascii="宋体" w:hAnsi="宋体"/>
          <w:szCs w:val="21"/>
          <w:highlight w:val="none"/>
          <w:u w:val="single"/>
        </w:rPr>
        <w:t>不晚于开工前  天</w:t>
      </w:r>
      <w:r>
        <w:rPr>
          <w:rFonts w:hint="eastAsia" w:ascii="宋体" w:hAnsi="宋体"/>
          <w:szCs w:val="21"/>
          <w:highlight w:val="none"/>
        </w:rPr>
        <w:t>。</w:t>
      </w:r>
    </w:p>
    <w:p w14:paraId="1BECC298">
      <w:pPr>
        <w:spacing w:line="360" w:lineRule="auto"/>
        <w:ind w:firstLine="420" w:firstLineChars="200"/>
        <w:jc w:val="left"/>
        <w:rPr>
          <w:rFonts w:ascii="宋体" w:hAnsi="宋体"/>
          <w:szCs w:val="21"/>
          <w:highlight w:val="none"/>
        </w:rPr>
      </w:pPr>
      <w:r>
        <w:rPr>
          <w:rFonts w:hint="eastAsia" w:ascii="宋体" w:hAnsi="宋体"/>
          <w:szCs w:val="21"/>
          <w:highlight w:val="none"/>
        </w:rPr>
        <w:t>承包人报监理人审批施工控制网资料的期限：</w:t>
      </w:r>
      <w:r>
        <w:rPr>
          <w:rFonts w:hint="eastAsia" w:ascii="宋体" w:hAnsi="宋体"/>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highlight w:val="none"/>
        </w:rPr>
        <w:t>。</w:t>
      </w:r>
    </w:p>
    <w:p w14:paraId="7027401B">
      <w:pPr>
        <w:pStyle w:val="7"/>
        <w:spacing w:before="0" w:beforeAutospacing="0" w:after="0" w:afterAutospacing="0" w:line="360" w:lineRule="auto"/>
        <w:ind w:firstLine="422" w:firstLineChars="200"/>
        <w:rPr>
          <w:sz w:val="21"/>
          <w:szCs w:val="21"/>
          <w:highlight w:val="none"/>
        </w:rPr>
      </w:pPr>
      <w:bookmarkStart w:id="1387" w:name="_Toc532377357"/>
      <w:bookmarkStart w:id="1388" w:name="_Toc532375621"/>
      <w:r>
        <w:rPr>
          <w:rFonts w:hint="eastAsia"/>
          <w:sz w:val="21"/>
          <w:szCs w:val="21"/>
          <w:highlight w:val="none"/>
        </w:rPr>
        <w:t>7</w:t>
      </w:r>
      <w:bookmarkStart w:id="1389" w:name="_Toc300934968"/>
      <w:bookmarkStart w:id="1390" w:name="_Toc304295546"/>
      <w:bookmarkStart w:id="1391" w:name="_Toc312678010"/>
      <w:bookmarkStart w:id="1392" w:name="_Toc312677484"/>
      <w:bookmarkStart w:id="1393" w:name="_Toc297216175"/>
      <w:bookmarkStart w:id="1394" w:name="_Toc297123516"/>
      <w:bookmarkStart w:id="1395" w:name="_Toc303539125"/>
      <w:r>
        <w:rPr>
          <w:rFonts w:hint="eastAsia"/>
          <w:sz w:val="21"/>
          <w:szCs w:val="21"/>
          <w:highlight w:val="none"/>
        </w:rPr>
        <w:t>.5 工期延误</w:t>
      </w:r>
      <w:bookmarkEnd w:id="1387"/>
      <w:bookmarkEnd w:id="1388"/>
    </w:p>
    <w:bookmarkEnd w:id="1389"/>
    <w:bookmarkEnd w:id="1390"/>
    <w:bookmarkEnd w:id="1391"/>
    <w:bookmarkEnd w:id="1392"/>
    <w:bookmarkEnd w:id="1393"/>
    <w:bookmarkEnd w:id="1394"/>
    <w:bookmarkEnd w:id="1395"/>
    <w:p w14:paraId="0B8E68A0">
      <w:pPr>
        <w:spacing w:line="360" w:lineRule="auto"/>
        <w:ind w:firstLine="420" w:firstLineChars="200"/>
        <w:jc w:val="left"/>
        <w:rPr>
          <w:rFonts w:ascii="宋体" w:hAnsi="宋体"/>
          <w:szCs w:val="21"/>
          <w:highlight w:val="none"/>
        </w:rPr>
      </w:pPr>
      <w:bookmarkStart w:id="1396" w:name="_Hlk528927940"/>
      <w:r>
        <w:rPr>
          <w:rFonts w:hint="eastAsia" w:ascii="宋体" w:hAnsi="宋体"/>
          <w:szCs w:val="21"/>
          <w:highlight w:val="none"/>
        </w:rPr>
        <w:t>7.5.1 因发包人原因导致工期延误：</w:t>
      </w:r>
    </w:p>
    <w:p w14:paraId="11F17644">
      <w:pPr>
        <w:spacing w:line="360" w:lineRule="auto"/>
        <w:ind w:firstLine="420" w:firstLineChars="200"/>
        <w:jc w:val="left"/>
        <w:rPr>
          <w:rFonts w:ascii="宋体" w:hAnsi="宋体"/>
          <w:szCs w:val="21"/>
          <w:highlight w:val="none"/>
        </w:rPr>
      </w:pPr>
      <w:r>
        <w:rPr>
          <w:rFonts w:hint="eastAsia" w:ascii="宋体" w:hAnsi="宋体"/>
          <w:szCs w:val="21"/>
          <w:highlight w:val="none"/>
        </w:rPr>
        <w:t>在合同履行过程中，除通用条款约定外，因下列情况导致工期延误和（或）费用增加的，由发包人承担由此延误的工期和（或）增加的费用：</w:t>
      </w:r>
    </w:p>
    <w:p w14:paraId="4588F4DF">
      <w:pPr>
        <w:spacing w:line="360" w:lineRule="auto"/>
        <w:ind w:firstLine="420" w:firstLineChars="200"/>
        <w:jc w:val="left"/>
        <w:rPr>
          <w:rFonts w:ascii="宋体" w:hAnsi="宋体"/>
          <w:szCs w:val="21"/>
          <w:highlight w:val="none"/>
        </w:rPr>
      </w:pPr>
      <w:r>
        <w:rPr>
          <w:rFonts w:hint="eastAsia" w:ascii="宋体" w:hAnsi="宋体"/>
          <w:szCs w:val="21"/>
          <w:highlight w:val="none"/>
        </w:rPr>
        <w:t>（1）发包人未能按合同约定提供施工场地，且该未提供开工条件直接影响项目关键线路的；</w:t>
      </w:r>
    </w:p>
    <w:p w14:paraId="67762A3E">
      <w:pPr>
        <w:spacing w:line="360" w:lineRule="auto"/>
        <w:ind w:firstLine="420" w:firstLineChars="200"/>
        <w:jc w:val="left"/>
        <w:rPr>
          <w:rFonts w:ascii="宋体" w:hAnsi="宋体"/>
          <w:szCs w:val="21"/>
          <w:highlight w:val="none"/>
        </w:rPr>
      </w:pPr>
      <w:r>
        <w:rPr>
          <w:rFonts w:hint="eastAsia" w:ascii="宋体" w:hAnsi="宋体"/>
          <w:szCs w:val="21"/>
          <w:highlight w:val="none"/>
        </w:rPr>
        <w:t>（2）发包人提供的测量基准点、基准线和水准点及其书面资料存在错误或疏漏，且该错误或疏漏直接影响项目关键线路的；</w:t>
      </w:r>
    </w:p>
    <w:p w14:paraId="09AECB7D">
      <w:pPr>
        <w:spacing w:line="360" w:lineRule="auto"/>
        <w:ind w:firstLine="420" w:firstLineChars="200"/>
        <w:jc w:val="left"/>
        <w:rPr>
          <w:rFonts w:ascii="宋体" w:hAnsi="宋体"/>
          <w:szCs w:val="21"/>
          <w:highlight w:val="none"/>
        </w:rPr>
      </w:pPr>
      <w:r>
        <w:rPr>
          <w:rFonts w:hint="eastAsia" w:ascii="宋体" w:hAnsi="宋体"/>
          <w:szCs w:val="21"/>
          <w:highlight w:val="none"/>
        </w:rPr>
        <w:t>（3）监理人未按合同约定发出指示、批准等文件，且该未按合同约定发出指示、批准直接影响项目关键线路的；</w:t>
      </w:r>
    </w:p>
    <w:p w14:paraId="6B8881AC">
      <w:pPr>
        <w:spacing w:line="360" w:lineRule="auto"/>
        <w:ind w:firstLine="420" w:firstLineChars="200"/>
        <w:jc w:val="left"/>
        <w:rPr>
          <w:rFonts w:ascii="宋体" w:hAnsi="宋体"/>
          <w:szCs w:val="21"/>
          <w:highlight w:val="none"/>
        </w:rPr>
      </w:pPr>
      <w:r>
        <w:rPr>
          <w:rFonts w:hint="eastAsia" w:ascii="宋体" w:hAnsi="宋体"/>
          <w:szCs w:val="21"/>
          <w:highlight w:val="none"/>
        </w:rPr>
        <w:t>（4）变更未及时审批，直接影响项目关键线路的；</w:t>
      </w:r>
    </w:p>
    <w:p w14:paraId="0620166A">
      <w:pPr>
        <w:spacing w:line="360" w:lineRule="auto"/>
        <w:ind w:firstLine="420" w:firstLineChars="200"/>
        <w:jc w:val="left"/>
        <w:rPr>
          <w:rFonts w:ascii="宋体" w:hAnsi="宋体"/>
          <w:szCs w:val="21"/>
          <w:highlight w:val="none"/>
        </w:rPr>
      </w:pPr>
      <w:r>
        <w:rPr>
          <w:rFonts w:hint="eastAsia" w:ascii="宋体" w:hAnsi="宋体"/>
          <w:szCs w:val="21"/>
          <w:highlight w:val="none"/>
        </w:rPr>
        <w:t>（5）实施变更直接影响项目关键线路的；</w:t>
      </w:r>
    </w:p>
    <w:p w14:paraId="6A7BA280">
      <w:pPr>
        <w:spacing w:line="360" w:lineRule="auto"/>
        <w:ind w:firstLine="420" w:firstLineChars="200"/>
        <w:jc w:val="left"/>
        <w:rPr>
          <w:rFonts w:ascii="宋体" w:hAnsi="宋体"/>
          <w:szCs w:val="21"/>
          <w:highlight w:val="none"/>
        </w:rPr>
      </w:pPr>
      <w:r>
        <w:rPr>
          <w:rFonts w:hint="eastAsia" w:ascii="宋体" w:hAnsi="宋体"/>
          <w:szCs w:val="21"/>
          <w:highlight w:val="none"/>
        </w:rPr>
        <w:t>（6）因发包人原因导致工程暂停施工、停建、缓建的；</w:t>
      </w:r>
    </w:p>
    <w:p w14:paraId="05CA262F">
      <w:pPr>
        <w:spacing w:line="360" w:lineRule="auto"/>
        <w:ind w:firstLine="420" w:firstLineChars="200"/>
        <w:jc w:val="left"/>
        <w:rPr>
          <w:rFonts w:ascii="宋体" w:hAnsi="宋体"/>
          <w:szCs w:val="21"/>
          <w:highlight w:val="none"/>
        </w:rPr>
      </w:pPr>
      <w:r>
        <w:rPr>
          <w:rFonts w:hint="eastAsia" w:ascii="宋体" w:hAnsi="宋体"/>
          <w:szCs w:val="21"/>
          <w:highlight w:val="none"/>
        </w:rPr>
        <w:t>（7）因征地拆迁、当地群众阻工等情形的；</w:t>
      </w:r>
    </w:p>
    <w:p w14:paraId="19470C50">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（8）</w:t>
      </w:r>
      <w:r>
        <w:rPr>
          <w:rFonts w:hint="eastAsia" w:ascii="宋体" w:hAnsi="宋体"/>
          <w:szCs w:val="21"/>
          <w:highlight w:val="none"/>
          <w:u w:val="single"/>
        </w:rPr>
        <w:t>合同约定的其他情形</w:t>
      </w:r>
      <w:r>
        <w:rPr>
          <w:rFonts w:hint="eastAsia" w:ascii="宋体" w:hAnsi="宋体"/>
          <w:szCs w:val="21"/>
          <w:highlight w:val="none"/>
        </w:rPr>
        <w:t>。</w:t>
      </w:r>
    </w:p>
    <w:p w14:paraId="669DCFDB">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highlight w:val="none"/>
        </w:rPr>
        <w:t>。</w:t>
      </w:r>
    </w:p>
    <w:p w14:paraId="666F3922">
      <w:pPr>
        <w:spacing w:line="360" w:lineRule="auto"/>
        <w:ind w:firstLine="420" w:firstLineChars="200"/>
        <w:jc w:val="left"/>
        <w:rPr>
          <w:rFonts w:ascii="宋体" w:hAnsi="宋体"/>
          <w:szCs w:val="21"/>
          <w:highlight w:val="none"/>
        </w:rPr>
      </w:pPr>
      <w:r>
        <w:rPr>
          <w:rFonts w:hint="eastAsia" w:ascii="宋体" w:hAnsi="宋体"/>
          <w:szCs w:val="21"/>
          <w:highlight w:val="none"/>
        </w:rPr>
        <w:t>7.5.2 因承包人原因导致工期延误</w:t>
      </w:r>
    </w:p>
    <w:p w14:paraId="04ABA7A5">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因承包人原因造成工期延误，逾期竣工按16.2.2（6）目执行。</w:t>
      </w:r>
    </w:p>
    <w:bookmarkEnd w:id="1396"/>
    <w:p w14:paraId="04811E42">
      <w:pPr>
        <w:pStyle w:val="7"/>
        <w:spacing w:before="0" w:beforeAutospacing="0" w:after="0" w:afterAutospacing="0" w:line="360" w:lineRule="auto"/>
        <w:ind w:firstLine="422" w:firstLineChars="200"/>
        <w:rPr>
          <w:sz w:val="21"/>
          <w:szCs w:val="21"/>
          <w:highlight w:val="none"/>
        </w:rPr>
      </w:pPr>
      <w:bookmarkStart w:id="1397" w:name="_Toc532377358"/>
      <w:bookmarkStart w:id="1398" w:name="_Toc532375622"/>
      <w:bookmarkStart w:id="1399" w:name="_Hlk528927997"/>
      <w:r>
        <w:rPr>
          <w:rFonts w:hint="eastAsia"/>
          <w:sz w:val="21"/>
          <w:szCs w:val="21"/>
          <w:highlight w:val="none"/>
        </w:rPr>
        <w:t>7</w:t>
      </w:r>
      <w:bookmarkStart w:id="1400" w:name="_Toc297216178"/>
      <w:bookmarkStart w:id="1401" w:name="_Toc297123519"/>
      <w:bookmarkStart w:id="1402" w:name="_Toc304295549"/>
      <w:bookmarkStart w:id="1403" w:name="_Toc303539128"/>
      <w:bookmarkStart w:id="1404" w:name="_Toc300934971"/>
      <w:bookmarkStart w:id="1405" w:name="_Toc312678015"/>
      <w:r>
        <w:rPr>
          <w:rFonts w:hint="eastAsia"/>
          <w:sz w:val="21"/>
          <w:szCs w:val="21"/>
          <w:highlight w:val="none"/>
        </w:rPr>
        <w:t>.6 不</w:t>
      </w:r>
      <w:bookmarkEnd w:id="1400"/>
      <w:bookmarkEnd w:id="1401"/>
      <w:bookmarkEnd w:id="1402"/>
      <w:bookmarkEnd w:id="1403"/>
      <w:bookmarkEnd w:id="1404"/>
      <w:bookmarkEnd w:id="1405"/>
      <w:r>
        <w:rPr>
          <w:rFonts w:hint="eastAsia"/>
          <w:sz w:val="21"/>
          <w:szCs w:val="21"/>
          <w:highlight w:val="none"/>
        </w:rPr>
        <w:t>利物质条件</w:t>
      </w:r>
      <w:bookmarkEnd w:id="1397"/>
      <w:bookmarkEnd w:id="1398"/>
    </w:p>
    <w:bookmarkEnd w:id="1399"/>
    <w:p w14:paraId="711DF23B">
      <w:pPr>
        <w:spacing w:line="360" w:lineRule="auto"/>
        <w:ind w:firstLine="420" w:firstLineChars="200"/>
        <w:jc w:val="left"/>
        <w:rPr>
          <w:rFonts w:ascii="宋体" w:hAnsi="宋体"/>
          <w:bCs/>
          <w:szCs w:val="21"/>
          <w:highlight w:val="none"/>
        </w:rPr>
      </w:pPr>
      <w:bookmarkStart w:id="1406" w:name="_Toc300934972"/>
      <w:bookmarkStart w:id="1407" w:name="_Toc303539129"/>
      <w:bookmarkStart w:id="1408" w:name="_Toc304295550"/>
      <w:bookmarkStart w:id="1409" w:name="_Toc318581172"/>
      <w:bookmarkStart w:id="1410" w:name="_Toc297216179"/>
      <w:bookmarkStart w:id="1411" w:name="_Toc312678016"/>
      <w:bookmarkStart w:id="1412" w:name="_Toc297123520"/>
      <w:r>
        <w:rPr>
          <w:rFonts w:hint="eastAsia" w:ascii="宋体" w:hAnsi="宋体"/>
          <w:szCs w:val="21"/>
          <w:highlight w:val="none"/>
        </w:rPr>
        <w:t>不利物质条件的其他情形和有关约定：</w:t>
      </w:r>
      <w:bookmarkStart w:id="1413" w:name="_Hlk528910274"/>
      <w:r>
        <w:rPr>
          <w:rFonts w:hint="eastAsia" w:ascii="宋体" w:hAnsi="宋体"/>
          <w:szCs w:val="21"/>
          <w:highlight w:val="none"/>
          <w:u w:val="single"/>
        </w:rPr>
        <w:t xml:space="preserve">    </w:t>
      </w:r>
      <w:r>
        <w:rPr>
          <w:rFonts w:hint="eastAsia" w:ascii="宋体" w:hAnsi="宋体"/>
          <w:szCs w:val="21"/>
          <w:highlight w:val="none"/>
        </w:rPr>
        <w:t>。</w:t>
      </w:r>
    </w:p>
    <w:bookmarkEnd w:id="1406"/>
    <w:bookmarkEnd w:id="1407"/>
    <w:bookmarkEnd w:id="1408"/>
    <w:bookmarkEnd w:id="1409"/>
    <w:bookmarkEnd w:id="1410"/>
    <w:bookmarkEnd w:id="1411"/>
    <w:bookmarkEnd w:id="1412"/>
    <w:bookmarkEnd w:id="1413"/>
    <w:p w14:paraId="3D993A2C">
      <w:pPr>
        <w:pStyle w:val="7"/>
        <w:spacing w:before="0" w:beforeAutospacing="0" w:after="0" w:afterAutospacing="0" w:line="360" w:lineRule="auto"/>
        <w:ind w:firstLine="422" w:firstLineChars="200"/>
        <w:rPr>
          <w:sz w:val="21"/>
          <w:szCs w:val="21"/>
          <w:highlight w:val="none"/>
        </w:rPr>
      </w:pPr>
      <w:bookmarkStart w:id="1414" w:name="_Toc532377359"/>
      <w:bookmarkStart w:id="1415" w:name="_Toc532375623"/>
      <w:r>
        <w:rPr>
          <w:rFonts w:hint="eastAsia"/>
          <w:sz w:val="21"/>
          <w:szCs w:val="21"/>
          <w:highlight w:val="none"/>
        </w:rPr>
        <w:t>7</w:t>
      </w:r>
      <w:bookmarkStart w:id="1416" w:name="_Toc300934973"/>
      <w:bookmarkStart w:id="1417" w:name="_Toc303539130"/>
      <w:bookmarkStart w:id="1418" w:name="_Toc312678017"/>
      <w:bookmarkStart w:id="1419" w:name="_Toc304295551"/>
      <w:bookmarkStart w:id="1420" w:name="_Toc297123521"/>
      <w:bookmarkStart w:id="1421" w:name="_Toc297216180"/>
      <w:r>
        <w:rPr>
          <w:rFonts w:hint="eastAsia"/>
          <w:sz w:val="21"/>
          <w:szCs w:val="21"/>
          <w:highlight w:val="none"/>
        </w:rPr>
        <w:t>.7异常恶劣的气候条件</w:t>
      </w:r>
      <w:bookmarkEnd w:id="1414"/>
      <w:bookmarkEnd w:id="1415"/>
    </w:p>
    <w:bookmarkEnd w:id="1416"/>
    <w:bookmarkEnd w:id="1417"/>
    <w:bookmarkEnd w:id="1418"/>
    <w:bookmarkEnd w:id="1419"/>
    <w:bookmarkEnd w:id="1420"/>
    <w:bookmarkEnd w:id="1421"/>
    <w:p w14:paraId="3EB162D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发包人和承包人同意以下情形视为异常恶劣的气候条件：</w:t>
      </w:r>
      <w:r>
        <w:rPr>
          <w:rFonts w:hint="eastAsia" w:ascii="宋体" w:hAnsi="宋体"/>
          <w:szCs w:val="21"/>
          <w:highlight w:val="none"/>
          <w:u w:val="single"/>
        </w:rPr>
        <w:t xml:space="preserve">    （异常气候是指项目所在地50年以上一遇的罕见气候现象）</w:t>
      </w:r>
      <w:r>
        <w:rPr>
          <w:rFonts w:hint="eastAsia" w:ascii="宋体" w:hAnsi="宋体"/>
          <w:szCs w:val="21"/>
          <w:highlight w:val="none"/>
        </w:rPr>
        <w:t>。</w:t>
      </w:r>
    </w:p>
    <w:p w14:paraId="51552B5B">
      <w:pPr>
        <w:pStyle w:val="7"/>
        <w:spacing w:before="0" w:beforeAutospacing="0" w:after="0" w:afterAutospacing="0" w:line="360" w:lineRule="auto"/>
        <w:ind w:firstLine="422" w:firstLineChars="200"/>
        <w:rPr>
          <w:sz w:val="21"/>
          <w:szCs w:val="21"/>
          <w:highlight w:val="none"/>
        </w:rPr>
      </w:pPr>
      <w:bookmarkStart w:id="1422" w:name="_Toc532375624"/>
      <w:bookmarkStart w:id="1423" w:name="_Toc532377360"/>
      <w:r>
        <w:rPr>
          <w:rFonts w:hint="eastAsia"/>
          <w:sz w:val="21"/>
          <w:szCs w:val="21"/>
          <w:highlight w:val="none"/>
        </w:rPr>
        <w:t>7.9 提前竣工</w:t>
      </w:r>
      <w:bookmarkEnd w:id="1422"/>
      <w:bookmarkEnd w:id="1423"/>
    </w:p>
    <w:p w14:paraId="5E1424B5">
      <w:pPr>
        <w:spacing w:line="360" w:lineRule="auto"/>
        <w:ind w:firstLine="420" w:firstLineChars="200"/>
        <w:jc w:val="left"/>
        <w:rPr>
          <w:rFonts w:ascii="宋体" w:hAnsi="宋体"/>
          <w:szCs w:val="21"/>
          <w:highlight w:val="none"/>
        </w:rPr>
      </w:pPr>
      <w:r>
        <w:rPr>
          <w:rFonts w:hint="eastAsia" w:ascii="宋体" w:hAnsi="宋体"/>
          <w:szCs w:val="21"/>
          <w:highlight w:val="none"/>
        </w:rPr>
        <w:t>7.9.1项细化为：</w:t>
      </w:r>
    </w:p>
    <w:p w14:paraId="507705A5">
      <w:pPr>
        <w:spacing w:line="360" w:lineRule="auto"/>
        <w:ind w:firstLine="420" w:firstLineChars="200"/>
        <w:jc w:val="left"/>
        <w:rPr>
          <w:rFonts w:ascii="宋体" w:hAnsi="宋体"/>
          <w:szCs w:val="21"/>
          <w:highlight w:val="none"/>
        </w:rPr>
      </w:pPr>
      <w:r>
        <w:rPr>
          <w:rFonts w:hint="eastAsia" w:ascii="宋体" w:hAnsi="宋体"/>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424934F">
      <w:pPr>
        <w:spacing w:line="360" w:lineRule="auto"/>
        <w:ind w:firstLine="420" w:firstLineChars="200"/>
        <w:jc w:val="left"/>
        <w:rPr>
          <w:rFonts w:ascii="宋体" w:hAnsi="宋体"/>
          <w:szCs w:val="21"/>
          <w:highlight w:val="none"/>
        </w:rPr>
      </w:pPr>
      <w:r>
        <w:rPr>
          <w:rFonts w:hint="eastAsia" w:ascii="宋体" w:hAnsi="宋体"/>
          <w:szCs w:val="21"/>
          <w:highlight w:val="none"/>
        </w:rPr>
        <w:t>（2）发包人不得随意要求承包人提前竣工，承包人也不得随意提出提前竣工的建议。如遇特殊情况，确需将工期提前的，发包人和承包人必须采取有效措施，确保工程质量。</w:t>
      </w:r>
    </w:p>
    <w:p w14:paraId="13D0CC6B">
      <w:pPr>
        <w:spacing w:line="360" w:lineRule="auto"/>
        <w:ind w:firstLine="420" w:firstLineChars="200"/>
        <w:jc w:val="left"/>
        <w:rPr>
          <w:rFonts w:ascii="宋体" w:hAnsi="宋体"/>
          <w:szCs w:val="21"/>
          <w:highlight w:val="none"/>
        </w:rPr>
      </w:pPr>
      <w:r>
        <w:rPr>
          <w:rFonts w:hint="eastAsia" w:ascii="宋体" w:hAnsi="宋体"/>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01D96564">
      <w:pPr>
        <w:spacing w:line="360" w:lineRule="auto"/>
        <w:ind w:firstLine="420" w:firstLineChars="200"/>
        <w:jc w:val="left"/>
        <w:rPr>
          <w:rFonts w:ascii="宋体" w:hAnsi="宋体"/>
          <w:szCs w:val="21"/>
          <w:highlight w:val="none"/>
        </w:rPr>
      </w:pPr>
      <w:r>
        <w:rPr>
          <w:rFonts w:hint="eastAsia" w:ascii="宋体" w:hAnsi="宋体"/>
          <w:szCs w:val="21"/>
          <w:highlight w:val="none"/>
        </w:rPr>
        <w:t>7.9.2 提前竣工的奖励：</w:t>
      </w:r>
      <w:r>
        <w:rPr>
          <w:rFonts w:hint="eastAsia" w:ascii="宋体" w:hAnsi="宋体"/>
          <w:szCs w:val="21"/>
          <w:highlight w:val="none"/>
          <w:u w:val="single"/>
        </w:rPr>
        <w:t xml:space="preserve">    元/天，不超过签约合同价的  %</w:t>
      </w:r>
      <w:r>
        <w:rPr>
          <w:rFonts w:hint="eastAsia" w:ascii="宋体" w:hAnsi="宋体"/>
          <w:szCs w:val="21"/>
          <w:highlight w:val="none"/>
        </w:rPr>
        <w:t>。</w:t>
      </w:r>
    </w:p>
    <w:p w14:paraId="7C9079D0">
      <w:pPr>
        <w:pStyle w:val="6"/>
        <w:keepNext/>
        <w:keepLines/>
        <w:spacing w:before="156" w:beforeLines="50" w:beforeAutospacing="0" w:after="156" w:afterLines="50" w:afterAutospacing="0" w:line="360" w:lineRule="auto"/>
        <w:jc w:val="both"/>
        <w:rPr>
          <w:bCs w:val="0"/>
          <w:kern w:val="2"/>
          <w:sz w:val="21"/>
          <w:szCs w:val="21"/>
          <w:highlight w:val="none"/>
        </w:rPr>
      </w:pPr>
      <w:bookmarkStart w:id="1424" w:name="_Toc351203640"/>
      <w:bookmarkStart w:id="1425" w:name="_Toc532377361"/>
      <w:bookmarkStart w:id="1426" w:name="_Toc532375625"/>
      <w:r>
        <w:rPr>
          <w:rFonts w:hint="eastAsia"/>
          <w:kern w:val="2"/>
          <w:sz w:val="21"/>
          <w:szCs w:val="21"/>
          <w:highlight w:val="none"/>
        </w:rPr>
        <w:t>8. 材料与设备</w:t>
      </w:r>
      <w:bookmarkEnd w:id="1424"/>
      <w:bookmarkEnd w:id="1425"/>
      <w:bookmarkEnd w:id="1426"/>
    </w:p>
    <w:p w14:paraId="679D5EA2">
      <w:pPr>
        <w:pStyle w:val="7"/>
        <w:spacing w:before="0" w:beforeAutospacing="0" w:after="0" w:afterAutospacing="0" w:line="360" w:lineRule="auto"/>
        <w:ind w:firstLine="422" w:firstLineChars="200"/>
        <w:rPr>
          <w:sz w:val="21"/>
          <w:szCs w:val="21"/>
          <w:highlight w:val="none"/>
        </w:rPr>
      </w:pPr>
      <w:bookmarkStart w:id="1427" w:name="_Toc532375626"/>
      <w:bookmarkStart w:id="1428" w:name="_Toc532377362"/>
      <w:r>
        <w:rPr>
          <w:rFonts w:hint="eastAsia"/>
          <w:sz w:val="21"/>
          <w:szCs w:val="21"/>
          <w:highlight w:val="none"/>
        </w:rPr>
        <w:t>8.1发包人供应材料与工程设备</w:t>
      </w:r>
      <w:bookmarkEnd w:id="1427"/>
      <w:bookmarkEnd w:id="1428"/>
    </w:p>
    <w:p w14:paraId="57CFC508">
      <w:pPr>
        <w:spacing w:line="360" w:lineRule="auto"/>
        <w:ind w:firstLine="420" w:firstLineChars="200"/>
        <w:jc w:val="left"/>
        <w:rPr>
          <w:rFonts w:ascii="宋体" w:hAnsi="宋体"/>
          <w:szCs w:val="21"/>
          <w:highlight w:val="none"/>
        </w:rPr>
      </w:pPr>
      <w:r>
        <w:rPr>
          <w:rFonts w:hint="eastAsia" w:ascii="宋体" w:hAnsi="宋体"/>
          <w:szCs w:val="21"/>
          <w:highlight w:val="none"/>
        </w:rPr>
        <w:t>材料的名称、规格、数量和价格：</w:t>
      </w:r>
      <w:r>
        <w:rPr>
          <w:rFonts w:hint="eastAsia" w:ascii="宋体" w:hAnsi="宋体"/>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szCs w:val="21"/>
          <w:highlight w:val="none"/>
        </w:rPr>
        <w:t>。</w:t>
      </w:r>
    </w:p>
    <w:p w14:paraId="25F52AA7">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highlight w:val="none"/>
        </w:rPr>
        <w:t>。</w:t>
      </w:r>
    </w:p>
    <w:p w14:paraId="7863B9F2">
      <w:pPr>
        <w:pStyle w:val="7"/>
        <w:spacing w:before="0" w:beforeAutospacing="0" w:after="0" w:afterAutospacing="0" w:line="360" w:lineRule="auto"/>
        <w:ind w:firstLine="422" w:firstLineChars="200"/>
        <w:rPr>
          <w:sz w:val="21"/>
          <w:szCs w:val="21"/>
          <w:highlight w:val="none"/>
        </w:rPr>
      </w:pPr>
      <w:bookmarkStart w:id="1429" w:name="_Toc532377363"/>
      <w:bookmarkStart w:id="1430" w:name="_Toc351203554"/>
      <w:bookmarkStart w:id="1431" w:name="_Toc532375627"/>
      <w:r>
        <w:rPr>
          <w:rFonts w:hint="eastAsia"/>
          <w:sz w:val="21"/>
          <w:szCs w:val="21"/>
          <w:highlight w:val="none"/>
        </w:rPr>
        <w:t>8</w:t>
      </w:r>
      <w:bookmarkStart w:id="1432" w:name="_Toc296503060"/>
      <w:bookmarkStart w:id="1433" w:name="_Toc337558778"/>
      <w:bookmarkStart w:id="1434" w:name="_Toc296346561"/>
      <w:r>
        <w:rPr>
          <w:rFonts w:hint="eastAsia"/>
          <w:sz w:val="21"/>
          <w:szCs w:val="21"/>
          <w:highlight w:val="none"/>
        </w:rPr>
        <w:t>.2 承包人采购材料与工程设备</w:t>
      </w:r>
      <w:bookmarkEnd w:id="1429"/>
      <w:bookmarkEnd w:id="1430"/>
      <w:bookmarkEnd w:id="1431"/>
    </w:p>
    <w:bookmarkEnd w:id="1432"/>
    <w:bookmarkEnd w:id="1433"/>
    <w:bookmarkEnd w:id="1434"/>
    <w:p w14:paraId="40420F6B">
      <w:pPr>
        <w:spacing w:line="360" w:lineRule="auto"/>
        <w:ind w:firstLine="420" w:firstLineChars="200"/>
        <w:jc w:val="left"/>
        <w:rPr>
          <w:rFonts w:ascii="宋体" w:hAnsi="宋体"/>
          <w:szCs w:val="21"/>
          <w:highlight w:val="none"/>
        </w:rPr>
      </w:pPr>
      <w:r>
        <w:rPr>
          <w:rFonts w:hint="eastAsia" w:ascii="宋体" w:hAnsi="宋体"/>
          <w:szCs w:val="21"/>
          <w:highlight w:val="none"/>
        </w:rPr>
        <w:t>8.2.1承包人负责采购、运输和保管的材料、工程设备：</w:t>
      </w:r>
      <w:r>
        <w:rPr>
          <w:rFonts w:hint="eastAsia" w:ascii="宋体" w:hAnsi="宋体"/>
          <w:szCs w:val="21"/>
          <w:highlight w:val="none"/>
          <w:u w:val="single"/>
        </w:rPr>
        <w:t>由承包人自行采购。承包人采购材料设备必须经监理人和发包人批准，结算时由监理人和发包人按招标文件规定审核的数量和合同约定</w:t>
      </w:r>
      <w:r>
        <w:rPr>
          <w:rFonts w:ascii="宋体" w:hAnsi="宋体"/>
          <w:szCs w:val="21"/>
          <w:highlight w:val="none"/>
          <w:u w:val="single"/>
        </w:rPr>
        <w:t>价格</w:t>
      </w:r>
      <w:r>
        <w:rPr>
          <w:rFonts w:hint="eastAsia" w:ascii="宋体" w:hAnsi="宋体"/>
          <w:szCs w:val="21"/>
          <w:highlight w:val="none"/>
          <w:u w:val="single"/>
        </w:rPr>
        <w:t>计算</w:t>
      </w:r>
      <w:r>
        <w:rPr>
          <w:rFonts w:hint="eastAsia" w:ascii="宋体" w:hAnsi="宋体"/>
          <w:szCs w:val="21"/>
          <w:highlight w:val="none"/>
        </w:rPr>
        <w:t>。</w:t>
      </w:r>
    </w:p>
    <w:p w14:paraId="1C033502">
      <w:pPr>
        <w:spacing w:line="360" w:lineRule="auto"/>
        <w:ind w:firstLine="420" w:firstLineChars="200"/>
        <w:jc w:val="left"/>
        <w:rPr>
          <w:rFonts w:ascii="宋体" w:hAnsi="宋体"/>
          <w:szCs w:val="21"/>
          <w:highlight w:val="none"/>
        </w:rPr>
      </w:pPr>
      <w:r>
        <w:rPr>
          <w:rFonts w:hint="eastAsia" w:ascii="宋体" w:hAnsi="宋体"/>
          <w:szCs w:val="21"/>
          <w:highlight w:val="none"/>
        </w:rPr>
        <w:t>8.2.2承包人报送监理人审批的时间：</w:t>
      </w:r>
      <w:r>
        <w:rPr>
          <w:rFonts w:hint="eastAsia" w:ascii="宋体" w:hAnsi="宋体"/>
          <w:szCs w:val="21"/>
          <w:highlight w:val="none"/>
          <w:u w:val="single"/>
        </w:rPr>
        <w:t>按发包人及监理单位的相关规定执行</w:t>
      </w:r>
      <w:r>
        <w:rPr>
          <w:rFonts w:hint="eastAsia" w:ascii="宋体" w:hAnsi="宋体"/>
          <w:szCs w:val="21"/>
          <w:highlight w:val="none"/>
        </w:rPr>
        <w:t>。</w:t>
      </w:r>
    </w:p>
    <w:p w14:paraId="75C83930">
      <w:pPr>
        <w:spacing w:line="360" w:lineRule="auto"/>
        <w:ind w:firstLine="420" w:firstLineChars="200"/>
        <w:jc w:val="left"/>
        <w:rPr>
          <w:rFonts w:ascii="宋体" w:hAnsi="宋体"/>
          <w:szCs w:val="21"/>
          <w:highlight w:val="none"/>
        </w:rPr>
      </w:pPr>
      <w:r>
        <w:rPr>
          <w:rFonts w:hint="eastAsia" w:ascii="宋体" w:hAnsi="宋体"/>
          <w:szCs w:val="21"/>
          <w:highlight w:val="none"/>
        </w:rPr>
        <w:t>8.2.3承包人选择的生产厂家或供应商满足下列条件：</w:t>
      </w:r>
    </w:p>
    <w:p w14:paraId="0F79458D">
      <w:pPr>
        <w:spacing w:line="360" w:lineRule="auto"/>
        <w:ind w:firstLine="420" w:firstLineChars="200"/>
        <w:jc w:val="left"/>
        <w:rPr>
          <w:rFonts w:ascii="宋体" w:hAnsi="宋体"/>
          <w:szCs w:val="21"/>
          <w:highlight w:val="none"/>
        </w:rPr>
      </w:pPr>
      <w:r>
        <w:rPr>
          <w:rFonts w:hint="eastAsia" w:ascii="宋体" w:hAnsi="宋体"/>
          <w:szCs w:val="21"/>
          <w:highlight w:val="none"/>
        </w:rPr>
        <w:t>A.承包人选择的混凝土供应商应满足下列条件：</w:t>
      </w:r>
      <w:r>
        <w:rPr>
          <w:rFonts w:hint="eastAsia" w:ascii="宋体" w:hAnsi="宋体"/>
          <w:szCs w:val="21"/>
          <w:highlight w:val="none"/>
          <w:u w:val="single"/>
        </w:rPr>
        <w:t xml:space="preserve">        </w:t>
      </w:r>
      <w:r>
        <w:rPr>
          <w:rFonts w:hint="eastAsia" w:ascii="宋体" w:hAnsi="宋体"/>
          <w:szCs w:val="21"/>
          <w:highlight w:val="none"/>
        </w:rPr>
        <w:t>；</w:t>
      </w:r>
    </w:p>
    <w:p w14:paraId="44842B79">
      <w:pPr>
        <w:spacing w:line="360" w:lineRule="auto"/>
        <w:ind w:firstLine="420" w:firstLineChars="200"/>
        <w:jc w:val="left"/>
        <w:rPr>
          <w:rFonts w:ascii="宋体" w:hAnsi="宋体"/>
          <w:szCs w:val="21"/>
          <w:highlight w:val="none"/>
        </w:rPr>
      </w:pPr>
      <w:r>
        <w:rPr>
          <w:rFonts w:hint="eastAsia" w:ascii="宋体" w:hAnsi="宋体"/>
          <w:szCs w:val="21"/>
          <w:highlight w:val="none"/>
        </w:rPr>
        <w:t>B.承包人选择的钢材供应商应满足下列条件：</w:t>
      </w:r>
      <w:r>
        <w:rPr>
          <w:rFonts w:hint="eastAsia" w:ascii="宋体" w:hAnsi="宋体"/>
          <w:szCs w:val="21"/>
          <w:highlight w:val="none"/>
          <w:u w:val="single"/>
        </w:rPr>
        <w:t xml:space="preserve">        </w:t>
      </w:r>
      <w:r>
        <w:rPr>
          <w:rFonts w:hint="eastAsia" w:ascii="宋体" w:hAnsi="宋体"/>
          <w:szCs w:val="21"/>
          <w:highlight w:val="none"/>
        </w:rPr>
        <w:t>；</w:t>
      </w:r>
    </w:p>
    <w:p w14:paraId="2B6A573E">
      <w:pPr>
        <w:spacing w:line="360" w:lineRule="auto"/>
        <w:ind w:firstLine="420" w:firstLineChars="200"/>
        <w:jc w:val="left"/>
        <w:rPr>
          <w:rFonts w:ascii="宋体" w:hAnsi="宋体"/>
          <w:szCs w:val="21"/>
          <w:highlight w:val="none"/>
        </w:rPr>
      </w:pPr>
      <w:r>
        <w:rPr>
          <w:rFonts w:hint="eastAsia" w:ascii="宋体" w:hAnsi="宋体"/>
          <w:szCs w:val="21"/>
          <w:highlight w:val="none"/>
        </w:rPr>
        <w:t>C.承包人选择的水泥供应商应满足下列条件：</w:t>
      </w:r>
      <w:r>
        <w:rPr>
          <w:rFonts w:hint="eastAsia" w:ascii="宋体" w:hAnsi="宋体"/>
          <w:szCs w:val="21"/>
          <w:highlight w:val="none"/>
          <w:u w:val="single"/>
        </w:rPr>
        <w:t xml:space="preserve">        </w:t>
      </w:r>
      <w:r>
        <w:rPr>
          <w:rFonts w:hint="eastAsia" w:ascii="宋体" w:hAnsi="宋体"/>
          <w:szCs w:val="21"/>
          <w:highlight w:val="none"/>
        </w:rPr>
        <w:t>；</w:t>
      </w:r>
    </w:p>
    <w:p w14:paraId="10DBDF27">
      <w:pPr>
        <w:spacing w:line="360" w:lineRule="auto"/>
        <w:ind w:firstLine="420" w:firstLineChars="200"/>
        <w:jc w:val="left"/>
        <w:rPr>
          <w:rFonts w:ascii="宋体" w:hAnsi="宋体"/>
          <w:szCs w:val="21"/>
          <w:highlight w:val="none"/>
        </w:rPr>
      </w:pPr>
      <w:r>
        <w:rPr>
          <w:rFonts w:hint="eastAsia" w:ascii="宋体" w:hAnsi="宋体"/>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0807D570">
      <w:pPr>
        <w:spacing w:line="360" w:lineRule="auto"/>
        <w:ind w:firstLine="420" w:firstLineChars="200"/>
        <w:jc w:val="left"/>
        <w:rPr>
          <w:rFonts w:ascii="宋体" w:hAnsi="宋体"/>
          <w:szCs w:val="21"/>
          <w:highlight w:val="none"/>
        </w:rPr>
      </w:pPr>
      <w:r>
        <w:rPr>
          <w:rFonts w:hint="eastAsia" w:ascii="宋体" w:hAnsi="宋体"/>
          <w:szCs w:val="21"/>
          <w:highlight w:val="none"/>
        </w:rPr>
        <w:t>E.承包人采购的材料在使用前，应按发包人和监理人的要求进行检验或试验，不合格的不得使用。</w:t>
      </w:r>
    </w:p>
    <w:p w14:paraId="0964575D">
      <w:pPr>
        <w:spacing w:line="360" w:lineRule="auto"/>
        <w:ind w:firstLine="420" w:firstLineChars="200"/>
        <w:jc w:val="left"/>
        <w:rPr>
          <w:rFonts w:ascii="宋体" w:hAnsi="宋体"/>
          <w:szCs w:val="21"/>
          <w:highlight w:val="none"/>
        </w:rPr>
      </w:pPr>
      <w:r>
        <w:rPr>
          <w:rFonts w:hint="eastAsia" w:ascii="宋体" w:hAnsi="宋体"/>
          <w:szCs w:val="21"/>
          <w:highlight w:val="none"/>
        </w:rPr>
        <w:t>F.</w:t>
      </w:r>
      <w:r>
        <w:rPr>
          <w:rFonts w:hint="eastAsia" w:ascii="宋体" w:hAnsi="宋体"/>
          <w:szCs w:val="21"/>
          <w:highlight w:val="none"/>
          <w:u w:val="single"/>
        </w:rPr>
        <w:t xml:space="preserve">        </w:t>
      </w:r>
      <w:r>
        <w:rPr>
          <w:rFonts w:hint="eastAsia" w:ascii="宋体" w:hAnsi="宋体"/>
          <w:szCs w:val="21"/>
          <w:highlight w:val="none"/>
        </w:rPr>
        <w:t>。</w:t>
      </w:r>
    </w:p>
    <w:p w14:paraId="4F2191AC">
      <w:pPr>
        <w:pStyle w:val="7"/>
        <w:spacing w:before="0" w:beforeAutospacing="0" w:after="0" w:afterAutospacing="0" w:line="360" w:lineRule="auto"/>
        <w:ind w:firstLine="422" w:firstLineChars="200"/>
        <w:rPr>
          <w:sz w:val="21"/>
          <w:szCs w:val="21"/>
          <w:highlight w:val="none"/>
        </w:rPr>
      </w:pPr>
      <w:bookmarkStart w:id="1435" w:name="_Toc532377364"/>
      <w:bookmarkStart w:id="1436" w:name="_Toc532375628"/>
      <w:r>
        <w:rPr>
          <w:rFonts w:hint="eastAsia"/>
          <w:sz w:val="21"/>
          <w:szCs w:val="21"/>
          <w:highlight w:val="none"/>
        </w:rPr>
        <w:t>8</w:t>
      </w:r>
      <w:bookmarkStart w:id="1437" w:name="_Toc296890995"/>
      <w:bookmarkStart w:id="1438" w:name="_Toc297123527"/>
      <w:bookmarkStart w:id="1439" w:name="_Toc292559877"/>
      <w:bookmarkStart w:id="1440" w:name="_Toc312678019"/>
      <w:bookmarkStart w:id="1441" w:name="_Toc300934979"/>
      <w:bookmarkStart w:id="1442" w:name="_Toc280868654"/>
      <w:bookmarkStart w:id="1443" w:name="_Toc292559372"/>
      <w:bookmarkStart w:id="1444" w:name="_Toc297120467"/>
      <w:bookmarkStart w:id="1445" w:name="_Toc296503167"/>
      <w:bookmarkStart w:id="1446" w:name="_Toc303539136"/>
      <w:bookmarkStart w:id="1447" w:name="_Toc297048353"/>
      <w:bookmarkStart w:id="1448" w:name="_Toc296891207"/>
      <w:bookmarkStart w:id="1449" w:name="_Toc312677493"/>
      <w:bookmarkStart w:id="1450" w:name="_Toc297216186"/>
      <w:bookmarkStart w:id="1451" w:name="_Toc304295556"/>
      <w:bookmarkStart w:id="1452" w:name="_Toc296944506"/>
      <w:bookmarkStart w:id="1453" w:name="_Toc296346668"/>
      <w:bookmarkStart w:id="1454" w:name="_Toc296347166"/>
      <w:bookmarkStart w:id="1455" w:name="_Toc267251424"/>
      <w:bookmarkStart w:id="1456" w:name="_Toc280868656"/>
      <w:bookmarkStart w:id="1457" w:name="_Toc280868655"/>
      <w:r>
        <w:rPr>
          <w:rFonts w:hint="eastAsia"/>
          <w:sz w:val="21"/>
          <w:szCs w:val="21"/>
          <w:highlight w:val="none"/>
        </w:rPr>
        <w:t>.4 材料与工程设备的保管与使用</w:t>
      </w:r>
      <w:bookmarkEnd w:id="1435"/>
      <w:bookmarkEnd w:id="1436"/>
    </w:p>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14:paraId="299437F7">
      <w:pPr>
        <w:spacing w:line="360" w:lineRule="auto"/>
        <w:ind w:firstLine="420" w:firstLineChars="200"/>
        <w:jc w:val="left"/>
        <w:rPr>
          <w:rFonts w:ascii="宋体" w:hAnsi="宋体"/>
          <w:szCs w:val="21"/>
          <w:highlight w:val="none"/>
        </w:rPr>
      </w:pPr>
      <w:r>
        <w:rPr>
          <w:rFonts w:hint="eastAsia" w:ascii="宋体" w:hAnsi="宋体"/>
          <w:szCs w:val="21"/>
          <w:highlight w:val="none"/>
        </w:rPr>
        <w:t>8</w:t>
      </w:r>
      <w:bookmarkStart w:id="1458" w:name="_Toc292559373"/>
      <w:bookmarkStart w:id="1459" w:name="_Toc292559878"/>
      <w:bookmarkStart w:id="1460" w:name="_Toc303539137"/>
      <w:bookmarkStart w:id="1461" w:name="_Toc296890996"/>
      <w:bookmarkStart w:id="1462" w:name="_Toc318581173"/>
      <w:bookmarkStart w:id="1463" w:name="_Toc296944507"/>
      <w:bookmarkStart w:id="1464" w:name="_Toc297048354"/>
      <w:bookmarkStart w:id="1465" w:name="_Toc297120468"/>
      <w:bookmarkStart w:id="1466" w:name="_Toc296891208"/>
      <w:bookmarkStart w:id="1467" w:name="_Toc297216187"/>
      <w:bookmarkStart w:id="1468" w:name="_Toc312677494"/>
      <w:bookmarkStart w:id="1469" w:name="_Toc297123528"/>
      <w:bookmarkStart w:id="1470" w:name="_Toc296347167"/>
      <w:bookmarkStart w:id="1471" w:name="_Toc312678020"/>
      <w:bookmarkStart w:id="1472" w:name="_Toc296346669"/>
      <w:bookmarkStart w:id="1473" w:name="_Toc300934980"/>
      <w:bookmarkStart w:id="1474" w:name="_Toc304295557"/>
      <w:bookmarkStart w:id="1475" w:name="_Toc296503168"/>
      <w:r>
        <w:rPr>
          <w:rFonts w:hint="eastAsia" w:ascii="宋体" w:hAnsi="宋体"/>
          <w:szCs w:val="21"/>
          <w:highlight w:val="none"/>
        </w:rPr>
        <w:t>.4.1 发包人供应的材料设备的保管费用的承担：</w:t>
      </w:r>
      <w:r>
        <w:rPr>
          <w:rFonts w:hint="eastAsia" w:ascii="宋体" w:hAnsi="宋体"/>
          <w:szCs w:val="21"/>
          <w:highlight w:val="none"/>
          <w:u w:val="single"/>
        </w:rPr>
        <w:t xml:space="preserve">           </w:t>
      </w:r>
      <w:r>
        <w:rPr>
          <w:rFonts w:hint="eastAsia" w:ascii="宋体" w:hAnsi="宋体"/>
          <w:szCs w:val="21"/>
          <w:highlight w:val="none"/>
        </w:rPr>
        <w:t>。</w:t>
      </w:r>
      <w:bookmarkEnd w:id="1458"/>
      <w:bookmarkEnd w:id="1459"/>
    </w:p>
    <w:p w14:paraId="4A913614">
      <w:pPr>
        <w:pStyle w:val="7"/>
        <w:spacing w:before="0" w:beforeAutospacing="0" w:after="0" w:afterAutospacing="0" w:line="360" w:lineRule="auto"/>
        <w:ind w:firstLine="422" w:firstLineChars="200"/>
        <w:rPr>
          <w:sz w:val="21"/>
          <w:szCs w:val="21"/>
          <w:highlight w:val="none"/>
        </w:rPr>
      </w:pPr>
      <w:bookmarkStart w:id="1476" w:name="_Toc532375629"/>
      <w:bookmarkStart w:id="1477" w:name="_Toc532377365"/>
      <w:r>
        <w:rPr>
          <w:rFonts w:hint="eastAsia"/>
          <w:sz w:val="21"/>
          <w:szCs w:val="21"/>
          <w:highlight w:val="none"/>
        </w:rPr>
        <w:t>8.6 样品</w:t>
      </w:r>
      <w:bookmarkEnd w:id="1476"/>
      <w:bookmarkEnd w:id="1477"/>
    </w:p>
    <w:p w14:paraId="6535CF24">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8.6.1 样品的报送与封存</w:t>
      </w:r>
    </w:p>
    <w:p w14:paraId="52B9F97B">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需要承包人报送样品的材料或工程设备，样品的种类、名称、规格、数量要求：</w:t>
      </w:r>
      <w:r>
        <w:rPr>
          <w:rFonts w:hint="eastAsia" w:ascii="宋体" w:hAnsi="宋体"/>
          <w:szCs w:val="21"/>
          <w:highlight w:val="none"/>
          <w:u w:val="single"/>
        </w:rPr>
        <w:t xml:space="preserve">        </w:t>
      </w:r>
      <w:r>
        <w:rPr>
          <w:rFonts w:hint="eastAsia" w:ascii="宋体" w:hAnsi="宋体"/>
          <w:szCs w:val="21"/>
          <w:highlight w:val="none"/>
        </w:rPr>
        <w:t>。</w:t>
      </w:r>
    </w:p>
    <w:p w14:paraId="012D3503">
      <w:pPr>
        <w:pStyle w:val="7"/>
        <w:spacing w:before="0" w:beforeAutospacing="0" w:after="0" w:afterAutospacing="0" w:line="360" w:lineRule="auto"/>
        <w:ind w:firstLine="422" w:firstLineChars="200"/>
        <w:rPr>
          <w:sz w:val="21"/>
          <w:szCs w:val="21"/>
          <w:highlight w:val="none"/>
        </w:rPr>
      </w:pPr>
      <w:bookmarkStart w:id="1478" w:name="_Toc532377366"/>
      <w:bookmarkStart w:id="1479" w:name="_Toc532375630"/>
      <w:r>
        <w:rPr>
          <w:rFonts w:hint="eastAsia"/>
          <w:sz w:val="21"/>
          <w:szCs w:val="21"/>
          <w:highlight w:val="none"/>
        </w:rPr>
        <w:t>8.8 施工设备和临时设施</w:t>
      </w:r>
      <w:bookmarkEnd w:id="1478"/>
      <w:bookmarkEnd w:id="1479"/>
    </w:p>
    <w:p w14:paraId="776EC77D">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8.8.1 承包人提供的施工设备和临时设施</w:t>
      </w:r>
    </w:p>
    <w:p w14:paraId="38CBD90F">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关于修建临时设施费用承担的约定：</w:t>
      </w:r>
      <w:r>
        <w:rPr>
          <w:rFonts w:hint="eastAsia" w:ascii="宋体" w:hAnsi="宋体"/>
          <w:szCs w:val="21"/>
          <w:highlight w:val="none"/>
          <w:u w:val="single"/>
        </w:rPr>
        <w:t>由承包人承担</w:t>
      </w:r>
      <w:r>
        <w:rPr>
          <w:rFonts w:hint="eastAsia" w:ascii="宋体" w:hAnsi="宋体"/>
          <w:szCs w:val="21"/>
          <w:highlight w:val="none"/>
        </w:rPr>
        <w:t>。</w:t>
      </w:r>
    </w:p>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14:paraId="58720B86">
      <w:pPr>
        <w:pStyle w:val="6"/>
        <w:keepNext/>
        <w:keepLines/>
        <w:spacing w:before="156" w:beforeLines="50" w:beforeAutospacing="0" w:after="156" w:afterLines="50" w:afterAutospacing="0" w:line="360" w:lineRule="auto"/>
        <w:jc w:val="both"/>
        <w:rPr>
          <w:bCs w:val="0"/>
          <w:kern w:val="2"/>
          <w:sz w:val="21"/>
          <w:szCs w:val="21"/>
          <w:highlight w:val="none"/>
        </w:rPr>
      </w:pPr>
      <w:bookmarkStart w:id="1480" w:name="_Toc351203641"/>
      <w:bookmarkStart w:id="1481" w:name="_Toc532377367"/>
      <w:bookmarkStart w:id="1482" w:name="_Toc532375631"/>
      <w:r>
        <w:rPr>
          <w:rFonts w:hint="eastAsia"/>
          <w:kern w:val="2"/>
          <w:sz w:val="21"/>
          <w:szCs w:val="21"/>
          <w:highlight w:val="none"/>
        </w:rPr>
        <w:t>9</w:t>
      </w:r>
      <w:bookmarkEnd w:id="1455"/>
      <w:bookmarkEnd w:id="1456"/>
      <w:bookmarkEnd w:id="1457"/>
      <w:bookmarkStart w:id="1483" w:name="_Toc312677495"/>
      <w:bookmarkStart w:id="1484" w:name="_Toc297216192"/>
      <w:bookmarkStart w:id="1485" w:name="_Toc304295559"/>
      <w:bookmarkStart w:id="1486" w:name="_Toc297123533"/>
      <w:bookmarkStart w:id="1487" w:name="_Toc303539139"/>
      <w:bookmarkStart w:id="1488" w:name="_Toc300934982"/>
      <w:bookmarkStart w:id="1489" w:name="_Toc312678021"/>
      <w:r>
        <w:rPr>
          <w:rFonts w:hint="eastAsia"/>
          <w:kern w:val="2"/>
          <w:sz w:val="21"/>
          <w:szCs w:val="21"/>
          <w:highlight w:val="none"/>
        </w:rPr>
        <w:t>. 试验与检验</w:t>
      </w:r>
      <w:bookmarkEnd w:id="1480"/>
      <w:bookmarkEnd w:id="1481"/>
      <w:bookmarkEnd w:id="1482"/>
    </w:p>
    <w:bookmarkEnd w:id="1483"/>
    <w:bookmarkEnd w:id="1484"/>
    <w:bookmarkEnd w:id="1485"/>
    <w:bookmarkEnd w:id="1486"/>
    <w:bookmarkEnd w:id="1487"/>
    <w:bookmarkEnd w:id="1488"/>
    <w:bookmarkEnd w:id="1489"/>
    <w:p w14:paraId="1CFA95A2">
      <w:pPr>
        <w:pStyle w:val="7"/>
        <w:spacing w:before="0" w:beforeAutospacing="0" w:after="0" w:afterAutospacing="0" w:line="360" w:lineRule="auto"/>
        <w:ind w:firstLine="422" w:firstLineChars="200"/>
        <w:rPr>
          <w:sz w:val="21"/>
          <w:szCs w:val="21"/>
          <w:highlight w:val="none"/>
        </w:rPr>
      </w:pPr>
      <w:bookmarkStart w:id="1490" w:name="_Toc532377368"/>
      <w:bookmarkStart w:id="1491" w:name="_Toc532375632"/>
      <w:r>
        <w:rPr>
          <w:rFonts w:hint="eastAsia"/>
          <w:sz w:val="21"/>
          <w:szCs w:val="21"/>
          <w:highlight w:val="none"/>
        </w:rPr>
        <w:t>9</w:t>
      </w:r>
      <w:bookmarkStart w:id="1492" w:name="_Toc303539140"/>
      <w:bookmarkStart w:id="1493" w:name="_Toc300934983"/>
      <w:bookmarkStart w:id="1494" w:name="_Toc312677496"/>
      <w:bookmarkStart w:id="1495" w:name="_Toc312678022"/>
      <w:bookmarkStart w:id="1496" w:name="_Toc304295560"/>
      <w:bookmarkStart w:id="1497" w:name="_Toc297123534"/>
      <w:bookmarkStart w:id="1498" w:name="_Toc297216193"/>
      <w:r>
        <w:rPr>
          <w:rFonts w:hint="eastAsia"/>
          <w:sz w:val="21"/>
          <w:szCs w:val="21"/>
          <w:highlight w:val="none"/>
        </w:rPr>
        <w:t>.1 试验设备与试验人员</w:t>
      </w:r>
      <w:bookmarkEnd w:id="1490"/>
      <w:bookmarkEnd w:id="1491"/>
    </w:p>
    <w:bookmarkEnd w:id="1492"/>
    <w:bookmarkEnd w:id="1493"/>
    <w:bookmarkEnd w:id="1494"/>
    <w:bookmarkEnd w:id="1495"/>
    <w:bookmarkEnd w:id="1496"/>
    <w:bookmarkEnd w:id="1497"/>
    <w:bookmarkEnd w:id="1498"/>
    <w:p w14:paraId="33017086">
      <w:pPr>
        <w:spacing w:line="360" w:lineRule="auto"/>
        <w:ind w:firstLine="420" w:firstLineChars="200"/>
        <w:jc w:val="left"/>
        <w:rPr>
          <w:rFonts w:ascii="宋体" w:hAnsi="宋体"/>
          <w:szCs w:val="21"/>
          <w:highlight w:val="none"/>
        </w:rPr>
      </w:pPr>
      <w:r>
        <w:rPr>
          <w:rFonts w:hint="eastAsia" w:ascii="宋体" w:hAnsi="宋体"/>
          <w:szCs w:val="21"/>
          <w:highlight w:val="none"/>
        </w:rPr>
        <w:t>9</w:t>
      </w:r>
      <w:bookmarkStart w:id="1499" w:name="_Toc304295561"/>
      <w:bookmarkStart w:id="1500" w:name="_Toc303539141"/>
      <w:bookmarkStart w:id="1501" w:name="_Toc297216194"/>
      <w:bookmarkStart w:id="1502" w:name="_Toc300934984"/>
      <w:bookmarkStart w:id="1503" w:name="_Toc297123535"/>
      <w:bookmarkStart w:id="1504" w:name="_Toc312677497"/>
      <w:bookmarkStart w:id="1505" w:name="_Toc312678023"/>
      <w:bookmarkStart w:id="1506" w:name="_Toc318581174"/>
      <w:r>
        <w:rPr>
          <w:rFonts w:hint="eastAsia" w:ascii="宋体" w:hAnsi="宋体"/>
          <w:szCs w:val="21"/>
          <w:highlight w:val="none"/>
        </w:rPr>
        <w:t>.1.2 试验设备</w:t>
      </w:r>
    </w:p>
    <w:p w14:paraId="29F63A6A">
      <w:pPr>
        <w:spacing w:line="360" w:lineRule="auto"/>
        <w:ind w:firstLine="420" w:firstLineChars="200"/>
        <w:jc w:val="left"/>
        <w:rPr>
          <w:rFonts w:ascii="宋体" w:hAnsi="宋体"/>
          <w:szCs w:val="21"/>
          <w:highlight w:val="none"/>
        </w:rPr>
      </w:pPr>
      <w:r>
        <w:rPr>
          <w:rFonts w:hint="eastAsia" w:ascii="宋体" w:hAnsi="宋体"/>
          <w:szCs w:val="21"/>
          <w:highlight w:val="none"/>
        </w:rPr>
        <w:t>施工现场需要配置的试验场所：</w:t>
      </w:r>
      <w:bookmarkEnd w:id="1499"/>
      <w:bookmarkEnd w:id="1500"/>
      <w:bookmarkEnd w:id="1501"/>
      <w:bookmarkEnd w:id="1502"/>
      <w:bookmarkEnd w:id="1503"/>
      <w:bookmarkEnd w:id="1504"/>
      <w:bookmarkEnd w:id="1505"/>
      <w:bookmarkStart w:id="1507" w:name="_Toc297123536"/>
      <w:bookmarkStart w:id="1508" w:name="_Toc303539142"/>
      <w:bookmarkStart w:id="1509" w:name="_Toc297216195"/>
      <w:bookmarkStart w:id="1510" w:name="_Toc304295562"/>
      <w:bookmarkStart w:id="1511" w:name="_Toc312677498"/>
      <w:bookmarkStart w:id="1512" w:name="_Toc300934985"/>
      <w:bookmarkStart w:id="1513" w:name="_Toc312678024"/>
      <w:r>
        <w:rPr>
          <w:rFonts w:hint="eastAsia" w:ascii="宋体" w:hAnsi="宋体"/>
          <w:szCs w:val="21"/>
          <w:highlight w:val="none"/>
          <w:u w:val="single"/>
        </w:rPr>
        <w:t>满足工程施工的需要</w:t>
      </w:r>
      <w:r>
        <w:rPr>
          <w:rFonts w:hint="eastAsia" w:ascii="宋体" w:hAnsi="宋体"/>
          <w:szCs w:val="21"/>
          <w:highlight w:val="none"/>
        </w:rPr>
        <w:t>。</w:t>
      </w:r>
    </w:p>
    <w:p w14:paraId="11D97C6C">
      <w:pPr>
        <w:spacing w:line="360" w:lineRule="auto"/>
        <w:ind w:firstLine="420" w:firstLineChars="200"/>
        <w:jc w:val="left"/>
        <w:rPr>
          <w:rFonts w:ascii="宋体" w:hAnsi="宋体"/>
          <w:szCs w:val="21"/>
          <w:highlight w:val="none"/>
        </w:rPr>
      </w:pPr>
      <w:r>
        <w:rPr>
          <w:rFonts w:hint="eastAsia" w:ascii="宋体" w:hAnsi="宋体"/>
          <w:szCs w:val="21"/>
          <w:highlight w:val="none"/>
        </w:rPr>
        <w:t>施工现场需要配备的试验设备：</w:t>
      </w:r>
      <w:r>
        <w:rPr>
          <w:rFonts w:hint="eastAsia" w:ascii="宋体" w:hAnsi="宋体"/>
          <w:szCs w:val="21"/>
          <w:highlight w:val="none"/>
          <w:u w:val="single"/>
        </w:rPr>
        <w:t>满足工程施工的需要</w:t>
      </w:r>
      <w:r>
        <w:rPr>
          <w:rFonts w:hint="eastAsia" w:ascii="宋体" w:hAnsi="宋体"/>
          <w:szCs w:val="21"/>
          <w:highlight w:val="none"/>
        </w:rPr>
        <w:t>。</w:t>
      </w:r>
    </w:p>
    <w:p w14:paraId="5835489C">
      <w:pPr>
        <w:spacing w:line="360" w:lineRule="auto"/>
        <w:ind w:firstLine="420" w:firstLineChars="200"/>
        <w:jc w:val="left"/>
        <w:rPr>
          <w:rFonts w:ascii="宋体" w:hAnsi="宋体"/>
          <w:szCs w:val="21"/>
          <w:highlight w:val="none"/>
        </w:rPr>
      </w:pPr>
      <w:r>
        <w:rPr>
          <w:rFonts w:hint="eastAsia" w:ascii="宋体" w:hAnsi="宋体"/>
          <w:szCs w:val="21"/>
          <w:highlight w:val="none"/>
        </w:rPr>
        <w:t>施工现场需要具备的其他试验条件：</w:t>
      </w:r>
      <w:r>
        <w:rPr>
          <w:rFonts w:hint="eastAsia" w:ascii="宋体" w:hAnsi="宋体"/>
          <w:szCs w:val="21"/>
          <w:highlight w:val="none"/>
          <w:u w:val="single"/>
        </w:rPr>
        <w:t xml:space="preserve">        </w:t>
      </w:r>
      <w:r>
        <w:rPr>
          <w:rFonts w:hint="eastAsia" w:ascii="宋体" w:hAnsi="宋体"/>
          <w:szCs w:val="21"/>
          <w:highlight w:val="none"/>
        </w:rPr>
        <w:t>。</w:t>
      </w:r>
    </w:p>
    <w:p w14:paraId="7B171060">
      <w:pPr>
        <w:pStyle w:val="7"/>
        <w:spacing w:before="0" w:beforeAutospacing="0" w:after="0" w:afterAutospacing="0" w:line="360" w:lineRule="auto"/>
        <w:ind w:firstLine="422" w:firstLineChars="200"/>
        <w:rPr>
          <w:sz w:val="21"/>
          <w:szCs w:val="21"/>
          <w:highlight w:val="none"/>
        </w:rPr>
      </w:pPr>
      <w:bookmarkStart w:id="1514" w:name="_Toc532375633"/>
      <w:bookmarkStart w:id="1515" w:name="_Toc532377369"/>
      <w:r>
        <w:rPr>
          <w:rFonts w:hint="eastAsia"/>
          <w:sz w:val="21"/>
          <w:szCs w:val="21"/>
          <w:highlight w:val="none"/>
        </w:rPr>
        <w:t>9.4 现场工艺试验</w:t>
      </w:r>
      <w:bookmarkEnd w:id="1514"/>
      <w:bookmarkEnd w:id="1515"/>
    </w:p>
    <w:p w14:paraId="4D551027">
      <w:pPr>
        <w:spacing w:line="360" w:lineRule="auto"/>
        <w:ind w:firstLine="420" w:firstLineChars="200"/>
        <w:jc w:val="left"/>
        <w:rPr>
          <w:rFonts w:ascii="宋体" w:hAnsi="宋体"/>
          <w:szCs w:val="21"/>
          <w:highlight w:val="none"/>
        </w:rPr>
      </w:pPr>
      <w:r>
        <w:rPr>
          <w:rFonts w:hint="eastAsia" w:ascii="宋体" w:hAnsi="宋体"/>
          <w:szCs w:val="21"/>
          <w:highlight w:val="none"/>
        </w:rPr>
        <w:t>本款补充9.4.1～9.4.5项：</w:t>
      </w:r>
    </w:p>
    <w:bookmarkEnd w:id="1506"/>
    <w:bookmarkEnd w:id="1507"/>
    <w:bookmarkEnd w:id="1508"/>
    <w:bookmarkEnd w:id="1509"/>
    <w:bookmarkEnd w:id="1510"/>
    <w:bookmarkEnd w:id="1511"/>
    <w:bookmarkEnd w:id="1512"/>
    <w:bookmarkEnd w:id="1513"/>
    <w:p w14:paraId="60930DAB">
      <w:pPr>
        <w:spacing w:line="360" w:lineRule="auto"/>
        <w:ind w:firstLine="420" w:firstLineChars="200"/>
        <w:jc w:val="left"/>
        <w:rPr>
          <w:rFonts w:ascii="宋体" w:hAnsi="宋体"/>
          <w:szCs w:val="21"/>
          <w:highlight w:val="none"/>
        </w:rPr>
      </w:pPr>
      <w:r>
        <w:rPr>
          <w:rFonts w:hint="eastAsia" w:ascii="宋体" w:hAnsi="宋体"/>
          <w:szCs w:val="21"/>
          <w:highlight w:val="none"/>
        </w:rPr>
        <w:t>9.4.1一般检验试验：</w:t>
      </w:r>
    </w:p>
    <w:p w14:paraId="2089FA4B">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0DA1B592">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31293960">
      <w:pPr>
        <w:spacing w:line="360" w:lineRule="auto"/>
        <w:ind w:firstLine="420" w:firstLineChars="200"/>
        <w:jc w:val="left"/>
        <w:rPr>
          <w:rFonts w:ascii="宋体" w:hAnsi="宋体"/>
          <w:szCs w:val="21"/>
          <w:highlight w:val="none"/>
        </w:rPr>
      </w:pPr>
      <w:r>
        <w:rPr>
          <w:rFonts w:hint="eastAsia" w:ascii="宋体" w:hAnsi="宋体"/>
          <w:szCs w:val="21"/>
          <w:highlight w:val="none"/>
        </w:rPr>
        <w:t>9.4.2特殊检验试验：</w:t>
      </w:r>
    </w:p>
    <w:p w14:paraId="678FC0CA">
      <w:pPr>
        <w:spacing w:line="360" w:lineRule="auto"/>
        <w:ind w:firstLine="420" w:firstLineChars="200"/>
        <w:jc w:val="left"/>
        <w:rPr>
          <w:rFonts w:ascii="宋体" w:hAnsi="宋体"/>
          <w:szCs w:val="21"/>
          <w:highlight w:val="none"/>
        </w:rPr>
      </w:pPr>
      <w:r>
        <w:rPr>
          <w:rFonts w:hint="eastAsia" w:ascii="宋体" w:hAnsi="宋体"/>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4D925033">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发包人委托的第三方检测试验机构检测试验的试件所需的材料、取样、送检及相关配合工作由承包人负责完成并承担由此产生的所有相关费用。</w:t>
      </w:r>
    </w:p>
    <w:p w14:paraId="344B088C">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（2）施工措施的检测、试验：因施工措施需要而做的相关检测、试验由承包人负责实施，其费用由承包人承担。</w:t>
      </w:r>
    </w:p>
    <w:p w14:paraId="0D28A283">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9.4.3专项检测：</w:t>
      </w:r>
      <w:r>
        <w:rPr>
          <w:rFonts w:hint="eastAsia" w:ascii="宋体" w:hAnsi="宋体"/>
          <w:szCs w:val="21"/>
          <w:highlight w:val="none"/>
          <w:u w:val="single"/>
        </w:rPr>
        <w:t xml:space="preserve">       </w:t>
      </w:r>
      <w:r>
        <w:rPr>
          <w:rFonts w:hint="eastAsia" w:ascii="宋体" w:hAnsi="宋体"/>
          <w:szCs w:val="21"/>
          <w:highlight w:val="none"/>
        </w:rPr>
        <w:t>。</w:t>
      </w:r>
    </w:p>
    <w:p w14:paraId="1D9B95C8">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9.4.4若因承包人取样、制样、送检及相关配合不及时而导致工程的工期和费用增加，影响的工期不予延长，增加费用由承包人承担。</w:t>
      </w:r>
    </w:p>
    <w:p w14:paraId="51A15F3A">
      <w:pPr>
        <w:tabs>
          <w:tab w:val="left" w:pos="711"/>
          <w:tab w:val="left" w:pos="2580"/>
        </w:tabs>
        <w:spacing w:line="360" w:lineRule="auto"/>
        <w:ind w:firstLine="420" w:firstLineChars="200"/>
        <w:jc w:val="left"/>
        <w:textAlignment w:val="baseline"/>
        <w:rPr>
          <w:rFonts w:ascii="宋体" w:hAnsi="宋体"/>
          <w:szCs w:val="21"/>
          <w:highlight w:val="none"/>
          <w:u w:val="single"/>
        </w:rPr>
      </w:pPr>
      <w:r>
        <w:rPr>
          <w:rFonts w:hint="eastAsia" w:ascii="宋体" w:hAnsi="宋体"/>
          <w:szCs w:val="21"/>
          <w:highlight w:val="none"/>
        </w:rPr>
        <w:t>9.4.5检测试验不合格的项目，其缺陷处理和复测费用由承包人承担，工期不予延长。</w:t>
      </w:r>
    </w:p>
    <w:bookmarkEnd w:id="1352"/>
    <w:bookmarkEnd w:id="1353"/>
    <w:bookmarkEnd w:id="1354"/>
    <w:bookmarkEnd w:id="1355"/>
    <w:bookmarkEnd w:id="1356"/>
    <w:bookmarkEnd w:id="1357"/>
    <w:bookmarkEnd w:id="1358"/>
    <w:bookmarkEnd w:id="1359"/>
    <w:bookmarkEnd w:id="1360"/>
    <w:bookmarkEnd w:id="1361"/>
    <w:bookmarkEnd w:id="1362"/>
    <w:bookmarkEnd w:id="1363"/>
    <w:bookmarkEnd w:id="1364"/>
    <w:p w14:paraId="780CE6F4">
      <w:pPr>
        <w:pStyle w:val="6"/>
        <w:keepNext/>
        <w:keepLines/>
        <w:spacing w:before="156" w:beforeLines="50" w:beforeAutospacing="0" w:after="156" w:afterLines="50" w:afterAutospacing="0" w:line="360" w:lineRule="auto"/>
        <w:jc w:val="both"/>
        <w:rPr>
          <w:bCs w:val="0"/>
          <w:kern w:val="2"/>
          <w:sz w:val="21"/>
          <w:szCs w:val="21"/>
          <w:highlight w:val="none"/>
        </w:rPr>
      </w:pPr>
      <w:bookmarkStart w:id="1516" w:name="_Toc532377370"/>
      <w:bookmarkStart w:id="1517" w:name="_Toc532375634"/>
      <w:bookmarkStart w:id="1518" w:name="_Toc267251488"/>
      <w:bookmarkStart w:id="1519" w:name="_Toc267251489"/>
      <w:bookmarkStart w:id="1520" w:name="_Hlk524298112"/>
      <w:bookmarkStart w:id="1521" w:name="_Toc267251482"/>
      <w:bookmarkStart w:id="1522" w:name="_Toc267251486"/>
      <w:bookmarkStart w:id="1523" w:name="_Toc267251484"/>
      <w:bookmarkStart w:id="1524" w:name="_Toc267251490"/>
      <w:bookmarkStart w:id="1525" w:name="_Toc267251485"/>
      <w:bookmarkStart w:id="1526" w:name="_Toc267251501"/>
      <w:bookmarkStart w:id="1527" w:name="_Toc267251493"/>
      <w:bookmarkStart w:id="1528" w:name="_Toc267251507"/>
      <w:bookmarkStart w:id="1529" w:name="_Toc267251495"/>
      <w:bookmarkStart w:id="1530" w:name="_Toc267251492"/>
      <w:bookmarkStart w:id="1531" w:name="_Toc267251513"/>
      <w:bookmarkStart w:id="1532" w:name="_Toc267251491"/>
      <w:bookmarkStart w:id="1533" w:name="_Toc267251499"/>
      <w:bookmarkStart w:id="1534" w:name="_Toc267251497"/>
      <w:bookmarkStart w:id="1535" w:name="_Toc267251514"/>
      <w:bookmarkStart w:id="1536" w:name="_Toc267251510"/>
      <w:bookmarkStart w:id="1537" w:name="_Toc267251503"/>
      <w:bookmarkStart w:id="1538" w:name="_Toc267251496"/>
      <w:bookmarkStart w:id="1539" w:name="_Toc267251515"/>
      <w:bookmarkStart w:id="1540" w:name="_Toc267251508"/>
      <w:bookmarkStart w:id="1541" w:name="_Toc267251494"/>
      <w:bookmarkStart w:id="1542" w:name="_Toc267251511"/>
      <w:bookmarkStart w:id="1543" w:name="_Toc267251502"/>
      <w:bookmarkStart w:id="1544" w:name="_Toc267251509"/>
      <w:bookmarkStart w:id="1545" w:name="_Toc267251506"/>
      <w:bookmarkStart w:id="1546" w:name="_Toc267251498"/>
      <w:bookmarkStart w:id="1547" w:name="_Toc267251504"/>
      <w:r>
        <w:rPr>
          <w:rFonts w:hint="eastAsia"/>
          <w:kern w:val="2"/>
          <w:sz w:val="21"/>
          <w:szCs w:val="21"/>
          <w:highlight w:val="none"/>
        </w:rPr>
        <w:t>1</w:t>
      </w:r>
      <w:bookmarkStart w:id="1548" w:name="_Toc296944532"/>
      <w:bookmarkStart w:id="1549" w:name="_Toc296891233"/>
      <w:bookmarkStart w:id="1550" w:name="_Toc296891021"/>
      <w:bookmarkStart w:id="1551" w:name="_Toc304295566"/>
      <w:bookmarkStart w:id="1552" w:name="_Toc296503193"/>
      <w:bookmarkStart w:id="1553" w:name="_Toc297120493"/>
      <w:bookmarkStart w:id="1554" w:name="_Toc297048379"/>
      <w:bookmarkStart w:id="1555" w:name="_Toc297216199"/>
      <w:bookmarkStart w:id="1556" w:name="_Toc292559903"/>
      <w:bookmarkStart w:id="1557" w:name="_Toc297123540"/>
      <w:bookmarkStart w:id="1558" w:name="_Toc300934989"/>
      <w:bookmarkStart w:id="1559" w:name="_Toc296347192"/>
      <w:bookmarkStart w:id="1560" w:name="_Toc296346694"/>
      <w:bookmarkStart w:id="1561" w:name="_Toc303539146"/>
      <w:bookmarkStart w:id="1562" w:name="_Toc292559398"/>
      <w:bookmarkStart w:id="1563" w:name="_Toc312678025"/>
      <w:bookmarkStart w:id="1564" w:name="_Toc312677499"/>
      <w:bookmarkStart w:id="1565" w:name="_Toc267251441"/>
      <w:bookmarkStart w:id="1566" w:name="_Toc267251440"/>
      <w:bookmarkStart w:id="1567" w:name="_Toc267251439"/>
      <w:bookmarkStart w:id="1568" w:name="_Toc267251433"/>
      <w:bookmarkStart w:id="1569" w:name="_Toc267251437"/>
      <w:bookmarkStart w:id="1570" w:name="_Toc267251435"/>
      <w:r>
        <w:rPr>
          <w:rFonts w:hint="eastAsia"/>
          <w:kern w:val="2"/>
          <w:sz w:val="21"/>
          <w:szCs w:val="21"/>
          <w:highlight w:val="none"/>
        </w:rPr>
        <w:t>0. 变更</w:t>
      </w:r>
      <w:bookmarkEnd w:id="1516"/>
      <w:bookmarkEnd w:id="151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bookmarkEnd w:id="1563"/>
    <w:bookmarkEnd w:id="1564"/>
    <w:p w14:paraId="466E8D4D">
      <w:pPr>
        <w:pStyle w:val="7"/>
        <w:spacing w:before="0" w:beforeAutospacing="0" w:after="0" w:afterAutospacing="0" w:line="360" w:lineRule="auto"/>
        <w:ind w:firstLine="422" w:firstLineChars="200"/>
        <w:rPr>
          <w:sz w:val="21"/>
          <w:szCs w:val="21"/>
          <w:highlight w:val="none"/>
        </w:rPr>
      </w:pPr>
      <w:bookmarkStart w:id="1571" w:name="_Toc532377371"/>
      <w:bookmarkStart w:id="1572" w:name="_Toc532375635"/>
      <w:r>
        <w:rPr>
          <w:rFonts w:hint="eastAsia"/>
          <w:sz w:val="21"/>
          <w:szCs w:val="21"/>
          <w:highlight w:val="none"/>
        </w:rPr>
        <w:t>1</w:t>
      </w:r>
      <w:bookmarkStart w:id="1573" w:name="_Toc296944533"/>
      <w:bookmarkStart w:id="1574" w:name="_Toc297120494"/>
      <w:bookmarkStart w:id="1575" w:name="_Toc292559904"/>
      <w:bookmarkStart w:id="1576" w:name="_Toc296347193"/>
      <w:bookmarkStart w:id="1577" w:name="_Toc296503194"/>
      <w:bookmarkStart w:id="1578" w:name="_Toc297048380"/>
      <w:bookmarkStart w:id="1579" w:name="_Toc292559399"/>
      <w:bookmarkStart w:id="1580" w:name="_Toc296891234"/>
      <w:bookmarkStart w:id="1581" w:name="_Toc304295567"/>
      <w:bookmarkStart w:id="1582" w:name="_Toc297216200"/>
      <w:bookmarkStart w:id="1583" w:name="_Toc300934990"/>
      <w:bookmarkStart w:id="1584" w:name="_Toc312677500"/>
      <w:bookmarkStart w:id="1585" w:name="_Toc312678026"/>
      <w:bookmarkStart w:id="1586" w:name="_Toc296346695"/>
      <w:bookmarkStart w:id="1587" w:name="_Toc303539147"/>
      <w:bookmarkStart w:id="1588" w:name="_Toc297123541"/>
      <w:bookmarkStart w:id="1589" w:name="_Toc296891022"/>
      <w:r>
        <w:rPr>
          <w:rFonts w:hint="eastAsia"/>
          <w:sz w:val="21"/>
          <w:szCs w:val="21"/>
          <w:highlight w:val="none"/>
        </w:rPr>
        <w:t>0.1变更的范围</w:t>
      </w:r>
      <w:bookmarkEnd w:id="1571"/>
      <w:bookmarkEnd w:id="1572"/>
    </w:p>
    <w:p w14:paraId="4AEFF2E9">
      <w:pPr>
        <w:spacing w:line="360" w:lineRule="auto"/>
        <w:ind w:firstLine="420" w:firstLineChars="200"/>
        <w:jc w:val="left"/>
        <w:rPr>
          <w:rFonts w:ascii="宋体" w:hAnsi="宋体"/>
          <w:szCs w:val="21"/>
          <w:highlight w:val="none"/>
        </w:rPr>
      </w:pPr>
      <w:r>
        <w:rPr>
          <w:rFonts w:hint="eastAsia" w:ascii="宋体" w:hAnsi="宋体"/>
          <w:szCs w:val="21"/>
          <w:highlight w:val="none"/>
        </w:rPr>
        <w:t>关于变更范围的约定：</w:t>
      </w:r>
    </w:p>
    <w:p w14:paraId="44050DA8">
      <w:pPr>
        <w:spacing w:line="360" w:lineRule="auto"/>
        <w:ind w:firstLine="420" w:firstLineChars="200"/>
        <w:jc w:val="left"/>
        <w:rPr>
          <w:rFonts w:ascii="宋体" w:hAnsi="宋体"/>
          <w:szCs w:val="21"/>
          <w:highlight w:val="none"/>
        </w:rPr>
      </w:pPr>
      <w:r>
        <w:rPr>
          <w:rFonts w:hint="eastAsia" w:ascii="宋体" w:hAnsi="宋体"/>
          <w:szCs w:val="21"/>
          <w:highlight w:val="none"/>
        </w:rPr>
        <w:t>（1）增加或减少合同中任何工作，或追加额外的工作；</w:t>
      </w:r>
    </w:p>
    <w:p w14:paraId="1C5EE174">
      <w:pPr>
        <w:spacing w:line="360" w:lineRule="auto"/>
        <w:ind w:firstLine="420" w:firstLineChars="200"/>
        <w:jc w:val="left"/>
        <w:rPr>
          <w:rFonts w:ascii="宋体" w:hAnsi="宋体"/>
          <w:szCs w:val="21"/>
          <w:highlight w:val="none"/>
        </w:rPr>
      </w:pPr>
      <w:r>
        <w:rPr>
          <w:rFonts w:hint="eastAsia" w:ascii="宋体" w:hAnsi="宋体"/>
          <w:szCs w:val="21"/>
          <w:highlight w:val="none"/>
        </w:rPr>
        <w:t>（2）取消合同中任何工作；</w:t>
      </w:r>
    </w:p>
    <w:p w14:paraId="4077D2F1">
      <w:pPr>
        <w:spacing w:line="360" w:lineRule="auto"/>
        <w:ind w:firstLine="420" w:firstLineChars="200"/>
        <w:jc w:val="left"/>
        <w:rPr>
          <w:rFonts w:ascii="宋体" w:hAnsi="宋体"/>
          <w:szCs w:val="21"/>
          <w:highlight w:val="none"/>
        </w:rPr>
      </w:pPr>
      <w:r>
        <w:rPr>
          <w:rFonts w:hint="eastAsia" w:ascii="宋体" w:hAnsi="宋体"/>
          <w:szCs w:val="21"/>
          <w:highlight w:val="none"/>
        </w:rPr>
        <w:t>（3）改变合同中任何工作的质量标准或其他特性；</w:t>
      </w:r>
    </w:p>
    <w:p w14:paraId="369D86C3">
      <w:pPr>
        <w:spacing w:line="360" w:lineRule="auto"/>
        <w:ind w:firstLine="420" w:firstLineChars="200"/>
        <w:jc w:val="left"/>
        <w:rPr>
          <w:rFonts w:ascii="宋体" w:hAnsi="宋体"/>
          <w:szCs w:val="21"/>
          <w:highlight w:val="none"/>
        </w:rPr>
      </w:pPr>
      <w:r>
        <w:rPr>
          <w:rFonts w:hint="eastAsia" w:ascii="宋体" w:hAnsi="宋体"/>
          <w:szCs w:val="21"/>
          <w:highlight w:val="none"/>
        </w:rPr>
        <w:t>（4）改变工程的基线、标高、位置和尺寸；</w:t>
      </w:r>
    </w:p>
    <w:p w14:paraId="5FE9D729">
      <w:pPr>
        <w:spacing w:line="360" w:lineRule="auto"/>
        <w:ind w:firstLine="420" w:firstLineChars="200"/>
        <w:jc w:val="left"/>
        <w:rPr>
          <w:rFonts w:ascii="宋体" w:hAnsi="宋体"/>
          <w:szCs w:val="21"/>
          <w:highlight w:val="none"/>
        </w:rPr>
      </w:pPr>
      <w:r>
        <w:rPr>
          <w:rFonts w:hint="eastAsia" w:ascii="宋体" w:hAnsi="宋体"/>
          <w:szCs w:val="21"/>
          <w:highlight w:val="none"/>
        </w:rPr>
        <w:t>（5）适用于工程的标准和（或）规范变化导致需要对工程进行改变，且该改变导致工期和（或）费用变化的；</w:t>
      </w:r>
    </w:p>
    <w:p w14:paraId="329B0FD0">
      <w:pPr>
        <w:spacing w:line="360" w:lineRule="auto"/>
        <w:ind w:firstLine="420" w:firstLineChars="200"/>
        <w:jc w:val="left"/>
        <w:rPr>
          <w:rFonts w:ascii="宋体" w:hAnsi="宋体"/>
          <w:szCs w:val="21"/>
          <w:highlight w:val="none"/>
        </w:rPr>
      </w:pPr>
      <w:r>
        <w:rPr>
          <w:rFonts w:hint="eastAsia" w:ascii="宋体" w:hAnsi="宋体"/>
          <w:szCs w:val="21"/>
          <w:highlight w:val="none"/>
        </w:rPr>
        <w:t>（6）勘察设计变更；</w:t>
      </w:r>
    </w:p>
    <w:p w14:paraId="257156E7">
      <w:pPr>
        <w:spacing w:line="360" w:lineRule="auto"/>
        <w:ind w:firstLine="420" w:firstLineChars="200"/>
        <w:jc w:val="left"/>
        <w:rPr>
          <w:rFonts w:ascii="宋体" w:hAnsi="宋体"/>
          <w:szCs w:val="21"/>
          <w:highlight w:val="none"/>
        </w:rPr>
      </w:pPr>
      <w:r>
        <w:rPr>
          <w:rFonts w:hint="eastAsia" w:ascii="宋体" w:hAnsi="宋体"/>
          <w:szCs w:val="21"/>
          <w:highlight w:val="none"/>
        </w:rPr>
        <w:t>（7）实施内容变更，包括因设计变更和非设计变更引起的实施地点、投资规模、结构型式、采购数量、服务内容等进行的调整，以及因此导致的合同价格、工期变更；</w:t>
      </w:r>
    </w:p>
    <w:p w14:paraId="4F4BE19C">
      <w:pPr>
        <w:spacing w:line="360" w:lineRule="auto"/>
        <w:ind w:firstLine="420" w:firstLineChars="200"/>
        <w:jc w:val="left"/>
        <w:rPr>
          <w:rFonts w:ascii="宋体" w:hAnsi="宋体"/>
          <w:szCs w:val="21"/>
          <w:highlight w:val="none"/>
        </w:rPr>
      </w:pPr>
      <w:r>
        <w:rPr>
          <w:rFonts w:hint="eastAsia" w:ascii="宋体" w:hAnsi="宋体"/>
          <w:szCs w:val="21"/>
          <w:highlight w:val="none"/>
        </w:rPr>
        <w:t>（8）项目管理人员变更；</w:t>
      </w:r>
    </w:p>
    <w:p w14:paraId="7C58EA2A">
      <w:pPr>
        <w:spacing w:line="360" w:lineRule="auto"/>
        <w:ind w:firstLine="420" w:firstLineChars="200"/>
        <w:jc w:val="left"/>
        <w:rPr>
          <w:rFonts w:ascii="宋体" w:hAnsi="宋体"/>
          <w:szCs w:val="21"/>
          <w:highlight w:val="none"/>
        </w:rPr>
      </w:pPr>
      <w:r>
        <w:rPr>
          <w:rFonts w:hint="eastAsia" w:ascii="宋体" w:hAnsi="宋体"/>
          <w:szCs w:val="21"/>
          <w:highlight w:val="none"/>
        </w:rPr>
        <w:t>（9）因人工、原材料等价格变化导致的合同总价变更；</w:t>
      </w:r>
    </w:p>
    <w:p w14:paraId="75E3C310">
      <w:pPr>
        <w:spacing w:line="360" w:lineRule="auto"/>
        <w:ind w:firstLine="420" w:firstLineChars="200"/>
        <w:jc w:val="left"/>
        <w:rPr>
          <w:rFonts w:ascii="宋体" w:hAnsi="宋体"/>
          <w:szCs w:val="21"/>
          <w:highlight w:val="none"/>
        </w:rPr>
      </w:pPr>
      <w:r>
        <w:rPr>
          <w:rFonts w:hint="eastAsia" w:ascii="宋体" w:hAnsi="宋体"/>
          <w:szCs w:val="21"/>
          <w:highlight w:val="none"/>
        </w:rPr>
        <w:t>（10）非实施内容变化导致的工期变更；</w:t>
      </w:r>
    </w:p>
    <w:p w14:paraId="5A90A4C9">
      <w:pPr>
        <w:spacing w:line="360" w:lineRule="auto"/>
        <w:ind w:firstLine="420" w:firstLineChars="200"/>
        <w:jc w:val="left"/>
        <w:rPr>
          <w:rFonts w:ascii="宋体" w:hAnsi="宋体"/>
          <w:szCs w:val="21"/>
          <w:highlight w:val="none"/>
        </w:rPr>
      </w:pPr>
      <w:r>
        <w:rPr>
          <w:rFonts w:hint="eastAsia" w:ascii="宋体" w:hAnsi="宋体"/>
          <w:szCs w:val="21"/>
          <w:highlight w:val="none"/>
        </w:rPr>
        <w:t>（11）</w:t>
      </w:r>
      <w:r>
        <w:rPr>
          <w:rFonts w:hint="eastAsia" w:ascii="宋体" w:hAnsi="宋体"/>
          <w:szCs w:val="21"/>
          <w:highlight w:val="none"/>
          <w:u w:val="single"/>
        </w:rPr>
        <w:t xml:space="preserve">        </w:t>
      </w:r>
      <w:r>
        <w:rPr>
          <w:rFonts w:hint="eastAsia" w:ascii="宋体" w:hAnsi="宋体"/>
          <w:szCs w:val="21"/>
          <w:highlight w:val="none"/>
        </w:rPr>
        <w:t>。</w:t>
      </w:r>
    </w:p>
    <w:p w14:paraId="519F801E">
      <w:pPr>
        <w:spacing w:line="360" w:lineRule="auto"/>
        <w:ind w:firstLine="420" w:firstLineChars="200"/>
        <w:jc w:val="left"/>
        <w:rPr>
          <w:rFonts w:ascii="宋体" w:hAnsi="宋体"/>
          <w:szCs w:val="21"/>
          <w:highlight w:val="none"/>
        </w:rPr>
      </w:pPr>
      <w:r>
        <w:rPr>
          <w:rFonts w:hint="eastAsia" w:ascii="宋体" w:hAnsi="宋体"/>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31299AF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承包人对其提供的材料、工程设备、施工、无负荷试车、热负荷试车及图纸参数存在的缺陷，自费修正、调整和完善，不属于变更。</w:t>
      </w:r>
    </w:p>
    <w:p w14:paraId="7BBF88C6">
      <w:pPr>
        <w:pStyle w:val="7"/>
        <w:spacing w:before="0" w:beforeAutospacing="0" w:after="0" w:afterAutospacing="0" w:line="360" w:lineRule="auto"/>
        <w:ind w:firstLine="422" w:firstLineChars="200"/>
        <w:rPr>
          <w:sz w:val="21"/>
          <w:szCs w:val="21"/>
          <w:highlight w:val="none"/>
        </w:rPr>
      </w:pPr>
      <w:bookmarkStart w:id="1590" w:name="_Toc532375636"/>
      <w:bookmarkStart w:id="1591" w:name="_Toc351203569"/>
      <w:bookmarkStart w:id="1592" w:name="_Toc532377372"/>
      <w:r>
        <w:rPr>
          <w:rFonts w:hint="eastAsia"/>
          <w:sz w:val="21"/>
          <w:szCs w:val="21"/>
          <w:highlight w:val="none"/>
        </w:rPr>
        <w:t>1</w:t>
      </w:r>
      <w:bookmarkStart w:id="1593" w:name="_Toc337558789"/>
      <w:bookmarkStart w:id="1594" w:name="_Toc296503085"/>
      <w:bookmarkStart w:id="1595" w:name="_Toc296346586"/>
      <w:r>
        <w:rPr>
          <w:rFonts w:hint="eastAsia"/>
          <w:sz w:val="21"/>
          <w:szCs w:val="21"/>
          <w:highlight w:val="none"/>
        </w:rPr>
        <w:t>0.2变更权</w:t>
      </w:r>
      <w:bookmarkEnd w:id="1590"/>
      <w:bookmarkEnd w:id="1591"/>
      <w:bookmarkEnd w:id="1592"/>
    </w:p>
    <w:bookmarkEnd w:id="1593"/>
    <w:bookmarkEnd w:id="1594"/>
    <w:bookmarkEnd w:id="1595"/>
    <w:p w14:paraId="03449FF9">
      <w:pPr>
        <w:spacing w:line="360" w:lineRule="auto"/>
        <w:ind w:firstLine="420" w:firstLineChars="200"/>
        <w:jc w:val="left"/>
        <w:rPr>
          <w:rFonts w:ascii="宋体" w:hAnsi="宋体"/>
          <w:szCs w:val="21"/>
          <w:highlight w:val="none"/>
        </w:rPr>
      </w:pPr>
      <w:r>
        <w:rPr>
          <w:rFonts w:hint="eastAsia" w:ascii="宋体" w:hAnsi="宋体"/>
          <w:szCs w:val="21"/>
          <w:highlight w:val="none"/>
        </w:rPr>
        <w:t>10.2.1发包人和监理人提出变更</w:t>
      </w:r>
    </w:p>
    <w:p w14:paraId="3329D74B">
      <w:pPr>
        <w:spacing w:line="360" w:lineRule="auto"/>
        <w:ind w:firstLine="420" w:firstLineChars="200"/>
        <w:jc w:val="left"/>
        <w:rPr>
          <w:rFonts w:ascii="宋体" w:hAnsi="宋体"/>
          <w:szCs w:val="21"/>
          <w:highlight w:val="none"/>
        </w:rPr>
      </w:pPr>
      <w:r>
        <w:rPr>
          <w:rFonts w:hint="eastAsia" w:ascii="宋体" w:hAnsi="宋体"/>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771076EF">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71E7442">
      <w:pPr>
        <w:spacing w:line="360" w:lineRule="auto"/>
        <w:ind w:firstLine="420" w:firstLineChars="200"/>
        <w:jc w:val="left"/>
        <w:rPr>
          <w:rFonts w:ascii="宋体" w:hAnsi="宋体"/>
          <w:szCs w:val="21"/>
          <w:highlight w:val="none"/>
        </w:rPr>
      </w:pPr>
      <w:r>
        <w:rPr>
          <w:rFonts w:hint="eastAsia" w:ascii="宋体" w:hAnsi="宋体"/>
          <w:szCs w:val="21"/>
          <w:highlight w:val="none"/>
        </w:rPr>
        <w:t>若出现重大设计变更，变更后的内容超出承包人资质或能力范围的，发包人将另行依法招标选择承包单位，无需征得承包人同意。</w:t>
      </w:r>
    </w:p>
    <w:p w14:paraId="0356993F">
      <w:pPr>
        <w:spacing w:line="360" w:lineRule="auto"/>
        <w:ind w:firstLine="420" w:firstLineChars="200"/>
        <w:jc w:val="left"/>
        <w:rPr>
          <w:rFonts w:ascii="宋体" w:hAnsi="宋体"/>
          <w:szCs w:val="21"/>
          <w:highlight w:val="none"/>
        </w:rPr>
      </w:pPr>
      <w:r>
        <w:rPr>
          <w:rFonts w:hint="eastAsia" w:ascii="宋体" w:hAnsi="宋体"/>
          <w:szCs w:val="21"/>
          <w:highlight w:val="none"/>
        </w:rPr>
        <w:t>10.2.2 承包人提出变更建议</w:t>
      </w:r>
    </w:p>
    <w:p w14:paraId="0E0C5BEE">
      <w:pPr>
        <w:spacing w:line="360" w:lineRule="auto"/>
        <w:ind w:firstLine="420" w:firstLineChars="200"/>
        <w:jc w:val="left"/>
        <w:rPr>
          <w:rFonts w:ascii="宋体" w:hAnsi="宋体"/>
          <w:szCs w:val="21"/>
          <w:highlight w:val="none"/>
        </w:rPr>
      </w:pPr>
      <w:r>
        <w:rPr>
          <w:rFonts w:hint="eastAsia" w:ascii="宋体" w:hAnsi="宋体"/>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highlight w:val="none"/>
        </w:rPr>
        <w:t>。</w:t>
      </w:r>
    </w:p>
    <w:p w14:paraId="53184ECD">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rPr>
        <w:t>如果发包人对承包人已实施的施工项目在发出重大设计变更之前要求承包人提出一份建议，那么，承包人应尽快提出：</w:t>
      </w:r>
    </w:p>
    <w:p w14:paraId="3873CF84">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u w:val="single"/>
        </w:rPr>
        <w:t>（1）对所提方案和（或）待做工作及其实施计划的说明</w:t>
      </w:r>
      <w:r>
        <w:rPr>
          <w:rFonts w:hint="eastAsia" w:ascii="宋体" w:hAnsi="宋体"/>
          <w:szCs w:val="21"/>
          <w:highlight w:val="none"/>
        </w:rPr>
        <w:t>；</w:t>
      </w:r>
    </w:p>
    <w:p w14:paraId="5DE0F8B8">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u w:val="single"/>
        </w:rPr>
        <w:t>（2）承包人按照对工程进度计划进行必要修改的建议</w:t>
      </w:r>
      <w:r>
        <w:rPr>
          <w:rFonts w:hint="eastAsia" w:ascii="宋体" w:hAnsi="宋体"/>
          <w:szCs w:val="21"/>
          <w:highlight w:val="none"/>
        </w:rPr>
        <w:t>；</w:t>
      </w:r>
    </w:p>
    <w:p w14:paraId="7A8D6276">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u w:val="single"/>
        </w:rPr>
        <w:t>（3）承包人发生较大返工损失增加费用的建议</w:t>
      </w:r>
      <w:r>
        <w:rPr>
          <w:rFonts w:hint="eastAsia" w:ascii="宋体" w:hAnsi="宋体"/>
          <w:szCs w:val="21"/>
          <w:highlight w:val="none"/>
        </w:rPr>
        <w:t>。</w:t>
      </w:r>
    </w:p>
    <w:p w14:paraId="525E54B8">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发包人在收到上述建议书后，应尽快给予批准、否决或提出意见</w:t>
      </w:r>
      <w:r>
        <w:rPr>
          <w:rFonts w:hint="eastAsia" w:ascii="宋体" w:hAnsi="宋体"/>
          <w:szCs w:val="21"/>
          <w:highlight w:val="none"/>
        </w:rPr>
        <w:t>。</w:t>
      </w:r>
    </w:p>
    <w:p w14:paraId="451EA4FA">
      <w:pPr>
        <w:pStyle w:val="7"/>
        <w:spacing w:before="0" w:beforeAutospacing="0" w:after="0" w:afterAutospacing="0" w:line="360" w:lineRule="auto"/>
        <w:ind w:firstLine="422" w:firstLineChars="200"/>
        <w:rPr>
          <w:sz w:val="21"/>
          <w:szCs w:val="21"/>
          <w:highlight w:val="none"/>
        </w:rPr>
      </w:pPr>
      <w:bookmarkStart w:id="1596" w:name="_Toc532377373"/>
      <w:bookmarkStart w:id="1597" w:name="_Toc532375637"/>
      <w:bookmarkStart w:id="1598" w:name="_Toc351203570"/>
      <w:bookmarkStart w:id="1599" w:name="_Hlk528928195"/>
      <w:r>
        <w:rPr>
          <w:rFonts w:hint="eastAsia"/>
          <w:sz w:val="21"/>
          <w:szCs w:val="21"/>
          <w:highlight w:val="none"/>
        </w:rPr>
        <w:t>1</w:t>
      </w:r>
      <w:bookmarkStart w:id="1600" w:name="_Toc296346587"/>
      <w:bookmarkStart w:id="1601" w:name="_Toc337558790"/>
      <w:bookmarkStart w:id="1602" w:name="_Toc296503086"/>
      <w:r>
        <w:rPr>
          <w:rFonts w:hint="eastAsia"/>
          <w:sz w:val="21"/>
          <w:szCs w:val="21"/>
          <w:highlight w:val="none"/>
        </w:rPr>
        <w:t>0.3变更程序</w:t>
      </w:r>
      <w:bookmarkEnd w:id="1596"/>
      <w:bookmarkEnd w:id="1597"/>
    </w:p>
    <w:bookmarkEnd w:id="1600"/>
    <w:bookmarkEnd w:id="1601"/>
    <w:bookmarkEnd w:id="1602"/>
    <w:p w14:paraId="7FA7E541">
      <w:pPr>
        <w:autoSpaceDE w:val="0"/>
        <w:autoSpaceDN w:val="0"/>
        <w:spacing w:line="360" w:lineRule="auto"/>
        <w:ind w:firstLine="420" w:firstLineChars="200"/>
        <w:jc w:val="left"/>
        <w:rPr>
          <w:rFonts w:ascii="宋体" w:hAnsi="宋体"/>
          <w:szCs w:val="21"/>
          <w:highlight w:val="none"/>
        </w:rPr>
      </w:pPr>
      <w:bookmarkStart w:id="1603" w:name="_Hlk524353972"/>
      <w:r>
        <w:rPr>
          <w:rFonts w:hint="eastAsia" w:ascii="宋体" w:hAnsi="宋体"/>
          <w:szCs w:val="21"/>
          <w:highlight w:val="none"/>
        </w:rPr>
        <w:t>10.3.3 变更执行</w:t>
      </w:r>
    </w:p>
    <w:p w14:paraId="0DF80742">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2F163504">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重大设计变更：需经设计人、监理人和发包人三方签名认可并报相关行业部门审查同意后实施。</w:t>
      </w:r>
    </w:p>
    <w:p w14:paraId="64F98036">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10.3.3 项增加以下内容：</w:t>
      </w:r>
    </w:p>
    <w:p w14:paraId="7B2C07C6">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3B996E89">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项目的勘察设计、实施内容等作较大变更的，应当按照规定的程序报原审批部门审批；变更导致总投资超概的，应当报原投资概算核定部门核定。</w:t>
      </w:r>
    </w:p>
    <w:p w14:paraId="44DBFE69">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004F6638">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因人工、原材料市场价格发生大幅度变化导致的合同总价变更，由发包人与承包人按照合同进行变更，并将变更信息推送给行业主管部门。</w:t>
      </w:r>
    </w:p>
    <w:p w14:paraId="00824155">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345373D7">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项目合同变更后，增加的实施内容达到依法必须招标的规模标准的，增加的部分应当依法通过招标选择承包单位。</w:t>
      </w:r>
    </w:p>
    <w:bookmarkEnd w:id="1598"/>
    <w:bookmarkEnd w:id="1599"/>
    <w:bookmarkEnd w:id="1603"/>
    <w:p w14:paraId="3DDB90D8">
      <w:pPr>
        <w:pStyle w:val="7"/>
        <w:spacing w:before="0" w:beforeAutospacing="0" w:after="0" w:afterAutospacing="0" w:line="360" w:lineRule="auto"/>
        <w:ind w:firstLine="422" w:firstLineChars="200"/>
        <w:rPr>
          <w:sz w:val="21"/>
          <w:szCs w:val="21"/>
          <w:highlight w:val="none"/>
        </w:rPr>
      </w:pPr>
      <w:bookmarkStart w:id="1604" w:name="_Toc532377374"/>
      <w:bookmarkStart w:id="1605" w:name="_Toc532375638"/>
      <w:r>
        <w:rPr>
          <w:rFonts w:hint="eastAsia"/>
          <w:sz w:val="21"/>
          <w:szCs w:val="21"/>
          <w:highlight w:val="none"/>
        </w:rPr>
        <w:t>10.4 变更估价</w:t>
      </w:r>
      <w:bookmarkEnd w:id="1604"/>
      <w:bookmarkEnd w:id="1605"/>
    </w:p>
    <w:p w14:paraId="3515F903">
      <w:pPr>
        <w:spacing w:line="360" w:lineRule="auto"/>
        <w:ind w:firstLine="420" w:firstLineChars="200"/>
        <w:jc w:val="left"/>
        <w:rPr>
          <w:rFonts w:ascii="宋体" w:hAnsi="宋体"/>
          <w:szCs w:val="21"/>
          <w:highlight w:val="none"/>
        </w:rPr>
      </w:pPr>
      <w:bookmarkStart w:id="1606" w:name="_Hlk524296629"/>
      <w:r>
        <w:rPr>
          <w:rFonts w:hint="eastAsia" w:ascii="宋体" w:hAnsi="宋体"/>
          <w:szCs w:val="21"/>
          <w:highlight w:val="none"/>
        </w:rPr>
        <w:t>10.4.1 变更估价原则</w:t>
      </w:r>
    </w:p>
    <w:p w14:paraId="3DF479D8">
      <w:pPr>
        <w:pStyle w:val="2"/>
        <w:spacing w:after="0" w:line="360" w:lineRule="auto"/>
        <w:ind w:firstLine="420" w:firstLineChars="200"/>
        <w:jc w:val="left"/>
        <w:rPr>
          <w:rFonts w:ascii="宋体" w:hAnsi="宋体"/>
          <w:szCs w:val="21"/>
          <w:highlight w:val="none"/>
          <w:u w:val="single"/>
        </w:rPr>
      </w:pPr>
      <w:r>
        <w:rPr>
          <w:rFonts w:hint="eastAsia" w:ascii="宋体" w:hAnsi="宋体"/>
          <w:szCs w:val="21"/>
          <w:highlight w:val="none"/>
        </w:rPr>
        <w:t>当发生工程变更时，工程量按</w:t>
      </w:r>
      <w:r>
        <w:rPr>
          <w:rFonts w:hint="eastAsia" w:ascii="宋体" w:hAnsi="宋体"/>
          <w:szCs w:val="21"/>
          <w:highlight w:val="none"/>
          <w:u w:val="single"/>
        </w:rPr>
        <w:t xml:space="preserve">        </w:t>
      </w:r>
      <w:r>
        <w:rPr>
          <w:rFonts w:hint="eastAsia" w:ascii="宋体" w:hAnsi="宋体"/>
          <w:szCs w:val="21"/>
          <w:highlight w:val="none"/>
        </w:rPr>
        <w:t>规定的计算规则及已标价工程量清单规定的工程量计算规则计量，按以下办法计价：</w:t>
      </w:r>
      <w:bookmarkStart w:id="1607" w:name="_Hlk524770102"/>
    </w:p>
    <w:bookmarkEnd w:id="1607"/>
    <w:p w14:paraId="464785FB">
      <w:pPr>
        <w:spacing w:line="360" w:lineRule="auto"/>
        <w:ind w:firstLine="420" w:firstLineChars="200"/>
        <w:jc w:val="left"/>
        <w:rPr>
          <w:rFonts w:ascii="宋体" w:hAnsi="宋体"/>
          <w:szCs w:val="21"/>
          <w:highlight w:val="none"/>
        </w:rPr>
      </w:pPr>
      <w:r>
        <w:rPr>
          <w:rFonts w:hint="eastAsia" w:ascii="宋体" w:hAnsi="宋体"/>
          <w:szCs w:val="21"/>
          <w:highlight w:val="none"/>
        </w:rPr>
        <w:t>10.4.1.1已标价工程量清单中有相同项目的，按照相同项目单价计算；</w:t>
      </w:r>
    </w:p>
    <w:p w14:paraId="75A83E26">
      <w:pPr>
        <w:spacing w:line="360" w:lineRule="auto"/>
        <w:ind w:firstLine="420" w:firstLineChars="200"/>
        <w:jc w:val="left"/>
        <w:rPr>
          <w:rFonts w:ascii="宋体" w:hAnsi="宋体"/>
          <w:szCs w:val="21"/>
          <w:highlight w:val="none"/>
        </w:rPr>
      </w:pPr>
      <w:r>
        <w:rPr>
          <w:rFonts w:hint="eastAsia" w:ascii="宋体" w:hAnsi="宋体"/>
          <w:szCs w:val="21"/>
          <w:highlight w:val="none"/>
        </w:rPr>
        <w:t>10.4.1.2已标价工程量清单中有类似项目的，参考类似项目单价计算；</w:t>
      </w:r>
    </w:p>
    <w:p w14:paraId="05D660F1">
      <w:pPr>
        <w:spacing w:line="360" w:lineRule="auto"/>
        <w:ind w:firstLine="420" w:firstLineChars="200"/>
        <w:jc w:val="left"/>
        <w:rPr>
          <w:rFonts w:ascii="宋体" w:hAnsi="宋体"/>
          <w:szCs w:val="21"/>
          <w:highlight w:val="none"/>
        </w:rPr>
      </w:pPr>
      <w:r>
        <w:rPr>
          <w:rFonts w:hint="eastAsia" w:ascii="宋体" w:hAnsi="宋体"/>
          <w:szCs w:val="21"/>
          <w:highlight w:val="none"/>
        </w:rPr>
        <w:t>10.4.1.3已标价工程量清单中无相同项目亦无类似项目的，按照以下原则执行：</w:t>
      </w:r>
    </w:p>
    <w:p w14:paraId="39103FFA">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highlight w:val="none"/>
        </w:rPr>
        <w:t>。</w:t>
      </w:r>
    </w:p>
    <w:p w14:paraId="06248DE2">
      <w:pPr>
        <w:spacing w:line="360" w:lineRule="auto"/>
        <w:ind w:firstLine="420" w:firstLineChars="200"/>
        <w:jc w:val="left"/>
        <w:rPr>
          <w:rFonts w:ascii="宋体" w:hAnsi="宋体"/>
          <w:szCs w:val="21"/>
          <w:highlight w:val="none"/>
        </w:rPr>
      </w:pPr>
      <w:r>
        <w:rPr>
          <w:rFonts w:hint="eastAsia" w:ascii="宋体" w:hAnsi="宋体"/>
          <w:szCs w:val="21"/>
          <w:highlight w:val="none"/>
        </w:rPr>
        <w:t>承包人报价浮动率按下列公式计算：承包人报价浮动率=（1-中标价/最高限价）×100%。</w:t>
      </w:r>
    </w:p>
    <w:p w14:paraId="1FED175B">
      <w:pPr>
        <w:spacing w:line="360" w:lineRule="auto"/>
        <w:ind w:firstLine="420" w:firstLineChars="200"/>
        <w:jc w:val="left"/>
        <w:rPr>
          <w:rFonts w:ascii="宋体" w:hAnsi="宋体"/>
          <w:szCs w:val="21"/>
          <w:highlight w:val="none"/>
        </w:rPr>
      </w:pPr>
      <w:r>
        <w:rPr>
          <w:rFonts w:hint="eastAsia" w:ascii="宋体" w:hAnsi="宋体"/>
          <w:szCs w:val="21"/>
          <w:highlight w:val="none"/>
        </w:rPr>
        <w:t>（1）人工单价：按开标当期《重庆工程造价信息》发布的项目所在地的人工单价执行。</w:t>
      </w:r>
    </w:p>
    <w:p w14:paraId="2A0F3C3B">
      <w:pPr>
        <w:spacing w:line="360" w:lineRule="auto"/>
        <w:ind w:firstLine="420" w:firstLineChars="200"/>
        <w:jc w:val="left"/>
        <w:rPr>
          <w:rFonts w:ascii="宋体" w:hAnsi="宋体"/>
          <w:szCs w:val="21"/>
          <w:highlight w:val="none"/>
        </w:rPr>
      </w:pPr>
      <w:bookmarkStart w:id="1608" w:name="_Hlk529023896"/>
      <w:r>
        <w:rPr>
          <w:rFonts w:hint="eastAsia" w:ascii="宋体" w:hAnsi="宋体"/>
          <w:szCs w:val="21"/>
          <w:highlight w:val="none"/>
        </w:rPr>
        <w:t>（2）材料单价：</w:t>
      </w:r>
    </w:p>
    <w:p w14:paraId="40D52646">
      <w:pPr>
        <w:spacing w:line="360" w:lineRule="auto"/>
        <w:ind w:firstLine="420" w:firstLineChars="200"/>
        <w:jc w:val="left"/>
        <w:rPr>
          <w:rFonts w:ascii="宋体" w:hAnsi="宋体"/>
          <w:szCs w:val="21"/>
          <w:highlight w:val="none"/>
        </w:rPr>
      </w:pPr>
      <w:r>
        <w:rPr>
          <w:rFonts w:hint="eastAsia" w:ascii="宋体" w:hAnsi="宋体"/>
          <w:szCs w:val="21"/>
          <w:highlight w:val="none"/>
        </w:rPr>
        <w:t>①按</w:t>
      </w:r>
      <w:bookmarkStart w:id="1609" w:name="_Hlk529023354"/>
      <w:r>
        <w:rPr>
          <w:rFonts w:hint="eastAsia" w:ascii="宋体" w:hAnsi="宋体"/>
          <w:szCs w:val="21"/>
          <w:highlight w:val="none"/>
        </w:rPr>
        <w:t>开标当期《重庆工程造价信息》发布的项目所在地的信息价</w:t>
      </w:r>
      <w:bookmarkEnd w:id="1609"/>
      <w:r>
        <w:rPr>
          <w:rFonts w:hint="eastAsia" w:ascii="宋体" w:hAnsi="宋体"/>
          <w:szCs w:val="21"/>
          <w:highlight w:val="none"/>
        </w:rPr>
        <w:t>执行；</w:t>
      </w:r>
    </w:p>
    <w:p w14:paraId="64A7A121">
      <w:pPr>
        <w:spacing w:line="360" w:lineRule="auto"/>
        <w:ind w:firstLine="420" w:firstLineChars="200"/>
        <w:jc w:val="left"/>
        <w:rPr>
          <w:rFonts w:ascii="宋体" w:hAnsi="宋体"/>
          <w:szCs w:val="21"/>
          <w:highlight w:val="none"/>
        </w:rPr>
      </w:pPr>
      <w:r>
        <w:rPr>
          <w:rFonts w:hint="eastAsia" w:ascii="宋体" w:hAnsi="宋体"/>
          <w:szCs w:val="21"/>
          <w:highlight w:val="none"/>
        </w:rPr>
        <w:t>②开标当期《重庆工程造价信息》中没有的，承包人投标报价中有的，按承包人投标报价中相同材料单价的最低值执行；</w:t>
      </w:r>
    </w:p>
    <w:p w14:paraId="20264D12">
      <w:pPr>
        <w:spacing w:line="360" w:lineRule="auto"/>
        <w:ind w:firstLine="420" w:firstLineChars="200"/>
        <w:jc w:val="left"/>
        <w:rPr>
          <w:rFonts w:ascii="宋体" w:hAnsi="宋体"/>
          <w:szCs w:val="21"/>
          <w:highlight w:val="none"/>
        </w:rPr>
      </w:pPr>
      <w:r>
        <w:rPr>
          <w:rFonts w:hint="eastAsia" w:ascii="宋体" w:hAnsi="宋体"/>
          <w:szCs w:val="21"/>
          <w:highlight w:val="none"/>
        </w:rPr>
        <w:t>③开标当期《重庆工程造价信息》和承包人投标报价没有的，由承包人申报、监理人会同跟审单位、发包人根据市场行情认质核价确定。</w:t>
      </w:r>
    </w:p>
    <w:bookmarkEnd w:id="1608"/>
    <w:p w14:paraId="21E03CFB">
      <w:pPr>
        <w:spacing w:line="360" w:lineRule="auto"/>
        <w:ind w:firstLine="420" w:firstLineChars="200"/>
        <w:jc w:val="left"/>
        <w:rPr>
          <w:rFonts w:ascii="宋体" w:hAnsi="宋体"/>
          <w:szCs w:val="21"/>
          <w:highlight w:val="none"/>
        </w:rPr>
      </w:pPr>
      <w:r>
        <w:rPr>
          <w:rFonts w:hint="eastAsia" w:ascii="宋体" w:hAnsi="宋体"/>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2E21A7A2">
      <w:pPr>
        <w:spacing w:line="360" w:lineRule="auto"/>
        <w:ind w:firstLine="420" w:firstLineChars="200"/>
        <w:jc w:val="left"/>
        <w:rPr>
          <w:rFonts w:ascii="宋体" w:hAnsi="宋体"/>
          <w:szCs w:val="21"/>
          <w:highlight w:val="none"/>
        </w:rPr>
      </w:pPr>
      <w:r>
        <w:rPr>
          <w:rFonts w:hint="eastAsia" w:ascii="宋体" w:hAnsi="宋体"/>
          <w:szCs w:val="21"/>
          <w:highlight w:val="none"/>
        </w:rPr>
        <w:t>（4）规费：按《重庆市建设工程费用定额》（CQFYDE-2018）费用标准进行计算。</w:t>
      </w:r>
    </w:p>
    <w:p w14:paraId="23136C63">
      <w:pPr>
        <w:spacing w:line="360" w:lineRule="auto"/>
        <w:ind w:firstLine="420" w:firstLineChars="200"/>
        <w:jc w:val="left"/>
        <w:rPr>
          <w:rFonts w:ascii="宋体" w:hAnsi="宋体"/>
          <w:szCs w:val="21"/>
          <w:highlight w:val="none"/>
        </w:rPr>
      </w:pPr>
      <w:r>
        <w:rPr>
          <w:rFonts w:hint="eastAsia" w:ascii="宋体" w:hAnsi="宋体"/>
          <w:szCs w:val="21"/>
          <w:highlight w:val="none"/>
        </w:rPr>
        <w:t>（5）税金：包含增值税、城市维护建设税、教育费附加、地方教育附加以及环境保护税。其中增值税按《重庆市建设工程费用定额》（CQFYDE-2018）规定及配套文件执行。</w:t>
      </w:r>
    </w:p>
    <w:p w14:paraId="1268FC63">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251604F7">
      <w:pPr>
        <w:spacing w:line="360" w:lineRule="auto"/>
        <w:ind w:firstLine="420" w:firstLineChars="200"/>
        <w:jc w:val="left"/>
        <w:rPr>
          <w:rFonts w:ascii="宋体" w:hAnsi="宋体"/>
          <w:szCs w:val="21"/>
          <w:highlight w:val="none"/>
        </w:rPr>
      </w:pPr>
      <w:r>
        <w:rPr>
          <w:rFonts w:hint="eastAsia" w:ascii="宋体" w:hAnsi="宋体"/>
          <w:szCs w:val="21"/>
          <w:highlight w:val="none"/>
        </w:rPr>
        <w:t>本款补充10.4.3项：</w:t>
      </w:r>
    </w:p>
    <w:p w14:paraId="0F7238EA">
      <w:pPr>
        <w:spacing w:line="360" w:lineRule="auto"/>
        <w:ind w:firstLine="420" w:firstLineChars="200"/>
        <w:jc w:val="left"/>
        <w:rPr>
          <w:rFonts w:ascii="宋体" w:hAnsi="宋体"/>
          <w:szCs w:val="21"/>
          <w:highlight w:val="none"/>
        </w:rPr>
      </w:pPr>
      <w:r>
        <w:rPr>
          <w:rFonts w:hint="eastAsia" w:ascii="宋体" w:hAnsi="宋体"/>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5C09CE6E">
      <w:pPr>
        <w:spacing w:line="360" w:lineRule="auto"/>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szCs w:val="21"/>
          <w:highlight w:val="none"/>
        </w:rPr>
        <w:t>；</w:t>
      </w:r>
    </w:p>
    <w:p w14:paraId="06D9B90E">
      <w:pPr>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按照单价计算的措施项目费，应按照实际发生变化的措施项目，按照第10.4.1项〔变更估价原则〕约定执行</w:t>
      </w:r>
      <w:r>
        <w:rPr>
          <w:rFonts w:hint="eastAsia" w:ascii="宋体" w:hAnsi="宋体"/>
          <w:szCs w:val="21"/>
          <w:highlight w:val="none"/>
        </w:rPr>
        <w:t>；</w:t>
      </w:r>
    </w:p>
    <w:p w14:paraId="2C7E53E8">
      <w:pPr>
        <w:spacing w:line="360"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按总价（或系数）计算的措施项目费，应按照实际发生变化的措施项目费按承包人报价浮动率下浮后的金额计算</w:t>
      </w:r>
      <w:r>
        <w:rPr>
          <w:rFonts w:hint="eastAsia" w:ascii="宋体" w:hAnsi="宋体"/>
          <w:szCs w:val="21"/>
          <w:highlight w:val="none"/>
        </w:rPr>
        <w:t>；</w:t>
      </w:r>
    </w:p>
    <w:p w14:paraId="1ABFD755">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（4）</w:t>
      </w:r>
      <w:r>
        <w:rPr>
          <w:rFonts w:hint="eastAsia" w:ascii="宋体" w:hAnsi="宋体"/>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szCs w:val="21"/>
          <w:highlight w:val="none"/>
        </w:rPr>
        <w:t>。</w:t>
      </w:r>
    </w:p>
    <w:bookmarkEnd w:id="1606"/>
    <w:p w14:paraId="4DB4A293">
      <w:pPr>
        <w:pStyle w:val="7"/>
        <w:spacing w:before="0" w:beforeAutospacing="0" w:after="0" w:afterAutospacing="0" w:line="360" w:lineRule="auto"/>
        <w:ind w:firstLine="422" w:firstLineChars="200"/>
        <w:rPr>
          <w:sz w:val="21"/>
          <w:szCs w:val="21"/>
          <w:highlight w:val="none"/>
        </w:rPr>
      </w:pPr>
      <w:bookmarkStart w:id="1610" w:name="_Toc532375639"/>
      <w:bookmarkStart w:id="1611" w:name="_Toc532377375"/>
      <w:r>
        <w:rPr>
          <w:rFonts w:hint="eastAsia"/>
          <w:sz w:val="21"/>
          <w:szCs w:val="21"/>
          <w:highlight w:val="none"/>
        </w:rPr>
        <w:t>1</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Start w:id="1612" w:name="_Toc297120497"/>
      <w:bookmarkStart w:id="1613" w:name="_Toc303539150"/>
      <w:bookmarkStart w:id="1614" w:name="_Toc296891025"/>
      <w:bookmarkStart w:id="1615" w:name="_Toc296347196"/>
      <w:bookmarkStart w:id="1616" w:name="_Toc292559402"/>
      <w:bookmarkStart w:id="1617" w:name="_Toc297048383"/>
      <w:bookmarkStart w:id="1618" w:name="_Toc296346698"/>
      <w:bookmarkStart w:id="1619" w:name="_Toc296944536"/>
      <w:bookmarkStart w:id="1620" w:name="_Toc296891237"/>
      <w:bookmarkStart w:id="1621" w:name="_Toc297123544"/>
      <w:bookmarkStart w:id="1622" w:name="_Toc292559907"/>
      <w:bookmarkStart w:id="1623" w:name="_Toc296503197"/>
      <w:bookmarkStart w:id="1624" w:name="_Toc297216203"/>
      <w:bookmarkStart w:id="1625" w:name="_Toc300934993"/>
      <w:bookmarkStart w:id="1626" w:name="_Toc312677503"/>
      <w:bookmarkStart w:id="1627" w:name="_Toc312678029"/>
      <w:bookmarkStart w:id="1628" w:name="_Toc304295570"/>
      <w:r>
        <w:rPr>
          <w:rFonts w:hint="eastAsia"/>
          <w:sz w:val="21"/>
          <w:szCs w:val="21"/>
          <w:highlight w:val="none"/>
        </w:rPr>
        <w:t>0.5承</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Start w:id="1629" w:name="_Toc296891031"/>
      <w:bookmarkStart w:id="1630" w:name="_Toc296503203"/>
      <w:bookmarkStart w:id="1631" w:name="_Toc297120503"/>
      <w:bookmarkStart w:id="1632" w:name="_Toc297048389"/>
      <w:bookmarkStart w:id="1633" w:name="_Toc296347202"/>
      <w:bookmarkStart w:id="1634" w:name="_Toc292559408"/>
      <w:bookmarkStart w:id="1635" w:name="_Toc292559913"/>
      <w:bookmarkStart w:id="1636" w:name="_Toc297216204"/>
      <w:bookmarkStart w:id="1637" w:name="_Toc300934994"/>
      <w:bookmarkStart w:id="1638" w:name="_Toc296346704"/>
      <w:bookmarkStart w:id="1639" w:name="_Toc296891243"/>
      <w:bookmarkStart w:id="1640" w:name="_Toc296944542"/>
      <w:bookmarkStart w:id="1641" w:name="_Toc303539151"/>
      <w:bookmarkStart w:id="1642" w:name="_Toc297123545"/>
      <w:r>
        <w:rPr>
          <w:rFonts w:hint="eastAsia"/>
          <w:sz w:val="21"/>
          <w:szCs w:val="21"/>
          <w:highlight w:val="none"/>
        </w:rPr>
        <w:t>包人的合理化建议</w:t>
      </w:r>
      <w:bookmarkEnd w:id="1610"/>
      <w:bookmarkEnd w:id="1611"/>
    </w:p>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14:paraId="4468AF7D">
      <w:pPr>
        <w:spacing w:line="360" w:lineRule="auto"/>
        <w:ind w:firstLine="420" w:firstLineChars="200"/>
        <w:jc w:val="left"/>
        <w:rPr>
          <w:rFonts w:ascii="宋体" w:hAnsi="宋体"/>
          <w:szCs w:val="21"/>
          <w:highlight w:val="none"/>
        </w:rPr>
      </w:pPr>
      <w:r>
        <w:rPr>
          <w:rFonts w:hint="eastAsia" w:ascii="宋体" w:hAnsi="宋体"/>
          <w:szCs w:val="21"/>
          <w:highlight w:val="none"/>
        </w:rPr>
        <w:t>承包人提出合理化建议的，应向监理人提交合理化建议说明，说明建议的内容和理由，以及实施该建议对合同价格和（或）工期和（或）工程经济效益的影响。</w:t>
      </w:r>
    </w:p>
    <w:p w14:paraId="63FDB13D">
      <w:pPr>
        <w:spacing w:line="360" w:lineRule="auto"/>
        <w:ind w:firstLine="420" w:firstLineChars="200"/>
        <w:jc w:val="left"/>
        <w:rPr>
          <w:rFonts w:ascii="宋体" w:hAnsi="宋体"/>
          <w:szCs w:val="21"/>
          <w:highlight w:val="none"/>
        </w:rPr>
      </w:pPr>
      <w:r>
        <w:rPr>
          <w:rFonts w:hint="eastAsia" w:ascii="宋体" w:hAnsi="宋体"/>
          <w:szCs w:val="21"/>
          <w:highlight w:val="none"/>
        </w:rPr>
        <w:t>监理人审查承包人合理化建议的期限：</w:t>
      </w:r>
      <w:r>
        <w:rPr>
          <w:rFonts w:hint="eastAsia" w:ascii="宋体" w:hAnsi="宋体"/>
          <w:szCs w:val="21"/>
          <w:highlight w:val="none"/>
          <w:u w:val="single"/>
        </w:rPr>
        <w:t>不超过14天</w:t>
      </w:r>
      <w:r>
        <w:rPr>
          <w:rFonts w:hint="eastAsia" w:ascii="宋体" w:hAnsi="宋体"/>
          <w:szCs w:val="21"/>
          <w:highlight w:val="none"/>
        </w:rPr>
        <w:t>。</w:t>
      </w:r>
    </w:p>
    <w:p w14:paraId="2C1BEEAD">
      <w:pPr>
        <w:spacing w:line="360" w:lineRule="auto"/>
        <w:ind w:firstLine="420" w:firstLineChars="200"/>
        <w:jc w:val="left"/>
        <w:rPr>
          <w:rFonts w:ascii="宋体" w:hAnsi="宋体"/>
          <w:szCs w:val="21"/>
          <w:highlight w:val="none"/>
        </w:rPr>
      </w:pPr>
      <w:r>
        <w:rPr>
          <w:rFonts w:hint="eastAsia" w:ascii="宋体" w:hAnsi="宋体"/>
          <w:szCs w:val="21"/>
          <w:highlight w:val="none"/>
        </w:rPr>
        <w:t>发包人审批承包人合理化建议的期限：</w:t>
      </w:r>
      <w:r>
        <w:rPr>
          <w:rFonts w:hint="eastAsia" w:ascii="宋体" w:hAnsi="宋体"/>
          <w:szCs w:val="21"/>
          <w:highlight w:val="none"/>
          <w:u w:val="single"/>
        </w:rPr>
        <w:t>不超过14天</w:t>
      </w:r>
      <w:r>
        <w:rPr>
          <w:rFonts w:hint="eastAsia" w:ascii="宋体" w:hAnsi="宋体"/>
          <w:szCs w:val="21"/>
          <w:highlight w:val="none"/>
        </w:rPr>
        <w:t>。</w:t>
      </w:r>
    </w:p>
    <w:p w14:paraId="51E372C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w:t>
      </w:r>
      <w:bookmarkStart w:id="1643" w:name="_Toc318581175"/>
      <w:bookmarkStart w:id="1644" w:name="_Toc303539152"/>
      <w:bookmarkStart w:id="1645" w:name="_Toc297216205"/>
      <w:bookmarkStart w:id="1646" w:name="_Toc304295571"/>
      <w:bookmarkStart w:id="1647" w:name="_Toc296891032"/>
      <w:bookmarkStart w:id="1648" w:name="_Toc296346705"/>
      <w:bookmarkStart w:id="1649" w:name="_Toc296347203"/>
      <w:bookmarkStart w:id="1650" w:name="_Toc296944543"/>
      <w:bookmarkStart w:id="1651" w:name="_Toc297123546"/>
      <w:bookmarkStart w:id="1652" w:name="_Toc292559409"/>
      <w:bookmarkStart w:id="1653" w:name="_Toc300934995"/>
      <w:bookmarkStart w:id="1654" w:name="_Toc312678030"/>
      <w:bookmarkStart w:id="1655" w:name="_Toc297048390"/>
      <w:bookmarkStart w:id="1656" w:name="_Toc296503204"/>
      <w:bookmarkStart w:id="1657" w:name="_Toc297120504"/>
      <w:bookmarkStart w:id="1658" w:name="_Toc312677504"/>
      <w:bookmarkStart w:id="1659" w:name="_Toc296891244"/>
      <w:bookmarkStart w:id="1660" w:name="_Toc292559914"/>
      <w:r>
        <w:rPr>
          <w:rFonts w:hint="eastAsia" w:ascii="宋体" w:hAnsi="宋体"/>
          <w:szCs w:val="21"/>
          <w:highlight w:val="none"/>
        </w:rPr>
        <w:t>包人提出的合理化建议降低了合同价格或缩短了工期或者提高了工程经济效益的奖励的方法和金额为：</w:t>
      </w:r>
      <w:r>
        <w:rPr>
          <w:rFonts w:hint="eastAsia" w:ascii="宋体" w:hAnsi="宋体"/>
          <w:szCs w:val="21"/>
          <w:highlight w:val="none"/>
          <w:u w:val="single"/>
        </w:rPr>
        <w:t>合理化建议带来经济效益的5～10 %</w:t>
      </w:r>
      <w:r>
        <w:rPr>
          <w:rFonts w:hint="eastAsia" w:ascii="宋体" w:hAnsi="宋体"/>
          <w:szCs w:val="21"/>
          <w:highlight w:val="none"/>
        </w:rPr>
        <w:t>。</w:t>
      </w:r>
    </w:p>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14:paraId="37C3E133">
      <w:pPr>
        <w:pStyle w:val="7"/>
        <w:spacing w:before="0" w:beforeAutospacing="0" w:after="0" w:afterAutospacing="0" w:line="360" w:lineRule="auto"/>
        <w:ind w:firstLine="422" w:firstLineChars="200"/>
        <w:rPr>
          <w:sz w:val="21"/>
          <w:szCs w:val="21"/>
          <w:highlight w:val="none"/>
        </w:rPr>
      </w:pPr>
      <w:bookmarkStart w:id="1661" w:name="_Toc532377376"/>
      <w:bookmarkStart w:id="1662" w:name="_Toc532375640"/>
      <w:r>
        <w:rPr>
          <w:rFonts w:hint="eastAsia"/>
          <w:sz w:val="21"/>
          <w:szCs w:val="21"/>
          <w:highlight w:val="none"/>
        </w:rPr>
        <w:t>1</w:t>
      </w:r>
      <w:bookmarkStart w:id="1663" w:name="_Toc297123548"/>
      <w:bookmarkStart w:id="1664" w:name="_Toc296347198"/>
      <w:bookmarkStart w:id="1665" w:name="_Toc303539154"/>
      <w:bookmarkStart w:id="1666" w:name="_Toc297216207"/>
      <w:bookmarkStart w:id="1667" w:name="_Toc297048385"/>
      <w:bookmarkStart w:id="1668" w:name="_Toc304295574"/>
      <w:bookmarkStart w:id="1669" w:name="_Toc296891027"/>
      <w:bookmarkStart w:id="1670" w:name="_Toc296891239"/>
      <w:bookmarkStart w:id="1671" w:name="_Toc297120499"/>
      <w:bookmarkStart w:id="1672" w:name="_Toc296503199"/>
      <w:bookmarkStart w:id="1673" w:name="_Toc296944538"/>
      <w:bookmarkStart w:id="1674" w:name="_Toc312677507"/>
      <w:bookmarkStart w:id="1675" w:name="_Toc296346700"/>
      <w:bookmarkStart w:id="1676" w:name="_Toc312678033"/>
      <w:bookmarkStart w:id="1677" w:name="_Toc300934997"/>
      <w:bookmarkStart w:id="1678" w:name="_Toc292559404"/>
      <w:bookmarkStart w:id="1679" w:name="_Toc292559909"/>
      <w:r>
        <w:rPr>
          <w:rFonts w:hint="eastAsia"/>
          <w:sz w:val="21"/>
          <w:szCs w:val="21"/>
          <w:highlight w:val="none"/>
        </w:rPr>
        <w:t>0.7 暂估价</w:t>
      </w:r>
      <w:bookmarkEnd w:id="1661"/>
      <w:bookmarkEnd w:id="1662"/>
    </w:p>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14:paraId="028E335F">
      <w:pPr>
        <w:spacing w:line="360" w:lineRule="auto"/>
        <w:ind w:firstLine="420" w:firstLineChars="200"/>
        <w:jc w:val="left"/>
        <w:rPr>
          <w:rFonts w:ascii="宋体" w:hAnsi="宋体"/>
          <w:szCs w:val="21"/>
          <w:highlight w:val="none"/>
        </w:rPr>
      </w:pPr>
      <w:r>
        <w:rPr>
          <w:rFonts w:hint="eastAsia" w:ascii="宋体" w:hAnsi="宋体"/>
          <w:szCs w:val="21"/>
          <w:highlight w:val="none"/>
        </w:rPr>
        <w:t>专业工程暂估价：</w:t>
      </w:r>
      <w:r>
        <w:rPr>
          <w:rFonts w:hint="eastAsia" w:ascii="宋体" w:hAnsi="宋体"/>
          <w:szCs w:val="21"/>
          <w:highlight w:val="none"/>
          <w:u w:val="single"/>
        </w:rPr>
        <w:t xml:space="preserve">        </w:t>
      </w:r>
      <w:r>
        <w:rPr>
          <w:rFonts w:hint="eastAsia" w:ascii="宋体" w:hAnsi="宋体"/>
          <w:szCs w:val="21"/>
          <w:highlight w:val="none"/>
        </w:rPr>
        <w:t>万元。</w:t>
      </w:r>
    </w:p>
    <w:p w14:paraId="75782CD3">
      <w:pPr>
        <w:spacing w:line="360" w:lineRule="auto"/>
        <w:ind w:firstLine="420" w:firstLineChars="200"/>
        <w:jc w:val="left"/>
        <w:rPr>
          <w:rFonts w:ascii="宋体" w:hAnsi="宋体"/>
          <w:szCs w:val="21"/>
          <w:highlight w:val="none"/>
        </w:rPr>
      </w:pPr>
      <w:r>
        <w:rPr>
          <w:rFonts w:hint="eastAsia" w:ascii="宋体" w:hAnsi="宋体"/>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3EB86789">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单项合同暂估价在国家相关法律法规规定必须招标规模以上的，需依法必须招标的，由承包人、发包人共同招标确定。</w:t>
      </w:r>
    </w:p>
    <w:p w14:paraId="5E2E3B04">
      <w:pPr>
        <w:pStyle w:val="7"/>
        <w:spacing w:before="0" w:beforeAutospacing="0" w:after="0" w:afterAutospacing="0" w:line="360" w:lineRule="auto"/>
        <w:ind w:firstLine="422" w:firstLineChars="200"/>
        <w:rPr>
          <w:sz w:val="21"/>
          <w:szCs w:val="21"/>
          <w:highlight w:val="none"/>
        </w:rPr>
      </w:pPr>
      <w:bookmarkStart w:id="1680" w:name="_Toc532377377"/>
      <w:bookmarkStart w:id="1681" w:name="_Toc532375641"/>
      <w:r>
        <w:rPr>
          <w:rFonts w:hint="eastAsia"/>
          <w:sz w:val="21"/>
          <w:szCs w:val="21"/>
          <w:highlight w:val="none"/>
        </w:rPr>
        <w:t>10.8 暂列金额</w:t>
      </w:r>
      <w:bookmarkEnd w:id="1680"/>
      <w:bookmarkEnd w:id="1681"/>
    </w:p>
    <w:p w14:paraId="067C14E2">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合同当事人关于暂列金额使用的约定：</w:t>
      </w:r>
      <w:r>
        <w:rPr>
          <w:rFonts w:hint="eastAsia" w:ascii="宋体" w:hAnsi="宋体"/>
          <w:szCs w:val="21"/>
          <w:highlight w:val="none"/>
          <w:u w:val="single"/>
        </w:rPr>
        <w:t xml:space="preserve">        </w:t>
      </w:r>
      <w:r>
        <w:rPr>
          <w:rFonts w:hint="eastAsia" w:ascii="宋体" w:hAnsi="宋体"/>
          <w:szCs w:val="21"/>
          <w:highlight w:val="none"/>
        </w:rPr>
        <w:t>。</w:t>
      </w:r>
    </w:p>
    <w:p w14:paraId="7339DA1A">
      <w:pPr>
        <w:pStyle w:val="6"/>
        <w:keepNext/>
        <w:keepLines/>
        <w:spacing w:before="156" w:beforeLines="50" w:beforeAutospacing="0" w:after="156" w:afterLines="50" w:afterAutospacing="0" w:line="360" w:lineRule="auto"/>
        <w:jc w:val="both"/>
        <w:rPr>
          <w:bCs w:val="0"/>
          <w:kern w:val="2"/>
          <w:sz w:val="21"/>
          <w:szCs w:val="21"/>
          <w:highlight w:val="none"/>
        </w:rPr>
      </w:pPr>
      <w:bookmarkStart w:id="1682" w:name="_Toc532377378"/>
      <w:bookmarkStart w:id="1683" w:name="_Toc351203643"/>
      <w:bookmarkStart w:id="1684" w:name="_Toc532375642"/>
      <w:r>
        <w:rPr>
          <w:rFonts w:hint="eastAsia"/>
          <w:kern w:val="2"/>
          <w:sz w:val="21"/>
          <w:szCs w:val="21"/>
          <w:highlight w:val="none"/>
        </w:rPr>
        <w:t>11. 价格调整</w:t>
      </w:r>
      <w:bookmarkEnd w:id="1682"/>
      <w:bookmarkEnd w:id="1683"/>
      <w:bookmarkEnd w:id="1684"/>
    </w:p>
    <w:p w14:paraId="4BFF7CFD">
      <w:pPr>
        <w:pStyle w:val="7"/>
        <w:spacing w:before="0" w:beforeAutospacing="0" w:after="0" w:afterAutospacing="0" w:line="360" w:lineRule="auto"/>
        <w:ind w:firstLine="422" w:firstLineChars="200"/>
        <w:rPr>
          <w:sz w:val="21"/>
          <w:szCs w:val="21"/>
          <w:highlight w:val="none"/>
        </w:rPr>
      </w:pPr>
      <w:bookmarkStart w:id="1685" w:name="_Toc532375643"/>
      <w:bookmarkStart w:id="1686" w:name="_Toc532377379"/>
      <w:bookmarkStart w:id="1687" w:name="_Toc292559911"/>
      <w:bookmarkStart w:id="1688" w:name="_Toc296944540"/>
      <w:bookmarkStart w:id="1689" w:name="_Toc292559406"/>
      <w:bookmarkStart w:id="1690" w:name="_Toc300935000"/>
      <w:bookmarkStart w:id="1691" w:name="_Toc297216209"/>
      <w:bookmarkStart w:id="1692" w:name="_Toc303539157"/>
      <w:bookmarkStart w:id="1693" w:name="_Toc297123550"/>
      <w:bookmarkStart w:id="1694" w:name="_Toc296503201"/>
      <w:bookmarkStart w:id="1695" w:name="_Toc296346702"/>
      <w:bookmarkStart w:id="1696" w:name="_Toc296891029"/>
      <w:bookmarkStart w:id="1697" w:name="_Toc312678039"/>
      <w:bookmarkStart w:id="1698" w:name="_Toc304295577"/>
      <w:bookmarkStart w:id="1699" w:name="_Toc297048387"/>
      <w:bookmarkStart w:id="1700" w:name="_Toc296347200"/>
      <w:bookmarkStart w:id="1701" w:name="_Toc296891241"/>
      <w:bookmarkStart w:id="1702" w:name="_Toc297120501"/>
      <w:r>
        <w:rPr>
          <w:rFonts w:hint="eastAsia"/>
          <w:sz w:val="21"/>
          <w:szCs w:val="21"/>
          <w:highlight w:val="none"/>
        </w:rPr>
        <w:t>11.1 市场价格波动引起的调整</w:t>
      </w:r>
      <w:bookmarkEnd w:id="1685"/>
      <w:bookmarkEnd w:id="1686"/>
    </w:p>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14:paraId="259A74D9">
      <w:pPr>
        <w:spacing w:line="360" w:lineRule="auto"/>
        <w:ind w:firstLine="420" w:firstLineChars="200"/>
        <w:jc w:val="left"/>
        <w:rPr>
          <w:rFonts w:ascii="宋体" w:hAnsi="宋体"/>
          <w:szCs w:val="21"/>
          <w:highlight w:val="none"/>
        </w:rPr>
      </w:pPr>
      <w:bookmarkStart w:id="1703" w:name="_Toc466913963"/>
      <w:bookmarkStart w:id="1704" w:name="_Toc467689641"/>
      <w:bookmarkStart w:id="1705" w:name="_Toc466913513"/>
      <w:bookmarkStart w:id="1706" w:name="_Toc466911545"/>
      <w:r>
        <w:rPr>
          <w:rFonts w:hint="eastAsia" w:ascii="宋体" w:hAnsi="宋体"/>
          <w:szCs w:val="21"/>
          <w:highlight w:val="none"/>
        </w:rPr>
        <w:t>市场价格波动是否调整合同价格的约定：</w:t>
      </w:r>
      <w:r>
        <w:rPr>
          <w:rFonts w:hint="eastAsia" w:ascii="宋体" w:hAnsi="宋体"/>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highlight w:val="none"/>
        </w:rPr>
        <w:t>。</w:t>
      </w:r>
    </w:p>
    <w:p w14:paraId="078CDB54">
      <w:pPr>
        <w:spacing w:line="360" w:lineRule="auto"/>
        <w:ind w:firstLine="420" w:firstLineChars="200"/>
        <w:jc w:val="left"/>
        <w:rPr>
          <w:rFonts w:ascii="宋体" w:hAnsi="宋体"/>
          <w:szCs w:val="21"/>
          <w:highlight w:val="none"/>
        </w:rPr>
      </w:pPr>
      <w:r>
        <w:rPr>
          <w:rFonts w:hint="eastAsia" w:ascii="宋体" w:hAnsi="宋体"/>
          <w:szCs w:val="21"/>
          <w:highlight w:val="none"/>
        </w:rPr>
        <w:t>因市场价格波动调整合同价格，采用以下</w:t>
      </w:r>
      <w:r>
        <w:rPr>
          <w:rFonts w:hint="eastAsia" w:ascii="宋体" w:hAnsi="宋体"/>
          <w:szCs w:val="21"/>
          <w:highlight w:val="none"/>
          <w:u w:val="single"/>
        </w:rPr>
        <w:t>第2种</w:t>
      </w:r>
      <w:r>
        <w:rPr>
          <w:rFonts w:hint="eastAsia" w:ascii="宋体" w:hAnsi="宋体"/>
          <w:szCs w:val="21"/>
          <w:highlight w:val="none"/>
        </w:rPr>
        <w:t>方式对合同价格进行调整：</w:t>
      </w:r>
    </w:p>
    <w:p w14:paraId="4D97CD73">
      <w:pPr>
        <w:spacing w:line="360" w:lineRule="auto"/>
        <w:ind w:firstLine="420" w:firstLineChars="200"/>
        <w:jc w:val="left"/>
        <w:rPr>
          <w:rFonts w:ascii="宋体" w:hAnsi="宋体"/>
          <w:szCs w:val="21"/>
          <w:highlight w:val="none"/>
        </w:rPr>
      </w:pPr>
      <w:r>
        <w:rPr>
          <w:rFonts w:hint="eastAsia" w:ascii="宋体" w:hAnsi="宋体"/>
          <w:szCs w:val="21"/>
          <w:highlight w:val="none"/>
        </w:rPr>
        <w:t>第1种方式：采用价格指数进行价格调整。</w:t>
      </w:r>
    </w:p>
    <w:p w14:paraId="531DDEF6">
      <w:pPr>
        <w:spacing w:line="360" w:lineRule="auto"/>
        <w:ind w:firstLine="420" w:firstLineChars="200"/>
        <w:jc w:val="left"/>
        <w:rPr>
          <w:rFonts w:ascii="宋体" w:hAnsi="宋体"/>
          <w:szCs w:val="21"/>
          <w:highlight w:val="none"/>
        </w:rPr>
      </w:pPr>
      <w:r>
        <w:rPr>
          <w:rFonts w:hint="eastAsia" w:ascii="宋体" w:hAnsi="宋体"/>
          <w:szCs w:val="21"/>
          <w:highlight w:val="none"/>
        </w:rPr>
        <w:t>关于各可调因子、定值和变值权重，以及基本价格指数及其来源的约定：</w:t>
      </w:r>
      <w:r>
        <w:rPr>
          <w:rFonts w:hint="eastAsia" w:ascii="宋体" w:hAnsi="宋体"/>
          <w:szCs w:val="21"/>
          <w:highlight w:val="none"/>
          <w:u w:val="single"/>
        </w:rPr>
        <w:t xml:space="preserve"> / </w:t>
      </w:r>
      <w:r>
        <w:rPr>
          <w:rFonts w:hint="eastAsia" w:ascii="宋体" w:hAnsi="宋体"/>
          <w:szCs w:val="21"/>
          <w:highlight w:val="none"/>
        </w:rPr>
        <w:t>；</w:t>
      </w:r>
    </w:p>
    <w:p w14:paraId="1373E955">
      <w:pPr>
        <w:spacing w:line="360" w:lineRule="auto"/>
        <w:ind w:firstLine="420" w:firstLineChars="200"/>
        <w:jc w:val="left"/>
        <w:rPr>
          <w:rFonts w:ascii="宋体" w:hAnsi="宋体"/>
          <w:szCs w:val="21"/>
          <w:highlight w:val="none"/>
        </w:rPr>
      </w:pPr>
      <w:r>
        <w:rPr>
          <w:rFonts w:hint="eastAsia" w:ascii="宋体" w:hAnsi="宋体"/>
          <w:szCs w:val="21"/>
          <w:highlight w:val="none"/>
        </w:rPr>
        <w:t>第2种方式：采用造价信息进行价格调整，调整方法如下：</w:t>
      </w:r>
    </w:p>
    <w:p w14:paraId="02541AD6">
      <w:pPr>
        <w:spacing w:line="360" w:lineRule="auto"/>
        <w:ind w:firstLine="420" w:firstLineChars="200"/>
        <w:jc w:val="left"/>
        <w:rPr>
          <w:rFonts w:ascii="宋体" w:hAnsi="宋体"/>
          <w:szCs w:val="21"/>
          <w:highlight w:val="none"/>
        </w:rPr>
      </w:pPr>
      <w:bookmarkStart w:id="1707" w:name="_Hlk524296901"/>
      <w:r>
        <w:rPr>
          <w:rFonts w:hint="eastAsia" w:ascii="宋体" w:hAnsi="宋体"/>
          <w:szCs w:val="21"/>
          <w:highlight w:val="none"/>
        </w:rPr>
        <w:t>11.1.1人工费价差调整办法</w:t>
      </w:r>
      <w:bookmarkEnd w:id="1703"/>
      <w:bookmarkEnd w:id="1704"/>
      <w:bookmarkEnd w:id="1705"/>
      <w:bookmarkEnd w:id="1706"/>
    </w:p>
    <w:p w14:paraId="3B861475">
      <w:pPr>
        <w:tabs>
          <w:tab w:val="left" w:pos="711"/>
          <w:tab w:val="left" w:pos="2580"/>
        </w:tabs>
        <w:spacing w:line="360" w:lineRule="auto"/>
        <w:ind w:firstLine="420" w:firstLineChars="200"/>
        <w:jc w:val="left"/>
        <w:textAlignment w:val="baseline"/>
        <w:rPr>
          <w:rFonts w:ascii="宋体" w:hAnsi="宋体"/>
          <w:szCs w:val="21"/>
          <w:highlight w:val="none"/>
        </w:rPr>
      </w:pPr>
      <w:bookmarkStart w:id="1708" w:name="_Toc466913966"/>
      <w:bookmarkStart w:id="1709" w:name="_Toc467689644"/>
      <w:bookmarkStart w:id="1710" w:name="_Toc466911548"/>
      <w:bookmarkStart w:id="1711" w:name="_Toc466913516"/>
      <w:r>
        <w:rPr>
          <w:rFonts w:hint="eastAsia" w:ascii="宋体" w:hAnsi="宋体"/>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szCs w:val="21"/>
          <w:highlight w:val="none"/>
          <w:u w:val="single"/>
        </w:rPr>
        <w:t>±5%</w:t>
      </w:r>
      <w:r>
        <w:rPr>
          <w:rFonts w:hint="eastAsia" w:ascii="宋体" w:hAnsi="宋体"/>
          <w:szCs w:val="21"/>
          <w:highlight w:val="none"/>
        </w:rPr>
        <w:t>时，按以下约定调整：</w:t>
      </w:r>
    </w:p>
    <w:p w14:paraId="44F7FEDA">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szCs w:val="21"/>
          <w:highlight w:val="none"/>
          <w:u w:val="single"/>
        </w:rPr>
        <w:t>（1±5%）</w:t>
      </w:r>
      <w:r>
        <w:rPr>
          <w:rFonts w:hint="eastAsia" w:ascii="宋体" w:hAnsi="宋体"/>
          <w:szCs w:val="21"/>
          <w:highlight w:val="none"/>
        </w:rPr>
        <w:t>调差。</w:t>
      </w:r>
    </w:p>
    <w:p w14:paraId="2C29B982">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szCs w:val="21"/>
          <w:highlight w:val="none"/>
          <w:u w:val="single"/>
        </w:rPr>
        <w:t>（1±5%）</w:t>
      </w:r>
      <w:r>
        <w:rPr>
          <w:rFonts w:hint="eastAsia" w:ascii="宋体" w:hAnsi="宋体"/>
          <w:szCs w:val="21"/>
          <w:highlight w:val="none"/>
        </w:rPr>
        <w:t>调差。</w:t>
      </w:r>
    </w:p>
    <w:p w14:paraId="51612425">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24627129">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bookmarkEnd w:id="1707"/>
    <w:p w14:paraId="72A9940B">
      <w:pPr>
        <w:spacing w:line="360" w:lineRule="auto"/>
        <w:ind w:firstLine="420" w:firstLineChars="200"/>
        <w:jc w:val="left"/>
        <w:rPr>
          <w:rFonts w:ascii="宋体" w:hAnsi="宋体"/>
          <w:szCs w:val="21"/>
          <w:highlight w:val="none"/>
        </w:rPr>
      </w:pPr>
      <w:bookmarkStart w:id="1712" w:name="_Hlk524297138"/>
      <w:r>
        <w:rPr>
          <w:rFonts w:hint="eastAsia" w:ascii="宋体" w:hAnsi="宋体"/>
          <w:szCs w:val="21"/>
          <w:highlight w:val="none"/>
        </w:rPr>
        <w:t>11.1.2 材料费价差调整</w:t>
      </w:r>
      <w:bookmarkEnd w:id="1708"/>
      <w:bookmarkEnd w:id="1709"/>
      <w:bookmarkEnd w:id="1710"/>
      <w:bookmarkEnd w:id="1711"/>
      <w:r>
        <w:rPr>
          <w:rFonts w:hint="eastAsia" w:ascii="宋体" w:hAnsi="宋体"/>
          <w:szCs w:val="21"/>
          <w:highlight w:val="none"/>
        </w:rPr>
        <w:t>办法</w:t>
      </w:r>
    </w:p>
    <w:p w14:paraId="5057324F">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可调价差材料：</w:t>
      </w:r>
      <w:r>
        <w:rPr>
          <w:rFonts w:hint="eastAsia" w:ascii="宋体" w:hAnsi="宋体"/>
          <w:szCs w:val="21"/>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szCs w:val="21"/>
          <w:highlight w:val="none"/>
        </w:rPr>
        <w:t>。</w:t>
      </w:r>
    </w:p>
    <w:p w14:paraId="19C48FBC">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可调价差材料的价差调整办法如下：</w:t>
      </w:r>
    </w:p>
    <w:bookmarkEnd w:id="1565"/>
    <w:bookmarkEnd w:id="1566"/>
    <w:bookmarkEnd w:id="1567"/>
    <w:bookmarkEnd w:id="1568"/>
    <w:bookmarkEnd w:id="1569"/>
    <w:bookmarkEnd w:id="1570"/>
    <w:p w14:paraId="2D669DE2">
      <w:pPr>
        <w:tabs>
          <w:tab w:val="left" w:pos="711"/>
          <w:tab w:val="left" w:pos="2580"/>
        </w:tabs>
        <w:spacing w:line="360" w:lineRule="auto"/>
        <w:ind w:firstLine="420" w:firstLineChars="200"/>
        <w:jc w:val="left"/>
        <w:textAlignment w:val="baseline"/>
        <w:rPr>
          <w:rFonts w:ascii="宋体" w:hAnsi="宋体"/>
          <w:szCs w:val="21"/>
          <w:highlight w:val="none"/>
        </w:rPr>
      </w:pPr>
      <w:bookmarkStart w:id="1713" w:name="_Toc296346706"/>
      <w:bookmarkStart w:id="1714" w:name="_Toc296891245"/>
      <w:bookmarkStart w:id="1715" w:name="_Toc292559410"/>
      <w:bookmarkStart w:id="1716" w:name="_Toc292559915"/>
      <w:bookmarkStart w:id="1717" w:name="_Toc297048391"/>
      <w:bookmarkStart w:id="1718" w:name="_Toc296503205"/>
      <w:bookmarkStart w:id="1719" w:name="_Toc296944544"/>
      <w:bookmarkStart w:id="1720" w:name="_Toc296347204"/>
      <w:bookmarkStart w:id="1721" w:name="_Toc297120505"/>
      <w:bookmarkStart w:id="1722" w:name="_Toc296891033"/>
      <w:bookmarkStart w:id="1723" w:name="_Toc351203644"/>
      <w:bookmarkStart w:id="1724" w:name="_Toc297123552"/>
      <w:bookmarkStart w:id="1725" w:name="_Toc297216211"/>
      <w:bookmarkStart w:id="1726" w:name="_Toc304295579"/>
      <w:bookmarkStart w:id="1727" w:name="_Toc312678040"/>
      <w:bookmarkStart w:id="1728" w:name="_Toc303539159"/>
      <w:bookmarkStart w:id="1729" w:name="_Toc300935002"/>
      <w:r>
        <w:rPr>
          <w:rFonts w:hint="eastAsia" w:ascii="宋体" w:hAnsi="宋体"/>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szCs w:val="21"/>
          <w:highlight w:val="none"/>
          <w:u w:val="single"/>
        </w:rPr>
        <w:t>±5%</w:t>
      </w:r>
      <w:r>
        <w:rPr>
          <w:rFonts w:hint="eastAsia" w:ascii="宋体" w:hAnsi="宋体"/>
          <w:szCs w:val="21"/>
          <w:highlight w:val="none"/>
        </w:rPr>
        <w:t>时，按以下约定调整：</w:t>
      </w:r>
    </w:p>
    <w:p w14:paraId="67C3C66B">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szCs w:val="21"/>
          <w:highlight w:val="none"/>
          <w:u w:val="single"/>
        </w:rPr>
        <w:t>（1±5%）</w:t>
      </w:r>
      <w:r>
        <w:rPr>
          <w:rFonts w:hint="eastAsia" w:ascii="宋体" w:hAnsi="宋体"/>
          <w:szCs w:val="21"/>
          <w:highlight w:val="none"/>
        </w:rPr>
        <w:t>调差。</w:t>
      </w:r>
    </w:p>
    <w:p w14:paraId="074B0A4B">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szCs w:val="21"/>
          <w:highlight w:val="none"/>
          <w:u w:val="single"/>
        </w:rPr>
        <w:t>（1±5%）</w:t>
      </w:r>
      <w:r>
        <w:rPr>
          <w:rFonts w:hint="eastAsia" w:ascii="宋体" w:hAnsi="宋体"/>
          <w:szCs w:val="21"/>
          <w:highlight w:val="none"/>
        </w:rPr>
        <w:t>调差。</w:t>
      </w:r>
    </w:p>
    <w:p w14:paraId="099D8071">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74A6AB58">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bookmarkEnd w:id="1712"/>
    <w:p w14:paraId="457CFB56">
      <w:pPr>
        <w:spacing w:line="360" w:lineRule="auto"/>
        <w:ind w:firstLine="420" w:firstLineChars="200"/>
        <w:jc w:val="left"/>
        <w:rPr>
          <w:rFonts w:ascii="宋体" w:hAnsi="宋体"/>
          <w:szCs w:val="21"/>
          <w:highlight w:val="none"/>
        </w:rPr>
      </w:pPr>
      <w:r>
        <w:rPr>
          <w:rFonts w:hint="eastAsia" w:ascii="宋体" w:hAnsi="宋体"/>
          <w:szCs w:val="21"/>
          <w:highlight w:val="none"/>
        </w:rPr>
        <w:t>第3种方式：其他价格调整方式：</w:t>
      </w:r>
      <w:r>
        <w:rPr>
          <w:rFonts w:hint="eastAsia" w:ascii="宋体" w:hAnsi="宋体"/>
          <w:szCs w:val="21"/>
          <w:highlight w:val="none"/>
          <w:u w:val="single"/>
        </w:rPr>
        <w:t xml:space="preserve">        </w:t>
      </w:r>
      <w:r>
        <w:rPr>
          <w:rFonts w:hint="eastAsia" w:ascii="宋体" w:hAnsi="宋体"/>
          <w:szCs w:val="21"/>
          <w:highlight w:val="none"/>
        </w:rPr>
        <w:t>。</w:t>
      </w:r>
    </w:p>
    <w:p w14:paraId="20978A50">
      <w:pPr>
        <w:pStyle w:val="7"/>
        <w:spacing w:before="0" w:beforeAutospacing="0" w:after="0" w:afterAutospacing="0" w:line="360" w:lineRule="auto"/>
        <w:ind w:firstLine="422" w:firstLineChars="200"/>
        <w:rPr>
          <w:sz w:val="21"/>
          <w:szCs w:val="21"/>
          <w:highlight w:val="none"/>
        </w:rPr>
      </w:pPr>
      <w:bookmarkStart w:id="1730" w:name="_Toc532375644"/>
      <w:bookmarkStart w:id="1731" w:name="_Toc532377380"/>
      <w:bookmarkStart w:id="1732" w:name="_Hlk528928232"/>
      <w:r>
        <w:rPr>
          <w:rFonts w:hint="eastAsia"/>
          <w:sz w:val="21"/>
          <w:szCs w:val="21"/>
          <w:highlight w:val="none"/>
        </w:rPr>
        <w:t>11.2 法律变化引起的调整</w:t>
      </w:r>
      <w:bookmarkEnd w:id="1730"/>
      <w:bookmarkEnd w:id="1731"/>
    </w:p>
    <w:p w14:paraId="38599C07">
      <w:pPr>
        <w:spacing w:line="360" w:lineRule="auto"/>
        <w:ind w:firstLine="420" w:firstLineChars="200"/>
        <w:jc w:val="left"/>
        <w:rPr>
          <w:rFonts w:ascii="宋体" w:hAnsi="宋体"/>
          <w:szCs w:val="21"/>
          <w:highlight w:val="none"/>
        </w:rPr>
      </w:pPr>
      <w:r>
        <w:rPr>
          <w:rFonts w:hint="eastAsia" w:ascii="宋体" w:hAnsi="宋体"/>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233B3ECE">
      <w:pPr>
        <w:spacing w:line="360" w:lineRule="auto"/>
        <w:ind w:firstLine="420" w:firstLineChars="200"/>
        <w:jc w:val="left"/>
        <w:rPr>
          <w:rFonts w:ascii="宋体" w:hAnsi="宋体"/>
          <w:szCs w:val="21"/>
          <w:highlight w:val="none"/>
        </w:rPr>
      </w:pPr>
      <w:r>
        <w:rPr>
          <w:rFonts w:hint="eastAsia" w:ascii="宋体" w:hAnsi="宋体"/>
          <w:szCs w:val="21"/>
          <w:highlight w:val="none"/>
        </w:rPr>
        <w:t>本条补充11.3款</w:t>
      </w:r>
    </w:p>
    <w:bookmarkEnd w:id="1732"/>
    <w:p w14:paraId="67F681C3">
      <w:pPr>
        <w:pStyle w:val="7"/>
        <w:spacing w:before="0" w:beforeAutospacing="0" w:after="0" w:afterAutospacing="0" w:line="360" w:lineRule="auto"/>
        <w:ind w:firstLine="422" w:firstLineChars="200"/>
        <w:rPr>
          <w:sz w:val="21"/>
          <w:szCs w:val="21"/>
          <w:highlight w:val="none"/>
        </w:rPr>
      </w:pPr>
      <w:bookmarkStart w:id="1733" w:name="_Toc532377381"/>
      <w:bookmarkStart w:id="1734" w:name="_Toc532375645"/>
      <w:r>
        <w:rPr>
          <w:rFonts w:hint="eastAsia"/>
          <w:sz w:val="21"/>
          <w:szCs w:val="21"/>
          <w:highlight w:val="none"/>
        </w:rPr>
        <w:t>11.3 严重不平衡报价引起的调整</w:t>
      </w:r>
      <w:bookmarkEnd w:id="1733"/>
      <w:bookmarkEnd w:id="1734"/>
    </w:p>
    <w:p w14:paraId="68513959">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highlight w:val="none"/>
        </w:rPr>
        <w:t>。</w:t>
      </w:r>
    </w:p>
    <w:p w14:paraId="18D54EFB">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highlight w:val="none"/>
        </w:rPr>
        <w:t>。</w:t>
      </w:r>
    </w:p>
    <w:p w14:paraId="0E2D7D50">
      <w:pPr>
        <w:pStyle w:val="6"/>
        <w:keepNext/>
        <w:keepLines/>
        <w:spacing w:before="156" w:beforeLines="50" w:beforeAutospacing="0" w:after="156" w:afterLines="50" w:afterAutospacing="0" w:line="360" w:lineRule="auto"/>
        <w:jc w:val="both"/>
        <w:rPr>
          <w:bCs w:val="0"/>
          <w:kern w:val="2"/>
          <w:sz w:val="21"/>
          <w:szCs w:val="21"/>
          <w:highlight w:val="none"/>
        </w:rPr>
      </w:pPr>
      <w:bookmarkStart w:id="1735" w:name="_Toc532377382"/>
      <w:bookmarkStart w:id="1736" w:name="_Toc532375646"/>
      <w:r>
        <w:rPr>
          <w:rFonts w:hint="eastAsia"/>
          <w:kern w:val="2"/>
          <w:sz w:val="21"/>
          <w:szCs w:val="21"/>
          <w:highlight w:val="none"/>
        </w:rPr>
        <w:t xml:space="preserve">12. </w:t>
      </w:r>
      <w:bookmarkEnd w:id="1713"/>
      <w:bookmarkEnd w:id="1714"/>
      <w:bookmarkEnd w:id="1715"/>
      <w:bookmarkEnd w:id="1716"/>
      <w:bookmarkEnd w:id="1717"/>
      <w:bookmarkEnd w:id="1718"/>
      <w:bookmarkEnd w:id="1719"/>
      <w:bookmarkEnd w:id="1720"/>
      <w:bookmarkEnd w:id="1721"/>
      <w:bookmarkEnd w:id="1722"/>
      <w:r>
        <w:rPr>
          <w:rFonts w:hint="eastAsia"/>
          <w:kern w:val="2"/>
          <w:sz w:val="21"/>
          <w:szCs w:val="21"/>
          <w:highlight w:val="none"/>
        </w:rPr>
        <w:t>合同价格、计量与支付</w:t>
      </w:r>
      <w:bookmarkEnd w:id="1723"/>
      <w:bookmarkEnd w:id="1735"/>
      <w:bookmarkEnd w:id="1736"/>
    </w:p>
    <w:bookmarkEnd w:id="1724"/>
    <w:bookmarkEnd w:id="1725"/>
    <w:bookmarkEnd w:id="1726"/>
    <w:bookmarkEnd w:id="1727"/>
    <w:bookmarkEnd w:id="1728"/>
    <w:bookmarkEnd w:id="1729"/>
    <w:p w14:paraId="69F3256D">
      <w:pPr>
        <w:pStyle w:val="7"/>
        <w:spacing w:before="0" w:beforeAutospacing="0" w:after="0" w:afterAutospacing="0" w:line="360" w:lineRule="auto"/>
        <w:ind w:firstLine="422" w:firstLineChars="200"/>
        <w:rPr>
          <w:sz w:val="21"/>
          <w:szCs w:val="21"/>
          <w:highlight w:val="none"/>
        </w:rPr>
      </w:pPr>
      <w:bookmarkStart w:id="1737" w:name="_Toc292559411"/>
      <w:bookmarkStart w:id="1738" w:name="_Toc292559916"/>
      <w:bookmarkStart w:id="1739" w:name="_Toc267251461"/>
      <w:bookmarkStart w:id="1740" w:name="_Toc296891246"/>
      <w:bookmarkStart w:id="1741" w:name="_Toc297048392"/>
      <w:bookmarkStart w:id="1742" w:name="_Toc296347205"/>
      <w:bookmarkStart w:id="1743" w:name="_Toc296346707"/>
      <w:bookmarkStart w:id="1744" w:name="_Toc296891034"/>
      <w:bookmarkStart w:id="1745" w:name="_Toc296503206"/>
      <w:bookmarkStart w:id="1746" w:name="_Toc297120506"/>
      <w:bookmarkStart w:id="1747" w:name="_Toc296944545"/>
      <w:bookmarkStart w:id="1748" w:name="_Toc532375647"/>
      <w:bookmarkStart w:id="1749" w:name="_Toc532377383"/>
      <w:bookmarkStart w:id="1750" w:name="_Toc304295580"/>
      <w:bookmarkStart w:id="1751" w:name="_Toc297216212"/>
      <w:bookmarkStart w:id="1752" w:name="_Toc303539160"/>
      <w:bookmarkStart w:id="1753" w:name="_Toc300935003"/>
      <w:bookmarkStart w:id="1754" w:name="_Toc312678041"/>
      <w:bookmarkStart w:id="1755" w:name="_Toc297123553"/>
      <w:r>
        <w:rPr>
          <w:rFonts w:hint="eastAsia"/>
          <w:sz w:val="21"/>
          <w:szCs w:val="21"/>
          <w:highlight w:val="none"/>
        </w:rPr>
        <w:t>12.1 合</w:t>
      </w:r>
      <w:bookmarkEnd w:id="1737"/>
      <w:bookmarkEnd w:id="1738"/>
      <w:bookmarkEnd w:id="1739"/>
      <w:r>
        <w:rPr>
          <w:rFonts w:hint="eastAsia"/>
          <w:sz w:val="21"/>
          <w:szCs w:val="21"/>
          <w:highlight w:val="none"/>
        </w:rPr>
        <w:t>同价</w:t>
      </w:r>
      <w:bookmarkEnd w:id="1740"/>
      <w:bookmarkEnd w:id="1741"/>
      <w:bookmarkEnd w:id="1742"/>
      <w:bookmarkEnd w:id="1743"/>
      <w:bookmarkEnd w:id="1744"/>
      <w:bookmarkEnd w:id="1745"/>
      <w:bookmarkEnd w:id="1746"/>
      <w:bookmarkEnd w:id="1747"/>
      <w:r>
        <w:rPr>
          <w:rFonts w:hint="eastAsia"/>
          <w:sz w:val="21"/>
          <w:szCs w:val="21"/>
          <w:highlight w:val="none"/>
        </w:rPr>
        <w:t>格形式</w:t>
      </w:r>
      <w:bookmarkEnd w:id="1748"/>
      <w:bookmarkEnd w:id="1749"/>
    </w:p>
    <w:bookmarkEnd w:id="1750"/>
    <w:bookmarkEnd w:id="1751"/>
    <w:bookmarkEnd w:id="1752"/>
    <w:bookmarkEnd w:id="1753"/>
    <w:bookmarkEnd w:id="1754"/>
    <w:bookmarkEnd w:id="1755"/>
    <w:p w14:paraId="2AD5AD4A">
      <w:pPr>
        <w:spacing w:line="360" w:lineRule="auto"/>
        <w:ind w:firstLine="420" w:firstLineChars="200"/>
        <w:jc w:val="left"/>
        <w:rPr>
          <w:rFonts w:ascii="宋体" w:hAnsi="宋体"/>
          <w:szCs w:val="21"/>
          <w:highlight w:val="none"/>
        </w:rPr>
      </w:pPr>
      <w:r>
        <w:rPr>
          <w:rFonts w:hint="eastAsia" w:ascii="宋体" w:hAnsi="宋体"/>
          <w:szCs w:val="21"/>
          <w:highlight w:val="none"/>
        </w:rPr>
        <w:t>1、单价合同。</w:t>
      </w:r>
    </w:p>
    <w:p w14:paraId="790D010D">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综合单价包含的风险范围：</w:t>
      </w:r>
      <w:r>
        <w:rPr>
          <w:rFonts w:hint="eastAsia" w:ascii="宋体" w:hAnsi="宋体"/>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56" w:name="_Hlk528508096"/>
      <w:r>
        <w:rPr>
          <w:rFonts w:hint="eastAsia" w:ascii="宋体" w:hAnsi="宋体"/>
          <w:szCs w:val="21"/>
          <w:highlight w:val="none"/>
          <w:u w:val="single"/>
        </w:rPr>
        <w:t>第11.1款〔市场价格波动引起的调整〕约定范围内的市场价格波动风险、政策性文件规定的各项应有费用、</w:t>
      </w:r>
      <w:bookmarkEnd w:id="1756"/>
      <w:r>
        <w:rPr>
          <w:rFonts w:hint="eastAsia" w:ascii="宋体" w:hAnsi="宋体"/>
          <w:szCs w:val="21"/>
          <w:highlight w:val="none"/>
          <w:u w:val="single"/>
        </w:rPr>
        <w:t>招标文件和合同明示或暗示的应由承包人承担的所有责任、义务和风险等所需的费用</w:t>
      </w:r>
      <w:r>
        <w:rPr>
          <w:rFonts w:hint="eastAsia" w:ascii="宋体" w:hAnsi="宋体"/>
          <w:szCs w:val="21"/>
          <w:highlight w:val="none"/>
        </w:rPr>
        <w:t>。</w:t>
      </w:r>
    </w:p>
    <w:p w14:paraId="4FB79C22">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风险费用的计算方法：</w:t>
      </w:r>
      <w:r>
        <w:rPr>
          <w:rFonts w:hint="eastAsia" w:ascii="宋体" w:hAnsi="宋体"/>
          <w:szCs w:val="21"/>
          <w:highlight w:val="none"/>
          <w:u w:val="single"/>
        </w:rPr>
        <w:t>由承包人自行考虑并计入签约合同价格中，包干使用</w:t>
      </w:r>
      <w:r>
        <w:rPr>
          <w:rFonts w:hint="eastAsia" w:ascii="宋体" w:hAnsi="宋体"/>
          <w:szCs w:val="21"/>
          <w:highlight w:val="none"/>
        </w:rPr>
        <w:t>。</w:t>
      </w:r>
    </w:p>
    <w:p w14:paraId="1339377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风险范围以外合同价格的调整方法：</w:t>
      </w:r>
      <w:r>
        <w:rPr>
          <w:rFonts w:hint="eastAsia" w:ascii="宋体" w:hAnsi="宋体"/>
          <w:szCs w:val="21"/>
          <w:highlight w:val="none"/>
          <w:u w:val="single"/>
        </w:rPr>
        <w:t>按照合同相关条款约定执行</w:t>
      </w:r>
      <w:r>
        <w:rPr>
          <w:rFonts w:hint="eastAsia" w:ascii="宋体" w:hAnsi="宋体"/>
          <w:szCs w:val="21"/>
          <w:highlight w:val="none"/>
        </w:rPr>
        <w:t>。</w:t>
      </w:r>
    </w:p>
    <w:p w14:paraId="1E7ADAE9">
      <w:pPr>
        <w:spacing w:line="360" w:lineRule="auto"/>
        <w:ind w:firstLine="420" w:firstLineChars="200"/>
        <w:jc w:val="left"/>
        <w:rPr>
          <w:rFonts w:ascii="宋体" w:hAnsi="宋体"/>
          <w:szCs w:val="21"/>
          <w:highlight w:val="none"/>
        </w:rPr>
      </w:pPr>
      <w:r>
        <w:rPr>
          <w:rFonts w:hint="eastAsia" w:ascii="宋体" w:hAnsi="宋体"/>
          <w:szCs w:val="21"/>
          <w:highlight w:val="none"/>
        </w:rPr>
        <w:t>2、总价合同。</w:t>
      </w:r>
    </w:p>
    <w:p w14:paraId="7998D5DA">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总价包含的风险范围：</w:t>
      </w:r>
      <w:r>
        <w:rPr>
          <w:rFonts w:hint="eastAsia" w:ascii="宋体" w:hAnsi="宋体"/>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highlight w:val="none"/>
        </w:rPr>
        <w:t>。</w:t>
      </w:r>
    </w:p>
    <w:p w14:paraId="18D359E4">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风险费用的计算方法：</w:t>
      </w:r>
      <w:r>
        <w:rPr>
          <w:rFonts w:hint="eastAsia" w:ascii="宋体" w:hAnsi="宋体"/>
          <w:szCs w:val="21"/>
          <w:highlight w:val="none"/>
          <w:u w:val="single"/>
        </w:rPr>
        <w:t>由承包人自行考虑并计入签约合同价格中，包干使用</w:t>
      </w:r>
      <w:r>
        <w:rPr>
          <w:rFonts w:hint="eastAsia" w:ascii="宋体" w:hAnsi="宋体"/>
          <w:szCs w:val="21"/>
          <w:highlight w:val="none"/>
        </w:rPr>
        <w:t>。</w:t>
      </w:r>
    </w:p>
    <w:p w14:paraId="3CA7DDFC">
      <w:pPr>
        <w:spacing w:line="360" w:lineRule="auto"/>
        <w:ind w:firstLine="420" w:firstLineChars="200"/>
        <w:jc w:val="left"/>
        <w:rPr>
          <w:rFonts w:ascii="宋体" w:hAnsi="宋体"/>
          <w:szCs w:val="21"/>
          <w:highlight w:val="none"/>
        </w:rPr>
      </w:pPr>
      <w:r>
        <w:rPr>
          <w:rFonts w:hint="eastAsia" w:ascii="宋体" w:hAnsi="宋体"/>
          <w:szCs w:val="21"/>
          <w:highlight w:val="none"/>
        </w:rPr>
        <w:t>风险范围以外合同价格的调整方法：</w:t>
      </w:r>
      <w:r>
        <w:rPr>
          <w:rFonts w:hint="eastAsia" w:ascii="宋体" w:hAnsi="宋体"/>
          <w:szCs w:val="21"/>
          <w:highlight w:val="none"/>
          <w:u w:val="single"/>
        </w:rPr>
        <w:t>按照合同相关条款约定执行</w:t>
      </w:r>
      <w:r>
        <w:rPr>
          <w:rFonts w:hint="eastAsia" w:ascii="宋体" w:hAnsi="宋体"/>
          <w:szCs w:val="21"/>
          <w:highlight w:val="none"/>
        </w:rPr>
        <w:t>。</w:t>
      </w:r>
    </w:p>
    <w:p w14:paraId="70BDED6C">
      <w:pPr>
        <w:spacing w:line="360" w:lineRule="auto"/>
        <w:ind w:firstLine="420" w:firstLineChars="200"/>
        <w:jc w:val="left"/>
        <w:rPr>
          <w:rFonts w:ascii="宋体" w:hAnsi="宋体"/>
          <w:szCs w:val="21"/>
          <w:highlight w:val="none"/>
        </w:rPr>
      </w:pPr>
      <w:r>
        <w:rPr>
          <w:rFonts w:hint="eastAsia" w:ascii="宋体" w:hAnsi="宋体"/>
          <w:szCs w:val="21"/>
          <w:highlight w:val="none"/>
        </w:rPr>
        <w:t>3、其他价格方式：</w:t>
      </w:r>
      <w:r>
        <w:rPr>
          <w:rFonts w:hint="eastAsia" w:ascii="宋体" w:hAnsi="宋体"/>
          <w:szCs w:val="21"/>
          <w:highlight w:val="none"/>
          <w:u w:val="single"/>
        </w:rPr>
        <w:t>不采用</w:t>
      </w:r>
      <w:r>
        <w:rPr>
          <w:rFonts w:hint="eastAsia" w:ascii="宋体" w:hAnsi="宋体"/>
          <w:szCs w:val="21"/>
          <w:highlight w:val="none"/>
        </w:rPr>
        <w:t>。</w:t>
      </w:r>
    </w:p>
    <w:p w14:paraId="6C3DD713">
      <w:pPr>
        <w:pStyle w:val="7"/>
        <w:spacing w:before="0" w:beforeAutospacing="0" w:after="0" w:afterAutospacing="0" w:line="360" w:lineRule="auto"/>
        <w:ind w:firstLine="422" w:firstLineChars="200"/>
        <w:rPr>
          <w:sz w:val="21"/>
          <w:szCs w:val="21"/>
          <w:highlight w:val="none"/>
        </w:rPr>
      </w:pPr>
      <w:bookmarkStart w:id="1757" w:name="_Toc532375648"/>
      <w:bookmarkStart w:id="1758" w:name="_Toc532377384"/>
      <w:bookmarkStart w:id="1759" w:name="_Toc312678042"/>
      <w:bookmarkStart w:id="1760" w:name="_Toc304295581"/>
      <w:bookmarkStart w:id="1761" w:name="_Toc300935004"/>
      <w:bookmarkStart w:id="1762" w:name="_Toc303539161"/>
      <w:bookmarkStart w:id="1763" w:name="_Toc297216213"/>
      <w:bookmarkStart w:id="1764" w:name="_Toc297123554"/>
      <w:bookmarkStart w:id="1765" w:name="_Toc296944546"/>
      <w:bookmarkStart w:id="1766" w:name="_Toc297048393"/>
      <w:bookmarkStart w:id="1767" w:name="_Toc296503207"/>
      <w:bookmarkStart w:id="1768" w:name="_Toc296891035"/>
      <w:bookmarkStart w:id="1769" w:name="_Toc296346708"/>
      <w:bookmarkStart w:id="1770" w:name="_Toc296891247"/>
      <w:bookmarkStart w:id="1771" w:name="_Toc297120507"/>
      <w:bookmarkStart w:id="1772" w:name="_Toc296347206"/>
      <w:bookmarkStart w:id="1773" w:name="_Toc292559412"/>
      <w:bookmarkStart w:id="1774" w:name="_Toc292559917"/>
      <w:r>
        <w:rPr>
          <w:rFonts w:hint="eastAsia"/>
          <w:sz w:val="21"/>
          <w:szCs w:val="21"/>
          <w:highlight w:val="none"/>
        </w:rPr>
        <w:t>12.2 预付款</w:t>
      </w:r>
      <w:bookmarkEnd w:id="1757"/>
      <w:bookmarkEnd w:id="1758"/>
    </w:p>
    <w:bookmarkEnd w:id="1759"/>
    <w:bookmarkEnd w:id="1760"/>
    <w:bookmarkEnd w:id="1761"/>
    <w:bookmarkEnd w:id="1762"/>
    <w:bookmarkEnd w:id="1763"/>
    <w:bookmarkEnd w:id="1764"/>
    <w:p w14:paraId="78F0F4F6">
      <w:pPr>
        <w:spacing w:line="360" w:lineRule="auto"/>
        <w:ind w:firstLine="420" w:firstLineChars="200"/>
        <w:jc w:val="left"/>
        <w:rPr>
          <w:rFonts w:ascii="宋体" w:hAnsi="宋体"/>
          <w:szCs w:val="21"/>
          <w:highlight w:val="none"/>
        </w:rPr>
      </w:pPr>
      <w:r>
        <w:rPr>
          <w:rFonts w:hint="eastAsia" w:ascii="宋体" w:hAnsi="宋体"/>
          <w:szCs w:val="21"/>
          <w:highlight w:val="none"/>
        </w:rPr>
        <w:t>12.2.1 预付款的支付</w:t>
      </w:r>
    </w:p>
    <w:p w14:paraId="1267059E">
      <w:pPr>
        <w:spacing w:line="360" w:lineRule="auto"/>
        <w:ind w:firstLine="420" w:firstLineChars="200"/>
        <w:jc w:val="left"/>
        <w:rPr>
          <w:rFonts w:ascii="宋体" w:hAnsi="宋体"/>
          <w:szCs w:val="21"/>
          <w:highlight w:val="none"/>
        </w:rPr>
      </w:pPr>
      <w:r>
        <w:rPr>
          <w:rFonts w:hint="eastAsia" w:ascii="宋体" w:hAnsi="宋体"/>
          <w:szCs w:val="21"/>
          <w:highlight w:val="none"/>
        </w:rPr>
        <w:t>预付款支付比例或金额：</w:t>
      </w:r>
      <w:r>
        <w:rPr>
          <w:rFonts w:hint="eastAsia" w:ascii="宋体" w:hAnsi="宋体"/>
          <w:szCs w:val="21"/>
          <w:highlight w:val="none"/>
          <w:u w:val="single"/>
        </w:rPr>
        <w:t xml:space="preserve">    （10%~30%）</w:t>
      </w:r>
      <w:r>
        <w:rPr>
          <w:rFonts w:hint="eastAsia" w:ascii="宋体" w:hAnsi="宋体"/>
          <w:szCs w:val="21"/>
          <w:highlight w:val="none"/>
        </w:rPr>
        <w:t>。</w:t>
      </w:r>
    </w:p>
    <w:p w14:paraId="4B7C7EF9">
      <w:pPr>
        <w:spacing w:line="360" w:lineRule="auto"/>
        <w:ind w:firstLine="420" w:firstLineChars="200"/>
        <w:jc w:val="left"/>
        <w:rPr>
          <w:rFonts w:ascii="宋体" w:hAnsi="宋体"/>
          <w:szCs w:val="21"/>
          <w:highlight w:val="none"/>
        </w:rPr>
      </w:pPr>
      <w:r>
        <w:rPr>
          <w:rFonts w:hint="eastAsia" w:ascii="宋体" w:hAnsi="宋体"/>
          <w:szCs w:val="21"/>
          <w:highlight w:val="none"/>
        </w:rPr>
        <w:t>预付款支付期限：</w:t>
      </w:r>
      <w:r>
        <w:rPr>
          <w:rFonts w:hint="eastAsia" w:ascii="宋体" w:hAnsi="宋体"/>
          <w:szCs w:val="21"/>
          <w:highlight w:val="none"/>
          <w:u w:val="single"/>
        </w:rPr>
        <w:t>预付款担保提交后7天内</w:t>
      </w:r>
      <w:r>
        <w:rPr>
          <w:rFonts w:hint="eastAsia" w:ascii="宋体" w:hAnsi="宋体"/>
          <w:szCs w:val="21"/>
          <w:highlight w:val="none"/>
        </w:rPr>
        <w:t>。</w:t>
      </w:r>
    </w:p>
    <w:p w14:paraId="02B36326">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预付款扣回的方式：</w:t>
      </w:r>
      <w:r>
        <w:rPr>
          <w:rFonts w:hint="eastAsia" w:ascii="宋体" w:hAnsi="宋体"/>
          <w:szCs w:val="21"/>
          <w:highlight w:val="none"/>
          <w:u w:val="single"/>
        </w:rPr>
        <w:t>承包人完成累计金额达到签约合同金额的30%后，在合同约定的每个计量周期按审核确认的进度款金额的    （为预付款支付比例的2倍）进行扣回，直至预付款全额扣回</w:t>
      </w:r>
      <w:r>
        <w:rPr>
          <w:rFonts w:hint="eastAsia" w:ascii="宋体" w:hAnsi="宋体"/>
          <w:szCs w:val="21"/>
          <w:highlight w:val="none"/>
        </w:rPr>
        <w:t>。</w:t>
      </w:r>
    </w:p>
    <w:p w14:paraId="2E38556A">
      <w:pPr>
        <w:spacing w:line="360" w:lineRule="auto"/>
        <w:ind w:firstLine="420" w:firstLineChars="200"/>
        <w:jc w:val="left"/>
        <w:rPr>
          <w:rFonts w:ascii="宋体" w:hAnsi="宋体"/>
          <w:szCs w:val="21"/>
          <w:highlight w:val="none"/>
        </w:rPr>
      </w:pPr>
      <w:r>
        <w:rPr>
          <w:rFonts w:hint="eastAsia" w:ascii="宋体" w:hAnsi="宋体"/>
          <w:szCs w:val="21"/>
          <w:highlight w:val="none"/>
        </w:rPr>
        <w:t>12.2.2 预付款担保</w:t>
      </w:r>
    </w:p>
    <w:p w14:paraId="5856458C">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承包人提交预付款担保的期限：</w:t>
      </w:r>
      <w:r>
        <w:rPr>
          <w:rFonts w:hint="eastAsia" w:ascii="宋体" w:hAnsi="宋体"/>
          <w:szCs w:val="21"/>
          <w:highlight w:val="none"/>
          <w:u w:val="single"/>
        </w:rPr>
        <w:t>合同签订后7天内</w:t>
      </w:r>
      <w:r>
        <w:rPr>
          <w:rFonts w:hint="eastAsia" w:ascii="宋体" w:hAnsi="宋体"/>
          <w:szCs w:val="21"/>
          <w:highlight w:val="none"/>
        </w:rPr>
        <w:t>。</w:t>
      </w:r>
    </w:p>
    <w:p w14:paraId="74641E9F">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预付款担保的形式为：</w:t>
      </w:r>
      <w:r>
        <w:rPr>
          <w:rFonts w:hint="eastAsia" w:ascii="宋体" w:hAnsi="宋体"/>
          <w:szCs w:val="21"/>
          <w:highlight w:val="none"/>
          <w:u w:val="single"/>
        </w:rPr>
        <w:t>银行保函</w:t>
      </w:r>
      <w:r>
        <w:rPr>
          <w:rFonts w:hint="eastAsia" w:ascii="宋体" w:hAnsi="宋体"/>
          <w:szCs w:val="21"/>
          <w:highlight w:val="none"/>
        </w:rPr>
        <w:t>。</w:t>
      </w:r>
    </w:p>
    <w:p w14:paraId="4BC274CB">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预付款担保的金额：</w:t>
      </w:r>
      <w:r>
        <w:rPr>
          <w:rFonts w:hint="eastAsia" w:ascii="宋体" w:hAnsi="宋体"/>
          <w:szCs w:val="21"/>
          <w:highlight w:val="none"/>
          <w:u w:val="single"/>
        </w:rPr>
        <w:t xml:space="preserve">        </w:t>
      </w:r>
      <w:r>
        <w:rPr>
          <w:rFonts w:hint="eastAsia" w:ascii="宋体" w:hAnsi="宋体"/>
          <w:szCs w:val="21"/>
          <w:highlight w:val="none"/>
        </w:rPr>
        <w:t>。</w:t>
      </w:r>
    </w:p>
    <w:p w14:paraId="642B1042">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预付款担保的时间：</w:t>
      </w:r>
      <w:r>
        <w:rPr>
          <w:rFonts w:hint="eastAsia" w:ascii="宋体" w:hAnsi="宋体"/>
          <w:szCs w:val="21"/>
          <w:highlight w:val="none"/>
          <w:u w:val="single"/>
        </w:rPr>
        <w:t xml:space="preserve">        </w:t>
      </w:r>
      <w:r>
        <w:rPr>
          <w:rFonts w:hint="eastAsia" w:ascii="宋体" w:hAnsi="宋体"/>
          <w:szCs w:val="21"/>
          <w:highlight w:val="none"/>
        </w:rPr>
        <w:t>。</w:t>
      </w:r>
    </w:p>
    <w:p w14:paraId="624F5489">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预付款担保的期限：</w:t>
      </w:r>
      <w:r>
        <w:rPr>
          <w:rFonts w:hint="eastAsia" w:ascii="宋体" w:hAnsi="宋体"/>
          <w:szCs w:val="21"/>
          <w:highlight w:val="none"/>
          <w:u w:val="single"/>
        </w:rPr>
        <w:t xml:space="preserve">        </w:t>
      </w:r>
      <w:r>
        <w:rPr>
          <w:rFonts w:hint="eastAsia" w:ascii="宋体" w:hAnsi="宋体"/>
          <w:szCs w:val="21"/>
          <w:highlight w:val="none"/>
        </w:rPr>
        <w:t>。</w:t>
      </w:r>
    </w:p>
    <w:p w14:paraId="7D7033EA">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预付款担保的退还时间：</w:t>
      </w:r>
      <w:r>
        <w:rPr>
          <w:rFonts w:hint="eastAsia" w:ascii="宋体" w:hAnsi="宋体"/>
          <w:szCs w:val="21"/>
          <w:highlight w:val="none"/>
          <w:u w:val="single"/>
        </w:rPr>
        <w:t xml:space="preserve">        </w:t>
      </w:r>
      <w:r>
        <w:rPr>
          <w:rFonts w:hint="eastAsia" w:ascii="宋体" w:hAnsi="宋体"/>
          <w:szCs w:val="21"/>
          <w:highlight w:val="none"/>
        </w:rPr>
        <w:t>。</w:t>
      </w:r>
    </w:p>
    <w:bookmarkEnd w:id="1765"/>
    <w:bookmarkEnd w:id="1766"/>
    <w:bookmarkEnd w:id="1767"/>
    <w:bookmarkEnd w:id="1768"/>
    <w:bookmarkEnd w:id="1769"/>
    <w:bookmarkEnd w:id="1770"/>
    <w:bookmarkEnd w:id="1771"/>
    <w:bookmarkEnd w:id="1772"/>
    <w:bookmarkEnd w:id="1773"/>
    <w:bookmarkEnd w:id="1774"/>
    <w:p w14:paraId="6C24C26E">
      <w:pPr>
        <w:pStyle w:val="7"/>
        <w:spacing w:before="0" w:beforeAutospacing="0" w:after="0" w:afterAutospacing="0" w:line="360" w:lineRule="auto"/>
        <w:ind w:firstLine="422" w:firstLineChars="200"/>
        <w:rPr>
          <w:sz w:val="21"/>
          <w:szCs w:val="21"/>
          <w:highlight w:val="none"/>
        </w:rPr>
      </w:pPr>
      <w:bookmarkStart w:id="1775" w:name="_Toc532375649"/>
      <w:bookmarkStart w:id="1776" w:name="_Toc532377385"/>
      <w:r>
        <w:rPr>
          <w:rFonts w:hint="eastAsia"/>
          <w:sz w:val="21"/>
          <w:szCs w:val="21"/>
          <w:highlight w:val="none"/>
        </w:rPr>
        <w:t>12.3 计量</w:t>
      </w:r>
      <w:bookmarkEnd w:id="1775"/>
      <w:bookmarkEnd w:id="1776"/>
    </w:p>
    <w:p w14:paraId="20304310">
      <w:pPr>
        <w:spacing w:line="360" w:lineRule="auto"/>
        <w:ind w:firstLine="420" w:firstLineChars="200"/>
        <w:jc w:val="left"/>
        <w:rPr>
          <w:rFonts w:ascii="宋体" w:hAnsi="宋体"/>
          <w:szCs w:val="21"/>
          <w:highlight w:val="none"/>
        </w:rPr>
      </w:pPr>
      <w:bookmarkStart w:id="1777" w:name="_Hlk528928260"/>
      <w:r>
        <w:rPr>
          <w:rFonts w:hint="eastAsia" w:ascii="宋体" w:hAnsi="宋体"/>
          <w:szCs w:val="21"/>
          <w:highlight w:val="none"/>
        </w:rPr>
        <w:t>12.3.1 计量原则</w:t>
      </w:r>
    </w:p>
    <w:p w14:paraId="2D326133">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77"/>
    <w:p w14:paraId="3B6A2E6F">
      <w:pPr>
        <w:spacing w:line="360" w:lineRule="auto"/>
        <w:ind w:firstLine="420" w:firstLineChars="200"/>
        <w:jc w:val="left"/>
        <w:rPr>
          <w:rFonts w:ascii="宋体" w:hAnsi="宋体"/>
          <w:szCs w:val="21"/>
          <w:highlight w:val="none"/>
        </w:rPr>
      </w:pPr>
      <w:r>
        <w:rPr>
          <w:rFonts w:hint="eastAsia" w:ascii="宋体" w:hAnsi="宋体"/>
          <w:szCs w:val="21"/>
          <w:highlight w:val="none"/>
        </w:rPr>
        <w:t>12.3.2 计量周期</w:t>
      </w:r>
    </w:p>
    <w:p w14:paraId="3B8D8A23">
      <w:pPr>
        <w:spacing w:line="360" w:lineRule="auto"/>
        <w:ind w:firstLine="420" w:firstLineChars="200"/>
        <w:jc w:val="left"/>
        <w:rPr>
          <w:rFonts w:ascii="宋体" w:hAnsi="宋体"/>
          <w:szCs w:val="21"/>
          <w:highlight w:val="none"/>
        </w:rPr>
      </w:pPr>
      <w:r>
        <w:rPr>
          <w:rFonts w:hint="eastAsia" w:ascii="宋体" w:hAnsi="宋体"/>
          <w:szCs w:val="21"/>
          <w:highlight w:val="none"/>
        </w:rPr>
        <w:t>关于计量周期的约定：</w:t>
      </w:r>
      <w:r>
        <w:rPr>
          <w:rFonts w:hint="eastAsia" w:ascii="宋体" w:hAnsi="宋体"/>
          <w:szCs w:val="21"/>
          <w:highlight w:val="none"/>
          <w:u w:val="single"/>
        </w:rPr>
        <w:t>按月计量根据具体项目实际情况可以按月、按进度、按节点等形式计量，按进度、按节点计量的参考按月计量原则执行）</w:t>
      </w:r>
      <w:r>
        <w:rPr>
          <w:rFonts w:hint="eastAsia" w:ascii="宋体" w:hAnsi="宋体"/>
          <w:szCs w:val="21"/>
          <w:highlight w:val="none"/>
        </w:rPr>
        <w:t>。</w:t>
      </w:r>
    </w:p>
    <w:p w14:paraId="2B6AC019">
      <w:pPr>
        <w:spacing w:line="360" w:lineRule="auto"/>
        <w:ind w:firstLine="420" w:firstLineChars="200"/>
        <w:jc w:val="left"/>
        <w:rPr>
          <w:rFonts w:ascii="宋体" w:hAnsi="宋体"/>
          <w:szCs w:val="21"/>
          <w:highlight w:val="none"/>
        </w:rPr>
      </w:pPr>
      <w:r>
        <w:rPr>
          <w:rFonts w:hint="eastAsia" w:ascii="宋体" w:hAnsi="宋体"/>
          <w:szCs w:val="21"/>
          <w:highlight w:val="none"/>
        </w:rPr>
        <w:t>12.3.3 单价合同的计量</w:t>
      </w:r>
    </w:p>
    <w:p w14:paraId="43603533">
      <w:pPr>
        <w:spacing w:line="360" w:lineRule="auto"/>
        <w:ind w:firstLine="420" w:firstLineChars="200"/>
        <w:jc w:val="left"/>
        <w:rPr>
          <w:rFonts w:ascii="宋体" w:hAnsi="宋体"/>
          <w:szCs w:val="21"/>
          <w:highlight w:val="none"/>
        </w:rPr>
      </w:pPr>
      <w:r>
        <w:rPr>
          <w:rFonts w:hint="eastAsia" w:ascii="宋体" w:hAnsi="宋体"/>
          <w:szCs w:val="21"/>
          <w:highlight w:val="none"/>
        </w:rPr>
        <w:t>关于单价合同计量的约定：</w:t>
      </w:r>
    </w:p>
    <w:p w14:paraId="4D72EEF3">
      <w:pPr>
        <w:spacing w:line="360" w:lineRule="auto"/>
        <w:ind w:firstLine="420" w:firstLineChars="200"/>
        <w:jc w:val="left"/>
        <w:rPr>
          <w:rFonts w:ascii="宋体" w:hAnsi="宋体"/>
          <w:szCs w:val="21"/>
          <w:highlight w:val="none"/>
          <w:u w:val="single"/>
        </w:rPr>
      </w:pPr>
      <w:bookmarkStart w:id="1778" w:name="_Hlk528926162"/>
      <w:r>
        <w:rPr>
          <w:rFonts w:hint="eastAsia" w:ascii="宋体" w:hAnsi="宋体"/>
          <w:szCs w:val="21"/>
          <w:highlight w:val="none"/>
          <w:u w:val="single"/>
        </w:rPr>
        <w:t>（1）承包人应于当月  日前向监理人报送上月已完成的工程量，并附进度付款申请单、已完成工程量报表和其他有关资料</w:t>
      </w:r>
      <w:r>
        <w:rPr>
          <w:rFonts w:hint="eastAsia" w:ascii="宋体" w:hAnsi="宋体"/>
          <w:szCs w:val="21"/>
          <w:highlight w:val="none"/>
        </w:rPr>
        <w:t>。</w:t>
      </w:r>
    </w:p>
    <w:bookmarkEnd w:id="1778"/>
    <w:p w14:paraId="2824431F">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highlight w:val="none"/>
        </w:rPr>
        <w:t>。</w:t>
      </w:r>
    </w:p>
    <w:p w14:paraId="001AE9F1">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highlight w:val="none"/>
        </w:rPr>
        <w:t>。</w:t>
      </w:r>
    </w:p>
    <w:p w14:paraId="1DD4FB68">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highlight w:val="none"/>
        </w:rPr>
        <w:t>。</w:t>
      </w:r>
    </w:p>
    <w:p w14:paraId="53847C62">
      <w:pPr>
        <w:spacing w:line="360" w:lineRule="auto"/>
        <w:ind w:firstLine="420" w:firstLineChars="200"/>
        <w:jc w:val="left"/>
        <w:rPr>
          <w:rFonts w:ascii="宋体" w:hAnsi="宋体"/>
          <w:szCs w:val="21"/>
          <w:highlight w:val="none"/>
        </w:rPr>
      </w:pPr>
      <w:r>
        <w:rPr>
          <w:rFonts w:hint="eastAsia" w:ascii="宋体" w:hAnsi="宋体"/>
          <w:szCs w:val="21"/>
          <w:highlight w:val="none"/>
        </w:rPr>
        <w:t>12.3.4 总价合同的计量</w:t>
      </w:r>
    </w:p>
    <w:p w14:paraId="24C668C4">
      <w:pPr>
        <w:spacing w:line="360" w:lineRule="auto"/>
        <w:ind w:firstLine="420" w:firstLineChars="200"/>
        <w:jc w:val="left"/>
        <w:rPr>
          <w:rFonts w:ascii="宋体" w:hAnsi="宋体"/>
          <w:szCs w:val="21"/>
          <w:highlight w:val="none"/>
        </w:rPr>
      </w:pPr>
      <w:r>
        <w:rPr>
          <w:rFonts w:hint="eastAsia" w:ascii="宋体" w:hAnsi="宋体"/>
          <w:szCs w:val="21"/>
          <w:highlight w:val="none"/>
        </w:rPr>
        <w:t>关于总价合同计量的约定：</w:t>
      </w:r>
      <w:r>
        <w:rPr>
          <w:rFonts w:hint="eastAsia" w:ascii="宋体" w:hAnsi="宋体"/>
          <w:szCs w:val="21"/>
          <w:highlight w:val="none"/>
          <w:u w:val="single"/>
        </w:rPr>
        <w:t>按形象进度比例支付</w:t>
      </w:r>
      <w:r>
        <w:rPr>
          <w:rFonts w:hint="eastAsia" w:ascii="宋体" w:hAnsi="宋体"/>
          <w:szCs w:val="21"/>
          <w:highlight w:val="none"/>
        </w:rPr>
        <w:t>。</w:t>
      </w:r>
    </w:p>
    <w:p w14:paraId="5171E7FC">
      <w:pPr>
        <w:spacing w:line="360" w:lineRule="auto"/>
        <w:ind w:firstLine="420" w:firstLineChars="200"/>
        <w:jc w:val="left"/>
        <w:rPr>
          <w:rFonts w:ascii="宋体" w:hAnsi="宋体"/>
          <w:szCs w:val="21"/>
          <w:highlight w:val="none"/>
        </w:rPr>
      </w:pPr>
      <w:r>
        <w:rPr>
          <w:rFonts w:hint="eastAsia" w:ascii="宋体" w:hAnsi="宋体"/>
          <w:szCs w:val="21"/>
          <w:highlight w:val="none"/>
        </w:rPr>
        <w:t>12.3.5总价合同采用支付分解表计量支付的，是否适用第12.3.4项〔总价合同的计量〕约定进行计量：</w:t>
      </w:r>
      <w:r>
        <w:rPr>
          <w:rFonts w:hint="eastAsia" w:ascii="宋体" w:hAnsi="宋体"/>
          <w:szCs w:val="21"/>
          <w:highlight w:val="none"/>
          <w:u w:val="single"/>
        </w:rPr>
        <w:t>适用</w:t>
      </w:r>
      <w:r>
        <w:rPr>
          <w:rFonts w:hint="eastAsia" w:ascii="宋体" w:hAnsi="宋体"/>
          <w:szCs w:val="21"/>
          <w:highlight w:val="none"/>
        </w:rPr>
        <w:t>。</w:t>
      </w:r>
    </w:p>
    <w:p w14:paraId="5423CA94">
      <w:pPr>
        <w:spacing w:line="360" w:lineRule="auto"/>
        <w:ind w:firstLine="420" w:firstLineChars="200"/>
        <w:jc w:val="left"/>
        <w:rPr>
          <w:rFonts w:ascii="宋体" w:hAnsi="宋体"/>
          <w:szCs w:val="21"/>
          <w:highlight w:val="none"/>
        </w:rPr>
      </w:pPr>
      <w:r>
        <w:rPr>
          <w:rFonts w:hint="eastAsia" w:ascii="宋体" w:hAnsi="宋体"/>
          <w:szCs w:val="21"/>
          <w:highlight w:val="none"/>
        </w:rPr>
        <w:t>12.3.6 其他价格形式合同的计量</w:t>
      </w:r>
    </w:p>
    <w:p w14:paraId="6A29BC72">
      <w:pPr>
        <w:spacing w:line="360" w:lineRule="auto"/>
        <w:ind w:firstLine="420" w:firstLineChars="200"/>
        <w:jc w:val="left"/>
        <w:rPr>
          <w:rFonts w:ascii="宋体" w:hAnsi="宋体"/>
          <w:szCs w:val="21"/>
          <w:highlight w:val="none"/>
        </w:rPr>
      </w:pPr>
      <w:r>
        <w:rPr>
          <w:rFonts w:hint="eastAsia" w:ascii="宋体" w:hAnsi="宋体"/>
          <w:szCs w:val="21"/>
          <w:highlight w:val="none"/>
        </w:rPr>
        <w:t>其他价格形式的计量方式和程序：</w:t>
      </w:r>
      <w:r>
        <w:rPr>
          <w:rFonts w:hint="eastAsia" w:ascii="宋体" w:hAnsi="宋体"/>
          <w:szCs w:val="21"/>
          <w:highlight w:val="none"/>
          <w:u w:val="single"/>
        </w:rPr>
        <w:t>不采用</w:t>
      </w:r>
      <w:r>
        <w:rPr>
          <w:rFonts w:hint="eastAsia" w:ascii="宋体" w:hAnsi="宋体"/>
          <w:szCs w:val="21"/>
          <w:highlight w:val="none"/>
        </w:rPr>
        <w:t>。</w:t>
      </w:r>
    </w:p>
    <w:p w14:paraId="36642BB1">
      <w:pPr>
        <w:pStyle w:val="7"/>
        <w:spacing w:before="0" w:beforeAutospacing="0" w:after="0" w:afterAutospacing="0" w:line="360" w:lineRule="auto"/>
        <w:ind w:firstLine="422" w:firstLineChars="200"/>
        <w:rPr>
          <w:sz w:val="21"/>
          <w:szCs w:val="21"/>
          <w:highlight w:val="none"/>
        </w:rPr>
      </w:pPr>
      <w:bookmarkStart w:id="1779" w:name="_Toc532375650"/>
      <w:bookmarkStart w:id="1780" w:name="_Toc532377386"/>
      <w:bookmarkStart w:id="1781" w:name="_Hlk528928289"/>
      <w:r>
        <w:rPr>
          <w:rFonts w:hint="eastAsia"/>
          <w:sz w:val="21"/>
          <w:szCs w:val="21"/>
          <w:highlight w:val="none"/>
        </w:rPr>
        <w:t>12.4 工程进度款支付</w:t>
      </w:r>
      <w:bookmarkEnd w:id="1779"/>
      <w:bookmarkEnd w:id="1780"/>
    </w:p>
    <w:bookmarkEnd w:id="1781"/>
    <w:p w14:paraId="38524F2C">
      <w:pPr>
        <w:spacing w:line="360" w:lineRule="auto"/>
        <w:ind w:firstLine="420" w:firstLineChars="200"/>
        <w:jc w:val="left"/>
        <w:rPr>
          <w:rFonts w:ascii="宋体" w:hAnsi="宋体"/>
          <w:szCs w:val="21"/>
          <w:highlight w:val="none"/>
        </w:rPr>
      </w:pPr>
      <w:r>
        <w:rPr>
          <w:rFonts w:hint="eastAsia" w:ascii="宋体" w:hAnsi="宋体"/>
          <w:szCs w:val="21"/>
          <w:highlight w:val="none"/>
        </w:rPr>
        <w:t>12.4.1 付款周期</w:t>
      </w:r>
    </w:p>
    <w:p w14:paraId="41C1A2D6">
      <w:pPr>
        <w:spacing w:line="360" w:lineRule="auto"/>
        <w:ind w:firstLine="420" w:firstLineChars="200"/>
        <w:jc w:val="left"/>
        <w:rPr>
          <w:rFonts w:ascii="宋体" w:hAnsi="宋体"/>
          <w:szCs w:val="21"/>
          <w:highlight w:val="none"/>
        </w:rPr>
      </w:pPr>
      <w:r>
        <w:rPr>
          <w:rFonts w:hint="eastAsia" w:ascii="宋体" w:hAnsi="宋体"/>
          <w:szCs w:val="21"/>
          <w:highlight w:val="none"/>
        </w:rPr>
        <w:t>关于付款周期的约定：</w:t>
      </w:r>
      <w:r>
        <w:rPr>
          <w:rFonts w:hint="eastAsia" w:ascii="宋体" w:hAnsi="宋体"/>
          <w:szCs w:val="21"/>
          <w:highlight w:val="none"/>
          <w:u w:val="single"/>
        </w:rPr>
        <w:t>按月计量支付进度款（按进度、按节点计量支付进度款的参考按月计量支付进度款原则执行）</w:t>
      </w:r>
      <w:r>
        <w:rPr>
          <w:rFonts w:hint="eastAsia" w:ascii="宋体" w:hAnsi="宋体"/>
          <w:szCs w:val="21"/>
          <w:highlight w:val="none"/>
        </w:rPr>
        <w:t>。</w:t>
      </w:r>
    </w:p>
    <w:p w14:paraId="2B2CD4A1">
      <w:pPr>
        <w:spacing w:line="360" w:lineRule="auto"/>
        <w:ind w:firstLine="420" w:firstLineChars="200"/>
        <w:jc w:val="left"/>
        <w:rPr>
          <w:rFonts w:ascii="宋体" w:hAnsi="宋体"/>
          <w:szCs w:val="21"/>
          <w:highlight w:val="none"/>
        </w:rPr>
      </w:pPr>
      <w:r>
        <w:rPr>
          <w:rFonts w:hint="eastAsia" w:ascii="宋体" w:hAnsi="宋体"/>
          <w:szCs w:val="21"/>
          <w:highlight w:val="none"/>
        </w:rPr>
        <w:t>12.4.2 进度付款申请单的编制</w:t>
      </w:r>
    </w:p>
    <w:p w14:paraId="78ACFA83">
      <w:pPr>
        <w:spacing w:line="360" w:lineRule="auto"/>
        <w:ind w:firstLine="420" w:firstLineChars="200"/>
        <w:jc w:val="left"/>
        <w:rPr>
          <w:rFonts w:ascii="宋体" w:hAnsi="宋体"/>
          <w:szCs w:val="21"/>
          <w:highlight w:val="none"/>
        </w:rPr>
      </w:pPr>
      <w:r>
        <w:rPr>
          <w:rFonts w:hint="eastAsia" w:ascii="宋体" w:hAnsi="宋体"/>
          <w:szCs w:val="21"/>
          <w:highlight w:val="none"/>
        </w:rPr>
        <w:t>进度付款申请单应包括下列内容：</w:t>
      </w:r>
    </w:p>
    <w:p w14:paraId="36C17D11">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（1）截至本次付款周期已完成工作对应的金额</w:t>
      </w:r>
      <w:r>
        <w:rPr>
          <w:rFonts w:hint="eastAsia" w:ascii="宋体" w:hAnsi="宋体"/>
          <w:szCs w:val="21"/>
          <w:highlight w:val="none"/>
        </w:rPr>
        <w:t>；</w:t>
      </w:r>
    </w:p>
    <w:p w14:paraId="7D8483D7">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（2）根据第10条〔变更〕应增加和扣减的已审定变更金额</w:t>
      </w:r>
      <w:r>
        <w:rPr>
          <w:rFonts w:hint="eastAsia" w:ascii="宋体" w:hAnsi="宋体"/>
          <w:szCs w:val="21"/>
          <w:highlight w:val="none"/>
        </w:rPr>
        <w:t>；</w:t>
      </w:r>
    </w:p>
    <w:p w14:paraId="54CF7271">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（3）根据第12.2款〔预付款〕约定应支付的预付款和扣减的返还预付款</w:t>
      </w:r>
      <w:r>
        <w:rPr>
          <w:rFonts w:hint="eastAsia" w:ascii="宋体" w:hAnsi="宋体"/>
          <w:szCs w:val="21"/>
          <w:highlight w:val="none"/>
        </w:rPr>
        <w:t>；</w:t>
      </w:r>
    </w:p>
    <w:p w14:paraId="4E1217A6">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（4）根据第15.3款〔质量保证金〕约定应扣减的质量保证金</w:t>
      </w:r>
      <w:r>
        <w:rPr>
          <w:rFonts w:hint="eastAsia" w:ascii="宋体" w:hAnsi="宋体"/>
          <w:szCs w:val="21"/>
          <w:highlight w:val="none"/>
        </w:rPr>
        <w:t>；</w:t>
      </w:r>
    </w:p>
    <w:p w14:paraId="3202A966">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（5）根据第19条〔索赔〕应增加和扣减的已审定索赔金额</w:t>
      </w:r>
      <w:r>
        <w:rPr>
          <w:rFonts w:hint="eastAsia" w:ascii="宋体" w:hAnsi="宋体"/>
          <w:szCs w:val="21"/>
          <w:highlight w:val="none"/>
        </w:rPr>
        <w:t>；</w:t>
      </w:r>
    </w:p>
    <w:p w14:paraId="1358FCF6">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（6）根据第11条〔价格调整〕应增加和扣减的价格调整金额</w:t>
      </w:r>
      <w:r>
        <w:rPr>
          <w:rFonts w:hint="eastAsia" w:ascii="宋体" w:hAnsi="宋体"/>
          <w:szCs w:val="21"/>
          <w:highlight w:val="none"/>
        </w:rPr>
        <w:t>；</w:t>
      </w:r>
    </w:p>
    <w:p w14:paraId="2B6DF5DD">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（7）对已签发的进度款支付证书中出现错误的修正，应在本次进度付款中支付或扣除的金额</w:t>
      </w:r>
      <w:r>
        <w:rPr>
          <w:rFonts w:hint="eastAsia" w:ascii="宋体" w:hAnsi="宋体"/>
          <w:szCs w:val="21"/>
          <w:highlight w:val="none"/>
        </w:rPr>
        <w:t>；</w:t>
      </w:r>
    </w:p>
    <w:p w14:paraId="51CCD805">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（8）根据合同约定承包人应向发包人支付的违约金</w:t>
      </w:r>
      <w:r>
        <w:rPr>
          <w:rFonts w:hint="eastAsia" w:ascii="宋体" w:hAnsi="宋体"/>
          <w:szCs w:val="21"/>
          <w:highlight w:val="none"/>
        </w:rPr>
        <w:t>；</w:t>
      </w:r>
    </w:p>
    <w:p w14:paraId="4D7EB1BD">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（9）根据合同约定发包人应向承包人支付的违约金和（或）奖励</w:t>
      </w:r>
      <w:r>
        <w:rPr>
          <w:rFonts w:hint="eastAsia" w:ascii="宋体" w:hAnsi="宋体"/>
          <w:szCs w:val="21"/>
          <w:highlight w:val="none"/>
        </w:rPr>
        <w:t>；</w:t>
      </w:r>
    </w:p>
    <w:p w14:paraId="0B03EA00">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（10）根据合同约定应增加和扣减的其他金额</w:t>
      </w:r>
      <w:r>
        <w:rPr>
          <w:rFonts w:hint="eastAsia" w:ascii="宋体" w:hAnsi="宋体"/>
          <w:szCs w:val="21"/>
          <w:highlight w:val="none"/>
        </w:rPr>
        <w:t>；</w:t>
      </w:r>
    </w:p>
    <w:p w14:paraId="1B2CC31D">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（11）当月应支付的人工费（工资款）金额</w:t>
      </w:r>
      <w:r>
        <w:rPr>
          <w:rFonts w:hint="eastAsia" w:ascii="宋体" w:hAnsi="宋体"/>
          <w:szCs w:val="21"/>
          <w:highlight w:val="none"/>
        </w:rPr>
        <w:t>。</w:t>
      </w:r>
    </w:p>
    <w:p w14:paraId="4880A3C9">
      <w:pPr>
        <w:spacing w:line="360" w:lineRule="auto"/>
        <w:ind w:firstLine="420" w:firstLineChars="200"/>
        <w:jc w:val="left"/>
        <w:rPr>
          <w:rFonts w:ascii="宋体" w:hAnsi="宋体"/>
          <w:szCs w:val="21"/>
          <w:highlight w:val="none"/>
        </w:rPr>
      </w:pPr>
      <w:r>
        <w:rPr>
          <w:rFonts w:hint="eastAsia" w:ascii="宋体" w:hAnsi="宋体"/>
          <w:szCs w:val="21"/>
          <w:highlight w:val="none"/>
        </w:rPr>
        <w:t>12.4.3 进度付款申请单的提交</w:t>
      </w:r>
    </w:p>
    <w:p w14:paraId="28E40CFF">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（1）单价合同进度付款申请单提交的约定：</w:t>
      </w:r>
      <w:r>
        <w:rPr>
          <w:rFonts w:hint="eastAsia" w:ascii="宋体" w:hAnsi="宋体"/>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highlight w:val="none"/>
        </w:rPr>
        <w:t>。</w:t>
      </w:r>
    </w:p>
    <w:p w14:paraId="4F74B47F">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（2）总价合同进度付款申请单提交的约定：</w:t>
      </w:r>
      <w:r>
        <w:rPr>
          <w:rFonts w:hint="eastAsia" w:ascii="宋体" w:hAnsi="宋体"/>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szCs w:val="21"/>
          <w:highlight w:val="none"/>
        </w:rPr>
        <w:t>。</w:t>
      </w:r>
    </w:p>
    <w:p w14:paraId="6549DDDC">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（3）其他价格形式合同进度付款申请单提交的约定：</w:t>
      </w:r>
      <w:r>
        <w:rPr>
          <w:rFonts w:hint="eastAsia" w:ascii="宋体" w:hAnsi="宋体"/>
          <w:szCs w:val="21"/>
          <w:highlight w:val="none"/>
          <w:u w:val="single"/>
        </w:rPr>
        <w:t>不采用</w:t>
      </w:r>
      <w:r>
        <w:rPr>
          <w:rFonts w:hint="eastAsia" w:ascii="宋体" w:hAnsi="宋体"/>
          <w:szCs w:val="21"/>
          <w:highlight w:val="none"/>
        </w:rPr>
        <w:t>。</w:t>
      </w:r>
    </w:p>
    <w:p w14:paraId="401D0394">
      <w:pPr>
        <w:spacing w:line="360" w:lineRule="auto"/>
        <w:ind w:firstLine="420" w:firstLineChars="200"/>
        <w:jc w:val="left"/>
        <w:rPr>
          <w:rFonts w:ascii="宋体" w:hAnsi="宋体"/>
          <w:szCs w:val="21"/>
          <w:highlight w:val="none"/>
        </w:rPr>
      </w:pPr>
      <w:r>
        <w:rPr>
          <w:rFonts w:hint="eastAsia" w:ascii="宋体" w:hAnsi="宋体"/>
          <w:szCs w:val="21"/>
          <w:highlight w:val="none"/>
        </w:rPr>
        <w:t>12.4.4 进度款审核和支付</w:t>
      </w:r>
    </w:p>
    <w:p w14:paraId="2973D109">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（1）监理人审查并报送发包人的期限：</w:t>
      </w:r>
      <w:r>
        <w:rPr>
          <w:rFonts w:hint="eastAsia" w:ascii="宋体" w:hAnsi="宋体"/>
          <w:szCs w:val="21"/>
          <w:highlight w:val="none"/>
          <w:u w:val="single"/>
        </w:rPr>
        <w:t>收到完整资料后7天内</w:t>
      </w:r>
      <w:r>
        <w:rPr>
          <w:rFonts w:hint="eastAsia" w:ascii="宋体" w:hAnsi="宋体"/>
          <w:szCs w:val="21"/>
          <w:highlight w:val="none"/>
        </w:rPr>
        <w:t>。</w:t>
      </w:r>
    </w:p>
    <w:p w14:paraId="34CF4D39">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发包人完成审批并签发进度款支付证书的期限：</w:t>
      </w:r>
      <w:r>
        <w:rPr>
          <w:rFonts w:hint="eastAsia" w:ascii="宋体" w:hAnsi="宋体"/>
          <w:szCs w:val="21"/>
          <w:highlight w:val="none"/>
          <w:u w:val="single"/>
        </w:rPr>
        <w:t>发包人收到监理人报送资料后7天内完成审批并签发进度款支付证书</w:t>
      </w:r>
      <w:r>
        <w:rPr>
          <w:rFonts w:hint="eastAsia" w:ascii="宋体" w:hAnsi="宋体"/>
          <w:szCs w:val="21"/>
          <w:highlight w:val="none"/>
        </w:rPr>
        <w:t>。</w:t>
      </w:r>
    </w:p>
    <w:p w14:paraId="361B3FCE">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3DC13872">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发包人签发进度款支付证书或临时进度款支付证书，不表明发包人已同意、批准或接受了承包人完成的相应部分的工作。</w:t>
      </w:r>
    </w:p>
    <w:p w14:paraId="1CE6E920">
      <w:pPr>
        <w:spacing w:line="360" w:lineRule="auto"/>
        <w:ind w:firstLine="420" w:firstLineChars="200"/>
        <w:jc w:val="left"/>
        <w:rPr>
          <w:rFonts w:ascii="宋体" w:hAnsi="宋体"/>
          <w:szCs w:val="21"/>
          <w:highlight w:val="none"/>
        </w:rPr>
      </w:pPr>
      <w:r>
        <w:rPr>
          <w:rFonts w:hint="eastAsia" w:ascii="宋体" w:hAnsi="宋体"/>
          <w:szCs w:val="21"/>
          <w:highlight w:val="none"/>
        </w:rPr>
        <w:t>（2）进度款支付：</w:t>
      </w:r>
    </w:p>
    <w:p w14:paraId="1E66BDA5">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①发包人将上月农民工工资支付凭证作为当月进度款支付的前置条件。</w:t>
      </w:r>
    </w:p>
    <w:p w14:paraId="1B44DFD8">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②安全文明施工费：</w:t>
      </w:r>
      <w:r>
        <w:rPr>
          <w:rFonts w:hint="eastAsia" w:ascii="宋体" w:hAnsi="宋体"/>
          <w:szCs w:val="21"/>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szCs w:val="21"/>
          <w:highlight w:val="none"/>
        </w:rPr>
        <w:t>。</w:t>
      </w:r>
    </w:p>
    <w:p w14:paraId="50D7FE37">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③分部分项工程费：</w:t>
      </w:r>
      <w:r>
        <w:rPr>
          <w:rFonts w:hint="eastAsia" w:ascii="宋体" w:hAnsi="宋体"/>
          <w:szCs w:val="21"/>
          <w:highlight w:val="none"/>
          <w:u w:val="single"/>
        </w:rPr>
        <w:t>按承包人当期完成并经监理人、跟审单位和发包人审定的工程量乘以相应综合单价计算当期完成的分部分项工程费及相应的规费和税金。发包人在签发进度款支付证书或临时进度款支付证书的次月10日前按经监理人、跟审单位和发包人审定的当期完成的分部分项工程费及相应的规费和税金（不含人工费价差和材料费价差）的  %</w:t>
      </w:r>
      <w:r>
        <w:rPr>
          <w:rFonts w:hint="eastAsia" w:ascii="宋体" w:hAnsi="宋体"/>
          <w:szCs w:val="21"/>
          <w:highlight w:val="none"/>
        </w:rPr>
        <w:t>（不低于80%）</w:t>
      </w:r>
      <w:r>
        <w:rPr>
          <w:rFonts w:hint="eastAsia" w:ascii="宋体" w:hAnsi="宋体"/>
          <w:szCs w:val="21"/>
          <w:highlight w:val="none"/>
          <w:u w:val="single"/>
        </w:rPr>
        <w:t>支付承包人</w:t>
      </w:r>
      <w:r>
        <w:rPr>
          <w:rFonts w:hint="eastAsia" w:ascii="宋体" w:hAnsi="宋体"/>
          <w:szCs w:val="21"/>
          <w:highlight w:val="none"/>
        </w:rPr>
        <w:t>。</w:t>
      </w:r>
    </w:p>
    <w:p w14:paraId="5286AC99">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④措施项目费：</w:t>
      </w:r>
      <w:r>
        <w:rPr>
          <w:rFonts w:hint="eastAsia" w:ascii="宋体" w:hAnsi="宋体"/>
          <w:szCs w:val="21"/>
          <w:highlight w:val="none"/>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的次月10日前按经监理人、跟审单位和发包人审定的当期完成的措施项目费及相应的规费和税金（不含人工费价差和材料费价差）的  %</w:t>
      </w:r>
      <w:r>
        <w:rPr>
          <w:rFonts w:hint="eastAsia" w:ascii="宋体" w:hAnsi="宋体"/>
          <w:szCs w:val="21"/>
          <w:highlight w:val="none"/>
        </w:rPr>
        <w:t>（不低于80%）</w:t>
      </w:r>
      <w:r>
        <w:rPr>
          <w:rFonts w:hint="eastAsia" w:ascii="宋体" w:hAnsi="宋体"/>
          <w:szCs w:val="21"/>
          <w:highlight w:val="none"/>
          <w:u w:val="single"/>
        </w:rPr>
        <w:t>支付承包人</w:t>
      </w:r>
      <w:r>
        <w:rPr>
          <w:rFonts w:hint="eastAsia" w:ascii="宋体" w:hAnsi="宋体"/>
          <w:szCs w:val="21"/>
          <w:highlight w:val="none"/>
        </w:rPr>
        <w:t>。</w:t>
      </w:r>
    </w:p>
    <w:p w14:paraId="2D825012">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fldChar w:fldCharType="begin"/>
      </w:r>
      <w:r>
        <w:rPr>
          <w:rFonts w:hint="eastAsia" w:ascii="宋体" w:hAnsi="宋体"/>
          <w:szCs w:val="21"/>
          <w:highlight w:val="none"/>
        </w:rPr>
        <w:instrText xml:space="preserve"> = 5 \* GB3 </w:instrText>
      </w:r>
      <w:r>
        <w:rPr>
          <w:rFonts w:hint="eastAsia" w:ascii="宋体" w:hAnsi="宋体"/>
          <w:szCs w:val="21"/>
          <w:highlight w:val="none"/>
        </w:rPr>
        <w:fldChar w:fldCharType="separate"/>
      </w:r>
      <w:r>
        <w:rPr>
          <w:rFonts w:hint="eastAsia" w:ascii="宋体" w:hAnsi="宋体"/>
          <w:szCs w:val="21"/>
          <w:highlight w:val="none"/>
        </w:rPr>
        <w:t>⑤</w:t>
      </w:r>
      <w:r>
        <w:rPr>
          <w:rFonts w:hint="eastAsia" w:ascii="宋体" w:hAnsi="宋体"/>
          <w:szCs w:val="21"/>
          <w:highlight w:val="none"/>
        </w:rPr>
        <w:fldChar w:fldCharType="end"/>
      </w:r>
      <w:r>
        <w:rPr>
          <w:rFonts w:hint="eastAsia" w:ascii="宋体" w:hAnsi="宋体"/>
          <w:szCs w:val="21"/>
          <w:highlight w:val="none"/>
        </w:rPr>
        <w:t>其他项目费：</w:t>
      </w:r>
      <w:r>
        <w:rPr>
          <w:rFonts w:hint="eastAsia" w:ascii="宋体" w:hAnsi="宋体"/>
          <w:szCs w:val="21"/>
          <w:highlight w:val="none"/>
          <w:u w:val="single"/>
        </w:rPr>
        <w:t>按承包人当期完成并经监理人、跟审单位和发包人审定的工程量乘以相应综合单价计算当期完成的其他项目费及相应的规费和税金。发包人在签发进度款支付证书或临时进度款支付证书的次月10日前按经监理人、跟审单位和发包人审定的当期完成的其他项目费及相应的规费和税金的  %</w:t>
      </w:r>
      <w:r>
        <w:rPr>
          <w:rFonts w:hint="eastAsia" w:ascii="宋体" w:hAnsi="宋体"/>
          <w:szCs w:val="21"/>
          <w:highlight w:val="none"/>
        </w:rPr>
        <w:t>（不低于80%）</w:t>
      </w:r>
      <w:r>
        <w:rPr>
          <w:rFonts w:hint="eastAsia" w:ascii="宋体" w:hAnsi="宋体"/>
          <w:szCs w:val="21"/>
          <w:highlight w:val="none"/>
          <w:u w:val="single"/>
        </w:rPr>
        <w:t>支付承包人</w:t>
      </w:r>
      <w:r>
        <w:rPr>
          <w:rFonts w:hint="eastAsia" w:ascii="宋体" w:hAnsi="宋体"/>
          <w:szCs w:val="21"/>
          <w:highlight w:val="none"/>
        </w:rPr>
        <w:t>。</w:t>
      </w:r>
    </w:p>
    <w:p w14:paraId="2C615083">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⑥人工费（工资款）：发包人在签发人工费（工资款）支付证书的次月10日前，按经监理人和发包人审定的当月完成的合同价款的   %（人工费数额大于当月完成的合同价款的25%时，按实际人工费数额拨付；若人工费数额小于当月完成的合同价款的25%时，按不小于当月完成的合同价款的25%拨付），支付至承包人。</w:t>
      </w:r>
    </w:p>
    <w:p w14:paraId="74720BDD">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⑦人工、材料价差按  %</w:t>
      </w:r>
      <w:r>
        <w:rPr>
          <w:rFonts w:hint="eastAsia" w:ascii="宋体" w:hAnsi="宋体"/>
          <w:szCs w:val="21"/>
          <w:highlight w:val="none"/>
        </w:rPr>
        <w:t>（不低于80%）</w:t>
      </w:r>
      <w:r>
        <w:rPr>
          <w:rFonts w:hint="eastAsia" w:ascii="宋体" w:hAnsi="宋体"/>
          <w:szCs w:val="21"/>
          <w:highlight w:val="none"/>
          <w:u w:val="single"/>
        </w:rPr>
        <w:t>纳入当期进度支付，价差调整方式按11条约定执行</w:t>
      </w:r>
      <w:r>
        <w:rPr>
          <w:rFonts w:hint="eastAsia" w:ascii="宋体" w:hAnsi="宋体"/>
          <w:szCs w:val="21"/>
          <w:highlight w:val="none"/>
        </w:rPr>
        <w:t>。</w:t>
      </w:r>
    </w:p>
    <w:p w14:paraId="5A7F43B2">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⑧工程竣工验收合格后28天内，发包人向承包人支付至累计进度审定金额的  %</w:t>
      </w:r>
      <w:r>
        <w:rPr>
          <w:rFonts w:hint="eastAsia" w:ascii="宋体" w:hAnsi="宋体"/>
          <w:szCs w:val="21"/>
          <w:highlight w:val="none"/>
        </w:rPr>
        <w:t>（不低于80%）</w:t>
      </w:r>
      <w:r>
        <w:rPr>
          <w:rFonts w:hint="eastAsia" w:ascii="宋体" w:hAnsi="宋体"/>
          <w:szCs w:val="21"/>
          <w:highlight w:val="none"/>
          <w:u w:val="single"/>
        </w:rPr>
        <w:t>；移交完整的工程竣工资料后14天内，发包人向承包人支付至累计进度审定金额的  %</w:t>
      </w:r>
      <w:r>
        <w:rPr>
          <w:rFonts w:hint="eastAsia" w:ascii="宋体" w:hAnsi="宋体"/>
          <w:szCs w:val="21"/>
          <w:highlight w:val="none"/>
        </w:rPr>
        <w:t>（不低于85%）</w:t>
      </w:r>
      <w:r>
        <w:rPr>
          <w:rFonts w:hint="eastAsia" w:ascii="宋体" w:hAnsi="宋体"/>
          <w:szCs w:val="21"/>
          <w:highlight w:val="none"/>
          <w:u w:val="single"/>
        </w:rPr>
        <w:t>；完成结算审核后28天内，发包人向承包人支付至结算审定金额的</w:t>
      </w:r>
      <w:r>
        <w:rPr>
          <w:rFonts w:hint="eastAsia" w:ascii="宋体" w:hAnsi="宋体"/>
          <w:szCs w:val="21"/>
          <w:highlight w:val="none"/>
        </w:rPr>
        <w:t>97%；</w:t>
      </w:r>
      <w:r>
        <w:rPr>
          <w:rFonts w:hint="eastAsia" w:ascii="宋体" w:hAnsi="宋体"/>
          <w:szCs w:val="21"/>
          <w:highlight w:val="none"/>
          <w:u w:val="single"/>
        </w:rPr>
        <w:t>缺陷责任期满后28天内发包人向承包人支付剩余工程款</w:t>
      </w:r>
      <w:r>
        <w:rPr>
          <w:rFonts w:hint="eastAsia" w:ascii="宋体" w:hAnsi="宋体"/>
          <w:szCs w:val="21"/>
          <w:highlight w:val="none"/>
        </w:rPr>
        <w:t>。</w:t>
      </w:r>
    </w:p>
    <w:p w14:paraId="51C84FBD">
      <w:pPr>
        <w:pStyle w:val="7"/>
        <w:spacing w:before="0" w:beforeAutospacing="0" w:after="0" w:afterAutospacing="0" w:line="360" w:lineRule="auto"/>
        <w:ind w:firstLine="422" w:firstLineChars="200"/>
        <w:rPr>
          <w:sz w:val="21"/>
          <w:szCs w:val="21"/>
          <w:highlight w:val="none"/>
        </w:rPr>
      </w:pPr>
      <w:bookmarkStart w:id="1782" w:name="_Toc351203585"/>
      <w:bookmarkStart w:id="1783" w:name="_Toc532377387"/>
      <w:r>
        <w:rPr>
          <w:rFonts w:hint="eastAsia"/>
          <w:sz w:val="21"/>
          <w:szCs w:val="21"/>
          <w:highlight w:val="none"/>
        </w:rPr>
        <w:t>12.5支付账户</w:t>
      </w:r>
      <w:bookmarkEnd w:id="1782"/>
      <w:bookmarkEnd w:id="1783"/>
    </w:p>
    <w:p w14:paraId="2A12D9A4">
      <w:pPr>
        <w:spacing w:line="360" w:lineRule="auto"/>
        <w:ind w:firstLine="420" w:firstLineChars="200"/>
        <w:jc w:val="left"/>
        <w:rPr>
          <w:rFonts w:ascii="宋体" w:hAnsi="宋体"/>
          <w:szCs w:val="21"/>
          <w:highlight w:val="none"/>
        </w:rPr>
      </w:pPr>
      <w:r>
        <w:rPr>
          <w:rFonts w:hint="eastAsia" w:ascii="宋体" w:hAnsi="宋体"/>
          <w:szCs w:val="21"/>
          <w:highlight w:val="none"/>
        </w:rPr>
        <w:t>发包人应将合同价款支付至如下承包人指定的开户银行及银行账户：</w:t>
      </w:r>
    </w:p>
    <w:p w14:paraId="55C85D2E">
      <w:pPr>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收款单位名称：</w:t>
      </w:r>
      <w:r>
        <w:rPr>
          <w:rFonts w:ascii="宋体" w:hAnsi="宋体"/>
          <w:kern w:val="0"/>
          <w:szCs w:val="21"/>
          <w:highlight w:val="none"/>
          <w:u w:val="single"/>
        </w:rPr>
        <w:t xml:space="preserve">                              </w:t>
      </w:r>
      <w:r>
        <w:rPr>
          <w:rFonts w:hint="eastAsia" w:ascii="宋体" w:hAnsi="宋体"/>
          <w:kern w:val="0"/>
          <w:szCs w:val="21"/>
          <w:highlight w:val="none"/>
        </w:rPr>
        <w:t>；</w:t>
      </w:r>
    </w:p>
    <w:p w14:paraId="2EBBF3E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收款账号：</w:t>
      </w:r>
      <w:r>
        <w:rPr>
          <w:rFonts w:ascii="宋体" w:hAnsi="宋体"/>
          <w:kern w:val="0"/>
          <w:szCs w:val="21"/>
          <w:highlight w:val="none"/>
          <w:u w:val="single"/>
        </w:rPr>
        <w:t xml:space="preserve">                                  </w:t>
      </w:r>
      <w:r>
        <w:rPr>
          <w:rFonts w:hint="eastAsia" w:ascii="宋体" w:hAnsi="宋体"/>
          <w:kern w:val="0"/>
          <w:szCs w:val="21"/>
          <w:highlight w:val="none"/>
        </w:rPr>
        <w:t>；</w:t>
      </w:r>
    </w:p>
    <w:p w14:paraId="72BE03BF">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收款开户银行：</w:t>
      </w:r>
      <w:r>
        <w:rPr>
          <w:rFonts w:ascii="宋体" w:hAnsi="宋体"/>
          <w:kern w:val="0"/>
          <w:szCs w:val="21"/>
          <w:highlight w:val="none"/>
          <w:u w:val="single"/>
        </w:rPr>
        <w:t xml:space="preserve">                              </w:t>
      </w:r>
      <w:r>
        <w:rPr>
          <w:rFonts w:hint="eastAsia" w:ascii="宋体" w:hAnsi="宋体"/>
          <w:kern w:val="0"/>
          <w:szCs w:val="21"/>
          <w:highlight w:val="none"/>
        </w:rPr>
        <w:t>。</w:t>
      </w:r>
    </w:p>
    <w:p w14:paraId="6C955819">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w:t>
      </w:r>
      <w:r>
        <w:rPr>
          <w:rFonts w:hint="eastAsia" w:ascii="宋体" w:hAnsi="宋体"/>
          <w:kern w:val="0"/>
          <w:szCs w:val="21"/>
          <w:highlight w:val="none"/>
          <w:lang w:val="en-US" w:eastAsia="zh-CN"/>
        </w:rPr>
        <w:t>按行业主管部门的相关规定</w:t>
      </w:r>
      <w:r>
        <w:rPr>
          <w:rFonts w:hint="eastAsia" w:ascii="宋体" w:hAnsi="宋体"/>
          <w:kern w:val="0"/>
          <w:szCs w:val="21"/>
          <w:highlight w:val="none"/>
        </w:rPr>
        <w:t>将人工费（工资款）支付至承包人指定的农民工工资专用账户。</w:t>
      </w:r>
    </w:p>
    <w:p w14:paraId="72876683">
      <w:pPr>
        <w:pStyle w:val="6"/>
        <w:keepNext/>
        <w:keepLines/>
        <w:spacing w:before="156" w:beforeLines="50" w:beforeAutospacing="0" w:after="156" w:afterLines="50" w:afterAutospacing="0" w:line="360" w:lineRule="auto"/>
        <w:jc w:val="both"/>
        <w:rPr>
          <w:bCs w:val="0"/>
          <w:kern w:val="2"/>
          <w:sz w:val="21"/>
          <w:szCs w:val="21"/>
          <w:highlight w:val="none"/>
        </w:rPr>
      </w:pPr>
      <w:bookmarkStart w:id="1784" w:name="_Toc351203645"/>
      <w:bookmarkStart w:id="1785" w:name="_Toc532375651"/>
      <w:bookmarkStart w:id="1786" w:name="_Toc532377388"/>
      <w:bookmarkStart w:id="1787" w:name="_Toc296347218"/>
      <w:bookmarkStart w:id="1788" w:name="_Toc296503219"/>
      <w:bookmarkStart w:id="1789" w:name="_Toc296891259"/>
      <w:bookmarkStart w:id="1790" w:name="_Toc297216223"/>
      <w:bookmarkStart w:id="1791" w:name="_Toc292559424"/>
      <w:bookmarkStart w:id="1792" w:name="_Toc296891047"/>
      <w:bookmarkStart w:id="1793" w:name="_Toc292559929"/>
      <w:bookmarkStart w:id="1794" w:name="_Toc297048405"/>
      <w:bookmarkStart w:id="1795" w:name="_Toc303539172"/>
      <w:bookmarkStart w:id="1796" w:name="_Toc312678053"/>
      <w:bookmarkStart w:id="1797" w:name="_Toc300935015"/>
      <w:bookmarkStart w:id="1798" w:name="_Toc304295593"/>
      <w:bookmarkStart w:id="1799" w:name="_Toc296346720"/>
      <w:bookmarkStart w:id="1800" w:name="_Toc296944558"/>
      <w:bookmarkStart w:id="1801" w:name="_Toc297123564"/>
      <w:bookmarkStart w:id="1802" w:name="_Toc297120519"/>
      <w:r>
        <w:rPr>
          <w:rFonts w:hint="eastAsia"/>
          <w:kern w:val="2"/>
          <w:sz w:val="21"/>
          <w:szCs w:val="21"/>
          <w:highlight w:val="none"/>
        </w:rPr>
        <w:t>13. 验收和工程试车</w:t>
      </w:r>
      <w:bookmarkEnd w:id="1784"/>
      <w:bookmarkEnd w:id="1785"/>
      <w:bookmarkEnd w:id="1786"/>
    </w:p>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14:paraId="15F85567">
      <w:pPr>
        <w:pStyle w:val="7"/>
        <w:spacing w:before="0" w:beforeAutospacing="0" w:after="0" w:afterAutospacing="0" w:line="360" w:lineRule="auto"/>
        <w:ind w:firstLine="422" w:firstLineChars="200"/>
        <w:rPr>
          <w:sz w:val="21"/>
          <w:szCs w:val="21"/>
          <w:highlight w:val="none"/>
        </w:rPr>
      </w:pPr>
      <w:bookmarkStart w:id="1803" w:name="_Toc532375652"/>
      <w:bookmarkStart w:id="1804" w:name="_Toc532377389"/>
      <w:bookmarkStart w:id="1805" w:name="_Toc280868704"/>
      <w:bookmarkStart w:id="1806" w:name="_Toc280868705"/>
      <w:bookmarkStart w:id="1807" w:name="_Toc280868706"/>
      <w:bookmarkStart w:id="1808" w:name="_Toc280868707"/>
      <w:bookmarkStart w:id="1809" w:name="_Toc280868708"/>
      <w:bookmarkStart w:id="1810" w:name="_Toc267251476"/>
      <w:bookmarkStart w:id="1811" w:name="_Toc267251470"/>
      <w:bookmarkStart w:id="1812" w:name="_Toc267251472"/>
      <w:bookmarkStart w:id="1813" w:name="_Toc280868709"/>
      <w:bookmarkStart w:id="1814" w:name="_Toc267251475"/>
      <w:bookmarkStart w:id="1815" w:name="_Toc267251471"/>
      <w:bookmarkStart w:id="1816" w:name="_Toc267251474"/>
      <w:bookmarkStart w:id="1817" w:name="_Toc267251473"/>
      <w:r>
        <w:rPr>
          <w:rFonts w:hint="eastAsia"/>
          <w:sz w:val="21"/>
          <w:szCs w:val="21"/>
          <w:highlight w:val="none"/>
        </w:rPr>
        <w:t>13.1 分部分项工程验收</w:t>
      </w:r>
      <w:bookmarkEnd w:id="1803"/>
      <w:bookmarkEnd w:id="1804"/>
    </w:p>
    <w:p w14:paraId="13C2B29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13.1.2 监理人不能按时进行验收时，应提前</w:t>
      </w:r>
      <w:r>
        <w:rPr>
          <w:rFonts w:hint="eastAsia" w:ascii="宋体" w:hAnsi="宋体"/>
          <w:szCs w:val="21"/>
          <w:highlight w:val="none"/>
          <w:u w:val="single"/>
        </w:rPr>
        <w:t>24</w:t>
      </w:r>
      <w:r>
        <w:rPr>
          <w:rFonts w:hint="eastAsia" w:ascii="宋体" w:hAnsi="宋体"/>
          <w:szCs w:val="21"/>
          <w:highlight w:val="none"/>
        </w:rPr>
        <w:t>小时提交书面延期要求。</w:t>
      </w:r>
    </w:p>
    <w:p w14:paraId="08243AF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关于延期最长不得超过：</w:t>
      </w:r>
      <w:r>
        <w:rPr>
          <w:rFonts w:hint="eastAsia" w:ascii="宋体" w:hAnsi="宋体"/>
          <w:szCs w:val="21"/>
          <w:highlight w:val="none"/>
          <w:u w:val="single"/>
        </w:rPr>
        <w:t>48</w:t>
      </w:r>
      <w:r>
        <w:rPr>
          <w:rFonts w:hint="eastAsia" w:ascii="宋体" w:hAnsi="宋体"/>
          <w:szCs w:val="21"/>
          <w:highlight w:val="none"/>
        </w:rPr>
        <w:t>小时。</w:t>
      </w:r>
    </w:p>
    <w:p w14:paraId="2792D940">
      <w:pPr>
        <w:pStyle w:val="7"/>
        <w:spacing w:before="0" w:beforeAutospacing="0" w:after="0" w:afterAutospacing="0" w:line="360" w:lineRule="auto"/>
        <w:ind w:firstLine="422" w:firstLineChars="200"/>
        <w:rPr>
          <w:sz w:val="21"/>
          <w:szCs w:val="21"/>
          <w:highlight w:val="none"/>
        </w:rPr>
      </w:pPr>
      <w:bookmarkStart w:id="1818" w:name="_Toc532377390"/>
      <w:bookmarkStart w:id="1819" w:name="_Toc532375653"/>
      <w:bookmarkStart w:id="1820" w:name="_Toc296944562"/>
      <w:bookmarkStart w:id="1821" w:name="_Toc300935016"/>
      <w:bookmarkStart w:id="1822" w:name="_Toc292559933"/>
      <w:bookmarkStart w:id="1823" w:name="_Toc303539173"/>
      <w:bookmarkStart w:id="1824" w:name="_Toc297048409"/>
      <w:bookmarkStart w:id="1825" w:name="_Toc312678056"/>
      <w:bookmarkStart w:id="1826" w:name="_Toc292559428"/>
      <w:bookmarkStart w:id="1827" w:name="_Toc296891263"/>
      <w:bookmarkStart w:id="1828" w:name="_Toc296503223"/>
      <w:bookmarkStart w:id="1829" w:name="_Toc296347222"/>
      <w:bookmarkStart w:id="1830" w:name="_Toc304295596"/>
      <w:bookmarkStart w:id="1831" w:name="_Toc297216224"/>
      <w:bookmarkStart w:id="1832" w:name="_Toc296346724"/>
      <w:bookmarkStart w:id="1833" w:name="_Toc296891051"/>
      <w:bookmarkStart w:id="1834" w:name="_Toc297120523"/>
      <w:bookmarkStart w:id="1835" w:name="_Toc297123565"/>
      <w:r>
        <w:rPr>
          <w:rFonts w:hint="eastAsia"/>
          <w:sz w:val="21"/>
          <w:szCs w:val="21"/>
          <w:highlight w:val="none"/>
        </w:rPr>
        <w:t>13.2 竣工验收</w:t>
      </w:r>
      <w:bookmarkEnd w:id="1818"/>
      <w:bookmarkEnd w:id="1819"/>
    </w:p>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14:paraId="203061A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13.2.2竣工验收程序</w:t>
      </w:r>
    </w:p>
    <w:bookmarkEnd w:id="1805"/>
    <w:p w14:paraId="56D7A0D9">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关于竣工验收程序的约定：工程完工且符合下列条件时，承包人可向发包人提供竣工报告，并要求验收：</w:t>
      </w:r>
    </w:p>
    <w:p w14:paraId="6842D2E7">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（1）除发包人同意的甩项工作和缺陷修补工作外，合同范围内的全部工程以及有关工作，包括合同要求的试验、试运行以及检验均已完成，并符合合同要求；</w:t>
      </w:r>
    </w:p>
    <w:p w14:paraId="0B579AA3">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（2）已按合同约定编制了甩项工作和缺陷修补工作清单以及相应的施工计划；</w:t>
      </w:r>
    </w:p>
    <w:p w14:paraId="3630F77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（3）已按合同约定的内容和份数备齐竣工资料。</w:t>
      </w:r>
    </w:p>
    <w:p w14:paraId="11AE6F4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u w:val="single"/>
        </w:rPr>
        <w:t xml:space="preserve">        </w:t>
      </w:r>
      <w:r>
        <w:rPr>
          <w:rFonts w:hint="eastAsia" w:ascii="宋体" w:hAnsi="宋体"/>
          <w:szCs w:val="21"/>
          <w:highlight w:val="none"/>
        </w:rPr>
        <w:t>。</w:t>
      </w:r>
    </w:p>
    <w:p w14:paraId="3D484BF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工程竣工及竣工资料：</w:t>
      </w:r>
    </w:p>
    <w:p w14:paraId="60AF484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highlight w:val="none"/>
        </w:rPr>
        <w:t>。</w:t>
      </w:r>
    </w:p>
    <w:p w14:paraId="61C599F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highlight w:val="none"/>
        </w:rPr>
        <w:t>。</w:t>
      </w:r>
    </w:p>
    <w:p w14:paraId="17843B30">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（3）承包人提供竣工资料的约定：</w:t>
      </w:r>
      <w:r>
        <w:rPr>
          <w:rFonts w:hint="eastAsia" w:ascii="宋体" w:hAnsi="宋体"/>
          <w:szCs w:val="21"/>
          <w:highlight w:val="none"/>
          <w:u w:val="single"/>
        </w:rPr>
        <w:t>承包人提供纸质版竣工图三套，电子版竣工图二套（刻光盘）</w:t>
      </w:r>
      <w:r>
        <w:rPr>
          <w:rFonts w:hint="eastAsia" w:ascii="宋体" w:hAnsi="宋体"/>
          <w:szCs w:val="21"/>
          <w:highlight w:val="none"/>
        </w:rPr>
        <w:t>。</w:t>
      </w:r>
    </w:p>
    <w:bookmarkEnd w:id="1806"/>
    <w:p w14:paraId="7E31805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13.2.5 移交、接收全部与部分工程</w:t>
      </w:r>
    </w:p>
    <w:bookmarkEnd w:id="1807"/>
    <w:p w14:paraId="0904E36A">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承包人向发包人移交工程的期限：</w:t>
      </w:r>
      <w:r>
        <w:rPr>
          <w:rFonts w:hint="eastAsia" w:ascii="宋体" w:hAnsi="宋体"/>
          <w:szCs w:val="21"/>
          <w:highlight w:val="none"/>
          <w:u w:val="single"/>
        </w:rPr>
        <w:t>颁发工程接收证书后7天内完成工程的移交</w:t>
      </w:r>
      <w:r>
        <w:rPr>
          <w:rFonts w:hint="eastAsia" w:ascii="宋体" w:hAnsi="宋体"/>
          <w:szCs w:val="21"/>
          <w:highlight w:val="none"/>
        </w:rPr>
        <w:t>。</w:t>
      </w:r>
    </w:p>
    <w:p w14:paraId="2FEDFB04">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发包人未按合同约定接收全部或部分工程的，违约金的计算方法为：发包人自应当接收工程之日起承担工程照管、成品保护、保管等与工程有关的各项费用。</w:t>
      </w:r>
    </w:p>
    <w:bookmarkEnd w:id="1808"/>
    <w:p w14:paraId="02F3AE8E">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因承包人自身原因未按时移交工程的，违约金的计算方法为：</w:t>
      </w:r>
      <w:r>
        <w:rPr>
          <w:rFonts w:hint="eastAsia" w:ascii="宋体" w:hAnsi="宋体"/>
          <w:szCs w:val="21"/>
          <w:highlight w:val="none"/>
          <w:u w:val="single"/>
        </w:rPr>
        <w:t>承包人应承担工程照管、成品保护、保管等与工程有关的各项费用，并按经审定结算金额的0.5‰/天支付违约金</w:t>
      </w:r>
      <w:r>
        <w:rPr>
          <w:rFonts w:hint="eastAsia" w:ascii="宋体" w:hAnsi="宋体"/>
          <w:szCs w:val="21"/>
          <w:highlight w:val="none"/>
        </w:rPr>
        <w:t>。</w:t>
      </w:r>
    </w:p>
    <w:p w14:paraId="3E7C622D">
      <w:pPr>
        <w:pStyle w:val="7"/>
        <w:spacing w:before="0" w:beforeAutospacing="0" w:after="0" w:afterAutospacing="0" w:line="360" w:lineRule="auto"/>
        <w:ind w:firstLine="422" w:firstLineChars="200"/>
        <w:rPr>
          <w:sz w:val="21"/>
          <w:szCs w:val="21"/>
          <w:highlight w:val="none"/>
        </w:rPr>
      </w:pPr>
      <w:bookmarkStart w:id="1836" w:name="_Toc532377391"/>
      <w:bookmarkStart w:id="1837" w:name="_Toc532375654"/>
      <w:r>
        <w:rPr>
          <w:rFonts w:hint="eastAsia"/>
          <w:sz w:val="21"/>
          <w:szCs w:val="21"/>
          <w:highlight w:val="none"/>
        </w:rPr>
        <w:t>13.3 工程试车</w:t>
      </w:r>
      <w:bookmarkEnd w:id="1836"/>
      <w:bookmarkEnd w:id="1837"/>
    </w:p>
    <w:p w14:paraId="2D14C81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13.3.1 试车程序</w:t>
      </w:r>
    </w:p>
    <w:p w14:paraId="6AE66B6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工程试车内容：</w:t>
      </w:r>
      <w:r>
        <w:rPr>
          <w:rFonts w:hint="eastAsia" w:ascii="宋体" w:hAnsi="宋体"/>
          <w:szCs w:val="21"/>
          <w:highlight w:val="none"/>
          <w:u w:val="single"/>
        </w:rPr>
        <w:t>按通用合同条款执行</w:t>
      </w:r>
      <w:r>
        <w:rPr>
          <w:rFonts w:hint="eastAsia" w:ascii="宋体" w:hAnsi="宋体"/>
          <w:szCs w:val="21"/>
          <w:highlight w:val="none"/>
        </w:rPr>
        <w:t>。</w:t>
      </w:r>
    </w:p>
    <w:p w14:paraId="74CF1469">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（1）单机无负荷试车费用由</w:t>
      </w:r>
      <w:r>
        <w:rPr>
          <w:rFonts w:hint="eastAsia" w:ascii="宋体" w:hAnsi="宋体"/>
          <w:szCs w:val="21"/>
          <w:highlight w:val="none"/>
          <w:u w:val="single"/>
        </w:rPr>
        <w:t>承包人</w:t>
      </w:r>
      <w:r>
        <w:rPr>
          <w:rFonts w:hint="eastAsia" w:ascii="宋体" w:hAnsi="宋体"/>
          <w:szCs w:val="21"/>
          <w:highlight w:val="none"/>
        </w:rPr>
        <w:t>承担；</w:t>
      </w:r>
    </w:p>
    <w:p w14:paraId="3AC2CDA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（2）无负荷联动试车费用由</w:t>
      </w:r>
      <w:r>
        <w:rPr>
          <w:rFonts w:hint="eastAsia" w:ascii="宋体" w:hAnsi="宋体"/>
          <w:szCs w:val="21"/>
          <w:highlight w:val="none"/>
          <w:u w:val="single"/>
        </w:rPr>
        <w:t>承包人</w:t>
      </w:r>
      <w:r>
        <w:rPr>
          <w:rFonts w:hint="eastAsia" w:ascii="宋体" w:hAnsi="宋体"/>
          <w:szCs w:val="21"/>
          <w:highlight w:val="none"/>
        </w:rPr>
        <w:t>承担。</w:t>
      </w:r>
    </w:p>
    <w:p w14:paraId="06CDCB3B">
      <w:pPr>
        <w:pStyle w:val="7"/>
        <w:spacing w:before="0" w:beforeAutospacing="0" w:after="0" w:afterAutospacing="0" w:line="360" w:lineRule="auto"/>
        <w:ind w:firstLine="422" w:firstLineChars="200"/>
        <w:rPr>
          <w:sz w:val="21"/>
          <w:szCs w:val="21"/>
          <w:highlight w:val="none"/>
        </w:rPr>
      </w:pPr>
      <w:bookmarkStart w:id="1838" w:name="_Toc532375655"/>
      <w:bookmarkStart w:id="1839" w:name="_Toc532377392"/>
      <w:r>
        <w:rPr>
          <w:rFonts w:hint="eastAsia"/>
          <w:sz w:val="21"/>
          <w:szCs w:val="21"/>
          <w:highlight w:val="none"/>
        </w:rPr>
        <w:t>13.6 竣工退场</w:t>
      </w:r>
      <w:bookmarkEnd w:id="1838"/>
      <w:bookmarkEnd w:id="1839"/>
    </w:p>
    <w:p w14:paraId="2D4A6CA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13.6.1 竣工退场</w:t>
      </w:r>
    </w:p>
    <w:p w14:paraId="1332D8C2">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承包人完成竣工退场的期限：</w:t>
      </w:r>
      <w:r>
        <w:rPr>
          <w:rFonts w:hint="eastAsia" w:ascii="宋体" w:hAnsi="宋体"/>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highlight w:val="none"/>
        </w:rPr>
        <w:t>。</w:t>
      </w:r>
    </w:p>
    <w:bookmarkEnd w:id="1809"/>
    <w:p w14:paraId="42F9593B">
      <w:pPr>
        <w:pStyle w:val="6"/>
        <w:keepNext/>
        <w:keepLines/>
        <w:spacing w:before="156" w:beforeLines="50" w:beforeAutospacing="0" w:after="156" w:afterLines="50" w:afterAutospacing="0" w:line="360" w:lineRule="auto"/>
        <w:jc w:val="both"/>
        <w:rPr>
          <w:bCs w:val="0"/>
          <w:kern w:val="2"/>
          <w:sz w:val="21"/>
          <w:szCs w:val="21"/>
          <w:highlight w:val="none"/>
        </w:rPr>
      </w:pPr>
      <w:bookmarkStart w:id="1840" w:name="_Toc532377393"/>
      <w:bookmarkStart w:id="1841" w:name="_Toc351203646"/>
      <w:bookmarkStart w:id="1842" w:name="_Toc532375656"/>
      <w:r>
        <w:rPr>
          <w:rFonts w:hint="eastAsia"/>
          <w:kern w:val="2"/>
          <w:sz w:val="21"/>
          <w:szCs w:val="21"/>
          <w:highlight w:val="none"/>
        </w:rPr>
        <w:t>14. 竣工结算</w:t>
      </w:r>
      <w:bookmarkEnd w:id="1840"/>
      <w:bookmarkEnd w:id="1841"/>
      <w:bookmarkEnd w:id="1842"/>
    </w:p>
    <w:p w14:paraId="74D699BA">
      <w:pPr>
        <w:pStyle w:val="7"/>
        <w:spacing w:before="0" w:beforeAutospacing="0" w:after="0" w:afterAutospacing="0" w:line="360" w:lineRule="auto"/>
        <w:ind w:firstLine="422" w:firstLineChars="200"/>
        <w:rPr>
          <w:sz w:val="21"/>
          <w:szCs w:val="21"/>
          <w:highlight w:val="none"/>
        </w:rPr>
      </w:pPr>
      <w:bookmarkStart w:id="1843" w:name="_Toc532377394"/>
      <w:bookmarkStart w:id="1844" w:name="_Toc532375657"/>
      <w:r>
        <w:rPr>
          <w:rFonts w:hint="eastAsia"/>
          <w:sz w:val="21"/>
          <w:szCs w:val="21"/>
          <w:highlight w:val="none"/>
        </w:rPr>
        <w:t>14.1 竣工结算申请</w:t>
      </w:r>
      <w:bookmarkEnd w:id="1843"/>
      <w:bookmarkEnd w:id="1844"/>
    </w:p>
    <w:p w14:paraId="1FD81A04">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承包人提交竣工结算申请单的期限：</w:t>
      </w:r>
      <w:r>
        <w:rPr>
          <w:rFonts w:hint="eastAsia" w:ascii="宋体" w:hAnsi="宋体"/>
          <w:szCs w:val="21"/>
          <w:highlight w:val="none"/>
          <w:u w:val="single"/>
        </w:rPr>
        <w:t>承包人应在工程竣工验收合格且报送</w:t>
      </w:r>
      <w:r>
        <w:rPr>
          <w:rFonts w:ascii="宋体" w:hAnsi="宋体"/>
          <w:szCs w:val="21"/>
          <w:highlight w:val="none"/>
          <w:u w:val="single"/>
        </w:rPr>
        <w:t>完整工程竣工资料</w:t>
      </w:r>
      <w:r>
        <w:rPr>
          <w:rFonts w:hint="eastAsia" w:ascii="宋体" w:hAnsi="宋体"/>
          <w:szCs w:val="21"/>
          <w:highlight w:val="none"/>
          <w:u w:val="single"/>
        </w:rPr>
        <w:t>之日起28天内向监理人、发包人提交竣工结算申请单，并向发包人报送完整的工程竣工资料及经监理人初审确认的完整的竣工结算资料</w:t>
      </w:r>
      <w:bookmarkStart w:id="1845" w:name="_Hlk524297994"/>
      <w:r>
        <w:rPr>
          <w:rFonts w:hint="eastAsia" w:ascii="宋体" w:hAnsi="宋体"/>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0426ADE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竣工结算申请单包括但不限于以下内容：</w:t>
      </w:r>
    </w:p>
    <w:p w14:paraId="508B066E">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（1）竣工结算合同价格；</w:t>
      </w:r>
    </w:p>
    <w:p w14:paraId="4A3E4C3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（2）变更增减金额；</w:t>
      </w:r>
    </w:p>
    <w:p w14:paraId="63CD0A4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（3）现场签证增减金额；</w:t>
      </w:r>
    </w:p>
    <w:p w14:paraId="796C2EF9">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（4）索赔增减金额；</w:t>
      </w:r>
    </w:p>
    <w:p w14:paraId="3902920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（5）奖励、罚金及违约金；</w:t>
      </w:r>
    </w:p>
    <w:p w14:paraId="6484C27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（6）发包人已支付承包人的款项；</w:t>
      </w:r>
    </w:p>
    <w:p w14:paraId="0A0AEBA1">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（7）应扣留的质量保证金；</w:t>
      </w:r>
    </w:p>
    <w:p w14:paraId="2212C3D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（8）发包人应支付承包人的合同价款。</w:t>
      </w:r>
      <w:bookmarkEnd w:id="1845"/>
    </w:p>
    <w:p w14:paraId="4302EE1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（9）</w:t>
      </w:r>
      <w:r>
        <w:rPr>
          <w:rFonts w:hint="eastAsia" w:ascii="宋体" w:hAnsi="宋体"/>
          <w:szCs w:val="21"/>
          <w:highlight w:val="none"/>
          <w:u w:val="single"/>
        </w:rPr>
        <w:t xml:space="preserve">        </w:t>
      </w:r>
      <w:r>
        <w:rPr>
          <w:rFonts w:hint="eastAsia" w:ascii="宋体" w:hAnsi="宋体"/>
          <w:szCs w:val="21"/>
          <w:highlight w:val="none"/>
        </w:rPr>
        <w:t>。</w:t>
      </w:r>
    </w:p>
    <w:p w14:paraId="36A66529">
      <w:pPr>
        <w:pStyle w:val="7"/>
        <w:spacing w:before="0" w:beforeAutospacing="0" w:after="0" w:afterAutospacing="0" w:line="360" w:lineRule="auto"/>
        <w:ind w:firstLine="422" w:firstLineChars="200"/>
        <w:rPr>
          <w:sz w:val="21"/>
          <w:szCs w:val="21"/>
          <w:highlight w:val="none"/>
        </w:rPr>
      </w:pPr>
      <w:bookmarkStart w:id="1846" w:name="_Toc532375658"/>
      <w:bookmarkStart w:id="1847" w:name="_Toc532377395"/>
      <w:r>
        <w:rPr>
          <w:rFonts w:hint="eastAsia"/>
          <w:sz w:val="21"/>
          <w:szCs w:val="21"/>
          <w:highlight w:val="none"/>
        </w:rPr>
        <w:t>14.2 竣工结算审核</w:t>
      </w:r>
      <w:bookmarkEnd w:id="1846"/>
      <w:bookmarkEnd w:id="1847"/>
    </w:p>
    <w:p w14:paraId="2CC4831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 竣工结算办法</w:t>
      </w:r>
    </w:p>
    <w:p w14:paraId="0493C1F9">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14.2.1.1计量原则</w:t>
      </w:r>
    </w:p>
    <w:p w14:paraId="2248101D">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按照第12.3.1项〔计量原则〕约定执行。</w:t>
      </w:r>
    </w:p>
    <w:p w14:paraId="64598FDD">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14.2.1.2计价原则</w:t>
      </w:r>
    </w:p>
    <w:p w14:paraId="6A28CC14">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highlight w:val="none"/>
        </w:rPr>
        <w:t>。</w:t>
      </w:r>
    </w:p>
    <w:p w14:paraId="4E94F49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具体结算办法如下：</w:t>
      </w:r>
    </w:p>
    <w:p w14:paraId="0A13116C">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（1）分部分项工程：</w:t>
      </w:r>
    </w:p>
    <w:p w14:paraId="2EFE32CF">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highlight w:val="none"/>
        </w:rPr>
        <w:t>；</w:t>
      </w:r>
    </w:p>
    <w:p w14:paraId="359A3321">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highlight w:val="none"/>
        </w:rPr>
        <w:t>；</w:t>
      </w:r>
    </w:p>
    <w:p w14:paraId="23199553">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highlight w:val="none"/>
        </w:rPr>
        <w:t>；</w:t>
      </w:r>
    </w:p>
    <w:p w14:paraId="529D2EA3">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④合同、已标价工程量清单和招标文件另有约定的，按照其约定执行</w:t>
      </w:r>
      <w:r>
        <w:rPr>
          <w:rFonts w:hint="eastAsia" w:ascii="宋体" w:hAnsi="宋体"/>
          <w:szCs w:val="21"/>
          <w:highlight w:val="none"/>
        </w:rPr>
        <w:t>。</w:t>
      </w:r>
    </w:p>
    <w:p w14:paraId="058AB68B">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（2）措施项目：</w:t>
      </w:r>
    </w:p>
    <w:p w14:paraId="726D5A54">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highlight w:val="none"/>
        </w:rPr>
        <w:t>。</w:t>
      </w:r>
    </w:p>
    <w:p w14:paraId="0C5A9E72">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②工程变更引起施工方案改变使措施项目发生变化的，经监理人、发包人确定后可对按第10.4.3项约定执行</w:t>
      </w:r>
      <w:r>
        <w:rPr>
          <w:rFonts w:hint="eastAsia" w:ascii="宋体" w:hAnsi="宋体"/>
          <w:szCs w:val="21"/>
          <w:highlight w:val="none"/>
        </w:rPr>
        <w:t>。</w:t>
      </w:r>
    </w:p>
    <w:p w14:paraId="3248B557">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highlight w:val="none"/>
        </w:rPr>
        <w:t>。</w:t>
      </w:r>
    </w:p>
    <w:p w14:paraId="2F2DB8BA">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（3）其他项目：</w:t>
      </w:r>
    </w:p>
    <w:p w14:paraId="11F4A17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①材料（工程设备）暂估价：</w:t>
      </w:r>
      <w:r>
        <w:rPr>
          <w:rFonts w:hint="eastAsia" w:ascii="宋体" w:hAnsi="宋体"/>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szCs w:val="21"/>
          <w:highlight w:val="none"/>
        </w:rPr>
        <w:t>。</w:t>
      </w:r>
    </w:p>
    <w:p w14:paraId="41E95AF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②专业工程暂估价：</w:t>
      </w:r>
    </w:p>
    <w:p w14:paraId="77990E8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1）对于不属于依法必须招标的暂估价项目：按发包人审定的价格进行结算</w:t>
      </w:r>
      <w:r>
        <w:rPr>
          <w:rFonts w:hint="eastAsia" w:ascii="宋体" w:hAnsi="宋体"/>
          <w:szCs w:val="21"/>
          <w:highlight w:val="none"/>
        </w:rPr>
        <w:t>。</w:t>
      </w:r>
    </w:p>
    <w:p w14:paraId="582AE9FE">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highlight w:val="none"/>
        </w:rPr>
        <w:t>。</w:t>
      </w:r>
    </w:p>
    <w:p w14:paraId="44A3E2B4">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3）总承包服务费：总承包服务费包干使用，结算时不作调整</w:t>
      </w:r>
      <w:r>
        <w:rPr>
          <w:rFonts w:hint="eastAsia" w:ascii="宋体" w:hAnsi="宋体"/>
          <w:szCs w:val="21"/>
          <w:highlight w:val="none"/>
        </w:rPr>
        <w:t>。</w:t>
      </w:r>
    </w:p>
    <w:p w14:paraId="629233C6">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（4）价格调整：</w:t>
      </w:r>
      <w:r>
        <w:rPr>
          <w:rFonts w:hint="eastAsia" w:ascii="宋体" w:hAnsi="宋体"/>
          <w:szCs w:val="21"/>
          <w:highlight w:val="none"/>
          <w:u w:val="single"/>
        </w:rPr>
        <w:t>按照第11条〔价格调整〕约定约定执行</w:t>
      </w:r>
      <w:r>
        <w:rPr>
          <w:rFonts w:hint="eastAsia" w:ascii="宋体" w:hAnsi="宋体"/>
          <w:szCs w:val="21"/>
          <w:highlight w:val="none"/>
        </w:rPr>
        <w:t>。</w:t>
      </w:r>
    </w:p>
    <w:p w14:paraId="52BF2738">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（5）工程变更、索赔与现场签证：</w:t>
      </w:r>
    </w:p>
    <w:p w14:paraId="2E6359C2">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AC891AB">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2）索赔：按照第10.4.1项〔变更估价原则〕和第14.2.1项〔竣工结算办法〕约定执行。</w:t>
      </w:r>
    </w:p>
    <w:p w14:paraId="42DFFB50">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3）现场签证：按照第10.4.1项〔变更估价原则〕和第14.2.1项〔竣工结算办法〕约定执行。</w:t>
      </w:r>
    </w:p>
    <w:p w14:paraId="5AA3D947">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（6）奖励、罚金、违约金及其他费用：</w:t>
      </w:r>
      <w:r>
        <w:rPr>
          <w:rFonts w:hint="eastAsia" w:ascii="宋体" w:hAnsi="宋体"/>
          <w:szCs w:val="21"/>
          <w:highlight w:val="none"/>
          <w:u w:val="single"/>
        </w:rPr>
        <w:t>按实进行结算</w:t>
      </w:r>
      <w:r>
        <w:rPr>
          <w:rFonts w:hint="eastAsia" w:ascii="宋体" w:hAnsi="宋体"/>
          <w:szCs w:val="21"/>
          <w:highlight w:val="none"/>
        </w:rPr>
        <w:t>。</w:t>
      </w:r>
    </w:p>
    <w:p w14:paraId="781AEB45">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（7）规费：已标价工程量清单中规费费用按《重庆市建设工程费用定额》（CQFYDE-2018）执行。</w:t>
      </w:r>
    </w:p>
    <w:p w14:paraId="7E3BD9AD">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2461647">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14.2.1.3竣工结算价</w:t>
      </w:r>
    </w:p>
    <w:p w14:paraId="559AE59F">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bookmarkStart w:id="1848" w:name="_Hlk528660512"/>
      <w:r>
        <w:rPr>
          <w:rFonts w:hint="eastAsia" w:ascii="宋体" w:hAnsi="宋体"/>
          <w:szCs w:val="21"/>
          <w:highlight w:val="none"/>
          <w:u w:val="single"/>
        </w:rPr>
        <w:t>以发包人会同跟审单位、监理人、承包人根据有效资料共同确定竣工结算金额作为合同竣工结算价</w:t>
      </w:r>
      <w:r>
        <w:rPr>
          <w:rFonts w:hint="eastAsia" w:ascii="宋体" w:hAnsi="宋体"/>
          <w:szCs w:val="21"/>
          <w:highlight w:val="none"/>
        </w:rPr>
        <w:t>。</w:t>
      </w:r>
    </w:p>
    <w:bookmarkEnd w:id="1848"/>
    <w:p w14:paraId="5D3632B9">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14.2.2 竣工结算审核期限</w:t>
      </w:r>
    </w:p>
    <w:p w14:paraId="313830C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监理人审核竣工付款申请单的期限：</w:t>
      </w:r>
      <w:r>
        <w:rPr>
          <w:rFonts w:hint="eastAsia" w:ascii="宋体" w:hAnsi="宋体"/>
          <w:szCs w:val="21"/>
          <w:highlight w:val="none"/>
          <w:u w:val="single"/>
        </w:rPr>
        <w:t>不超过  日</w:t>
      </w:r>
      <w:r>
        <w:rPr>
          <w:rFonts w:hint="eastAsia" w:ascii="宋体" w:hAnsi="宋体"/>
          <w:szCs w:val="21"/>
          <w:highlight w:val="none"/>
        </w:rPr>
        <w:t>。</w:t>
      </w:r>
    </w:p>
    <w:p w14:paraId="0BCF12E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发包人审核竣工付款申请单的期限：</w:t>
      </w:r>
      <w:r>
        <w:rPr>
          <w:rFonts w:hint="eastAsia" w:ascii="宋体" w:hAnsi="宋体"/>
          <w:szCs w:val="21"/>
          <w:highlight w:val="none"/>
          <w:u w:val="single"/>
        </w:rPr>
        <w:t>不超过  日</w:t>
      </w:r>
      <w:r>
        <w:rPr>
          <w:rFonts w:hint="eastAsia" w:ascii="宋体" w:hAnsi="宋体"/>
          <w:szCs w:val="21"/>
          <w:highlight w:val="none"/>
        </w:rPr>
        <w:t>。</w:t>
      </w:r>
    </w:p>
    <w:p w14:paraId="4A966DA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发包人完成竣工付款的期限：</w:t>
      </w:r>
      <w:r>
        <w:rPr>
          <w:rFonts w:hint="eastAsia" w:ascii="宋体" w:hAnsi="宋体"/>
          <w:szCs w:val="21"/>
          <w:highlight w:val="none"/>
          <w:u w:val="single"/>
        </w:rPr>
        <w:t>完成竣工付款申请单审核后  天内</w:t>
      </w:r>
      <w:r>
        <w:rPr>
          <w:rFonts w:hint="eastAsia" w:ascii="宋体" w:hAnsi="宋体"/>
          <w:szCs w:val="21"/>
          <w:highlight w:val="none"/>
        </w:rPr>
        <w:t>。</w:t>
      </w:r>
    </w:p>
    <w:p w14:paraId="585223D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关于竣工付款证书异议部分复核的方式和程序： 按照第20条〔争议解决〕约定处理。</w:t>
      </w:r>
    </w:p>
    <w:p w14:paraId="5A1D9494">
      <w:pPr>
        <w:pStyle w:val="7"/>
        <w:spacing w:before="0" w:beforeAutospacing="0" w:after="0" w:afterAutospacing="0" w:line="360" w:lineRule="auto"/>
        <w:ind w:firstLine="422" w:firstLineChars="200"/>
        <w:rPr>
          <w:sz w:val="21"/>
          <w:szCs w:val="21"/>
          <w:highlight w:val="none"/>
        </w:rPr>
      </w:pPr>
      <w:bookmarkStart w:id="1849" w:name="_Toc532375659"/>
      <w:bookmarkStart w:id="1850" w:name="_Toc532377396"/>
      <w:r>
        <w:rPr>
          <w:rFonts w:hint="eastAsia"/>
          <w:sz w:val="21"/>
          <w:szCs w:val="21"/>
          <w:highlight w:val="none"/>
        </w:rPr>
        <w:t>14.4 最终结清</w:t>
      </w:r>
      <w:bookmarkEnd w:id="1849"/>
      <w:bookmarkEnd w:id="1850"/>
    </w:p>
    <w:p w14:paraId="0E32494E">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14.4.1 最终结清申请单</w:t>
      </w:r>
    </w:p>
    <w:p w14:paraId="7625ECE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承包人提交最终结清申请单的份数：</w:t>
      </w:r>
      <w:r>
        <w:rPr>
          <w:rFonts w:hint="eastAsia" w:ascii="宋体" w:hAnsi="宋体"/>
          <w:szCs w:val="21"/>
          <w:highlight w:val="none"/>
          <w:u w:val="single"/>
        </w:rPr>
        <w:t>3份</w:t>
      </w:r>
      <w:r>
        <w:rPr>
          <w:rFonts w:hint="eastAsia" w:ascii="宋体" w:hAnsi="宋体"/>
          <w:szCs w:val="21"/>
          <w:highlight w:val="none"/>
        </w:rPr>
        <w:t>。</w:t>
      </w:r>
    </w:p>
    <w:p w14:paraId="30BD4151">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承包人提交最终结算申请单的期限：</w:t>
      </w:r>
      <w:r>
        <w:rPr>
          <w:rFonts w:hint="eastAsia" w:ascii="宋体" w:hAnsi="宋体"/>
          <w:szCs w:val="21"/>
          <w:highlight w:val="none"/>
          <w:u w:val="single"/>
        </w:rPr>
        <w:t>缺陷责任期终止证书颁发后14天内</w:t>
      </w:r>
      <w:r>
        <w:rPr>
          <w:rFonts w:hint="eastAsia" w:ascii="宋体" w:hAnsi="宋体"/>
          <w:szCs w:val="21"/>
          <w:highlight w:val="none"/>
        </w:rPr>
        <w:t>。</w:t>
      </w:r>
    </w:p>
    <w:p w14:paraId="23881093">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14.4.2 最终结清证书和支付</w:t>
      </w:r>
    </w:p>
    <w:p w14:paraId="5B53415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（1）发包人完成最终结清申请单的审批并颁发最终结清证书的期限：</w:t>
      </w:r>
      <w:r>
        <w:rPr>
          <w:rFonts w:hint="eastAsia" w:ascii="宋体" w:hAnsi="宋体"/>
          <w:szCs w:val="21"/>
          <w:highlight w:val="none"/>
          <w:u w:val="single"/>
        </w:rPr>
        <w:t>发包人收到完整资料后14天内完成审批并颁发最终结清证书</w:t>
      </w:r>
      <w:r>
        <w:rPr>
          <w:rFonts w:hint="eastAsia" w:ascii="宋体" w:hAnsi="宋体"/>
          <w:szCs w:val="21"/>
          <w:highlight w:val="none"/>
        </w:rPr>
        <w:t>。</w:t>
      </w:r>
    </w:p>
    <w:p w14:paraId="16514134">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（2）发包人完成支付的期限：</w:t>
      </w:r>
      <w:r>
        <w:rPr>
          <w:rFonts w:hint="eastAsia" w:ascii="宋体" w:hAnsi="宋体"/>
          <w:szCs w:val="21"/>
          <w:highlight w:val="none"/>
          <w:u w:val="single"/>
        </w:rPr>
        <w:t>颁发最终结清证书的14天内</w:t>
      </w:r>
      <w:r>
        <w:rPr>
          <w:rFonts w:hint="eastAsia" w:ascii="宋体" w:hAnsi="宋体"/>
          <w:szCs w:val="21"/>
          <w:highlight w:val="none"/>
        </w:rPr>
        <w:t>。</w:t>
      </w:r>
    </w:p>
    <w:p w14:paraId="62E0F67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本条补充14.5款：</w:t>
      </w:r>
    </w:p>
    <w:bookmarkEnd w:id="1810"/>
    <w:bookmarkEnd w:id="1811"/>
    <w:bookmarkEnd w:id="1812"/>
    <w:bookmarkEnd w:id="1813"/>
    <w:bookmarkEnd w:id="1814"/>
    <w:bookmarkEnd w:id="1815"/>
    <w:bookmarkEnd w:id="1816"/>
    <w:bookmarkEnd w:id="1817"/>
    <w:p w14:paraId="6877568E">
      <w:pPr>
        <w:pStyle w:val="7"/>
        <w:spacing w:before="0" w:beforeAutospacing="0" w:after="0" w:afterAutospacing="0" w:line="360" w:lineRule="auto"/>
        <w:ind w:firstLine="422" w:firstLineChars="200"/>
        <w:rPr>
          <w:sz w:val="21"/>
          <w:szCs w:val="21"/>
          <w:highlight w:val="none"/>
        </w:rPr>
      </w:pPr>
      <w:bookmarkStart w:id="1851" w:name="_Toc532375660"/>
      <w:bookmarkStart w:id="1852" w:name="_Toc532377397"/>
      <w:r>
        <w:rPr>
          <w:rFonts w:hint="eastAsia"/>
          <w:sz w:val="21"/>
          <w:szCs w:val="21"/>
          <w:highlight w:val="none"/>
        </w:rPr>
        <w:t>14.5 逾期办理或不配合办理竣工结算的处理</w:t>
      </w:r>
      <w:bookmarkEnd w:id="1851"/>
      <w:bookmarkEnd w:id="1852"/>
    </w:p>
    <w:p w14:paraId="3A6B51D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有下列情形之一的，视为承包人放弃与发包人共同办理竣工结算的权利，发包人有权会同跟审单位、监理人根据有效资料共同确定竣工结算金额。</w:t>
      </w:r>
    </w:p>
    <w:p w14:paraId="25862C8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（1）承包人逾期未报送竣工结算资料，亦未获得发包人批准延期报送，经发包人两</w:t>
      </w:r>
      <w:bookmarkStart w:id="1853" w:name="_Hlk529133622"/>
      <w:r>
        <w:rPr>
          <w:rFonts w:hint="eastAsia" w:ascii="宋体" w:hAnsi="宋体"/>
          <w:szCs w:val="21"/>
          <w:highlight w:val="none"/>
        </w:rPr>
        <w:t>次书面催告仍未在限期内报送的</w:t>
      </w:r>
      <w:bookmarkEnd w:id="1853"/>
      <w:r>
        <w:rPr>
          <w:rFonts w:hint="eastAsia" w:ascii="宋体" w:hAnsi="宋体"/>
          <w:szCs w:val="21"/>
          <w:highlight w:val="none"/>
        </w:rPr>
        <w:t>；</w:t>
      </w:r>
    </w:p>
    <w:p w14:paraId="20E98C94">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4AC54C84">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（3）承包人不配合发包人、跟审单位、监理人、发包人委托的工程造价咨询服务单位办理竣工结算的，经发包人两次书面函告仍未改正的。</w:t>
      </w:r>
    </w:p>
    <w:p w14:paraId="7277E0C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u w:val="single"/>
        </w:rPr>
        <w:t xml:space="preserve">        </w:t>
      </w:r>
      <w:r>
        <w:rPr>
          <w:rFonts w:hint="eastAsia" w:ascii="宋体" w:hAnsi="宋体"/>
          <w:szCs w:val="21"/>
          <w:highlight w:val="none"/>
        </w:rPr>
        <w:t>。</w:t>
      </w:r>
    </w:p>
    <w:p w14:paraId="7755C5DD">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highlight w:val="none"/>
        </w:rPr>
        <w:t>。</w:t>
      </w:r>
    </w:p>
    <w:bookmarkEnd w:id="1518"/>
    <w:bookmarkEnd w:id="1519"/>
    <w:bookmarkEnd w:id="1520"/>
    <w:bookmarkEnd w:id="1521"/>
    <w:bookmarkEnd w:id="1522"/>
    <w:bookmarkEnd w:id="1523"/>
    <w:bookmarkEnd w:id="1524"/>
    <w:bookmarkEnd w:id="1525"/>
    <w:p w14:paraId="18D95B74">
      <w:pPr>
        <w:pStyle w:val="6"/>
        <w:keepNext/>
        <w:keepLines/>
        <w:spacing w:before="156" w:beforeLines="50" w:beforeAutospacing="0" w:after="156" w:afterLines="50" w:afterAutospacing="0" w:line="360" w:lineRule="auto"/>
        <w:jc w:val="both"/>
        <w:rPr>
          <w:bCs w:val="0"/>
          <w:kern w:val="2"/>
          <w:sz w:val="21"/>
          <w:szCs w:val="21"/>
          <w:highlight w:val="none"/>
        </w:rPr>
      </w:pPr>
      <w:bookmarkStart w:id="1854" w:name="_Toc351203647"/>
      <w:bookmarkStart w:id="1855" w:name="_Toc532377398"/>
      <w:bookmarkStart w:id="1856" w:name="_Toc532375661"/>
      <w:bookmarkStart w:id="1857" w:name="_Toc267251483"/>
      <w:bookmarkStart w:id="1858" w:name="_Toc280868718"/>
      <w:bookmarkStart w:id="1859" w:name="_Toc280868717"/>
      <w:r>
        <w:rPr>
          <w:rFonts w:hint="eastAsia"/>
          <w:kern w:val="2"/>
          <w:sz w:val="21"/>
          <w:szCs w:val="21"/>
          <w:highlight w:val="none"/>
        </w:rPr>
        <w:t>15. 缺陷责任期与保修</w:t>
      </w:r>
      <w:bookmarkEnd w:id="1854"/>
      <w:bookmarkEnd w:id="1855"/>
      <w:bookmarkEnd w:id="1856"/>
    </w:p>
    <w:bookmarkEnd w:id="1857"/>
    <w:p w14:paraId="5C230255">
      <w:pPr>
        <w:pStyle w:val="7"/>
        <w:spacing w:before="0" w:beforeAutospacing="0" w:after="0" w:afterAutospacing="0" w:line="360" w:lineRule="auto"/>
        <w:ind w:firstLine="422" w:firstLineChars="200"/>
        <w:rPr>
          <w:sz w:val="21"/>
          <w:szCs w:val="21"/>
          <w:highlight w:val="none"/>
        </w:rPr>
      </w:pPr>
      <w:bookmarkStart w:id="1860" w:name="_Toc532377399"/>
      <w:bookmarkStart w:id="1861" w:name="_Toc532375662"/>
      <w:r>
        <w:rPr>
          <w:rFonts w:hint="eastAsia"/>
          <w:sz w:val="21"/>
          <w:szCs w:val="21"/>
          <w:highlight w:val="none"/>
        </w:rPr>
        <w:t>15.3 质量保证金</w:t>
      </w:r>
      <w:bookmarkEnd w:id="1860"/>
      <w:bookmarkEnd w:id="1861"/>
    </w:p>
    <w:p w14:paraId="1BF4DF0A">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15.3.1 承包人提供质量保证金的方式</w:t>
      </w:r>
    </w:p>
    <w:p w14:paraId="0DD378C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质量保证金采用以下第</w:t>
      </w:r>
      <w:r>
        <w:rPr>
          <w:rFonts w:hint="eastAsia" w:ascii="宋体" w:hAnsi="宋体"/>
          <w:szCs w:val="21"/>
          <w:highlight w:val="none"/>
          <w:u w:val="single"/>
        </w:rPr>
        <w:t xml:space="preserve">    </w:t>
      </w:r>
      <w:r>
        <w:rPr>
          <w:rFonts w:hint="eastAsia" w:ascii="宋体" w:hAnsi="宋体"/>
          <w:szCs w:val="21"/>
          <w:highlight w:val="none"/>
        </w:rPr>
        <w:t>种方式：</w:t>
      </w:r>
    </w:p>
    <w:p w14:paraId="752E0B6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（1）质量保证金保函</w:t>
      </w:r>
    </w:p>
    <w:p w14:paraId="554D9EE7">
      <w:pPr>
        <w:spacing w:line="360" w:lineRule="auto"/>
        <w:ind w:right="105" w:rightChars="50" w:firstLine="420" w:firstLineChars="200"/>
        <w:jc w:val="left"/>
        <w:rPr>
          <w:rFonts w:hint="eastAsia" w:ascii="宋体" w:hAnsi="宋体" w:eastAsia="宋体"/>
          <w:szCs w:val="21"/>
          <w:highlight w:val="none"/>
          <w:lang w:eastAsia="zh-CN"/>
        </w:rPr>
      </w:pPr>
      <w:r>
        <w:rPr>
          <w:rFonts w:hint="eastAsia" w:ascii="宋体" w:hAnsi="宋体"/>
          <w:szCs w:val="21"/>
          <w:highlight w:val="none"/>
          <w:u w:val="none"/>
        </w:rPr>
        <w:t>1）</w:t>
      </w:r>
      <w:r>
        <w:rPr>
          <w:rFonts w:hint="eastAsia" w:ascii="宋体" w:hAnsi="宋体"/>
          <w:szCs w:val="21"/>
          <w:highlight w:val="none"/>
          <w:u w:val="none"/>
          <w:lang w:val="en-US" w:eastAsia="zh-CN"/>
        </w:rPr>
        <w:t>缴纳形式：</w:t>
      </w:r>
      <w:r>
        <w:rPr>
          <w:rFonts w:hint="eastAsia" w:ascii="宋体" w:hAnsi="宋体"/>
          <w:kern w:val="0"/>
          <w:szCs w:val="21"/>
          <w:highlight w:val="none"/>
          <w:u w:val="none"/>
          <w:lang w:val="en-US" w:eastAsia="zh-CN"/>
        </w:rPr>
        <w:t>质量保证金</w:t>
      </w:r>
      <w:r>
        <w:rPr>
          <w:rFonts w:hint="eastAsia" w:ascii="宋体" w:hAnsi="宋体"/>
          <w:kern w:val="0"/>
          <w:szCs w:val="21"/>
          <w:highlight w:val="none"/>
          <w:u w:val="none"/>
        </w:rPr>
        <w:t>保函包括银行保函、保证保险和担保保函</w:t>
      </w:r>
      <w:r>
        <w:rPr>
          <w:rFonts w:hint="eastAsia" w:ascii="宋体" w:hAnsi="宋体"/>
          <w:szCs w:val="21"/>
          <w:highlight w:val="none"/>
          <w:u w:val="none"/>
          <w:lang w:eastAsia="zh-CN"/>
        </w:rPr>
        <w:t>，</w:t>
      </w:r>
      <w:r>
        <w:rPr>
          <w:rFonts w:hint="eastAsia" w:ascii="宋体" w:hAnsi="宋体"/>
          <w:szCs w:val="21"/>
          <w:highlight w:val="none"/>
          <w:u w:val="none"/>
          <w:lang w:val="en-US" w:eastAsia="zh-CN"/>
        </w:rPr>
        <w:t>其示范文本详见合同附件</w:t>
      </w:r>
      <w:r>
        <w:rPr>
          <w:rFonts w:hint="eastAsia" w:ascii="宋体" w:hAnsi="宋体"/>
          <w:szCs w:val="21"/>
          <w:highlight w:val="none"/>
          <w:u w:val="none"/>
          <w:lang w:eastAsia="zh-CN"/>
        </w:rPr>
        <w:t>。</w:t>
      </w:r>
      <w:r>
        <w:rPr>
          <w:rFonts w:hint="eastAsia" w:ascii="宋体" w:hAnsi="宋体"/>
          <w:kern w:val="0"/>
          <w:szCs w:val="21"/>
          <w:highlight w:val="none"/>
          <w:u w:val="none"/>
          <w:lang w:val="en-US" w:eastAsia="zh-CN"/>
        </w:rPr>
        <w:t>承包人提交的质量保证金</w:t>
      </w:r>
      <w:r>
        <w:rPr>
          <w:rFonts w:hint="eastAsia" w:ascii="宋体" w:hAnsi="宋体"/>
          <w:kern w:val="0"/>
          <w:szCs w:val="21"/>
          <w:highlight w:val="none"/>
          <w:u w:val="none"/>
        </w:rPr>
        <w:t>保函</w:t>
      </w:r>
      <w:r>
        <w:rPr>
          <w:rFonts w:hint="eastAsia" w:ascii="宋体" w:hAnsi="宋体"/>
          <w:kern w:val="0"/>
          <w:szCs w:val="21"/>
          <w:highlight w:val="none"/>
          <w:u w:val="none"/>
          <w:lang w:val="en-US" w:eastAsia="zh-CN"/>
        </w:rPr>
        <w:t>应</w:t>
      </w:r>
      <w:r>
        <w:rPr>
          <w:rFonts w:hint="eastAsia" w:ascii="宋体" w:hAnsi="宋体"/>
          <w:kern w:val="0"/>
          <w:szCs w:val="21"/>
          <w:highlight w:val="none"/>
          <w:u w:val="none"/>
        </w:rPr>
        <w:t>严格执行</w:t>
      </w:r>
      <w:r>
        <w:rPr>
          <w:rFonts w:hint="eastAsia" w:ascii="宋体" w:hAnsi="宋体"/>
          <w:kern w:val="0"/>
          <w:szCs w:val="21"/>
          <w:highlight w:val="none"/>
          <w:u w:val="none"/>
          <w:lang w:val="en-US" w:eastAsia="zh-CN"/>
        </w:rPr>
        <w:t>其</w:t>
      </w:r>
      <w:r>
        <w:rPr>
          <w:rFonts w:hint="eastAsia" w:ascii="宋体" w:hAnsi="宋体"/>
          <w:kern w:val="0"/>
          <w:szCs w:val="21"/>
          <w:highlight w:val="none"/>
          <w:u w:val="none"/>
        </w:rPr>
        <w:t>示范文本，不得对示范文本中的实质性内容进行修改</w:t>
      </w:r>
      <w:r>
        <w:rPr>
          <w:rFonts w:hint="eastAsia" w:ascii="宋体" w:hAnsi="宋体"/>
          <w:szCs w:val="21"/>
          <w:highlight w:val="none"/>
          <w:u w:val="none"/>
          <w:lang w:eastAsia="zh-CN"/>
        </w:rPr>
        <w:t>。</w:t>
      </w:r>
    </w:p>
    <w:p w14:paraId="345DAA9D">
      <w:pPr>
        <w:spacing w:line="360" w:lineRule="auto"/>
        <w:ind w:right="105" w:rightChars="50"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2）具体要求：</w:t>
      </w:r>
      <w:r>
        <w:rPr>
          <w:rFonts w:hint="eastAsia" w:ascii="宋体" w:hAnsi="宋体"/>
          <w:kern w:val="0"/>
          <w:szCs w:val="21"/>
          <w:highlight w:val="none"/>
          <w:lang w:val="en-US" w:eastAsia="zh-CN"/>
        </w:rPr>
        <w:t>质量保证金</w:t>
      </w:r>
      <w:r>
        <w:rPr>
          <w:rFonts w:hint="eastAsia" w:ascii="宋体" w:hAnsi="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kern w:val="0"/>
          <w:szCs w:val="21"/>
          <w:highlight w:val="none"/>
          <w:lang w:eastAsia="zh-CN"/>
        </w:rPr>
        <w:t>。</w:t>
      </w:r>
      <w:r>
        <w:rPr>
          <w:rFonts w:hint="eastAsia" w:ascii="宋体" w:hAnsi="宋体"/>
          <w:kern w:val="0"/>
          <w:szCs w:val="21"/>
          <w:highlight w:val="none"/>
          <w:lang w:val="en-US" w:eastAsia="zh-CN"/>
        </w:rPr>
        <w:t>质量保证金</w:t>
      </w:r>
      <w:r>
        <w:rPr>
          <w:rFonts w:hint="eastAsia" w:ascii="宋体" w:hAnsi="宋体"/>
          <w:kern w:val="0"/>
          <w:szCs w:val="21"/>
          <w:highlight w:val="none"/>
        </w:rPr>
        <w:t>保函</w:t>
      </w:r>
      <w:r>
        <w:rPr>
          <w:rFonts w:hint="eastAsia" w:ascii="宋体" w:hAnsi="宋体"/>
          <w:kern w:val="0"/>
          <w:szCs w:val="21"/>
          <w:highlight w:val="none"/>
          <w:lang w:eastAsia="zh-CN"/>
        </w:rPr>
        <w:t>应合法合规，符合招投标行政监督部门、行业主管部门和金融监管部门的相关规定，满足招标文件约定要求。</w:t>
      </w:r>
      <w:r>
        <w:rPr>
          <w:rFonts w:hint="eastAsia" w:ascii="宋体" w:hAnsi="宋体"/>
          <w:kern w:val="0"/>
          <w:szCs w:val="21"/>
          <w:highlight w:val="none"/>
          <w:lang w:val="en-US" w:eastAsia="zh-CN"/>
        </w:rPr>
        <w:t>承包人</w:t>
      </w:r>
      <w:r>
        <w:rPr>
          <w:rFonts w:hint="eastAsia" w:ascii="宋体" w:hAnsi="宋体"/>
          <w:kern w:val="0"/>
          <w:szCs w:val="21"/>
          <w:highlight w:val="none"/>
        </w:rPr>
        <w:t>应选择在渝依法设立总部或者设有分支机构的金融机构开具</w:t>
      </w:r>
      <w:r>
        <w:rPr>
          <w:rFonts w:hint="eastAsia" w:ascii="宋体" w:hAnsi="宋体"/>
          <w:kern w:val="0"/>
          <w:szCs w:val="21"/>
          <w:highlight w:val="none"/>
          <w:lang w:val="en-US" w:eastAsia="zh-CN"/>
        </w:rPr>
        <w:t>质量保证金</w:t>
      </w:r>
      <w:r>
        <w:rPr>
          <w:rFonts w:hint="eastAsia" w:ascii="宋体" w:hAnsi="宋体"/>
          <w:kern w:val="0"/>
          <w:szCs w:val="21"/>
          <w:highlight w:val="none"/>
        </w:rPr>
        <w:t>保函</w:t>
      </w:r>
      <w:r>
        <w:rPr>
          <w:rFonts w:hint="eastAsia" w:ascii="宋体" w:hAnsi="宋体"/>
          <w:kern w:val="0"/>
          <w:szCs w:val="21"/>
          <w:highlight w:val="none"/>
          <w:lang w:val="en-US" w:eastAsia="zh-CN"/>
        </w:rPr>
        <w:t>（包括纸质保函或电子保函）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质量保证金</w:t>
      </w:r>
      <w:r>
        <w:rPr>
          <w:rFonts w:hint="eastAsia" w:ascii="宋体" w:hAnsi="宋体"/>
          <w:kern w:val="0"/>
          <w:szCs w:val="21"/>
          <w:highlight w:val="none"/>
        </w:rPr>
        <w:t>保函</w:t>
      </w:r>
      <w:r>
        <w:rPr>
          <w:rFonts w:hint="eastAsia" w:ascii="宋体" w:hAnsi="宋体"/>
          <w:kern w:val="0"/>
          <w:szCs w:val="21"/>
          <w:highlight w:val="none"/>
          <w:lang w:val="en-US" w:eastAsia="zh-CN"/>
        </w:rPr>
        <w:t>为纸质保函的，纸质保函应注明在</w:t>
      </w:r>
      <w:r>
        <w:rPr>
          <w:rFonts w:hint="eastAsia" w:ascii="宋体" w:hAnsi="宋体"/>
          <w:kern w:val="0"/>
          <w:szCs w:val="21"/>
          <w:highlight w:val="none"/>
        </w:rPr>
        <w:t>重庆市辖区范围内的核验地址和核验方式</w:t>
      </w:r>
      <w:r>
        <w:rPr>
          <w:rFonts w:hint="eastAsia" w:ascii="宋体" w:hAnsi="宋体"/>
          <w:kern w:val="0"/>
          <w:szCs w:val="21"/>
          <w:highlight w:val="none"/>
          <w:lang w:eastAsia="zh-CN"/>
        </w:rPr>
        <w:t>，</w:t>
      </w:r>
      <w:r>
        <w:rPr>
          <w:rFonts w:hint="eastAsia" w:ascii="宋体" w:hAnsi="宋体"/>
          <w:kern w:val="0"/>
          <w:szCs w:val="21"/>
          <w:highlight w:val="none"/>
          <w:lang w:val="en-US" w:eastAsia="zh-CN"/>
        </w:rPr>
        <w:t>并确保该纸质保函能在开立人在渝的总部或者分支机构进行核验</w:t>
      </w:r>
      <w:r>
        <w:rPr>
          <w:rFonts w:hint="eastAsia" w:ascii="宋体" w:hAnsi="宋体"/>
          <w:kern w:val="0"/>
          <w:szCs w:val="21"/>
          <w:highlight w:val="none"/>
          <w:lang w:eastAsia="zh-CN"/>
        </w:rPr>
        <w:t>。</w:t>
      </w:r>
      <w:r>
        <w:rPr>
          <w:rFonts w:hint="eastAsia" w:ascii="宋体" w:hAnsi="宋体"/>
          <w:kern w:val="0"/>
          <w:szCs w:val="21"/>
          <w:highlight w:val="none"/>
          <w:lang w:val="en-US" w:eastAsia="zh-CN"/>
        </w:rPr>
        <w:t>承包人对所提交的质量保证金</w:t>
      </w:r>
      <w:r>
        <w:rPr>
          <w:rFonts w:hint="eastAsia" w:ascii="宋体" w:hAnsi="宋体"/>
          <w:kern w:val="0"/>
          <w:szCs w:val="21"/>
          <w:highlight w:val="none"/>
        </w:rPr>
        <w:t>保函</w:t>
      </w:r>
      <w:r>
        <w:rPr>
          <w:rFonts w:hint="eastAsia" w:ascii="宋体" w:hAnsi="宋体"/>
          <w:kern w:val="0"/>
          <w:szCs w:val="21"/>
          <w:highlight w:val="none"/>
          <w:lang w:val="en-US" w:eastAsia="zh-CN"/>
        </w:rPr>
        <w:t>的真实性、合法性、有效性负责。</w:t>
      </w:r>
    </w:p>
    <w:p w14:paraId="7289AC4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3）保函金额为：</w:t>
      </w:r>
      <w:r>
        <w:rPr>
          <w:rFonts w:hint="eastAsia" w:ascii="宋体" w:hAnsi="宋体"/>
          <w:szCs w:val="21"/>
          <w:highlight w:val="none"/>
          <w:u w:val="single"/>
        </w:rPr>
        <w:t xml:space="preserve">    </w:t>
      </w:r>
      <w:r>
        <w:rPr>
          <w:rFonts w:hint="eastAsia" w:ascii="宋体" w:hAnsi="宋体"/>
          <w:szCs w:val="21"/>
          <w:highlight w:val="none"/>
        </w:rPr>
        <w:t>。</w:t>
      </w:r>
    </w:p>
    <w:p w14:paraId="5161D1BD">
      <w:pPr>
        <w:spacing w:line="360" w:lineRule="auto"/>
        <w:ind w:right="105" w:rightChars="50" w:firstLine="420" w:firstLineChars="200"/>
        <w:jc w:val="left"/>
        <w:rPr>
          <w:rFonts w:ascii="宋体" w:hAnsi="宋体"/>
          <w:szCs w:val="21"/>
          <w:highlight w:val="none"/>
        </w:rPr>
      </w:pPr>
      <w:r>
        <w:rPr>
          <w:rFonts w:hint="default" w:ascii="宋体" w:hAnsi="宋体"/>
          <w:szCs w:val="21"/>
          <w:highlight w:val="none"/>
          <w:lang w:val="en-US"/>
        </w:rPr>
        <w:t>4</w:t>
      </w:r>
      <w:r>
        <w:rPr>
          <w:rFonts w:hint="eastAsia" w:ascii="宋体" w:hAnsi="宋体"/>
          <w:szCs w:val="21"/>
          <w:highlight w:val="none"/>
        </w:rPr>
        <w:t>）提交时间：</w:t>
      </w:r>
      <w:r>
        <w:rPr>
          <w:rFonts w:hint="eastAsia" w:ascii="宋体" w:hAnsi="宋体"/>
          <w:szCs w:val="21"/>
          <w:highlight w:val="none"/>
          <w:u w:val="single"/>
        </w:rPr>
        <w:t>工程竣工验收合格后14天内</w:t>
      </w:r>
      <w:r>
        <w:rPr>
          <w:rFonts w:hint="eastAsia" w:ascii="宋体" w:hAnsi="宋体"/>
          <w:szCs w:val="21"/>
          <w:highlight w:val="none"/>
        </w:rPr>
        <w:t>。</w:t>
      </w:r>
    </w:p>
    <w:p w14:paraId="46363FA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highlight w:val="none"/>
        </w:rPr>
        <w:t>。</w:t>
      </w:r>
    </w:p>
    <w:p w14:paraId="4FE6423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（2）竣工结算价的</w:t>
      </w:r>
      <w:r>
        <w:rPr>
          <w:rFonts w:hint="eastAsia" w:ascii="宋体" w:hAnsi="宋体"/>
          <w:szCs w:val="21"/>
          <w:highlight w:val="none"/>
          <w:u w:val="single"/>
        </w:rPr>
        <w:t xml:space="preserve"> 3% </w:t>
      </w:r>
      <w:r>
        <w:rPr>
          <w:rFonts w:hint="eastAsia" w:ascii="宋体" w:hAnsi="宋体"/>
          <w:szCs w:val="21"/>
          <w:highlight w:val="none"/>
        </w:rPr>
        <w:t>；</w:t>
      </w:r>
    </w:p>
    <w:p w14:paraId="2F18560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（3）其他方式：</w:t>
      </w:r>
      <w:r>
        <w:rPr>
          <w:rFonts w:hint="eastAsia" w:ascii="宋体" w:hAnsi="宋体"/>
          <w:szCs w:val="21"/>
          <w:highlight w:val="none"/>
          <w:u w:val="single"/>
        </w:rPr>
        <w:t xml:space="preserve"> / </w:t>
      </w:r>
      <w:r>
        <w:rPr>
          <w:rFonts w:hint="eastAsia" w:ascii="宋体" w:hAnsi="宋体"/>
          <w:szCs w:val="21"/>
          <w:highlight w:val="none"/>
        </w:rPr>
        <w:t>。</w:t>
      </w:r>
    </w:p>
    <w:p w14:paraId="54FBEC0E">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15.3.2 质量保证金的扣留</w:t>
      </w:r>
    </w:p>
    <w:p w14:paraId="0CC2E5A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质量保证金的扣留采取以下第</w:t>
      </w:r>
      <w:r>
        <w:rPr>
          <w:rFonts w:hint="eastAsia" w:ascii="宋体" w:hAnsi="宋体"/>
          <w:szCs w:val="21"/>
          <w:highlight w:val="none"/>
          <w:u w:val="single"/>
        </w:rPr>
        <w:t xml:space="preserve">    </w:t>
      </w:r>
      <w:r>
        <w:rPr>
          <w:rFonts w:hint="eastAsia" w:ascii="宋体" w:hAnsi="宋体"/>
          <w:szCs w:val="21"/>
          <w:highlight w:val="none"/>
        </w:rPr>
        <w:t>种方式：</w:t>
      </w:r>
    </w:p>
    <w:p w14:paraId="22115D1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（1）在支付工程进度款时逐次扣留，在此情形下，质量保证金的计算基数不包括预付款的支付、扣回以及价格调整的金额；</w:t>
      </w:r>
    </w:p>
    <w:p w14:paraId="194CDB6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（2）工程竣工结算时一次性扣留质量保证金；</w:t>
      </w:r>
    </w:p>
    <w:p w14:paraId="456CE8C2">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（3）</w:t>
      </w:r>
      <w:r>
        <w:rPr>
          <w:rFonts w:hint="eastAsia" w:ascii="宋体" w:hAnsi="宋体"/>
          <w:szCs w:val="21"/>
          <w:highlight w:val="none"/>
          <w:u w:val="single"/>
        </w:rPr>
        <w:t xml:space="preserve">其他扣留方式：        </w:t>
      </w:r>
      <w:r>
        <w:rPr>
          <w:rFonts w:hint="eastAsia" w:ascii="宋体" w:hAnsi="宋体"/>
          <w:szCs w:val="21"/>
          <w:highlight w:val="none"/>
        </w:rPr>
        <w:t>。</w:t>
      </w:r>
    </w:p>
    <w:p w14:paraId="5CC72043">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15.3.3质量保证金的退还</w:t>
      </w:r>
    </w:p>
    <w:p w14:paraId="2B9A5B5A">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（1）在发包人颁发缺陷责任期终止证书之日起14天内退还。</w:t>
      </w:r>
    </w:p>
    <w:p w14:paraId="0AECF8B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（2）缺陷责任期内，承包人认真履行合同约定的责任，到期后，承包人可向发包人申请返还质量保证金。</w:t>
      </w:r>
    </w:p>
    <w:p w14:paraId="3122D12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（3）质量保证金是否支付利息采取以下</w:t>
      </w:r>
      <w:r>
        <w:rPr>
          <w:rFonts w:hint="eastAsia" w:ascii="宋体" w:hAnsi="宋体"/>
          <w:szCs w:val="21"/>
          <w:highlight w:val="none"/>
          <w:u w:val="single"/>
        </w:rPr>
        <w:t>第②种</w:t>
      </w:r>
      <w:r>
        <w:rPr>
          <w:rFonts w:hint="eastAsia" w:ascii="宋体" w:hAnsi="宋体"/>
          <w:szCs w:val="21"/>
          <w:highlight w:val="none"/>
        </w:rPr>
        <w:t>方式：</w:t>
      </w:r>
    </w:p>
    <w:p w14:paraId="19D61279">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①按照中国人民银行  年  月公布的5年期贷款市场报价利率支付利息</w:t>
      </w:r>
      <w:r>
        <w:rPr>
          <w:rFonts w:hint="eastAsia" w:ascii="宋体" w:hAnsi="宋体"/>
          <w:szCs w:val="21"/>
          <w:highlight w:val="none"/>
        </w:rPr>
        <w:t>。</w:t>
      </w:r>
    </w:p>
    <w:p w14:paraId="7CEF50D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②不采用</w:t>
      </w:r>
      <w:r>
        <w:rPr>
          <w:rFonts w:hint="eastAsia" w:ascii="宋体" w:hAnsi="宋体"/>
          <w:szCs w:val="21"/>
          <w:highlight w:val="none"/>
        </w:rPr>
        <w:t>。</w:t>
      </w:r>
    </w:p>
    <w:p w14:paraId="091C3E3C">
      <w:pPr>
        <w:pStyle w:val="7"/>
        <w:spacing w:before="0" w:beforeAutospacing="0" w:after="0" w:afterAutospacing="0" w:line="360" w:lineRule="auto"/>
        <w:ind w:firstLine="422" w:firstLineChars="200"/>
        <w:rPr>
          <w:sz w:val="21"/>
          <w:szCs w:val="21"/>
          <w:highlight w:val="none"/>
        </w:rPr>
      </w:pPr>
      <w:bookmarkStart w:id="1862" w:name="_Toc532375663"/>
      <w:bookmarkStart w:id="1863" w:name="_Toc532377400"/>
      <w:r>
        <w:rPr>
          <w:rFonts w:hint="eastAsia"/>
          <w:sz w:val="21"/>
          <w:szCs w:val="21"/>
          <w:highlight w:val="none"/>
        </w:rPr>
        <w:t>15.4 保修</w:t>
      </w:r>
      <w:bookmarkEnd w:id="1862"/>
      <w:bookmarkEnd w:id="1863"/>
    </w:p>
    <w:p w14:paraId="7EB91E9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15.4.1 保修责任</w:t>
      </w:r>
    </w:p>
    <w:p w14:paraId="4550747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工程保修期为：</w:t>
      </w:r>
      <w:bookmarkStart w:id="1864" w:name="_Hlk524381274"/>
      <w:r>
        <w:rPr>
          <w:rFonts w:hint="eastAsia" w:ascii="宋体" w:hAnsi="宋体"/>
          <w:szCs w:val="21"/>
          <w:highlight w:val="none"/>
        </w:rPr>
        <w:t>按照附件1《工程质量保修书》的规定执行。</w:t>
      </w:r>
      <w:bookmarkEnd w:id="1864"/>
    </w:p>
    <w:p w14:paraId="31588FC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15.4.3 修复通知</w:t>
      </w:r>
    </w:p>
    <w:p w14:paraId="01CB8AB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承包人收到保修通知并到达工程现场的合理时间：</w:t>
      </w:r>
      <w:r>
        <w:rPr>
          <w:rFonts w:hint="eastAsia" w:ascii="宋体" w:hAnsi="宋体"/>
          <w:szCs w:val="21"/>
          <w:highlight w:val="none"/>
          <w:u w:val="single"/>
        </w:rPr>
        <w:t xml:space="preserve">  小时内，最长不能超过  小时</w:t>
      </w:r>
      <w:r>
        <w:rPr>
          <w:rFonts w:hint="eastAsia" w:ascii="宋体" w:hAnsi="宋体"/>
          <w:szCs w:val="21"/>
          <w:highlight w:val="none"/>
        </w:rPr>
        <w:t>。</w:t>
      </w:r>
    </w:p>
    <w:p w14:paraId="1A9580DE">
      <w:pPr>
        <w:pStyle w:val="6"/>
        <w:keepNext/>
        <w:keepLines/>
        <w:spacing w:before="156" w:beforeLines="50" w:beforeAutospacing="0" w:after="156" w:afterLines="50" w:afterAutospacing="0" w:line="360" w:lineRule="auto"/>
        <w:jc w:val="both"/>
        <w:rPr>
          <w:bCs w:val="0"/>
          <w:kern w:val="2"/>
          <w:sz w:val="21"/>
          <w:szCs w:val="21"/>
          <w:highlight w:val="none"/>
        </w:rPr>
      </w:pPr>
      <w:bookmarkStart w:id="1865" w:name="_Toc351203648"/>
      <w:bookmarkStart w:id="1866" w:name="_Toc532375664"/>
      <w:bookmarkStart w:id="1867" w:name="_Toc532377401"/>
      <w:r>
        <w:rPr>
          <w:rFonts w:hint="eastAsia"/>
          <w:kern w:val="2"/>
          <w:sz w:val="21"/>
          <w:szCs w:val="21"/>
          <w:highlight w:val="none"/>
        </w:rPr>
        <w:t>16. 违约</w:t>
      </w:r>
      <w:bookmarkEnd w:id="1865"/>
      <w:bookmarkEnd w:id="1866"/>
      <w:bookmarkEnd w:id="1867"/>
    </w:p>
    <w:p w14:paraId="4AAE14BC">
      <w:pPr>
        <w:pStyle w:val="7"/>
        <w:spacing w:before="0" w:beforeAutospacing="0" w:after="0" w:afterAutospacing="0" w:line="360" w:lineRule="auto"/>
        <w:ind w:firstLine="422" w:firstLineChars="200"/>
        <w:rPr>
          <w:sz w:val="21"/>
          <w:szCs w:val="21"/>
          <w:highlight w:val="none"/>
        </w:rPr>
      </w:pPr>
      <w:bookmarkStart w:id="1868" w:name="_Toc532377402"/>
      <w:r>
        <w:rPr>
          <w:rFonts w:hint="eastAsia"/>
          <w:sz w:val="21"/>
          <w:szCs w:val="21"/>
          <w:highlight w:val="none"/>
        </w:rPr>
        <w:t>16.1 发包人违约</w:t>
      </w:r>
      <w:bookmarkEnd w:id="1868"/>
    </w:p>
    <w:p w14:paraId="1C7A1D1F">
      <w:pPr>
        <w:spacing w:line="360" w:lineRule="auto"/>
        <w:ind w:firstLine="420" w:firstLineChars="200"/>
        <w:rPr>
          <w:rFonts w:ascii="宋体" w:hAnsi="宋体"/>
          <w:szCs w:val="21"/>
          <w:highlight w:val="none"/>
        </w:rPr>
      </w:pPr>
      <w:r>
        <w:rPr>
          <w:rFonts w:hint="eastAsia" w:ascii="宋体" w:hAnsi="宋体"/>
          <w:szCs w:val="21"/>
          <w:highlight w:val="none"/>
        </w:rPr>
        <w:t>16.1.1 发包人违约的情形</w:t>
      </w:r>
    </w:p>
    <w:p w14:paraId="561AF9BB">
      <w:pPr>
        <w:spacing w:line="360" w:lineRule="auto"/>
        <w:ind w:firstLine="420" w:firstLineChars="200"/>
        <w:rPr>
          <w:rFonts w:ascii="宋体" w:hAnsi="宋体"/>
          <w:szCs w:val="21"/>
          <w:highlight w:val="none"/>
        </w:rPr>
      </w:pPr>
      <w:r>
        <w:rPr>
          <w:rFonts w:hint="eastAsia" w:ascii="宋体" w:hAnsi="宋体" w:cs="Microsoft Sans Serif"/>
          <w:kern w:val="0"/>
          <w:szCs w:val="21"/>
          <w:highlight w:val="none"/>
        </w:rPr>
        <w:t>除通用合同条款约定外，发包人违约的其他情形：</w:t>
      </w:r>
    </w:p>
    <w:p w14:paraId="4AA1D693">
      <w:pPr>
        <w:spacing w:line="360" w:lineRule="auto"/>
        <w:ind w:firstLine="420" w:firstLineChars="200"/>
        <w:rPr>
          <w:rFonts w:ascii="宋体" w:hAnsi="宋体"/>
          <w:szCs w:val="21"/>
          <w:highlight w:val="none"/>
        </w:rPr>
      </w:pPr>
      <w:r>
        <w:rPr>
          <w:rFonts w:hint="eastAsia" w:ascii="宋体" w:hAnsi="宋体" w:cs="Microsoft Sans Serif"/>
          <w:kern w:val="0"/>
          <w:szCs w:val="21"/>
          <w:highlight w:val="none"/>
        </w:rPr>
        <w:t>（1）根据专用合同条款7.5.1项因发包人原因导致工期延误的；</w:t>
      </w:r>
    </w:p>
    <w:p w14:paraId="2C08A67E">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（2）因发包人原因未能及时办理完毕合同约定的许可、批准或备案的；</w:t>
      </w:r>
    </w:p>
    <w:p w14:paraId="20C0A832">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（3）因监理人未能按合同约定发出指示、指示延误或发出了错误指示而导致承包人费用增加和（或）工期延误的；</w:t>
      </w:r>
    </w:p>
    <w:p w14:paraId="4CCCD31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（4）根据5.3.3发包人或监理人要求重新检查的，经检查证明工程质量符合合同要求的，并由此产生增加的费用和（或）延误的工期的；</w:t>
      </w:r>
    </w:p>
    <w:p w14:paraId="567AE10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（5）因发包人原因造成工程质量未达到合同约定标准的；</w:t>
      </w:r>
    </w:p>
    <w:p w14:paraId="0E000A4E">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（6）由于发包人原因对承包人造成的人员人身伤亡和财产损失的；</w:t>
      </w:r>
    </w:p>
    <w:p w14:paraId="4DA21D82">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（7）因发包人原因导致工程无法按期办理竣工验收或竣工结算的；</w:t>
      </w:r>
    </w:p>
    <w:p w14:paraId="36E34A34">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（8）发包人无正当理由未按约定退还履约担保、低价风险担保、预付款担保或质量保证金的；</w:t>
      </w:r>
    </w:p>
    <w:p w14:paraId="3191DC15">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（9）发包人不当提取履约担保、低价风险担保或质量保证金的；</w:t>
      </w:r>
    </w:p>
    <w:p w14:paraId="1B8DA91E">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（10）发包人未按合同约定接收全部或部分工作的；</w:t>
      </w:r>
    </w:p>
    <w:p w14:paraId="55117BB2">
      <w:pPr>
        <w:pStyle w:val="68"/>
        <w:spacing w:line="360" w:lineRule="auto"/>
        <w:jc w:val="left"/>
        <w:rPr>
          <w:rFonts w:ascii="宋体" w:hAnsi="宋体" w:cs="Microsoft Sans Serif"/>
          <w:kern w:val="0"/>
          <w:sz w:val="21"/>
          <w:szCs w:val="21"/>
          <w:highlight w:val="none"/>
          <w:u w:val="single"/>
        </w:rPr>
      </w:pPr>
      <w:r>
        <w:rPr>
          <w:rFonts w:hint="eastAsia" w:ascii="宋体" w:hAnsi="宋体" w:cs="Microsoft Sans Serif"/>
          <w:kern w:val="0"/>
          <w:sz w:val="21"/>
          <w:szCs w:val="21"/>
          <w:highlight w:val="none"/>
        </w:rPr>
        <w:t>（11）发包人未按合同约定办理保险的；</w:t>
      </w:r>
    </w:p>
    <w:p w14:paraId="5EB59BDD">
      <w:pPr>
        <w:snapToGrid w:val="0"/>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u w:val="single"/>
        </w:rPr>
        <w:t xml:space="preserve">（12）其他：        </w:t>
      </w:r>
      <w:r>
        <w:rPr>
          <w:rFonts w:hint="eastAsia" w:ascii="宋体" w:hAnsi="宋体" w:cs="Microsoft Sans Serif"/>
          <w:kern w:val="0"/>
          <w:szCs w:val="21"/>
          <w:highlight w:val="none"/>
        </w:rPr>
        <w:t>。</w:t>
      </w:r>
    </w:p>
    <w:p w14:paraId="11608377">
      <w:pPr>
        <w:pStyle w:val="68"/>
        <w:spacing w:line="360" w:lineRule="auto"/>
        <w:rPr>
          <w:rFonts w:ascii="宋体" w:hAnsi="宋体"/>
          <w:sz w:val="21"/>
          <w:szCs w:val="21"/>
          <w:highlight w:val="none"/>
        </w:rPr>
      </w:pPr>
      <w:r>
        <w:rPr>
          <w:rFonts w:hint="eastAsia" w:ascii="宋体" w:hAnsi="宋体"/>
          <w:sz w:val="21"/>
          <w:szCs w:val="21"/>
          <w:highlight w:val="none"/>
        </w:rPr>
        <w:t>16.1.2发包人违约的责任</w:t>
      </w:r>
    </w:p>
    <w:p w14:paraId="6C53C58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7BED9EC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50A48B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（3）因发包人原因导致工期延误的违约责任：由发包人承担由此增加的费用和（或）顺延工期，并支付合理利润，具体索赔程序按照第19条〔索赔〕约定执行。</w:t>
      </w:r>
    </w:p>
    <w:p w14:paraId="527D6308">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1960EAEA">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234E1974">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highlight w:val="none"/>
          <w:u w:val="single"/>
        </w:rPr>
        <w:t>违约金=应付未付金额×中国人民银行  年  月公布的5年期贷款市场报价利率/360天×逾期天数</w:t>
      </w:r>
      <w:r>
        <w:rPr>
          <w:rFonts w:hint="eastAsia" w:ascii="宋体" w:hAnsi="宋体"/>
          <w:szCs w:val="21"/>
          <w:highlight w:val="none"/>
          <w:u w:val="single"/>
        </w:rPr>
        <w:t>（自第29天起计算）</w:t>
      </w:r>
      <w:r>
        <w:rPr>
          <w:rFonts w:hint="eastAsia" w:ascii="宋体" w:hAnsi="宋体" w:cs="Microsoft Sans Serif"/>
          <w:kern w:val="0"/>
          <w:szCs w:val="21"/>
          <w:highlight w:val="none"/>
          <w:u w:val="single"/>
        </w:rPr>
        <w:t>；逾期天数超过56天的，超过部分天数按上述利率的两倍计算并支付违约金</w:t>
      </w:r>
      <w:r>
        <w:rPr>
          <w:rFonts w:hint="eastAsia" w:ascii="宋体" w:hAnsi="宋体" w:cs="Microsoft Sans Serif"/>
          <w:kern w:val="0"/>
          <w:szCs w:val="21"/>
          <w:highlight w:val="none"/>
        </w:rPr>
        <w:t>。</w:t>
      </w:r>
    </w:p>
    <w:p w14:paraId="4C38D81C">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（7）发包人违反合同约定，自行实施或转由他人实施被取消的合同工作内容的违约责任：由发包人承担由此给承包人造成的实际损失并支付合理利润。</w:t>
      </w:r>
    </w:p>
    <w:p w14:paraId="14F945FF">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07861DF0">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（9）因发包人原因造成工程质量未达到合同约定标准的，由发包人承担由此增加的费用和（或）延误的工期，并支付合理利润。</w:t>
      </w:r>
    </w:p>
    <w:p w14:paraId="213B1449">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（10）因发包人违反合同约定造成暂停施工的违约责任：由发包人承担由此增加的费用和（或）顺延工期，并支付合理利润，具体索赔程序按照第19条〔索赔〕约定执行。</w:t>
      </w:r>
    </w:p>
    <w:p w14:paraId="6B81FE44">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2CA35389">
      <w:pPr>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57239E3E">
      <w:pPr>
        <w:spacing w:line="360" w:lineRule="auto"/>
        <w:ind w:firstLine="420" w:firstLineChars="200"/>
        <w:jc w:val="left"/>
        <w:rPr>
          <w:rFonts w:ascii="宋体" w:hAnsi="宋体" w:cs="Microsoft Sans Serif"/>
          <w:kern w:val="0"/>
          <w:szCs w:val="21"/>
          <w:highlight w:val="none"/>
          <w:u w:val="single"/>
        </w:rPr>
      </w:pPr>
      <w:r>
        <w:rPr>
          <w:rFonts w:hint="eastAsia" w:ascii="宋体" w:hAnsi="宋体"/>
          <w:szCs w:val="21"/>
          <w:highlight w:val="none"/>
        </w:rPr>
        <w:t>（13）</w:t>
      </w:r>
      <w:r>
        <w:rPr>
          <w:rFonts w:hint="eastAsia" w:ascii="宋体" w:hAnsi="宋体" w:cs="Microsoft Sans Serif"/>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highlight w:val="none"/>
          <w:u w:val="single"/>
        </w:rPr>
        <w:t>计算公式：违约金=应退未退担保金额×中国人民银行  年  月公布的5年期贷款市场报价利率/360天×逾期天数</w:t>
      </w:r>
      <w:r>
        <w:rPr>
          <w:rFonts w:hint="eastAsia" w:ascii="宋体" w:hAnsi="宋体"/>
          <w:szCs w:val="21"/>
          <w:highlight w:val="none"/>
          <w:u w:val="single"/>
        </w:rPr>
        <w:t>（自第29天起计算）</w:t>
      </w:r>
      <w:r>
        <w:rPr>
          <w:rFonts w:hint="eastAsia" w:ascii="宋体" w:hAnsi="宋体" w:cs="Microsoft Sans Serif"/>
          <w:kern w:val="0"/>
          <w:szCs w:val="21"/>
          <w:highlight w:val="none"/>
        </w:rPr>
        <w:t>。</w:t>
      </w:r>
    </w:p>
    <w:p w14:paraId="17B7215B">
      <w:pPr>
        <w:pStyle w:val="2"/>
        <w:spacing w:after="0"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（14）</w:t>
      </w:r>
      <w:r>
        <w:rPr>
          <w:rFonts w:hint="eastAsia" w:ascii="宋体" w:hAnsi="宋体"/>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highlight w:val="none"/>
          <w:u w:val="single"/>
        </w:rPr>
        <w:t>计算公式：违约金=不当提取的担保金额×中国人民银行  年  月公布的5年期贷款市场报价利率/360天×逾期天数（自第29天起计算）</w:t>
      </w:r>
      <w:r>
        <w:rPr>
          <w:rFonts w:hint="eastAsia" w:ascii="宋体" w:hAnsi="宋体"/>
          <w:szCs w:val="21"/>
          <w:highlight w:val="none"/>
        </w:rPr>
        <w:t>。</w:t>
      </w:r>
    </w:p>
    <w:p w14:paraId="6968C5A8">
      <w:pPr>
        <w:pStyle w:val="2"/>
        <w:spacing w:after="0" w:line="360" w:lineRule="auto"/>
        <w:ind w:firstLine="420" w:firstLineChars="200"/>
        <w:rPr>
          <w:rFonts w:ascii="宋体" w:hAnsi="宋体"/>
          <w:szCs w:val="21"/>
          <w:highlight w:val="none"/>
        </w:rPr>
      </w:pPr>
      <w:r>
        <w:rPr>
          <w:rFonts w:hint="eastAsia" w:ascii="宋体" w:hAnsi="宋体" w:cs="Microsoft Sans Serif"/>
          <w:kern w:val="0"/>
          <w:szCs w:val="21"/>
          <w:highlight w:val="none"/>
        </w:rPr>
        <w:t>（15）发包人未按合同约定接收全部或部分工作的违约责任：由发包人承担自应当接收工程之日起的工程照管、成品保护、保管等与工程有关的各项费用。</w:t>
      </w:r>
    </w:p>
    <w:p w14:paraId="6E93EE2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（16）由于发包人原因对承包人造成的人员人身伤亡和财产损失的，由发包人负责赔偿，并承担由此增加的费用和（或）延误的工期，并支付合理利润。</w:t>
      </w:r>
    </w:p>
    <w:p w14:paraId="190E2148">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（17）发包人未按合同约定办理保险的违约责任：除按18.6.1项约定执行外，每延迟1天，按</w:t>
      </w:r>
      <w:r>
        <w:rPr>
          <w:rFonts w:hint="eastAsia" w:ascii="宋体" w:hAnsi="宋体" w:cs="Microsoft Sans Serif"/>
          <w:kern w:val="0"/>
          <w:szCs w:val="21"/>
          <w:highlight w:val="none"/>
          <w:u w:val="single"/>
        </w:rPr>
        <w:t>500元/天</w:t>
      </w:r>
      <w:r>
        <w:rPr>
          <w:rFonts w:hint="eastAsia" w:ascii="宋体" w:hAnsi="宋体" w:cs="Microsoft Sans Serif"/>
          <w:kern w:val="0"/>
          <w:szCs w:val="21"/>
          <w:highlight w:val="none"/>
        </w:rPr>
        <w:t>支付违约金。</w:t>
      </w:r>
    </w:p>
    <w:p w14:paraId="13BE86BA">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（18）其他：</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14:paraId="575ABA50">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51120A17">
      <w:pPr>
        <w:spacing w:line="360" w:lineRule="auto"/>
        <w:ind w:firstLine="420" w:firstLineChars="200"/>
        <w:rPr>
          <w:rFonts w:ascii="宋体" w:hAnsi="宋体"/>
          <w:szCs w:val="21"/>
          <w:highlight w:val="none"/>
        </w:rPr>
      </w:pPr>
      <w:r>
        <w:rPr>
          <w:rFonts w:hint="eastAsia" w:ascii="宋体" w:hAnsi="宋体"/>
          <w:szCs w:val="21"/>
          <w:highlight w:val="none"/>
        </w:rPr>
        <w:t>16.1.3 因发包人违约解除合同</w:t>
      </w:r>
    </w:p>
    <w:p w14:paraId="6A3B719C">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因发包人违约并致使合同目的不能实现的，承包人有权解除合同：</w:t>
      </w:r>
    </w:p>
    <w:p w14:paraId="72E5DA7D">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（1）因发包人原因延迟支付合同价款超过180天的；</w:t>
      </w:r>
    </w:p>
    <w:p w14:paraId="29BB32CD">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（2）因发包人原因导致工期延误超过90天的；</w:t>
      </w:r>
    </w:p>
    <w:p w14:paraId="4718E15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（3）因发包人第16.1.2（5）违约情形导致暂停施工满56天，且发包人仍未纠正其违约行为的；</w:t>
      </w:r>
    </w:p>
    <w:p w14:paraId="34A3F5FB">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（4）其他未履行合同项下的义务构成对合同的实质性违约，并且在收到承包人要求说明其违约并予以补救的通知后56天内仍未补救该实质性违约的；</w:t>
      </w:r>
    </w:p>
    <w:p w14:paraId="3438436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w:t>
      </w:r>
      <w:r>
        <w:rPr>
          <w:rFonts w:hint="eastAsia" w:ascii="宋体" w:hAnsi="宋体" w:cs="Microsoft Sans Serif"/>
          <w:kern w:val="0"/>
          <w:szCs w:val="21"/>
          <w:highlight w:val="none"/>
          <w:u w:val="single"/>
        </w:rPr>
        <w:t>合同约定的承包人有权解除合同的其他情形</w:t>
      </w:r>
      <w:r>
        <w:rPr>
          <w:rFonts w:hint="eastAsia" w:ascii="宋体" w:hAnsi="宋体" w:cs="Microsoft Sans Serif"/>
          <w:kern w:val="0"/>
          <w:szCs w:val="21"/>
          <w:highlight w:val="none"/>
        </w:rPr>
        <w:t>。</w:t>
      </w:r>
    </w:p>
    <w:p w14:paraId="65EC6778">
      <w:pPr>
        <w:spacing w:line="360" w:lineRule="auto"/>
        <w:ind w:firstLine="420" w:firstLineChars="200"/>
        <w:rPr>
          <w:rFonts w:ascii="宋体" w:hAnsi="宋体"/>
          <w:szCs w:val="21"/>
          <w:highlight w:val="none"/>
        </w:rPr>
      </w:pPr>
      <w:r>
        <w:rPr>
          <w:rFonts w:hint="eastAsia" w:ascii="宋体" w:hAnsi="宋体"/>
          <w:szCs w:val="21"/>
          <w:highlight w:val="none"/>
        </w:rPr>
        <w:t>16.1.4 因发包人违约解除合同后的付款</w:t>
      </w:r>
    </w:p>
    <w:p w14:paraId="3879564B">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承包人按照本款约定解除合同的，发包人应在解除合同后28天内支付下列款项，并解除履约担保、低价风险担保、预付款担保：</w:t>
      </w:r>
    </w:p>
    <w:p w14:paraId="3428BFF3">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（1）合同解除前所完成工作的价款；</w:t>
      </w:r>
    </w:p>
    <w:p w14:paraId="7C2BFA9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（2）承包人为工程施工订购并已付款的材料、工程设备和其他物品的价款；</w:t>
      </w:r>
    </w:p>
    <w:p w14:paraId="281D3FF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（3）承包人撤离施工现场以及遣散承包人人员的款项；</w:t>
      </w:r>
    </w:p>
    <w:p w14:paraId="3F2D31ED">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（4）按照合同约定在合同解除前应支付的违约金；</w:t>
      </w:r>
    </w:p>
    <w:p w14:paraId="51F5D7E5">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（5）按照合同约定应当支付给承包人的其他款项；</w:t>
      </w:r>
    </w:p>
    <w:p w14:paraId="684B534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（6）按照合同约定应退还的质量保证金；</w:t>
      </w:r>
    </w:p>
    <w:p w14:paraId="02BC1915">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（7）因解除合同给承包人造成的损失；</w:t>
      </w:r>
    </w:p>
    <w:p w14:paraId="0C1E2603">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w:t>
      </w:r>
      <w:r>
        <w:rPr>
          <w:rFonts w:hint="eastAsia" w:ascii="宋体" w:hAnsi="宋体" w:cs="Microsoft Sans Serif"/>
          <w:kern w:val="0"/>
          <w:szCs w:val="21"/>
          <w:highlight w:val="none"/>
          <w:u w:val="single"/>
        </w:rPr>
        <w:t xml:space="preserve">        。</w:t>
      </w:r>
    </w:p>
    <w:p w14:paraId="37E8E78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合同当事人未能就解除合同后的结清达成一致的，按照第20条〔争议解决〕的约定处理。</w:t>
      </w:r>
    </w:p>
    <w:p w14:paraId="7775D87C">
      <w:pPr>
        <w:snapToGrid w:val="0"/>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rPr>
        <w:t>承包人应妥善做好已完工程和与工程有关的已购材料、工程设备的保护和移交工作，并将施工设备和人员撤出施工现场，发包人应为承包人撤出提供必要条件。</w:t>
      </w:r>
    </w:p>
    <w:p w14:paraId="2AC96F58">
      <w:pPr>
        <w:pStyle w:val="7"/>
        <w:spacing w:before="0" w:beforeAutospacing="0" w:after="0" w:afterAutospacing="0" w:line="360" w:lineRule="auto"/>
        <w:ind w:firstLine="422" w:firstLineChars="200"/>
        <w:rPr>
          <w:sz w:val="21"/>
          <w:szCs w:val="21"/>
          <w:highlight w:val="none"/>
        </w:rPr>
      </w:pPr>
      <w:bookmarkStart w:id="1869" w:name="_Toc532377403"/>
      <w:r>
        <w:rPr>
          <w:rFonts w:hint="eastAsia"/>
          <w:sz w:val="21"/>
          <w:szCs w:val="21"/>
          <w:highlight w:val="none"/>
        </w:rPr>
        <w:t>16.2 承包人违约</w:t>
      </w:r>
      <w:bookmarkEnd w:id="1869"/>
    </w:p>
    <w:p w14:paraId="1DA0B091">
      <w:pPr>
        <w:snapToGrid w:val="0"/>
        <w:spacing w:line="360" w:lineRule="auto"/>
        <w:ind w:firstLine="420" w:firstLineChars="200"/>
        <w:jc w:val="left"/>
        <w:rPr>
          <w:rFonts w:ascii="宋体" w:hAnsi="宋体" w:cs="Microsoft Sans Serif"/>
          <w:kern w:val="0"/>
          <w:szCs w:val="21"/>
          <w:highlight w:val="none"/>
        </w:rPr>
      </w:pPr>
      <w:bookmarkStart w:id="1870" w:name="_Hlk524380579"/>
      <w:r>
        <w:rPr>
          <w:rFonts w:hint="eastAsia" w:ascii="宋体" w:hAnsi="宋体" w:cs="Microsoft Sans Serif"/>
          <w:kern w:val="0"/>
          <w:szCs w:val="21"/>
          <w:highlight w:val="none"/>
        </w:rPr>
        <w:t>16.2.1 承包人违约的情形</w:t>
      </w:r>
    </w:p>
    <w:p w14:paraId="2FA370A1">
      <w:pPr>
        <w:snapToGrid w:val="0"/>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rPr>
        <w:t>除通用合同条款约定外，承包人违约的其他情形：</w:t>
      </w:r>
    </w:p>
    <w:p w14:paraId="7D7CF444">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（1）承包人未按合同约定提交履约担保或质量保证金的；</w:t>
      </w:r>
    </w:p>
    <w:p w14:paraId="247F47A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（2）承包人未能按期开工的；</w:t>
      </w:r>
    </w:p>
    <w:p w14:paraId="6A272BDF">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（3）承包人未按投标文件或监理人的要求及时配备称职的主要管理人员，或承包人未按经审定的施工组织设计配备或更换关键施工设备的；</w:t>
      </w:r>
    </w:p>
    <w:p w14:paraId="5A290E3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（4）承包人有安全问题或有违反安全管理规章制度情况的；</w:t>
      </w:r>
    </w:p>
    <w:p w14:paraId="280B24D2">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（5）承包人在缺陷责任期及保修期内，未能在合理期限对工程缺陷进行修复，或拒绝按发包人要求进行修复的；</w:t>
      </w:r>
    </w:p>
    <w:p w14:paraId="568E72B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（6）承包人拖欠其工人或所雇人员工资或报酬，导致其工人或所雇人员向有关部门投诉、控告、检举或以聚集等方式讨要工资或报酬的；</w:t>
      </w:r>
    </w:p>
    <w:p w14:paraId="4E3699B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（7）承包人不配合发包人、监理人及发包人委托的工程造价咨询服务单位结算审核或承包人其他原因导致未按期完成工程竣工结算的；</w:t>
      </w:r>
    </w:p>
    <w:p w14:paraId="75689FB7">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（8）承包人违反合同约定进行转包或违法分包的；</w:t>
      </w:r>
    </w:p>
    <w:p w14:paraId="3801D6B3">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（9）承包人未按合同约定移交全部或部分工作的；</w:t>
      </w:r>
    </w:p>
    <w:p w14:paraId="5C1DE63B">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（10）承包人未按合同约定购买保险的；</w:t>
      </w:r>
    </w:p>
    <w:p w14:paraId="1CF82D8A">
      <w:pPr>
        <w:snapToGrid w:val="0"/>
        <w:spacing w:line="360" w:lineRule="auto"/>
        <w:ind w:firstLine="420" w:firstLineChars="200"/>
        <w:jc w:val="left"/>
        <w:rPr>
          <w:rFonts w:ascii="宋体" w:hAnsi="宋体"/>
          <w:szCs w:val="21"/>
          <w:highlight w:val="none"/>
        </w:rPr>
      </w:pPr>
      <w:r>
        <w:rPr>
          <w:rFonts w:hint="eastAsia" w:ascii="宋体" w:hAnsi="宋体" w:cs="Microsoft Sans Serif"/>
          <w:kern w:val="0"/>
          <w:szCs w:val="21"/>
          <w:highlight w:val="none"/>
        </w:rPr>
        <w:t>（11）项目经理若有以下情形，属于承包人违约：</w:t>
      </w:r>
    </w:p>
    <w:p w14:paraId="3486563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1）项目经理不按承诺到岗的；</w:t>
      </w:r>
    </w:p>
    <w:p w14:paraId="557B2499">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2）每月在施工现场的天数少于约定天数的；</w:t>
      </w:r>
    </w:p>
    <w:p w14:paraId="61EA304E">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3）承包人未提交项目经理劳动合同和社会保险证明的；</w:t>
      </w:r>
    </w:p>
    <w:p w14:paraId="1AA1809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4）未经批准，擅自离开施工现场（超过约定时间）的；</w:t>
      </w:r>
    </w:p>
    <w:p w14:paraId="1F21650B">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5）未经批准，擅自变更项目经理的；</w:t>
      </w:r>
    </w:p>
    <w:p w14:paraId="2656DB9E">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6）按照渝建发〔2015〕35号文的要求，施工期间，项目经理因在一个记分周期内累计记分达到12分，被建设行政主管部门依法责令停止执业的；</w:t>
      </w:r>
    </w:p>
    <w:p w14:paraId="1A11F392">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7）发包人有正当理由认为项目经理不称职/不履职，且承包人在约定时间内不予更换的；</w:t>
      </w:r>
    </w:p>
    <w:p w14:paraId="4D8711A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8）其他双方约定的情形：</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14:paraId="2DD6863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（12）技术负责人若有以下情形，属于承包人违约：</w:t>
      </w:r>
    </w:p>
    <w:p w14:paraId="3E415315">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1）每月在施工现场的天数少于约定天数的；</w:t>
      </w:r>
    </w:p>
    <w:p w14:paraId="78EB957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2）承包人未提交技术负责人劳动合同和社会保险证明的；</w:t>
      </w:r>
    </w:p>
    <w:p w14:paraId="32A34A43">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3）未经批准，擅自离开施工现场（超过约定时间）的；</w:t>
      </w:r>
    </w:p>
    <w:p w14:paraId="6FB6BC1D">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4）未经批准，擅自变更技术负责人的；</w:t>
      </w:r>
    </w:p>
    <w:p w14:paraId="483B36DD">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5）发包人有正当理由认为技术负责人不称职/不履职，且承包人在约定时间内不予更换的；</w:t>
      </w:r>
    </w:p>
    <w:p w14:paraId="7358F33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6）其他双方约定的情形：</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14:paraId="49F4ABA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（13）主要施工管理人员若有以下情形，属于承包人违约：</w:t>
      </w:r>
    </w:p>
    <w:p w14:paraId="03A855BF">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1）承包人未提交主要管理人员劳动合同和社会保险证明的；</w:t>
      </w:r>
    </w:p>
    <w:p w14:paraId="45091C8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2）未经批准，擅自离开施工现场（超过约定时间）的；</w:t>
      </w:r>
    </w:p>
    <w:p w14:paraId="37B8FA1B">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3）未经批准，擅自变更主要施工管理人员的；</w:t>
      </w:r>
    </w:p>
    <w:p w14:paraId="0E1F070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4）发包人有正当理由认为主要施工管理人员不称职/不履职，且承包人在约定时间内不予更换的；</w:t>
      </w:r>
    </w:p>
    <w:p w14:paraId="7F61647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5）其他双方约定的情形：</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14:paraId="6B7EC2C4">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（14）</w:t>
      </w:r>
      <w:r>
        <w:rPr>
          <w:rFonts w:hint="eastAsia" w:ascii="宋体" w:hAnsi="宋体" w:cs="Microsoft Sans Serif"/>
          <w:kern w:val="0"/>
          <w:szCs w:val="21"/>
          <w:highlight w:val="none"/>
          <w:u w:val="single"/>
        </w:rPr>
        <w:t xml:space="preserve">        。</w:t>
      </w:r>
    </w:p>
    <w:bookmarkEnd w:id="1870"/>
    <w:p w14:paraId="297D3090">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16.2.2 承包人违约的责任</w:t>
      </w:r>
    </w:p>
    <w:p w14:paraId="44FFF53F">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承包人违约责任的承担方式和计算方法：</w:t>
      </w:r>
    </w:p>
    <w:p w14:paraId="7A5584A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（1）承包人未按合同约定提交履约担保、质量保证金的违约责任：承包人应支付违约金，</w:t>
      </w:r>
      <w:r>
        <w:rPr>
          <w:rFonts w:hint="eastAsia" w:ascii="宋体" w:hAnsi="宋体" w:cs="Microsoft Sans Serif"/>
          <w:szCs w:val="21"/>
          <w:highlight w:val="none"/>
        </w:rPr>
        <w:t>违约金的计算方法：</w:t>
      </w:r>
      <w:r>
        <w:rPr>
          <w:rFonts w:hint="eastAsia" w:ascii="宋体" w:hAnsi="宋体" w:cs="Microsoft Sans Serif"/>
          <w:kern w:val="0"/>
          <w:szCs w:val="21"/>
          <w:highlight w:val="none"/>
        </w:rPr>
        <w:t>每延误1天，承包人按</w:t>
      </w:r>
      <w:r>
        <w:rPr>
          <w:rFonts w:hint="eastAsia" w:ascii="宋体" w:hAnsi="宋体" w:cs="Microsoft Sans Serif"/>
          <w:kern w:val="0"/>
          <w:szCs w:val="21"/>
          <w:highlight w:val="none"/>
          <w:u w:val="single"/>
        </w:rPr>
        <w:t xml:space="preserve">  （5000～50000）元/天</w:t>
      </w:r>
      <w:r>
        <w:rPr>
          <w:rFonts w:hint="eastAsia" w:ascii="宋体" w:hAnsi="宋体" w:cs="Microsoft Sans Serif"/>
          <w:kern w:val="0"/>
          <w:szCs w:val="21"/>
          <w:highlight w:val="none"/>
        </w:rPr>
        <w:t>计算违约金，累计违约金上限：</w:t>
      </w:r>
      <w:r>
        <w:rPr>
          <w:rFonts w:hint="eastAsia" w:ascii="宋体" w:hAnsi="宋体" w:cs="Microsoft Sans Serif"/>
          <w:kern w:val="0"/>
          <w:szCs w:val="21"/>
          <w:highlight w:val="none"/>
          <w:u w:val="single"/>
        </w:rPr>
        <w:t xml:space="preserve">  万元（不超过签约合同价的3%）</w:t>
      </w:r>
      <w:r>
        <w:rPr>
          <w:rFonts w:hint="eastAsia" w:ascii="宋体" w:hAnsi="宋体" w:cs="Microsoft Sans Serif"/>
          <w:kern w:val="0"/>
          <w:szCs w:val="21"/>
          <w:highlight w:val="none"/>
          <w:lang w:val="zh-CN"/>
        </w:rPr>
        <w:t>。</w:t>
      </w:r>
    </w:p>
    <w:p w14:paraId="723E0C35">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highlight w:val="none"/>
          <w:u w:val="single"/>
        </w:rPr>
        <w:t xml:space="preserve">  （5～10）%</w:t>
      </w:r>
      <w:r>
        <w:rPr>
          <w:rFonts w:hint="eastAsia" w:ascii="宋体" w:hAnsi="宋体" w:cs="Microsoft Sans Serif"/>
          <w:kern w:val="0"/>
          <w:szCs w:val="21"/>
          <w:highlight w:val="none"/>
        </w:rPr>
        <w:t>支付违约金，违法转/分包商应在7天内撤离出场。</w:t>
      </w:r>
    </w:p>
    <w:p w14:paraId="6B3FEE9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highlight w:val="none"/>
          <w:u w:val="single"/>
        </w:rPr>
        <w:t xml:space="preserve">  （5～10）%</w:t>
      </w:r>
      <w:r>
        <w:rPr>
          <w:rFonts w:hint="eastAsia" w:ascii="宋体" w:hAnsi="宋体" w:cs="Microsoft Sans Serif"/>
          <w:kern w:val="0"/>
          <w:szCs w:val="21"/>
          <w:highlight w:val="none"/>
        </w:rPr>
        <w:t>支付违约金。</w:t>
      </w:r>
    </w:p>
    <w:p w14:paraId="32B1C689">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highlight w:val="none"/>
          <w:u w:val="single"/>
        </w:rPr>
        <w:t xml:space="preserve">  （5～10）%</w:t>
      </w:r>
      <w:r>
        <w:rPr>
          <w:rFonts w:hint="eastAsia" w:ascii="宋体" w:hAnsi="宋体" w:cs="Microsoft Sans Serif"/>
          <w:kern w:val="0"/>
          <w:szCs w:val="21"/>
          <w:highlight w:val="none"/>
        </w:rPr>
        <w:t>支付违约金。</w:t>
      </w:r>
    </w:p>
    <w:p w14:paraId="78EEF0B8">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highlight w:val="none"/>
          <w:u w:val="single"/>
        </w:rPr>
        <w:t xml:space="preserve">  （1～5）%</w:t>
      </w:r>
      <w:r>
        <w:rPr>
          <w:rFonts w:hint="eastAsia" w:ascii="宋体" w:hAnsi="宋体" w:cs="Microsoft Sans Serif"/>
          <w:kern w:val="0"/>
          <w:szCs w:val="21"/>
          <w:highlight w:val="none"/>
        </w:rPr>
        <w:t>支付违约金。</w:t>
      </w:r>
    </w:p>
    <w:p w14:paraId="09F0C9CC">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（6）因承包人原因造成工期延误的违约承担方式和计算方法：由承包人承担由此增加的费用，</w:t>
      </w:r>
      <w:r>
        <w:rPr>
          <w:rFonts w:hint="eastAsia" w:ascii="宋体" w:hAnsi="宋体" w:cs="Microsoft Sans Serif"/>
          <w:szCs w:val="21"/>
          <w:highlight w:val="none"/>
        </w:rPr>
        <w:t>由此导致工期延误的，工期不予顺延；逾期竣工违约金的计算方法：</w:t>
      </w:r>
      <w:r>
        <w:rPr>
          <w:rFonts w:hint="eastAsia" w:ascii="宋体" w:hAnsi="宋体" w:cs="Microsoft Sans Serif"/>
          <w:kern w:val="0"/>
          <w:szCs w:val="21"/>
          <w:highlight w:val="none"/>
        </w:rPr>
        <w:t>每延误1天，承包人按</w:t>
      </w:r>
      <w:r>
        <w:rPr>
          <w:rFonts w:hint="eastAsia" w:ascii="宋体" w:hAnsi="宋体" w:cs="Microsoft Sans Serif"/>
          <w:kern w:val="0"/>
          <w:szCs w:val="21"/>
          <w:highlight w:val="none"/>
          <w:u w:val="single"/>
        </w:rPr>
        <w:t xml:space="preserve">  （5000～50000）元/天</w:t>
      </w:r>
      <w:r>
        <w:rPr>
          <w:rFonts w:hint="eastAsia" w:ascii="宋体" w:hAnsi="宋体" w:cs="Microsoft Sans Serif"/>
          <w:kern w:val="0"/>
          <w:szCs w:val="21"/>
          <w:highlight w:val="none"/>
        </w:rPr>
        <w:t>计算逾期竣工违约金，累计违约金上限：</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万元（不超过签约合同价的3%）</w:t>
      </w:r>
      <w:r>
        <w:rPr>
          <w:rFonts w:hint="eastAsia" w:ascii="宋体" w:hAnsi="宋体" w:cs="Microsoft Sans Serif"/>
          <w:kern w:val="0"/>
          <w:szCs w:val="21"/>
          <w:highlight w:val="none"/>
          <w:lang w:val="zh-CN"/>
        </w:rPr>
        <w:t>；</w:t>
      </w:r>
      <w:r>
        <w:rPr>
          <w:rFonts w:hint="eastAsia" w:ascii="宋体" w:hAnsi="宋体" w:cs="Microsoft Sans Serif"/>
          <w:kern w:val="0"/>
          <w:szCs w:val="21"/>
          <w:highlight w:val="none"/>
        </w:rPr>
        <w:t>承包人支付逾期竣工违约金后，不免除承包人继续完成工程及修补缺陷的义务。</w:t>
      </w:r>
    </w:p>
    <w:p w14:paraId="7046D715">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highlight w:val="none"/>
          <w:u w:val="single"/>
        </w:rPr>
        <w:t xml:space="preserve">  （0.5～2）%</w:t>
      </w:r>
      <w:r>
        <w:rPr>
          <w:rFonts w:hint="eastAsia" w:ascii="宋体" w:hAnsi="宋体" w:cs="Microsoft Sans Serif"/>
          <w:kern w:val="0"/>
          <w:szCs w:val="21"/>
          <w:highlight w:val="none"/>
        </w:rPr>
        <w:t>支付违约金。</w:t>
      </w:r>
    </w:p>
    <w:p w14:paraId="274E7200">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（8）承包人明确表示或者以其行为表明不履行合同主要义务的违约责任：按签约合同价的</w:t>
      </w:r>
      <w:r>
        <w:rPr>
          <w:rFonts w:hint="eastAsia" w:ascii="宋体" w:hAnsi="宋体" w:cs="Microsoft Sans Serif"/>
          <w:kern w:val="0"/>
          <w:szCs w:val="21"/>
          <w:highlight w:val="none"/>
          <w:u w:val="single"/>
        </w:rPr>
        <w:t xml:space="preserve">  （5～10）%</w:t>
      </w:r>
      <w:r>
        <w:rPr>
          <w:rFonts w:hint="eastAsia" w:ascii="宋体" w:hAnsi="宋体" w:cs="Microsoft Sans Serif"/>
          <w:kern w:val="0"/>
          <w:szCs w:val="21"/>
          <w:highlight w:val="none"/>
        </w:rPr>
        <w:t>支付违约金。</w:t>
      </w:r>
    </w:p>
    <w:p w14:paraId="1F0C51AB">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（9）承包人未能按照合同约定履行其他义务的违约责任：按</w:t>
      </w:r>
      <w:r>
        <w:rPr>
          <w:rFonts w:hint="eastAsia" w:ascii="宋体" w:hAnsi="宋体" w:cs="Microsoft Sans Serif"/>
          <w:kern w:val="0"/>
          <w:szCs w:val="21"/>
          <w:highlight w:val="none"/>
          <w:u w:val="single"/>
        </w:rPr>
        <w:t>（500～5000）元/次</w:t>
      </w:r>
      <w:r>
        <w:rPr>
          <w:rFonts w:hint="eastAsia" w:ascii="宋体" w:hAnsi="宋体" w:cs="Microsoft Sans Serif"/>
          <w:kern w:val="0"/>
          <w:szCs w:val="21"/>
          <w:highlight w:val="none"/>
        </w:rPr>
        <w:t>支付违约金。</w:t>
      </w:r>
    </w:p>
    <w:p w14:paraId="659C8BF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（10）承包人未能按期开工的违约责任：按合同价</w:t>
      </w:r>
      <w:r>
        <w:rPr>
          <w:rFonts w:hint="eastAsia" w:ascii="宋体" w:hAnsi="宋体" w:cs="Microsoft Sans Serif"/>
          <w:kern w:val="0"/>
          <w:szCs w:val="21"/>
          <w:highlight w:val="none"/>
          <w:u w:val="single"/>
        </w:rPr>
        <w:t>0.2‰/天</w:t>
      </w:r>
      <w:r>
        <w:rPr>
          <w:rFonts w:hint="eastAsia" w:ascii="宋体" w:hAnsi="宋体" w:cs="Microsoft Sans Serif"/>
          <w:kern w:val="0"/>
          <w:szCs w:val="21"/>
          <w:highlight w:val="none"/>
        </w:rPr>
        <w:t>支付违约金，本项违约金累计限额为签约合同价的</w:t>
      </w:r>
      <w:r>
        <w:rPr>
          <w:rFonts w:hint="eastAsia" w:ascii="宋体" w:hAnsi="宋体" w:cs="Microsoft Sans Serif"/>
          <w:kern w:val="0"/>
          <w:szCs w:val="21"/>
          <w:highlight w:val="none"/>
          <w:u w:val="single"/>
        </w:rPr>
        <w:t xml:space="preserve"> 1 %</w:t>
      </w:r>
      <w:r>
        <w:rPr>
          <w:rFonts w:hint="eastAsia" w:ascii="宋体" w:hAnsi="宋体" w:cs="Microsoft Sans Serif"/>
          <w:kern w:val="0"/>
          <w:szCs w:val="21"/>
          <w:highlight w:val="none"/>
        </w:rPr>
        <w:t>。</w:t>
      </w:r>
    </w:p>
    <w:p w14:paraId="519C7192">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（11）承包人未按经审定的施工组织设计配备或更换关键施工设备的违约责任：按</w:t>
      </w:r>
      <w:r>
        <w:rPr>
          <w:rFonts w:hint="eastAsia" w:ascii="宋体" w:hAnsi="宋体" w:cs="Microsoft Sans Serif"/>
          <w:kern w:val="0"/>
          <w:szCs w:val="21"/>
          <w:highlight w:val="none"/>
          <w:u w:val="single"/>
        </w:rPr>
        <w:t xml:space="preserve">  （5000～50000）元/台·次</w:t>
      </w:r>
      <w:r>
        <w:rPr>
          <w:rFonts w:hint="eastAsia" w:ascii="宋体" w:hAnsi="宋体" w:cs="Microsoft Sans Serif"/>
          <w:kern w:val="0"/>
          <w:szCs w:val="21"/>
          <w:highlight w:val="none"/>
        </w:rPr>
        <w:t>支付违约金。</w:t>
      </w:r>
    </w:p>
    <w:p w14:paraId="0ABD35A4">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（12）承包人有安全问题或有违反安全管理规章制度情况的违约责任：根据具体情节，按签约合同价的</w:t>
      </w:r>
      <w:r>
        <w:rPr>
          <w:rFonts w:hint="eastAsia" w:ascii="宋体" w:hAnsi="宋体" w:cs="Microsoft Sans Serif"/>
          <w:kern w:val="0"/>
          <w:szCs w:val="21"/>
          <w:highlight w:val="none"/>
          <w:u w:val="single"/>
        </w:rPr>
        <w:t>0.5‰～4‰/次</w:t>
      </w:r>
      <w:r>
        <w:rPr>
          <w:rFonts w:hint="eastAsia" w:ascii="宋体" w:hAnsi="宋体" w:cs="Microsoft Sans Serif"/>
          <w:kern w:val="0"/>
          <w:szCs w:val="21"/>
          <w:highlight w:val="none"/>
        </w:rPr>
        <w:t>支付违约金（累计不超过签约合同价的1%，详见附件9安全管理协议）。</w:t>
      </w:r>
    </w:p>
    <w:p w14:paraId="5046E7AA">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highlight w:val="none"/>
          <w:u w:val="single"/>
        </w:rPr>
        <w:t xml:space="preserve">  （50000～200000）元/次</w:t>
      </w:r>
      <w:r>
        <w:rPr>
          <w:rFonts w:hint="eastAsia" w:ascii="宋体" w:hAnsi="宋体" w:cs="Microsoft Sans Serif"/>
          <w:kern w:val="0"/>
          <w:szCs w:val="21"/>
          <w:highlight w:val="none"/>
        </w:rPr>
        <w:t>支付违约金。</w:t>
      </w:r>
    </w:p>
    <w:p w14:paraId="278ED8EF">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（14）承包人不配合发包人、监理人及发包人委托的工程造价咨询服务单位结算审核的违约责任：根据具体情节，按</w:t>
      </w:r>
      <w:r>
        <w:rPr>
          <w:rFonts w:hint="eastAsia" w:ascii="宋体" w:hAnsi="宋体" w:cs="Microsoft Sans Serif"/>
          <w:kern w:val="0"/>
          <w:szCs w:val="21"/>
          <w:highlight w:val="none"/>
          <w:u w:val="single"/>
        </w:rPr>
        <w:t xml:space="preserve">  （10000～100000）元/次</w:t>
      </w:r>
      <w:r>
        <w:rPr>
          <w:rFonts w:hint="eastAsia" w:ascii="宋体" w:hAnsi="宋体" w:cs="Microsoft Sans Serif"/>
          <w:kern w:val="0"/>
          <w:szCs w:val="21"/>
          <w:highlight w:val="none"/>
        </w:rPr>
        <w:t>支付违约金。</w:t>
      </w:r>
    </w:p>
    <w:p w14:paraId="19BAA43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highlight w:val="none"/>
          <w:u w:val="single"/>
        </w:rPr>
        <w:t>0.5～1‰</w:t>
      </w:r>
      <w:r>
        <w:rPr>
          <w:rFonts w:hint="eastAsia" w:ascii="宋体" w:hAnsi="宋体" w:cs="Microsoft Sans Serif"/>
          <w:kern w:val="0"/>
          <w:szCs w:val="21"/>
          <w:highlight w:val="none"/>
        </w:rPr>
        <w:t>支付违约金。</w:t>
      </w:r>
    </w:p>
    <w:p w14:paraId="5078C938">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（16）承包人未按合同约定购买保险的违约责任：除按18.6.2项约定执行外，每延迟1天，按</w:t>
      </w:r>
      <w:r>
        <w:rPr>
          <w:rFonts w:hint="eastAsia" w:ascii="宋体" w:hAnsi="宋体" w:cs="Microsoft Sans Serif"/>
          <w:szCs w:val="21"/>
          <w:highlight w:val="none"/>
          <w:u w:val="single"/>
        </w:rPr>
        <w:t>500元/天</w:t>
      </w:r>
      <w:r>
        <w:rPr>
          <w:rFonts w:hint="eastAsia" w:ascii="宋体" w:hAnsi="宋体" w:cs="Microsoft Sans Serif"/>
          <w:szCs w:val="21"/>
          <w:highlight w:val="none"/>
        </w:rPr>
        <w:t>支付违约金。</w:t>
      </w:r>
    </w:p>
    <w:p w14:paraId="3E52F539">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（17）发生第16.2.1项（11）目、16.2.1项（12）目、16.2.1项（13）目违约情形的违约责任：除承担由此增加的费用和工期延误的责任，承包人应向发包人支付违约金：</w:t>
      </w:r>
    </w:p>
    <w:p w14:paraId="3D9D6BF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1）项目经理违约承担方式和计算方法：对于第16.2.1项（11）目的情形，每发现一次，根据具体情节，按</w:t>
      </w:r>
      <w:r>
        <w:rPr>
          <w:rFonts w:hint="eastAsia" w:ascii="宋体" w:hAnsi="宋体" w:cs="Microsoft Sans Serif"/>
          <w:kern w:val="0"/>
          <w:szCs w:val="21"/>
          <w:highlight w:val="none"/>
          <w:u w:val="single"/>
        </w:rPr>
        <w:t>1000～30000元/天·次</w:t>
      </w:r>
      <w:r>
        <w:rPr>
          <w:rFonts w:hint="eastAsia" w:ascii="宋体" w:hAnsi="宋体" w:cs="Microsoft Sans Serif"/>
          <w:kern w:val="0"/>
          <w:szCs w:val="21"/>
          <w:highlight w:val="none"/>
        </w:rPr>
        <w:t>计算违约金；项目经理不按承诺到岗的（</w:t>
      </w:r>
      <w:r>
        <w:rPr>
          <w:rFonts w:ascii="宋体" w:hAnsi="宋体" w:cs="Microsoft Sans Serif"/>
          <w:kern w:val="0"/>
          <w:szCs w:val="21"/>
          <w:highlight w:val="none"/>
        </w:rPr>
        <w:t>3.2.3项约定的情形除外</w:t>
      </w:r>
      <w:r>
        <w:rPr>
          <w:rFonts w:hint="eastAsia" w:ascii="宋体" w:hAnsi="宋体" w:cs="Microsoft Sans Serif"/>
          <w:kern w:val="0"/>
          <w:szCs w:val="21"/>
          <w:highlight w:val="none"/>
        </w:rPr>
        <w:t>），按履约保证金的</w:t>
      </w:r>
      <w:r>
        <w:rPr>
          <w:rFonts w:hint="eastAsia" w:ascii="宋体" w:hAnsi="宋体" w:cs="Microsoft Sans Serif"/>
          <w:kern w:val="0"/>
          <w:szCs w:val="21"/>
          <w:highlight w:val="none"/>
          <w:u w:val="single"/>
        </w:rPr>
        <w:t>（50～100）%</w:t>
      </w:r>
      <w:r>
        <w:rPr>
          <w:rFonts w:hint="eastAsia" w:ascii="宋体" w:hAnsi="宋体" w:cs="Microsoft Sans Serif"/>
          <w:kern w:val="0"/>
          <w:szCs w:val="21"/>
          <w:highlight w:val="none"/>
        </w:rPr>
        <w:t>支付违约金，并解除合同；擅自更换项目经理的，按签约合同价的</w:t>
      </w:r>
      <w:r>
        <w:rPr>
          <w:rFonts w:hint="eastAsia" w:ascii="宋体" w:hAnsi="宋体" w:cs="Microsoft Sans Serif"/>
          <w:kern w:val="0"/>
          <w:szCs w:val="21"/>
          <w:highlight w:val="none"/>
          <w:u w:val="single"/>
        </w:rPr>
        <w:t>（0.5～3）%/人·次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rPr>
        <w:t>20万</w:t>
      </w:r>
      <w:r>
        <w:rPr>
          <w:rFonts w:hint="eastAsia" w:ascii="宋体" w:hAnsi="宋体" w:cs="Microsoft Sans Serif"/>
          <w:kern w:val="0"/>
          <w:szCs w:val="21"/>
          <w:highlight w:val="none"/>
        </w:rPr>
        <w:t>，累计不超过</w:t>
      </w:r>
      <w:r>
        <w:rPr>
          <w:rFonts w:hint="eastAsia" w:ascii="宋体" w:hAnsi="宋体" w:cs="Microsoft Sans Serif"/>
          <w:kern w:val="0"/>
          <w:szCs w:val="21"/>
          <w:highlight w:val="none"/>
          <w:u w:val="single"/>
        </w:rPr>
        <w:t>200万</w:t>
      </w:r>
      <w:r>
        <w:rPr>
          <w:rFonts w:hint="eastAsia" w:ascii="宋体" w:hAnsi="宋体" w:cs="Microsoft Sans Serif"/>
          <w:kern w:val="0"/>
          <w:szCs w:val="21"/>
          <w:highlight w:val="none"/>
        </w:rPr>
        <w:t>；项目经理被责令停止执业的，按签约合同价的</w:t>
      </w:r>
      <w:r>
        <w:rPr>
          <w:rFonts w:hint="eastAsia" w:ascii="宋体" w:hAnsi="宋体" w:cs="Microsoft Sans Serif"/>
          <w:kern w:val="0"/>
          <w:szCs w:val="21"/>
          <w:highlight w:val="none"/>
          <w:u w:val="single"/>
        </w:rPr>
        <w:t>（0.5～3）%/人·次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rPr>
        <w:t>20万</w:t>
      </w:r>
      <w:r>
        <w:rPr>
          <w:rFonts w:hint="eastAsia" w:ascii="宋体" w:hAnsi="宋体" w:cs="Microsoft Sans Serif"/>
          <w:kern w:val="0"/>
          <w:szCs w:val="21"/>
          <w:highlight w:val="none"/>
        </w:rPr>
        <w:t>，累计不超过</w:t>
      </w:r>
      <w:r>
        <w:rPr>
          <w:rFonts w:hint="eastAsia" w:ascii="宋体" w:hAnsi="宋体" w:cs="Microsoft Sans Serif"/>
          <w:kern w:val="0"/>
          <w:szCs w:val="21"/>
          <w:highlight w:val="none"/>
          <w:u w:val="single"/>
        </w:rPr>
        <w:t>200万</w:t>
      </w:r>
      <w:r>
        <w:rPr>
          <w:rFonts w:hint="eastAsia" w:ascii="宋体" w:hAnsi="宋体" w:cs="Microsoft Sans Serif"/>
          <w:kern w:val="0"/>
          <w:szCs w:val="21"/>
          <w:highlight w:val="none"/>
        </w:rPr>
        <w:t>；项目经理被责令停止执业的，按签约合同价的</w:t>
      </w:r>
      <w:r>
        <w:rPr>
          <w:rFonts w:hint="eastAsia" w:ascii="宋体" w:hAnsi="宋体" w:cs="Microsoft Sans Serif"/>
          <w:kern w:val="0"/>
          <w:szCs w:val="21"/>
          <w:highlight w:val="none"/>
          <w:u w:val="single"/>
        </w:rPr>
        <w:t>（0.5～3）%/人•次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rPr>
        <w:t>20</w:t>
      </w:r>
      <w:r>
        <w:rPr>
          <w:rFonts w:hint="eastAsia" w:ascii="宋体" w:hAnsi="宋体" w:cs="Microsoft Sans Serif"/>
          <w:kern w:val="0"/>
          <w:szCs w:val="21"/>
          <w:highlight w:val="none"/>
        </w:rPr>
        <w:t>万，累计不超过</w:t>
      </w:r>
      <w:r>
        <w:rPr>
          <w:rFonts w:hint="eastAsia" w:ascii="宋体" w:hAnsi="宋体" w:cs="Microsoft Sans Serif"/>
          <w:kern w:val="0"/>
          <w:szCs w:val="21"/>
          <w:highlight w:val="none"/>
          <w:u w:val="single"/>
        </w:rPr>
        <w:t>200</w:t>
      </w:r>
      <w:r>
        <w:rPr>
          <w:rFonts w:hint="eastAsia" w:ascii="宋体" w:hAnsi="宋体" w:cs="Microsoft Sans Serif"/>
          <w:kern w:val="0"/>
          <w:szCs w:val="21"/>
          <w:highlight w:val="none"/>
        </w:rPr>
        <w:t>万。</w:t>
      </w:r>
    </w:p>
    <w:p w14:paraId="1625C057">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2）主要技术负责人违约承担方式和计算方法：对于第16.2.1项（12）目的六种情形，每发现一次，根据具体情节，按</w:t>
      </w:r>
      <w:r>
        <w:rPr>
          <w:rFonts w:hint="eastAsia" w:ascii="宋体" w:hAnsi="宋体" w:cs="Microsoft Sans Serif"/>
          <w:kern w:val="0"/>
          <w:szCs w:val="21"/>
          <w:highlight w:val="none"/>
          <w:u w:val="single"/>
        </w:rPr>
        <w:t>1000～30000元/天·次</w:t>
      </w:r>
      <w:r>
        <w:rPr>
          <w:rFonts w:hint="eastAsia" w:ascii="宋体" w:hAnsi="宋体" w:cs="Microsoft Sans Serif"/>
          <w:kern w:val="0"/>
          <w:szCs w:val="21"/>
          <w:highlight w:val="none"/>
        </w:rPr>
        <w:t>计算违约金；擅自更换主要技术负责人的，按签约合同价的</w:t>
      </w:r>
      <w:r>
        <w:rPr>
          <w:rFonts w:hint="eastAsia" w:ascii="宋体" w:hAnsi="宋体" w:cs="Microsoft Sans Serif"/>
          <w:kern w:val="0"/>
          <w:szCs w:val="21"/>
          <w:highlight w:val="none"/>
          <w:u w:val="single"/>
        </w:rPr>
        <w:t>（0.5～2）%/人·次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rPr>
        <w:t>10万</w:t>
      </w:r>
      <w:r>
        <w:rPr>
          <w:rFonts w:hint="eastAsia" w:ascii="宋体" w:hAnsi="宋体" w:cs="Microsoft Sans Serif"/>
          <w:kern w:val="0"/>
          <w:szCs w:val="21"/>
          <w:highlight w:val="none"/>
        </w:rPr>
        <w:t>，累计不超过</w:t>
      </w:r>
      <w:r>
        <w:rPr>
          <w:rFonts w:hint="eastAsia" w:ascii="宋体" w:hAnsi="宋体" w:cs="Microsoft Sans Serif"/>
          <w:kern w:val="0"/>
          <w:szCs w:val="21"/>
          <w:highlight w:val="none"/>
          <w:u w:val="single"/>
        </w:rPr>
        <w:t>100万</w:t>
      </w:r>
      <w:r>
        <w:rPr>
          <w:rFonts w:hint="eastAsia" w:ascii="宋体" w:hAnsi="宋体" w:cs="Microsoft Sans Serif"/>
          <w:kern w:val="0"/>
          <w:szCs w:val="21"/>
          <w:highlight w:val="none"/>
        </w:rPr>
        <w:t>。</w:t>
      </w:r>
    </w:p>
    <w:p w14:paraId="1EE9A853">
      <w:pPr>
        <w:snapToGrid w:val="0"/>
        <w:spacing w:line="360" w:lineRule="auto"/>
        <w:ind w:firstLine="420" w:firstLineChars="200"/>
        <w:jc w:val="left"/>
        <w:rPr>
          <w:rFonts w:ascii="宋体" w:hAnsi="宋体"/>
          <w:szCs w:val="21"/>
          <w:highlight w:val="none"/>
        </w:rPr>
      </w:pPr>
      <w:r>
        <w:rPr>
          <w:rFonts w:hint="eastAsia" w:ascii="宋体" w:hAnsi="宋体" w:cs="Microsoft Sans Serif"/>
          <w:kern w:val="0"/>
          <w:szCs w:val="21"/>
          <w:highlight w:val="none"/>
        </w:rPr>
        <w:t>3）主要施工管理人员违约承担方式和计算方法：对于第16.2.1项（13）目的五种情形，每发现一次，根据具体情节，按</w:t>
      </w:r>
      <w:r>
        <w:rPr>
          <w:rFonts w:hint="eastAsia" w:ascii="宋体" w:hAnsi="宋体" w:cs="Microsoft Sans Serif"/>
          <w:kern w:val="0"/>
          <w:szCs w:val="21"/>
          <w:highlight w:val="none"/>
          <w:u w:val="single"/>
        </w:rPr>
        <w:t>500～10000元/天·次</w:t>
      </w:r>
      <w:r>
        <w:rPr>
          <w:rFonts w:hint="eastAsia" w:ascii="宋体" w:hAnsi="宋体" w:cs="Microsoft Sans Serif"/>
          <w:kern w:val="0"/>
          <w:szCs w:val="21"/>
          <w:highlight w:val="none"/>
        </w:rPr>
        <w:t>计算违约金。</w:t>
      </w:r>
    </w:p>
    <w:p w14:paraId="0BD21319">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（18）</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bookmarkStart w:id="1871" w:name="_Hlk524380347"/>
    </w:p>
    <w:p w14:paraId="2395CEB6">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highlight w:val="none"/>
        </w:rPr>
        <w:t>16.2.2项第（1）目承担违约责任</w:t>
      </w:r>
      <w:r>
        <w:rPr>
          <w:rFonts w:hint="eastAsia" w:ascii="宋体" w:hAnsi="宋体" w:cs="Microsoft Sans Serif"/>
          <w:szCs w:val="21"/>
          <w:highlight w:val="none"/>
        </w:rPr>
        <w:t>，并从应付或到期应付给承包人的任何款项中或采用其他方法，扣除该违约金。</w:t>
      </w:r>
    </w:p>
    <w:p w14:paraId="135B3DE8">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highlight w:val="none"/>
        </w:rPr>
        <w:t>，承担由此给</w:t>
      </w:r>
      <w:r>
        <w:rPr>
          <w:rFonts w:hint="eastAsia" w:ascii="宋体" w:hAnsi="宋体" w:cs="Microsoft Sans Serif"/>
          <w:szCs w:val="21"/>
          <w:highlight w:val="none"/>
        </w:rPr>
        <w:t>发包人造成的经济损失。</w:t>
      </w:r>
    </w:p>
    <w:p w14:paraId="70EC4FA1">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承包人承担承包范围的工程质量、安全、环保责任，因承包人原因引起的质量、安全、环保等事故由承包人承担相应的法律后果。</w:t>
      </w:r>
    </w:p>
    <w:bookmarkEnd w:id="1871"/>
    <w:p w14:paraId="6E112948">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16.2.3 因承包人违约解除合同</w:t>
      </w:r>
    </w:p>
    <w:p w14:paraId="1BA147C0">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因承包人违约并致使合同目的不能实现的，发包人有权解除合同：</w:t>
      </w:r>
    </w:p>
    <w:p w14:paraId="1E9AF4C0">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（1）未按合同约定延迟提供履约担保、质量保证金超过14天的；</w:t>
      </w:r>
    </w:p>
    <w:p w14:paraId="4A33068C">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（2）未按合同约定购买保险且经催告后超过56天的；</w:t>
      </w:r>
    </w:p>
    <w:p w14:paraId="6E28CBF7">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（3）因承包人原因导致开工时间累计延误超过56天的；</w:t>
      </w:r>
    </w:p>
    <w:p w14:paraId="79E958BA">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（4）因承包人原因导致工期延误超过90天的；</w:t>
      </w:r>
    </w:p>
    <w:p w14:paraId="2482E510">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（5）发生第21.2款〔退出机制〕约定的情形的；</w:t>
      </w:r>
    </w:p>
    <w:p w14:paraId="7AF363D5">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（6）监理人发出整改通知后，承包人在监理人限定的期限内仍不纠正违约行为的；</w:t>
      </w:r>
    </w:p>
    <w:p w14:paraId="65701F8C">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（7）承包人进入清算或者严重资不抵债且无法履行合同的；</w:t>
      </w:r>
    </w:p>
    <w:p w14:paraId="484ED70E">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（8）违反适用法律而被相关政府部门依法吊销营业执照、责令停业、清算或宣布破产、责令关闭的；</w:t>
      </w:r>
    </w:p>
    <w:p w14:paraId="4932C3F3">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（9）承包人未履行合同项下的义务构成对合同的实质性违约，并且在收到发包人要求说明其违约并予以补救的通知后56天内仍未能补救该实质性违约的；</w:t>
      </w:r>
    </w:p>
    <w:p w14:paraId="3F3F7145">
      <w:pPr>
        <w:pStyle w:val="68"/>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（10）</w:t>
      </w:r>
      <w:r>
        <w:rPr>
          <w:rFonts w:hint="eastAsia" w:ascii="宋体" w:hAnsi="宋体" w:cs="Microsoft Sans Serif"/>
          <w:kern w:val="0"/>
          <w:sz w:val="21"/>
          <w:szCs w:val="21"/>
          <w:highlight w:val="none"/>
          <w:u w:val="single"/>
        </w:rPr>
        <w:t>合同约定的发包人有权解除合同的其他情形</w:t>
      </w:r>
      <w:r>
        <w:rPr>
          <w:rFonts w:hint="eastAsia" w:ascii="宋体" w:hAnsi="宋体" w:cs="Microsoft Sans Serif"/>
          <w:kern w:val="0"/>
          <w:sz w:val="21"/>
          <w:szCs w:val="21"/>
          <w:highlight w:val="none"/>
        </w:rPr>
        <w:t>。</w:t>
      </w:r>
    </w:p>
    <w:p w14:paraId="48187214">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16.2.4因承包人违约解除合同后的处理</w:t>
      </w:r>
    </w:p>
    <w:p w14:paraId="0B7F42BF">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因承包人违约导致合同解除的，合同当事人应在合同解除后56天内完成估价、付款和清算，并按以下约定执行：</w:t>
      </w:r>
    </w:p>
    <w:p w14:paraId="50C3DA0B">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（1）合同解除后，按第14.2款结算审定方式确定承包人实际完成工作对应的合同价款，以及承包人已提供的材料、工程设备、施工设备和临时工程等的价值；</w:t>
      </w:r>
    </w:p>
    <w:p w14:paraId="237824C2">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（2）合同解除后，承包人应支付违约金；</w:t>
      </w:r>
    </w:p>
    <w:p w14:paraId="0195B7E2">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（3）合同解除后，赔偿因解除合同给发包人造成的损失；</w:t>
      </w:r>
    </w:p>
    <w:p w14:paraId="29D44844">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（4）合同解除后，承包人应按照发包人要求和监理人的指示完成现场的清理和撤离。</w:t>
      </w:r>
    </w:p>
    <w:p w14:paraId="402B0C9A">
      <w:pPr>
        <w:spacing w:line="360" w:lineRule="auto"/>
        <w:ind w:firstLine="420" w:firstLineChars="200"/>
        <w:jc w:val="left"/>
        <w:rPr>
          <w:rFonts w:ascii="宋体" w:hAnsi="宋体"/>
          <w:szCs w:val="21"/>
          <w:highlight w:val="none"/>
        </w:rPr>
      </w:pPr>
      <w:r>
        <w:rPr>
          <w:rFonts w:hint="eastAsia" w:ascii="宋体" w:hAnsi="宋体" w:cs="Microsoft Sans Serif"/>
          <w:kern w:val="0"/>
          <w:szCs w:val="21"/>
          <w:highlight w:val="none"/>
        </w:rPr>
        <w:t>（5）</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14:paraId="68E0F37C">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2B943B04">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858"/>
    <w:bookmarkEnd w:id="1859"/>
    <w:p w14:paraId="0494327C">
      <w:pPr>
        <w:pStyle w:val="6"/>
        <w:keepNext/>
        <w:keepLines/>
        <w:spacing w:before="156" w:beforeLines="50" w:beforeAutospacing="0" w:after="156" w:afterLines="50" w:afterAutospacing="0" w:line="360" w:lineRule="auto"/>
        <w:jc w:val="both"/>
        <w:rPr>
          <w:bCs w:val="0"/>
          <w:kern w:val="2"/>
          <w:sz w:val="21"/>
          <w:szCs w:val="21"/>
          <w:highlight w:val="none"/>
        </w:rPr>
      </w:pPr>
      <w:bookmarkStart w:id="1872" w:name="_Toc532377404"/>
      <w:bookmarkStart w:id="1873" w:name="_Toc532375665"/>
      <w:bookmarkStart w:id="1874" w:name="_Toc351203649"/>
      <w:bookmarkStart w:id="1875" w:name="_Hlk528928440"/>
      <w:r>
        <w:rPr>
          <w:rFonts w:hint="eastAsia"/>
          <w:kern w:val="2"/>
          <w:sz w:val="21"/>
          <w:szCs w:val="21"/>
          <w:highlight w:val="none"/>
        </w:rPr>
        <w:t>17. 不可抗力</w:t>
      </w:r>
      <w:bookmarkEnd w:id="1872"/>
      <w:bookmarkEnd w:id="1873"/>
      <w:bookmarkEnd w:id="1874"/>
    </w:p>
    <w:p w14:paraId="5476681C">
      <w:pPr>
        <w:pStyle w:val="7"/>
        <w:spacing w:before="0" w:beforeAutospacing="0" w:after="0" w:afterAutospacing="0" w:line="360" w:lineRule="auto"/>
        <w:ind w:firstLine="422" w:firstLineChars="200"/>
        <w:rPr>
          <w:sz w:val="21"/>
          <w:szCs w:val="21"/>
          <w:highlight w:val="none"/>
        </w:rPr>
      </w:pPr>
      <w:bookmarkStart w:id="1876" w:name="_Toc532375666"/>
      <w:bookmarkStart w:id="1877" w:name="_Toc532377405"/>
      <w:r>
        <w:rPr>
          <w:rFonts w:hint="eastAsia"/>
          <w:sz w:val="21"/>
          <w:szCs w:val="21"/>
          <w:highlight w:val="none"/>
        </w:rPr>
        <w:t>17.1 不可抗力的确认</w:t>
      </w:r>
      <w:bookmarkEnd w:id="1876"/>
      <w:bookmarkEnd w:id="1877"/>
    </w:p>
    <w:p w14:paraId="7E98A577">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除通用合同条款约定的不可抗力事件之外，视为不可抗力的其他情形：</w:t>
      </w:r>
      <w:bookmarkStart w:id="1878" w:name="_Hlk524379638"/>
    </w:p>
    <w:p w14:paraId="23364B4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（1）洪水、火山爆发、山崩、山体滑坡、泥石流、龙卷风、隧道内不可预测的突发性地质灾害等自然灾害；</w:t>
      </w:r>
    </w:p>
    <w:p w14:paraId="46DF98F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（2）骚乱、戒严、封锁、禁运、恐怖行为、等社会行为，但承包人或其分包人派遣与雇佣的人员由于合同工程施工原因引起的除外；</w:t>
      </w:r>
    </w:p>
    <w:p w14:paraId="7E18B75A">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（3）不能合理预见的重大交通阻滞、停运、交通事故，非双方责任引起的火灾、爆炸、船舶撞击等情形；</w:t>
      </w:r>
    </w:p>
    <w:p w14:paraId="4AED250D">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（4）化学或放射性污染或核辐射；</w:t>
      </w:r>
    </w:p>
    <w:p w14:paraId="0CD854AA">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（5）环保治理等政府行为导致项目停工的。</w:t>
      </w:r>
      <w:bookmarkEnd w:id="1878"/>
    </w:p>
    <w:p w14:paraId="6447607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u w:val="single"/>
        </w:rPr>
        <w:t xml:space="preserve">        </w:t>
      </w:r>
      <w:r>
        <w:rPr>
          <w:rFonts w:hint="eastAsia" w:ascii="宋体" w:hAnsi="宋体"/>
          <w:szCs w:val="21"/>
          <w:highlight w:val="none"/>
        </w:rPr>
        <w:t>。</w:t>
      </w:r>
    </w:p>
    <w:p w14:paraId="07782A78">
      <w:pPr>
        <w:pStyle w:val="7"/>
        <w:spacing w:before="0" w:beforeAutospacing="0" w:after="0" w:afterAutospacing="0" w:line="360" w:lineRule="auto"/>
        <w:ind w:firstLine="422" w:firstLineChars="200"/>
        <w:rPr>
          <w:sz w:val="21"/>
          <w:szCs w:val="21"/>
          <w:highlight w:val="none"/>
        </w:rPr>
      </w:pPr>
      <w:bookmarkStart w:id="1879" w:name="_Toc532375667"/>
      <w:bookmarkStart w:id="1880" w:name="_Toc532377406"/>
      <w:bookmarkStart w:id="1881" w:name="_Toc351203610"/>
      <w:bookmarkStart w:id="1882" w:name="_Toc296503119"/>
      <w:bookmarkStart w:id="1883" w:name="_Toc337558826"/>
      <w:bookmarkStart w:id="1884" w:name="_Toc296346620"/>
      <w:r>
        <w:rPr>
          <w:rFonts w:hint="eastAsia"/>
          <w:sz w:val="21"/>
          <w:szCs w:val="21"/>
          <w:highlight w:val="none"/>
        </w:rPr>
        <w:t>17.3 不可抗力后果的承担</w:t>
      </w:r>
      <w:bookmarkEnd w:id="1879"/>
      <w:bookmarkEnd w:id="1880"/>
      <w:bookmarkEnd w:id="1881"/>
    </w:p>
    <w:bookmarkEnd w:id="1882"/>
    <w:bookmarkEnd w:id="1883"/>
    <w:bookmarkEnd w:id="1884"/>
    <w:p w14:paraId="6624FE4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17.3.1 不可抗力引起的后果及造成的损失由合同当事人按照法律规定及合同约定各自承担。不可抗力发生前已完成的工程应当按照合同约定进行计量支付。</w:t>
      </w:r>
    </w:p>
    <w:p w14:paraId="70CEA10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17.3.2 不可抗力导致的人员伤亡、财产损失、费用增加和（或）工期延误等后果，由合同当事人按以下原则承担：</w:t>
      </w:r>
    </w:p>
    <w:p w14:paraId="3916D14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（1）永久工程、已运至施工现场的施工材料和工程设备的损坏，以及因工程损坏造成的第三方人员伤亡和财产损失由发包人承担；</w:t>
      </w:r>
    </w:p>
    <w:p w14:paraId="5222631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（2）承包人施工设备的损坏由承包人承担；</w:t>
      </w:r>
    </w:p>
    <w:p w14:paraId="1416147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（3）发包人和承包人承担各自人员伤亡和财产的损失；</w:t>
      </w:r>
    </w:p>
    <w:p w14:paraId="6B9462D7">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（4）因不可抗力影响承包人履行合同约定的义务，已经引起或将引起工期延误的，应当顺延工期，由此导致承包人停工的费用损失由发包人和承包人合理共担；</w:t>
      </w:r>
    </w:p>
    <w:p w14:paraId="6C0D3EA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（5）因不可抗力引起或将引起工期延误，发包人要求赶工的，由此增加的赶工费用由发包人承担；</w:t>
      </w:r>
    </w:p>
    <w:p w14:paraId="66B1A6EE">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（6）承包人在停工期间按照发包人要求照管、清理和修复工程的费用由发包人承担；</w:t>
      </w:r>
    </w:p>
    <w:p w14:paraId="56CFCDE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（7）不可抗力事件发生后，合同当事人均应采取措施尽量避免和减少损失的扩大，任何一方当事人没有采取有效措施导致损失扩大的，应对扩大的损失承担责任。</w:t>
      </w:r>
    </w:p>
    <w:p w14:paraId="7BC8D494">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（8）</w:t>
      </w:r>
      <w:r>
        <w:rPr>
          <w:rFonts w:hint="eastAsia" w:ascii="宋体" w:hAnsi="宋体"/>
          <w:szCs w:val="21"/>
          <w:highlight w:val="none"/>
          <w:u w:val="single"/>
        </w:rPr>
        <w:t xml:space="preserve">        </w:t>
      </w:r>
      <w:r>
        <w:rPr>
          <w:rFonts w:hint="eastAsia" w:ascii="宋体" w:hAnsi="宋体"/>
          <w:szCs w:val="21"/>
          <w:highlight w:val="none"/>
        </w:rPr>
        <w:t>。</w:t>
      </w:r>
    </w:p>
    <w:p w14:paraId="1DF61267">
      <w:pPr>
        <w:pStyle w:val="7"/>
        <w:spacing w:before="0" w:beforeAutospacing="0" w:after="0" w:afterAutospacing="0" w:line="360" w:lineRule="auto"/>
        <w:ind w:firstLine="422" w:firstLineChars="200"/>
        <w:rPr>
          <w:sz w:val="21"/>
          <w:szCs w:val="21"/>
          <w:highlight w:val="none"/>
        </w:rPr>
      </w:pPr>
      <w:bookmarkStart w:id="1885" w:name="_Toc532375668"/>
      <w:bookmarkStart w:id="1886" w:name="_Toc532377407"/>
      <w:r>
        <w:rPr>
          <w:rFonts w:hint="eastAsia"/>
          <w:sz w:val="21"/>
          <w:szCs w:val="21"/>
          <w:highlight w:val="none"/>
        </w:rPr>
        <w:t>17.4 因不可抗力解除合同</w:t>
      </w:r>
      <w:bookmarkEnd w:id="1885"/>
      <w:bookmarkEnd w:id="1886"/>
    </w:p>
    <w:p w14:paraId="50C7DED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28</w:t>
      </w:r>
      <w:r>
        <w:rPr>
          <w:rFonts w:hint="eastAsia" w:ascii="宋体" w:hAnsi="宋体"/>
          <w:szCs w:val="21"/>
          <w:highlight w:val="none"/>
        </w:rPr>
        <w:t>天内完成款项的支付。</w:t>
      </w:r>
    </w:p>
    <w:p w14:paraId="45ED892A">
      <w:pPr>
        <w:pStyle w:val="6"/>
        <w:keepNext/>
        <w:keepLines/>
        <w:spacing w:before="156" w:beforeLines="50" w:beforeAutospacing="0" w:after="156" w:afterLines="50" w:afterAutospacing="0" w:line="360" w:lineRule="auto"/>
        <w:jc w:val="both"/>
        <w:rPr>
          <w:bCs w:val="0"/>
          <w:kern w:val="2"/>
          <w:sz w:val="21"/>
          <w:szCs w:val="21"/>
          <w:highlight w:val="none"/>
        </w:rPr>
      </w:pPr>
      <w:bookmarkStart w:id="1887" w:name="_Toc532377408"/>
      <w:bookmarkStart w:id="1888" w:name="_Toc532375669"/>
      <w:bookmarkStart w:id="1889" w:name="_Toc351203650"/>
      <w:r>
        <w:rPr>
          <w:rFonts w:hint="eastAsia"/>
          <w:kern w:val="2"/>
          <w:sz w:val="21"/>
          <w:szCs w:val="21"/>
          <w:highlight w:val="none"/>
        </w:rPr>
        <w:t>18. 保险</w:t>
      </w:r>
      <w:bookmarkEnd w:id="1887"/>
      <w:bookmarkEnd w:id="1888"/>
      <w:bookmarkEnd w:id="1889"/>
    </w:p>
    <w:p w14:paraId="17120D8C">
      <w:pPr>
        <w:pStyle w:val="7"/>
        <w:spacing w:before="0" w:beforeAutospacing="0" w:after="0" w:afterAutospacing="0" w:line="360" w:lineRule="auto"/>
        <w:ind w:firstLine="422" w:firstLineChars="200"/>
        <w:rPr>
          <w:sz w:val="21"/>
          <w:szCs w:val="21"/>
          <w:highlight w:val="none"/>
        </w:rPr>
      </w:pPr>
      <w:bookmarkStart w:id="1890" w:name="_Toc532377409"/>
      <w:bookmarkStart w:id="1891" w:name="_Toc532375670"/>
      <w:r>
        <w:rPr>
          <w:rFonts w:hint="eastAsia"/>
          <w:sz w:val="21"/>
          <w:szCs w:val="21"/>
          <w:highlight w:val="none"/>
        </w:rPr>
        <w:t>18.1 工程保险</w:t>
      </w:r>
      <w:bookmarkEnd w:id="1890"/>
      <w:bookmarkEnd w:id="1891"/>
    </w:p>
    <w:p w14:paraId="29E2B782">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关于工程保险的特别约定：发包人应投保</w:t>
      </w:r>
      <w:r>
        <w:rPr>
          <w:rFonts w:hint="eastAsia" w:ascii="宋体" w:hAnsi="宋体"/>
          <w:szCs w:val="21"/>
          <w:highlight w:val="none"/>
          <w:u w:val="single"/>
        </w:rPr>
        <w:t>建筑工程一切险或安装工程一切险</w:t>
      </w:r>
      <w:r>
        <w:rPr>
          <w:rFonts w:hint="eastAsia" w:ascii="宋体" w:hAnsi="宋体"/>
          <w:szCs w:val="21"/>
          <w:highlight w:val="none"/>
        </w:rPr>
        <w:t>；发包人委托承包人投保的，因投保产生的保险费和其他相关费用由发包人承担。</w:t>
      </w:r>
    </w:p>
    <w:p w14:paraId="4C8BBA71">
      <w:pPr>
        <w:pStyle w:val="7"/>
        <w:spacing w:before="0" w:beforeAutospacing="0" w:after="0" w:afterAutospacing="0" w:line="360" w:lineRule="auto"/>
        <w:ind w:firstLine="422" w:firstLineChars="200"/>
        <w:rPr>
          <w:sz w:val="21"/>
          <w:szCs w:val="21"/>
          <w:highlight w:val="none"/>
        </w:rPr>
      </w:pPr>
      <w:bookmarkStart w:id="1892" w:name="_Toc532377410"/>
      <w:bookmarkStart w:id="1893" w:name="_Toc532375671"/>
      <w:r>
        <w:rPr>
          <w:rFonts w:hint="eastAsia"/>
          <w:sz w:val="21"/>
          <w:szCs w:val="21"/>
          <w:highlight w:val="none"/>
        </w:rPr>
        <w:t>18.3 其他保险</w:t>
      </w:r>
      <w:bookmarkEnd w:id="1892"/>
      <w:bookmarkEnd w:id="1893"/>
    </w:p>
    <w:p w14:paraId="0750E56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    </w:t>
      </w:r>
      <w:r>
        <w:rPr>
          <w:rFonts w:hint="eastAsia" w:ascii="宋体" w:hAnsi="宋体"/>
          <w:szCs w:val="21"/>
          <w:highlight w:val="none"/>
        </w:rPr>
        <w:t>。</w:t>
      </w:r>
    </w:p>
    <w:p w14:paraId="62422201">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    </w:t>
      </w:r>
      <w:r>
        <w:rPr>
          <w:rFonts w:hint="eastAsia" w:ascii="宋体" w:hAnsi="宋体"/>
          <w:szCs w:val="21"/>
          <w:highlight w:val="none"/>
        </w:rPr>
        <w:t>。</w:t>
      </w:r>
    </w:p>
    <w:p w14:paraId="059826A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安全生产责任险：</w:t>
      </w:r>
      <w:r>
        <w:rPr>
          <w:rFonts w:hint="eastAsia" w:ascii="宋体" w:hAnsi="宋体"/>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highlight w:val="none"/>
        </w:rPr>
        <w:t>。</w:t>
      </w:r>
    </w:p>
    <w:p w14:paraId="74F56FB1">
      <w:pPr>
        <w:pStyle w:val="7"/>
        <w:spacing w:before="0" w:beforeAutospacing="0" w:after="0" w:afterAutospacing="0" w:line="360" w:lineRule="auto"/>
        <w:ind w:firstLine="422" w:firstLineChars="200"/>
        <w:rPr>
          <w:sz w:val="21"/>
          <w:szCs w:val="21"/>
          <w:highlight w:val="none"/>
        </w:rPr>
      </w:pPr>
      <w:bookmarkStart w:id="1894" w:name="_Toc532375672"/>
      <w:bookmarkStart w:id="1895" w:name="_Toc532377411"/>
      <w:r>
        <w:rPr>
          <w:rFonts w:hint="eastAsia"/>
          <w:sz w:val="21"/>
          <w:szCs w:val="21"/>
          <w:highlight w:val="none"/>
        </w:rPr>
        <w:t>18.7 通知义务</w:t>
      </w:r>
      <w:bookmarkEnd w:id="1894"/>
      <w:bookmarkEnd w:id="1895"/>
    </w:p>
    <w:p w14:paraId="5BCCCD5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按通用合同条款执行</w:t>
      </w:r>
      <w:r>
        <w:rPr>
          <w:rFonts w:hint="eastAsia" w:ascii="宋体" w:hAnsi="宋体"/>
          <w:szCs w:val="21"/>
          <w:highlight w:val="none"/>
        </w:rPr>
        <w:t>。</w:t>
      </w:r>
    </w:p>
    <w:p w14:paraId="4CBF2550">
      <w:pPr>
        <w:pStyle w:val="7"/>
        <w:spacing w:before="0" w:beforeAutospacing="0" w:after="0" w:afterAutospacing="0" w:line="360" w:lineRule="auto"/>
        <w:ind w:firstLine="422" w:firstLineChars="200"/>
        <w:rPr>
          <w:sz w:val="21"/>
          <w:szCs w:val="21"/>
          <w:highlight w:val="none"/>
        </w:rPr>
      </w:pPr>
      <w:bookmarkStart w:id="1896" w:name="_Toc532377412"/>
      <w:bookmarkStart w:id="1897" w:name="_Toc532375673"/>
      <w:r>
        <w:rPr>
          <w:rFonts w:hint="eastAsia"/>
          <w:sz w:val="21"/>
          <w:szCs w:val="21"/>
          <w:highlight w:val="none"/>
        </w:rPr>
        <w:t>18.8 其他</w:t>
      </w:r>
      <w:bookmarkEnd w:id="1896"/>
      <w:bookmarkEnd w:id="1897"/>
    </w:p>
    <w:p w14:paraId="5C96A50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18.8.1 工程开工日前，承包人向发包人提交各项生效的保险证据和保险单副本。未按本项约定提交的，每延后1天，承包人按500元/天支付违约金。</w:t>
      </w:r>
    </w:p>
    <w:p w14:paraId="1756649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18.8.2 承包人保险赔偿金不足以补偿发包人损失时，</w:t>
      </w:r>
      <w:bookmarkStart w:id="1898" w:name="_Hlk524378346"/>
      <w:r>
        <w:rPr>
          <w:rFonts w:hint="eastAsia" w:ascii="宋体" w:hAnsi="宋体"/>
          <w:szCs w:val="21"/>
          <w:highlight w:val="none"/>
        </w:rPr>
        <w:t>差额由承包人负责补足</w:t>
      </w:r>
      <w:bookmarkEnd w:id="1898"/>
      <w:r>
        <w:rPr>
          <w:rFonts w:hint="eastAsia" w:ascii="宋体" w:hAnsi="宋体"/>
          <w:szCs w:val="21"/>
          <w:highlight w:val="none"/>
        </w:rPr>
        <w:t>。</w:t>
      </w:r>
    </w:p>
    <w:p w14:paraId="7D37E17A">
      <w:pPr>
        <w:pStyle w:val="6"/>
        <w:keepNext/>
        <w:keepLines/>
        <w:spacing w:before="156" w:beforeLines="50" w:beforeAutospacing="0" w:after="156" w:afterLines="50" w:afterAutospacing="0" w:line="360" w:lineRule="auto"/>
        <w:jc w:val="both"/>
        <w:rPr>
          <w:bCs w:val="0"/>
          <w:kern w:val="2"/>
          <w:sz w:val="21"/>
          <w:szCs w:val="21"/>
          <w:highlight w:val="none"/>
        </w:rPr>
      </w:pPr>
      <w:bookmarkStart w:id="1899" w:name="_Toc532375674"/>
      <w:bookmarkStart w:id="1900" w:name="_Toc532377413"/>
      <w:bookmarkStart w:id="1901" w:name="_Toc351203620"/>
      <w:bookmarkStart w:id="1902" w:name="_Toc337558835"/>
      <w:bookmarkStart w:id="1903" w:name="_Toc296503140"/>
      <w:bookmarkStart w:id="1904" w:name="_Toc296346641"/>
      <w:r>
        <w:rPr>
          <w:rFonts w:hint="eastAsia"/>
          <w:kern w:val="2"/>
          <w:sz w:val="21"/>
          <w:szCs w:val="21"/>
          <w:highlight w:val="none"/>
        </w:rPr>
        <w:t>19. 索赔</w:t>
      </w:r>
      <w:bookmarkEnd w:id="1899"/>
      <w:bookmarkEnd w:id="1900"/>
      <w:bookmarkEnd w:id="1901"/>
    </w:p>
    <w:bookmarkEnd w:id="1902"/>
    <w:bookmarkEnd w:id="1903"/>
    <w:bookmarkEnd w:id="1904"/>
    <w:p w14:paraId="2B8B9F5F">
      <w:pPr>
        <w:pStyle w:val="7"/>
        <w:spacing w:before="0" w:beforeAutospacing="0" w:after="0" w:afterAutospacing="0" w:line="360" w:lineRule="auto"/>
        <w:ind w:firstLine="422" w:firstLineChars="200"/>
        <w:rPr>
          <w:sz w:val="21"/>
          <w:szCs w:val="21"/>
          <w:highlight w:val="none"/>
        </w:rPr>
      </w:pPr>
      <w:bookmarkStart w:id="1905" w:name="_Toc532375675"/>
      <w:bookmarkStart w:id="1906" w:name="_Toc532377414"/>
      <w:bookmarkStart w:id="1907" w:name="_Toc296503141"/>
      <w:bookmarkStart w:id="1908" w:name="_Toc296346642"/>
      <w:bookmarkStart w:id="1909" w:name="_Toc337558836"/>
      <w:bookmarkStart w:id="1910" w:name="_Toc351203621"/>
      <w:r>
        <w:rPr>
          <w:rFonts w:hint="eastAsia"/>
          <w:sz w:val="21"/>
          <w:szCs w:val="21"/>
          <w:highlight w:val="none"/>
        </w:rPr>
        <w:t>19.1 承包人的索赔</w:t>
      </w:r>
      <w:bookmarkEnd w:id="1905"/>
      <w:bookmarkEnd w:id="1906"/>
    </w:p>
    <w:p w14:paraId="5680EDDE">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根据合同约定，承包人认为有权得到追加付款和（或）延长工期的，应按以下程序向发包人提出索赔：</w:t>
      </w:r>
    </w:p>
    <w:p w14:paraId="544DD536">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1D5A7434">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3AC7953B">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（3）索赔事件具有持续影响的，承包人应按监理人要求的合理时间间隔继续递交延续索赔通知，说明持续影响的实际情况和记录，列出累计的追加付款金额和（或）工期延长天数；</w:t>
      </w:r>
    </w:p>
    <w:p w14:paraId="253A41F5">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（4）在索赔事件影响结束后28天内，承包人应向监理人递交最终索赔报告，说明最终要求索赔的追加付款金额和（或）延长的工期，并附必要的记录和证明材料。</w:t>
      </w:r>
    </w:p>
    <w:p w14:paraId="429AD22B">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 xml:space="preserve">        </w:t>
      </w:r>
      <w:r>
        <w:rPr>
          <w:rFonts w:hint="eastAsia" w:ascii="宋体" w:hAnsi="宋体"/>
          <w:szCs w:val="21"/>
          <w:highlight w:val="none"/>
        </w:rPr>
        <w:t>。</w:t>
      </w:r>
    </w:p>
    <w:p w14:paraId="2FCAC58B">
      <w:pPr>
        <w:pStyle w:val="7"/>
        <w:spacing w:before="0" w:beforeAutospacing="0" w:after="0" w:afterAutospacing="0" w:line="360" w:lineRule="auto"/>
        <w:ind w:firstLine="422" w:firstLineChars="200"/>
        <w:rPr>
          <w:sz w:val="21"/>
          <w:szCs w:val="21"/>
          <w:highlight w:val="none"/>
        </w:rPr>
      </w:pPr>
      <w:bookmarkStart w:id="1911" w:name="_Toc532375676"/>
      <w:bookmarkStart w:id="1912" w:name="_Toc532377415"/>
      <w:r>
        <w:rPr>
          <w:rFonts w:hint="eastAsia"/>
          <w:sz w:val="21"/>
          <w:szCs w:val="21"/>
          <w:highlight w:val="none"/>
        </w:rPr>
        <w:t>19.2 对承包人索赔的处理</w:t>
      </w:r>
      <w:bookmarkEnd w:id="1911"/>
      <w:bookmarkEnd w:id="1912"/>
    </w:p>
    <w:p w14:paraId="656F613C">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对承包人索赔的处理如下：</w:t>
      </w:r>
    </w:p>
    <w:p w14:paraId="46071C94">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szCs w:val="21"/>
          <w:highlight w:val="none"/>
        </w:rPr>
        <w:t>；</w:t>
      </w:r>
    </w:p>
    <w:p w14:paraId="077B82CD">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highlight w:val="none"/>
        </w:rPr>
        <w:t>；</w:t>
      </w:r>
    </w:p>
    <w:p w14:paraId="3FDD1AE6">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（3）承包人接受索赔处理结果的，索赔款项在当期进度款中进行支付；承包人不接受索赔处理结果的，按照第20条〔争议解决〕约定处理</w:t>
      </w:r>
      <w:r>
        <w:rPr>
          <w:rFonts w:hint="eastAsia" w:ascii="宋体" w:hAnsi="宋体"/>
          <w:szCs w:val="21"/>
          <w:highlight w:val="none"/>
        </w:rPr>
        <w:t>；</w:t>
      </w:r>
    </w:p>
    <w:p w14:paraId="3409A2B5">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（4）工期延误的关键线路按照经监理人、发包人审批同意的施工组织设计计算</w:t>
      </w:r>
      <w:r>
        <w:rPr>
          <w:rFonts w:hint="eastAsia" w:ascii="宋体" w:hAnsi="宋体"/>
          <w:szCs w:val="21"/>
          <w:highlight w:val="none"/>
        </w:rPr>
        <w:t>。</w:t>
      </w:r>
    </w:p>
    <w:p w14:paraId="4C134C3F">
      <w:pPr>
        <w:pStyle w:val="7"/>
        <w:spacing w:before="0" w:beforeAutospacing="0" w:after="0" w:afterAutospacing="0" w:line="360" w:lineRule="auto"/>
        <w:ind w:firstLine="422" w:firstLineChars="200"/>
        <w:rPr>
          <w:sz w:val="21"/>
          <w:szCs w:val="21"/>
          <w:highlight w:val="none"/>
        </w:rPr>
      </w:pPr>
      <w:bookmarkStart w:id="1913" w:name="_Toc532377416"/>
      <w:bookmarkStart w:id="1914" w:name="_Toc532375677"/>
      <w:r>
        <w:rPr>
          <w:rFonts w:hint="eastAsia"/>
          <w:sz w:val="21"/>
          <w:szCs w:val="21"/>
          <w:highlight w:val="none"/>
        </w:rPr>
        <w:t>19.3发包人的索赔</w:t>
      </w:r>
      <w:bookmarkEnd w:id="1913"/>
      <w:bookmarkEnd w:id="1914"/>
    </w:p>
    <w:p w14:paraId="4E4ED782">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根据合同约定，发包人认为有权得到赔付金额和（或）延长缺陷责任期的，监理人应向承包人发出通知并附有详细的证明。</w:t>
      </w:r>
    </w:p>
    <w:p w14:paraId="79D21BD5">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15" w:name="_Hlk528652769"/>
      <w:r>
        <w:rPr>
          <w:rFonts w:hint="eastAsia" w:ascii="宋体" w:hAnsi="宋体"/>
          <w:szCs w:val="21"/>
          <w:highlight w:val="none"/>
        </w:rPr>
        <w:t>通过监理人向承包人正式递交最终索赔报告</w:t>
      </w:r>
      <w:bookmarkEnd w:id="1915"/>
      <w:r>
        <w:rPr>
          <w:rFonts w:hint="eastAsia" w:ascii="宋体" w:hAnsi="宋体"/>
          <w:szCs w:val="21"/>
          <w:highlight w:val="none"/>
        </w:rPr>
        <w:t>。</w:t>
      </w:r>
    </w:p>
    <w:p w14:paraId="67E4D0C7">
      <w:pPr>
        <w:pStyle w:val="7"/>
        <w:spacing w:before="0" w:beforeAutospacing="0" w:after="0" w:afterAutospacing="0" w:line="360" w:lineRule="auto"/>
        <w:ind w:firstLine="422" w:firstLineChars="200"/>
        <w:rPr>
          <w:sz w:val="21"/>
          <w:szCs w:val="21"/>
          <w:highlight w:val="none"/>
        </w:rPr>
      </w:pPr>
      <w:bookmarkStart w:id="1916" w:name="_Toc532375678"/>
      <w:bookmarkStart w:id="1917" w:name="_Toc532377417"/>
      <w:r>
        <w:rPr>
          <w:rFonts w:hint="eastAsia"/>
          <w:sz w:val="21"/>
          <w:szCs w:val="21"/>
          <w:highlight w:val="none"/>
        </w:rPr>
        <w:t>19.4 对发包人索赔的处理</w:t>
      </w:r>
      <w:bookmarkEnd w:id="1916"/>
      <w:bookmarkEnd w:id="1917"/>
    </w:p>
    <w:p w14:paraId="4C70D678">
      <w:pPr>
        <w:autoSpaceDE w:val="0"/>
        <w:autoSpaceDN w:val="0"/>
        <w:spacing w:line="360" w:lineRule="auto"/>
        <w:ind w:right="105" w:rightChars="50" w:firstLine="420" w:firstLineChars="200"/>
        <w:jc w:val="left"/>
        <w:rPr>
          <w:rFonts w:ascii="宋体" w:hAnsi="宋体"/>
          <w:kern w:val="0"/>
          <w:szCs w:val="21"/>
          <w:highlight w:val="none"/>
        </w:rPr>
      </w:pPr>
      <w:r>
        <w:rPr>
          <w:rFonts w:hint="eastAsia" w:ascii="宋体" w:hAnsi="宋体"/>
          <w:kern w:val="0"/>
          <w:szCs w:val="21"/>
          <w:highlight w:val="none"/>
        </w:rPr>
        <w:t>对发包人索赔的处理如下：</w:t>
      </w:r>
    </w:p>
    <w:p w14:paraId="285C9C5C">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（1）承包人收到发包人提交的索赔报告后，应及时审查索赔报告的内容、查验发包人证明材料；</w:t>
      </w:r>
    </w:p>
    <w:p w14:paraId="29DEA23F">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467AACB0">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（3）承包人接受索赔处理结果的，发包人可从应支付给承包人的合同价款中扣除赔付的金额或延长缺陷责任期；发包人不接受索赔处理结果的，按第20条〔争议解决〕约定处理。</w:t>
      </w:r>
    </w:p>
    <w:p w14:paraId="0430950B">
      <w:pPr>
        <w:pStyle w:val="7"/>
        <w:spacing w:before="0" w:beforeAutospacing="0" w:after="0" w:afterAutospacing="0" w:line="360" w:lineRule="auto"/>
        <w:ind w:firstLine="422" w:firstLineChars="200"/>
        <w:rPr>
          <w:sz w:val="21"/>
          <w:szCs w:val="21"/>
          <w:highlight w:val="none"/>
        </w:rPr>
      </w:pPr>
      <w:bookmarkStart w:id="1918" w:name="_Toc532377418"/>
      <w:bookmarkStart w:id="1919" w:name="_Toc532375679"/>
      <w:bookmarkStart w:id="1920" w:name="_Hlk528928420"/>
      <w:r>
        <w:rPr>
          <w:rFonts w:hint="eastAsia"/>
          <w:sz w:val="21"/>
          <w:szCs w:val="21"/>
          <w:highlight w:val="none"/>
        </w:rPr>
        <w:t>19.5 提出索赔的期限</w:t>
      </w:r>
      <w:bookmarkEnd w:id="1918"/>
      <w:bookmarkEnd w:id="1919"/>
    </w:p>
    <w:p w14:paraId="261E34B3">
      <w:pPr>
        <w:autoSpaceDE w:val="0"/>
        <w:autoSpaceDN w:val="0"/>
        <w:spacing w:line="360" w:lineRule="auto"/>
        <w:ind w:right="105" w:rightChars="50" w:firstLine="420" w:firstLineChars="200"/>
        <w:jc w:val="left"/>
        <w:rPr>
          <w:rFonts w:ascii="宋体" w:hAnsi="宋体"/>
          <w:szCs w:val="21"/>
          <w:highlight w:val="none"/>
        </w:rPr>
      </w:pPr>
      <w:bookmarkStart w:id="1921" w:name="_Hlk524298376"/>
      <w:r>
        <w:rPr>
          <w:rFonts w:hint="eastAsia" w:ascii="宋体" w:hAnsi="宋体"/>
          <w:szCs w:val="21"/>
          <w:highlight w:val="none"/>
        </w:rPr>
        <w:t>任一索赔事件发生后28天内，承包人/发包人未向对方发出索赔意向通知书的，视为其已放弃索赔权，无权再就该索赔事项提出任何索赔。</w:t>
      </w:r>
    </w:p>
    <w:bookmarkEnd w:id="1907"/>
    <w:bookmarkEnd w:id="1908"/>
    <w:bookmarkEnd w:id="1909"/>
    <w:bookmarkEnd w:id="1910"/>
    <w:bookmarkEnd w:id="1920"/>
    <w:bookmarkEnd w:id="1921"/>
    <w:p w14:paraId="3F7091AE">
      <w:pPr>
        <w:pStyle w:val="6"/>
        <w:keepNext/>
        <w:keepLines/>
        <w:spacing w:before="156" w:beforeLines="50" w:beforeAutospacing="0" w:after="156" w:afterLines="50" w:afterAutospacing="0" w:line="360" w:lineRule="auto"/>
        <w:jc w:val="both"/>
        <w:rPr>
          <w:bCs w:val="0"/>
          <w:kern w:val="2"/>
          <w:sz w:val="21"/>
          <w:szCs w:val="21"/>
          <w:highlight w:val="none"/>
        </w:rPr>
      </w:pPr>
      <w:bookmarkStart w:id="1922" w:name="_Toc532375680"/>
      <w:bookmarkStart w:id="1923" w:name="_Toc532377419"/>
      <w:bookmarkStart w:id="1924" w:name="_Toc351203651"/>
      <w:r>
        <w:rPr>
          <w:rFonts w:hint="eastAsia"/>
          <w:kern w:val="2"/>
          <w:sz w:val="21"/>
          <w:szCs w:val="21"/>
          <w:highlight w:val="none"/>
        </w:rPr>
        <w:t>20. 争议解决</w:t>
      </w:r>
      <w:bookmarkEnd w:id="1922"/>
      <w:bookmarkEnd w:id="1923"/>
      <w:bookmarkEnd w:id="1924"/>
    </w:p>
    <w:p w14:paraId="2E178F50">
      <w:pPr>
        <w:pStyle w:val="7"/>
        <w:spacing w:before="0" w:beforeAutospacing="0" w:after="0" w:afterAutospacing="0" w:line="360" w:lineRule="auto"/>
        <w:ind w:firstLine="422" w:firstLineChars="200"/>
        <w:rPr>
          <w:sz w:val="21"/>
          <w:szCs w:val="21"/>
          <w:highlight w:val="none"/>
        </w:rPr>
      </w:pPr>
      <w:bookmarkStart w:id="1925" w:name="_Toc532377420"/>
      <w:bookmarkStart w:id="1926" w:name="_Toc532375681"/>
      <w:r>
        <w:rPr>
          <w:rFonts w:hint="eastAsia"/>
          <w:sz w:val="21"/>
          <w:szCs w:val="21"/>
          <w:highlight w:val="none"/>
        </w:rPr>
        <w:t>20.3 争议评审</w:t>
      </w:r>
      <w:bookmarkEnd w:id="1925"/>
      <w:bookmarkEnd w:id="1926"/>
    </w:p>
    <w:p w14:paraId="0630DDD3">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03BC5751">
      <w:pPr>
        <w:pStyle w:val="7"/>
        <w:spacing w:before="0" w:beforeAutospacing="0" w:after="0" w:afterAutospacing="0" w:line="360" w:lineRule="auto"/>
        <w:ind w:firstLine="422" w:firstLineChars="200"/>
        <w:rPr>
          <w:sz w:val="21"/>
          <w:szCs w:val="21"/>
          <w:highlight w:val="none"/>
        </w:rPr>
      </w:pPr>
      <w:bookmarkStart w:id="1927" w:name="_Toc532377421"/>
      <w:bookmarkStart w:id="1928" w:name="_Toc532375682"/>
      <w:r>
        <w:rPr>
          <w:rFonts w:hint="eastAsia"/>
          <w:sz w:val="21"/>
          <w:szCs w:val="21"/>
          <w:highlight w:val="none"/>
        </w:rPr>
        <w:t>20.4 仲裁或诉讼</w:t>
      </w:r>
      <w:bookmarkEnd w:id="1927"/>
      <w:bookmarkEnd w:id="1928"/>
    </w:p>
    <w:p w14:paraId="52F8E85E">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因合同及合同有关事项发生的争议，按下列第</w:t>
      </w:r>
      <w:r>
        <w:rPr>
          <w:rFonts w:hint="eastAsia" w:ascii="宋体" w:hAnsi="宋体"/>
          <w:szCs w:val="21"/>
          <w:highlight w:val="none"/>
          <w:u w:val="single"/>
        </w:rPr>
        <w:t xml:space="preserve">    </w:t>
      </w:r>
      <w:r>
        <w:rPr>
          <w:rFonts w:hint="eastAsia" w:ascii="宋体" w:hAnsi="宋体"/>
          <w:szCs w:val="21"/>
          <w:highlight w:val="none"/>
        </w:rPr>
        <w:t>种方式解决：</w:t>
      </w:r>
    </w:p>
    <w:p w14:paraId="27470264">
      <w:pPr>
        <w:spacing w:line="360" w:lineRule="auto"/>
        <w:ind w:right="105" w:rightChars="50" w:firstLine="420" w:firstLineChars="200"/>
        <w:jc w:val="left"/>
        <w:rPr>
          <w:rFonts w:ascii="宋体" w:hAnsi="宋体"/>
          <w:szCs w:val="21"/>
          <w:highlight w:val="none"/>
        </w:rPr>
      </w:pPr>
      <w:r>
        <w:rPr>
          <w:rFonts w:ascii="宋体" w:hAnsi="宋体"/>
          <w:szCs w:val="21"/>
          <w:highlight w:val="none"/>
        </w:rPr>
        <w:t>（1）向</w:t>
      </w:r>
      <w:r>
        <w:rPr>
          <w:rFonts w:ascii="宋体" w:hAnsi="宋体"/>
          <w:szCs w:val="21"/>
          <w:highlight w:val="none"/>
          <w:u w:val="single"/>
        </w:rPr>
        <w:t xml:space="preserve">                     </w:t>
      </w:r>
      <w:r>
        <w:rPr>
          <w:rFonts w:ascii="宋体" w:hAnsi="宋体"/>
          <w:szCs w:val="21"/>
          <w:highlight w:val="none"/>
        </w:rPr>
        <w:t>仲裁委员会申请仲裁；</w:t>
      </w:r>
    </w:p>
    <w:p w14:paraId="6CD67FD7">
      <w:pPr>
        <w:spacing w:line="360" w:lineRule="auto"/>
        <w:ind w:right="105" w:rightChars="50" w:firstLine="420" w:firstLineChars="200"/>
        <w:jc w:val="left"/>
        <w:rPr>
          <w:rFonts w:ascii="宋体" w:hAnsi="宋体"/>
          <w:szCs w:val="21"/>
          <w:highlight w:val="none"/>
        </w:rPr>
      </w:pPr>
      <w:r>
        <w:rPr>
          <w:rFonts w:ascii="宋体" w:hAnsi="宋体"/>
          <w:szCs w:val="21"/>
          <w:highlight w:val="none"/>
        </w:rPr>
        <w:t>（2）向</w:t>
      </w:r>
      <w:r>
        <w:rPr>
          <w:rFonts w:ascii="宋体" w:hAnsi="宋体"/>
          <w:szCs w:val="21"/>
          <w:highlight w:val="none"/>
          <w:u w:val="single"/>
        </w:rPr>
        <w:t xml:space="preserve">                     </w:t>
      </w:r>
      <w:r>
        <w:rPr>
          <w:rFonts w:ascii="宋体" w:hAnsi="宋体"/>
          <w:szCs w:val="21"/>
          <w:highlight w:val="none"/>
        </w:rPr>
        <w:t>人民法院起诉。</w:t>
      </w:r>
    </w:p>
    <w:p w14:paraId="515DCF58">
      <w:pPr>
        <w:pStyle w:val="6"/>
        <w:keepNext/>
        <w:keepLines/>
        <w:spacing w:before="156" w:beforeLines="50" w:beforeAutospacing="0" w:after="156" w:afterLines="50" w:afterAutospacing="0" w:line="360" w:lineRule="auto"/>
        <w:jc w:val="both"/>
        <w:rPr>
          <w:bCs w:val="0"/>
          <w:kern w:val="2"/>
          <w:sz w:val="21"/>
          <w:szCs w:val="21"/>
          <w:highlight w:val="none"/>
        </w:rPr>
      </w:pPr>
      <w:bookmarkStart w:id="1929" w:name="_Toc532375683"/>
      <w:bookmarkStart w:id="1930" w:name="_Toc532377422"/>
      <w:r>
        <w:rPr>
          <w:rFonts w:hint="eastAsia"/>
          <w:kern w:val="2"/>
          <w:sz w:val="21"/>
          <w:szCs w:val="21"/>
          <w:highlight w:val="none"/>
        </w:rPr>
        <w:t>21. 补充条款</w:t>
      </w:r>
      <w:bookmarkEnd w:id="1929"/>
      <w:bookmarkEnd w:id="1930"/>
    </w:p>
    <w:p w14:paraId="4EB606E9">
      <w:pPr>
        <w:pStyle w:val="7"/>
        <w:spacing w:before="0" w:beforeAutospacing="0" w:after="0" w:afterAutospacing="0" w:line="360" w:lineRule="auto"/>
        <w:ind w:firstLine="422" w:firstLineChars="200"/>
        <w:rPr>
          <w:sz w:val="21"/>
          <w:szCs w:val="21"/>
          <w:highlight w:val="none"/>
        </w:rPr>
      </w:pPr>
      <w:bookmarkStart w:id="1931" w:name="_Toc532375684"/>
      <w:bookmarkStart w:id="1932" w:name="_Toc532377423"/>
      <w:r>
        <w:rPr>
          <w:rFonts w:hint="eastAsia"/>
          <w:sz w:val="21"/>
          <w:szCs w:val="21"/>
          <w:highlight w:val="none"/>
        </w:rPr>
        <w:t>21.1 退出机制</w:t>
      </w:r>
      <w:bookmarkEnd w:id="1931"/>
      <w:bookmarkEnd w:id="1932"/>
    </w:p>
    <w:p w14:paraId="5C231D7C">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21.1.1有下列情形之一的，发包人有权解除合同，亦有权兑付履约担保，并对承包人做清退出场处理</w:t>
      </w:r>
      <w:r>
        <w:rPr>
          <w:rFonts w:hint="eastAsia" w:ascii="宋体" w:hAnsi="宋体"/>
          <w:kern w:val="0"/>
          <w:szCs w:val="21"/>
          <w:highlight w:val="none"/>
        </w:rPr>
        <w:t>：</w:t>
      </w:r>
    </w:p>
    <w:p w14:paraId="54E134AB">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（1）因承包人原因造成较大及以上等级生产安全事故或工程质量事故的；</w:t>
      </w:r>
    </w:p>
    <w:p w14:paraId="6D35291B">
      <w:pPr>
        <w:spacing w:line="360" w:lineRule="auto"/>
        <w:ind w:right="105" w:rightChars="50" w:firstLine="420" w:firstLineChars="200"/>
        <w:jc w:val="left"/>
        <w:rPr>
          <w:rFonts w:ascii="宋体" w:hAnsi="宋体"/>
          <w:kern w:val="0"/>
          <w:szCs w:val="21"/>
          <w:highlight w:val="none"/>
        </w:rPr>
      </w:pPr>
      <w:r>
        <w:rPr>
          <w:rFonts w:hint="eastAsia" w:ascii="宋体" w:hAnsi="宋体"/>
          <w:kern w:val="0"/>
          <w:szCs w:val="21"/>
          <w:highlight w:val="none"/>
        </w:rPr>
        <w:t>（2）因承包人债权债务纠纷或其他纠纷导致工程无法正常施工的。</w:t>
      </w:r>
    </w:p>
    <w:p w14:paraId="482A6743">
      <w:pPr>
        <w:spacing w:line="360" w:lineRule="auto"/>
        <w:ind w:right="105" w:rightChars="50" w:firstLine="420" w:firstLineChars="200"/>
        <w:jc w:val="left"/>
        <w:rPr>
          <w:rFonts w:ascii="宋体" w:hAnsi="宋体"/>
          <w:szCs w:val="21"/>
          <w:highlight w:val="none"/>
        </w:rPr>
      </w:pPr>
      <w:r>
        <w:rPr>
          <w:rFonts w:hint="eastAsia" w:ascii="宋体" w:hAnsi="宋体"/>
          <w:kern w:val="0"/>
          <w:szCs w:val="21"/>
          <w:highlight w:val="none"/>
        </w:rPr>
        <w:t>（3）</w:t>
      </w:r>
      <w:r>
        <w:rPr>
          <w:rFonts w:hint="eastAsia" w:ascii="宋体" w:hAnsi="宋体"/>
          <w:kern w:val="0"/>
          <w:szCs w:val="21"/>
          <w:highlight w:val="none"/>
          <w:u w:val="single"/>
        </w:rPr>
        <w:t xml:space="preserve">        </w:t>
      </w:r>
      <w:r>
        <w:rPr>
          <w:rFonts w:hint="eastAsia" w:ascii="宋体" w:hAnsi="宋体"/>
          <w:kern w:val="0"/>
          <w:szCs w:val="21"/>
          <w:highlight w:val="none"/>
        </w:rPr>
        <w:t>。</w:t>
      </w:r>
    </w:p>
    <w:p w14:paraId="33EDC573">
      <w:pPr>
        <w:pStyle w:val="2"/>
        <w:spacing w:after="0" w:line="360" w:lineRule="auto"/>
        <w:ind w:firstLine="420" w:firstLineChars="200"/>
        <w:rPr>
          <w:rFonts w:ascii="宋体" w:hAnsi="宋体"/>
          <w:szCs w:val="21"/>
          <w:highlight w:val="none"/>
        </w:rPr>
      </w:pPr>
      <w:r>
        <w:rPr>
          <w:rFonts w:hint="eastAsia" w:ascii="宋体" w:hAnsi="宋体"/>
          <w:szCs w:val="21"/>
          <w:highlight w:val="none"/>
        </w:rPr>
        <w:t>21.1.2有下列情形之一的，承包人有权解除合同，并按16.1.4约定执行：</w:t>
      </w:r>
    </w:p>
    <w:p w14:paraId="168E032E">
      <w:pPr>
        <w:pStyle w:val="2"/>
        <w:spacing w:after="0" w:line="360" w:lineRule="auto"/>
        <w:ind w:right="105" w:rightChars="50" w:firstLine="420" w:firstLineChars="200"/>
        <w:jc w:val="left"/>
        <w:rPr>
          <w:rFonts w:ascii="宋体" w:hAnsi="宋体"/>
          <w:szCs w:val="21"/>
          <w:highlight w:val="none"/>
        </w:rPr>
      </w:pPr>
      <w:r>
        <w:rPr>
          <w:rFonts w:hint="eastAsia" w:ascii="宋体" w:hAnsi="宋体"/>
          <w:szCs w:val="21"/>
          <w:highlight w:val="none"/>
        </w:rPr>
        <w:t>（1）因发包人征地、拆迁、补偿、审批手续等原因致使本工程延期开工超过90天的。</w:t>
      </w:r>
    </w:p>
    <w:p w14:paraId="55A8ECE8">
      <w:pPr>
        <w:spacing w:line="360" w:lineRule="auto"/>
        <w:ind w:right="105" w:rightChars="50" w:firstLine="420" w:firstLineChars="200"/>
        <w:jc w:val="left"/>
        <w:rPr>
          <w:rFonts w:ascii="宋体" w:hAnsi="宋体"/>
          <w:szCs w:val="21"/>
          <w:highlight w:val="none"/>
        </w:rPr>
      </w:pPr>
      <w:r>
        <w:rPr>
          <w:rFonts w:hint="eastAsia" w:ascii="宋体" w:hAnsi="宋体"/>
          <w:kern w:val="0"/>
          <w:szCs w:val="21"/>
          <w:highlight w:val="none"/>
        </w:rPr>
        <w:t>（2）</w:t>
      </w:r>
      <w:r>
        <w:rPr>
          <w:rFonts w:hint="eastAsia" w:ascii="宋体" w:hAnsi="宋体"/>
          <w:kern w:val="0"/>
          <w:szCs w:val="21"/>
          <w:highlight w:val="none"/>
          <w:u w:val="single"/>
        </w:rPr>
        <w:t xml:space="preserve">        </w:t>
      </w:r>
      <w:r>
        <w:rPr>
          <w:rFonts w:hint="eastAsia" w:ascii="宋体" w:hAnsi="宋体"/>
          <w:kern w:val="0"/>
          <w:szCs w:val="21"/>
          <w:highlight w:val="none"/>
        </w:rPr>
        <w:t>。</w:t>
      </w:r>
    </w:p>
    <w:p w14:paraId="06C1004C">
      <w:pPr>
        <w:pStyle w:val="7"/>
        <w:spacing w:before="0" w:beforeAutospacing="0" w:after="0" w:afterAutospacing="0" w:line="360" w:lineRule="auto"/>
        <w:ind w:firstLine="422" w:firstLineChars="200"/>
        <w:rPr>
          <w:sz w:val="21"/>
          <w:szCs w:val="21"/>
          <w:highlight w:val="none"/>
        </w:rPr>
      </w:pPr>
      <w:bookmarkStart w:id="1933" w:name="_Toc532377424"/>
      <w:bookmarkStart w:id="1934" w:name="_Toc532375685"/>
      <w:r>
        <w:rPr>
          <w:rFonts w:hint="eastAsia"/>
          <w:sz w:val="21"/>
          <w:szCs w:val="21"/>
          <w:highlight w:val="none"/>
        </w:rPr>
        <w:t>21.2智慧工地</w:t>
      </w:r>
      <w:bookmarkEnd w:id="1933"/>
      <w:bookmarkEnd w:id="1934"/>
    </w:p>
    <w:p w14:paraId="63F84FB1">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工地建设可参照重庆市城乡建设委员会《关于印发“智慧工地”建设工作方案的通知》（渝建〔2017〕414号）的相关要求建设。</w:t>
      </w:r>
      <w:bookmarkEnd w:id="1875"/>
    </w:p>
    <w:p w14:paraId="56993771">
      <w:pPr>
        <w:pStyle w:val="7"/>
        <w:spacing w:before="0" w:beforeAutospacing="0" w:after="0" w:afterAutospacing="0" w:line="360" w:lineRule="auto"/>
        <w:ind w:firstLine="422" w:firstLineChars="200"/>
        <w:rPr>
          <w:sz w:val="21"/>
          <w:szCs w:val="21"/>
          <w:highlight w:val="none"/>
          <w:u w:val="single"/>
        </w:rPr>
      </w:pPr>
      <w:r>
        <w:rPr>
          <w:rFonts w:hint="eastAsia"/>
          <w:sz w:val="21"/>
          <w:szCs w:val="21"/>
          <w:highlight w:val="none"/>
        </w:rPr>
        <w:t>21.3低价风险担保</w:t>
      </w:r>
    </w:p>
    <w:p w14:paraId="5B2A9B2A">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承包人提供低价风险担保的情形：采用经评审的最低投标价法的项目投标报价低于最高限价85%时。</w:t>
      </w:r>
    </w:p>
    <w:p w14:paraId="74A14F72">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承包人提供低价风险担保的形式、金额及期限：</w:t>
      </w:r>
    </w:p>
    <w:p w14:paraId="1421C0EF">
      <w:pPr>
        <w:spacing w:line="360" w:lineRule="auto"/>
        <w:ind w:firstLine="420" w:firstLineChars="200"/>
        <w:jc w:val="left"/>
        <w:rPr>
          <w:rFonts w:ascii="宋体" w:hAnsi="宋体"/>
          <w:szCs w:val="21"/>
          <w:highlight w:val="none"/>
        </w:rPr>
      </w:pPr>
      <w:r>
        <w:rPr>
          <w:rFonts w:hint="eastAsia" w:ascii="宋体" w:hAnsi="宋体"/>
          <w:szCs w:val="21"/>
          <w:highlight w:val="none"/>
        </w:rPr>
        <w:t>（1）低价风险担保的形式：现金或银行保函或现金+银行保函的组合；采用保函形式的，保函必须为不可撤销、不可转让且见索即付的独立保函；</w:t>
      </w:r>
    </w:p>
    <w:p w14:paraId="08E46BD0">
      <w:pPr>
        <w:spacing w:line="360" w:lineRule="auto"/>
        <w:ind w:firstLine="420" w:firstLineChars="200"/>
        <w:jc w:val="left"/>
        <w:rPr>
          <w:rFonts w:ascii="宋体" w:hAnsi="宋体"/>
          <w:szCs w:val="21"/>
          <w:highlight w:val="none"/>
        </w:rPr>
      </w:pPr>
      <w:r>
        <w:rPr>
          <w:rFonts w:hint="eastAsia" w:ascii="宋体" w:hAnsi="宋体"/>
          <w:szCs w:val="21"/>
          <w:highlight w:val="none"/>
        </w:rPr>
        <w:t>（2）低价风险担保的金额：</w:t>
      </w:r>
      <w:r>
        <w:rPr>
          <w:rFonts w:hint="eastAsia" w:ascii="仿宋_GB2312" w:hAnsi="宋体" w:eastAsia="仿宋_GB2312" w:cs="宋体"/>
          <w:kern w:val="0"/>
          <w:szCs w:val="21"/>
          <w:highlight w:val="none"/>
          <w:u w:val="single"/>
        </w:rPr>
        <w:t xml:space="preserve">            </w:t>
      </w:r>
      <w:r>
        <w:rPr>
          <w:rFonts w:hint="eastAsia" w:ascii="宋体" w:hAnsi="宋体"/>
          <w:szCs w:val="21"/>
          <w:highlight w:val="none"/>
        </w:rPr>
        <w:t>；</w:t>
      </w:r>
    </w:p>
    <w:p w14:paraId="1126785E">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（3）低价风险担保的提交时间：</w:t>
      </w:r>
      <w:r>
        <w:rPr>
          <w:rFonts w:hint="eastAsia"/>
          <w:szCs w:val="21"/>
          <w:highlight w:val="none"/>
          <w:u w:val="single"/>
        </w:rPr>
        <w:t>从招标人中标通知书送达拟中标人之日起    工作日内</w:t>
      </w:r>
      <w:r>
        <w:rPr>
          <w:rFonts w:hint="eastAsia" w:ascii="宋体" w:hAnsi="宋体"/>
          <w:szCs w:val="21"/>
          <w:highlight w:val="none"/>
          <w:u w:val="single"/>
        </w:rPr>
        <w:t>；</w:t>
      </w:r>
    </w:p>
    <w:p w14:paraId="3A896A56">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（4）低价风险担保的期限：</w:t>
      </w:r>
      <w:r>
        <w:rPr>
          <w:rFonts w:hint="eastAsia"/>
          <w:szCs w:val="21"/>
          <w:highlight w:val="none"/>
          <w:u w:val="single"/>
        </w:rPr>
        <w:t>自低价风险担保生效之日起至竣工验收合格之日止</w:t>
      </w:r>
      <w:r>
        <w:rPr>
          <w:rFonts w:hint="eastAsia" w:ascii="宋体" w:hAnsi="宋体"/>
          <w:szCs w:val="21"/>
          <w:highlight w:val="none"/>
        </w:rPr>
        <w:t>。</w:t>
      </w:r>
    </w:p>
    <w:p w14:paraId="168AC8D2">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低价风险担保的退还时间：</w:t>
      </w:r>
      <w:r>
        <w:rPr>
          <w:rFonts w:hint="eastAsia" w:ascii="宋体" w:hAnsi="宋体"/>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szCs w:val="21"/>
          <w:highlight w:val="none"/>
        </w:rPr>
        <w:t>。</w:t>
      </w:r>
    </w:p>
    <w:p w14:paraId="049CAE3A">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（5）低价风险担保的扣减：</w:t>
      </w:r>
    </w:p>
    <w:p w14:paraId="07A28FA8">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highlight w:val="none"/>
          <w:u w:val="single"/>
        </w:rPr>
        <w:t>50～100%</w:t>
      </w:r>
      <w:r>
        <w:rPr>
          <w:rFonts w:hint="eastAsia" w:ascii="宋体" w:hAnsi="宋体"/>
          <w:szCs w:val="21"/>
          <w:highlight w:val="none"/>
        </w:rPr>
        <w:t>扣减，直至解除合同；</w:t>
      </w:r>
    </w:p>
    <w:p w14:paraId="5A4A4D76">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②承包人在工程施工期间或竣工验收时，工程质量不符合国家现行有关施工质量验收规范要求的，按低价风险担保金额的</w:t>
      </w:r>
      <w:r>
        <w:rPr>
          <w:rFonts w:hint="eastAsia" w:ascii="宋体" w:hAnsi="宋体"/>
          <w:szCs w:val="21"/>
          <w:highlight w:val="none"/>
          <w:u w:val="single"/>
        </w:rPr>
        <w:t>50～100%</w:t>
      </w:r>
      <w:r>
        <w:rPr>
          <w:rFonts w:hint="eastAsia" w:ascii="宋体" w:hAnsi="宋体"/>
          <w:szCs w:val="21"/>
          <w:highlight w:val="none"/>
        </w:rPr>
        <w:t>扣减，直至解除合同；</w:t>
      </w:r>
    </w:p>
    <w:p w14:paraId="72927842">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③承包人因16.2.3项原因被解除合同的，低价风险担保将全额扣除；</w:t>
      </w:r>
    </w:p>
    <w:p w14:paraId="34171F54">
      <w:pPr>
        <w:pStyle w:val="7"/>
        <w:spacing w:before="0" w:beforeAutospacing="0" w:after="0" w:afterAutospacing="0" w:line="360" w:lineRule="auto"/>
        <w:ind w:firstLine="400" w:firstLineChars="200"/>
        <w:rPr>
          <w:sz w:val="21"/>
          <w:szCs w:val="21"/>
          <w:highlight w:val="none"/>
        </w:rPr>
      </w:pPr>
      <w:r>
        <w:rPr>
          <w:rFonts w:hint="eastAsia"/>
          <w:b w:val="0"/>
          <w:bCs w:val="0"/>
          <w:szCs w:val="21"/>
          <w:highlight w:val="none"/>
        </w:rPr>
        <w:t>④因承包人过错导致的其他情形：</w:t>
      </w:r>
      <w:r>
        <w:rPr>
          <w:rFonts w:hint="eastAsia"/>
          <w:b w:val="0"/>
          <w:bCs w:val="0"/>
          <w:szCs w:val="21"/>
          <w:highlight w:val="none"/>
          <w:u w:val="single"/>
        </w:rPr>
        <w:t xml:space="preserve">        </w:t>
      </w:r>
      <w:r>
        <w:rPr>
          <w:rFonts w:hint="eastAsia"/>
          <w:b w:val="0"/>
          <w:bCs w:val="0"/>
          <w:szCs w:val="21"/>
          <w:highlight w:val="none"/>
        </w:rPr>
        <w:t>。</w:t>
      </w:r>
    </w:p>
    <w:p w14:paraId="67F525C9">
      <w:pPr>
        <w:pStyle w:val="7"/>
        <w:spacing w:before="0" w:beforeAutospacing="0" w:after="0" w:afterAutospacing="0" w:line="360" w:lineRule="auto"/>
        <w:ind w:firstLine="422" w:firstLineChars="200"/>
        <w:rPr>
          <w:rFonts w:hint="eastAsia"/>
          <w:sz w:val="21"/>
          <w:szCs w:val="21"/>
          <w:highlight w:val="none"/>
          <w:u w:val="single"/>
        </w:rPr>
      </w:pPr>
      <w:r>
        <w:rPr>
          <w:rFonts w:hint="eastAsia"/>
          <w:sz w:val="21"/>
          <w:szCs w:val="21"/>
          <w:highlight w:val="none"/>
        </w:rPr>
        <w:t>21.4 关于不平衡报价的约定</w:t>
      </w:r>
      <w:r>
        <w:rPr>
          <w:rFonts w:hint="eastAsia"/>
          <w:sz w:val="21"/>
          <w:szCs w:val="21"/>
          <w:highlight w:val="none"/>
          <w:lang w:eastAsia="zh-CN"/>
        </w:rPr>
        <w:t>：</w:t>
      </w:r>
      <w:r>
        <w:rPr>
          <w:rFonts w:hint="eastAsia"/>
          <w:sz w:val="21"/>
          <w:szCs w:val="21"/>
          <w:highlight w:val="none"/>
          <w:u w:val="single"/>
        </w:rPr>
        <w:t xml:space="preserve">       </w:t>
      </w:r>
    </w:p>
    <w:p w14:paraId="276807CB">
      <w:pPr>
        <w:pStyle w:val="7"/>
        <w:spacing w:before="0" w:beforeAutospacing="0" w:after="0" w:afterAutospacing="0" w:line="360" w:lineRule="auto"/>
        <w:ind w:firstLine="422" w:firstLineChars="200"/>
        <w:rPr>
          <w:sz w:val="21"/>
          <w:szCs w:val="21"/>
          <w:highlight w:val="none"/>
        </w:rPr>
      </w:pPr>
      <w:r>
        <w:rPr>
          <w:rFonts w:hint="eastAsia"/>
          <w:sz w:val="21"/>
          <w:szCs w:val="21"/>
          <w:highlight w:val="none"/>
        </w:rPr>
        <w:t>21.</w:t>
      </w:r>
      <w:r>
        <w:rPr>
          <w:rFonts w:hint="eastAsia"/>
          <w:sz w:val="21"/>
          <w:szCs w:val="21"/>
          <w:highlight w:val="none"/>
          <w:lang w:val="en-US" w:eastAsia="zh-CN"/>
        </w:rPr>
        <w:t>5</w:t>
      </w:r>
      <w:r>
        <w:rPr>
          <w:rFonts w:hint="eastAsia"/>
          <w:sz w:val="21"/>
          <w:szCs w:val="21"/>
          <w:highlight w:val="none"/>
        </w:rPr>
        <w:t xml:space="preserve"> </w:t>
      </w:r>
      <w:r>
        <w:rPr>
          <w:rFonts w:hint="eastAsia"/>
          <w:sz w:val="21"/>
          <w:szCs w:val="21"/>
          <w:highlight w:val="none"/>
          <w:u w:val="single"/>
        </w:rPr>
        <w:t xml:space="preserve">       </w:t>
      </w:r>
    </w:p>
    <w:p w14:paraId="4A82526A">
      <w:pPr>
        <w:pStyle w:val="6"/>
        <w:keepNext/>
        <w:keepLines/>
        <w:spacing w:before="156" w:beforeLines="50" w:beforeAutospacing="0" w:after="156" w:afterLines="50" w:afterAutospacing="0" w:line="360" w:lineRule="auto"/>
        <w:jc w:val="both"/>
        <w:rPr>
          <w:bCs w:val="0"/>
          <w:kern w:val="2"/>
          <w:sz w:val="21"/>
          <w:szCs w:val="21"/>
          <w:highlight w:val="none"/>
        </w:rPr>
      </w:pPr>
      <w:bookmarkStart w:id="1935" w:name="baidusnap3"/>
      <w:bookmarkEnd w:id="1935"/>
      <w:bookmarkStart w:id="1936" w:name="baidusnap7"/>
      <w:bookmarkEnd w:id="1936"/>
      <w:bookmarkStart w:id="1937" w:name="_Toc532375686"/>
      <w:bookmarkStart w:id="1938" w:name="_Toc532377425"/>
      <w:bookmarkStart w:id="1939" w:name="_Toc351203652"/>
      <w:r>
        <w:rPr>
          <w:rFonts w:hint="eastAsia"/>
          <w:kern w:val="2"/>
          <w:sz w:val="21"/>
          <w:szCs w:val="21"/>
          <w:highlight w:val="none"/>
        </w:rPr>
        <w:t>22. 合同附件</w:t>
      </w:r>
      <w:bookmarkEnd w:id="1937"/>
      <w:bookmarkEnd w:id="1938"/>
    </w:p>
    <w:p w14:paraId="17CD3B59">
      <w:pPr>
        <w:spacing w:line="360" w:lineRule="auto"/>
        <w:ind w:right="105" w:rightChars="50" w:firstLine="420" w:firstLineChars="200"/>
        <w:jc w:val="left"/>
        <w:rPr>
          <w:rFonts w:ascii="宋体" w:hAnsi="宋体"/>
          <w:highlight w:val="none"/>
        </w:rPr>
      </w:pPr>
      <w:r>
        <w:rPr>
          <w:rFonts w:hint="eastAsia" w:ascii="宋体" w:hAnsi="宋体"/>
          <w:highlight w:val="none"/>
        </w:rPr>
        <w:t>以下附件是本合同的有效组成部分：</w:t>
      </w:r>
    </w:p>
    <w:p w14:paraId="3155EEC6">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附件1：工程质量保修书</w:t>
      </w:r>
    </w:p>
    <w:p w14:paraId="2C1084C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附件2：主要建设工程文件目录</w:t>
      </w:r>
    </w:p>
    <w:p w14:paraId="3CDE27F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附件3：承包人项目管理机构组成表</w:t>
      </w:r>
    </w:p>
    <w:p w14:paraId="2BB8BDC3">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附件4：履约</w:t>
      </w:r>
      <w:r>
        <w:rPr>
          <w:rFonts w:ascii="宋体" w:hAnsi="宋体"/>
          <w:szCs w:val="21"/>
          <w:highlight w:val="none"/>
        </w:rPr>
        <w:t>担保</w:t>
      </w:r>
      <w:r>
        <w:rPr>
          <w:rFonts w:hint="eastAsia" w:ascii="宋体" w:hAnsi="宋体"/>
          <w:szCs w:val="21"/>
          <w:highlight w:val="none"/>
        </w:rPr>
        <w:t>（如有）</w:t>
      </w:r>
    </w:p>
    <w:p w14:paraId="7B80A078">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5</w:t>
      </w:r>
      <w:r>
        <w:rPr>
          <w:rFonts w:hint="eastAsia" w:ascii="宋体" w:hAnsi="宋体"/>
          <w:szCs w:val="21"/>
          <w:highlight w:val="none"/>
        </w:rPr>
        <w:t>：预付款担保（如有）</w:t>
      </w:r>
    </w:p>
    <w:p w14:paraId="0C7BD304">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6</w:t>
      </w:r>
      <w:r>
        <w:rPr>
          <w:rFonts w:hint="eastAsia" w:ascii="宋体" w:hAnsi="宋体"/>
          <w:szCs w:val="21"/>
          <w:highlight w:val="none"/>
        </w:rPr>
        <w:t>：支付担保（如有）</w:t>
      </w:r>
    </w:p>
    <w:p w14:paraId="4AFA00F5">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7</w:t>
      </w:r>
      <w:r>
        <w:rPr>
          <w:rFonts w:hint="eastAsia" w:ascii="宋体" w:hAnsi="宋体"/>
          <w:szCs w:val="21"/>
          <w:highlight w:val="none"/>
        </w:rPr>
        <w:t>：专业工程暂估价表</w:t>
      </w:r>
    </w:p>
    <w:p w14:paraId="63113430">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8</w:t>
      </w:r>
      <w:r>
        <w:rPr>
          <w:rFonts w:hint="eastAsia" w:ascii="宋体" w:hAnsi="宋体"/>
          <w:szCs w:val="21"/>
          <w:highlight w:val="none"/>
        </w:rPr>
        <w:t>：廉洁从业协议</w:t>
      </w:r>
    </w:p>
    <w:p w14:paraId="12BC315F">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9</w:t>
      </w:r>
      <w:r>
        <w:rPr>
          <w:rFonts w:hint="eastAsia" w:ascii="宋体" w:hAnsi="宋体"/>
          <w:szCs w:val="21"/>
          <w:highlight w:val="none"/>
        </w:rPr>
        <w:t>：安全管理协议</w:t>
      </w:r>
    </w:p>
    <w:p w14:paraId="0DDA28E7">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10</w:t>
      </w:r>
      <w:r>
        <w:rPr>
          <w:rFonts w:hint="eastAsia" w:ascii="宋体" w:hAnsi="宋体"/>
          <w:szCs w:val="21"/>
          <w:highlight w:val="none"/>
        </w:rPr>
        <w:t>：保障农民工工资支付协议</w:t>
      </w:r>
    </w:p>
    <w:p w14:paraId="12ACCE9F">
      <w:pPr>
        <w:spacing w:line="360" w:lineRule="auto"/>
        <w:ind w:right="105" w:rightChars="50" w:firstLine="420" w:firstLineChars="200"/>
        <w:jc w:val="left"/>
        <w:rPr>
          <w:rFonts w:hint="eastAsia" w:ascii="宋体" w:hAnsi="宋体"/>
          <w:szCs w:val="21"/>
          <w:highlight w:val="none"/>
        </w:rPr>
      </w:pPr>
      <w:r>
        <w:rPr>
          <w:rFonts w:hint="eastAsia" w:ascii="宋体" w:hAnsi="宋体"/>
          <w:szCs w:val="21"/>
          <w:highlight w:val="none"/>
        </w:rPr>
        <w:t>附件11：低价风险担保保函示范文本（独立保函）（如有）</w:t>
      </w:r>
    </w:p>
    <w:p w14:paraId="5045E1EB">
      <w:pPr>
        <w:spacing w:line="360" w:lineRule="auto"/>
        <w:ind w:right="105" w:rightChars="50"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附件12：质量保证金保函（如有）</w:t>
      </w:r>
    </w:p>
    <w:bookmarkEnd w:id="1939"/>
    <w:p w14:paraId="1C2347CF">
      <w:pPr>
        <w:spacing w:line="36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w:t>
      </w:r>
      <w:bookmarkStart w:id="1940" w:name="_Toc296346727"/>
      <w:bookmarkStart w:id="1941" w:name="_Toc296891266"/>
      <w:bookmarkStart w:id="1942" w:name="_Toc296503226"/>
      <w:bookmarkStart w:id="1943" w:name="_Toc296891054"/>
      <w:bookmarkStart w:id="1944" w:name="_Toc296944565"/>
      <w:bookmarkStart w:id="1945" w:name="_Toc267261693"/>
      <w:bookmarkStart w:id="1946" w:name="_Toc296347225"/>
      <w:r>
        <w:rPr>
          <w:rFonts w:hint="eastAsia" w:ascii="宋体" w:hAnsi="宋体"/>
          <w:szCs w:val="21"/>
          <w:highlight w:val="none"/>
        </w:rPr>
        <w:t>件1：</w:t>
      </w:r>
      <w:bookmarkEnd w:id="1940"/>
      <w:bookmarkEnd w:id="1941"/>
      <w:bookmarkEnd w:id="1942"/>
      <w:bookmarkEnd w:id="1943"/>
      <w:bookmarkEnd w:id="1944"/>
      <w:bookmarkEnd w:id="1945"/>
      <w:bookmarkEnd w:id="1946"/>
    </w:p>
    <w:p w14:paraId="316D82A7">
      <w:pPr>
        <w:spacing w:before="156" w:beforeLines="50" w:after="156" w:afterLines="50" w:line="360" w:lineRule="auto"/>
        <w:jc w:val="center"/>
        <w:rPr>
          <w:rFonts w:ascii="宋体" w:hAnsi="宋体"/>
          <w:szCs w:val="21"/>
          <w:highlight w:val="none"/>
        </w:rPr>
      </w:pPr>
      <w:r>
        <w:rPr>
          <w:rFonts w:hint="eastAsia" w:ascii="宋体" w:hAnsi="宋体"/>
          <w:szCs w:val="21"/>
          <w:highlight w:val="none"/>
        </w:rPr>
        <w:t>工程质量保修书</w:t>
      </w:r>
    </w:p>
    <w:p w14:paraId="27C1A5C0">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14:paraId="711A8CCC">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14:paraId="698991BD">
      <w:pPr>
        <w:spacing w:line="360" w:lineRule="auto"/>
        <w:ind w:firstLine="420" w:firstLineChars="200"/>
        <w:rPr>
          <w:rFonts w:ascii="宋体" w:hAnsi="宋体"/>
          <w:szCs w:val="21"/>
          <w:highlight w:val="none"/>
        </w:rPr>
      </w:pPr>
      <w:r>
        <w:rPr>
          <w:rFonts w:hint="eastAsia" w:ascii="宋体" w:hAnsi="宋体"/>
          <w:szCs w:val="21"/>
          <w:highlight w:val="none"/>
        </w:rPr>
        <w:t>发包人和承包人根据《中华人民共和国建筑法》和《建设工程质量管理条例》，经协商一致就</w:t>
      </w:r>
    </w:p>
    <w:p w14:paraId="56EA1AA6">
      <w:pPr>
        <w:spacing w:line="360" w:lineRule="auto"/>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（工程全称）签订工程质量保修书。</w:t>
      </w:r>
    </w:p>
    <w:p w14:paraId="587B881F">
      <w:pPr>
        <w:spacing w:line="360" w:lineRule="auto"/>
        <w:ind w:firstLine="420" w:firstLineChars="200"/>
        <w:rPr>
          <w:rFonts w:ascii="宋体" w:hAnsi="宋体"/>
          <w:szCs w:val="21"/>
          <w:highlight w:val="none"/>
        </w:rPr>
      </w:pPr>
      <w:bookmarkStart w:id="1947" w:name="_Toc532375687"/>
      <w:r>
        <w:rPr>
          <w:rFonts w:hint="eastAsia" w:ascii="宋体" w:hAnsi="宋体"/>
          <w:szCs w:val="21"/>
          <w:highlight w:val="none"/>
        </w:rPr>
        <w:t>一、工程质量保修范围和内容</w:t>
      </w:r>
      <w:bookmarkEnd w:id="1947"/>
    </w:p>
    <w:p w14:paraId="56502D92">
      <w:pPr>
        <w:spacing w:line="360" w:lineRule="auto"/>
        <w:ind w:firstLine="420" w:firstLineChars="200"/>
        <w:rPr>
          <w:rFonts w:ascii="宋体" w:hAnsi="宋体"/>
          <w:szCs w:val="21"/>
          <w:highlight w:val="none"/>
        </w:rPr>
      </w:pPr>
      <w:r>
        <w:rPr>
          <w:rFonts w:hint="eastAsia" w:ascii="宋体" w:hAnsi="宋体"/>
          <w:szCs w:val="21"/>
          <w:highlight w:val="none"/>
        </w:rPr>
        <w:t>承包人在质量保修期内，按照有关法律规定和合同约定，承担工程质量保修责任。</w:t>
      </w:r>
    </w:p>
    <w:p w14:paraId="156C2165">
      <w:pPr>
        <w:spacing w:line="360" w:lineRule="auto"/>
        <w:ind w:firstLine="420" w:firstLineChars="200"/>
        <w:rPr>
          <w:rFonts w:ascii="宋体" w:hAnsi="宋体"/>
          <w:szCs w:val="21"/>
          <w:highlight w:val="none"/>
        </w:rPr>
      </w:pPr>
      <w:r>
        <w:rPr>
          <w:rFonts w:hint="eastAsia" w:ascii="宋体" w:hAnsi="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317D8B">
      <w:pPr>
        <w:spacing w:line="360" w:lineRule="auto"/>
        <w:ind w:firstLine="420" w:firstLineChars="200"/>
        <w:rPr>
          <w:rFonts w:ascii="宋体" w:hAnsi="宋体"/>
          <w:szCs w:val="21"/>
          <w:highlight w:val="none"/>
        </w:rPr>
      </w:pPr>
      <w:r>
        <w:rPr>
          <w:rFonts w:hint="eastAsia" w:ascii="宋体" w:hAnsi="宋体"/>
          <w:szCs w:val="21"/>
          <w:highlight w:val="none"/>
        </w:rPr>
        <w:t>承包人承包范围内容均属质量保修范围内容；其中：</w:t>
      </w:r>
    </w:p>
    <w:p w14:paraId="6A32A9EF">
      <w:pPr>
        <w:spacing w:line="360" w:lineRule="auto"/>
        <w:ind w:firstLine="420" w:firstLineChars="200"/>
        <w:rPr>
          <w:rFonts w:ascii="宋体" w:hAnsi="宋体"/>
          <w:szCs w:val="21"/>
          <w:highlight w:val="none"/>
        </w:rPr>
      </w:pPr>
      <w:r>
        <w:rPr>
          <w:rFonts w:hint="eastAsia" w:ascii="宋体" w:hAnsi="宋体"/>
          <w:szCs w:val="21"/>
          <w:highlight w:val="none"/>
        </w:rPr>
        <w:t>1.属于设计原因造成的质量问题，承包人负责维修，不留隐患，费用由发包人承担；</w:t>
      </w:r>
    </w:p>
    <w:p w14:paraId="1EFB796A">
      <w:pPr>
        <w:spacing w:line="360" w:lineRule="auto"/>
        <w:ind w:firstLine="420" w:firstLineChars="200"/>
        <w:rPr>
          <w:rFonts w:ascii="宋体" w:hAnsi="宋体"/>
          <w:szCs w:val="21"/>
          <w:highlight w:val="none"/>
        </w:rPr>
      </w:pPr>
      <w:r>
        <w:rPr>
          <w:rFonts w:hint="eastAsia" w:ascii="宋体" w:hAnsi="宋体"/>
          <w:szCs w:val="21"/>
          <w:highlight w:val="none"/>
        </w:rPr>
        <w:t>2.属于施工造成的质量问题，承包人负责维修，不留隐患；</w:t>
      </w:r>
    </w:p>
    <w:p w14:paraId="545F60F0">
      <w:pPr>
        <w:spacing w:line="360" w:lineRule="auto"/>
        <w:ind w:firstLine="420" w:firstLineChars="200"/>
        <w:rPr>
          <w:rFonts w:ascii="宋体" w:hAnsi="宋体"/>
          <w:szCs w:val="21"/>
          <w:highlight w:val="none"/>
        </w:rPr>
      </w:pPr>
      <w:r>
        <w:rPr>
          <w:rFonts w:hint="eastAsia" w:ascii="宋体" w:hAnsi="宋体"/>
          <w:szCs w:val="21"/>
          <w:highlight w:val="none"/>
        </w:rPr>
        <w:t>3.属于业主使用不当造成的质量问题，配合抢修，费用由发包人承担。</w:t>
      </w:r>
    </w:p>
    <w:p w14:paraId="23D495C8">
      <w:pPr>
        <w:spacing w:line="360" w:lineRule="auto"/>
        <w:ind w:firstLine="420" w:firstLineChars="200"/>
        <w:rPr>
          <w:rFonts w:ascii="宋体" w:hAnsi="宋体"/>
          <w:szCs w:val="21"/>
          <w:highlight w:val="none"/>
        </w:rPr>
      </w:pPr>
      <w:bookmarkStart w:id="1948" w:name="_Toc532375688"/>
      <w:r>
        <w:rPr>
          <w:rFonts w:hint="eastAsia" w:ascii="宋体" w:hAnsi="宋体"/>
          <w:szCs w:val="21"/>
          <w:highlight w:val="none"/>
        </w:rPr>
        <w:t>二、质量保修期</w:t>
      </w:r>
      <w:bookmarkEnd w:id="1948"/>
    </w:p>
    <w:p w14:paraId="0E5A5D22">
      <w:pPr>
        <w:spacing w:line="360" w:lineRule="auto"/>
        <w:ind w:firstLine="420" w:firstLineChars="200"/>
        <w:rPr>
          <w:rFonts w:ascii="宋体" w:hAnsi="宋体"/>
          <w:szCs w:val="21"/>
          <w:highlight w:val="none"/>
        </w:rPr>
      </w:pPr>
      <w:r>
        <w:rPr>
          <w:rFonts w:hint="eastAsia" w:ascii="宋体" w:hAnsi="宋体"/>
          <w:szCs w:val="21"/>
          <w:highlight w:val="none"/>
        </w:rPr>
        <w:t>根据《建设工程质量管理条例》及有关规定，本工程质量保修期约定如下：</w:t>
      </w:r>
    </w:p>
    <w:p w14:paraId="37480427">
      <w:pPr>
        <w:spacing w:line="360" w:lineRule="auto"/>
        <w:ind w:firstLine="420" w:firstLineChars="200"/>
        <w:rPr>
          <w:rFonts w:ascii="宋体" w:hAnsi="宋体"/>
          <w:szCs w:val="21"/>
          <w:highlight w:val="none"/>
        </w:rPr>
      </w:pPr>
      <w:r>
        <w:rPr>
          <w:rFonts w:hint="eastAsia" w:ascii="宋体" w:hAnsi="宋体"/>
          <w:szCs w:val="21"/>
          <w:highlight w:val="none"/>
        </w:rPr>
        <w:t>1.基础设施工程、房屋建筑的地基基础工程和主体结构工程，为设计文件规定的该工程的合理使用年限；</w:t>
      </w:r>
    </w:p>
    <w:p w14:paraId="667128B3">
      <w:pPr>
        <w:spacing w:line="360" w:lineRule="auto"/>
        <w:ind w:firstLine="420" w:firstLineChars="200"/>
        <w:rPr>
          <w:rFonts w:ascii="宋体" w:hAnsi="宋体"/>
          <w:szCs w:val="21"/>
          <w:highlight w:val="none"/>
        </w:rPr>
      </w:pPr>
      <w:r>
        <w:rPr>
          <w:rFonts w:hint="eastAsia" w:ascii="宋体" w:hAnsi="宋体"/>
          <w:szCs w:val="21"/>
          <w:highlight w:val="none"/>
        </w:rPr>
        <w:t>2.屋面防水工程、有防水要求的卫生间、房间和外墙面的防渗漏，为5年；</w:t>
      </w:r>
    </w:p>
    <w:p w14:paraId="6A1747E0">
      <w:pPr>
        <w:spacing w:line="360" w:lineRule="auto"/>
        <w:ind w:firstLine="420" w:firstLineChars="200"/>
        <w:rPr>
          <w:rFonts w:ascii="宋体" w:hAnsi="宋体"/>
          <w:szCs w:val="21"/>
          <w:highlight w:val="none"/>
        </w:rPr>
      </w:pPr>
      <w:r>
        <w:rPr>
          <w:rFonts w:hint="eastAsia" w:ascii="宋体" w:hAnsi="宋体"/>
          <w:szCs w:val="21"/>
          <w:highlight w:val="none"/>
        </w:rPr>
        <w:t>3.供热与供冷系统，为2个采暖期、供冷期；</w:t>
      </w:r>
    </w:p>
    <w:p w14:paraId="1AEB25FB">
      <w:pPr>
        <w:spacing w:line="360" w:lineRule="auto"/>
        <w:ind w:firstLine="420" w:firstLineChars="200"/>
        <w:rPr>
          <w:rFonts w:ascii="宋体" w:hAnsi="宋体"/>
          <w:szCs w:val="21"/>
          <w:highlight w:val="none"/>
        </w:rPr>
      </w:pPr>
      <w:r>
        <w:rPr>
          <w:rFonts w:hint="eastAsia" w:ascii="宋体" w:hAnsi="宋体"/>
          <w:szCs w:val="21"/>
          <w:highlight w:val="none"/>
        </w:rPr>
        <w:t>4.电气管线、给排水管道、设备安装和装修工程，为2年；</w:t>
      </w:r>
    </w:p>
    <w:p w14:paraId="0B809A7E">
      <w:pPr>
        <w:spacing w:line="360" w:lineRule="auto"/>
        <w:ind w:firstLine="420" w:firstLineChars="200"/>
        <w:rPr>
          <w:rFonts w:ascii="宋体" w:hAnsi="宋体"/>
          <w:szCs w:val="21"/>
          <w:highlight w:val="none"/>
        </w:rPr>
      </w:pPr>
      <w:r>
        <w:rPr>
          <w:rFonts w:hint="eastAsia" w:ascii="宋体" w:hAnsi="宋体"/>
          <w:szCs w:val="21"/>
          <w:highlight w:val="none"/>
        </w:rPr>
        <w:t>5.其他项目保修期限：2年；</w:t>
      </w:r>
      <w:r>
        <w:rPr>
          <w:rFonts w:hint="eastAsia" w:ascii="宋体" w:hAnsi="宋体"/>
          <w:i/>
          <w:szCs w:val="21"/>
          <w:highlight w:val="none"/>
        </w:rPr>
        <w:t>[提示：如有不同，根据具体情况修改]</w:t>
      </w:r>
    </w:p>
    <w:p w14:paraId="59E6EBC0">
      <w:pPr>
        <w:spacing w:line="360" w:lineRule="auto"/>
        <w:ind w:firstLine="420" w:firstLineChars="200"/>
        <w:rPr>
          <w:rFonts w:ascii="宋体" w:hAnsi="宋体"/>
          <w:szCs w:val="21"/>
          <w:highlight w:val="none"/>
        </w:rPr>
      </w:pPr>
      <w:r>
        <w:rPr>
          <w:rFonts w:hint="eastAsia" w:ascii="宋体" w:hAnsi="宋体"/>
          <w:szCs w:val="21"/>
          <w:highlight w:val="none"/>
        </w:rPr>
        <w:t>建设工程的保修期，自工程竣工验收合格之日起计算。</w:t>
      </w:r>
    </w:p>
    <w:p w14:paraId="0433F9D8">
      <w:pPr>
        <w:spacing w:line="360" w:lineRule="auto"/>
        <w:ind w:firstLine="420" w:firstLineChars="200"/>
        <w:rPr>
          <w:rFonts w:ascii="宋体" w:hAnsi="宋体"/>
          <w:szCs w:val="21"/>
          <w:highlight w:val="none"/>
        </w:rPr>
      </w:pPr>
      <w:bookmarkStart w:id="1949" w:name="_Toc532375689"/>
      <w:r>
        <w:rPr>
          <w:rFonts w:hint="eastAsia" w:ascii="宋体" w:hAnsi="宋体"/>
          <w:szCs w:val="21"/>
          <w:highlight w:val="none"/>
        </w:rPr>
        <w:t>三、质量保修责任</w:t>
      </w:r>
      <w:bookmarkEnd w:id="1949"/>
    </w:p>
    <w:p w14:paraId="16509B72">
      <w:pPr>
        <w:spacing w:line="360" w:lineRule="auto"/>
        <w:ind w:firstLine="420" w:firstLineChars="200"/>
        <w:rPr>
          <w:rFonts w:ascii="宋体" w:hAnsi="宋体"/>
          <w:szCs w:val="21"/>
          <w:highlight w:val="none"/>
        </w:rPr>
      </w:pPr>
      <w:r>
        <w:rPr>
          <w:rFonts w:hint="eastAsia" w:ascii="宋体" w:hAnsi="宋体"/>
          <w:szCs w:val="21"/>
          <w:highlight w:val="none"/>
        </w:rPr>
        <w:t>1.属于保修范围、内容的项目，承包人应当在接到保修通知之日起7天内派人保修。承包人不在约定期限内派人保修的，发包人可以委托他人修理。</w:t>
      </w:r>
    </w:p>
    <w:p w14:paraId="3A9013FA">
      <w:pPr>
        <w:spacing w:line="360" w:lineRule="auto"/>
        <w:ind w:firstLine="420" w:firstLineChars="200"/>
        <w:rPr>
          <w:rFonts w:ascii="宋体" w:hAnsi="宋体"/>
          <w:szCs w:val="21"/>
          <w:highlight w:val="none"/>
        </w:rPr>
      </w:pPr>
      <w:r>
        <w:rPr>
          <w:rFonts w:hint="eastAsia" w:ascii="宋体" w:hAnsi="宋体"/>
          <w:szCs w:val="21"/>
          <w:highlight w:val="none"/>
        </w:rPr>
        <w:t>2.发生紧急事故需抢修的，承包人在接到事故通知后，应当立即到达事故现场抢修。</w:t>
      </w:r>
    </w:p>
    <w:p w14:paraId="631CCE7A">
      <w:pPr>
        <w:spacing w:line="360" w:lineRule="auto"/>
        <w:ind w:firstLine="420" w:firstLineChars="200"/>
        <w:rPr>
          <w:rFonts w:ascii="宋体" w:hAnsi="宋体"/>
          <w:szCs w:val="21"/>
          <w:highlight w:val="none"/>
        </w:rPr>
      </w:pPr>
      <w:r>
        <w:rPr>
          <w:rFonts w:hint="eastAsia" w:ascii="宋体" w:hAnsi="宋体"/>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0670D5F">
      <w:pPr>
        <w:spacing w:line="360" w:lineRule="auto"/>
        <w:ind w:firstLine="420" w:firstLineChars="200"/>
        <w:rPr>
          <w:rFonts w:ascii="宋体" w:hAnsi="宋体"/>
          <w:szCs w:val="21"/>
          <w:highlight w:val="none"/>
        </w:rPr>
      </w:pPr>
      <w:r>
        <w:rPr>
          <w:rFonts w:hint="eastAsia" w:ascii="宋体" w:hAnsi="宋体"/>
          <w:szCs w:val="21"/>
          <w:highlight w:val="none"/>
        </w:rPr>
        <w:t>4.质量保修完成后，由发包人组织验收。</w:t>
      </w:r>
    </w:p>
    <w:p w14:paraId="4A242D88">
      <w:pPr>
        <w:spacing w:line="360" w:lineRule="auto"/>
        <w:ind w:firstLine="420" w:firstLineChars="200"/>
        <w:rPr>
          <w:rFonts w:ascii="宋体" w:hAnsi="宋体"/>
          <w:szCs w:val="21"/>
          <w:highlight w:val="none"/>
        </w:rPr>
      </w:pPr>
      <w:bookmarkStart w:id="1950" w:name="_Toc532375690"/>
      <w:r>
        <w:rPr>
          <w:rFonts w:hint="eastAsia" w:ascii="宋体" w:hAnsi="宋体"/>
          <w:szCs w:val="21"/>
          <w:highlight w:val="none"/>
        </w:rPr>
        <w:t>四、保修费用</w:t>
      </w:r>
      <w:bookmarkEnd w:id="1950"/>
    </w:p>
    <w:p w14:paraId="3DFCB9F7">
      <w:pPr>
        <w:spacing w:line="360" w:lineRule="auto"/>
        <w:ind w:firstLine="420" w:firstLineChars="200"/>
        <w:rPr>
          <w:rFonts w:ascii="宋体" w:hAnsi="宋体"/>
          <w:szCs w:val="21"/>
          <w:highlight w:val="none"/>
        </w:rPr>
      </w:pPr>
      <w:r>
        <w:rPr>
          <w:rFonts w:hint="eastAsia" w:ascii="宋体" w:hAnsi="宋体"/>
          <w:szCs w:val="21"/>
          <w:highlight w:val="none"/>
        </w:rPr>
        <w:t>保修费用由质量缺陷的责任方承担。</w:t>
      </w:r>
    </w:p>
    <w:p w14:paraId="3D7F7B90">
      <w:pPr>
        <w:spacing w:line="360" w:lineRule="auto"/>
        <w:ind w:firstLine="420" w:firstLineChars="200"/>
        <w:rPr>
          <w:rFonts w:ascii="宋体" w:hAnsi="宋体"/>
          <w:szCs w:val="21"/>
          <w:highlight w:val="none"/>
        </w:rPr>
      </w:pPr>
      <w:bookmarkStart w:id="1951" w:name="_Toc532375691"/>
      <w:r>
        <w:rPr>
          <w:rFonts w:hint="eastAsia" w:ascii="宋体" w:hAnsi="宋体"/>
          <w:szCs w:val="21"/>
          <w:highlight w:val="none"/>
        </w:rPr>
        <w:t>五、双方约定的其他工程质量保修事项</w:t>
      </w:r>
    </w:p>
    <w:p w14:paraId="6A516624">
      <w:pPr>
        <w:spacing w:line="360" w:lineRule="auto"/>
        <w:ind w:firstLine="420" w:firstLineChars="200"/>
        <w:rPr>
          <w:rFonts w:ascii="宋体" w:hAnsi="宋体"/>
          <w:szCs w:val="21"/>
          <w:highlight w:val="none"/>
        </w:rPr>
      </w:pPr>
      <w:r>
        <w:rPr>
          <w:rFonts w:hint="eastAsia" w:ascii="宋体" w:hAnsi="宋体"/>
          <w:szCs w:val="21"/>
          <w:highlight w:val="none"/>
          <w:u w:val="single"/>
        </w:rPr>
        <w:t>按国家相关法律和规定执行</w:t>
      </w:r>
      <w:r>
        <w:rPr>
          <w:rFonts w:hint="eastAsia" w:ascii="宋体" w:hAnsi="宋体"/>
          <w:szCs w:val="21"/>
          <w:highlight w:val="none"/>
        </w:rPr>
        <w:t>。</w:t>
      </w:r>
      <w:bookmarkEnd w:id="1951"/>
    </w:p>
    <w:p w14:paraId="2466402E">
      <w:pPr>
        <w:spacing w:line="360" w:lineRule="auto"/>
        <w:ind w:firstLine="420" w:firstLineChars="200"/>
        <w:rPr>
          <w:rFonts w:ascii="宋体" w:hAnsi="宋体"/>
          <w:szCs w:val="21"/>
          <w:highlight w:val="none"/>
        </w:rPr>
      </w:pPr>
      <w:r>
        <w:rPr>
          <w:rFonts w:hint="eastAsia" w:ascii="宋体" w:hAnsi="宋体"/>
          <w:szCs w:val="21"/>
          <w:highlight w:val="none"/>
        </w:rPr>
        <w:t>本工程质量保修书由发包人、承包人在工程竣工验收前共同签署，作为施工合同附件，其有效期限至保修期满。</w:t>
      </w:r>
    </w:p>
    <w:p w14:paraId="790F0887">
      <w:pPr>
        <w:spacing w:line="360" w:lineRule="auto"/>
        <w:ind w:firstLine="420" w:firstLineChars="200"/>
        <w:rPr>
          <w:rFonts w:ascii="宋体" w:hAnsi="宋体"/>
          <w:szCs w:val="21"/>
          <w:highlight w:val="none"/>
        </w:rPr>
      </w:pPr>
      <w:r>
        <w:rPr>
          <w:rFonts w:ascii="宋体" w:hAnsi="宋体"/>
          <w:szCs w:val="21"/>
          <w:highlight w:val="none"/>
        </w:rPr>
        <w:t>六</w:t>
      </w:r>
      <w:r>
        <w:rPr>
          <w:rFonts w:hint="eastAsia" w:ascii="宋体" w:hAnsi="宋体"/>
          <w:szCs w:val="21"/>
          <w:highlight w:val="none"/>
        </w:rPr>
        <w:t>、</w:t>
      </w:r>
      <w:r>
        <w:rPr>
          <w:rFonts w:ascii="宋体" w:hAnsi="宋体"/>
          <w:szCs w:val="21"/>
          <w:highlight w:val="none"/>
        </w:rPr>
        <w:t>本文件生效</w:t>
      </w:r>
    </w:p>
    <w:p w14:paraId="3A16A3D3">
      <w:pPr>
        <w:spacing w:line="360" w:lineRule="auto"/>
        <w:ind w:firstLine="420" w:firstLineChars="200"/>
        <w:rPr>
          <w:rFonts w:ascii="宋体" w:hAnsi="宋体"/>
          <w:szCs w:val="21"/>
          <w:highlight w:val="none"/>
        </w:rPr>
      </w:pPr>
      <w:r>
        <w:rPr>
          <w:rFonts w:hint="eastAsia" w:ascii="宋体" w:hAnsi="宋体"/>
          <w:szCs w:val="21"/>
          <w:highlight w:val="none"/>
        </w:rPr>
        <w:t>本工程质量保修书经发包人与承包人盖章后生效。</w:t>
      </w:r>
    </w:p>
    <w:p w14:paraId="2DB22534">
      <w:pPr>
        <w:pStyle w:val="2"/>
        <w:spacing w:line="360" w:lineRule="auto"/>
        <w:ind w:firstLine="420" w:firstLineChars="200"/>
        <w:rPr>
          <w:rFonts w:ascii="宋体" w:hAnsi="宋体"/>
          <w:szCs w:val="21"/>
          <w:highlight w:val="none"/>
        </w:rPr>
      </w:pPr>
    </w:p>
    <w:p w14:paraId="6F368DB7">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发包人：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（盖单位公章）</w:t>
      </w:r>
    </w:p>
    <w:p w14:paraId="053370CF">
      <w:pPr>
        <w:spacing w:line="360" w:lineRule="auto"/>
        <w:ind w:firstLine="420" w:firstLineChars="200"/>
        <w:rPr>
          <w:rFonts w:ascii="宋体" w:hAnsi="宋体"/>
          <w:snapToGrid w:val="0"/>
          <w:kern w:val="0"/>
          <w:szCs w:val="21"/>
          <w:highlight w:val="none"/>
        </w:rPr>
      </w:pPr>
    </w:p>
    <w:p w14:paraId="2B326339">
      <w:pPr>
        <w:spacing w:line="360" w:lineRule="auto"/>
        <w:ind w:firstLine="420" w:firstLineChars="200"/>
        <w:rPr>
          <w:rFonts w:ascii="宋体" w:hAnsi="宋体"/>
          <w:snapToGrid w:val="0"/>
          <w:kern w:val="0"/>
          <w:szCs w:val="21"/>
          <w:highlight w:val="none"/>
        </w:rPr>
      </w:pPr>
    </w:p>
    <w:p w14:paraId="7CC5DFC9">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法定代表人或其委托代理人：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（签名）</w:t>
      </w:r>
    </w:p>
    <w:p w14:paraId="72D7E0EF">
      <w:pPr>
        <w:spacing w:line="360" w:lineRule="auto"/>
        <w:ind w:firstLine="420" w:firstLineChars="200"/>
        <w:rPr>
          <w:rFonts w:ascii="宋体" w:hAnsi="宋体"/>
          <w:snapToGrid w:val="0"/>
          <w:kern w:val="0"/>
          <w:szCs w:val="21"/>
          <w:highlight w:val="none"/>
        </w:rPr>
      </w:pPr>
    </w:p>
    <w:p w14:paraId="1175F430">
      <w:pPr>
        <w:spacing w:line="360" w:lineRule="auto"/>
        <w:ind w:firstLine="420" w:firstLineChars="200"/>
        <w:rPr>
          <w:rFonts w:ascii="宋体" w:hAnsi="宋体"/>
          <w:snapToGrid w:val="0"/>
          <w:kern w:val="0"/>
          <w:szCs w:val="21"/>
          <w:highlight w:val="none"/>
        </w:rPr>
      </w:pPr>
    </w:p>
    <w:p w14:paraId="3EB2DB98">
      <w:pPr>
        <w:spacing w:line="360" w:lineRule="auto"/>
        <w:ind w:firstLine="420" w:firstLineChars="200"/>
        <w:rPr>
          <w:rFonts w:ascii="宋体" w:hAnsi="宋体"/>
          <w:szCs w:val="21"/>
          <w:highlight w:val="none"/>
        </w:rPr>
      </w:pPr>
      <w:r>
        <w:rPr>
          <w:rFonts w:hint="eastAsia" w:ascii="宋体" w:hAnsi="宋体"/>
          <w:snapToGrid w:val="0"/>
          <w:kern w:val="0"/>
          <w:szCs w:val="21"/>
          <w:highlight w:val="none"/>
        </w:rPr>
        <w:t>承包人：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（盖单位公章）</w:t>
      </w:r>
    </w:p>
    <w:p w14:paraId="3B5DB8D8">
      <w:pPr>
        <w:spacing w:line="360" w:lineRule="auto"/>
        <w:ind w:firstLine="420" w:firstLineChars="200"/>
        <w:rPr>
          <w:rFonts w:ascii="宋体" w:hAnsi="宋体"/>
          <w:snapToGrid w:val="0"/>
          <w:kern w:val="0"/>
          <w:szCs w:val="21"/>
          <w:highlight w:val="none"/>
        </w:rPr>
      </w:pPr>
    </w:p>
    <w:p w14:paraId="6273D539">
      <w:pPr>
        <w:spacing w:line="360" w:lineRule="auto"/>
        <w:ind w:firstLine="420" w:firstLineChars="200"/>
        <w:rPr>
          <w:rFonts w:ascii="宋体" w:hAnsi="宋体"/>
          <w:snapToGrid w:val="0"/>
          <w:kern w:val="0"/>
          <w:szCs w:val="21"/>
          <w:highlight w:val="none"/>
        </w:rPr>
      </w:pPr>
    </w:p>
    <w:p w14:paraId="5EF1091C">
      <w:pPr>
        <w:spacing w:line="360" w:lineRule="auto"/>
        <w:ind w:firstLine="420" w:firstLineChars="200"/>
        <w:rPr>
          <w:rFonts w:ascii="宋体" w:hAnsi="宋体"/>
          <w:bCs/>
          <w:kern w:val="0"/>
          <w:szCs w:val="21"/>
          <w:highlight w:val="none"/>
        </w:rPr>
      </w:pPr>
      <w:r>
        <w:rPr>
          <w:rFonts w:hint="eastAsia" w:ascii="宋体" w:hAnsi="宋体"/>
          <w:snapToGrid w:val="0"/>
          <w:kern w:val="0"/>
          <w:szCs w:val="21"/>
          <w:highlight w:val="none"/>
        </w:rPr>
        <w:t>法定代表人或其委托代理人：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（签名）</w:t>
      </w:r>
    </w:p>
    <w:p w14:paraId="287EA3D9">
      <w:pPr>
        <w:spacing w:line="360" w:lineRule="auto"/>
        <w:ind w:firstLine="418" w:firstLineChars="200"/>
        <w:rPr>
          <w:rFonts w:ascii="宋体" w:hAnsi="宋体"/>
          <w:snapToGrid w:val="0"/>
          <w:spacing w:val="1"/>
          <w:w w:val="99"/>
          <w:kern w:val="0"/>
          <w:position w:val="-2"/>
          <w:szCs w:val="21"/>
          <w:highlight w:val="none"/>
        </w:rPr>
      </w:pPr>
    </w:p>
    <w:p w14:paraId="766F0A6B">
      <w:pPr>
        <w:spacing w:line="360" w:lineRule="auto"/>
        <w:ind w:firstLine="418" w:firstLineChars="200"/>
        <w:rPr>
          <w:rFonts w:ascii="宋体" w:hAnsi="宋体"/>
          <w:snapToGrid w:val="0"/>
          <w:spacing w:val="1"/>
          <w:w w:val="99"/>
          <w:kern w:val="0"/>
          <w:position w:val="-2"/>
          <w:szCs w:val="21"/>
          <w:highlight w:val="none"/>
        </w:rPr>
      </w:pPr>
    </w:p>
    <w:p w14:paraId="72B7832F">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签约时间：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日</w:t>
      </w:r>
    </w:p>
    <w:p w14:paraId="518A1F7B">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附件2：</w:t>
      </w:r>
    </w:p>
    <w:p w14:paraId="75C702A9">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主要建设工程文件目录</w:t>
      </w:r>
    </w:p>
    <w:tbl>
      <w:tblPr>
        <w:tblStyle w:val="4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75A1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011697E1">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文件名称</w:t>
            </w:r>
          </w:p>
        </w:tc>
        <w:tc>
          <w:tcPr>
            <w:tcW w:w="1418" w:type="dxa"/>
            <w:vAlign w:val="center"/>
          </w:tcPr>
          <w:p w14:paraId="37B90035">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套数</w:t>
            </w:r>
          </w:p>
        </w:tc>
        <w:tc>
          <w:tcPr>
            <w:tcW w:w="1418" w:type="dxa"/>
          </w:tcPr>
          <w:p w14:paraId="4BE8F9E0">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移交时间</w:t>
            </w:r>
          </w:p>
        </w:tc>
        <w:tc>
          <w:tcPr>
            <w:tcW w:w="2917" w:type="dxa"/>
          </w:tcPr>
          <w:p w14:paraId="1D658904">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责任人</w:t>
            </w:r>
          </w:p>
        </w:tc>
      </w:tr>
      <w:tr w14:paraId="0C6C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62EBAC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4FC4022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59118CA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7AE164D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6EF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254624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7C7D181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5313AB3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7F8DC6D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F94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F37E27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270E249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3112041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6713481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65EF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F22E07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24EE4AB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12CF5D2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77760FB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4722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3E201B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2610B6C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385C8EA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60F8AEC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C25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2BE00E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1EE45F9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42AC40B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133CEA9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4BC8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C129D9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7863AF6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0FC044C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0B81B3C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73C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D63BE3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2F11E74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7763177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6C4F0F7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1FB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816ADE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77A83AC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2D15101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420343C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62A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5154B3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1BB1FD2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71EF3BD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vAlign w:val="center"/>
          </w:tcPr>
          <w:p w14:paraId="4A45E51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C39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2B494D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4B8481D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6F0CCAB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3A93733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30A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3892FA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18D22CF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495A4A0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2B0C2F4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06FD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C56FAA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7763CDF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349DAA2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782C01E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484D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4E0F3C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3BE0038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561F8BC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330A916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35E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7B96B1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5FB55C9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7DEF2C7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23517FD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536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B25859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0748F85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52745C6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3B8C9A8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42C2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839B25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24F8103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19CC41F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2302926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D94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87AA94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65E1536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tcPr>
          <w:p w14:paraId="2684D2C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2917" w:type="dxa"/>
          </w:tcPr>
          <w:p w14:paraId="77452D9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bl>
    <w:p w14:paraId="3EB8595F">
      <w:pPr>
        <w:spacing w:line="360" w:lineRule="auto"/>
        <w:ind w:firstLine="420" w:firstLineChars="200"/>
        <w:rPr>
          <w:rFonts w:ascii="宋体" w:hAnsi="宋体"/>
          <w:szCs w:val="21"/>
          <w:highlight w:val="none"/>
        </w:rPr>
      </w:pPr>
    </w:p>
    <w:p w14:paraId="7853C175">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w:t>
      </w:r>
      <w:bookmarkStart w:id="1952" w:name="_Toc296347227"/>
      <w:bookmarkStart w:id="1953" w:name="_Toc296944567"/>
      <w:bookmarkStart w:id="1954" w:name="_Toc296503228"/>
      <w:bookmarkStart w:id="1955" w:name="_Toc267261699"/>
      <w:bookmarkStart w:id="1956" w:name="_Toc296891268"/>
      <w:bookmarkStart w:id="1957" w:name="_Toc296346729"/>
      <w:bookmarkStart w:id="1958" w:name="_Toc296891056"/>
      <w:r>
        <w:rPr>
          <w:rFonts w:hint="eastAsia" w:ascii="宋体" w:hAnsi="宋体"/>
          <w:szCs w:val="21"/>
          <w:highlight w:val="none"/>
        </w:rPr>
        <w:t>件3：</w:t>
      </w:r>
    </w:p>
    <w:bookmarkEnd w:id="1952"/>
    <w:bookmarkEnd w:id="1953"/>
    <w:bookmarkEnd w:id="1954"/>
    <w:bookmarkEnd w:id="1955"/>
    <w:bookmarkEnd w:id="1956"/>
    <w:bookmarkEnd w:id="1957"/>
    <w:bookmarkEnd w:id="1958"/>
    <w:p w14:paraId="5218510C">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承包人项目管理机构组成表</w:t>
      </w:r>
    </w:p>
    <w:tbl>
      <w:tblPr>
        <w:tblStyle w:val="4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A41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ADA80EE">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名    称</w:t>
            </w:r>
          </w:p>
        </w:tc>
        <w:tc>
          <w:tcPr>
            <w:tcW w:w="1418" w:type="dxa"/>
            <w:vAlign w:val="center"/>
          </w:tcPr>
          <w:p w14:paraId="74BB4BBE">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姓名</w:t>
            </w:r>
          </w:p>
        </w:tc>
        <w:tc>
          <w:tcPr>
            <w:tcW w:w="1134" w:type="dxa"/>
            <w:vAlign w:val="center"/>
          </w:tcPr>
          <w:p w14:paraId="380859F4">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职务</w:t>
            </w:r>
          </w:p>
        </w:tc>
        <w:tc>
          <w:tcPr>
            <w:tcW w:w="1134" w:type="dxa"/>
            <w:vAlign w:val="center"/>
          </w:tcPr>
          <w:p w14:paraId="79FA7944">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职称</w:t>
            </w:r>
          </w:p>
        </w:tc>
        <w:tc>
          <w:tcPr>
            <w:tcW w:w="4252" w:type="dxa"/>
            <w:vAlign w:val="center"/>
          </w:tcPr>
          <w:p w14:paraId="0E5F4A64">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主要资历、经验及承担过的项目</w:t>
            </w:r>
          </w:p>
        </w:tc>
      </w:tr>
      <w:tr w14:paraId="1082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6C526B70">
            <w:pPr>
              <w:keepNext w:val="0"/>
              <w:keepLines w:val="0"/>
              <w:suppressLineNumbers w:val="0"/>
              <w:spacing w:before="0" w:beforeAutospacing="0" w:after="0" w:afterAutospacing="0" w:line="400" w:lineRule="exact"/>
              <w:ind w:left="0" w:right="0"/>
              <w:rPr>
                <w:rFonts w:hint="default" w:ascii="宋体" w:hAnsi="宋体"/>
                <w:szCs w:val="21"/>
                <w:highlight w:val="none"/>
              </w:rPr>
            </w:pPr>
            <w:r>
              <w:rPr>
                <w:rFonts w:hint="eastAsia" w:ascii="宋体" w:hAnsi="宋体"/>
                <w:szCs w:val="21"/>
                <w:highlight w:val="none"/>
              </w:rPr>
              <w:t>一、总部人员</w:t>
            </w:r>
          </w:p>
        </w:tc>
      </w:tr>
      <w:tr w14:paraId="6E7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28D933">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项目主管</w:t>
            </w:r>
          </w:p>
        </w:tc>
        <w:tc>
          <w:tcPr>
            <w:tcW w:w="1418" w:type="dxa"/>
            <w:vAlign w:val="center"/>
          </w:tcPr>
          <w:p w14:paraId="434B71B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066C812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4AF8C30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381F6A7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61E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E9EB673">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p>
        </w:tc>
        <w:tc>
          <w:tcPr>
            <w:tcW w:w="1418" w:type="dxa"/>
            <w:vAlign w:val="center"/>
          </w:tcPr>
          <w:p w14:paraId="2505817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51E4ED6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1228769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1322911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08C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D081AB">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其他人员</w:t>
            </w:r>
          </w:p>
        </w:tc>
        <w:tc>
          <w:tcPr>
            <w:tcW w:w="1418" w:type="dxa"/>
            <w:vAlign w:val="center"/>
          </w:tcPr>
          <w:p w14:paraId="6220357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57E885F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433D567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7A668FE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0FAC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5A89730">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p>
        </w:tc>
        <w:tc>
          <w:tcPr>
            <w:tcW w:w="1418" w:type="dxa"/>
            <w:vAlign w:val="center"/>
          </w:tcPr>
          <w:p w14:paraId="716498B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6B306EB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3B70F50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5C33B59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DF7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9C71241">
            <w:pPr>
              <w:keepNext w:val="0"/>
              <w:keepLines w:val="0"/>
              <w:suppressLineNumbers w:val="0"/>
              <w:spacing w:before="0" w:beforeAutospacing="0" w:after="0" w:afterAutospacing="0" w:line="400" w:lineRule="exact"/>
              <w:ind w:left="0" w:right="0"/>
              <w:rPr>
                <w:rFonts w:hint="default" w:ascii="宋体" w:hAnsi="宋体"/>
                <w:szCs w:val="21"/>
                <w:highlight w:val="none"/>
              </w:rPr>
            </w:pPr>
            <w:r>
              <w:rPr>
                <w:rFonts w:hint="eastAsia" w:ascii="宋体" w:hAnsi="宋体"/>
                <w:szCs w:val="21"/>
                <w:highlight w:val="none"/>
              </w:rPr>
              <w:t>二、现场人员</w:t>
            </w:r>
          </w:p>
        </w:tc>
      </w:tr>
      <w:tr w14:paraId="66D4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D78DCC">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项目经理</w:t>
            </w:r>
          </w:p>
        </w:tc>
        <w:tc>
          <w:tcPr>
            <w:tcW w:w="1418" w:type="dxa"/>
            <w:vAlign w:val="center"/>
          </w:tcPr>
          <w:p w14:paraId="48365C8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16B9EF5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70F4090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20A3BEF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240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A82A7E">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项目副经理</w:t>
            </w:r>
          </w:p>
        </w:tc>
        <w:tc>
          <w:tcPr>
            <w:tcW w:w="1418" w:type="dxa"/>
            <w:vAlign w:val="center"/>
          </w:tcPr>
          <w:p w14:paraId="071E653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0211144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1599191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70A4C54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752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7E780C">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技术负责人</w:t>
            </w:r>
          </w:p>
        </w:tc>
        <w:tc>
          <w:tcPr>
            <w:tcW w:w="1418" w:type="dxa"/>
            <w:vAlign w:val="center"/>
          </w:tcPr>
          <w:p w14:paraId="36FBA46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3221932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7F5E969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6114432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B93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AA68369">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造价管理</w:t>
            </w:r>
          </w:p>
        </w:tc>
        <w:tc>
          <w:tcPr>
            <w:tcW w:w="1418" w:type="dxa"/>
            <w:vAlign w:val="center"/>
          </w:tcPr>
          <w:p w14:paraId="77E8C86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6D53133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722F749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569C825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00D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AC1E21">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质量管理</w:t>
            </w:r>
          </w:p>
        </w:tc>
        <w:tc>
          <w:tcPr>
            <w:tcW w:w="1418" w:type="dxa"/>
            <w:vAlign w:val="center"/>
          </w:tcPr>
          <w:p w14:paraId="346269D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758089A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01753C7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565370B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ECF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870E63">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材料管理</w:t>
            </w:r>
          </w:p>
        </w:tc>
        <w:tc>
          <w:tcPr>
            <w:tcW w:w="1418" w:type="dxa"/>
            <w:vAlign w:val="center"/>
          </w:tcPr>
          <w:p w14:paraId="5CC3BD0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1192266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58AD3F6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2D8238E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74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41C41E">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计划管理</w:t>
            </w:r>
          </w:p>
        </w:tc>
        <w:tc>
          <w:tcPr>
            <w:tcW w:w="1418" w:type="dxa"/>
            <w:vAlign w:val="center"/>
          </w:tcPr>
          <w:p w14:paraId="43947A3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628EC59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2DF4B71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20FF097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6524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23FF54">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安全管理</w:t>
            </w:r>
          </w:p>
        </w:tc>
        <w:tc>
          <w:tcPr>
            <w:tcW w:w="1418" w:type="dxa"/>
            <w:vAlign w:val="center"/>
          </w:tcPr>
          <w:p w14:paraId="39BFC29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3493B4A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3686138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70ABF9B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E9A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CAF89C0">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其他人员</w:t>
            </w:r>
          </w:p>
        </w:tc>
        <w:tc>
          <w:tcPr>
            <w:tcW w:w="1418" w:type="dxa"/>
            <w:vAlign w:val="center"/>
          </w:tcPr>
          <w:p w14:paraId="483F3C7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7BCC762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626C1DB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6043AAB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9CD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EAC757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79C8519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4F061E4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7827767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3B33F71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0CF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B03EFE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00747BA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3494723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0B4FEA7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627B51B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7D7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75FF0DE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22E0D48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5953231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6BA81F5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4A0783C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14F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3A106C1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418" w:type="dxa"/>
            <w:vAlign w:val="center"/>
          </w:tcPr>
          <w:p w14:paraId="544138F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12DD2AE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134" w:type="dxa"/>
            <w:vAlign w:val="center"/>
          </w:tcPr>
          <w:p w14:paraId="057F63E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4252" w:type="dxa"/>
            <w:vAlign w:val="center"/>
          </w:tcPr>
          <w:p w14:paraId="3A864E1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bl>
    <w:p w14:paraId="4B11ACA6">
      <w:pPr>
        <w:spacing w:line="480" w:lineRule="auto"/>
        <w:rPr>
          <w:rFonts w:hint="default" w:ascii="宋体" w:hAnsi="宋体" w:eastAsia="宋体"/>
          <w:szCs w:val="21"/>
          <w:highlight w:val="none"/>
          <w:lang w:val="en-US" w:eastAsia="zh-CN"/>
        </w:rPr>
      </w:pPr>
      <w:r>
        <w:rPr>
          <w:rFonts w:hint="eastAsia" w:ascii="宋体" w:hAnsi="宋体"/>
          <w:szCs w:val="21"/>
          <w:highlight w:val="none"/>
        </w:rPr>
        <w:br w:type="page"/>
      </w:r>
      <w:bookmarkStart w:id="1959" w:name="_Toc267261701"/>
      <w:r>
        <w:rPr>
          <w:rFonts w:hint="eastAsia" w:ascii="宋体" w:hAnsi="宋体"/>
          <w:szCs w:val="21"/>
          <w:highlight w:val="none"/>
        </w:rPr>
        <w:t>附</w:t>
      </w:r>
      <w:bookmarkStart w:id="1960" w:name="_Toc296891059"/>
      <w:bookmarkStart w:id="1961" w:name="_Toc296503231"/>
      <w:bookmarkStart w:id="1962" w:name="_Toc296944570"/>
      <w:bookmarkStart w:id="1963" w:name="_Toc296891271"/>
      <w:bookmarkStart w:id="1964" w:name="_Toc296347230"/>
      <w:bookmarkStart w:id="1965" w:name="_Toc296346732"/>
      <w:r>
        <w:rPr>
          <w:rFonts w:hint="eastAsia" w:ascii="宋体" w:hAnsi="宋体"/>
          <w:szCs w:val="21"/>
          <w:highlight w:val="none"/>
        </w:rPr>
        <w:t>件4：</w:t>
      </w:r>
      <w:r>
        <w:rPr>
          <w:rFonts w:hint="eastAsia" w:ascii="宋体" w:hAnsi="宋体"/>
          <w:szCs w:val="21"/>
          <w:highlight w:val="none"/>
          <w:lang w:val="en-US" w:eastAsia="zh-CN"/>
        </w:rPr>
        <w:t>履约担保（如有）</w:t>
      </w:r>
    </w:p>
    <w:bookmarkEnd w:id="1959"/>
    <w:bookmarkEnd w:id="1960"/>
    <w:bookmarkEnd w:id="1961"/>
    <w:bookmarkEnd w:id="1962"/>
    <w:bookmarkEnd w:id="1963"/>
    <w:bookmarkEnd w:id="1964"/>
    <w:bookmarkEnd w:id="1965"/>
    <w:p w14:paraId="57C00ACB">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2DD3073E">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037EFEF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3FE67F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4A9E0CF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79BEC12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78E95CC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1D87141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11638733">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14:paraId="5E488F97">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14:paraId="31FCCC1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14:paraId="5868AE9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0B2682E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7118CD4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14:paraId="0F42703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14:paraId="406CACF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14:paraId="234BF85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75867FD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088312B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7A2469D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53B3C91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14:paraId="21AF200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1910830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14:paraId="599DE8B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0667B9F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584E714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4B9F1B74">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49D38DCD">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highlight w:val="none"/>
          <w:lang w:val="en-US" w:eastAsia="zh-CN" w:bidi="ar-SA"/>
        </w:rPr>
      </w:pPr>
    </w:p>
    <w:p w14:paraId="5870C21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11EA748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210E822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3598385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32E73DE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6B1E114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6B3979F9">
      <w:pPr>
        <w:spacing w:line="360" w:lineRule="auto"/>
        <w:ind w:firstLine="420" w:firstLineChars="200"/>
        <w:jc w:val="left"/>
        <w:outlineLvl w:val="9"/>
        <w:rPr>
          <w:rFonts w:ascii="宋体" w:hAnsi="宋体"/>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3F24BF42">
      <w:pPr>
        <w:widowControl/>
        <w:spacing w:line="360" w:lineRule="auto"/>
        <w:jc w:val="left"/>
        <w:rPr>
          <w:rFonts w:ascii="宋体" w:hAnsi="宋体"/>
          <w:szCs w:val="21"/>
          <w:highlight w:val="none"/>
        </w:rPr>
      </w:pPr>
      <w:r>
        <w:rPr>
          <w:rFonts w:ascii="宋体" w:hAnsi="宋体"/>
          <w:szCs w:val="21"/>
          <w:highlight w:val="none"/>
        </w:rPr>
        <w:br w:type="page"/>
      </w:r>
    </w:p>
    <w:p w14:paraId="5822C686">
      <w:pPr>
        <w:spacing w:line="480" w:lineRule="auto"/>
        <w:rPr>
          <w:rFonts w:ascii="宋体" w:hAnsi="宋体"/>
          <w:szCs w:val="21"/>
          <w:highlight w:val="none"/>
        </w:rPr>
      </w:pPr>
      <w:r>
        <w:rPr>
          <w:rFonts w:hint="eastAsia" w:ascii="宋体" w:hAnsi="宋体"/>
          <w:szCs w:val="21"/>
          <w:highlight w:val="none"/>
        </w:rPr>
        <w:t>附</w:t>
      </w:r>
      <w:bookmarkStart w:id="1966" w:name="_Toc267261702"/>
      <w:bookmarkStart w:id="1967" w:name="_Toc296891272"/>
      <w:bookmarkStart w:id="1968" w:name="_Toc296346733"/>
      <w:bookmarkStart w:id="1969" w:name="_Toc296503232"/>
      <w:bookmarkStart w:id="1970" w:name="_Toc296944571"/>
      <w:bookmarkStart w:id="1971" w:name="_Toc296891060"/>
      <w:bookmarkStart w:id="1972" w:name="_Toc296347231"/>
      <w:r>
        <w:rPr>
          <w:rFonts w:hint="eastAsia" w:ascii="宋体" w:hAnsi="宋体"/>
          <w:szCs w:val="21"/>
          <w:highlight w:val="none"/>
        </w:rPr>
        <w:t>件</w:t>
      </w:r>
      <w:r>
        <w:rPr>
          <w:rFonts w:ascii="宋体" w:hAnsi="宋体"/>
          <w:szCs w:val="21"/>
          <w:highlight w:val="none"/>
        </w:rPr>
        <w:t>5</w:t>
      </w:r>
      <w:r>
        <w:rPr>
          <w:rFonts w:hint="eastAsia" w:ascii="宋体" w:hAnsi="宋体"/>
          <w:szCs w:val="21"/>
          <w:highlight w:val="none"/>
        </w:rPr>
        <w:t>：</w:t>
      </w:r>
    </w:p>
    <w:bookmarkEnd w:id="1966"/>
    <w:bookmarkEnd w:id="1967"/>
    <w:bookmarkEnd w:id="1968"/>
    <w:bookmarkEnd w:id="1969"/>
    <w:bookmarkEnd w:id="1970"/>
    <w:bookmarkEnd w:id="1971"/>
    <w:bookmarkEnd w:id="1972"/>
    <w:p w14:paraId="282A3741">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预付款担保（如有）</w:t>
      </w:r>
    </w:p>
    <w:p w14:paraId="6BCB3C22">
      <w:pPr>
        <w:spacing w:line="360" w:lineRule="auto"/>
        <w:ind w:firstLine="420" w:firstLineChars="2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 xml:space="preserve"> （发包人名称）：</w:t>
      </w:r>
    </w:p>
    <w:p w14:paraId="0293C19A">
      <w:pPr>
        <w:spacing w:line="360" w:lineRule="auto"/>
        <w:ind w:firstLine="420" w:firstLineChars="200"/>
        <w:rPr>
          <w:rFonts w:ascii="宋体" w:hAnsi="宋体"/>
          <w:szCs w:val="21"/>
          <w:highlight w:val="none"/>
        </w:rPr>
      </w:pPr>
      <w:r>
        <w:rPr>
          <w:rFonts w:hint="eastAsia" w:ascii="宋体" w:hAnsi="宋体"/>
          <w:szCs w:val="21"/>
          <w:highlight w:val="none"/>
        </w:rPr>
        <w:t>根据</w:t>
      </w:r>
      <w:r>
        <w:rPr>
          <w:rFonts w:hint="eastAsia" w:ascii="宋体" w:hAnsi="宋体"/>
          <w:szCs w:val="21"/>
          <w:highlight w:val="none"/>
          <w:u w:val="single"/>
        </w:rPr>
        <w:t xml:space="preserve">       </w:t>
      </w:r>
      <w:r>
        <w:rPr>
          <w:rFonts w:hint="eastAsia" w:ascii="宋体" w:hAnsi="宋体"/>
          <w:szCs w:val="21"/>
          <w:highlight w:val="none"/>
        </w:rPr>
        <w:t>（承包人名称）（以下称“承包人”）与</w:t>
      </w:r>
      <w:r>
        <w:rPr>
          <w:rFonts w:hint="eastAsia" w:ascii="宋体" w:hAnsi="宋体"/>
          <w:szCs w:val="21"/>
          <w:highlight w:val="none"/>
          <w:u w:val="single"/>
        </w:rPr>
        <w:t xml:space="preserve">         </w:t>
      </w:r>
      <w:r>
        <w:rPr>
          <w:rFonts w:hint="eastAsia" w:ascii="宋体" w:hAnsi="宋体"/>
          <w:szCs w:val="21"/>
          <w:highlight w:val="none"/>
        </w:rPr>
        <w:t>（发包人名称）（以下简称“发包人”）于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日签订的</w:t>
      </w:r>
      <w:r>
        <w:rPr>
          <w:rFonts w:hint="eastAsia" w:ascii="宋体" w:hAnsi="宋体"/>
          <w:szCs w:val="21"/>
          <w:highlight w:val="none"/>
          <w:u w:val="single"/>
        </w:rPr>
        <w:t xml:space="preserve">            </w:t>
      </w:r>
      <w:r>
        <w:rPr>
          <w:rFonts w:hint="eastAsia" w:ascii="宋体" w:hAnsi="宋体"/>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E4A8CDA">
      <w:pPr>
        <w:spacing w:line="360" w:lineRule="auto"/>
        <w:ind w:firstLine="420" w:firstLineChars="200"/>
        <w:rPr>
          <w:rFonts w:ascii="宋体" w:hAnsi="宋体"/>
          <w:szCs w:val="21"/>
          <w:highlight w:val="none"/>
        </w:rPr>
      </w:pPr>
      <w:r>
        <w:rPr>
          <w:rFonts w:hint="eastAsia" w:ascii="宋体" w:hAnsi="宋体"/>
          <w:szCs w:val="21"/>
          <w:highlight w:val="none"/>
        </w:rPr>
        <w:t>1. 担保金额人民币（大写）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w:t>
      </w:r>
    </w:p>
    <w:p w14:paraId="56F5D8DE">
      <w:pPr>
        <w:spacing w:line="360" w:lineRule="auto"/>
        <w:ind w:firstLine="420" w:firstLineChars="200"/>
        <w:rPr>
          <w:rFonts w:ascii="宋体" w:hAnsi="宋体"/>
          <w:szCs w:val="21"/>
          <w:highlight w:val="none"/>
        </w:rPr>
      </w:pPr>
      <w:r>
        <w:rPr>
          <w:rFonts w:hint="eastAsia" w:ascii="宋体" w:hAnsi="宋体"/>
          <w:szCs w:val="21"/>
          <w:highlight w:val="none"/>
        </w:rPr>
        <w:t>2. 担保有效期自预付款支付给承包人起生效，至你方签发的进度款支付证书说明已完全扣清止。</w:t>
      </w:r>
    </w:p>
    <w:p w14:paraId="30F35849">
      <w:pPr>
        <w:spacing w:line="360" w:lineRule="auto"/>
        <w:ind w:firstLine="420" w:firstLineChars="200"/>
        <w:rPr>
          <w:rFonts w:ascii="宋体" w:hAnsi="宋体"/>
          <w:szCs w:val="21"/>
          <w:highlight w:val="none"/>
        </w:rPr>
      </w:pPr>
      <w:r>
        <w:rPr>
          <w:rFonts w:hint="eastAsia" w:ascii="宋体" w:hAnsi="宋体"/>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A65F9C8">
      <w:pPr>
        <w:spacing w:line="360" w:lineRule="auto"/>
        <w:ind w:firstLine="420" w:firstLineChars="200"/>
        <w:rPr>
          <w:rFonts w:ascii="宋体" w:hAnsi="宋体"/>
          <w:szCs w:val="21"/>
          <w:highlight w:val="none"/>
        </w:rPr>
      </w:pPr>
      <w:r>
        <w:rPr>
          <w:rFonts w:hint="eastAsia" w:ascii="宋体" w:hAnsi="宋体"/>
          <w:szCs w:val="21"/>
          <w:highlight w:val="none"/>
        </w:rPr>
        <w:t>4. 你方和承包人按合同约定变更合同时，我方承担本保函规定的义务不变。</w:t>
      </w:r>
    </w:p>
    <w:p w14:paraId="1DC74FB8">
      <w:pPr>
        <w:spacing w:line="360" w:lineRule="auto"/>
        <w:ind w:firstLine="420" w:firstLineChars="200"/>
        <w:rPr>
          <w:rFonts w:ascii="宋体" w:hAnsi="宋体"/>
          <w:szCs w:val="21"/>
          <w:highlight w:val="none"/>
        </w:rPr>
      </w:pPr>
      <w:r>
        <w:rPr>
          <w:rFonts w:hint="eastAsia" w:ascii="宋体" w:hAnsi="宋体"/>
          <w:szCs w:val="21"/>
          <w:highlight w:val="none"/>
        </w:rPr>
        <w:t>5. 因本保函发生的纠纷，可由双方协商解决，协商不成的，按下列第</w:t>
      </w:r>
      <w:r>
        <w:rPr>
          <w:rFonts w:hint="eastAsia" w:ascii="宋体" w:hAnsi="宋体"/>
          <w:szCs w:val="21"/>
          <w:highlight w:val="none"/>
          <w:u w:val="single"/>
        </w:rPr>
        <w:t xml:space="preserve">    </w:t>
      </w:r>
      <w:r>
        <w:rPr>
          <w:rFonts w:hint="eastAsia" w:ascii="宋体" w:hAnsi="宋体"/>
          <w:szCs w:val="21"/>
          <w:highlight w:val="none"/>
        </w:rPr>
        <w:t>种方式解决：</w:t>
      </w:r>
    </w:p>
    <w:p w14:paraId="69F7DB23">
      <w:pPr>
        <w:spacing w:line="360" w:lineRule="auto"/>
        <w:ind w:firstLine="420" w:firstLineChars="200"/>
        <w:rPr>
          <w:rFonts w:ascii="宋体" w:hAnsi="宋体"/>
          <w:szCs w:val="21"/>
          <w:highlight w:val="none"/>
        </w:rPr>
      </w:pPr>
      <w:r>
        <w:rPr>
          <w:rFonts w:hint="eastAsia" w:ascii="宋体" w:hAnsi="宋体"/>
          <w:szCs w:val="21"/>
          <w:highlight w:val="none"/>
        </w:rPr>
        <w:t>（1）向</w:t>
      </w:r>
      <w:r>
        <w:rPr>
          <w:rFonts w:hint="eastAsia" w:ascii="宋体" w:hAnsi="宋体"/>
          <w:szCs w:val="21"/>
          <w:highlight w:val="none"/>
          <w:u w:val="single"/>
        </w:rPr>
        <w:t xml:space="preserve">                     </w:t>
      </w:r>
      <w:r>
        <w:rPr>
          <w:rFonts w:hint="eastAsia" w:ascii="宋体" w:hAnsi="宋体"/>
          <w:szCs w:val="21"/>
          <w:highlight w:val="none"/>
        </w:rPr>
        <w:t>仲裁委员会申请仲裁；</w:t>
      </w:r>
    </w:p>
    <w:p w14:paraId="1E8DC794">
      <w:pPr>
        <w:spacing w:line="360" w:lineRule="auto"/>
        <w:ind w:firstLine="420" w:firstLineChars="200"/>
        <w:rPr>
          <w:rFonts w:ascii="宋体" w:hAnsi="宋体"/>
          <w:szCs w:val="21"/>
          <w:highlight w:val="none"/>
        </w:rPr>
      </w:pPr>
      <w:r>
        <w:rPr>
          <w:rFonts w:hint="eastAsia" w:ascii="宋体" w:hAnsi="宋体"/>
          <w:szCs w:val="21"/>
          <w:highlight w:val="none"/>
        </w:rPr>
        <w:t>（2）向</w:t>
      </w:r>
      <w:r>
        <w:rPr>
          <w:rFonts w:hint="eastAsia" w:ascii="宋体" w:hAnsi="宋体"/>
          <w:szCs w:val="21"/>
          <w:highlight w:val="none"/>
          <w:u w:val="single"/>
        </w:rPr>
        <w:t xml:space="preserve">                     </w:t>
      </w:r>
      <w:r>
        <w:rPr>
          <w:rFonts w:hint="eastAsia" w:ascii="宋体" w:hAnsi="宋体"/>
          <w:szCs w:val="21"/>
          <w:highlight w:val="none"/>
        </w:rPr>
        <w:t>人民法院起诉。</w:t>
      </w:r>
    </w:p>
    <w:p w14:paraId="3D1E43E9">
      <w:pPr>
        <w:spacing w:line="360" w:lineRule="auto"/>
        <w:ind w:firstLine="420" w:firstLineChars="200"/>
        <w:rPr>
          <w:rFonts w:ascii="宋体" w:hAnsi="宋体"/>
          <w:szCs w:val="21"/>
          <w:highlight w:val="none"/>
        </w:rPr>
      </w:pPr>
      <w:r>
        <w:rPr>
          <w:rFonts w:hint="eastAsia" w:ascii="宋体" w:hAnsi="宋体"/>
          <w:szCs w:val="21"/>
          <w:highlight w:val="none"/>
        </w:rPr>
        <w:t>6. 本保函自我方法定代表人（或其委托代理人）</w:t>
      </w:r>
      <w:r>
        <w:rPr>
          <w:rFonts w:hint="eastAsia" w:ascii="宋体" w:hAnsi="宋体"/>
          <w:szCs w:val="21"/>
          <w:highlight w:val="none"/>
          <w:lang w:eastAsia="zh-CN"/>
        </w:rPr>
        <w:t>签名</w:t>
      </w:r>
      <w:r>
        <w:rPr>
          <w:rFonts w:hint="eastAsia" w:ascii="宋体" w:hAnsi="宋体"/>
          <w:szCs w:val="21"/>
          <w:highlight w:val="none"/>
        </w:rPr>
        <w:t>并加盖</w:t>
      </w:r>
      <w:r>
        <w:rPr>
          <w:rFonts w:hint="eastAsia" w:ascii="宋体" w:hAnsi="宋体"/>
          <w:szCs w:val="21"/>
          <w:highlight w:val="none"/>
          <w:lang w:val="en-US" w:eastAsia="zh-CN"/>
        </w:rPr>
        <w:t>单位</w:t>
      </w:r>
      <w:r>
        <w:rPr>
          <w:rFonts w:hint="eastAsia" w:ascii="宋体" w:hAnsi="宋体"/>
          <w:szCs w:val="21"/>
          <w:highlight w:val="none"/>
        </w:rPr>
        <w:t>公章之日起生效。</w:t>
      </w:r>
    </w:p>
    <w:p w14:paraId="1DC06262">
      <w:pPr>
        <w:pStyle w:val="2"/>
        <w:spacing w:line="360" w:lineRule="auto"/>
        <w:ind w:firstLine="420" w:firstLineChars="200"/>
        <w:rPr>
          <w:rFonts w:ascii="宋体" w:hAnsi="宋体"/>
          <w:szCs w:val="21"/>
          <w:highlight w:val="none"/>
        </w:rPr>
      </w:pPr>
    </w:p>
    <w:p w14:paraId="2ACAB2FA">
      <w:pPr>
        <w:spacing w:line="360" w:lineRule="auto"/>
        <w:ind w:firstLine="420" w:firstLineChars="200"/>
        <w:rPr>
          <w:rFonts w:ascii="宋体" w:hAnsi="宋体"/>
          <w:szCs w:val="21"/>
          <w:highlight w:val="none"/>
        </w:rPr>
      </w:pPr>
      <w:r>
        <w:rPr>
          <w:rFonts w:hint="eastAsia" w:ascii="宋体" w:hAnsi="宋体"/>
          <w:szCs w:val="21"/>
          <w:highlight w:val="none"/>
        </w:rPr>
        <w:t>担保人：</w:t>
      </w:r>
      <w:r>
        <w:rPr>
          <w:rFonts w:hint="eastAsia" w:ascii="宋体" w:hAnsi="宋体"/>
          <w:szCs w:val="21"/>
          <w:highlight w:val="none"/>
          <w:u w:val="single"/>
        </w:rPr>
        <w:t xml:space="preserve">                           </w:t>
      </w:r>
      <w:r>
        <w:rPr>
          <w:rFonts w:hint="eastAsia" w:ascii="宋体" w:hAnsi="宋体"/>
          <w:szCs w:val="21"/>
          <w:highlight w:val="none"/>
        </w:rPr>
        <w:t>（盖单位</w:t>
      </w:r>
      <w:r>
        <w:rPr>
          <w:rFonts w:hint="eastAsia" w:ascii="宋体" w:hAnsi="宋体"/>
          <w:szCs w:val="21"/>
          <w:highlight w:val="none"/>
          <w:lang w:eastAsia="zh-CN"/>
        </w:rPr>
        <w:t>公</w:t>
      </w:r>
      <w:r>
        <w:rPr>
          <w:rFonts w:hint="eastAsia" w:ascii="宋体" w:hAnsi="宋体"/>
          <w:szCs w:val="21"/>
          <w:highlight w:val="none"/>
        </w:rPr>
        <w:t>章）</w:t>
      </w:r>
    </w:p>
    <w:p w14:paraId="1E79428F">
      <w:pPr>
        <w:spacing w:line="360" w:lineRule="auto"/>
        <w:ind w:firstLine="420" w:firstLineChars="200"/>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签名</w:t>
      </w:r>
      <w:r>
        <w:rPr>
          <w:rFonts w:hint="eastAsia" w:ascii="宋体" w:hAnsi="宋体"/>
          <w:szCs w:val="21"/>
          <w:highlight w:val="none"/>
        </w:rPr>
        <w:t>）</w:t>
      </w:r>
    </w:p>
    <w:p w14:paraId="365C3AE6">
      <w:pPr>
        <w:spacing w:line="360" w:lineRule="auto"/>
        <w:ind w:firstLine="420" w:firstLineChars="200"/>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14:paraId="2DBF1928">
      <w:pPr>
        <w:spacing w:line="360" w:lineRule="auto"/>
        <w:ind w:firstLine="420" w:firstLineChars="200"/>
        <w:rPr>
          <w:rFonts w:ascii="宋体" w:hAnsi="宋体"/>
          <w:szCs w:val="21"/>
          <w:highlight w:val="none"/>
          <w:u w:val="single"/>
        </w:rPr>
      </w:pPr>
      <w:r>
        <w:rPr>
          <w:rFonts w:hint="eastAsia" w:ascii="宋体" w:hAnsi="宋体"/>
          <w:szCs w:val="21"/>
          <w:highlight w:val="none"/>
        </w:rPr>
        <w:t>邮政编码：</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14:paraId="44C3DF3B">
      <w:pPr>
        <w:spacing w:line="360" w:lineRule="auto"/>
        <w:ind w:firstLine="420" w:firstLineChars="200"/>
        <w:rPr>
          <w:rFonts w:ascii="宋体" w:hAnsi="宋体"/>
          <w:szCs w:val="21"/>
          <w:highlight w:val="none"/>
          <w:u w:val="single"/>
        </w:rPr>
      </w:pPr>
      <w:r>
        <w:rPr>
          <w:rFonts w:hint="eastAsia" w:ascii="宋体" w:hAnsi="宋体"/>
          <w:szCs w:val="21"/>
          <w:highlight w:val="none"/>
        </w:rPr>
        <w:t>电    话：</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14:paraId="0003382F">
      <w:pPr>
        <w:spacing w:line="360" w:lineRule="auto"/>
        <w:ind w:firstLine="420" w:firstLineChars="200"/>
        <w:rPr>
          <w:rFonts w:ascii="宋体" w:hAnsi="宋体"/>
          <w:szCs w:val="21"/>
          <w:highlight w:val="none"/>
          <w:u w:val="single"/>
        </w:rPr>
      </w:pPr>
      <w:r>
        <w:rPr>
          <w:rFonts w:hint="eastAsia" w:ascii="宋体" w:hAnsi="宋体"/>
          <w:szCs w:val="21"/>
          <w:highlight w:val="none"/>
        </w:rPr>
        <w:t>传    真：</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14:paraId="5DA1F649">
      <w:pPr>
        <w:spacing w:line="360" w:lineRule="auto"/>
        <w:ind w:firstLine="420" w:firstLineChars="200"/>
        <w:rPr>
          <w:rFonts w:ascii="宋体" w:hAnsi="宋体"/>
          <w:szCs w:val="21"/>
          <w:highlight w:val="none"/>
          <w:u w:val="single"/>
        </w:rPr>
      </w:pPr>
    </w:p>
    <w:p w14:paraId="4241D311">
      <w:pPr>
        <w:spacing w:line="360" w:lineRule="auto"/>
        <w:ind w:firstLine="420" w:firstLineChars="200"/>
        <w:jc w:val="righ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4955E14">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w:t>
      </w:r>
      <w:bookmarkStart w:id="1973" w:name="_Toc296347232"/>
      <w:bookmarkStart w:id="1974" w:name="_Toc296891273"/>
      <w:bookmarkStart w:id="1975" w:name="_Toc296944572"/>
      <w:bookmarkStart w:id="1976" w:name="_Toc296346734"/>
      <w:bookmarkStart w:id="1977" w:name="_Toc296503233"/>
      <w:bookmarkStart w:id="1978" w:name="_Toc296891061"/>
      <w:r>
        <w:rPr>
          <w:rFonts w:hint="eastAsia" w:ascii="宋体" w:hAnsi="宋体"/>
          <w:szCs w:val="21"/>
          <w:highlight w:val="none"/>
        </w:rPr>
        <w:t>件</w:t>
      </w:r>
      <w:r>
        <w:rPr>
          <w:rFonts w:ascii="宋体" w:hAnsi="宋体"/>
          <w:szCs w:val="21"/>
          <w:highlight w:val="none"/>
        </w:rPr>
        <w:t>6</w:t>
      </w:r>
      <w:r>
        <w:rPr>
          <w:rFonts w:hint="eastAsia" w:ascii="宋体" w:hAnsi="宋体"/>
          <w:szCs w:val="21"/>
          <w:highlight w:val="none"/>
        </w:rPr>
        <w:t>：</w:t>
      </w:r>
    </w:p>
    <w:bookmarkEnd w:id="1973"/>
    <w:bookmarkEnd w:id="1974"/>
    <w:bookmarkEnd w:id="1975"/>
    <w:bookmarkEnd w:id="1976"/>
    <w:bookmarkEnd w:id="1977"/>
    <w:bookmarkEnd w:id="1978"/>
    <w:p w14:paraId="54920347">
      <w:pPr>
        <w:spacing w:line="360" w:lineRule="auto"/>
        <w:ind w:firstLine="420" w:firstLineChars="200"/>
        <w:jc w:val="center"/>
        <w:rPr>
          <w:rFonts w:ascii="宋体" w:hAnsi="宋体"/>
          <w:szCs w:val="21"/>
          <w:highlight w:val="none"/>
        </w:rPr>
      </w:pPr>
      <w:r>
        <w:rPr>
          <w:rFonts w:hint="eastAsia" w:ascii="宋体" w:hAnsi="宋体"/>
          <w:szCs w:val="21"/>
          <w:highlight w:val="none"/>
        </w:rPr>
        <w:t>支付担保（如有）</w:t>
      </w:r>
    </w:p>
    <w:p w14:paraId="45DC9E82">
      <w:pPr>
        <w:spacing w:line="360" w:lineRule="auto"/>
        <w:ind w:firstLine="420" w:firstLineChars="2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（承包人）：</w:t>
      </w:r>
    </w:p>
    <w:p w14:paraId="3A44037E">
      <w:pPr>
        <w:spacing w:line="360" w:lineRule="auto"/>
        <w:ind w:firstLine="420" w:firstLineChars="200"/>
        <w:rPr>
          <w:rFonts w:ascii="宋体" w:hAnsi="宋体"/>
          <w:szCs w:val="21"/>
          <w:highlight w:val="none"/>
        </w:rPr>
      </w:pPr>
      <w:r>
        <w:rPr>
          <w:rFonts w:hint="eastAsia" w:ascii="宋体" w:hAnsi="宋体"/>
          <w:szCs w:val="21"/>
          <w:highlight w:val="none"/>
        </w:rPr>
        <w:t xml:space="preserve">鉴于你方作为承包人已经与 </w:t>
      </w:r>
      <w:r>
        <w:rPr>
          <w:rFonts w:hint="eastAsia" w:ascii="宋体" w:hAnsi="宋体"/>
          <w:szCs w:val="21"/>
          <w:highlight w:val="none"/>
          <w:u w:val="single"/>
        </w:rPr>
        <w:t xml:space="preserve">            </w:t>
      </w:r>
      <w:r>
        <w:rPr>
          <w:rFonts w:hint="eastAsia" w:ascii="宋体" w:hAnsi="宋体"/>
          <w:szCs w:val="21"/>
          <w:highlight w:val="none"/>
        </w:rPr>
        <w:t>（发包人名称）（以下称“发包人”）于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日签订了</w:t>
      </w:r>
      <w:r>
        <w:rPr>
          <w:rFonts w:hint="eastAsia" w:ascii="宋体" w:hAnsi="宋体"/>
          <w:szCs w:val="21"/>
          <w:highlight w:val="none"/>
          <w:u w:val="single"/>
        </w:rPr>
        <w:t xml:space="preserve">             </w:t>
      </w:r>
      <w:r>
        <w:rPr>
          <w:rFonts w:hint="eastAsia" w:ascii="宋体" w:hAnsi="宋体"/>
          <w:szCs w:val="21"/>
          <w:highlight w:val="none"/>
        </w:rPr>
        <w:t>（工程名称）《建设工程施工合同》（以下称“主合同”），应发包人的申请，我方愿就发包人履行主合同约定的工程款支付义务以保证的方式向你方提供如下担保：</w:t>
      </w:r>
    </w:p>
    <w:p w14:paraId="04876049">
      <w:pPr>
        <w:spacing w:line="360" w:lineRule="auto"/>
        <w:ind w:firstLine="420" w:firstLineChars="200"/>
        <w:rPr>
          <w:rFonts w:ascii="宋体" w:hAnsi="宋体"/>
          <w:szCs w:val="21"/>
          <w:highlight w:val="none"/>
        </w:rPr>
      </w:pPr>
      <w:bookmarkStart w:id="1979" w:name="_Toc532375692"/>
      <w:r>
        <w:rPr>
          <w:rFonts w:hint="eastAsia" w:ascii="宋体" w:hAnsi="宋体"/>
          <w:szCs w:val="21"/>
          <w:highlight w:val="none"/>
        </w:rPr>
        <w:t>一、保证的范围及保证金额</w:t>
      </w:r>
      <w:bookmarkEnd w:id="1979"/>
    </w:p>
    <w:p w14:paraId="13A800EC">
      <w:pPr>
        <w:spacing w:line="360" w:lineRule="auto"/>
        <w:ind w:firstLine="420" w:firstLineChars="200"/>
        <w:rPr>
          <w:rFonts w:ascii="宋体" w:hAnsi="宋体"/>
          <w:szCs w:val="21"/>
          <w:highlight w:val="none"/>
        </w:rPr>
      </w:pPr>
      <w:r>
        <w:rPr>
          <w:rFonts w:hint="eastAsia" w:ascii="宋体" w:hAnsi="宋体"/>
          <w:szCs w:val="21"/>
          <w:highlight w:val="none"/>
        </w:rPr>
        <w:t>1. 我方的保证范围是主合同约定的工程款。</w:t>
      </w:r>
    </w:p>
    <w:p w14:paraId="3DD8914A">
      <w:pPr>
        <w:spacing w:line="360" w:lineRule="auto"/>
        <w:ind w:firstLine="420" w:firstLineChars="200"/>
        <w:rPr>
          <w:rFonts w:ascii="宋体" w:hAnsi="宋体"/>
          <w:szCs w:val="21"/>
          <w:highlight w:val="none"/>
        </w:rPr>
      </w:pPr>
      <w:r>
        <w:rPr>
          <w:rFonts w:hint="eastAsia" w:ascii="宋体" w:hAnsi="宋体"/>
          <w:szCs w:val="21"/>
          <w:highlight w:val="none"/>
        </w:rPr>
        <w:t>2. 本保函所称主合同约定的工程款是指主合同约定的除工程质量保证金以外的合同价款。</w:t>
      </w:r>
    </w:p>
    <w:p w14:paraId="4E394D64">
      <w:pPr>
        <w:spacing w:line="360" w:lineRule="auto"/>
        <w:ind w:firstLine="420" w:firstLineChars="200"/>
        <w:rPr>
          <w:rFonts w:ascii="宋体" w:hAnsi="宋体"/>
          <w:szCs w:val="21"/>
          <w:highlight w:val="none"/>
        </w:rPr>
      </w:pPr>
      <w:r>
        <w:rPr>
          <w:rFonts w:hint="eastAsia" w:ascii="宋体" w:hAnsi="宋体"/>
          <w:szCs w:val="21"/>
          <w:highlight w:val="none"/>
        </w:rPr>
        <w:t>3. 我方保证的金额是主合同约定的工程款的</w:t>
      </w:r>
      <w:r>
        <w:rPr>
          <w:rFonts w:hint="eastAsia" w:ascii="宋体" w:hAnsi="宋体"/>
          <w:szCs w:val="21"/>
          <w:highlight w:val="none"/>
          <w:u w:val="single"/>
        </w:rPr>
        <w:t xml:space="preserve">      </w:t>
      </w:r>
      <w:r>
        <w:rPr>
          <w:rFonts w:hint="eastAsia" w:ascii="宋体" w:hAnsi="宋体"/>
          <w:szCs w:val="21"/>
          <w:highlight w:val="none"/>
        </w:rPr>
        <w:t xml:space="preserve"> %，数额最高不超过人民币元（大写：</w:t>
      </w:r>
      <w:r>
        <w:rPr>
          <w:rFonts w:hint="eastAsia" w:ascii="宋体" w:hAnsi="宋体"/>
          <w:szCs w:val="21"/>
          <w:highlight w:val="none"/>
          <w:u w:val="single"/>
        </w:rPr>
        <w:t xml:space="preserve">      </w:t>
      </w:r>
      <w:r>
        <w:rPr>
          <w:rFonts w:hint="eastAsia" w:ascii="宋体" w:hAnsi="宋体"/>
          <w:szCs w:val="21"/>
          <w:highlight w:val="none"/>
        </w:rPr>
        <w:t>）。</w:t>
      </w:r>
    </w:p>
    <w:p w14:paraId="3F3D60BF">
      <w:pPr>
        <w:spacing w:line="360" w:lineRule="auto"/>
        <w:ind w:firstLine="420" w:firstLineChars="200"/>
        <w:rPr>
          <w:rFonts w:ascii="宋体" w:hAnsi="宋体"/>
          <w:szCs w:val="21"/>
          <w:highlight w:val="none"/>
        </w:rPr>
      </w:pPr>
      <w:bookmarkStart w:id="1980" w:name="_Toc532375693"/>
      <w:r>
        <w:rPr>
          <w:rFonts w:hint="eastAsia" w:ascii="宋体" w:hAnsi="宋体"/>
          <w:szCs w:val="21"/>
          <w:highlight w:val="none"/>
        </w:rPr>
        <w:t>二、保证的方式及保证期间</w:t>
      </w:r>
      <w:bookmarkEnd w:id="1980"/>
    </w:p>
    <w:p w14:paraId="5C046D95">
      <w:pPr>
        <w:spacing w:line="360" w:lineRule="auto"/>
        <w:ind w:firstLine="420" w:firstLineChars="200"/>
        <w:rPr>
          <w:rFonts w:ascii="宋体" w:hAnsi="宋体"/>
          <w:szCs w:val="21"/>
          <w:highlight w:val="none"/>
        </w:rPr>
      </w:pPr>
      <w:r>
        <w:rPr>
          <w:rFonts w:hint="eastAsia" w:ascii="宋体" w:hAnsi="宋体"/>
          <w:szCs w:val="21"/>
          <w:highlight w:val="none"/>
        </w:rPr>
        <w:t>1. 我方保证的方式为：连带责任保证。</w:t>
      </w:r>
    </w:p>
    <w:p w14:paraId="62A48EAB">
      <w:pPr>
        <w:spacing w:line="360" w:lineRule="auto"/>
        <w:ind w:firstLine="420" w:firstLineChars="200"/>
        <w:rPr>
          <w:rFonts w:ascii="宋体" w:hAnsi="宋体"/>
          <w:szCs w:val="21"/>
          <w:highlight w:val="none"/>
        </w:rPr>
      </w:pPr>
      <w:r>
        <w:rPr>
          <w:rFonts w:hint="eastAsia" w:ascii="宋体" w:hAnsi="宋体"/>
          <w:szCs w:val="21"/>
          <w:highlight w:val="none"/>
        </w:rPr>
        <w:t>2. 我方保证的期间为：自合同生效之日起至主合同约定的工程款支付完毕之日后</w:t>
      </w:r>
      <w:r>
        <w:rPr>
          <w:rFonts w:hint="eastAsia" w:ascii="宋体" w:hAnsi="宋体"/>
          <w:szCs w:val="21"/>
          <w:highlight w:val="none"/>
          <w:u w:val="single"/>
        </w:rPr>
        <w:t xml:space="preserve">    </w:t>
      </w:r>
      <w:r>
        <w:rPr>
          <w:rFonts w:hint="eastAsia" w:ascii="宋体" w:hAnsi="宋体"/>
          <w:szCs w:val="21"/>
          <w:highlight w:val="none"/>
        </w:rPr>
        <w:t>日内。</w:t>
      </w:r>
    </w:p>
    <w:p w14:paraId="55C112C2">
      <w:pPr>
        <w:spacing w:line="360" w:lineRule="auto"/>
        <w:ind w:firstLine="420" w:firstLineChars="200"/>
        <w:rPr>
          <w:rFonts w:ascii="宋体" w:hAnsi="宋体"/>
          <w:szCs w:val="21"/>
          <w:highlight w:val="none"/>
        </w:rPr>
      </w:pPr>
      <w:r>
        <w:rPr>
          <w:rFonts w:hint="eastAsia" w:ascii="宋体" w:hAnsi="宋体"/>
          <w:szCs w:val="21"/>
          <w:highlight w:val="none"/>
        </w:rPr>
        <w:t>3. 你方与发包人协议变更工程款支付日期的，经我方书面同意后，保证期间按照变更后的支付日期做相应调整。</w:t>
      </w:r>
    </w:p>
    <w:p w14:paraId="5223E4A1">
      <w:pPr>
        <w:spacing w:line="360" w:lineRule="auto"/>
        <w:ind w:firstLine="420" w:firstLineChars="200"/>
        <w:rPr>
          <w:rFonts w:ascii="宋体" w:hAnsi="宋体"/>
          <w:szCs w:val="21"/>
          <w:highlight w:val="none"/>
        </w:rPr>
      </w:pPr>
      <w:bookmarkStart w:id="1981" w:name="_Toc532375694"/>
      <w:r>
        <w:rPr>
          <w:rFonts w:hint="eastAsia" w:ascii="宋体" w:hAnsi="宋体"/>
          <w:szCs w:val="21"/>
          <w:highlight w:val="none"/>
        </w:rPr>
        <w:t>三、承担保证责任的形式</w:t>
      </w:r>
      <w:bookmarkEnd w:id="1981"/>
    </w:p>
    <w:p w14:paraId="70D57635">
      <w:pPr>
        <w:spacing w:line="360" w:lineRule="auto"/>
        <w:ind w:firstLine="420" w:firstLineChars="200"/>
        <w:rPr>
          <w:rFonts w:ascii="宋体" w:hAnsi="宋体"/>
          <w:szCs w:val="21"/>
          <w:highlight w:val="none"/>
        </w:rPr>
      </w:pPr>
      <w:r>
        <w:rPr>
          <w:rFonts w:hint="eastAsia" w:ascii="宋体" w:hAnsi="宋体"/>
          <w:szCs w:val="21"/>
          <w:highlight w:val="none"/>
        </w:rPr>
        <w:t>我方承担保证责任的形式是代为支付。发包人未按主合同约定向你方支付工程款的，由我方在保证金额内代为支付。</w:t>
      </w:r>
    </w:p>
    <w:p w14:paraId="67257C5C">
      <w:pPr>
        <w:spacing w:line="360" w:lineRule="auto"/>
        <w:ind w:firstLine="420" w:firstLineChars="200"/>
        <w:rPr>
          <w:rFonts w:ascii="宋体" w:hAnsi="宋体"/>
          <w:szCs w:val="21"/>
          <w:highlight w:val="none"/>
        </w:rPr>
      </w:pPr>
      <w:bookmarkStart w:id="1982" w:name="_Toc532375695"/>
      <w:r>
        <w:rPr>
          <w:rFonts w:hint="eastAsia" w:ascii="宋体" w:hAnsi="宋体"/>
          <w:szCs w:val="21"/>
          <w:highlight w:val="none"/>
        </w:rPr>
        <w:t>四、代偿的安排</w:t>
      </w:r>
      <w:bookmarkEnd w:id="1982"/>
    </w:p>
    <w:p w14:paraId="67DD2E4C">
      <w:pPr>
        <w:spacing w:line="360" w:lineRule="auto"/>
        <w:ind w:firstLine="420" w:firstLineChars="200"/>
        <w:rPr>
          <w:rFonts w:ascii="宋体" w:hAnsi="宋体"/>
          <w:szCs w:val="21"/>
          <w:highlight w:val="none"/>
        </w:rPr>
      </w:pPr>
      <w:r>
        <w:rPr>
          <w:rFonts w:hint="eastAsia" w:ascii="宋体" w:hAnsi="宋体"/>
          <w:szCs w:val="21"/>
          <w:highlight w:val="none"/>
        </w:rPr>
        <w:t>1. 你方要求我方承担保证责任的，应向我方发出书面索赔通知及发包人未支付主合同约定工程款的证明材料。索赔通知应写明要求索赔的金额，支付款项应到达的账号。</w:t>
      </w:r>
    </w:p>
    <w:p w14:paraId="71C871E9">
      <w:pPr>
        <w:spacing w:line="360" w:lineRule="auto"/>
        <w:ind w:firstLine="420" w:firstLineChars="200"/>
        <w:rPr>
          <w:rFonts w:ascii="宋体" w:hAnsi="宋体"/>
          <w:szCs w:val="21"/>
          <w:highlight w:val="none"/>
        </w:rPr>
      </w:pPr>
      <w:r>
        <w:rPr>
          <w:rFonts w:hint="eastAsia" w:ascii="宋体" w:hAnsi="宋体"/>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8C40A4B">
      <w:pPr>
        <w:spacing w:line="360" w:lineRule="auto"/>
        <w:ind w:firstLine="420" w:firstLineChars="200"/>
        <w:rPr>
          <w:rFonts w:ascii="宋体" w:hAnsi="宋体"/>
          <w:szCs w:val="21"/>
          <w:highlight w:val="none"/>
        </w:rPr>
      </w:pPr>
      <w:r>
        <w:rPr>
          <w:rFonts w:hint="eastAsia" w:ascii="宋体" w:hAnsi="宋体"/>
          <w:szCs w:val="21"/>
          <w:highlight w:val="none"/>
        </w:rPr>
        <w:t>3. 我方收到你方的书面索赔通知及相应的证明材料后７天内无条件支付。</w:t>
      </w:r>
    </w:p>
    <w:p w14:paraId="17870F50">
      <w:pPr>
        <w:spacing w:line="360" w:lineRule="auto"/>
        <w:ind w:firstLine="420" w:firstLineChars="200"/>
        <w:rPr>
          <w:rFonts w:ascii="宋体" w:hAnsi="宋体"/>
          <w:szCs w:val="21"/>
          <w:highlight w:val="none"/>
        </w:rPr>
      </w:pPr>
      <w:bookmarkStart w:id="1983" w:name="_Toc532375696"/>
      <w:r>
        <w:rPr>
          <w:rFonts w:hint="eastAsia" w:ascii="宋体" w:hAnsi="宋体"/>
          <w:szCs w:val="21"/>
          <w:highlight w:val="none"/>
        </w:rPr>
        <w:t>五、保证责任的解除</w:t>
      </w:r>
      <w:bookmarkEnd w:id="1983"/>
    </w:p>
    <w:p w14:paraId="6C2EF8EC">
      <w:pPr>
        <w:spacing w:line="360" w:lineRule="auto"/>
        <w:ind w:firstLine="420" w:firstLineChars="200"/>
        <w:rPr>
          <w:rFonts w:ascii="宋体" w:hAnsi="宋体"/>
          <w:szCs w:val="21"/>
          <w:highlight w:val="none"/>
        </w:rPr>
      </w:pPr>
      <w:r>
        <w:rPr>
          <w:rFonts w:hint="eastAsia" w:ascii="宋体" w:hAnsi="宋体"/>
          <w:szCs w:val="21"/>
          <w:highlight w:val="none"/>
        </w:rPr>
        <w:t>1. 在本保函承诺的保证期间内，你方未书面向我方主张保证责任的，自保证期间届满次日起，我方保证责任解除。</w:t>
      </w:r>
    </w:p>
    <w:p w14:paraId="26311B43">
      <w:pPr>
        <w:spacing w:line="360" w:lineRule="auto"/>
        <w:ind w:firstLine="420" w:firstLineChars="200"/>
        <w:rPr>
          <w:rFonts w:ascii="宋体" w:hAnsi="宋体"/>
          <w:szCs w:val="21"/>
          <w:highlight w:val="none"/>
        </w:rPr>
      </w:pPr>
      <w:r>
        <w:rPr>
          <w:rFonts w:hint="eastAsia" w:ascii="宋体" w:hAnsi="宋体"/>
          <w:szCs w:val="21"/>
          <w:highlight w:val="none"/>
        </w:rPr>
        <w:t>2. 发包人按主合同约定履行了工程款的全部支付义务的，自本保函承诺的保证期间届满次日起，我方保证责任解除。</w:t>
      </w:r>
    </w:p>
    <w:p w14:paraId="1D17DB24">
      <w:pPr>
        <w:spacing w:line="360" w:lineRule="auto"/>
        <w:ind w:firstLine="420" w:firstLineChars="200"/>
        <w:rPr>
          <w:rFonts w:ascii="宋体" w:hAnsi="宋体"/>
          <w:szCs w:val="21"/>
          <w:highlight w:val="none"/>
        </w:rPr>
      </w:pPr>
      <w:r>
        <w:rPr>
          <w:rFonts w:hint="eastAsia" w:ascii="宋体" w:hAnsi="宋体"/>
          <w:szCs w:val="21"/>
          <w:highlight w:val="none"/>
        </w:rPr>
        <w:t>3. 我方按照本保函向你方履行保证责任所支付金额达到本保函保证金额时，自我方向你方支付（支付款项从我方账户划出）之日起，保证责任即解除。</w:t>
      </w:r>
    </w:p>
    <w:p w14:paraId="7114C73A">
      <w:pPr>
        <w:spacing w:line="360" w:lineRule="auto"/>
        <w:ind w:firstLine="420" w:firstLineChars="200"/>
        <w:rPr>
          <w:rFonts w:ascii="宋体" w:hAnsi="宋体"/>
          <w:szCs w:val="21"/>
          <w:highlight w:val="none"/>
        </w:rPr>
      </w:pPr>
      <w:r>
        <w:rPr>
          <w:rFonts w:hint="eastAsia" w:ascii="宋体" w:hAnsi="宋体"/>
          <w:szCs w:val="21"/>
          <w:highlight w:val="none"/>
        </w:rPr>
        <w:t>4. 按照法律法规的规定或出现应解除我方保证责任的其他情形的，我方在本保函项下的保证责任亦解除。</w:t>
      </w:r>
    </w:p>
    <w:p w14:paraId="1E0DEABB">
      <w:pPr>
        <w:spacing w:line="360" w:lineRule="auto"/>
        <w:ind w:firstLine="420" w:firstLineChars="200"/>
        <w:rPr>
          <w:rFonts w:ascii="宋体" w:hAnsi="宋体"/>
          <w:szCs w:val="21"/>
          <w:highlight w:val="none"/>
        </w:rPr>
      </w:pPr>
      <w:r>
        <w:rPr>
          <w:rFonts w:hint="eastAsia" w:ascii="宋体" w:hAnsi="宋体"/>
          <w:szCs w:val="21"/>
          <w:highlight w:val="none"/>
        </w:rPr>
        <w:t>5. 我方解除保证责任后，你方应自我方保证责任解除之日起  个工作日内，将本保函原件返还我方。</w:t>
      </w:r>
    </w:p>
    <w:p w14:paraId="4AE72957">
      <w:pPr>
        <w:spacing w:line="360" w:lineRule="auto"/>
        <w:ind w:firstLine="420" w:firstLineChars="200"/>
        <w:rPr>
          <w:rFonts w:ascii="宋体" w:hAnsi="宋体"/>
          <w:szCs w:val="21"/>
          <w:highlight w:val="none"/>
        </w:rPr>
      </w:pPr>
      <w:bookmarkStart w:id="1984" w:name="_Toc532375697"/>
      <w:r>
        <w:rPr>
          <w:rFonts w:hint="eastAsia" w:ascii="宋体" w:hAnsi="宋体"/>
          <w:szCs w:val="21"/>
          <w:highlight w:val="none"/>
        </w:rPr>
        <w:t>六、免责条款</w:t>
      </w:r>
      <w:bookmarkEnd w:id="1984"/>
    </w:p>
    <w:p w14:paraId="2AEA7D40">
      <w:pPr>
        <w:spacing w:line="360" w:lineRule="auto"/>
        <w:ind w:firstLine="420" w:firstLineChars="200"/>
        <w:rPr>
          <w:rFonts w:ascii="宋体" w:hAnsi="宋体"/>
          <w:szCs w:val="21"/>
          <w:highlight w:val="none"/>
        </w:rPr>
      </w:pPr>
      <w:r>
        <w:rPr>
          <w:rFonts w:hint="eastAsia" w:ascii="宋体" w:hAnsi="宋体"/>
          <w:szCs w:val="21"/>
          <w:highlight w:val="none"/>
        </w:rPr>
        <w:t>1. 因你方违约致使发包人不能履行义务的，我方不承担保证责任。</w:t>
      </w:r>
    </w:p>
    <w:p w14:paraId="43E05897">
      <w:pPr>
        <w:spacing w:line="360" w:lineRule="auto"/>
        <w:ind w:firstLine="420" w:firstLineChars="200"/>
        <w:rPr>
          <w:rFonts w:ascii="宋体" w:hAnsi="宋体"/>
          <w:szCs w:val="21"/>
          <w:highlight w:val="none"/>
        </w:rPr>
      </w:pPr>
      <w:r>
        <w:rPr>
          <w:rFonts w:hint="eastAsia" w:ascii="宋体" w:hAnsi="宋体"/>
          <w:szCs w:val="21"/>
          <w:highlight w:val="none"/>
        </w:rPr>
        <w:t>2. 依照法律法规的规定或你方与发包人的另行约定，免除发包人部分或全部义务的，我方亦免除其相应的保证责任。</w:t>
      </w:r>
    </w:p>
    <w:p w14:paraId="51BE52C8">
      <w:pPr>
        <w:spacing w:line="360" w:lineRule="auto"/>
        <w:ind w:firstLine="420" w:firstLineChars="200"/>
        <w:rPr>
          <w:rFonts w:ascii="宋体" w:hAnsi="宋体"/>
          <w:szCs w:val="21"/>
          <w:highlight w:val="none"/>
        </w:rPr>
      </w:pPr>
      <w:r>
        <w:rPr>
          <w:rFonts w:hint="eastAsia" w:ascii="宋体" w:hAnsi="宋体"/>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E1E2987">
      <w:pPr>
        <w:spacing w:line="360" w:lineRule="auto"/>
        <w:ind w:firstLine="420" w:firstLineChars="200"/>
        <w:rPr>
          <w:rFonts w:ascii="宋体" w:hAnsi="宋体"/>
          <w:szCs w:val="21"/>
          <w:highlight w:val="none"/>
        </w:rPr>
      </w:pPr>
      <w:r>
        <w:rPr>
          <w:rFonts w:hint="eastAsia" w:ascii="宋体" w:hAnsi="宋体"/>
          <w:szCs w:val="21"/>
          <w:highlight w:val="none"/>
        </w:rPr>
        <w:t>4. 因不可抗力造成发包人不能履行义务的，我方不承担保证责任。</w:t>
      </w:r>
    </w:p>
    <w:p w14:paraId="3D9FC5C9">
      <w:pPr>
        <w:spacing w:line="360" w:lineRule="auto"/>
        <w:ind w:firstLine="420" w:firstLineChars="200"/>
        <w:rPr>
          <w:rFonts w:ascii="宋体" w:hAnsi="宋体"/>
          <w:szCs w:val="21"/>
          <w:highlight w:val="none"/>
        </w:rPr>
      </w:pPr>
      <w:bookmarkStart w:id="1985" w:name="_Toc532375698"/>
      <w:r>
        <w:rPr>
          <w:rFonts w:hint="eastAsia" w:ascii="宋体" w:hAnsi="宋体"/>
          <w:szCs w:val="21"/>
          <w:highlight w:val="none"/>
        </w:rPr>
        <w:t>七、争议解决</w:t>
      </w:r>
      <w:bookmarkEnd w:id="1985"/>
    </w:p>
    <w:p w14:paraId="0A913109">
      <w:pPr>
        <w:spacing w:line="360" w:lineRule="auto"/>
        <w:ind w:firstLine="420" w:firstLineChars="200"/>
        <w:rPr>
          <w:rFonts w:ascii="宋体" w:hAnsi="宋体"/>
          <w:szCs w:val="21"/>
          <w:highlight w:val="none"/>
        </w:rPr>
      </w:pPr>
      <w:r>
        <w:rPr>
          <w:rFonts w:hint="eastAsia" w:ascii="宋体" w:hAnsi="宋体"/>
          <w:szCs w:val="21"/>
          <w:highlight w:val="none"/>
        </w:rPr>
        <w:t>因本保函或本保函相关事项发生的纠纷，可由双方协商解决，协商不成的，按下列第</w:t>
      </w:r>
      <w:r>
        <w:rPr>
          <w:rFonts w:hint="eastAsia" w:ascii="宋体" w:hAnsi="宋体"/>
          <w:szCs w:val="21"/>
          <w:highlight w:val="none"/>
          <w:u w:val="single"/>
        </w:rPr>
        <w:t xml:space="preserve">    </w:t>
      </w:r>
      <w:r>
        <w:rPr>
          <w:rFonts w:hint="eastAsia" w:ascii="宋体" w:hAnsi="宋体"/>
          <w:szCs w:val="21"/>
          <w:highlight w:val="none"/>
        </w:rPr>
        <w:t>种方式解决：</w:t>
      </w:r>
    </w:p>
    <w:p w14:paraId="072E3C25">
      <w:pPr>
        <w:spacing w:line="360" w:lineRule="auto"/>
        <w:ind w:firstLine="420" w:firstLineChars="200"/>
        <w:rPr>
          <w:rFonts w:ascii="宋体" w:hAnsi="宋体"/>
          <w:szCs w:val="21"/>
          <w:highlight w:val="none"/>
        </w:rPr>
      </w:pPr>
      <w:r>
        <w:rPr>
          <w:rFonts w:hint="eastAsia" w:ascii="宋体" w:hAnsi="宋体"/>
          <w:szCs w:val="21"/>
          <w:highlight w:val="none"/>
        </w:rPr>
        <w:t>（1）向</w:t>
      </w:r>
      <w:r>
        <w:rPr>
          <w:rFonts w:hint="eastAsia" w:ascii="宋体" w:hAnsi="宋体"/>
          <w:szCs w:val="21"/>
          <w:highlight w:val="none"/>
          <w:u w:val="single"/>
        </w:rPr>
        <w:t xml:space="preserve">                     </w:t>
      </w:r>
      <w:r>
        <w:rPr>
          <w:rFonts w:hint="eastAsia" w:ascii="宋体" w:hAnsi="宋体"/>
          <w:szCs w:val="21"/>
          <w:highlight w:val="none"/>
        </w:rPr>
        <w:t>仲裁委员会申请仲裁；</w:t>
      </w:r>
    </w:p>
    <w:p w14:paraId="27D6CB50">
      <w:pPr>
        <w:spacing w:line="360" w:lineRule="auto"/>
        <w:ind w:firstLine="420" w:firstLineChars="200"/>
        <w:rPr>
          <w:rFonts w:ascii="宋体" w:hAnsi="宋体"/>
          <w:szCs w:val="21"/>
          <w:highlight w:val="none"/>
        </w:rPr>
      </w:pPr>
      <w:r>
        <w:rPr>
          <w:rFonts w:hint="eastAsia" w:ascii="宋体" w:hAnsi="宋体"/>
          <w:szCs w:val="21"/>
          <w:highlight w:val="none"/>
        </w:rPr>
        <w:t>（2）向</w:t>
      </w:r>
      <w:r>
        <w:rPr>
          <w:rFonts w:hint="eastAsia" w:ascii="宋体" w:hAnsi="宋体"/>
          <w:szCs w:val="21"/>
          <w:highlight w:val="none"/>
          <w:u w:val="single"/>
        </w:rPr>
        <w:t xml:space="preserve">                     </w:t>
      </w:r>
      <w:r>
        <w:rPr>
          <w:rFonts w:hint="eastAsia" w:ascii="宋体" w:hAnsi="宋体"/>
          <w:szCs w:val="21"/>
          <w:highlight w:val="none"/>
        </w:rPr>
        <w:t>人民法院起诉。</w:t>
      </w:r>
    </w:p>
    <w:p w14:paraId="0F64E880">
      <w:pPr>
        <w:spacing w:line="360" w:lineRule="auto"/>
        <w:ind w:firstLine="420" w:firstLineChars="200"/>
        <w:rPr>
          <w:rFonts w:ascii="宋体" w:hAnsi="宋体"/>
          <w:szCs w:val="21"/>
          <w:highlight w:val="none"/>
        </w:rPr>
      </w:pPr>
      <w:bookmarkStart w:id="1986" w:name="_Toc532375699"/>
      <w:r>
        <w:rPr>
          <w:rFonts w:hint="eastAsia" w:ascii="宋体" w:hAnsi="宋体"/>
          <w:szCs w:val="21"/>
          <w:highlight w:val="none"/>
        </w:rPr>
        <w:t>八、保函的生效</w:t>
      </w:r>
      <w:bookmarkEnd w:id="1986"/>
    </w:p>
    <w:p w14:paraId="0F8FC89A">
      <w:pPr>
        <w:spacing w:line="360" w:lineRule="auto"/>
        <w:ind w:firstLine="420" w:firstLineChars="200"/>
        <w:rPr>
          <w:rFonts w:ascii="宋体" w:hAnsi="宋体"/>
          <w:szCs w:val="21"/>
          <w:highlight w:val="none"/>
        </w:rPr>
      </w:pPr>
      <w:r>
        <w:rPr>
          <w:rFonts w:hint="eastAsia" w:ascii="宋体" w:hAnsi="宋体"/>
          <w:szCs w:val="21"/>
          <w:highlight w:val="none"/>
        </w:rPr>
        <w:t>本保函自我方法定代表人（或其委托代理人）</w:t>
      </w:r>
      <w:r>
        <w:rPr>
          <w:rFonts w:hint="eastAsia" w:ascii="宋体" w:hAnsi="宋体"/>
          <w:szCs w:val="21"/>
          <w:highlight w:val="none"/>
          <w:lang w:eastAsia="zh-CN"/>
        </w:rPr>
        <w:t>签名</w:t>
      </w:r>
      <w:r>
        <w:rPr>
          <w:rFonts w:hint="eastAsia" w:ascii="宋体" w:hAnsi="宋体"/>
          <w:szCs w:val="21"/>
          <w:highlight w:val="none"/>
        </w:rPr>
        <w:t>并加盖</w:t>
      </w:r>
      <w:r>
        <w:rPr>
          <w:rFonts w:hint="eastAsia" w:ascii="宋体" w:hAnsi="宋体"/>
          <w:szCs w:val="21"/>
          <w:highlight w:val="none"/>
          <w:lang w:val="en-US" w:eastAsia="zh-CN"/>
        </w:rPr>
        <w:t>单位</w:t>
      </w:r>
      <w:r>
        <w:rPr>
          <w:rFonts w:hint="eastAsia" w:ascii="宋体" w:hAnsi="宋体"/>
          <w:szCs w:val="21"/>
          <w:highlight w:val="none"/>
        </w:rPr>
        <w:t>公章之日起生效。</w:t>
      </w:r>
    </w:p>
    <w:p w14:paraId="611B2FC9">
      <w:pPr>
        <w:spacing w:line="360" w:lineRule="auto"/>
        <w:ind w:firstLine="420" w:firstLineChars="200"/>
        <w:jc w:val="left"/>
        <w:rPr>
          <w:rFonts w:ascii="宋体" w:hAnsi="宋体"/>
          <w:szCs w:val="21"/>
          <w:highlight w:val="none"/>
        </w:rPr>
      </w:pPr>
    </w:p>
    <w:p w14:paraId="057AEC5D">
      <w:pPr>
        <w:spacing w:line="360" w:lineRule="auto"/>
        <w:ind w:firstLine="420" w:firstLineChars="200"/>
        <w:jc w:val="left"/>
        <w:rPr>
          <w:rFonts w:ascii="宋体" w:hAnsi="宋体"/>
          <w:szCs w:val="21"/>
          <w:highlight w:val="none"/>
        </w:rPr>
      </w:pPr>
    </w:p>
    <w:p w14:paraId="221CCC0B">
      <w:pPr>
        <w:spacing w:line="360" w:lineRule="auto"/>
        <w:ind w:firstLine="420" w:firstLineChars="200"/>
        <w:jc w:val="left"/>
        <w:rPr>
          <w:rFonts w:ascii="宋体" w:hAnsi="宋体"/>
          <w:szCs w:val="21"/>
          <w:highlight w:val="none"/>
        </w:rPr>
      </w:pPr>
      <w:r>
        <w:rPr>
          <w:rFonts w:hint="eastAsia" w:ascii="宋体" w:hAnsi="宋体"/>
          <w:szCs w:val="21"/>
          <w:highlight w:val="none"/>
        </w:rPr>
        <w:t>担保人：</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单位公</w:t>
      </w:r>
      <w:r>
        <w:rPr>
          <w:rFonts w:hint="eastAsia" w:ascii="宋体" w:hAnsi="宋体"/>
          <w:szCs w:val="21"/>
          <w:highlight w:val="none"/>
        </w:rPr>
        <w:t>章）</w:t>
      </w:r>
    </w:p>
    <w:p w14:paraId="15FBBB65">
      <w:pPr>
        <w:spacing w:line="360" w:lineRule="auto"/>
        <w:ind w:firstLine="420" w:firstLineChars="200"/>
        <w:rPr>
          <w:rFonts w:ascii="宋体" w:hAnsi="宋体"/>
          <w:szCs w:val="21"/>
          <w:highlight w:val="none"/>
        </w:rPr>
      </w:pPr>
      <w:r>
        <w:rPr>
          <w:rFonts w:hint="eastAsia" w:ascii="宋体" w:hAnsi="宋体"/>
          <w:szCs w:val="21"/>
          <w:highlight w:val="none"/>
        </w:rPr>
        <w:t>法定代表人或委托代理人：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签名</w:t>
      </w:r>
      <w:r>
        <w:rPr>
          <w:rFonts w:hint="eastAsia" w:ascii="宋体" w:hAnsi="宋体"/>
          <w:szCs w:val="21"/>
          <w:highlight w:val="none"/>
        </w:rPr>
        <w:t>）</w:t>
      </w:r>
    </w:p>
    <w:p w14:paraId="1829613A">
      <w:pPr>
        <w:spacing w:line="360" w:lineRule="auto"/>
        <w:ind w:firstLine="420" w:firstLineChars="200"/>
        <w:jc w:val="left"/>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w:t>
      </w:r>
    </w:p>
    <w:p w14:paraId="2C52BD70">
      <w:pPr>
        <w:spacing w:line="360" w:lineRule="auto"/>
        <w:ind w:firstLine="420" w:firstLineChars="200"/>
        <w:jc w:val="left"/>
        <w:rPr>
          <w:rFonts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 xml:space="preserve">                                        </w:t>
      </w:r>
    </w:p>
    <w:p w14:paraId="10FAED0F">
      <w:pPr>
        <w:spacing w:line="360" w:lineRule="auto"/>
        <w:ind w:firstLine="420" w:firstLineChars="200"/>
        <w:jc w:val="left"/>
        <w:rPr>
          <w:rFonts w:ascii="宋体" w:hAnsi="宋体"/>
          <w:szCs w:val="21"/>
          <w:highlight w:val="none"/>
        </w:rPr>
      </w:pPr>
      <w:r>
        <w:rPr>
          <w:rFonts w:hint="eastAsia" w:ascii="宋体" w:hAnsi="宋体"/>
          <w:szCs w:val="21"/>
          <w:highlight w:val="none"/>
        </w:rPr>
        <w:t>传    真：</w:t>
      </w:r>
      <w:r>
        <w:rPr>
          <w:rFonts w:hint="eastAsia" w:ascii="宋体" w:hAnsi="宋体"/>
          <w:szCs w:val="21"/>
          <w:highlight w:val="none"/>
          <w:u w:val="single"/>
        </w:rPr>
        <w:t xml:space="preserve">                                        </w:t>
      </w:r>
    </w:p>
    <w:p w14:paraId="1269A6CD">
      <w:pPr>
        <w:spacing w:line="360" w:lineRule="auto"/>
        <w:ind w:firstLine="420" w:firstLineChars="200"/>
        <w:rPr>
          <w:rFonts w:ascii="宋体" w:hAnsi="宋体"/>
          <w:szCs w:val="21"/>
          <w:highlight w:val="none"/>
        </w:rPr>
      </w:pPr>
      <w:r>
        <w:rPr>
          <w:rFonts w:hint="eastAsia" w:ascii="宋体" w:hAnsi="宋体"/>
          <w:szCs w:val="21"/>
          <w:highlight w:val="none"/>
        </w:rPr>
        <w:t xml:space="preserve">           </w:t>
      </w:r>
    </w:p>
    <w:p w14:paraId="3EC22CE4">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rPr>
        <w:br w:type="page"/>
      </w:r>
    </w:p>
    <w:p w14:paraId="7F35D43D">
      <w:pPr>
        <w:spacing w:line="480" w:lineRule="auto"/>
        <w:rPr>
          <w:rFonts w:ascii="宋体" w:hAnsi="宋体"/>
          <w:szCs w:val="21"/>
          <w:highlight w:val="none"/>
        </w:rPr>
      </w:pPr>
      <w:r>
        <w:rPr>
          <w:rFonts w:hint="eastAsia" w:ascii="宋体" w:hAnsi="宋体"/>
          <w:szCs w:val="21"/>
          <w:highlight w:val="none"/>
        </w:rPr>
        <w:t>附件</w:t>
      </w:r>
      <w:r>
        <w:rPr>
          <w:rFonts w:ascii="宋体" w:hAnsi="宋体"/>
          <w:szCs w:val="21"/>
          <w:highlight w:val="none"/>
        </w:rPr>
        <w:t>7</w:t>
      </w:r>
      <w:r>
        <w:rPr>
          <w:rFonts w:hint="eastAsia" w:ascii="宋体" w:hAnsi="宋体"/>
          <w:szCs w:val="21"/>
          <w:highlight w:val="none"/>
        </w:rPr>
        <w:t>：</w:t>
      </w:r>
    </w:p>
    <w:p w14:paraId="37A557C2">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专业工程暂估价表</w:t>
      </w:r>
    </w:p>
    <w:tbl>
      <w:tblPr>
        <w:tblStyle w:val="47"/>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20B6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567FD07">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序号</w:t>
            </w:r>
          </w:p>
        </w:tc>
        <w:tc>
          <w:tcPr>
            <w:tcW w:w="1984" w:type="dxa"/>
          </w:tcPr>
          <w:p w14:paraId="6F1564CB">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专业工程名称</w:t>
            </w:r>
          </w:p>
        </w:tc>
        <w:tc>
          <w:tcPr>
            <w:tcW w:w="5103" w:type="dxa"/>
          </w:tcPr>
          <w:p w14:paraId="31FFBF38">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工程内容</w:t>
            </w:r>
          </w:p>
        </w:tc>
        <w:tc>
          <w:tcPr>
            <w:tcW w:w="1560" w:type="dxa"/>
          </w:tcPr>
          <w:p w14:paraId="630B3671">
            <w:pPr>
              <w:keepNext w:val="0"/>
              <w:keepLines w:val="0"/>
              <w:suppressLineNumbers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21"/>
                <w:highlight w:val="none"/>
              </w:rPr>
              <w:t>金额</w:t>
            </w:r>
          </w:p>
        </w:tc>
      </w:tr>
      <w:tr w14:paraId="6444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5F901B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1E83021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6C0E10E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41F7A80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D38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BC84A3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40DD2C1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7877582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4B94CCA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174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99999F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620F971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5E45E51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2F6C05C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67AB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0D4E3B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7C21F8C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6013DF9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7A0BAA4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911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ED6C6B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593E07D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7B8B90E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0F2000B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E4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076F87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2497342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1339C4D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4082A72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4D10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49C3A5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0549347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37D954D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4F6A353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198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7BE904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2FD3969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114184D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724C7C1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0F3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25A88E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2BB8FDA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2F03EA6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430E435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FE3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00E6D2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16D4E28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42E5E05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19E2270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4BFD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4F2A92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138561F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6EE494F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6013BEC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FEA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FE3D9F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548A1BE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00D7A860">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2354F3B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7150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403AD4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599F608A">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73069FE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6FFC1BE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ED4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3A375A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58E7EDC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0CE8454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1DD71B4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15C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0B3A4A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6D483D6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21910318">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0496699C">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0661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28B6F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712856BF">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49EE38C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1801FCA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66CD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054105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4840D8A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50B1B72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4974526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685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D303E5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432A8A4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0EE29B2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16E8576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F17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F1AFF1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0845857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3F4BDCA6">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26C405A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0B5D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DFFA9B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0D29DD4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77C05BC1">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79935E69">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2727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F195E05">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7B66F98D">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4D308293">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5F60F0B4">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38BB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9CD0487">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984" w:type="dxa"/>
          </w:tcPr>
          <w:p w14:paraId="3A7693A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5103" w:type="dxa"/>
          </w:tcPr>
          <w:p w14:paraId="6E0DD89B">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c>
          <w:tcPr>
            <w:tcW w:w="1560" w:type="dxa"/>
          </w:tcPr>
          <w:p w14:paraId="0D2F22B2">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p>
        </w:tc>
      </w:tr>
      <w:tr w14:paraId="5FA9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04AE478E">
            <w:pPr>
              <w:keepNext w:val="0"/>
              <w:keepLines w:val="0"/>
              <w:suppressLineNumbers w:val="0"/>
              <w:spacing w:before="0" w:beforeAutospacing="0" w:after="0" w:afterAutospacing="0" w:line="400" w:lineRule="exact"/>
              <w:ind w:left="0" w:right="0" w:firstLine="420" w:firstLineChars="200"/>
              <w:rPr>
                <w:rFonts w:hint="default" w:ascii="宋体" w:hAnsi="宋体"/>
                <w:szCs w:val="21"/>
                <w:highlight w:val="none"/>
              </w:rPr>
            </w:pPr>
            <w:r>
              <w:rPr>
                <w:rFonts w:hint="eastAsia" w:ascii="宋体" w:hAnsi="宋体"/>
                <w:szCs w:val="21"/>
                <w:highlight w:val="none"/>
              </w:rPr>
              <w:t>小计：</w:t>
            </w:r>
          </w:p>
        </w:tc>
      </w:tr>
    </w:tbl>
    <w:p w14:paraId="76E83A24">
      <w:pPr>
        <w:spacing w:line="360" w:lineRule="auto"/>
        <w:ind w:firstLine="420" w:firstLineChars="200"/>
        <w:rPr>
          <w:rFonts w:ascii="宋体" w:hAnsi="宋体"/>
          <w:szCs w:val="21"/>
          <w:highlight w:val="none"/>
        </w:rPr>
      </w:pPr>
    </w:p>
    <w:p w14:paraId="2C4B6A04">
      <w:pPr>
        <w:pStyle w:val="2"/>
        <w:spacing w:line="360" w:lineRule="auto"/>
        <w:rPr>
          <w:rFonts w:ascii="宋体" w:hAnsi="宋体"/>
          <w:szCs w:val="21"/>
          <w:highlight w:val="none"/>
        </w:rPr>
      </w:pPr>
    </w:p>
    <w:p w14:paraId="2E26BAB5">
      <w:pPr>
        <w:spacing w:line="480" w:lineRule="auto"/>
        <w:ind w:firstLine="420" w:firstLineChars="200"/>
        <w:rPr>
          <w:rFonts w:ascii="宋体" w:hAnsi="宋体"/>
          <w:szCs w:val="21"/>
          <w:highlight w:val="none"/>
        </w:rPr>
      </w:pPr>
      <w:r>
        <w:rPr>
          <w:rFonts w:ascii="宋体" w:hAnsi="宋体"/>
          <w:szCs w:val="21"/>
          <w:highlight w:val="none"/>
        </w:rPr>
        <w:br w:type="page"/>
      </w:r>
    </w:p>
    <w:p w14:paraId="73346A29">
      <w:pPr>
        <w:spacing w:line="480" w:lineRule="auto"/>
        <w:rPr>
          <w:rFonts w:ascii="宋体" w:hAnsi="宋体"/>
          <w:szCs w:val="21"/>
          <w:highlight w:val="none"/>
        </w:rPr>
      </w:pPr>
      <w:r>
        <w:rPr>
          <w:rFonts w:hint="eastAsia" w:ascii="宋体" w:hAnsi="宋体"/>
          <w:szCs w:val="21"/>
          <w:highlight w:val="none"/>
        </w:rPr>
        <w:t>附件</w:t>
      </w:r>
      <w:r>
        <w:rPr>
          <w:rFonts w:ascii="宋体" w:hAnsi="宋体"/>
          <w:szCs w:val="21"/>
          <w:highlight w:val="none"/>
        </w:rPr>
        <w:t>8</w:t>
      </w:r>
      <w:r>
        <w:rPr>
          <w:rFonts w:hint="eastAsia" w:ascii="宋体" w:hAnsi="宋体"/>
          <w:szCs w:val="21"/>
          <w:highlight w:val="none"/>
        </w:rPr>
        <w:t>：</w:t>
      </w:r>
    </w:p>
    <w:p w14:paraId="13A52AEB">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廉洁从业协议</w:t>
      </w:r>
    </w:p>
    <w:p w14:paraId="01B4E255">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14:paraId="1E23A1DA">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14:paraId="2C306EC0">
      <w:pPr>
        <w:spacing w:line="360" w:lineRule="auto"/>
        <w:ind w:firstLine="420" w:firstLineChars="200"/>
        <w:rPr>
          <w:rFonts w:ascii="宋体" w:hAnsi="宋体"/>
          <w:szCs w:val="21"/>
          <w:highlight w:val="none"/>
        </w:rPr>
      </w:pPr>
      <w:r>
        <w:rPr>
          <w:rFonts w:hint="eastAsia" w:ascii="宋体" w:hAnsi="宋体"/>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07B98F36">
      <w:pPr>
        <w:spacing w:line="360" w:lineRule="auto"/>
        <w:ind w:firstLine="420" w:firstLineChars="200"/>
        <w:rPr>
          <w:rFonts w:ascii="宋体" w:hAnsi="宋体"/>
          <w:szCs w:val="21"/>
          <w:highlight w:val="none"/>
        </w:rPr>
      </w:pPr>
      <w:r>
        <w:rPr>
          <w:rFonts w:hint="eastAsia" w:ascii="宋体" w:hAnsi="宋体"/>
          <w:szCs w:val="21"/>
          <w:highlight w:val="none"/>
        </w:rPr>
        <w:t xml:space="preserve"> 1. 发包人承包人的权利和义务</w:t>
      </w:r>
    </w:p>
    <w:p w14:paraId="214E5983">
      <w:pPr>
        <w:spacing w:line="360" w:lineRule="auto"/>
        <w:ind w:firstLine="420" w:firstLineChars="200"/>
        <w:rPr>
          <w:rFonts w:ascii="宋体" w:hAnsi="宋体"/>
          <w:szCs w:val="21"/>
          <w:highlight w:val="none"/>
        </w:rPr>
      </w:pPr>
      <w:r>
        <w:rPr>
          <w:rFonts w:hint="eastAsia" w:ascii="宋体" w:hAnsi="宋体"/>
          <w:szCs w:val="21"/>
          <w:highlight w:val="none"/>
        </w:rPr>
        <w:t>（1）严格遵守党的政策规定和国家有关法律法规及相关部门的有关规定。</w:t>
      </w:r>
    </w:p>
    <w:p w14:paraId="68909B46">
      <w:pPr>
        <w:spacing w:line="360" w:lineRule="auto"/>
        <w:ind w:firstLine="420" w:firstLineChars="200"/>
        <w:rPr>
          <w:rFonts w:ascii="宋体" w:hAnsi="宋体"/>
          <w:szCs w:val="21"/>
          <w:highlight w:val="none"/>
        </w:rPr>
      </w:pPr>
      <w:r>
        <w:rPr>
          <w:rFonts w:hint="eastAsia" w:ascii="宋体" w:hAnsi="宋体"/>
          <w:szCs w:val="21"/>
          <w:highlight w:val="none"/>
        </w:rPr>
        <w:t>（2）严格执行 工程的合同文件，自觉按合同办事。</w:t>
      </w:r>
    </w:p>
    <w:p w14:paraId="1144FAE5">
      <w:pPr>
        <w:spacing w:line="360" w:lineRule="auto"/>
        <w:ind w:firstLine="420" w:firstLineChars="200"/>
        <w:rPr>
          <w:rFonts w:ascii="宋体" w:hAnsi="宋体"/>
          <w:szCs w:val="21"/>
          <w:highlight w:val="none"/>
        </w:rPr>
      </w:pPr>
      <w:r>
        <w:rPr>
          <w:rFonts w:hint="eastAsia" w:ascii="宋体" w:hAnsi="宋体"/>
          <w:szCs w:val="21"/>
          <w:highlight w:val="none"/>
        </w:rPr>
        <w:t>（3）双方的业务活动坚持公开、公正、诚信、透明的原则（法律认定的商业秘密和合同文件另有规定除外），不得损害国家和集体利益，违反工程建设管理规章制度。</w:t>
      </w:r>
    </w:p>
    <w:p w14:paraId="4E88C4BB">
      <w:pPr>
        <w:spacing w:line="360" w:lineRule="auto"/>
        <w:ind w:firstLine="420" w:firstLineChars="200"/>
        <w:rPr>
          <w:rFonts w:ascii="宋体" w:hAnsi="宋体"/>
          <w:szCs w:val="21"/>
          <w:highlight w:val="none"/>
        </w:rPr>
      </w:pPr>
      <w:r>
        <w:rPr>
          <w:rFonts w:hint="eastAsia" w:ascii="宋体" w:hAnsi="宋体"/>
          <w:szCs w:val="21"/>
          <w:highlight w:val="none"/>
        </w:rPr>
        <w:t>（4）建立健全廉政制度，开展廉政教育，设立廉政告示牌，公布举报电话，监督并认真查处违法违纪行为。</w:t>
      </w:r>
    </w:p>
    <w:p w14:paraId="05CF9AAA">
      <w:pPr>
        <w:spacing w:line="360" w:lineRule="auto"/>
        <w:ind w:firstLine="420" w:firstLineChars="200"/>
        <w:rPr>
          <w:rFonts w:ascii="宋体" w:hAnsi="宋体"/>
          <w:szCs w:val="21"/>
          <w:highlight w:val="none"/>
        </w:rPr>
      </w:pPr>
      <w:r>
        <w:rPr>
          <w:rFonts w:hint="eastAsia" w:ascii="宋体" w:hAnsi="宋体"/>
          <w:szCs w:val="21"/>
          <w:highlight w:val="none"/>
        </w:rPr>
        <w:t>（5）发现对方在业务活动中有违反廉政规定的行为，有及时提醒对方纠正的权利和义务。</w:t>
      </w:r>
    </w:p>
    <w:p w14:paraId="0CF4BD08">
      <w:pPr>
        <w:spacing w:line="360" w:lineRule="auto"/>
        <w:ind w:firstLine="420" w:firstLineChars="200"/>
        <w:rPr>
          <w:rFonts w:ascii="宋体" w:hAnsi="宋体"/>
          <w:szCs w:val="21"/>
          <w:highlight w:val="none"/>
        </w:rPr>
      </w:pPr>
      <w:r>
        <w:rPr>
          <w:rFonts w:hint="eastAsia" w:ascii="宋体" w:hAnsi="宋体"/>
          <w:szCs w:val="21"/>
          <w:highlight w:val="none"/>
        </w:rPr>
        <w:t>（6）发现对方严重违反协议义务条款的行为，有向其上级有关部门举报、建议给予处理并要求告知处理结果的权利。</w:t>
      </w:r>
    </w:p>
    <w:p w14:paraId="66AC5205">
      <w:pPr>
        <w:spacing w:line="360" w:lineRule="auto"/>
        <w:ind w:firstLine="420" w:firstLineChars="200"/>
        <w:rPr>
          <w:rFonts w:ascii="宋体" w:hAnsi="宋体"/>
          <w:szCs w:val="21"/>
          <w:highlight w:val="none"/>
        </w:rPr>
      </w:pPr>
      <w:r>
        <w:rPr>
          <w:rFonts w:hint="eastAsia" w:ascii="宋体" w:hAnsi="宋体"/>
          <w:szCs w:val="21"/>
          <w:highlight w:val="none"/>
        </w:rPr>
        <w:t>2. 发包人的义务</w:t>
      </w:r>
    </w:p>
    <w:p w14:paraId="26FF44E6">
      <w:pPr>
        <w:spacing w:line="360" w:lineRule="auto"/>
        <w:ind w:firstLine="420" w:firstLineChars="200"/>
        <w:rPr>
          <w:rFonts w:ascii="宋体" w:hAnsi="宋体"/>
          <w:szCs w:val="21"/>
          <w:highlight w:val="none"/>
        </w:rPr>
      </w:pPr>
      <w:r>
        <w:rPr>
          <w:rFonts w:hint="eastAsia" w:ascii="宋体" w:hAnsi="宋体"/>
          <w:szCs w:val="21"/>
          <w:highlight w:val="none"/>
        </w:rPr>
        <w:t>（1）发包人及其工作人员不得索要或接受承包人的礼金、有价证券和贵重物品，不得在承包人报销任何应由发包人或发包人工作人员个人支付的费用等。</w:t>
      </w:r>
    </w:p>
    <w:p w14:paraId="413A52DF">
      <w:pPr>
        <w:spacing w:line="360" w:lineRule="auto"/>
        <w:ind w:firstLine="420" w:firstLineChars="200"/>
        <w:rPr>
          <w:rFonts w:ascii="宋体" w:hAnsi="宋体"/>
          <w:szCs w:val="21"/>
          <w:highlight w:val="none"/>
        </w:rPr>
      </w:pPr>
      <w:r>
        <w:rPr>
          <w:rFonts w:hint="eastAsia" w:ascii="宋体" w:hAnsi="宋体"/>
          <w:szCs w:val="21"/>
          <w:highlight w:val="none"/>
        </w:rPr>
        <w:t>（2）发包人工作人员不得参加承包人安排的超标准宴请和娱乐活动；不得接受承包人提供的通讯工具、交通工具和高档办公用品等。</w:t>
      </w:r>
    </w:p>
    <w:p w14:paraId="4788133B">
      <w:pPr>
        <w:spacing w:line="360" w:lineRule="auto"/>
        <w:ind w:firstLine="420" w:firstLineChars="200"/>
        <w:rPr>
          <w:rFonts w:ascii="宋体" w:hAnsi="宋体"/>
          <w:szCs w:val="21"/>
          <w:highlight w:val="none"/>
        </w:rPr>
      </w:pPr>
      <w:r>
        <w:rPr>
          <w:rFonts w:hint="eastAsia" w:ascii="宋体" w:hAnsi="宋体"/>
          <w:szCs w:val="21"/>
          <w:highlight w:val="none"/>
        </w:rPr>
        <w:t>（3）发包人及其工作人员不得要求或者接受承包人为其住房装修、婚丧嫁娶活动、配偶子女的工作安排以及出国出境、旅游等提供方便等。</w:t>
      </w:r>
    </w:p>
    <w:p w14:paraId="39FA8485">
      <w:pPr>
        <w:spacing w:line="360" w:lineRule="auto"/>
        <w:ind w:firstLine="420" w:firstLineChars="200"/>
        <w:rPr>
          <w:rFonts w:ascii="宋体" w:hAnsi="宋体"/>
          <w:szCs w:val="21"/>
          <w:highlight w:val="none"/>
        </w:rPr>
      </w:pPr>
      <w:r>
        <w:rPr>
          <w:rFonts w:hint="eastAsia" w:ascii="宋体" w:hAnsi="宋体"/>
          <w:szCs w:val="21"/>
          <w:highlight w:val="none"/>
        </w:rPr>
        <w:t>（4）发包人工作人员及其配偶、子女不得从事与发包人工程有关的材料设备供应、工程分包、劳务等经济活动等。</w:t>
      </w:r>
    </w:p>
    <w:p w14:paraId="4F0ADC79">
      <w:pPr>
        <w:spacing w:line="360" w:lineRule="auto"/>
        <w:ind w:firstLine="420" w:firstLineChars="200"/>
        <w:rPr>
          <w:rFonts w:ascii="宋体" w:hAnsi="宋体"/>
          <w:szCs w:val="21"/>
          <w:highlight w:val="none"/>
        </w:rPr>
      </w:pPr>
      <w:r>
        <w:rPr>
          <w:rFonts w:hint="eastAsia" w:ascii="宋体" w:hAnsi="宋体"/>
          <w:szCs w:val="21"/>
          <w:highlight w:val="none"/>
        </w:rPr>
        <w:t>（5）发包人及其工作人员不得以任何理由向承包人推荐分包单位或推销材料，不得要求承包人购买合同规定外的材料和设备。</w:t>
      </w:r>
    </w:p>
    <w:p w14:paraId="66EB5F91">
      <w:pPr>
        <w:spacing w:line="360" w:lineRule="auto"/>
        <w:ind w:firstLine="420" w:firstLineChars="200"/>
        <w:rPr>
          <w:rFonts w:ascii="宋体" w:hAnsi="宋体"/>
          <w:szCs w:val="21"/>
          <w:highlight w:val="none"/>
        </w:rPr>
      </w:pPr>
      <w:r>
        <w:rPr>
          <w:rFonts w:hint="eastAsia" w:ascii="宋体" w:hAnsi="宋体"/>
          <w:szCs w:val="21"/>
          <w:highlight w:val="none"/>
        </w:rPr>
        <w:t>（6）发包人工作人员要秉公办事，不准营私舞弊，不准利用职权从事各种个人有偿中介活动和安排个人施工队伍。</w:t>
      </w:r>
    </w:p>
    <w:p w14:paraId="137D7C5A">
      <w:pPr>
        <w:spacing w:line="360" w:lineRule="auto"/>
        <w:ind w:firstLine="420" w:firstLineChars="200"/>
        <w:rPr>
          <w:rFonts w:ascii="宋体" w:hAnsi="宋体"/>
          <w:szCs w:val="21"/>
          <w:highlight w:val="none"/>
        </w:rPr>
      </w:pPr>
      <w:r>
        <w:rPr>
          <w:rFonts w:hint="eastAsia" w:ascii="宋体" w:hAnsi="宋体"/>
          <w:szCs w:val="21"/>
          <w:highlight w:val="none"/>
        </w:rPr>
        <w:t>3. 承包人义务</w:t>
      </w:r>
    </w:p>
    <w:p w14:paraId="75904EA3">
      <w:pPr>
        <w:spacing w:line="360" w:lineRule="auto"/>
        <w:ind w:firstLine="420" w:firstLineChars="200"/>
        <w:rPr>
          <w:rFonts w:ascii="宋体" w:hAnsi="宋体"/>
          <w:szCs w:val="21"/>
          <w:highlight w:val="none"/>
        </w:rPr>
      </w:pPr>
      <w:r>
        <w:rPr>
          <w:rFonts w:hint="eastAsia" w:ascii="宋体" w:hAnsi="宋体"/>
          <w:szCs w:val="21"/>
          <w:highlight w:val="none"/>
        </w:rPr>
        <w:t>（1）承包人不得以任何理由向发包人及其工作人员行贿或馈赠礼金、有价证券、贵重礼品。</w:t>
      </w:r>
    </w:p>
    <w:p w14:paraId="68B6D351">
      <w:pPr>
        <w:spacing w:line="360" w:lineRule="auto"/>
        <w:ind w:firstLine="420" w:firstLineChars="200"/>
        <w:rPr>
          <w:rFonts w:ascii="宋体" w:hAnsi="宋体"/>
          <w:szCs w:val="21"/>
          <w:highlight w:val="none"/>
        </w:rPr>
      </w:pPr>
      <w:r>
        <w:rPr>
          <w:rFonts w:hint="eastAsia" w:ascii="宋体" w:hAnsi="宋体"/>
          <w:szCs w:val="21"/>
          <w:highlight w:val="none"/>
        </w:rPr>
        <w:t>（2）承包人不得以任何名义为发包人及其工作人员报销应由发包人单位或个人支付的任何费用。</w:t>
      </w:r>
    </w:p>
    <w:p w14:paraId="4563376E">
      <w:pPr>
        <w:spacing w:line="360" w:lineRule="auto"/>
        <w:ind w:firstLine="420" w:firstLineChars="200"/>
        <w:rPr>
          <w:rFonts w:ascii="宋体" w:hAnsi="宋体"/>
          <w:szCs w:val="21"/>
          <w:highlight w:val="none"/>
        </w:rPr>
      </w:pPr>
      <w:r>
        <w:rPr>
          <w:rFonts w:hint="eastAsia" w:ascii="宋体" w:hAnsi="宋体"/>
          <w:szCs w:val="21"/>
          <w:highlight w:val="none"/>
        </w:rPr>
        <w:t>（3）承包人不得以任何理由安排发包人工作人员参加超标准宴请及娱乐活动。</w:t>
      </w:r>
    </w:p>
    <w:p w14:paraId="39E22198">
      <w:pPr>
        <w:spacing w:line="360" w:lineRule="auto"/>
        <w:ind w:firstLine="420" w:firstLineChars="200"/>
        <w:rPr>
          <w:rFonts w:ascii="宋体" w:hAnsi="宋体"/>
          <w:szCs w:val="21"/>
          <w:highlight w:val="none"/>
        </w:rPr>
      </w:pPr>
      <w:r>
        <w:rPr>
          <w:rFonts w:hint="eastAsia" w:ascii="宋体" w:hAnsi="宋体"/>
          <w:szCs w:val="21"/>
          <w:highlight w:val="none"/>
        </w:rPr>
        <w:t>（4）承包人不得为发包人单位和个人购置或提供通讯工具、交通工具和高档办公用品等。</w:t>
      </w:r>
    </w:p>
    <w:p w14:paraId="47B40BCE">
      <w:pPr>
        <w:spacing w:line="360" w:lineRule="auto"/>
        <w:ind w:firstLine="420" w:firstLineChars="200"/>
        <w:rPr>
          <w:rFonts w:ascii="宋体" w:hAnsi="宋体"/>
          <w:szCs w:val="21"/>
          <w:highlight w:val="none"/>
        </w:rPr>
      </w:pPr>
      <w:r>
        <w:rPr>
          <w:rFonts w:hint="eastAsia" w:ascii="宋体" w:hAnsi="宋体"/>
          <w:szCs w:val="21"/>
          <w:highlight w:val="none"/>
        </w:rPr>
        <w:t>4. 违约责任</w:t>
      </w:r>
    </w:p>
    <w:p w14:paraId="40CF2ACD">
      <w:pPr>
        <w:spacing w:line="360" w:lineRule="auto"/>
        <w:ind w:firstLine="420" w:firstLineChars="200"/>
        <w:rPr>
          <w:rFonts w:ascii="宋体" w:hAnsi="宋体"/>
          <w:szCs w:val="21"/>
          <w:highlight w:val="none"/>
        </w:rPr>
      </w:pPr>
      <w:r>
        <w:rPr>
          <w:rFonts w:hint="eastAsia" w:ascii="宋体" w:hAnsi="宋体"/>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0ABBD955">
      <w:pPr>
        <w:spacing w:line="360" w:lineRule="auto"/>
        <w:ind w:firstLine="420" w:firstLineChars="200"/>
        <w:rPr>
          <w:rFonts w:ascii="宋体" w:hAnsi="宋体"/>
          <w:szCs w:val="21"/>
          <w:highlight w:val="none"/>
        </w:rPr>
      </w:pPr>
      <w:r>
        <w:rPr>
          <w:rFonts w:hint="eastAsia" w:ascii="宋体" w:hAnsi="宋体"/>
          <w:szCs w:val="21"/>
          <w:highlight w:val="none"/>
        </w:rPr>
        <w:t>（2）承包人及其工作人员违反合同第1、3条，按管理权限，依据有关规定给予党纪、政纪或组织处理；给发包人单位造成经济损失的，应予以赔偿。</w:t>
      </w:r>
    </w:p>
    <w:p w14:paraId="5369F557">
      <w:pPr>
        <w:spacing w:line="360" w:lineRule="auto"/>
        <w:ind w:firstLine="420" w:firstLineChars="200"/>
        <w:rPr>
          <w:rFonts w:ascii="宋体" w:hAnsi="宋体"/>
          <w:szCs w:val="21"/>
          <w:highlight w:val="none"/>
        </w:rPr>
      </w:pPr>
      <w:r>
        <w:rPr>
          <w:rFonts w:hint="eastAsia" w:ascii="宋体" w:hAnsi="宋体"/>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034D3F15">
      <w:pPr>
        <w:spacing w:line="360" w:lineRule="auto"/>
        <w:ind w:firstLine="420" w:firstLineChars="200"/>
        <w:rPr>
          <w:rFonts w:ascii="宋体" w:hAnsi="宋体"/>
          <w:szCs w:val="21"/>
          <w:highlight w:val="none"/>
        </w:rPr>
      </w:pPr>
      <w:r>
        <w:rPr>
          <w:rFonts w:hint="eastAsia" w:ascii="宋体" w:hAnsi="宋体"/>
          <w:szCs w:val="21"/>
          <w:highlight w:val="none"/>
        </w:rPr>
        <w:t>6. 协议有效期为甲乙双方签署之日起至该工程项目竣工验收后止。</w:t>
      </w:r>
    </w:p>
    <w:p w14:paraId="0F4A0965">
      <w:pPr>
        <w:spacing w:line="360" w:lineRule="auto"/>
        <w:ind w:firstLine="420" w:firstLineChars="200"/>
        <w:rPr>
          <w:rFonts w:ascii="宋体" w:hAnsi="宋体"/>
          <w:szCs w:val="21"/>
          <w:highlight w:val="none"/>
        </w:rPr>
      </w:pPr>
      <w:r>
        <w:rPr>
          <w:rFonts w:hint="eastAsia" w:ascii="宋体" w:hAnsi="宋体"/>
          <w:szCs w:val="21"/>
          <w:highlight w:val="none"/>
        </w:rPr>
        <w:t>7.协议作为 工程施工合同的附件，与工程施工合同具有同等的法律效力，经合同双方签署立即生效。</w:t>
      </w:r>
    </w:p>
    <w:p w14:paraId="22874304">
      <w:pPr>
        <w:spacing w:line="360" w:lineRule="auto"/>
        <w:ind w:firstLine="420" w:firstLineChars="200"/>
        <w:rPr>
          <w:rFonts w:ascii="宋体" w:hAnsi="宋体"/>
          <w:szCs w:val="21"/>
          <w:highlight w:val="none"/>
        </w:rPr>
      </w:pPr>
      <w:r>
        <w:rPr>
          <w:rFonts w:hint="eastAsia" w:ascii="宋体" w:hAnsi="宋体"/>
          <w:szCs w:val="21"/>
          <w:highlight w:val="none"/>
        </w:rPr>
        <w:t>（以下无正文）</w:t>
      </w:r>
    </w:p>
    <w:p w14:paraId="1665241A">
      <w:pPr>
        <w:spacing w:line="360" w:lineRule="auto"/>
        <w:rPr>
          <w:rFonts w:ascii="宋体" w:hAnsi="宋体"/>
          <w:szCs w:val="21"/>
          <w:highlight w:val="none"/>
        </w:rPr>
      </w:pPr>
    </w:p>
    <w:p w14:paraId="7465C39F">
      <w:pPr>
        <w:pStyle w:val="2"/>
        <w:spacing w:line="360" w:lineRule="auto"/>
        <w:rPr>
          <w:rFonts w:ascii="宋体" w:hAnsi="宋体"/>
          <w:szCs w:val="21"/>
          <w:highlight w:val="none"/>
        </w:rPr>
      </w:pPr>
    </w:p>
    <w:p w14:paraId="156E11ED">
      <w:pPr>
        <w:pStyle w:val="2"/>
        <w:spacing w:line="360" w:lineRule="auto"/>
        <w:rPr>
          <w:rFonts w:ascii="宋体" w:hAnsi="宋体"/>
          <w:szCs w:val="21"/>
          <w:highlight w:val="none"/>
        </w:rPr>
      </w:pPr>
    </w:p>
    <w:p w14:paraId="3AC4FCB0">
      <w:pPr>
        <w:spacing w:line="360" w:lineRule="auto"/>
        <w:rPr>
          <w:rFonts w:ascii="宋体" w:hAnsi="宋体"/>
          <w:szCs w:val="21"/>
          <w:highlight w:val="none"/>
        </w:rPr>
      </w:pPr>
      <w:r>
        <w:rPr>
          <w:rFonts w:hint="eastAsia" w:ascii="宋体" w:hAnsi="宋体"/>
          <w:szCs w:val="21"/>
          <w:highlight w:val="none"/>
        </w:rPr>
        <w:t>甲     方：                         乙     方：</w:t>
      </w:r>
    </w:p>
    <w:p w14:paraId="3BBDEC46">
      <w:pPr>
        <w:spacing w:line="360" w:lineRule="auto"/>
        <w:rPr>
          <w:rFonts w:ascii="宋体" w:hAnsi="宋体"/>
          <w:szCs w:val="21"/>
          <w:highlight w:val="none"/>
        </w:rPr>
      </w:pPr>
    </w:p>
    <w:p w14:paraId="4435E067">
      <w:pPr>
        <w:spacing w:line="360" w:lineRule="auto"/>
        <w:rPr>
          <w:rFonts w:ascii="宋体" w:hAnsi="宋体"/>
          <w:szCs w:val="21"/>
          <w:highlight w:val="none"/>
        </w:rPr>
      </w:pPr>
    </w:p>
    <w:p w14:paraId="26CDA477">
      <w:pPr>
        <w:spacing w:line="360" w:lineRule="auto"/>
        <w:rPr>
          <w:rFonts w:ascii="宋体" w:hAnsi="宋体"/>
          <w:szCs w:val="21"/>
          <w:highlight w:val="none"/>
        </w:rPr>
      </w:pPr>
      <w:r>
        <w:rPr>
          <w:rFonts w:hint="eastAsia" w:ascii="宋体" w:hAnsi="宋体"/>
          <w:szCs w:val="21"/>
          <w:highlight w:val="none"/>
        </w:rPr>
        <w:t xml:space="preserve">法定代表人                          法定代表人                      </w:t>
      </w:r>
    </w:p>
    <w:p w14:paraId="0B30C197">
      <w:pPr>
        <w:spacing w:line="360" w:lineRule="auto"/>
        <w:rPr>
          <w:rFonts w:ascii="宋体" w:hAnsi="宋体"/>
          <w:szCs w:val="21"/>
          <w:highlight w:val="none"/>
        </w:rPr>
      </w:pPr>
    </w:p>
    <w:p w14:paraId="4C55F7BC">
      <w:pPr>
        <w:spacing w:line="360" w:lineRule="auto"/>
        <w:rPr>
          <w:rFonts w:ascii="宋体" w:hAnsi="宋体"/>
          <w:szCs w:val="21"/>
          <w:highlight w:val="none"/>
        </w:rPr>
      </w:pPr>
    </w:p>
    <w:p w14:paraId="11644168">
      <w:pPr>
        <w:spacing w:line="360" w:lineRule="auto"/>
        <w:rPr>
          <w:rFonts w:ascii="宋体" w:hAnsi="宋体"/>
          <w:szCs w:val="21"/>
          <w:highlight w:val="none"/>
        </w:rPr>
      </w:pPr>
      <w:r>
        <w:rPr>
          <w:rFonts w:hint="eastAsia" w:ascii="宋体" w:hAnsi="宋体"/>
          <w:szCs w:val="21"/>
          <w:highlight w:val="none"/>
        </w:rPr>
        <w:t>或其授权的代理人：                  或授权的代理人：</w:t>
      </w:r>
    </w:p>
    <w:p w14:paraId="5C699C9C">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附件</w:t>
      </w:r>
      <w:r>
        <w:rPr>
          <w:rFonts w:ascii="宋体" w:hAnsi="宋体"/>
          <w:szCs w:val="21"/>
          <w:highlight w:val="none"/>
        </w:rPr>
        <w:t>9</w:t>
      </w:r>
      <w:r>
        <w:rPr>
          <w:rFonts w:hint="eastAsia" w:ascii="宋体" w:hAnsi="宋体"/>
          <w:szCs w:val="21"/>
          <w:highlight w:val="none"/>
        </w:rPr>
        <w:t>：</w:t>
      </w:r>
    </w:p>
    <w:p w14:paraId="41885E22">
      <w:pPr>
        <w:spacing w:before="156" w:beforeLines="50" w:after="156" w:afterLines="50" w:line="480" w:lineRule="auto"/>
        <w:jc w:val="center"/>
        <w:rPr>
          <w:rFonts w:ascii="宋体" w:hAnsi="宋体"/>
          <w:szCs w:val="21"/>
          <w:highlight w:val="none"/>
        </w:rPr>
      </w:pPr>
      <w:bookmarkStart w:id="1987" w:name="_Toc247431422"/>
      <w:bookmarkStart w:id="1988" w:name="_Toc336680145"/>
      <w:bookmarkStart w:id="1989" w:name="_Toc239510288"/>
      <w:bookmarkStart w:id="1990" w:name="_Toc435689499"/>
      <w:bookmarkStart w:id="1991" w:name="_Toc448406299"/>
      <w:bookmarkStart w:id="1992" w:name="_Toc435690184"/>
      <w:r>
        <w:rPr>
          <w:rFonts w:hint="eastAsia" w:ascii="宋体" w:hAnsi="宋体"/>
          <w:szCs w:val="21"/>
          <w:highlight w:val="none"/>
        </w:rPr>
        <w:t>安全管理协议</w:t>
      </w:r>
      <w:bookmarkEnd w:id="1987"/>
      <w:bookmarkEnd w:id="1988"/>
      <w:bookmarkEnd w:id="1989"/>
      <w:bookmarkEnd w:id="1990"/>
      <w:bookmarkEnd w:id="1991"/>
      <w:bookmarkEnd w:id="1992"/>
    </w:p>
    <w:p w14:paraId="1877596B">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14:paraId="687A81D1">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14:paraId="5FF75DEE">
      <w:pPr>
        <w:spacing w:line="360" w:lineRule="auto"/>
        <w:ind w:firstLine="420" w:firstLineChars="200"/>
        <w:jc w:val="left"/>
        <w:rPr>
          <w:rFonts w:ascii="宋体" w:hAnsi="宋体"/>
          <w:szCs w:val="21"/>
          <w:highlight w:val="none"/>
        </w:rPr>
      </w:pPr>
      <w:r>
        <w:rPr>
          <w:rFonts w:hint="eastAsia" w:ascii="宋体" w:hAnsi="宋体"/>
          <w:szCs w:val="21"/>
          <w:highlight w:val="none"/>
        </w:rPr>
        <w:t>为了确保实现</w:t>
      </w:r>
      <w:r>
        <w:rPr>
          <w:rFonts w:hint="eastAsia" w:ascii="宋体" w:hAnsi="宋体"/>
          <w:szCs w:val="21"/>
          <w:highlight w:val="none"/>
          <w:u w:val="single"/>
        </w:rPr>
        <w:t xml:space="preserve">        </w:t>
      </w:r>
      <w:r>
        <w:rPr>
          <w:rFonts w:hint="eastAsia" w:ascii="宋体" w:hAnsi="宋体"/>
          <w:szCs w:val="21"/>
          <w:highlight w:val="none"/>
        </w:rPr>
        <w:t>安全生产目标，进一步明确双方的安全管理责任，加强安全生产管理工作的协调、管理力度，</w:t>
      </w:r>
      <w:r>
        <w:rPr>
          <w:rFonts w:hint="eastAsia" w:ascii="宋体" w:hAnsi="宋体"/>
          <w:szCs w:val="21"/>
          <w:highlight w:val="none"/>
          <w:u w:val="single"/>
        </w:rPr>
        <w:t xml:space="preserve">        </w:t>
      </w:r>
      <w:r>
        <w:rPr>
          <w:rFonts w:hint="eastAsia" w:ascii="宋体" w:hAnsi="宋体"/>
          <w:szCs w:val="21"/>
          <w:highlight w:val="none"/>
        </w:rPr>
        <w:t>（以下简称“发包人”）与</w:t>
      </w:r>
      <w:r>
        <w:rPr>
          <w:rFonts w:hint="eastAsia" w:ascii="宋体" w:hAnsi="宋体"/>
          <w:szCs w:val="21"/>
          <w:highlight w:val="none"/>
          <w:u w:val="single"/>
        </w:rPr>
        <w:t xml:space="preserve">        </w:t>
      </w:r>
      <w:r>
        <w:rPr>
          <w:rFonts w:hint="eastAsia" w:ascii="宋体" w:hAnsi="宋体"/>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9B5200B">
      <w:pPr>
        <w:spacing w:line="360" w:lineRule="auto"/>
        <w:ind w:firstLine="420" w:firstLineChars="200"/>
        <w:rPr>
          <w:rFonts w:ascii="宋体" w:hAnsi="宋体"/>
          <w:szCs w:val="21"/>
          <w:highlight w:val="none"/>
        </w:rPr>
      </w:pPr>
      <w:bookmarkStart w:id="1993" w:name="_Toc247431423"/>
      <w:bookmarkStart w:id="1994" w:name="_Toc247418263"/>
      <w:bookmarkStart w:id="1995" w:name="_Toc532375700"/>
      <w:bookmarkStart w:id="1996" w:name="_Toc239510289"/>
      <w:r>
        <w:rPr>
          <w:rFonts w:hint="eastAsia" w:ascii="宋体" w:hAnsi="宋体"/>
          <w:szCs w:val="21"/>
          <w:highlight w:val="none"/>
        </w:rPr>
        <w:t>一、协议有效期限</w:t>
      </w:r>
      <w:bookmarkEnd w:id="1993"/>
      <w:bookmarkEnd w:id="1994"/>
      <w:bookmarkEnd w:id="1995"/>
      <w:bookmarkEnd w:id="1996"/>
    </w:p>
    <w:p w14:paraId="52635761">
      <w:pPr>
        <w:spacing w:line="360" w:lineRule="auto"/>
        <w:ind w:firstLine="420" w:firstLineChars="200"/>
        <w:jc w:val="left"/>
        <w:rPr>
          <w:rFonts w:ascii="宋体" w:hAnsi="宋体"/>
          <w:szCs w:val="21"/>
          <w:highlight w:val="none"/>
        </w:rPr>
      </w:pPr>
      <w:r>
        <w:rPr>
          <w:rFonts w:hint="eastAsia" w:ascii="宋体" w:hAnsi="宋体"/>
          <w:szCs w:val="21"/>
          <w:highlight w:val="none"/>
        </w:rPr>
        <w:t>本协议中所涉及的安全管理责任自合同签订之日起开始生效，至合同工程全部完工验收且经发包人与承包人签订移交协议生效后之日终止。</w:t>
      </w:r>
    </w:p>
    <w:p w14:paraId="6791415C">
      <w:pPr>
        <w:spacing w:line="360" w:lineRule="auto"/>
        <w:ind w:firstLine="420" w:firstLineChars="200"/>
        <w:rPr>
          <w:rFonts w:ascii="宋体" w:hAnsi="宋体"/>
          <w:szCs w:val="21"/>
          <w:highlight w:val="none"/>
        </w:rPr>
      </w:pPr>
      <w:bookmarkStart w:id="1997" w:name="_Toc532375701"/>
      <w:bookmarkStart w:id="1998" w:name="_Toc239510290"/>
      <w:bookmarkStart w:id="1999" w:name="_Toc247418264"/>
      <w:bookmarkStart w:id="2000" w:name="_Toc247431424"/>
      <w:r>
        <w:rPr>
          <w:rFonts w:hint="eastAsia" w:ascii="宋体" w:hAnsi="宋体"/>
          <w:szCs w:val="21"/>
          <w:highlight w:val="none"/>
        </w:rPr>
        <w:t>二、责任目标</w:t>
      </w:r>
      <w:bookmarkEnd w:id="1997"/>
      <w:bookmarkEnd w:id="1998"/>
      <w:bookmarkEnd w:id="1999"/>
      <w:bookmarkEnd w:id="2000"/>
    </w:p>
    <w:p w14:paraId="1ADFF4F8">
      <w:pPr>
        <w:spacing w:line="360" w:lineRule="auto"/>
        <w:ind w:firstLine="420" w:firstLineChars="200"/>
        <w:jc w:val="left"/>
        <w:rPr>
          <w:rFonts w:ascii="宋体" w:hAnsi="宋体"/>
          <w:szCs w:val="21"/>
          <w:highlight w:val="none"/>
        </w:rPr>
      </w:pPr>
      <w:r>
        <w:rPr>
          <w:rFonts w:hint="eastAsia" w:ascii="宋体" w:hAnsi="宋体"/>
          <w:szCs w:val="21"/>
          <w:highlight w:val="none"/>
        </w:rPr>
        <w:t>（一）承包人承诺承担和履行合同和发包人所规定的安全责任，且满足要求。</w:t>
      </w:r>
    </w:p>
    <w:p w14:paraId="295FB568">
      <w:pPr>
        <w:spacing w:line="360" w:lineRule="auto"/>
        <w:ind w:firstLine="420" w:firstLineChars="200"/>
        <w:jc w:val="left"/>
        <w:rPr>
          <w:rFonts w:ascii="宋体" w:hAnsi="宋体"/>
          <w:szCs w:val="21"/>
          <w:highlight w:val="none"/>
        </w:rPr>
      </w:pPr>
      <w:r>
        <w:rPr>
          <w:rFonts w:hint="eastAsia" w:ascii="宋体" w:hAnsi="宋体"/>
          <w:szCs w:val="21"/>
          <w:highlight w:val="none"/>
        </w:rPr>
        <w:t>（二）承包人的安全控制目标是确保本工程在实施过程中：</w:t>
      </w:r>
    </w:p>
    <w:p w14:paraId="0D6F1CB9">
      <w:pPr>
        <w:spacing w:line="360" w:lineRule="auto"/>
        <w:ind w:firstLine="420" w:firstLineChars="200"/>
        <w:jc w:val="left"/>
        <w:rPr>
          <w:rFonts w:ascii="宋体" w:hAnsi="宋体"/>
          <w:szCs w:val="21"/>
          <w:highlight w:val="none"/>
        </w:rPr>
      </w:pPr>
      <w:r>
        <w:rPr>
          <w:rFonts w:hint="eastAsia" w:ascii="宋体" w:hAnsi="宋体"/>
          <w:szCs w:val="21"/>
          <w:highlight w:val="none"/>
        </w:rPr>
        <w:t>1．不发生人身重伤事故；</w:t>
      </w:r>
    </w:p>
    <w:p w14:paraId="7C71E93E">
      <w:pPr>
        <w:spacing w:line="360" w:lineRule="auto"/>
        <w:ind w:firstLine="420" w:firstLineChars="200"/>
        <w:jc w:val="left"/>
        <w:rPr>
          <w:rFonts w:ascii="宋体" w:hAnsi="宋体"/>
          <w:szCs w:val="21"/>
          <w:highlight w:val="none"/>
        </w:rPr>
      </w:pPr>
      <w:r>
        <w:rPr>
          <w:rFonts w:hint="eastAsia" w:ascii="宋体" w:hAnsi="宋体"/>
          <w:szCs w:val="21"/>
          <w:highlight w:val="none"/>
        </w:rPr>
        <w:t>2．不发生火灾事故；</w:t>
      </w:r>
    </w:p>
    <w:p w14:paraId="15B0F5A3">
      <w:pPr>
        <w:spacing w:line="360" w:lineRule="auto"/>
        <w:ind w:firstLine="420" w:firstLineChars="200"/>
        <w:jc w:val="left"/>
        <w:rPr>
          <w:rFonts w:ascii="宋体" w:hAnsi="宋体"/>
          <w:szCs w:val="21"/>
          <w:highlight w:val="none"/>
        </w:rPr>
      </w:pPr>
      <w:r>
        <w:rPr>
          <w:rFonts w:hint="eastAsia" w:ascii="宋体" w:hAnsi="宋体"/>
          <w:szCs w:val="21"/>
          <w:highlight w:val="none"/>
        </w:rPr>
        <w:t>3．不发生负有同等及以上事故责任的造成人身重伤的一般交通事故；</w:t>
      </w:r>
    </w:p>
    <w:p w14:paraId="0DE35588">
      <w:pPr>
        <w:spacing w:line="360" w:lineRule="auto"/>
        <w:ind w:firstLine="420" w:firstLineChars="200"/>
        <w:jc w:val="left"/>
        <w:rPr>
          <w:rFonts w:ascii="宋体" w:hAnsi="宋体"/>
          <w:szCs w:val="21"/>
          <w:highlight w:val="none"/>
        </w:rPr>
      </w:pPr>
      <w:r>
        <w:rPr>
          <w:rFonts w:hint="eastAsia" w:ascii="宋体" w:hAnsi="宋体"/>
          <w:szCs w:val="21"/>
          <w:highlight w:val="none"/>
        </w:rPr>
        <w:t>4．不发生集体食物中毒事件（同时5人及以上的食物中毒）；</w:t>
      </w:r>
    </w:p>
    <w:p w14:paraId="4EC749CC">
      <w:pPr>
        <w:spacing w:line="360" w:lineRule="auto"/>
        <w:ind w:firstLine="420" w:firstLineChars="200"/>
        <w:jc w:val="left"/>
        <w:rPr>
          <w:rFonts w:ascii="宋体" w:hAnsi="宋体"/>
          <w:szCs w:val="21"/>
          <w:highlight w:val="none"/>
        </w:rPr>
      </w:pPr>
      <w:r>
        <w:rPr>
          <w:rFonts w:hint="eastAsia" w:ascii="宋体" w:hAnsi="宋体"/>
          <w:szCs w:val="21"/>
          <w:highlight w:val="none"/>
        </w:rPr>
        <w:t>5．不发生流行性传染病 （无甲型传染病、其他常见传染病未形成多人同时患病）；</w:t>
      </w:r>
    </w:p>
    <w:p w14:paraId="46D8BCBE">
      <w:pPr>
        <w:spacing w:line="360" w:lineRule="auto"/>
        <w:ind w:firstLine="420" w:firstLineChars="200"/>
        <w:jc w:val="left"/>
        <w:rPr>
          <w:rFonts w:ascii="宋体" w:hAnsi="宋体"/>
          <w:szCs w:val="21"/>
          <w:highlight w:val="none"/>
        </w:rPr>
      </w:pPr>
      <w:r>
        <w:rPr>
          <w:rFonts w:hint="eastAsia" w:ascii="宋体" w:hAnsi="宋体"/>
          <w:szCs w:val="21"/>
          <w:highlight w:val="none"/>
        </w:rPr>
        <w:t>6．不发生重大环境污染事件（生活、工业垃圾及其他污染物造成环境污染和大面积水土流失）；</w:t>
      </w:r>
    </w:p>
    <w:p w14:paraId="4F78514F">
      <w:pPr>
        <w:spacing w:line="360" w:lineRule="auto"/>
        <w:ind w:firstLine="420" w:firstLineChars="200"/>
        <w:jc w:val="left"/>
        <w:rPr>
          <w:rFonts w:ascii="宋体" w:hAnsi="宋体"/>
          <w:szCs w:val="21"/>
          <w:highlight w:val="none"/>
        </w:rPr>
      </w:pPr>
      <w:r>
        <w:rPr>
          <w:rFonts w:hint="eastAsia" w:ascii="宋体" w:hAnsi="宋体"/>
          <w:szCs w:val="21"/>
          <w:highlight w:val="none"/>
        </w:rPr>
        <w:t>7．不发生对施工区附近生产、生活造成重大影响的事件（如造成重大设备损坏、重大财产损失、人员伤害等）；</w:t>
      </w:r>
    </w:p>
    <w:p w14:paraId="3EA0B84F">
      <w:pPr>
        <w:spacing w:line="360" w:lineRule="auto"/>
        <w:ind w:firstLine="420" w:firstLineChars="200"/>
        <w:jc w:val="left"/>
        <w:rPr>
          <w:rFonts w:ascii="宋体" w:hAnsi="宋体"/>
          <w:szCs w:val="21"/>
          <w:highlight w:val="none"/>
        </w:rPr>
      </w:pPr>
      <w:r>
        <w:rPr>
          <w:rFonts w:hint="eastAsia" w:ascii="宋体" w:hAnsi="宋体"/>
          <w:szCs w:val="21"/>
          <w:highlight w:val="none"/>
        </w:rPr>
        <w:t>8．不发生治安保卫事件（构成刑事拘留及以上的事件、盗窃直接损失超过1万元人民币的事件）。</w:t>
      </w:r>
    </w:p>
    <w:p w14:paraId="7C3E07E0">
      <w:pPr>
        <w:spacing w:line="360" w:lineRule="auto"/>
        <w:ind w:firstLine="420" w:firstLineChars="200"/>
        <w:jc w:val="left"/>
        <w:rPr>
          <w:rFonts w:ascii="宋体" w:hAnsi="宋体"/>
          <w:szCs w:val="21"/>
          <w:highlight w:val="none"/>
        </w:rPr>
      </w:pPr>
      <w:bookmarkStart w:id="2001" w:name="_Toc247431425"/>
      <w:bookmarkStart w:id="2002" w:name="_Toc247418265"/>
      <w:bookmarkStart w:id="2003" w:name="_Toc239510291"/>
      <w:r>
        <w:rPr>
          <w:rFonts w:hint="eastAsia" w:ascii="宋体" w:hAnsi="宋体"/>
          <w:szCs w:val="21"/>
          <w:highlight w:val="none"/>
        </w:rPr>
        <w:t>（三）承包人承诺在施工中控制以下安全事故的发生：</w:t>
      </w:r>
      <w:bookmarkEnd w:id="2001"/>
      <w:bookmarkEnd w:id="2002"/>
      <w:bookmarkEnd w:id="2003"/>
    </w:p>
    <w:p w14:paraId="65798BA7">
      <w:pPr>
        <w:spacing w:line="360" w:lineRule="auto"/>
        <w:ind w:firstLine="420" w:firstLineChars="200"/>
        <w:jc w:val="left"/>
        <w:rPr>
          <w:rFonts w:ascii="宋体" w:hAnsi="宋体"/>
          <w:szCs w:val="21"/>
          <w:highlight w:val="none"/>
        </w:rPr>
      </w:pPr>
      <w:r>
        <w:rPr>
          <w:rFonts w:hint="eastAsia" w:ascii="宋体" w:hAnsi="宋体"/>
          <w:szCs w:val="21"/>
          <w:highlight w:val="none"/>
        </w:rPr>
        <w:t>1．人员轻伤事故。</w:t>
      </w:r>
    </w:p>
    <w:p w14:paraId="540C09D9">
      <w:pPr>
        <w:spacing w:line="360" w:lineRule="auto"/>
        <w:ind w:firstLine="420" w:firstLineChars="200"/>
        <w:jc w:val="left"/>
        <w:rPr>
          <w:rFonts w:ascii="宋体" w:hAnsi="宋体"/>
          <w:szCs w:val="21"/>
          <w:highlight w:val="none"/>
        </w:rPr>
      </w:pPr>
      <w:r>
        <w:rPr>
          <w:rFonts w:hint="eastAsia" w:ascii="宋体" w:hAnsi="宋体"/>
          <w:szCs w:val="21"/>
          <w:highlight w:val="none"/>
        </w:rPr>
        <w:t>2．负有同等及以上事故责任的人身轻伤交通事故。</w:t>
      </w:r>
    </w:p>
    <w:p w14:paraId="727E1A54">
      <w:pPr>
        <w:spacing w:line="360" w:lineRule="auto"/>
        <w:ind w:firstLine="420" w:firstLineChars="200"/>
        <w:jc w:val="left"/>
        <w:rPr>
          <w:rFonts w:ascii="宋体" w:hAnsi="宋体"/>
          <w:szCs w:val="21"/>
          <w:highlight w:val="none"/>
        </w:rPr>
      </w:pPr>
      <w:r>
        <w:rPr>
          <w:rFonts w:hint="eastAsia" w:ascii="宋体" w:hAnsi="宋体"/>
          <w:szCs w:val="21"/>
          <w:highlight w:val="none"/>
        </w:rPr>
        <w:t>3．其他安全未遂事故和异常事件。</w:t>
      </w:r>
    </w:p>
    <w:p w14:paraId="4BB299BA">
      <w:pPr>
        <w:spacing w:line="360" w:lineRule="auto"/>
        <w:ind w:firstLine="420" w:firstLineChars="200"/>
        <w:rPr>
          <w:rFonts w:ascii="宋体" w:hAnsi="宋体"/>
          <w:szCs w:val="21"/>
          <w:highlight w:val="none"/>
        </w:rPr>
      </w:pPr>
      <w:bookmarkStart w:id="2004" w:name="_Toc532375702"/>
      <w:bookmarkStart w:id="2005" w:name="_Toc239510292"/>
      <w:bookmarkStart w:id="2006" w:name="_Toc247431426"/>
      <w:bookmarkStart w:id="2007" w:name="_Toc247418266"/>
      <w:r>
        <w:rPr>
          <w:rFonts w:hint="eastAsia" w:ascii="宋体" w:hAnsi="宋体"/>
          <w:szCs w:val="21"/>
          <w:highlight w:val="none"/>
        </w:rPr>
        <w:t>三、安全责任</w:t>
      </w:r>
      <w:bookmarkEnd w:id="2004"/>
      <w:bookmarkEnd w:id="2005"/>
      <w:bookmarkEnd w:id="2006"/>
      <w:bookmarkEnd w:id="2007"/>
    </w:p>
    <w:p w14:paraId="3B3DED72">
      <w:pPr>
        <w:spacing w:line="360" w:lineRule="auto"/>
        <w:ind w:firstLine="420" w:firstLineChars="200"/>
        <w:jc w:val="left"/>
        <w:rPr>
          <w:rFonts w:ascii="宋体" w:hAnsi="宋体"/>
          <w:szCs w:val="21"/>
          <w:highlight w:val="none"/>
        </w:rPr>
      </w:pPr>
      <w:r>
        <w:rPr>
          <w:rFonts w:hint="eastAsia" w:ascii="宋体" w:hAnsi="宋体"/>
          <w:szCs w:val="21"/>
          <w:highlight w:val="none"/>
        </w:rPr>
        <w:t>1．承包人负有安全生产的管理责任和直接责任。</w:t>
      </w:r>
    </w:p>
    <w:p w14:paraId="69A4EA80">
      <w:pPr>
        <w:spacing w:line="360" w:lineRule="auto"/>
        <w:ind w:firstLine="420" w:firstLineChars="200"/>
        <w:jc w:val="left"/>
        <w:rPr>
          <w:rFonts w:ascii="宋体" w:hAnsi="宋体"/>
          <w:szCs w:val="21"/>
          <w:highlight w:val="none"/>
        </w:rPr>
      </w:pPr>
      <w:r>
        <w:rPr>
          <w:rFonts w:hint="eastAsia" w:ascii="宋体" w:hAnsi="宋体"/>
          <w:szCs w:val="21"/>
          <w:highlight w:val="none"/>
        </w:rPr>
        <w:t>2．承包人的法人或签署合同的公司总经理或受委托的代理人对合同安全负有全面的领导责任。</w:t>
      </w:r>
    </w:p>
    <w:p w14:paraId="5DA7BD95">
      <w:pPr>
        <w:spacing w:line="360" w:lineRule="auto"/>
        <w:ind w:firstLine="420" w:firstLineChars="200"/>
        <w:jc w:val="left"/>
        <w:rPr>
          <w:rFonts w:ascii="宋体" w:hAnsi="宋体"/>
          <w:szCs w:val="21"/>
          <w:highlight w:val="none"/>
        </w:rPr>
      </w:pPr>
      <w:r>
        <w:rPr>
          <w:rFonts w:hint="eastAsia" w:ascii="宋体" w:hAnsi="宋体"/>
          <w:szCs w:val="21"/>
          <w:highlight w:val="none"/>
        </w:rPr>
        <w:t>3．承包人项目经理对施工现场的安全工作负有全面的直接领导责任。</w:t>
      </w:r>
    </w:p>
    <w:p w14:paraId="64577213">
      <w:pPr>
        <w:spacing w:line="360" w:lineRule="auto"/>
        <w:ind w:firstLine="420" w:firstLineChars="200"/>
        <w:jc w:val="left"/>
        <w:rPr>
          <w:rFonts w:ascii="宋体" w:hAnsi="宋体"/>
          <w:szCs w:val="21"/>
          <w:highlight w:val="none"/>
        </w:rPr>
      </w:pPr>
      <w:r>
        <w:rPr>
          <w:rFonts w:hint="eastAsia" w:ascii="宋体" w:hAnsi="宋体"/>
          <w:szCs w:val="21"/>
          <w:highlight w:val="none"/>
        </w:rPr>
        <w:t>4．承包人保证执行“谁施工、谁负责”的施工安全原则。</w:t>
      </w:r>
    </w:p>
    <w:p w14:paraId="33A1F2B3">
      <w:pPr>
        <w:spacing w:line="360" w:lineRule="auto"/>
        <w:ind w:firstLine="420" w:firstLineChars="200"/>
        <w:jc w:val="left"/>
        <w:rPr>
          <w:rFonts w:ascii="宋体" w:hAnsi="宋体"/>
          <w:szCs w:val="21"/>
          <w:highlight w:val="none"/>
        </w:rPr>
      </w:pPr>
      <w:r>
        <w:rPr>
          <w:rFonts w:hint="eastAsia" w:ascii="宋体" w:hAnsi="宋体"/>
          <w:szCs w:val="21"/>
          <w:highlight w:val="none"/>
        </w:rPr>
        <w:t>5．承包人保证服从发包人对安全工作的统一协调和管理。</w:t>
      </w:r>
    </w:p>
    <w:p w14:paraId="434A3A4B">
      <w:pPr>
        <w:spacing w:line="360" w:lineRule="auto"/>
        <w:ind w:firstLine="420" w:firstLineChars="200"/>
        <w:jc w:val="left"/>
        <w:rPr>
          <w:rFonts w:ascii="宋体" w:hAnsi="宋体"/>
          <w:szCs w:val="21"/>
          <w:highlight w:val="none"/>
        </w:rPr>
      </w:pPr>
      <w:r>
        <w:rPr>
          <w:rFonts w:hint="eastAsia" w:ascii="宋体" w:hAnsi="宋体"/>
          <w:szCs w:val="21"/>
          <w:highlight w:val="none"/>
        </w:rPr>
        <w:t>6．承包人保证对本工程项目安全生产条件及其管理资源自行投入，保证安全资金的专款专用。</w:t>
      </w:r>
    </w:p>
    <w:p w14:paraId="7EDDCC67">
      <w:pPr>
        <w:spacing w:line="360" w:lineRule="auto"/>
        <w:ind w:firstLine="420" w:firstLineChars="200"/>
        <w:jc w:val="left"/>
        <w:rPr>
          <w:rFonts w:ascii="宋体" w:hAnsi="宋体"/>
          <w:szCs w:val="21"/>
          <w:highlight w:val="none"/>
        </w:rPr>
      </w:pPr>
      <w:r>
        <w:rPr>
          <w:rFonts w:hint="eastAsia" w:ascii="宋体" w:hAnsi="宋体"/>
          <w:szCs w:val="21"/>
          <w:highlight w:val="none"/>
        </w:rPr>
        <w:t>7．承包人保证建立本工程项目的安全管理体系及安全保证体系（注：项目安全管理大纲/手册、管理性的程序文件等）。</w:t>
      </w:r>
    </w:p>
    <w:p w14:paraId="5ECE4A77">
      <w:pPr>
        <w:spacing w:line="360" w:lineRule="auto"/>
        <w:ind w:firstLine="420" w:firstLineChars="200"/>
        <w:jc w:val="left"/>
        <w:rPr>
          <w:rFonts w:ascii="宋体" w:hAnsi="宋体"/>
          <w:szCs w:val="21"/>
          <w:highlight w:val="none"/>
        </w:rPr>
      </w:pPr>
      <w:r>
        <w:rPr>
          <w:rFonts w:hint="eastAsia" w:ascii="宋体" w:hAnsi="宋体"/>
          <w:szCs w:val="21"/>
          <w:highlight w:val="none"/>
        </w:rPr>
        <w:t>8．承包人保证现场的安全管理专职人员必须持有建设主管部门安全生产培训考核合格证书。</w:t>
      </w:r>
    </w:p>
    <w:p w14:paraId="15E55ABC">
      <w:pPr>
        <w:spacing w:line="360" w:lineRule="auto"/>
        <w:ind w:firstLine="420" w:firstLineChars="200"/>
        <w:jc w:val="left"/>
        <w:rPr>
          <w:rFonts w:ascii="宋体" w:hAnsi="宋体"/>
          <w:szCs w:val="21"/>
          <w:highlight w:val="none"/>
        </w:rPr>
      </w:pPr>
      <w:r>
        <w:rPr>
          <w:rFonts w:hint="eastAsia" w:ascii="宋体" w:hAnsi="宋体"/>
          <w:szCs w:val="21"/>
          <w:highlight w:val="none"/>
        </w:rPr>
        <w:t>9．承包人保证为现场所有工作人员（含分包商员工及劳务人员）配备符合国家标准的有承包人和/或其下属分包商标志的个人基本劳动保护用品。</w:t>
      </w:r>
    </w:p>
    <w:p w14:paraId="1F982BDB">
      <w:pPr>
        <w:spacing w:line="360" w:lineRule="auto"/>
        <w:ind w:firstLine="420" w:firstLineChars="200"/>
        <w:jc w:val="left"/>
        <w:rPr>
          <w:rFonts w:ascii="宋体" w:hAnsi="宋体"/>
          <w:szCs w:val="21"/>
          <w:highlight w:val="none"/>
        </w:rPr>
      </w:pPr>
      <w:r>
        <w:rPr>
          <w:rFonts w:hint="eastAsia" w:ascii="宋体" w:hAnsi="宋体"/>
          <w:szCs w:val="21"/>
          <w:highlight w:val="none"/>
        </w:rPr>
        <w:t>10．承包人保证按照国家法律规定为现场所有工作人员（含分包商员工及劳务人员）购买意外伤害保险。</w:t>
      </w:r>
    </w:p>
    <w:p w14:paraId="79C52509">
      <w:pPr>
        <w:spacing w:line="360" w:lineRule="auto"/>
        <w:ind w:firstLine="420" w:firstLineChars="200"/>
        <w:jc w:val="left"/>
        <w:rPr>
          <w:rFonts w:ascii="宋体" w:hAnsi="宋体"/>
          <w:szCs w:val="21"/>
          <w:highlight w:val="none"/>
        </w:rPr>
      </w:pPr>
      <w:r>
        <w:rPr>
          <w:rFonts w:hint="eastAsia" w:ascii="宋体" w:hAnsi="宋体"/>
          <w:szCs w:val="21"/>
          <w:highlight w:val="none"/>
        </w:rPr>
        <w:t>11．承包人保证施工生活营地（包括自建的和租用的营地）满足消防、安全用电、卫生防疫、防暴雨、防雷击等方面的安全要求。</w:t>
      </w:r>
    </w:p>
    <w:p w14:paraId="4E8AD92E">
      <w:pPr>
        <w:spacing w:line="360" w:lineRule="auto"/>
        <w:ind w:firstLine="420" w:firstLineChars="200"/>
        <w:jc w:val="left"/>
        <w:rPr>
          <w:rFonts w:ascii="宋体" w:hAnsi="宋体"/>
          <w:szCs w:val="21"/>
          <w:highlight w:val="none"/>
        </w:rPr>
      </w:pPr>
      <w:r>
        <w:rPr>
          <w:rFonts w:hint="eastAsia" w:ascii="宋体" w:hAnsi="宋体"/>
          <w:szCs w:val="21"/>
          <w:highlight w:val="none"/>
        </w:rPr>
        <w:t>12．承包人保证对带入现场的设备、工具、材料按照国家法规和标准进行检测、试验，并持有法定部门出具的检验证书。</w:t>
      </w:r>
    </w:p>
    <w:p w14:paraId="20F3CDD6">
      <w:pPr>
        <w:spacing w:line="360" w:lineRule="auto"/>
        <w:ind w:firstLine="420" w:firstLineChars="200"/>
        <w:jc w:val="left"/>
        <w:rPr>
          <w:rFonts w:ascii="宋体" w:hAnsi="宋体"/>
          <w:szCs w:val="21"/>
          <w:highlight w:val="none"/>
        </w:rPr>
      </w:pPr>
      <w:r>
        <w:rPr>
          <w:rFonts w:hint="eastAsia" w:ascii="宋体" w:hAnsi="宋体"/>
          <w:szCs w:val="21"/>
          <w:highlight w:val="none"/>
        </w:rPr>
        <w:t>13．承包人保证制订施工现场的文明施工措施，保护环境、树木和植被，保持施工现场的良好秩序和整洁的作业环境。</w:t>
      </w:r>
    </w:p>
    <w:p w14:paraId="0D04CD4C">
      <w:pPr>
        <w:spacing w:line="360" w:lineRule="auto"/>
        <w:ind w:firstLine="420" w:firstLineChars="200"/>
        <w:jc w:val="left"/>
        <w:rPr>
          <w:rFonts w:ascii="宋体" w:hAnsi="宋体"/>
          <w:szCs w:val="21"/>
          <w:highlight w:val="none"/>
        </w:rPr>
      </w:pPr>
      <w:r>
        <w:rPr>
          <w:rFonts w:hint="eastAsia" w:ascii="宋体" w:hAnsi="宋体"/>
          <w:szCs w:val="21"/>
          <w:highlight w:val="none"/>
        </w:rPr>
        <w:t>14．承包人负责在施工过程中与当地政府、周边群众及其他承包商保持良好的沟通和交流。承包人遇到与周边群众发生纠纷时，应负责协调工作，确保工程能够顺利进行。</w:t>
      </w:r>
    </w:p>
    <w:p w14:paraId="736977B8">
      <w:pPr>
        <w:spacing w:line="360" w:lineRule="auto"/>
        <w:ind w:firstLine="420" w:firstLineChars="200"/>
        <w:rPr>
          <w:rFonts w:ascii="宋体" w:hAnsi="宋体"/>
          <w:szCs w:val="21"/>
          <w:highlight w:val="none"/>
        </w:rPr>
      </w:pPr>
      <w:bookmarkStart w:id="2008" w:name="_Toc532375703"/>
      <w:bookmarkStart w:id="2009" w:name="_Toc247431427"/>
      <w:bookmarkStart w:id="2010" w:name="_Toc247418267"/>
      <w:bookmarkStart w:id="2011" w:name="_Toc239510293"/>
      <w:r>
        <w:rPr>
          <w:rFonts w:hint="eastAsia" w:ascii="宋体" w:hAnsi="宋体"/>
          <w:szCs w:val="21"/>
          <w:highlight w:val="none"/>
        </w:rPr>
        <w:t>四、接口及协调</w:t>
      </w:r>
      <w:bookmarkEnd w:id="2008"/>
      <w:bookmarkEnd w:id="2009"/>
      <w:bookmarkEnd w:id="2010"/>
      <w:bookmarkEnd w:id="2011"/>
    </w:p>
    <w:p w14:paraId="4E379692">
      <w:pPr>
        <w:spacing w:line="360" w:lineRule="auto"/>
        <w:ind w:firstLine="420" w:firstLineChars="200"/>
        <w:jc w:val="left"/>
        <w:rPr>
          <w:rFonts w:ascii="宋体" w:hAnsi="宋体"/>
          <w:szCs w:val="21"/>
          <w:highlight w:val="none"/>
        </w:rPr>
      </w:pPr>
      <w:r>
        <w:rPr>
          <w:rFonts w:hint="eastAsia" w:ascii="宋体" w:hAnsi="宋体"/>
          <w:szCs w:val="21"/>
          <w:highlight w:val="none"/>
        </w:rPr>
        <w:t>1．发包人委托监理公司对该工程实施监理，监理公司在安全管理方面代表发包人行使监督检查职能，承包人必须给予配合和支持。</w:t>
      </w:r>
    </w:p>
    <w:p w14:paraId="77064B57">
      <w:pPr>
        <w:spacing w:line="360" w:lineRule="auto"/>
        <w:ind w:firstLine="420" w:firstLineChars="200"/>
        <w:jc w:val="left"/>
        <w:rPr>
          <w:rFonts w:ascii="宋体" w:hAnsi="宋体"/>
          <w:szCs w:val="21"/>
          <w:highlight w:val="none"/>
        </w:rPr>
      </w:pPr>
      <w:r>
        <w:rPr>
          <w:rFonts w:hint="eastAsia" w:ascii="宋体" w:hAnsi="宋体"/>
          <w:szCs w:val="21"/>
          <w:highlight w:val="none"/>
        </w:rPr>
        <w:t>2．承包人人员、车辆的出入，带入现场的设备、机具、材料，在现场使用的或直接管理的办公、生活、生产性设施的安全管理须满足发包人现场管理的基本要求。</w:t>
      </w:r>
    </w:p>
    <w:p w14:paraId="0C972664">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3B39E8FD">
      <w:pPr>
        <w:spacing w:line="360" w:lineRule="auto"/>
        <w:ind w:firstLine="420" w:firstLineChars="200"/>
        <w:jc w:val="left"/>
        <w:rPr>
          <w:rFonts w:ascii="宋体" w:hAnsi="宋体"/>
          <w:szCs w:val="21"/>
          <w:highlight w:val="none"/>
        </w:rPr>
      </w:pPr>
      <w:r>
        <w:rPr>
          <w:rFonts w:hint="eastAsia" w:ascii="宋体" w:hAnsi="宋体"/>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C6D583A">
      <w:pPr>
        <w:spacing w:line="360" w:lineRule="auto"/>
        <w:ind w:firstLine="420" w:firstLineChars="200"/>
        <w:jc w:val="left"/>
        <w:rPr>
          <w:rFonts w:ascii="宋体" w:hAnsi="宋体"/>
          <w:szCs w:val="21"/>
          <w:highlight w:val="none"/>
        </w:rPr>
      </w:pPr>
      <w:r>
        <w:rPr>
          <w:rFonts w:hint="eastAsia" w:ascii="宋体" w:hAnsi="宋体"/>
          <w:szCs w:val="21"/>
          <w:highlight w:val="none"/>
        </w:rPr>
        <w:t>5．承包人指定的专职安全管理人员应与发包人委托的监理公司建立联系，在业务上接受发包人委托的监理公司的协调和指导。</w:t>
      </w:r>
    </w:p>
    <w:p w14:paraId="394EC136">
      <w:pPr>
        <w:spacing w:line="360" w:lineRule="auto"/>
        <w:ind w:firstLine="420" w:firstLineChars="200"/>
        <w:jc w:val="left"/>
        <w:rPr>
          <w:rFonts w:ascii="宋体" w:hAnsi="宋体"/>
          <w:szCs w:val="21"/>
          <w:highlight w:val="none"/>
        </w:rPr>
      </w:pPr>
      <w:r>
        <w:rPr>
          <w:rFonts w:hint="eastAsia" w:ascii="宋体" w:hAnsi="宋体"/>
          <w:szCs w:val="21"/>
          <w:highlight w:val="none"/>
        </w:rPr>
        <w:t>6．开工后承包人的专职安全管理人员应按照发包人委托的监理公司的规定，定期报送安全月度快报、季报、年报和各种专项事故报告等。</w:t>
      </w:r>
    </w:p>
    <w:p w14:paraId="33C85046">
      <w:pPr>
        <w:spacing w:line="360" w:lineRule="auto"/>
        <w:ind w:firstLine="420" w:firstLineChars="200"/>
        <w:jc w:val="left"/>
        <w:rPr>
          <w:rFonts w:ascii="宋体" w:hAnsi="宋体"/>
          <w:szCs w:val="21"/>
          <w:highlight w:val="none"/>
        </w:rPr>
      </w:pPr>
      <w:r>
        <w:rPr>
          <w:rFonts w:hint="eastAsia" w:ascii="宋体" w:hAnsi="宋体"/>
          <w:szCs w:val="21"/>
          <w:highlight w:val="none"/>
        </w:rPr>
        <w:t>7．在工程实体未全部正式移交发包人施工管理部门之前，承包人依旧对施工范围内的安全管理负责。</w:t>
      </w:r>
    </w:p>
    <w:p w14:paraId="6D0A58DA">
      <w:pPr>
        <w:spacing w:line="360" w:lineRule="auto"/>
        <w:ind w:firstLine="420" w:firstLineChars="200"/>
        <w:rPr>
          <w:rFonts w:ascii="宋体" w:hAnsi="宋体"/>
          <w:szCs w:val="21"/>
          <w:highlight w:val="none"/>
        </w:rPr>
      </w:pPr>
      <w:bookmarkStart w:id="2012" w:name="_Toc239510294"/>
      <w:bookmarkStart w:id="2013" w:name="_Toc247431428"/>
      <w:bookmarkStart w:id="2014" w:name="_Toc247418268"/>
      <w:bookmarkStart w:id="2015" w:name="_Toc532375704"/>
      <w:r>
        <w:rPr>
          <w:rFonts w:hint="eastAsia" w:ascii="宋体" w:hAnsi="宋体"/>
          <w:szCs w:val="21"/>
          <w:highlight w:val="none"/>
        </w:rPr>
        <w:t>五、安全资质审查</w:t>
      </w:r>
      <w:bookmarkEnd w:id="2012"/>
      <w:bookmarkEnd w:id="2013"/>
      <w:bookmarkEnd w:id="2014"/>
      <w:bookmarkEnd w:id="2015"/>
    </w:p>
    <w:p w14:paraId="670C708D">
      <w:pPr>
        <w:spacing w:line="360" w:lineRule="auto"/>
        <w:ind w:firstLine="420" w:firstLineChars="200"/>
        <w:jc w:val="left"/>
        <w:rPr>
          <w:rFonts w:ascii="宋体" w:hAnsi="宋体"/>
          <w:szCs w:val="21"/>
          <w:highlight w:val="none"/>
        </w:rPr>
      </w:pPr>
      <w:r>
        <w:rPr>
          <w:rFonts w:hint="eastAsia" w:ascii="宋体" w:hAnsi="宋体"/>
          <w:szCs w:val="21"/>
          <w:highlight w:val="none"/>
        </w:rPr>
        <w:t>承包人在项目开工前5个工作天内向发包人委托的监理公司提供以下安全资质供审查和存档：</w:t>
      </w:r>
    </w:p>
    <w:p w14:paraId="26B3FB5A">
      <w:pPr>
        <w:spacing w:line="360" w:lineRule="auto"/>
        <w:ind w:firstLine="420" w:firstLineChars="200"/>
        <w:jc w:val="left"/>
        <w:rPr>
          <w:rFonts w:ascii="宋体" w:hAnsi="宋体"/>
          <w:szCs w:val="21"/>
          <w:highlight w:val="none"/>
        </w:rPr>
      </w:pPr>
      <w:r>
        <w:rPr>
          <w:rFonts w:hint="eastAsia" w:ascii="宋体" w:hAnsi="宋体"/>
          <w:szCs w:val="21"/>
          <w:highlight w:val="none"/>
        </w:rPr>
        <w:t>1．企业安全生产许可证书复印件。</w:t>
      </w:r>
    </w:p>
    <w:p w14:paraId="501FE787">
      <w:pPr>
        <w:spacing w:line="360" w:lineRule="auto"/>
        <w:ind w:firstLine="420" w:firstLineChars="200"/>
        <w:jc w:val="left"/>
        <w:rPr>
          <w:rFonts w:ascii="宋体" w:hAnsi="宋体"/>
          <w:szCs w:val="21"/>
          <w:highlight w:val="none"/>
        </w:rPr>
      </w:pPr>
      <w:r>
        <w:rPr>
          <w:rFonts w:hint="eastAsia" w:ascii="宋体" w:hAnsi="宋体"/>
          <w:szCs w:val="21"/>
          <w:highlight w:val="none"/>
        </w:rPr>
        <w:t>2．企业近三年的施工简历及安全施工业绩证明文件。</w:t>
      </w:r>
    </w:p>
    <w:p w14:paraId="236973E6">
      <w:pPr>
        <w:spacing w:line="360" w:lineRule="auto"/>
        <w:ind w:firstLine="420" w:firstLineChars="200"/>
        <w:jc w:val="left"/>
        <w:rPr>
          <w:rFonts w:ascii="宋体" w:hAnsi="宋体"/>
          <w:szCs w:val="21"/>
          <w:highlight w:val="none"/>
        </w:rPr>
      </w:pPr>
      <w:r>
        <w:rPr>
          <w:rFonts w:hint="eastAsia" w:ascii="宋体" w:hAnsi="宋体"/>
          <w:szCs w:val="21"/>
          <w:highlight w:val="none"/>
        </w:rPr>
        <w:t>3．企业主要安全管理人员（包括项目经理、专职安全管理人员）经建设主管部门安全生产知识考核合格证书。</w:t>
      </w:r>
    </w:p>
    <w:p w14:paraId="0EFD1AED">
      <w:pPr>
        <w:spacing w:line="360" w:lineRule="auto"/>
        <w:ind w:firstLine="420" w:firstLineChars="200"/>
        <w:jc w:val="left"/>
        <w:rPr>
          <w:rFonts w:ascii="宋体" w:hAnsi="宋体"/>
          <w:szCs w:val="21"/>
          <w:highlight w:val="none"/>
        </w:rPr>
      </w:pPr>
      <w:r>
        <w:rPr>
          <w:rFonts w:hint="eastAsia" w:ascii="宋体" w:hAnsi="宋体"/>
          <w:szCs w:val="21"/>
          <w:highlight w:val="none"/>
        </w:rPr>
        <w:t>4．特种作业人员资格证书。</w:t>
      </w:r>
    </w:p>
    <w:p w14:paraId="334F8FEA">
      <w:pPr>
        <w:spacing w:line="360" w:lineRule="auto"/>
        <w:ind w:firstLine="420" w:firstLineChars="200"/>
        <w:jc w:val="left"/>
        <w:rPr>
          <w:rFonts w:ascii="宋体" w:hAnsi="宋体"/>
          <w:szCs w:val="21"/>
          <w:highlight w:val="none"/>
        </w:rPr>
      </w:pPr>
      <w:r>
        <w:rPr>
          <w:rFonts w:hint="eastAsia" w:ascii="宋体" w:hAnsi="宋体"/>
          <w:szCs w:val="21"/>
          <w:highlight w:val="none"/>
        </w:rPr>
        <w:t>5．项目安全管理机构及其人员配备（承包人必须配有专职的安全员）。</w:t>
      </w:r>
    </w:p>
    <w:p w14:paraId="17993213">
      <w:pPr>
        <w:spacing w:line="360" w:lineRule="auto"/>
        <w:ind w:firstLine="420" w:firstLineChars="200"/>
        <w:jc w:val="left"/>
        <w:rPr>
          <w:rFonts w:ascii="宋体" w:hAnsi="宋体"/>
          <w:szCs w:val="21"/>
          <w:highlight w:val="none"/>
        </w:rPr>
      </w:pPr>
      <w:r>
        <w:rPr>
          <w:rFonts w:hint="eastAsia" w:ascii="宋体" w:hAnsi="宋体"/>
          <w:szCs w:val="21"/>
          <w:highlight w:val="none"/>
        </w:rPr>
        <w:t>6．适用于项目的安全管理体系及保证体系文件（安全管理大纲及管理程序文件）。</w:t>
      </w:r>
    </w:p>
    <w:p w14:paraId="6874FD89">
      <w:pPr>
        <w:spacing w:line="360" w:lineRule="auto"/>
        <w:ind w:firstLine="420" w:firstLineChars="200"/>
        <w:rPr>
          <w:rFonts w:ascii="宋体" w:hAnsi="宋体"/>
          <w:szCs w:val="21"/>
          <w:highlight w:val="none"/>
        </w:rPr>
      </w:pPr>
      <w:bookmarkStart w:id="2016" w:name="_Toc239510295"/>
      <w:bookmarkStart w:id="2017" w:name="_Toc247431429"/>
      <w:bookmarkStart w:id="2018" w:name="_Toc532375705"/>
      <w:bookmarkStart w:id="2019" w:name="_Toc247418269"/>
      <w:r>
        <w:rPr>
          <w:rFonts w:hint="eastAsia" w:ascii="宋体" w:hAnsi="宋体"/>
          <w:szCs w:val="21"/>
          <w:highlight w:val="none"/>
        </w:rPr>
        <w:t>六、人员基本素质</w:t>
      </w:r>
      <w:bookmarkEnd w:id="2016"/>
      <w:bookmarkEnd w:id="2017"/>
      <w:bookmarkEnd w:id="2018"/>
      <w:bookmarkEnd w:id="2019"/>
    </w:p>
    <w:p w14:paraId="758F88A5">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承包人提供的人员必须满足下列要求：</w:t>
      </w:r>
    </w:p>
    <w:p w14:paraId="231939F5">
      <w:pPr>
        <w:spacing w:line="360" w:lineRule="auto"/>
        <w:ind w:firstLine="420" w:firstLineChars="200"/>
        <w:jc w:val="left"/>
        <w:rPr>
          <w:rFonts w:ascii="宋体" w:hAnsi="宋体"/>
          <w:szCs w:val="21"/>
          <w:highlight w:val="none"/>
        </w:rPr>
      </w:pPr>
      <w:r>
        <w:rPr>
          <w:rFonts w:hint="eastAsia" w:ascii="宋体" w:hAnsi="宋体"/>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01C8529">
      <w:pPr>
        <w:spacing w:line="360" w:lineRule="auto"/>
        <w:ind w:firstLine="420" w:firstLineChars="200"/>
        <w:jc w:val="left"/>
        <w:rPr>
          <w:rFonts w:ascii="宋体" w:hAnsi="宋体"/>
          <w:szCs w:val="21"/>
          <w:highlight w:val="none"/>
        </w:rPr>
      </w:pPr>
      <w:r>
        <w:rPr>
          <w:rFonts w:hint="eastAsia" w:ascii="宋体" w:hAnsi="宋体"/>
          <w:szCs w:val="21"/>
          <w:highlight w:val="none"/>
        </w:rPr>
        <w:t>2．无刑事案件牵连。</w:t>
      </w:r>
    </w:p>
    <w:p w14:paraId="0AFBC446">
      <w:pPr>
        <w:spacing w:line="360" w:lineRule="auto"/>
        <w:ind w:firstLine="420" w:firstLineChars="200"/>
        <w:jc w:val="left"/>
        <w:rPr>
          <w:rFonts w:ascii="宋体" w:hAnsi="宋体"/>
          <w:szCs w:val="21"/>
          <w:highlight w:val="none"/>
        </w:rPr>
      </w:pPr>
      <w:r>
        <w:rPr>
          <w:rFonts w:hint="eastAsia" w:ascii="宋体" w:hAnsi="宋体"/>
          <w:szCs w:val="21"/>
          <w:highlight w:val="none"/>
        </w:rPr>
        <w:t>3．无吸毒、酗酒、赌博、嫖娼等恶习及违法行为。</w:t>
      </w:r>
    </w:p>
    <w:p w14:paraId="2C17F01D">
      <w:pPr>
        <w:spacing w:line="360" w:lineRule="auto"/>
        <w:ind w:firstLine="420" w:firstLineChars="200"/>
        <w:rPr>
          <w:rFonts w:ascii="宋体" w:hAnsi="宋体"/>
          <w:szCs w:val="21"/>
          <w:highlight w:val="none"/>
        </w:rPr>
      </w:pPr>
      <w:bookmarkStart w:id="2020" w:name="_Toc247431430"/>
      <w:bookmarkStart w:id="2021" w:name="_Toc239510296"/>
      <w:bookmarkStart w:id="2022" w:name="_Toc247418270"/>
      <w:bookmarkStart w:id="2023" w:name="_Toc532375706"/>
      <w:r>
        <w:rPr>
          <w:rFonts w:hint="eastAsia" w:ascii="宋体" w:hAnsi="宋体"/>
          <w:szCs w:val="21"/>
          <w:highlight w:val="none"/>
        </w:rPr>
        <w:t>七、劳动保护</w:t>
      </w:r>
      <w:bookmarkEnd w:id="2020"/>
      <w:bookmarkEnd w:id="2021"/>
      <w:bookmarkEnd w:id="2022"/>
      <w:bookmarkEnd w:id="2023"/>
    </w:p>
    <w:p w14:paraId="6F99DF11">
      <w:pPr>
        <w:spacing w:line="360" w:lineRule="auto"/>
        <w:ind w:firstLine="420" w:firstLineChars="200"/>
        <w:jc w:val="left"/>
        <w:rPr>
          <w:rFonts w:ascii="宋体" w:hAnsi="宋体"/>
          <w:szCs w:val="21"/>
          <w:highlight w:val="none"/>
        </w:rPr>
      </w:pPr>
      <w:r>
        <w:rPr>
          <w:rFonts w:hint="eastAsia" w:ascii="宋体" w:hAnsi="宋体"/>
          <w:szCs w:val="21"/>
          <w:highlight w:val="none"/>
        </w:rPr>
        <w:t>1．承包人负责为本单位任何用工形式的员工提供个人劳动保护用品（包括工作服、安全帽、安全鞋等）。</w:t>
      </w:r>
    </w:p>
    <w:p w14:paraId="2ACF5C3E">
      <w:pPr>
        <w:spacing w:line="360" w:lineRule="auto"/>
        <w:ind w:firstLine="420" w:firstLineChars="200"/>
        <w:jc w:val="left"/>
        <w:rPr>
          <w:rFonts w:ascii="宋体" w:hAnsi="宋体"/>
          <w:szCs w:val="21"/>
          <w:highlight w:val="none"/>
        </w:rPr>
      </w:pPr>
      <w:r>
        <w:rPr>
          <w:rFonts w:hint="eastAsia" w:ascii="宋体" w:hAnsi="宋体"/>
          <w:szCs w:val="21"/>
          <w:highlight w:val="none"/>
        </w:rPr>
        <w:t>2．承包人负责向特殊工种的员工提供特殊劳动保护，否则不得从事特殊工种作业。</w:t>
      </w:r>
    </w:p>
    <w:p w14:paraId="29921A4D">
      <w:pPr>
        <w:spacing w:line="360" w:lineRule="auto"/>
        <w:ind w:firstLine="420" w:firstLineChars="200"/>
        <w:jc w:val="left"/>
        <w:rPr>
          <w:rFonts w:ascii="宋体" w:hAnsi="宋体"/>
          <w:szCs w:val="21"/>
          <w:highlight w:val="none"/>
        </w:rPr>
      </w:pPr>
      <w:r>
        <w:rPr>
          <w:rFonts w:hint="eastAsia" w:ascii="宋体" w:hAnsi="宋体"/>
          <w:szCs w:val="21"/>
          <w:highlight w:val="none"/>
        </w:rPr>
        <w:t>3．发包人委托的监理公司有权检查承包人的个人劳动保护用品是否符合国家的相应标准。</w:t>
      </w:r>
    </w:p>
    <w:p w14:paraId="3F59D304">
      <w:pPr>
        <w:spacing w:line="360" w:lineRule="auto"/>
        <w:ind w:firstLine="420" w:firstLineChars="200"/>
        <w:jc w:val="left"/>
        <w:rPr>
          <w:rFonts w:ascii="宋体" w:hAnsi="宋体"/>
          <w:szCs w:val="21"/>
          <w:highlight w:val="none"/>
        </w:rPr>
      </w:pPr>
      <w:r>
        <w:rPr>
          <w:rFonts w:hint="eastAsia" w:ascii="宋体" w:hAnsi="宋体"/>
          <w:szCs w:val="21"/>
          <w:highlight w:val="none"/>
        </w:rPr>
        <w:t>4． 承包人在特殊风险场所作业而需要特殊防护用品或安全仪表时，必须在上述防护用品全部到位后才能开工。</w:t>
      </w:r>
    </w:p>
    <w:p w14:paraId="1117008D">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5．承包人应配备临时安全围栏、警示带、警告标志、防火布等集体防护用品。</w:t>
      </w:r>
    </w:p>
    <w:p w14:paraId="7371E980">
      <w:pPr>
        <w:spacing w:line="360" w:lineRule="auto"/>
        <w:ind w:firstLine="420" w:firstLineChars="200"/>
        <w:rPr>
          <w:rFonts w:ascii="宋体" w:hAnsi="宋体"/>
          <w:szCs w:val="21"/>
          <w:highlight w:val="none"/>
        </w:rPr>
      </w:pPr>
      <w:bookmarkStart w:id="2024" w:name="_Toc239510297"/>
      <w:bookmarkStart w:id="2025" w:name="_Toc532375707"/>
      <w:bookmarkStart w:id="2026" w:name="_Toc247418271"/>
      <w:bookmarkStart w:id="2027" w:name="_Toc247431431"/>
      <w:r>
        <w:rPr>
          <w:rFonts w:hint="eastAsia" w:ascii="宋体" w:hAnsi="宋体"/>
          <w:szCs w:val="21"/>
          <w:highlight w:val="none"/>
        </w:rPr>
        <w:t>八、施工机具与材料</w:t>
      </w:r>
      <w:bookmarkEnd w:id="2024"/>
      <w:bookmarkEnd w:id="2025"/>
      <w:bookmarkEnd w:id="2026"/>
      <w:bookmarkEnd w:id="2027"/>
    </w:p>
    <w:p w14:paraId="14301135">
      <w:pPr>
        <w:spacing w:line="360" w:lineRule="auto"/>
        <w:ind w:firstLine="420" w:firstLineChars="200"/>
        <w:jc w:val="left"/>
        <w:rPr>
          <w:rFonts w:ascii="宋体" w:hAnsi="宋体"/>
          <w:szCs w:val="21"/>
          <w:highlight w:val="none"/>
        </w:rPr>
      </w:pPr>
      <w:r>
        <w:rPr>
          <w:rFonts w:hint="eastAsia" w:ascii="宋体" w:hAnsi="宋体"/>
          <w:szCs w:val="21"/>
          <w:highlight w:val="none"/>
        </w:rPr>
        <w:t>1．承包人对带入现场的施工机械和工器具的安全负责。</w:t>
      </w:r>
    </w:p>
    <w:p w14:paraId="68CAE275">
      <w:pPr>
        <w:spacing w:line="360" w:lineRule="auto"/>
        <w:ind w:firstLine="420" w:firstLineChars="200"/>
        <w:jc w:val="left"/>
        <w:rPr>
          <w:rFonts w:ascii="宋体" w:hAnsi="宋体"/>
          <w:szCs w:val="21"/>
          <w:highlight w:val="none"/>
        </w:rPr>
      </w:pPr>
      <w:r>
        <w:rPr>
          <w:rFonts w:hint="eastAsia" w:ascii="宋体" w:hAnsi="宋体"/>
          <w:szCs w:val="21"/>
          <w:highlight w:val="none"/>
        </w:rPr>
        <w:t>2．对于承包人带入现场的特殊工器具，如起重设备、索具、机动车辆、压缩气瓶等，承包人必须按国家法规和标准进行检测、试验，并持有法定部门出具的检验证书。</w:t>
      </w:r>
    </w:p>
    <w:p w14:paraId="23BDEC7A">
      <w:pPr>
        <w:spacing w:line="360" w:lineRule="auto"/>
        <w:ind w:firstLine="420" w:firstLineChars="200"/>
        <w:jc w:val="left"/>
        <w:rPr>
          <w:rFonts w:ascii="宋体" w:hAnsi="宋体"/>
          <w:szCs w:val="21"/>
          <w:highlight w:val="none"/>
        </w:rPr>
      </w:pPr>
      <w:r>
        <w:rPr>
          <w:rFonts w:hint="eastAsia" w:ascii="宋体" w:hAnsi="宋体"/>
          <w:szCs w:val="21"/>
          <w:highlight w:val="none"/>
        </w:rPr>
        <w:t>3．对于不属于法定检测的工器具，承包人也必须建立相应的管理、检测制度，这些工器具包括登高工具、脚手架材料、电动工具、安全防护设备及用具等。</w:t>
      </w:r>
    </w:p>
    <w:p w14:paraId="3EE9B999">
      <w:pPr>
        <w:spacing w:line="360" w:lineRule="auto"/>
        <w:ind w:firstLine="420" w:firstLineChars="200"/>
        <w:rPr>
          <w:rFonts w:ascii="宋体" w:hAnsi="宋体"/>
          <w:szCs w:val="21"/>
          <w:highlight w:val="none"/>
        </w:rPr>
      </w:pPr>
      <w:bookmarkStart w:id="2028" w:name="_Toc532375708"/>
      <w:bookmarkStart w:id="2029" w:name="_Toc247418272"/>
      <w:bookmarkStart w:id="2030" w:name="_Toc247431432"/>
      <w:bookmarkStart w:id="2031" w:name="_Toc239510298"/>
      <w:r>
        <w:rPr>
          <w:rFonts w:hint="eastAsia" w:ascii="宋体" w:hAnsi="宋体"/>
          <w:szCs w:val="21"/>
          <w:highlight w:val="none"/>
        </w:rPr>
        <w:t>九、开工前安全条件检查</w:t>
      </w:r>
      <w:bookmarkEnd w:id="2028"/>
      <w:bookmarkEnd w:id="2029"/>
      <w:bookmarkEnd w:id="2030"/>
      <w:bookmarkEnd w:id="2031"/>
    </w:p>
    <w:p w14:paraId="71542CE2">
      <w:pPr>
        <w:spacing w:line="360" w:lineRule="auto"/>
        <w:ind w:firstLine="420" w:firstLineChars="200"/>
        <w:jc w:val="left"/>
        <w:rPr>
          <w:rFonts w:ascii="宋体" w:hAnsi="宋体"/>
          <w:szCs w:val="21"/>
          <w:highlight w:val="none"/>
        </w:rPr>
      </w:pPr>
      <w:r>
        <w:rPr>
          <w:rFonts w:hint="eastAsia" w:ascii="宋体" w:hAnsi="宋体"/>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8BB9937">
      <w:pPr>
        <w:spacing w:line="360" w:lineRule="auto"/>
        <w:ind w:firstLine="420" w:firstLineChars="200"/>
        <w:jc w:val="left"/>
        <w:rPr>
          <w:rFonts w:ascii="宋体" w:hAnsi="宋体"/>
          <w:szCs w:val="21"/>
          <w:highlight w:val="none"/>
        </w:rPr>
      </w:pPr>
      <w:r>
        <w:rPr>
          <w:rFonts w:hint="eastAsia" w:ascii="宋体" w:hAnsi="宋体"/>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E3CFA49">
      <w:pPr>
        <w:spacing w:line="360" w:lineRule="auto"/>
        <w:ind w:firstLine="420" w:firstLineChars="200"/>
        <w:jc w:val="left"/>
        <w:rPr>
          <w:rFonts w:ascii="宋体" w:hAnsi="宋体"/>
          <w:szCs w:val="21"/>
          <w:highlight w:val="none"/>
        </w:rPr>
      </w:pPr>
      <w:r>
        <w:rPr>
          <w:rFonts w:hint="eastAsia" w:ascii="宋体" w:hAnsi="宋体"/>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60B9B81">
      <w:pPr>
        <w:spacing w:line="360" w:lineRule="auto"/>
        <w:ind w:firstLine="420" w:firstLineChars="200"/>
        <w:rPr>
          <w:rFonts w:ascii="宋体" w:hAnsi="宋体"/>
          <w:szCs w:val="21"/>
          <w:highlight w:val="none"/>
        </w:rPr>
      </w:pPr>
      <w:bookmarkStart w:id="2032" w:name="_Toc247418273"/>
      <w:bookmarkStart w:id="2033" w:name="_Toc239510299"/>
      <w:bookmarkStart w:id="2034" w:name="_Toc532375709"/>
      <w:bookmarkStart w:id="2035" w:name="_Toc247431433"/>
      <w:r>
        <w:rPr>
          <w:rFonts w:hint="eastAsia" w:ascii="宋体" w:hAnsi="宋体"/>
          <w:szCs w:val="21"/>
          <w:highlight w:val="none"/>
        </w:rPr>
        <w:t>十、安全监督</w:t>
      </w:r>
      <w:bookmarkEnd w:id="2032"/>
      <w:bookmarkEnd w:id="2033"/>
      <w:bookmarkEnd w:id="2034"/>
      <w:bookmarkEnd w:id="2035"/>
    </w:p>
    <w:p w14:paraId="170185C6">
      <w:pPr>
        <w:spacing w:line="360" w:lineRule="auto"/>
        <w:ind w:firstLine="420" w:firstLineChars="200"/>
        <w:jc w:val="left"/>
        <w:rPr>
          <w:rFonts w:ascii="宋体" w:hAnsi="宋体"/>
          <w:szCs w:val="21"/>
          <w:highlight w:val="none"/>
        </w:rPr>
      </w:pPr>
      <w:r>
        <w:rPr>
          <w:rFonts w:hint="eastAsia" w:ascii="宋体" w:hAnsi="宋体"/>
          <w:szCs w:val="21"/>
          <w:highlight w:val="none"/>
        </w:rPr>
        <w:t>1．承包人应配备有满足项目安全管理需要的专职安全管理人员。</w:t>
      </w:r>
    </w:p>
    <w:p w14:paraId="517F3628">
      <w:pPr>
        <w:spacing w:line="360" w:lineRule="auto"/>
        <w:ind w:firstLine="420" w:firstLineChars="200"/>
        <w:jc w:val="left"/>
        <w:rPr>
          <w:rFonts w:ascii="宋体" w:hAnsi="宋体"/>
          <w:szCs w:val="21"/>
          <w:highlight w:val="none"/>
        </w:rPr>
      </w:pPr>
      <w:r>
        <w:rPr>
          <w:rFonts w:hint="eastAsia" w:ascii="宋体" w:hAnsi="宋体"/>
          <w:szCs w:val="21"/>
          <w:highlight w:val="none"/>
        </w:rPr>
        <w:t>2．承包人的专职安全管理人员必须持建设主管部门颁发的安全生产知识考核合格证书。</w:t>
      </w:r>
    </w:p>
    <w:p w14:paraId="682BE22F">
      <w:pPr>
        <w:spacing w:line="360" w:lineRule="auto"/>
        <w:ind w:firstLine="420" w:firstLineChars="200"/>
        <w:jc w:val="left"/>
        <w:rPr>
          <w:rFonts w:ascii="宋体" w:hAnsi="宋体"/>
          <w:szCs w:val="21"/>
          <w:highlight w:val="none"/>
        </w:rPr>
      </w:pPr>
      <w:r>
        <w:rPr>
          <w:rFonts w:hint="eastAsia" w:ascii="宋体" w:hAnsi="宋体"/>
          <w:szCs w:val="21"/>
          <w:highlight w:val="none"/>
        </w:rPr>
        <w:t>3．承包人的专职安全管理人员在业务上接受发包人委托的监理公司和发包人安全管理部门的协调和指导。</w:t>
      </w:r>
    </w:p>
    <w:p w14:paraId="262FDD5B">
      <w:pPr>
        <w:spacing w:line="360" w:lineRule="auto"/>
        <w:ind w:firstLine="420" w:firstLineChars="200"/>
        <w:jc w:val="left"/>
        <w:rPr>
          <w:rFonts w:ascii="宋体" w:hAnsi="宋体"/>
          <w:szCs w:val="21"/>
          <w:highlight w:val="none"/>
        </w:rPr>
      </w:pPr>
      <w:r>
        <w:rPr>
          <w:rFonts w:hint="eastAsia" w:ascii="宋体" w:hAnsi="宋体"/>
          <w:szCs w:val="21"/>
          <w:highlight w:val="none"/>
        </w:rPr>
        <w:t>4．承包人应建立班前安全交底制度；施工期间坚持开展安全检查和日常安全监督并形成相应的记录。</w:t>
      </w:r>
    </w:p>
    <w:p w14:paraId="5DE6C2F8">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5．承包人应在每个作业区任命兼职安全员，赋予兼职安全员相应的授权和义务，并对兼职安全员进行定期考核。</w:t>
      </w:r>
    </w:p>
    <w:p w14:paraId="082EB76B">
      <w:pPr>
        <w:spacing w:line="360" w:lineRule="auto"/>
        <w:ind w:firstLine="420" w:firstLineChars="200"/>
        <w:jc w:val="left"/>
        <w:rPr>
          <w:rFonts w:ascii="宋体" w:hAnsi="宋体"/>
          <w:szCs w:val="21"/>
          <w:highlight w:val="none"/>
        </w:rPr>
      </w:pPr>
      <w:r>
        <w:rPr>
          <w:rFonts w:hint="eastAsia" w:ascii="宋体" w:hAnsi="宋体"/>
          <w:szCs w:val="21"/>
          <w:highlight w:val="none"/>
        </w:rPr>
        <w:t>6．承包人应接受和配合发包人专业部门及委托的监理公司的监督与安全评价。</w:t>
      </w:r>
    </w:p>
    <w:p w14:paraId="463CDAD2">
      <w:pPr>
        <w:spacing w:line="360" w:lineRule="auto"/>
        <w:ind w:firstLine="420" w:firstLineChars="200"/>
        <w:jc w:val="left"/>
        <w:rPr>
          <w:rFonts w:ascii="宋体" w:hAnsi="宋体"/>
          <w:szCs w:val="21"/>
          <w:highlight w:val="none"/>
        </w:rPr>
      </w:pPr>
      <w:r>
        <w:rPr>
          <w:rFonts w:hint="eastAsia" w:ascii="宋体" w:hAnsi="宋体"/>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CB724E9">
      <w:pPr>
        <w:spacing w:line="360" w:lineRule="auto"/>
        <w:ind w:firstLine="420" w:firstLineChars="200"/>
        <w:rPr>
          <w:rFonts w:ascii="宋体" w:hAnsi="宋体"/>
          <w:szCs w:val="21"/>
          <w:highlight w:val="none"/>
        </w:rPr>
      </w:pPr>
      <w:bookmarkStart w:id="2036" w:name="_Toc247431434"/>
      <w:bookmarkStart w:id="2037" w:name="_Toc247418274"/>
      <w:bookmarkStart w:id="2038" w:name="_Toc532375710"/>
      <w:bookmarkStart w:id="2039" w:name="_Toc239510300"/>
      <w:r>
        <w:rPr>
          <w:rFonts w:hint="eastAsia" w:ascii="宋体" w:hAnsi="宋体"/>
          <w:szCs w:val="21"/>
          <w:highlight w:val="none"/>
        </w:rPr>
        <w:t>十一、安全培训与授权</w:t>
      </w:r>
      <w:bookmarkEnd w:id="2036"/>
      <w:bookmarkEnd w:id="2037"/>
      <w:bookmarkEnd w:id="2038"/>
      <w:bookmarkEnd w:id="2039"/>
    </w:p>
    <w:p w14:paraId="41A7638F">
      <w:pPr>
        <w:spacing w:line="360" w:lineRule="auto"/>
        <w:ind w:firstLine="420" w:firstLineChars="200"/>
        <w:jc w:val="left"/>
        <w:rPr>
          <w:rFonts w:ascii="宋体" w:hAnsi="宋体"/>
          <w:szCs w:val="21"/>
          <w:highlight w:val="none"/>
        </w:rPr>
      </w:pPr>
      <w:r>
        <w:rPr>
          <w:rFonts w:hint="eastAsia" w:ascii="宋体" w:hAnsi="宋体"/>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4D57FAF1">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2．承包人应在特殊工种之外的其他工种中，筛选出高风险工种，并对其开展针对性的专题安全培训。</w:t>
      </w:r>
    </w:p>
    <w:p w14:paraId="1C6C395F">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3．承包人应组织 “入场培训”和考核。发包人委托的监理公司有权监督培训、考核情况或组织抽查考核。</w:t>
      </w:r>
    </w:p>
    <w:p w14:paraId="7E664169">
      <w:pPr>
        <w:spacing w:line="360" w:lineRule="auto"/>
        <w:ind w:firstLine="420" w:firstLineChars="200"/>
        <w:jc w:val="left"/>
        <w:rPr>
          <w:rFonts w:ascii="宋体" w:hAnsi="宋体"/>
          <w:szCs w:val="21"/>
          <w:highlight w:val="none"/>
        </w:rPr>
      </w:pPr>
      <w:r>
        <w:rPr>
          <w:rFonts w:hint="eastAsia" w:ascii="宋体" w:hAnsi="宋体"/>
          <w:szCs w:val="21"/>
          <w:highlight w:val="none"/>
        </w:rPr>
        <w:t>4．承包人应建立安全培训和考核机制，编制培训教材和培训滚动计划。承包人应组织安全考试/考核，建立培训考核记录，发包人委托的监理公司有权查看这些记录。</w:t>
      </w:r>
    </w:p>
    <w:p w14:paraId="7D8E10C1">
      <w:pPr>
        <w:spacing w:line="360" w:lineRule="auto"/>
        <w:ind w:firstLine="420" w:firstLineChars="200"/>
        <w:rPr>
          <w:rFonts w:ascii="宋体" w:hAnsi="宋体"/>
          <w:szCs w:val="21"/>
          <w:highlight w:val="none"/>
        </w:rPr>
      </w:pPr>
      <w:bookmarkStart w:id="2040" w:name="_Toc532375711"/>
      <w:bookmarkStart w:id="2041" w:name="_Toc247431435"/>
      <w:bookmarkStart w:id="2042" w:name="_Toc247418275"/>
      <w:bookmarkStart w:id="2043" w:name="_Toc239510301"/>
      <w:r>
        <w:rPr>
          <w:rFonts w:hint="eastAsia" w:ascii="宋体" w:hAnsi="宋体"/>
          <w:szCs w:val="21"/>
          <w:highlight w:val="none"/>
        </w:rPr>
        <w:t>十二、职业健康与卫生防疫</w:t>
      </w:r>
      <w:bookmarkEnd w:id="2040"/>
      <w:bookmarkEnd w:id="2041"/>
      <w:bookmarkEnd w:id="2042"/>
      <w:bookmarkEnd w:id="2043"/>
    </w:p>
    <w:p w14:paraId="5A6E209F">
      <w:pPr>
        <w:spacing w:line="360" w:lineRule="auto"/>
        <w:ind w:firstLine="420" w:firstLineChars="200"/>
        <w:jc w:val="left"/>
        <w:rPr>
          <w:rFonts w:ascii="宋体" w:hAnsi="宋体"/>
          <w:szCs w:val="21"/>
          <w:highlight w:val="none"/>
        </w:rPr>
      </w:pPr>
      <w:r>
        <w:rPr>
          <w:rFonts w:hint="eastAsia" w:ascii="宋体" w:hAnsi="宋体"/>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7E170D76">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2．承包人应保证卫生防疫基本设施的投入，以满足医疗、急救的要求，建立外部医疗支持渠道。</w:t>
      </w:r>
    </w:p>
    <w:p w14:paraId="1C7FCC69">
      <w:pPr>
        <w:spacing w:line="360" w:lineRule="auto"/>
        <w:ind w:firstLine="420" w:firstLineChars="200"/>
        <w:jc w:val="left"/>
        <w:rPr>
          <w:rFonts w:ascii="宋体" w:hAnsi="宋体"/>
          <w:szCs w:val="21"/>
          <w:highlight w:val="none"/>
        </w:rPr>
      </w:pPr>
      <w:r>
        <w:rPr>
          <w:rFonts w:hint="eastAsia" w:ascii="宋体" w:hAnsi="宋体"/>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4D34A6F">
      <w:pPr>
        <w:spacing w:line="360" w:lineRule="auto"/>
        <w:ind w:firstLine="420" w:firstLineChars="200"/>
        <w:rPr>
          <w:rFonts w:ascii="宋体" w:hAnsi="宋体"/>
          <w:szCs w:val="21"/>
          <w:highlight w:val="none"/>
        </w:rPr>
      </w:pPr>
      <w:bookmarkStart w:id="2044" w:name="_Toc239510302"/>
      <w:bookmarkStart w:id="2045" w:name="_Toc532375712"/>
      <w:bookmarkStart w:id="2046" w:name="_Toc247431436"/>
      <w:bookmarkStart w:id="2047" w:name="_Toc247418276"/>
      <w:r>
        <w:rPr>
          <w:rFonts w:hint="eastAsia" w:ascii="宋体" w:hAnsi="宋体"/>
          <w:szCs w:val="21"/>
          <w:highlight w:val="none"/>
        </w:rPr>
        <w:t>十三、文明施工与环保要求</w:t>
      </w:r>
      <w:bookmarkEnd w:id="2044"/>
      <w:bookmarkEnd w:id="2045"/>
      <w:bookmarkEnd w:id="2046"/>
      <w:bookmarkEnd w:id="2047"/>
    </w:p>
    <w:p w14:paraId="10B1FBF3">
      <w:pPr>
        <w:spacing w:line="360" w:lineRule="auto"/>
        <w:ind w:firstLine="420" w:firstLineChars="200"/>
        <w:jc w:val="left"/>
        <w:rPr>
          <w:rFonts w:ascii="宋体" w:hAnsi="宋体"/>
          <w:szCs w:val="21"/>
          <w:highlight w:val="none"/>
        </w:rPr>
      </w:pPr>
      <w:r>
        <w:rPr>
          <w:rFonts w:hint="eastAsia" w:ascii="宋体" w:hAnsi="宋体"/>
          <w:szCs w:val="21"/>
          <w:highlight w:val="none"/>
        </w:rPr>
        <w:t>1．承包人需制订施工现场的文明施工措施，保持良好的施工现场秩序。施工现场的物料堆放要摆放整齐，安全标志和宣传标志要清楚醒目，废料、废物要分类收集，安全通道要畅通。</w:t>
      </w:r>
    </w:p>
    <w:p w14:paraId="4A8F9F3F">
      <w:pPr>
        <w:spacing w:line="360" w:lineRule="auto"/>
        <w:ind w:firstLine="420" w:firstLineChars="200"/>
        <w:jc w:val="left"/>
        <w:rPr>
          <w:rFonts w:ascii="宋体" w:hAnsi="宋体"/>
          <w:szCs w:val="21"/>
          <w:highlight w:val="none"/>
        </w:rPr>
      </w:pPr>
      <w:r>
        <w:rPr>
          <w:rFonts w:hint="eastAsia" w:ascii="宋体" w:hAnsi="宋体"/>
          <w:szCs w:val="21"/>
          <w:highlight w:val="none"/>
        </w:rPr>
        <w:t>2．承包人作业时应避免建筑材料抛洒、飞扬、流淌；应尽可能降低噪音、震动。</w:t>
      </w:r>
    </w:p>
    <w:p w14:paraId="74E35CEF">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3．承包人应根据实际需要，在施工现场布置临时卫生设施（洗手间、卫生间等），施工作业不破坏环境卫生，不污染现场环境。</w:t>
      </w:r>
    </w:p>
    <w:p w14:paraId="7DF00322">
      <w:pPr>
        <w:spacing w:line="360" w:lineRule="auto"/>
        <w:ind w:firstLine="420" w:firstLineChars="200"/>
        <w:jc w:val="left"/>
        <w:rPr>
          <w:rFonts w:ascii="宋体" w:hAnsi="宋体"/>
          <w:szCs w:val="21"/>
          <w:highlight w:val="none"/>
        </w:rPr>
      </w:pPr>
      <w:r>
        <w:rPr>
          <w:rFonts w:hint="eastAsia" w:ascii="宋体" w:hAnsi="宋体"/>
          <w:szCs w:val="21"/>
          <w:highlight w:val="none"/>
        </w:rPr>
        <w:t>4．承包人在施工中应充分重视对环境的保护，保护绿色植被，保护古树。施工如需伤害古树，必须报告发包人委托的监理公司，在未得到指令前，禁止擅自伤害古树。</w:t>
      </w:r>
    </w:p>
    <w:p w14:paraId="3B09CA3F">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441D4627">
      <w:pPr>
        <w:spacing w:line="360" w:lineRule="auto"/>
        <w:ind w:firstLine="420" w:firstLineChars="200"/>
        <w:jc w:val="left"/>
        <w:rPr>
          <w:rFonts w:ascii="宋体" w:hAnsi="宋体"/>
          <w:szCs w:val="21"/>
          <w:highlight w:val="none"/>
        </w:rPr>
      </w:pPr>
      <w:r>
        <w:rPr>
          <w:rFonts w:hint="eastAsia" w:ascii="宋体" w:hAnsi="宋体"/>
          <w:szCs w:val="21"/>
          <w:highlight w:val="none"/>
        </w:rPr>
        <w:t>6．承包人在施工中应禁止向环境，排放工业污水、生活污水、废油或其他有害物质。</w:t>
      </w:r>
    </w:p>
    <w:p w14:paraId="5AFFF178">
      <w:pPr>
        <w:spacing w:line="360" w:lineRule="auto"/>
        <w:ind w:firstLine="420" w:firstLineChars="200"/>
        <w:jc w:val="left"/>
        <w:rPr>
          <w:rFonts w:ascii="宋体" w:hAnsi="宋体"/>
          <w:szCs w:val="21"/>
          <w:highlight w:val="none"/>
        </w:rPr>
      </w:pPr>
      <w:r>
        <w:rPr>
          <w:rFonts w:hint="eastAsia" w:ascii="宋体" w:hAnsi="宋体"/>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E0412C9">
      <w:pPr>
        <w:spacing w:line="360" w:lineRule="auto"/>
        <w:ind w:firstLine="420" w:firstLineChars="200"/>
        <w:rPr>
          <w:rFonts w:ascii="宋体" w:hAnsi="宋体"/>
          <w:szCs w:val="21"/>
          <w:highlight w:val="none"/>
        </w:rPr>
      </w:pPr>
      <w:bookmarkStart w:id="2048" w:name="_Toc239510303"/>
      <w:bookmarkStart w:id="2049" w:name="_Toc247431437"/>
      <w:bookmarkStart w:id="2050" w:name="_Toc532375713"/>
      <w:bookmarkStart w:id="2051" w:name="_Toc247418277"/>
      <w:r>
        <w:rPr>
          <w:rFonts w:hint="eastAsia" w:ascii="宋体" w:hAnsi="宋体"/>
          <w:szCs w:val="21"/>
          <w:highlight w:val="none"/>
        </w:rPr>
        <w:t>十四、工程风险管理与事故预防</w:t>
      </w:r>
      <w:bookmarkEnd w:id="2048"/>
      <w:bookmarkEnd w:id="2049"/>
      <w:bookmarkEnd w:id="2050"/>
      <w:bookmarkEnd w:id="2051"/>
    </w:p>
    <w:p w14:paraId="245A0E60">
      <w:pPr>
        <w:spacing w:line="360" w:lineRule="auto"/>
        <w:ind w:firstLine="420" w:firstLineChars="200"/>
        <w:jc w:val="left"/>
        <w:rPr>
          <w:rFonts w:ascii="宋体" w:hAnsi="宋体"/>
          <w:szCs w:val="21"/>
          <w:highlight w:val="none"/>
        </w:rPr>
      </w:pPr>
      <w:bookmarkStart w:id="2052" w:name="_Toc247431438"/>
      <w:bookmarkStart w:id="2053" w:name="_Toc239510304"/>
      <w:bookmarkStart w:id="2054" w:name="_Toc247418278"/>
      <w:r>
        <w:rPr>
          <w:rFonts w:hint="eastAsia" w:ascii="宋体" w:hAnsi="宋体"/>
          <w:szCs w:val="21"/>
          <w:highlight w:val="none"/>
        </w:rPr>
        <w:t>（一）基本要求</w:t>
      </w:r>
      <w:bookmarkEnd w:id="2052"/>
      <w:bookmarkEnd w:id="2053"/>
      <w:bookmarkEnd w:id="2054"/>
    </w:p>
    <w:p w14:paraId="096E91BA">
      <w:pPr>
        <w:spacing w:line="360" w:lineRule="auto"/>
        <w:ind w:firstLine="420" w:firstLineChars="200"/>
        <w:jc w:val="left"/>
        <w:rPr>
          <w:rFonts w:ascii="宋体" w:hAnsi="宋体"/>
          <w:szCs w:val="21"/>
          <w:highlight w:val="none"/>
        </w:rPr>
      </w:pPr>
      <w:bookmarkStart w:id="2055" w:name="_Toc532375714"/>
      <w:r>
        <w:rPr>
          <w:rFonts w:hint="eastAsia" w:ascii="宋体" w:hAnsi="宋体"/>
          <w:szCs w:val="21"/>
          <w:highlight w:val="none"/>
        </w:rPr>
        <w:t>1．承包人应对施工过程进行全面、深入的危险源识别和风险分析。在施工安全组织设计中提供危险源及重要危险源清单、作业风险分析报告，该报告应包括（但不限于）如下信息：</w:t>
      </w:r>
      <w:bookmarkEnd w:id="2055"/>
    </w:p>
    <w:p w14:paraId="2A086752">
      <w:pPr>
        <w:spacing w:line="360" w:lineRule="auto"/>
        <w:ind w:firstLine="420" w:firstLineChars="200"/>
        <w:jc w:val="left"/>
        <w:rPr>
          <w:rFonts w:ascii="宋体" w:hAnsi="宋体"/>
          <w:szCs w:val="21"/>
          <w:highlight w:val="none"/>
        </w:rPr>
      </w:pPr>
      <w:r>
        <w:rPr>
          <w:rFonts w:hint="eastAsia" w:ascii="宋体" w:hAnsi="宋体"/>
          <w:szCs w:val="21"/>
          <w:highlight w:val="none"/>
        </w:rPr>
        <w:t>（1）高风险作业和工种清单：作业名称、类别和数量、主要事故风险。</w:t>
      </w:r>
    </w:p>
    <w:p w14:paraId="7CF9B428">
      <w:pPr>
        <w:spacing w:line="360" w:lineRule="auto"/>
        <w:ind w:firstLine="420" w:firstLineChars="200"/>
        <w:jc w:val="left"/>
        <w:rPr>
          <w:rFonts w:ascii="宋体" w:hAnsi="宋体"/>
          <w:szCs w:val="21"/>
          <w:highlight w:val="none"/>
        </w:rPr>
      </w:pPr>
      <w:r>
        <w:rPr>
          <w:rFonts w:hint="eastAsia" w:ascii="宋体" w:hAnsi="宋体"/>
          <w:szCs w:val="21"/>
          <w:highlight w:val="none"/>
        </w:rPr>
        <w:t>（2）施工能源和机械的种类、数量和主要事故风险。</w:t>
      </w:r>
    </w:p>
    <w:p w14:paraId="6C9EDAA9">
      <w:pPr>
        <w:spacing w:line="360" w:lineRule="auto"/>
        <w:ind w:firstLine="420" w:firstLineChars="200"/>
        <w:jc w:val="left"/>
        <w:rPr>
          <w:rFonts w:ascii="宋体" w:hAnsi="宋体"/>
          <w:szCs w:val="21"/>
          <w:highlight w:val="none"/>
        </w:rPr>
      </w:pPr>
      <w:r>
        <w:rPr>
          <w:rFonts w:hint="eastAsia" w:ascii="宋体" w:hAnsi="宋体"/>
          <w:szCs w:val="21"/>
          <w:highlight w:val="none"/>
        </w:rPr>
        <w:t>（3）施工作业条件的类型和主要事故风险。</w:t>
      </w:r>
    </w:p>
    <w:p w14:paraId="6A21E8B3">
      <w:pPr>
        <w:spacing w:line="360" w:lineRule="auto"/>
        <w:ind w:firstLine="420" w:firstLineChars="200"/>
        <w:jc w:val="left"/>
        <w:rPr>
          <w:rFonts w:ascii="宋体" w:hAnsi="宋体"/>
          <w:szCs w:val="21"/>
          <w:highlight w:val="none"/>
        </w:rPr>
      </w:pPr>
      <w:r>
        <w:rPr>
          <w:rFonts w:hint="eastAsia" w:ascii="宋体" w:hAnsi="宋体"/>
          <w:szCs w:val="21"/>
          <w:highlight w:val="none"/>
        </w:rPr>
        <w:t>（4）主要工艺过程（或施工活动）的类别及其相关的事故风险。</w:t>
      </w:r>
    </w:p>
    <w:p w14:paraId="34659975">
      <w:pPr>
        <w:spacing w:line="360" w:lineRule="auto"/>
        <w:ind w:firstLine="420" w:firstLineChars="200"/>
        <w:jc w:val="left"/>
        <w:rPr>
          <w:rFonts w:ascii="宋体" w:hAnsi="宋体"/>
          <w:szCs w:val="21"/>
          <w:highlight w:val="none"/>
        </w:rPr>
      </w:pPr>
      <w:r>
        <w:rPr>
          <w:rFonts w:hint="eastAsia" w:ascii="宋体" w:hAnsi="宋体"/>
          <w:szCs w:val="21"/>
          <w:highlight w:val="none"/>
        </w:rPr>
        <w:t>（5）主要火灾危险（可燃物、点火源）。</w:t>
      </w:r>
    </w:p>
    <w:p w14:paraId="0962562B">
      <w:pPr>
        <w:spacing w:line="360" w:lineRule="auto"/>
        <w:ind w:firstLine="420" w:firstLineChars="200"/>
        <w:jc w:val="left"/>
        <w:rPr>
          <w:rFonts w:ascii="宋体" w:hAnsi="宋体"/>
          <w:szCs w:val="21"/>
          <w:highlight w:val="none"/>
        </w:rPr>
      </w:pPr>
      <w:r>
        <w:rPr>
          <w:rFonts w:hint="eastAsia" w:ascii="宋体" w:hAnsi="宋体"/>
          <w:szCs w:val="21"/>
          <w:highlight w:val="none"/>
        </w:rPr>
        <w:t>（6）主要自然灾害（洪水、大风、雷暴、暴雨、地质灾害等）。</w:t>
      </w:r>
    </w:p>
    <w:p w14:paraId="31FDAEA4">
      <w:pPr>
        <w:spacing w:line="360" w:lineRule="auto"/>
        <w:ind w:firstLine="420" w:firstLineChars="200"/>
        <w:jc w:val="left"/>
        <w:rPr>
          <w:rFonts w:ascii="宋体" w:hAnsi="宋体"/>
          <w:szCs w:val="21"/>
          <w:highlight w:val="none"/>
        </w:rPr>
      </w:pPr>
      <w:r>
        <w:rPr>
          <w:rFonts w:hint="eastAsia" w:ascii="宋体" w:hAnsi="宋体"/>
          <w:szCs w:val="21"/>
          <w:highlight w:val="none"/>
        </w:rPr>
        <w:t>（7）主要环境保护事件（有害垃圾、机械的跑冒滴漏、原材料流失、水土流失等）。</w:t>
      </w:r>
    </w:p>
    <w:p w14:paraId="06431C64">
      <w:pPr>
        <w:spacing w:line="360" w:lineRule="auto"/>
        <w:ind w:firstLine="420" w:firstLineChars="200"/>
        <w:jc w:val="left"/>
        <w:rPr>
          <w:rFonts w:ascii="宋体" w:hAnsi="宋体"/>
          <w:szCs w:val="21"/>
          <w:highlight w:val="none"/>
        </w:rPr>
      </w:pPr>
      <w:r>
        <w:rPr>
          <w:rFonts w:hint="eastAsia" w:ascii="宋体" w:hAnsi="宋体"/>
          <w:szCs w:val="21"/>
          <w:highlight w:val="none"/>
        </w:rPr>
        <w:t>（8）其他。</w:t>
      </w:r>
    </w:p>
    <w:p w14:paraId="408D395E">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2．承包人应针对识别出的危险源制定有针对性的事故预防措施并确保在施工中得到有效落实。</w:t>
      </w:r>
    </w:p>
    <w:p w14:paraId="6C73BEA4">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3．承包人应建立日常施工活动的动态作业风险分析和安全交底制度。该制度应明确规定风险分析的方法、责任和交底的内容、时间及记录。</w:t>
      </w:r>
    </w:p>
    <w:p w14:paraId="5A9C31D2">
      <w:pPr>
        <w:spacing w:line="360" w:lineRule="auto"/>
        <w:ind w:firstLine="420" w:firstLineChars="200"/>
        <w:jc w:val="left"/>
        <w:rPr>
          <w:rFonts w:ascii="宋体" w:hAnsi="宋体"/>
          <w:szCs w:val="21"/>
          <w:highlight w:val="none"/>
        </w:rPr>
      </w:pPr>
      <w:bookmarkStart w:id="2056" w:name="_Toc247418279"/>
      <w:bookmarkStart w:id="2057" w:name="_Toc239510305"/>
      <w:bookmarkStart w:id="2058" w:name="_Toc247431439"/>
      <w:r>
        <w:rPr>
          <w:rFonts w:hint="eastAsia" w:ascii="宋体" w:hAnsi="宋体"/>
          <w:szCs w:val="21"/>
          <w:highlight w:val="none"/>
        </w:rPr>
        <w:t>（二）现场作业基本安全条件</w:t>
      </w:r>
      <w:bookmarkEnd w:id="2056"/>
      <w:bookmarkEnd w:id="2057"/>
      <w:bookmarkEnd w:id="2058"/>
    </w:p>
    <w:p w14:paraId="57A45200">
      <w:pPr>
        <w:spacing w:line="360" w:lineRule="auto"/>
        <w:ind w:firstLine="420" w:firstLineChars="200"/>
        <w:jc w:val="left"/>
        <w:rPr>
          <w:rFonts w:ascii="宋体" w:hAnsi="宋体"/>
          <w:szCs w:val="21"/>
          <w:highlight w:val="none"/>
        </w:rPr>
      </w:pPr>
      <w:r>
        <w:rPr>
          <w:rFonts w:hint="eastAsia" w:ascii="宋体" w:hAnsi="宋体"/>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BEA5B5C">
      <w:pPr>
        <w:spacing w:line="360" w:lineRule="auto"/>
        <w:ind w:firstLine="420" w:firstLineChars="200"/>
        <w:rPr>
          <w:rFonts w:ascii="宋体" w:hAnsi="宋体"/>
          <w:szCs w:val="21"/>
          <w:highlight w:val="none"/>
        </w:rPr>
      </w:pPr>
      <w:bookmarkStart w:id="2059" w:name="_Toc532375715"/>
      <w:bookmarkStart w:id="2060" w:name="_Toc247418280"/>
      <w:bookmarkStart w:id="2061" w:name="_Toc239510306"/>
      <w:bookmarkStart w:id="2062" w:name="_Toc247431440"/>
      <w:r>
        <w:rPr>
          <w:rFonts w:hint="eastAsia" w:ascii="宋体" w:hAnsi="宋体"/>
          <w:szCs w:val="21"/>
          <w:highlight w:val="none"/>
        </w:rPr>
        <w:t>十五、事故报告与应急救援</w:t>
      </w:r>
      <w:bookmarkEnd w:id="2059"/>
      <w:bookmarkEnd w:id="2060"/>
      <w:bookmarkEnd w:id="2061"/>
      <w:bookmarkEnd w:id="2062"/>
    </w:p>
    <w:p w14:paraId="567BA7D5">
      <w:pPr>
        <w:spacing w:line="360" w:lineRule="auto"/>
        <w:ind w:firstLine="420" w:firstLineChars="200"/>
        <w:jc w:val="left"/>
        <w:rPr>
          <w:rFonts w:ascii="宋体" w:hAnsi="宋体"/>
          <w:szCs w:val="21"/>
          <w:highlight w:val="none"/>
        </w:rPr>
      </w:pPr>
      <w:r>
        <w:rPr>
          <w:rFonts w:hint="eastAsia" w:ascii="宋体" w:hAnsi="宋体"/>
          <w:szCs w:val="21"/>
          <w:highlight w:val="none"/>
        </w:rPr>
        <w:t>1．承包人应制定对于未遂事故及以上级别的安全事件和事故，定期报送安全月度快报、季报、年报和各种专项事故报告等。</w:t>
      </w:r>
    </w:p>
    <w:p w14:paraId="3C6C2817">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2．承包人应建立安全事故统计记录、未遂事故统计记录、违章统计记录，并根据统计情况进行分析，并就分析结果制定相应的预防措施。</w:t>
      </w:r>
    </w:p>
    <w:p w14:paraId="4C9264FF">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3．承包人应建立事故应急救援机制，明确事故处置的基本原则，即现场发生事故时，首先抢救生命，向救援组织报警，并采取措施限制事故扩大。</w:t>
      </w:r>
    </w:p>
    <w:p w14:paraId="6C57E594">
      <w:pPr>
        <w:spacing w:line="360" w:lineRule="auto"/>
        <w:ind w:firstLine="420" w:firstLineChars="200"/>
        <w:jc w:val="left"/>
        <w:rPr>
          <w:rFonts w:ascii="宋体" w:hAnsi="宋体"/>
          <w:szCs w:val="21"/>
          <w:highlight w:val="none"/>
        </w:rPr>
      </w:pPr>
      <w:r>
        <w:rPr>
          <w:rFonts w:hint="eastAsia" w:ascii="宋体" w:hAnsi="宋体"/>
          <w:szCs w:val="21"/>
          <w:highlight w:val="none"/>
        </w:rPr>
        <w:t>4．承包人应建立相应的应急响应组织，以便能迅速处理突发意外。</w:t>
      </w:r>
    </w:p>
    <w:p w14:paraId="017E733D">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10CB31F">
      <w:pPr>
        <w:spacing w:line="360" w:lineRule="auto"/>
        <w:ind w:firstLine="420" w:firstLineChars="200"/>
        <w:jc w:val="left"/>
        <w:rPr>
          <w:rFonts w:ascii="宋体" w:hAnsi="宋体"/>
          <w:szCs w:val="21"/>
          <w:highlight w:val="none"/>
        </w:rPr>
      </w:pPr>
      <w:r>
        <w:rPr>
          <w:rFonts w:hint="eastAsia" w:ascii="宋体" w:hAnsi="宋体"/>
          <w:szCs w:val="21"/>
          <w:highlight w:val="none"/>
        </w:rPr>
        <w:t>6．承包人应对应急预案进行适当演练，保证应急预案的可操作性。</w:t>
      </w:r>
    </w:p>
    <w:p w14:paraId="441A116A">
      <w:pPr>
        <w:spacing w:line="360" w:lineRule="auto"/>
        <w:ind w:firstLine="420" w:firstLineChars="200"/>
        <w:jc w:val="left"/>
        <w:rPr>
          <w:rFonts w:ascii="宋体" w:hAnsi="宋体"/>
          <w:szCs w:val="21"/>
          <w:highlight w:val="none"/>
        </w:rPr>
      </w:pPr>
      <w:r>
        <w:rPr>
          <w:rFonts w:hint="eastAsia" w:ascii="宋体" w:hAnsi="宋体"/>
          <w:szCs w:val="21"/>
          <w:highlight w:val="none"/>
        </w:rPr>
        <w:t>7．在工地的其他施工单位发生重大事故时，承包人应无条件立即配合、支持事故抢险。</w:t>
      </w:r>
    </w:p>
    <w:p w14:paraId="7AD3DA2F">
      <w:pPr>
        <w:spacing w:line="360" w:lineRule="auto"/>
        <w:ind w:firstLine="420" w:firstLineChars="200"/>
        <w:jc w:val="left"/>
        <w:rPr>
          <w:rFonts w:ascii="宋体" w:hAnsi="宋体"/>
          <w:szCs w:val="21"/>
          <w:highlight w:val="none"/>
        </w:rPr>
      </w:pPr>
      <w:r>
        <w:rPr>
          <w:rFonts w:hint="eastAsia" w:ascii="宋体" w:hAnsi="宋体"/>
          <w:szCs w:val="21"/>
          <w:highlight w:val="none"/>
        </w:rPr>
        <w:t>8．承包人必须为事故处置支付各项费用，包括受伤者的抚恤、补偿等费用，并按合同要求赔偿对发包人造成的损失。</w:t>
      </w:r>
    </w:p>
    <w:p w14:paraId="605E357A">
      <w:pPr>
        <w:spacing w:line="360" w:lineRule="auto"/>
        <w:ind w:firstLine="420" w:firstLineChars="200"/>
        <w:jc w:val="left"/>
        <w:rPr>
          <w:rFonts w:ascii="宋体" w:hAnsi="宋体"/>
          <w:szCs w:val="21"/>
          <w:highlight w:val="none"/>
        </w:rPr>
      </w:pPr>
      <w:r>
        <w:rPr>
          <w:rFonts w:hint="eastAsia" w:ascii="宋体" w:hAnsi="宋体"/>
          <w:szCs w:val="21"/>
          <w:highlight w:val="none"/>
        </w:rPr>
        <w:t>9．由于发包人原因而造成的事故，发包人应负责按事故的具体损失情况给予承包人经济赔偿。</w:t>
      </w:r>
    </w:p>
    <w:p w14:paraId="4B44874C">
      <w:pPr>
        <w:spacing w:line="360" w:lineRule="auto"/>
        <w:ind w:firstLine="420" w:firstLineChars="200"/>
        <w:jc w:val="left"/>
        <w:rPr>
          <w:rFonts w:ascii="宋体" w:hAnsi="宋体"/>
          <w:szCs w:val="21"/>
          <w:highlight w:val="none"/>
        </w:rPr>
      </w:pPr>
      <w:r>
        <w:rPr>
          <w:rFonts w:hint="eastAsia" w:ascii="宋体" w:hAnsi="宋体"/>
          <w:szCs w:val="21"/>
          <w:highlight w:val="none"/>
        </w:rPr>
        <w:t>10．涉及承包人员工的伤害事故，承包人除要报告发包人委托的监理公司外，还应负责按照国家、行业和本单位上级公司的要求，上报事故。</w:t>
      </w:r>
    </w:p>
    <w:p w14:paraId="58931E22">
      <w:pPr>
        <w:spacing w:line="360" w:lineRule="auto"/>
        <w:ind w:firstLine="420" w:firstLineChars="200"/>
        <w:rPr>
          <w:rFonts w:ascii="宋体" w:hAnsi="宋体"/>
          <w:szCs w:val="21"/>
          <w:highlight w:val="none"/>
        </w:rPr>
      </w:pPr>
      <w:bookmarkStart w:id="2063" w:name="_Toc532375716"/>
      <w:bookmarkStart w:id="2064" w:name="_Toc247431441"/>
      <w:bookmarkStart w:id="2065" w:name="_Toc247418281"/>
      <w:bookmarkStart w:id="2066" w:name="_Toc239510307"/>
      <w:r>
        <w:rPr>
          <w:rFonts w:hint="eastAsia" w:ascii="宋体" w:hAnsi="宋体"/>
          <w:szCs w:val="21"/>
          <w:highlight w:val="none"/>
        </w:rPr>
        <w:t>十六、安全业绩考核</w:t>
      </w:r>
      <w:bookmarkEnd w:id="2063"/>
      <w:bookmarkEnd w:id="2064"/>
      <w:bookmarkEnd w:id="2065"/>
      <w:bookmarkEnd w:id="2066"/>
    </w:p>
    <w:p w14:paraId="0DFDDB05">
      <w:pPr>
        <w:spacing w:line="360" w:lineRule="auto"/>
        <w:ind w:firstLine="420" w:firstLineChars="200"/>
        <w:jc w:val="left"/>
        <w:rPr>
          <w:rFonts w:ascii="宋体" w:hAnsi="宋体"/>
          <w:szCs w:val="21"/>
          <w:highlight w:val="none"/>
        </w:rPr>
      </w:pPr>
      <w:r>
        <w:rPr>
          <w:rFonts w:hint="eastAsia" w:ascii="宋体" w:hAnsi="宋体"/>
          <w:szCs w:val="21"/>
          <w:highlight w:val="none"/>
        </w:rPr>
        <w:t>为了落实安全管理的责任，承包人在施工过程中发生安全事故时，承包人除应按国家有关规定承担责任和处罚外，发包人还将按照以下标准进行考核：</w:t>
      </w:r>
    </w:p>
    <w:tbl>
      <w:tblPr>
        <w:tblStyle w:val="47"/>
        <w:tblW w:w="7005" w:type="dxa"/>
        <w:jc w:val="center"/>
        <w:tblLayout w:type="fixed"/>
        <w:tblCellMar>
          <w:top w:w="0" w:type="dxa"/>
          <w:left w:w="0" w:type="dxa"/>
          <w:bottom w:w="0" w:type="dxa"/>
          <w:right w:w="0" w:type="dxa"/>
        </w:tblCellMar>
      </w:tblPr>
      <w:tblGrid>
        <w:gridCol w:w="3240"/>
        <w:gridCol w:w="3765"/>
      </w:tblGrid>
      <w:tr w14:paraId="1AE30507">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2D9F17">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A5A270">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违约金额</w:t>
            </w:r>
          </w:p>
        </w:tc>
      </w:tr>
      <w:tr w14:paraId="59941B63">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F9FFEB">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3D287C5E">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kern w:val="0"/>
                <w:szCs w:val="21"/>
                <w:highlight w:val="none"/>
              </w:rPr>
              <w:t>签约合同价</w:t>
            </w:r>
            <w:r>
              <w:rPr>
                <w:rFonts w:hint="eastAsia" w:ascii="宋体" w:hAnsi="宋体"/>
                <w:szCs w:val="21"/>
                <w:highlight w:val="none"/>
              </w:rPr>
              <w:t>的0.5‰</w:t>
            </w:r>
          </w:p>
        </w:tc>
      </w:tr>
      <w:tr w14:paraId="6EDCBDB1">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60FE4A">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4E4AC2FB">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签约合同价的2‰</w:t>
            </w:r>
          </w:p>
        </w:tc>
      </w:tr>
      <w:tr w14:paraId="1ED9C96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ABD1DF">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1B6F7C95">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highlight w:val="none"/>
              </w:rPr>
            </w:pPr>
            <w:r>
              <w:rPr>
                <w:rFonts w:hint="eastAsia" w:ascii="宋体" w:hAnsi="宋体"/>
                <w:szCs w:val="21"/>
                <w:highlight w:val="none"/>
              </w:rPr>
              <w:t>签约合同价的4‰</w:t>
            </w:r>
          </w:p>
        </w:tc>
      </w:tr>
    </w:tbl>
    <w:p w14:paraId="7FB47EDF">
      <w:pPr>
        <w:spacing w:line="360" w:lineRule="auto"/>
        <w:ind w:firstLine="420" w:firstLineChars="200"/>
        <w:jc w:val="left"/>
        <w:rPr>
          <w:rFonts w:ascii="宋体" w:hAnsi="宋体"/>
          <w:szCs w:val="21"/>
          <w:highlight w:val="none"/>
        </w:rPr>
      </w:pPr>
      <w:r>
        <w:rPr>
          <w:rFonts w:hint="eastAsia" w:ascii="宋体" w:hAnsi="宋体"/>
          <w:szCs w:val="21"/>
          <w:highlight w:val="none"/>
        </w:rPr>
        <w:t>（1）较大事故，是指造成3人以上10人以下死亡，或者10人以上50人以下重伤，或者1000万元以上5000万元以下直接经济损失的事故；</w:t>
      </w:r>
    </w:p>
    <w:p w14:paraId="73F85EAB">
      <w:pPr>
        <w:spacing w:line="360" w:lineRule="auto"/>
        <w:ind w:firstLine="420" w:firstLineChars="200"/>
        <w:jc w:val="left"/>
        <w:rPr>
          <w:rFonts w:ascii="宋体" w:hAnsi="宋体"/>
          <w:szCs w:val="21"/>
          <w:highlight w:val="none"/>
        </w:rPr>
      </w:pPr>
      <w:r>
        <w:rPr>
          <w:rFonts w:hint="eastAsia" w:ascii="宋体" w:hAnsi="宋体"/>
          <w:szCs w:val="21"/>
          <w:highlight w:val="none"/>
        </w:rPr>
        <w:t>（2）重大事故，是指造成10人以上30人以下死亡，或者50人以上100人以下重伤，或者5000万元以上1亿元以下直接经济损失的事故；</w:t>
      </w:r>
    </w:p>
    <w:p w14:paraId="5554CF2D">
      <w:pPr>
        <w:spacing w:line="360" w:lineRule="auto"/>
        <w:ind w:firstLine="420" w:firstLineChars="200"/>
        <w:jc w:val="left"/>
        <w:rPr>
          <w:rFonts w:ascii="宋体" w:hAnsi="宋体"/>
          <w:szCs w:val="21"/>
          <w:highlight w:val="none"/>
        </w:rPr>
      </w:pPr>
      <w:r>
        <w:rPr>
          <w:rFonts w:hint="eastAsia" w:ascii="宋体" w:hAnsi="宋体"/>
          <w:szCs w:val="21"/>
          <w:highlight w:val="none"/>
        </w:rPr>
        <w:t>（3）特别重大事故，是指造成30人以上死亡，或者100人以上重伤（包括急性工业中毒，下同），或者1亿元以上直接经济损失的事故；</w:t>
      </w:r>
    </w:p>
    <w:p w14:paraId="757A6E89">
      <w:pPr>
        <w:spacing w:line="276" w:lineRule="auto"/>
        <w:ind w:firstLine="420" w:firstLineChars="200"/>
        <w:jc w:val="left"/>
        <w:rPr>
          <w:rFonts w:ascii="宋体" w:hAnsi="宋体"/>
          <w:szCs w:val="21"/>
          <w:highlight w:val="none"/>
        </w:rPr>
      </w:pPr>
      <w:r>
        <w:rPr>
          <w:rFonts w:hint="eastAsia" w:ascii="宋体" w:hAnsi="宋体"/>
          <w:szCs w:val="21"/>
          <w:highlight w:val="none"/>
        </w:rPr>
        <w:t>（4）所称的“以上”包括本数，所称的“以下”不包括本数。</w:t>
      </w:r>
    </w:p>
    <w:p w14:paraId="625BF95F">
      <w:pPr>
        <w:spacing w:line="276" w:lineRule="auto"/>
        <w:ind w:firstLine="420" w:firstLineChars="200"/>
        <w:jc w:val="left"/>
        <w:rPr>
          <w:rFonts w:ascii="宋体" w:hAnsi="宋体"/>
          <w:szCs w:val="21"/>
          <w:highlight w:val="none"/>
        </w:rPr>
      </w:pPr>
      <w:r>
        <w:rPr>
          <w:rFonts w:hint="eastAsia" w:ascii="宋体" w:hAnsi="宋体"/>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9297779">
      <w:pPr>
        <w:spacing w:line="276" w:lineRule="auto"/>
        <w:ind w:firstLine="420" w:firstLineChars="200"/>
        <w:rPr>
          <w:rFonts w:ascii="宋体" w:hAnsi="宋体"/>
          <w:szCs w:val="21"/>
          <w:highlight w:val="none"/>
        </w:rPr>
      </w:pPr>
      <w:bookmarkStart w:id="2067" w:name="_Toc239510308"/>
      <w:bookmarkStart w:id="2068" w:name="_Toc247418282"/>
      <w:bookmarkStart w:id="2069" w:name="_Toc532375717"/>
      <w:bookmarkStart w:id="2070" w:name="_Toc247431442"/>
      <w:r>
        <w:rPr>
          <w:rFonts w:hint="eastAsia" w:ascii="宋体" w:hAnsi="宋体"/>
          <w:szCs w:val="21"/>
          <w:highlight w:val="none"/>
        </w:rPr>
        <w:t>十七、协议条款的修订</w:t>
      </w:r>
      <w:bookmarkEnd w:id="2067"/>
      <w:bookmarkEnd w:id="2068"/>
      <w:bookmarkEnd w:id="2069"/>
      <w:bookmarkEnd w:id="2070"/>
    </w:p>
    <w:p w14:paraId="0C80D543">
      <w:pPr>
        <w:spacing w:line="276" w:lineRule="auto"/>
        <w:ind w:firstLine="420" w:firstLineChars="200"/>
        <w:jc w:val="left"/>
        <w:rPr>
          <w:rFonts w:ascii="宋体" w:hAnsi="宋体"/>
          <w:szCs w:val="21"/>
          <w:highlight w:val="none"/>
        </w:rPr>
      </w:pPr>
      <w:r>
        <w:rPr>
          <w:rFonts w:hint="eastAsia" w:ascii="宋体" w:hAnsi="宋体"/>
          <w:szCs w:val="21"/>
          <w:highlight w:val="none"/>
        </w:rPr>
        <w:t>在项目实施过程中，经双方友好协商，本协议的有关条款也可做出相应的修改。</w:t>
      </w:r>
    </w:p>
    <w:p w14:paraId="48648239">
      <w:pPr>
        <w:spacing w:line="276" w:lineRule="auto"/>
        <w:ind w:firstLine="420" w:firstLineChars="200"/>
        <w:jc w:val="left"/>
        <w:rPr>
          <w:rFonts w:ascii="宋体" w:hAnsi="宋体"/>
          <w:szCs w:val="21"/>
          <w:highlight w:val="none"/>
        </w:rPr>
      </w:pPr>
      <w:r>
        <w:rPr>
          <w:rFonts w:hint="eastAsia" w:ascii="宋体" w:hAnsi="宋体"/>
          <w:szCs w:val="21"/>
          <w:highlight w:val="none"/>
        </w:rPr>
        <w:t>本工程安全管理协议，由发包人、承包人双方在施工承包合同签订后7天内共同签署，作为施工合同附件。</w:t>
      </w:r>
    </w:p>
    <w:p w14:paraId="2F14E555">
      <w:pPr>
        <w:spacing w:line="360" w:lineRule="auto"/>
        <w:ind w:firstLine="420" w:firstLineChars="200"/>
        <w:jc w:val="left"/>
        <w:rPr>
          <w:rFonts w:ascii="宋体" w:hAnsi="宋体"/>
          <w:szCs w:val="21"/>
          <w:highlight w:val="none"/>
        </w:rPr>
      </w:pPr>
      <w:r>
        <w:rPr>
          <w:rFonts w:hint="eastAsia" w:ascii="宋体" w:hAnsi="宋体"/>
          <w:szCs w:val="21"/>
          <w:highlight w:val="none"/>
        </w:rPr>
        <w:t>发  包  人（</w:t>
      </w:r>
      <w:r>
        <w:rPr>
          <w:rFonts w:hint="eastAsia" w:ascii="宋体" w:hAnsi="宋体"/>
          <w:szCs w:val="21"/>
          <w:highlight w:val="none"/>
          <w:lang w:val="en-US" w:eastAsia="zh-CN"/>
        </w:rPr>
        <w:t>单位</w:t>
      </w:r>
      <w:r>
        <w:rPr>
          <w:rFonts w:hint="eastAsia" w:ascii="宋体" w:hAnsi="宋体"/>
          <w:szCs w:val="21"/>
          <w:highlight w:val="none"/>
        </w:rPr>
        <w:t>公章）：</w:t>
      </w:r>
      <w:r>
        <w:rPr>
          <w:rFonts w:hint="eastAsia" w:ascii="宋体" w:hAnsi="宋体" w:cs="宋体"/>
          <w:szCs w:val="21"/>
          <w:highlight w:val="none"/>
          <w:u w:val="single"/>
        </w:rPr>
        <w:t xml:space="preserve">                   </w:t>
      </w:r>
    </w:p>
    <w:p w14:paraId="433E7F96">
      <w:pPr>
        <w:spacing w:line="360" w:lineRule="auto"/>
        <w:ind w:firstLine="420" w:firstLineChars="200"/>
        <w:jc w:val="left"/>
        <w:rPr>
          <w:rFonts w:ascii="宋体" w:hAnsi="宋体"/>
          <w:szCs w:val="21"/>
          <w:highlight w:val="none"/>
        </w:rPr>
      </w:pPr>
      <w:r>
        <w:rPr>
          <w:rFonts w:hint="eastAsia" w:ascii="宋体" w:hAnsi="宋体"/>
          <w:szCs w:val="21"/>
          <w:highlight w:val="none"/>
        </w:rPr>
        <w:t>法定代表人（签名）：</w:t>
      </w:r>
      <w:r>
        <w:rPr>
          <w:rFonts w:hint="eastAsia" w:ascii="宋体" w:hAnsi="宋体" w:cs="宋体"/>
          <w:szCs w:val="21"/>
          <w:highlight w:val="none"/>
          <w:u w:val="single"/>
        </w:rPr>
        <w:t xml:space="preserve">                       </w:t>
      </w:r>
      <w:r>
        <w:rPr>
          <w:rFonts w:hint="eastAsia" w:ascii="宋体" w:hAnsi="宋体"/>
          <w:szCs w:val="21"/>
          <w:highlight w:val="none"/>
        </w:rPr>
        <w:t xml:space="preserve">  </w:t>
      </w:r>
    </w:p>
    <w:p w14:paraId="5D873D91">
      <w:pPr>
        <w:spacing w:line="360" w:lineRule="auto"/>
        <w:ind w:firstLine="420" w:firstLineChars="200"/>
        <w:jc w:val="left"/>
        <w:rPr>
          <w:rFonts w:ascii="宋体" w:hAnsi="宋体"/>
          <w:szCs w:val="21"/>
          <w:highlight w:val="none"/>
        </w:rPr>
      </w:pPr>
      <w:r>
        <w:rPr>
          <w:rFonts w:hint="eastAsia" w:ascii="宋体" w:hAnsi="宋体"/>
          <w:szCs w:val="21"/>
          <w:highlight w:val="none"/>
        </w:rPr>
        <w:t>或其委托代理人（签名）：</w:t>
      </w:r>
      <w:r>
        <w:rPr>
          <w:rFonts w:hint="eastAsia" w:ascii="宋体" w:hAnsi="宋体" w:cs="宋体"/>
          <w:szCs w:val="21"/>
          <w:highlight w:val="none"/>
          <w:u w:val="single"/>
        </w:rPr>
        <w:t xml:space="preserve">                   </w:t>
      </w:r>
      <w:r>
        <w:rPr>
          <w:rFonts w:hint="eastAsia" w:ascii="宋体" w:hAnsi="宋体"/>
          <w:szCs w:val="21"/>
          <w:highlight w:val="none"/>
        </w:rPr>
        <w:t xml:space="preserve">  </w:t>
      </w:r>
    </w:p>
    <w:p w14:paraId="6E59771B">
      <w:pPr>
        <w:spacing w:line="360" w:lineRule="auto"/>
        <w:ind w:firstLine="420" w:firstLineChars="200"/>
        <w:jc w:val="left"/>
        <w:rPr>
          <w:rFonts w:ascii="宋体" w:hAnsi="宋体"/>
          <w:szCs w:val="21"/>
          <w:highlight w:val="none"/>
        </w:rPr>
      </w:pPr>
    </w:p>
    <w:p w14:paraId="02B98E21">
      <w:pPr>
        <w:spacing w:line="360" w:lineRule="auto"/>
        <w:ind w:firstLine="420" w:firstLineChars="200"/>
        <w:jc w:val="left"/>
        <w:rPr>
          <w:rFonts w:ascii="宋体" w:hAnsi="宋体"/>
          <w:kern w:val="0"/>
          <w:szCs w:val="21"/>
          <w:highlight w:val="none"/>
        </w:rPr>
      </w:pPr>
      <w:r>
        <w:rPr>
          <w:rFonts w:hint="eastAsia" w:ascii="宋体" w:hAnsi="宋体"/>
          <w:szCs w:val="21"/>
          <w:highlight w:val="none"/>
        </w:rPr>
        <w:t>承  包  人（</w:t>
      </w:r>
      <w:r>
        <w:rPr>
          <w:rFonts w:hint="eastAsia" w:ascii="宋体" w:hAnsi="宋体"/>
          <w:szCs w:val="21"/>
          <w:highlight w:val="none"/>
          <w:lang w:val="en-US" w:eastAsia="zh-CN"/>
        </w:rPr>
        <w:t>单位</w:t>
      </w:r>
      <w:r>
        <w:rPr>
          <w:rFonts w:hint="eastAsia" w:ascii="宋体" w:hAnsi="宋体"/>
          <w:szCs w:val="21"/>
          <w:highlight w:val="none"/>
        </w:rPr>
        <w:t>公章）：</w:t>
      </w:r>
      <w:r>
        <w:rPr>
          <w:rFonts w:hint="eastAsia" w:ascii="宋体" w:hAnsi="宋体" w:cs="宋体"/>
          <w:szCs w:val="21"/>
          <w:highlight w:val="none"/>
          <w:u w:val="single"/>
        </w:rPr>
        <w:t xml:space="preserve">                   </w:t>
      </w:r>
    </w:p>
    <w:p w14:paraId="27428F60">
      <w:pPr>
        <w:spacing w:line="360" w:lineRule="auto"/>
        <w:ind w:firstLine="420" w:firstLineChars="200"/>
        <w:jc w:val="left"/>
        <w:rPr>
          <w:rFonts w:ascii="宋体" w:hAnsi="宋体"/>
          <w:szCs w:val="21"/>
          <w:highlight w:val="none"/>
        </w:rPr>
      </w:pPr>
      <w:r>
        <w:rPr>
          <w:rFonts w:hint="eastAsia" w:ascii="宋体" w:hAnsi="宋体"/>
          <w:szCs w:val="21"/>
          <w:highlight w:val="none"/>
        </w:rPr>
        <w:t>法定代表人（签名）：</w:t>
      </w:r>
      <w:r>
        <w:rPr>
          <w:rFonts w:hint="eastAsia" w:ascii="宋体" w:hAnsi="宋体" w:cs="宋体"/>
          <w:szCs w:val="21"/>
          <w:highlight w:val="none"/>
          <w:u w:val="single"/>
        </w:rPr>
        <w:t xml:space="preserve">                       </w:t>
      </w:r>
    </w:p>
    <w:p w14:paraId="1CFD7B77">
      <w:pPr>
        <w:spacing w:line="360" w:lineRule="auto"/>
        <w:ind w:firstLine="420" w:firstLineChars="200"/>
        <w:jc w:val="left"/>
        <w:rPr>
          <w:rFonts w:ascii="宋体" w:hAnsi="宋体"/>
          <w:kern w:val="0"/>
          <w:szCs w:val="21"/>
          <w:highlight w:val="none"/>
        </w:rPr>
      </w:pPr>
      <w:r>
        <w:rPr>
          <w:rFonts w:hint="eastAsia" w:ascii="宋体" w:hAnsi="宋体"/>
          <w:szCs w:val="21"/>
          <w:highlight w:val="none"/>
        </w:rPr>
        <w:t>或其委托代理人（签名）：</w:t>
      </w:r>
      <w:r>
        <w:rPr>
          <w:rFonts w:hint="eastAsia" w:ascii="宋体" w:hAnsi="宋体" w:cs="宋体"/>
          <w:szCs w:val="21"/>
          <w:highlight w:val="none"/>
          <w:u w:val="single"/>
        </w:rPr>
        <w:t xml:space="preserve">                   </w:t>
      </w:r>
    </w:p>
    <w:p w14:paraId="3AC20AEE">
      <w:pPr>
        <w:snapToGrid w:val="0"/>
        <w:spacing w:line="360" w:lineRule="auto"/>
        <w:jc w:val="left"/>
        <w:rPr>
          <w:rFonts w:ascii="宋体" w:hAnsi="宋体"/>
          <w:kern w:val="0"/>
          <w:szCs w:val="21"/>
          <w:highlight w:val="none"/>
        </w:rPr>
      </w:pPr>
      <w:r>
        <w:rPr>
          <w:rFonts w:hint="eastAsia" w:ascii="宋体" w:hAnsi="宋体"/>
          <w:szCs w:val="21"/>
          <w:highlight w:val="none"/>
        </w:rPr>
        <w:br w:type="page"/>
      </w:r>
    </w:p>
    <w:p w14:paraId="2922E90C">
      <w:pPr>
        <w:spacing w:line="480" w:lineRule="auto"/>
        <w:rPr>
          <w:rFonts w:ascii="宋体" w:hAnsi="宋体"/>
          <w:szCs w:val="21"/>
          <w:highlight w:val="none"/>
        </w:rPr>
      </w:pPr>
      <w:r>
        <w:rPr>
          <w:rFonts w:hint="eastAsia" w:ascii="宋体" w:hAnsi="宋体"/>
          <w:szCs w:val="21"/>
          <w:highlight w:val="none"/>
        </w:rPr>
        <w:t>附件</w:t>
      </w:r>
      <w:r>
        <w:rPr>
          <w:rFonts w:ascii="宋体" w:hAnsi="宋体"/>
          <w:szCs w:val="21"/>
          <w:highlight w:val="none"/>
        </w:rPr>
        <w:t>10</w:t>
      </w:r>
      <w:r>
        <w:rPr>
          <w:rFonts w:hint="eastAsia" w:ascii="宋体" w:hAnsi="宋体"/>
          <w:szCs w:val="21"/>
          <w:highlight w:val="none"/>
        </w:rPr>
        <w:t>：</w:t>
      </w:r>
    </w:p>
    <w:p w14:paraId="6157B8D4">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保障农民工工资支付协议</w:t>
      </w:r>
    </w:p>
    <w:p w14:paraId="298ADF49">
      <w:pPr>
        <w:snapToGrid w:val="0"/>
        <w:spacing w:line="480" w:lineRule="auto"/>
        <w:rPr>
          <w:rFonts w:ascii="宋体" w:hAnsi="宋体"/>
          <w:szCs w:val="21"/>
          <w:highlight w:val="none"/>
        </w:rPr>
      </w:pPr>
      <w:r>
        <w:rPr>
          <w:rFonts w:hint="eastAsia" w:ascii="宋体" w:hAnsi="宋体"/>
          <w:szCs w:val="21"/>
          <w:highlight w:val="none"/>
        </w:rPr>
        <w:t xml:space="preserve"> 发包人：</w:t>
      </w:r>
      <w:r>
        <w:rPr>
          <w:rFonts w:hint="eastAsia" w:ascii="宋体" w:hAnsi="宋体" w:cs="宋体"/>
          <w:szCs w:val="21"/>
          <w:highlight w:val="none"/>
          <w:u w:val="single"/>
        </w:rPr>
        <w:t xml:space="preserve">                                 </w:t>
      </w:r>
      <w:r>
        <w:rPr>
          <w:rFonts w:hint="eastAsia" w:ascii="宋体" w:hAnsi="宋体"/>
          <w:szCs w:val="21"/>
          <w:highlight w:val="none"/>
        </w:rPr>
        <w:t>（发包人）</w:t>
      </w:r>
    </w:p>
    <w:p w14:paraId="6D72E390">
      <w:pPr>
        <w:snapToGrid w:val="0"/>
        <w:spacing w:line="360" w:lineRule="auto"/>
        <w:rPr>
          <w:rFonts w:ascii="宋体" w:hAnsi="宋体"/>
          <w:szCs w:val="21"/>
          <w:highlight w:val="none"/>
        </w:rPr>
      </w:pPr>
      <w:r>
        <w:rPr>
          <w:rFonts w:hint="eastAsia" w:ascii="宋体" w:hAnsi="宋体"/>
          <w:szCs w:val="21"/>
          <w:highlight w:val="none"/>
        </w:rPr>
        <w:t xml:space="preserve"> 承包人：</w:t>
      </w:r>
      <w:r>
        <w:rPr>
          <w:rFonts w:hint="eastAsia" w:ascii="宋体" w:hAnsi="宋体" w:cs="宋体"/>
          <w:szCs w:val="21"/>
          <w:highlight w:val="none"/>
          <w:u w:val="single"/>
        </w:rPr>
        <w:t xml:space="preserve">                                 </w:t>
      </w:r>
      <w:r>
        <w:rPr>
          <w:rFonts w:hint="eastAsia" w:ascii="宋体" w:hAnsi="宋体"/>
          <w:szCs w:val="21"/>
          <w:highlight w:val="none"/>
        </w:rPr>
        <w:t>（承包人）</w:t>
      </w:r>
    </w:p>
    <w:p w14:paraId="7BFCF542">
      <w:pPr>
        <w:spacing w:line="360" w:lineRule="auto"/>
        <w:ind w:firstLine="420" w:firstLineChars="200"/>
        <w:rPr>
          <w:rFonts w:ascii="宋体" w:hAnsi="宋体"/>
          <w:szCs w:val="21"/>
          <w:highlight w:val="none"/>
        </w:rPr>
      </w:pPr>
      <w:r>
        <w:rPr>
          <w:rFonts w:hint="eastAsia" w:ascii="宋体" w:hAnsi="宋体"/>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4A8411A5">
      <w:pPr>
        <w:spacing w:line="360" w:lineRule="auto"/>
        <w:ind w:firstLine="420" w:firstLineChars="200"/>
        <w:rPr>
          <w:rFonts w:ascii="宋体" w:hAnsi="宋体"/>
          <w:szCs w:val="21"/>
          <w:highlight w:val="none"/>
        </w:rPr>
      </w:pPr>
      <w:r>
        <w:rPr>
          <w:rFonts w:hint="eastAsia" w:ascii="宋体" w:hAnsi="宋体"/>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605BA911">
      <w:pPr>
        <w:spacing w:line="360" w:lineRule="auto"/>
        <w:ind w:firstLine="420" w:firstLineChars="200"/>
        <w:rPr>
          <w:rFonts w:ascii="宋体" w:hAnsi="宋体"/>
          <w:szCs w:val="21"/>
          <w:highlight w:val="none"/>
        </w:rPr>
      </w:pPr>
      <w:r>
        <w:rPr>
          <w:rFonts w:hint="eastAsia" w:ascii="宋体" w:hAnsi="宋体"/>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48D841B2">
      <w:pPr>
        <w:spacing w:line="360" w:lineRule="auto"/>
        <w:ind w:firstLine="420" w:firstLineChars="200"/>
        <w:rPr>
          <w:rFonts w:ascii="宋体" w:hAnsi="宋体"/>
          <w:szCs w:val="21"/>
          <w:highlight w:val="none"/>
        </w:rPr>
      </w:pPr>
      <w:r>
        <w:rPr>
          <w:rFonts w:hint="eastAsia" w:ascii="宋体" w:hAnsi="宋体"/>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50DBEDD1">
      <w:pPr>
        <w:spacing w:line="360" w:lineRule="auto"/>
        <w:ind w:firstLine="420" w:firstLineChars="200"/>
        <w:rPr>
          <w:rFonts w:ascii="宋体" w:hAnsi="宋体"/>
          <w:szCs w:val="21"/>
          <w:highlight w:val="none"/>
        </w:rPr>
      </w:pPr>
      <w:r>
        <w:rPr>
          <w:rFonts w:hint="eastAsia" w:ascii="宋体" w:hAnsi="宋体"/>
          <w:szCs w:val="21"/>
          <w:highlight w:val="none"/>
        </w:rPr>
        <w:t>四、若发现承包人有下列事项的，发包人在支付当期进度款时暂扣当期应支付进度款5%比例的款项。</w:t>
      </w:r>
      <w:r>
        <w:rPr>
          <w:rFonts w:hint="eastAsia" w:ascii="宋体" w:hAnsi="宋体"/>
          <w:szCs w:val="21"/>
          <w:highlight w:val="none"/>
        </w:rPr>
        <w:br w:type="textWrapping"/>
      </w:r>
      <w:r>
        <w:rPr>
          <w:rFonts w:hint="eastAsia" w:ascii="宋体" w:hAnsi="宋体"/>
          <w:szCs w:val="21"/>
          <w:highlight w:val="none"/>
        </w:rPr>
        <w:t xml:space="preserve">    （一）现场检查发现项目存在拖欠农民工工资情况并经核查属实的；</w:t>
      </w:r>
    </w:p>
    <w:p w14:paraId="64B3FA89">
      <w:pPr>
        <w:spacing w:line="360" w:lineRule="auto"/>
        <w:ind w:firstLine="420" w:firstLineChars="200"/>
        <w:rPr>
          <w:rFonts w:ascii="宋体" w:hAnsi="宋体"/>
          <w:szCs w:val="21"/>
          <w:highlight w:val="none"/>
        </w:rPr>
      </w:pPr>
      <w:r>
        <w:rPr>
          <w:rFonts w:hint="eastAsia" w:ascii="宋体" w:hAnsi="宋体"/>
          <w:szCs w:val="21"/>
          <w:highlight w:val="none"/>
        </w:rPr>
        <w:t>（二）相关行政管理部门检查发现存在拖欠农民工工资情况并经核查属实的；</w:t>
      </w:r>
      <w:r>
        <w:rPr>
          <w:rFonts w:hint="eastAsia" w:ascii="宋体" w:hAnsi="宋体"/>
          <w:szCs w:val="21"/>
          <w:highlight w:val="none"/>
        </w:rPr>
        <w:br w:type="textWrapping"/>
      </w:r>
      <w:r>
        <w:rPr>
          <w:rFonts w:hint="eastAsia" w:ascii="宋体" w:hAnsi="宋体"/>
          <w:szCs w:val="21"/>
          <w:highlight w:val="none"/>
        </w:rPr>
        <w:t xml:space="preserve">    （三）有拖欠农民工工资投诉事项并经核查属实的。</w:t>
      </w:r>
      <w:r>
        <w:rPr>
          <w:rFonts w:hint="eastAsia" w:ascii="宋体" w:hAnsi="宋体"/>
          <w:szCs w:val="21"/>
          <w:highlight w:val="none"/>
        </w:rPr>
        <w:br w:type="textWrapping"/>
      </w:r>
      <w:r>
        <w:rPr>
          <w:rFonts w:hint="eastAsia" w:ascii="宋体" w:hAnsi="宋体"/>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3E1A8306">
      <w:pPr>
        <w:tabs>
          <w:tab w:val="left" w:pos="1080"/>
          <w:tab w:val="left" w:pos="1260"/>
          <w:tab w:val="left" w:pos="1440"/>
        </w:tabs>
        <w:spacing w:line="360" w:lineRule="auto"/>
        <w:ind w:firstLine="420" w:firstLineChars="200"/>
        <w:rPr>
          <w:rFonts w:ascii="宋体" w:hAnsi="宋体"/>
          <w:snapToGrid w:val="0"/>
          <w:spacing w:val="-4"/>
          <w:kern w:val="0"/>
          <w:szCs w:val="21"/>
          <w:highlight w:val="none"/>
        </w:rPr>
      </w:pPr>
      <w:r>
        <w:rPr>
          <w:rFonts w:hint="eastAsia" w:ascii="宋体" w:hAnsi="宋体"/>
          <w:szCs w:val="21"/>
          <w:highlight w:val="none"/>
        </w:rPr>
        <w:t>六、本协议经双方法定代表人或委托代理人签名并加盖</w:t>
      </w:r>
      <w:r>
        <w:rPr>
          <w:rFonts w:hint="eastAsia" w:ascii="宋体" w:hAnsi="宋体"/>
          <w:szCs w:val="21"/>
          <w:highlight w:val="none"/>
          <w:lang w:val="en-US" w:eastAsia="zh-CN"/>
        </w:rPr>
        <w:t>单位</w:t>
      </w:r>
      <w:r>
        <w:rPr>
          <w:rFonts w:hint="eastAsia" w:ascii="宋体" w:hAnsi="宋体"/>
          <w:szCs w:val="21"/>
          <w:highlight w:val="none"/>
        </w:rPr>
        <w:t>公章后生效，履行完毕后自然失效。</w:t>
      </w:r>
    </w:p>
    <w:p w14:paraId="51226FFC">
      <w:pPr>
        <w:spacing w:line="360" w:lineRule="auto"/>
        <w:ind w:firstLine="420" w:firstLineChars="200"/>
        <w:rPr>
          <w:rFonts w:ascii="宋体" w:hAnsi="宋体"/>
          <w:szCs w:val="21"/>
          <w:highlight w:val="none"/>
        </w:rPr>
      </w:pPr>
      <w:r>
        <w:rPr>
          <w:rFonts w:hint="eastAsia" w:ascii="宋体" w:hAnsi="宋体"/>
          <w:szCs w:val="21"/>
          <w:highlight w:val="none"/>
        </w:rPr>
        <w:t>附件：</w:t>
      </w:r>
    </w:p>
    <w:p w14:paraId="7EF9FCE2">
      <w:pPr>
        <w:spacing w:line="360" w:lineRule="auto"/>
        <w:ind w:firstLine="420" w:firstLineChars="200"/>
        <w:rPr>
          <w:rFonts w:ascii="宋体" w:hAnsi="宋体"/>
          <w:szCs w:val="21"/>
          <w:highlight w:val="none"/>
        </w:rPr>
      </w:pPr>
      <w:r>
        <w:rPr>
          <w:rFonts w:hint="eastAsia" w:ascii="宋体" w:hAnsi="宋体"/>
          <w:szCs w:val="21"/>
          <w:highlight w:val="none"/>
        </w:rPr>
        <w:t>1、关于农民工工资发放情况的说明表</w:t>
      </w:r>
    </w:p>
    <w:p w14:paraId="4D96EFE7">
      <w:pPr>
        <w:pStyle w:val="2"/>
        <w:spacing w:line="360" w:lineRule="auto"/>
        <w:ind w:firstLine="420" w:firstLineChars="200"/>
        <w:rPr>
          <w:rFonts w:ascii="宋体" w:hAnsi="宋体"/>
          <w:szCs w:val="21"/>
          <w:highlight w:val="none"/>
        </w:rPr>
      </w:pPr>
    </w:p>
    <w:p w14:paraId="3BB99DF0">
      <w:pPr>
        <w:pStyle w:val="2"/>
        <w:spacing w:line="360" w:lineRule="auto"/>
        <w:ind w:firstLine="420" w:firstLineChars="200"/>
        <w:rPr>
          <w:rFonts w:ascii="宋体" w:hAnsi="宋体"/>
          <w:szCs w:val="21"/>
          <w:highlight w:val="none"/>
        </w:rPr>
      </w:pPr>
    </w:p>
    <w:p w14:paraId="2E9D2169">
      <w:pPr>
        <w:pStyle w:val="2"/>
        <w:spacing w:line="360" w:lineRule="auto"/>
        <w:ind w:firstLine="420" w:firstLineChars="200"/>
        <w:rPr>
          <w:rFonts w:ascii="宋体" w:hAnsi="宋体"/>
          <w:szCs w:val="21"/>
          <w:highlight w:val="none"/>
        </w:rPr>
      </w:pPr>
    </w:p>
    <w:p w14:paraId="45A7FD61">
      <w:pPr>
        <w:spacing w:line="360" w:lineRule="auto"/>
        <w:ind w:firstLine="420" w:firstLineChars="200"/>
        <w:rPr>
          <w:rFonts w:ascii="宋体" w:hAnsi="宋体"/>
          <w:szCs w:val="21"/>
          <w:highlight w:val="none"/>
        </w:rPr>
      </w:pPr>
      <w:r>
        <w:rPr>
          <w:rFonts w:hint="eastAsia" w:ascii="宋体" w:hAnsi="宋体"/>
          <w:szCs w:val="21"/>
          <w:highlight w:val="none"/>
        </w:rPr>
        <w:t>（以下无正文）</w:t>
      </w:r>
    </w:p>
    <w:p w14:paraId="3E916643">
      <w:pPr>
        <w:spacing w:line="360" w:lineRule="auto"/>
        <w:ind w:firstLine="420" w:firstLineChars="200"/>
        <w:rPr>
          <w:rFonts w:ascii="宋体" w:hAnsi="宋体"/>
          <w:szCs w:val="21"/>
          <w:highlight w:val="none"/>
        </w:rPr>
      </w:pPr>
    </w:p>
    <w:p w14:paraId="69714F29">
      <w:pPr>
        <w:spacing w:line="360" w:lineRule="auto"/>
        <w:ind w:firstLine="420" w:firstLineChars="200"/>
        <w:rPr>
          <w:rFonts w:ascii="宋体" w:hAnsi="宋体"/>
          <w:szCs w:val="21"/>
          <w:highlight w:val="none"/>
        </w:rPr>
      </w:pPr>
    </w:p>
    <w:p w14:paraId="47C09CFC">
      <w:pPr>
        <w:pStyle w:val="2"/>
        <w:spacing w:line="360" w:lineRule="auto"/>
        <w:rPr>
          <w:rFonts w:ascii="宋体" w:hAnsi="宋体"/>
          <w:szCs w:val="21"/>
          <w:highlight w:val="none"/>
        </w:rPr>
      </w:pPr>
    </w:p>
    <w:p w14:paraId="01A5CEAF">
      <w:pPr>
        <w:spacing w:line="360" w:lineRule="auto"/>
        <w:rPr>
          <w:rFonts w:ascii="宋体" w:hAnsi="宋体"/>
          <w:szCs w:val="21"/>
          <w:highlight w:val="none"/>
        </w:rPr>
      </w:pPr>
      <w:r>
        <w:rPr>
          <w:rFonts w:hint="eastAsia" w:ascii="宋体" w:hAnsi="宋体"/>
          <w:szCs w:val="21"/>
          <w:highlight w:val="none"/>
        </w:rPr>
        <w:t>发包人：</w:t>
      </w:r>
      <w:r>
        <w:rPr>
          <w:rFonts w:hint="eastAsia" w:ascii="宋体" w:hAnsi="宋体" w:cs="宋体"/>
          <w:szCs w:val="21"/>
          <w:highlight w:val="none"/>
          <w:u w:val="single"/>
        </w:rPr>
        <w:t xml:space="preserve">       </w:t>
      </w:r>
      <w:r>
        <w:rPr>
          <w:rFonts w:hint="eastAsia" w:ascii="宋体" w:hAnsi="宋体"/>
          <w:szCs w:val="21"/>
          <w:highlight w:val="none"/>
        </w:rPr>
        <w:t>（发包人）</w:t>
      </w:r>
    </w:p>
    <w:p w14:paraId="09B36107">
      <w:pPr>
        <w:spacing w:line="360" w:lineRule="auto"/>
        <w:rPr>
          <w:rFonts w:ascii="宋体" w:hAnsi="宋体"/>
          <w:szCs w:val="21"/>
          <w:highlight w:val="none"/>
        </w:rPr>
      </w:pPr>
      <w:r>
        <w:rPr>
          <w:rFonts w:hint="eastAsia" w:ascii="宋体" w:hAnsi="宋体"/>
          <w:szCs w:val="21"/>
          <w:highlight w:val="none"/>
        </w:rPr>
        <w:t>法定代表人：</w:t>
      </w:r>
      <w:r>
        <w:rPr>
          <w:rFonts w:hint="eastAsia" w:ascii="宋体" w:hAnsi="宋体" w:cs="宋体"/>
          <w:szCs w:val="21"/>
          <w:highlight w:val="none"/>
          <w:u w:val="single"/>
        </w:rPr>
        <w:t xml:space="preserve">       </w:t>
      </w:r>
    </w:p>
    <w:p w14:paraId="028D74D1">
      <w:pPr>
        <w:spacing w:line="360" w:lineRule="auto"/>
        <w:rPr>
          <w:rFonts w:ascii="宋体" w:hAnsi="宋体"/>
          <w:szCs w:val="21"/>
          <w:highlight w:val="none"/>
        </w:rPr>
      </w:pPr>
      <w:r>
        <w:rPr>
          <w:rFonts w:hint="eastAsia" w:ascii="宋体" w:hAnsi="宋体"/>
          <w:szCs w:val="21"/>
          <w:highlight w:val="none"/>
        </w:rPr>
        <w:t>或委托代理人：</w:t>
      </w:r>
      <w:r>
        <w:rPr>
          <w:rFonts w:hint="eastAsia" w:ascii="宋体" w:hAnsi="宋体" w:cs="宋体"/>
          <w:szCs w:val="21"/>
          <w:highlight w:val="none"/>
          <w:u w:val="single"/>
        </w:rPr>
        <w:t xml:space="preserve">       </w:t>
      </w:r>
    </w:p>
    <w:p w14:paraId="468C5808">
      <w:pPr>
        <w:spacing w:line="360" w:lineRule="auto"/>
        <w:rPr>
          <w:rFonts w:ascii="宋体" w:hAnsi="宋体"/>
          <w:szCs w:val="21"/>
          <w:highlight w:val="none"/>
        </w:rPr>
      </w:pPr>
      <w:r>
        <w:rPr>
          <w:rFonts w:hint="eastAsia" w:ascii="宋体" w:hAnsi="宋体"/>
          <w:szCs w:val="21"/>
          <w:highlight w:val="none"/>
        </w:rPr>
        <w:t>联系人：</w:t>
      </w:r>
      <w:r>
        <w:rPr>
          <w:rFonts w:hint="eastAsia" w:ascii="宋体" w:hAnsi="宋体" w:cs="宋体"/>
          <w:szCs w:val="21"/>
          <w:highlight w:val="none"/>
          <w:u w:val="single"/>
        </w:rPr>
        <w:t xml:space="preserve">       </w:t>
      </w:r>
    </w:p>
    <w:p w14:paraId="29F01DF2">
      <w:pPr>
        <w:spacing w:line="360" w:lineRule="auto"/>
        <w:rPr>
          <w:rFonts w:ascii="宋体" w:hAnsi="宋体"/>
          <w:szCs w:val="21"/>
          <w:highlight w:val="none"/>
        </w:rPr>
      </w:pPr>
    </w:p>
    <w:p w14:paraId="1355CDF6">
      <w:pPr>
        <w:spacing w:line="360" w:lineRule="auto"/>
        <w:rPr>
          <w:rFonts w:ascii="宋体" w:hAnsi="宋体"/>
          <w:szCs w:val="21"/>
          <w:highlight w:val="none"/>
        </w:rPr>
      </w:pPr>
    </w:p>
    <w:p w14:paraId="705FDC51">
      <w:pPr>
        <w:spacing w:line="360" w:lineRule="auto"/>
        <w:rPr>
          <w:rFonts w:ascii="宋体" w:hAnsi="宋体"/>
          <w:szCs w:val="21"/>
          <w:highlight w:val="none"/>
        </w:rPr>
      </w:pPr>
    </w:p>
    <w:p w14:paraId="062EF9A7">
      <w:pPr>
        <w:spacing w:line="360" w:lineRule="auto"/>
        <w:rPr>
          <w:rFonts w:ascii="宋体" w:hAnsi="宋体"/>
          <w:szCs w:val="21"/>
          <w:highlight w:val="none"/>
        </w:rPr>
      </w:pPr>
      <w:r>
        <w:rPr>
          <w:rFonts w:hint="eastAsia" w:ascii="宋体" w:hAnsi="宋体"/>
          <w:szCs w:val="21"/>
          <w:highlight w:val="none"/>
        </w:rPr>
        <w:t>承包人：</w:t>
      </w:r>
      <w:r>
        <w:rPr>
          <w:rFonts w:hint="eastAsia" w:ascii="宋体" w:hAnsi="宋体" w:cs="宋体"/>
          <w:szCs w:val="21"/>
          <w:highlight w:val="none"/>
          <w:u w:val="single"/>
        </w:rPr>
        <w:t xml:space="preserve">       </w:t>
      </w:r>
      <w:r>
        <w:rPr>
          <w:rFonts w:hint="eastAsia" w:ascii="宋体" w:hAnsi="宋体"/>
          <w:szCs w:val="21"/>
          <w:highlight w:val="none"/>
        </w:rPr>
        <w:t>（承包人）</w:t>
      </w:r>
    </w:p>
    <w:p w14:paraId="7A0B1D52">
      <w:pPr>
        <w:spacing w:line="360" w:lineRule="auto"/>
        <w:rPr>
          <w:rFonts w:ascii="宋体" w:hAnsi="宋体"/>
          <w:szCs w:val="21"/>
          <w:highlight w:val="none"/>
        </w:rPr>
      </w:pPr>
      <w:r>
        <w:rPr>
          <w:rFonts w:hint="eastAsia" w:ascii="宋体" w:hAnsi="宋体"/>
          <w:szCs w:val="21"/>
          <w:highlight w:val="none"/>
        </w:rPr>
        <w:t>法定代表人：</w:t>
      </w:r>
      <w:r>
        <w:rPr>
          <w:rFonts w:hint="eastAsia" w:ascii="宋体" w:hAnsi="宋体" w:cs="宋体"/>
          <w:szCs w:val="21"/>
          <w:highlight w:val="none"/>
          <w:u w:val="single"/>
        </w:rPr>
        <w:t xml:space="preserve">       </w:t>
      </w:r>
    </w:p>
    <w:p w14:paraId="1BB42E87">
      <w:pPr>
        <w:spacing w:line="360" w:lineRule="auto"/>
        <w:rPr>
          <w:rFonts w:ascii="宋体" w:hAnsi="宋体"/>
          <w:szCs w:val="21"/>
          <w:highlight w:val="none"/>
        </w:rPr>
      </w:pPr>
      <w:r>
        <w:rPr>
          <w:rFonts w:hint="eastAsia" w:ascii="宋体" w:hAnsi="宋体"/>
          <w:szCs w:val="21"/>
          <w:highlight w:val="none"/>
        </w:rPr>
        <w:t>或委托代理人：</w:t>
      </w:r>
      <w:r>
        <w:rPr>
          <w:rFonts w:hint="eastAsia" w:ascii="宋体" w:hAnsi="宋体" w:cs="宋体"/>
          <w:szCs w:val="21"/>
          <w:highlight w:val="none"/>
          <w:u w:val="single"/>
        </w:rPr>
        <w:t xml:space="preserve">       </w:t>
      </w:r>
    </w:p>
    <w:p w14:paraId="356873ED">
      <w:pPr>
        <w:spacing w:line="360" w:lineRule="auto"/>
        <w:rPr>
          <w:rFonts w:ascii="宋体" w:hAnsi="宋体"/>
          <w:szCs w:val="21"/>
          <w:highlight w:val="none"/>
        </w:rPr>
      </w:pPr>
      <w:r>
        <w:rPr>
          <w:rFonts w:hint="eastAsia" w:ascii="宋体" w:hAnsi="宋体"/>
          <w:szCs w:val="21"/>
          <w:highlight w:val="none"/>
        </w:rPr>
        <w:t>联系人：</w:t>
      </w:r>
      <w:r>
        <w:rPr>
          <w:rFonts w:hint="eastAsia" w:ascii="宋体" w:hAnsi="宋体" w:cs="宋体"/>
          <w:szCs w:val="21"/>
          <w:highlight w:val="none"/>
          <w:u w:val="single"/>
        </w:rPr>
        <w:t xml:space="preserve">       </w:t>
      </w:r>
    </w:p>
    <w:p w14:paraId="1E57A7FF">
      <w:pPr>
        <w:snapToGrid w:val="0"/>
        <w:spacing w:line="360" w:lineRule="auto"/>
        <w:ind w:firstLine="560"/>
        <w:rPr>
          <w:rFonts w:ascii="宋体" w:hAnsi="宋体"/>
          <w:szCs w:val="21"/>
          <w:highlight w:val="none"/>
        </w:rPr>
      </w:pPr>
    </w:p>
    <w:p w14:paraId="7B1B0F4B">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保障农民工工资支付协议附件1：</w:t>
      </w:r>
    </w:p>
    <w:p w14:paraId="7A215B53">
      <w:pPr>
        <w:widowControl/>
        <w:snapToGrid w:val="0"/>
        <w:spacing w:after="100" w:afterAutospacing="1" w:line="480" w:lineRule="auto"/>
        <w:jc w:val="center"/>
        <w:rPr>
          <w:rFonts w:ascii="宋体" w:hAnsi="宋体"/>
          <w:szCs w:val="21"/>
          <w:highlight w:val="none"/>
        </w:rPr>
      </w:pPr>
      <w:r>
        <w:rPr>
          <w:rFonts w:hint="eastAsia" w:ascii="宋体" w:hAnsi="宋体"/>
          <w:szCs w:val="21"/>
          <w:highlight w:val="none"/>
        </w:rPr>
        <w:t>关于农民工工资发放情况的说明表</w:t>
      </w:r>
    </w:p>
    <w:tbl>
      <w:tblPr>
        <w:tblStyle w:val="4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35B6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7F74E6AF">
            <w:pPr>
              <w:keepNext w:val="0"/>
              <w:keepLines w:val="0"/>
              <w:widowControl/>
              <w:suppressLineNumbers w:val="0"/>
              <w:snapToGrid w:val="0"/>
              <w:spacing w:before="0" w:beforeAutospacing="0" w:after="100" w:afterAutospacing="1" w:line="400" w:lineRule="exact"/>
              <w:ind w:left="0" w:right="0"/>
              <w:jc w:val="left"/>
              <w:rPr>
                <w:rFonts w:hint="default" w:ascii="宋体" w:hAnsi="宋体"/>
                <w:kern w:val="0"/>
                <w:szCs w:val="21"/>
                <w:highlight w:val="none"/>
              </w:rPr>
            </w:pPr>
            <w:r>
              <w:rPr>
                <w:rFonts w:hint="eastAsia" w:ascii="宋体" w:hAnsi="宋体"/>
                <w:kern w:val="0"/>
                <w:szCs w:val="21"/>
                <w:highlight w:val="none"/>
              </w:rPr>
              <w:t>工程名称：</w:t>
            </w:r>
          </w:p>
        </w:tc>
      </w:tr>
      <w:tr w14:paraId="3BD0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6616AE0A">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rPr>
            </w:pPr>
            <w:r>
              <w:rPr>
                <w:rFonts w:hint="eastAsia" w:ascii="宋体" w:hAnsi="宋体"/>
                <w:kern w:val="0"/>
                <w:szCs w:val="21"/>
                <w:highlight w:val="none"/>
              </w:rPr>
              <w:t>施工单位：</w:t>
            </w:r>
          </w:p>
        </w:tc>
        <w:tc>
          <w:tcPr>
            <w:tcW w:w="6201" w:type="dxa"/>
          </w:tcPr>
          <w:p w14:paraId="7F7F2529">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rPr>
            </w:pPr>
          </w:p>
        </w:tc>
      </w:tr>
      <w:tr w14:paraId="7023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48EF11B5">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rPr>
            </w:pPr>
            <w:r>
              <w:rPr>
                <w:rFonts w:hint="eastAsia" w:ascii="宋体" w:hAnsi="宋体"/>
                <w:kern w:val="0"/>
                <w:szCs w:val="21"/>
                <w:highlight w:val="none"/>
              </w:rPr>
              <w:t>监理单位：</w:t>
            </w:r>
          </w:p>
        </w:tc>
        <w:tc>
          <w:tcPr>
            <w:tcW w:w="6201" w:type="dxa"/>
          </w:tcPr>
          <w:p w14:paraId="523DAA0B">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rPr>
            </w:pPr>
          </w:p>
        </w:tc>
      </w:tr>
      <w:tr w14:paraId="4B1C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7DCEBFC6">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u w:val="single"/>
              </w:rPr>
            </w:pPr>
          </w:p>
          <w:p w14:paraId="34A624A5">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rPr>
            </w:pPr>
            <w:r>
              <w:rPr>
                <w:rFonts w:hint="eastAsia" w:ascii="宋体" w:hAnsi="宋体"/>
                <w:kern w:val="0"/>
                <w:szCs w:val="21"/>
                <w:highlight w:val="none"/>
              </w:rPr>
              <w:t>（项目业主单位名称）：</w:t>
            </w:r>
            <w:r>
              <w:rPr>
                <w:rFonts w:hint="eastAsia" w:ascii="宋体" w:hAnsi="宋体"/>
                <w:kern w:val="0"/>
                <w:szCs w:val="21"/>
                <w:highlight w:val="none"/>
                <w:u w:val="single"/>
              </w:rPr>
              <w:br w:type="textWrapping"/>
            </w:r>
            <w:r>
              <w:rPr>
                <w:rFonts w:hint="eastAsia" w:ascii="宋体" w:hAnsi="宋体"/>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highlight w:val="none"/>
              </w:rPr>
              <w:br w:type="textWrapping"/>
            </w:r>
          </w:p>
          <w:p w14:paraId="3C525A41">
            <w:pPr>
              <w:keepNext w:val="0"/>
              <w:keepLines w:val="0"/>
              <w:widowControl/>
              <w:suppressLineNumbers w:val="0"/>
              <w:snapToGrid w:val="0"/>
              <w:spacing w:before="0" w:beforeAutospacing="0" w:after="100" w:afterAutospacing="1" w:line="400" w:lineRule="exact"/>
              <w:ind w:left="0" w:right="0" w:firstLine="1260" w:firstLineChars="600"/>
              <w:rPr>
                <w:rFonts w:hint="default" w:ascii="宋体" w:hAnsi="宋体"/>
                <w:kern w:val="0"/>
                <w:szCs w:val="21"/>
                <w:highlight w:val="none"/>
                <w:u w:val="single"/>
              </w:rPr>
            </w:pPr>
            <w:r>
              <w:rPr>
                <w:rFonts w:hint="eastAsia" w:ascii="宋体" w:hAnsi="宋体"/>
                <w:kern w:val="0"/>
                <w:szCs w:val="21"/>
                <w:highlight w:val="none"/>
              </w:rPr>
              <w:t>施工单位项目负责人签名（加盖项目章）：</w:t>
            </w:r>
            <w:r>
              <w:rPr>
                <w:rFonts w:hint="eastAsia" w:ascii="宋体" w:hAnsi="宋体"/>
                <w:kern w:val="0"/>
                <w:szCs w:val="21"/>
                <w:highlight w:val="none"/>
                <w:u w:val="single"/>
              </w:rPr>
              <w:t xml:space="preserve">        </w:t>
            </w:r>
          </w:p>
        </w:tc>
      </w:tr>
      <w:tr w14:paraId="7E10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7F3D9638">
            <w:pPr>
              <w:keepNext w:val="0"/>
              <w:keepLines w:val="0"/>
              <w:widowControl/>
              <w:suppressLineNumbers w:val="0"/>
              <w:snapToGrid w:val="0"/>
              <w:spacing w:before="0" w:beforeAutospacing="0" w:after="100" w:afterAutospacing="1"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监理单位意见：</w:t>
            </w:r>
          </w:p>
        </w:tc>
        <w:tc>
          <w:tcPr>
            <w:tcW w:w="6201" w:type="dxa"/>
          </w:tcPr>
          <w:p w14:paraId="37CF7840">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u w:val="single"/>
              </w:rPr>
            </w:pPr>
          </w:p>
          <w:p w14:paraId="122DDE94">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u w:val="single"/>
              </w:rPr>
            </w:pPr>
            <w:r>
              <w:rPr>
                <w:rFonts w:hint="eastAsia" w:ascii="宋体" w:hAnsi="宋体"/>
                <w:kern w:val="0"/>
                <w:szCs w:val="21"/>
                <w:highlight w:val="none"/>
              </w:rPr>
              <w:t xml:space="preserve">             总监签名并加盖项目章：</w:t>
            </w:r>
            <w:r>
              <w:rPr>
                <w:rFonts w:hint="eastAsia" w:ascii="宋体" w:hAnsi="宋体"/>
                <w:kern w:val="0"/>
                <w:szCs w:val="21"/>
                <w:highlight w:val="none"/>
                <w:u w:val="single"/>
              </w:rPr>
              <w:t xml:space="preserve">        </w:t>
            </w:r>
          </w:p>
        </w:tc>
      </w:tr>
      <w:tr w14:paraId="4EF0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316AD0B7">
            <w:pPr>
              <w:keepNext w:val="0"/>
              <w:keepLines w:val="0"/>
              <w:widowControl/>
              <w:suppressLineNumbers w:val="0"/>
              <w:snapToGrid w:val="0"/>
              <w:spacing w:before="0" w:beforeAutospacing="0" w:after="100" w:afterAutospacing="1" w:line="400" w:lineRule="exact"/>
              <w:ind w:left="0" w:right="0"/>
              <w:jc w:val="center"/>
              <w:rPr>
                <w:rFonts w:hint="default" w:ascii="宋体" w:hAnsi="宋体"/>
                <w:kern w:val="0"/>
                <w:szCs w:val="21"/>
                <w:highlight w:val="none"/>
              </w:rPr>
            </w:pPr>
            <w:r>
              <w:rPr>
                <w:rFonts w:hint="eastAsia" w:ascii="宋体" w:hAnsi="宋体"/>
                <w:kern w:val="0"/>
                <w:szCs w:val="21"/>
                <w:highlight w:val="none"/>
              </w:rPr>
              <w:t>工程部项目负责人意见：</w:t>
            </w:r>
          </w:p>
        </w:tc>
        <w:tc>
          <w:tcPr>
            <w:tcW w:w="6201" w:type="dxa"/>
          </w:tcPr>
          <w:p w14:paraId="5FC0410F">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u w:val="single"/>
              </w:rPr>
            </w:pPr>
          </w:p>
          <w:p w14:paraId="01C2F726">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highlight w:val="none"/>
                <w:u w:val="single"/>
              </w:rPr>
            </w:pPr>
            <w:r>
              <w:rPr>
                <w:rFonts w:hint="eastAsia" w:ascii="宋体" w:hAnsi="宋体"/>
                <w:kern w:val="0"/>
                <w:szCs w:val="21"/>
                <w:highlight w:val="none"/>
              </w:rPr>
              <w:t xml:space="preserve">                   项目负责人签名：</w:t>
            </w:r>
            <w:r>
              <w:rPr>
                <w:rFonts w:hint="eastAsia" w:ascii="宋体" w:hAnsi="宋体"/>
                <w:kern w:val="0"/>
                <w:szCs w:val="21"/>
                <w:highlight w:val="none"/>
                <w:u w:val="single"/>
              </w:rPr>
              <w:t xml:space="preserve">        </w:t>
            </w:r>
          </w:p>
        </w:tc>
      </w:tr>
    </w:tbl>
    <w:p w14:paraId="762F6AE5">
      <w:pPr>
        <w:rPr>
          <w:rFonts w:ascii="宋体" w:hAnsi="宋体"/>
          <w:sz w:val="24"/>
          <w:highlight w:val="none"/>
        </w:rPr>
      </w:pPr>
      <w:r>
        <w:rPr>
          <w:rFonts w:ascii="宋体" w:hAnsi="宋体"/>
          <w:sz w:val="24"/>
          <w:highlight w:val="none"/>
        </w:rPr>
        <w:br w:type="page"/>
      </w:r>
    </w:p>
    <w:p w14:paraId="7BD8CA65">
      <w:pPr>
        <w:spacing w:line="360" w:lineRule="auto"/>
        <w:rPr>
          <w:rFonts w:ascii="宋体" w:hAnsi="宋体"/>
          <w:szCs w:val="21"/>
          <w:highlight w:val="none"/>
        </w:rPr>
      </w:pPr>
      <w:r>
        <w:rPr>
          <w:rFonts w:hint="eastAsia" w:ascii="宋体" w:hAnsi="宋体"/>
          <w:szCs w:val="21"/>
          <w:highlight w:val="none"/>
        </w:rPr>
        <w:t>附件11：低价风险担保保函示范文本（独立保函）（如有）</w:t>
      </w:r>
    </w:p>
    <w:p w14:paraId="2C4F422D">
      <w:pPr>
        <w:spacing w:line="360" w:lineRule="auto"/>
        <w:jc w:val="center"/>
        <w:rPr>
          <w:rFonts w:asciiTheme="minorEastAsia" w:hAnsiTheme="minorEastAsia" w:eastAsiaTheme="minorEastAsia" w:cstheme="minorEastAsia"/>
          <w:b/>
          <w:bCs/>
          <w:szCs w:val="21"/>
          <w:highlight w:val="none"/>
        </w:rPr>
      </w:pPr>
    </w:p>
    <w:p w14:paraId="2AA5F793">
      <w:pPr>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低价风险担保保函示范文本</w:t>
      </w:r>
    </w:p>
    <w:p w14:paraId="32BBBE13">
      <w:pPr>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（独立保函）</w:t>
      </w:r>
    </w:p>
    <w:p w14:paraId="526BD6CC">
      <w:pPr>
        <w:wordWrap w:val="0"/>
        <w:spacing w:line="360" w:lineRule="auto"/>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编号：           </w:t>
      </w:r>
    </w:p>
    <w:p w14:paraId="47C0B5C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申请人：</w:t>
      </w:r>
    </w:p>
    <w:p w14:paraId="2AF02DDB">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14:paraId="329A5528">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受益人：</w:t>
      </w:r>
    </w:p>
    <w:p w14:paraId="2CFE1A6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14:paraId="42132A5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开立人：</w:t>
      </w:r>
    </w:p>
    <w:p w14:paraId="2C5A79CF">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14:paraId="63AFD4D5">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14:paraId="516FE0E8">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（受益人名称）： </w:t>
      </w:r>
    </w:p>
    <w:p w14:paraId="6D7142B1">
      <w:pPr>
        <w:pStyle w:val="2"/>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鉴于</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（以下简称“申请人”）于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日参加</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（以下简称“受益人”）的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（项目名称）的投标，收到受益人于</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697B8D13">
      <w:pPr>
        <w:pStyle w:val="2"/>
        <w:numPr>
          <w:ilvl w:val="0"/>
          <w:numId w:val="2"/>
        </w:num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22A996E1">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二、本保函担保金额最高不超过人民币（大写）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0EE97C6D">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三、本保函有效期自开立之日起至合同约定的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日止，最迟不超过</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日。 </w:t>
      </w:r>
    </w:p>
    <w:p w14:paraId="128F4A44">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四、我方承诺，在收到受益人发来的书面付款通知后的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工作日内无条件支付，前述书面付款通知即为付款要求之单据，且应满足以下要求：</w:t>
      </w:r>
    </w:p>
    <w:p w14:paraId="74BD174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（1）付款通知到达的日期在本保函的有效期内；</w:t>
      </w:r>
    </w:p>
    <w:p w14:paraId="7F206FCD">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（2）载明要求支付的金额；</w:t>
      </w:r>
    </w:p>
    <w:p w14:paraId="7E340B8C">
      <w:pPr>
        <w:spacing w:line="360" w:lineRule="auto"/>
        <w:ind w:firstLine="420" w:firstLineChars="200"/>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（3）载明申请人未按照中标通知书、招标文件和投标文件约定签订合同或违反合同义务的条款和内容；</w:t>
      </w:r>
    </w:p>
    <w:p w14:paraId="253E333A">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（4）付款通知中应声明不存在招标文件约定、合同文件约定或我国法律规定免除申请人或开立人支付责任的情形；</w:t>
      </w:r>
    </w:p>
    <w:p w14:paraId="6846453B">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（5）付款通知应在本保函有效期内到达的地址是：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w:t>
      </w:r>
    </w:p>
    <w:p w14:paraId="23E7F47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受益人发出的书面付款通知应由其为鉴明受益人法定代表人（负责人）或授权代理人签名加盖公章。</w:t>
      </w:r>
    </w:p>
    <w:p w14:paraId="5D183998">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五、本保函项下的权利不得转让，不得设定担保。贵方未经我方书面同意转让本保函或其项下任何权利，对我方不发生法律效力。 </w:t>
      </w:r>
    </w:p>
    <w:p w14:paraId="44BB055D">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六、与本保函有关的合同不成立、不生效、无效、被撤销、被解除，不影响本保函的独立有效。 </w:t>
      </w:r>
    </w:p>
    <w:p w14:paraId="327B0C70">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4F8EC0EF">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593F7C2A">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九、本保函自我方法定代表人或授权代表签名并加盖公章之日起生效。 </w:t>
      </w:r>
    </w:p>
    <w:p w14:paraId="2128F89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开 立 人：                              （公章） </w:t>
      </w:r>
    </w:p>
    <w:p w14:paraId="161A057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法定代表人（或授权代表）：              （签名） </w:t>
      </w:r>
    </w:p>
    <w:p w14:paraId="3D70DFB8">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地    址：                                       </w:t>
      </w:r>
    </w:p>
    <w:p w14:paraId="472BBC4B">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邮政编码：                 </w:t>
      </w:r>
    </w:p>
    <w:p w14:paraId="773E791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电    话：                 </w:t>
      </w:r>
    </w:p>
    <w:p w14:paraId="3F4D5413">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传    真：                 </w:t>
      </w:r>
    </w:p>
    <w:p w14:paraId="589D9F32">
      <w:pPr>
        <w:spacing w:line="360" w:lineRule="auto"/>
        <w:ind w:firstLine="420" w:firstLineChars="200"/>
        <w:rPr>
          <w:highlight w:val="none"/>
        </w:rPr>
      </w:pPr>
      <w:r>
        <w:rPr>
          <w:rFonts w:hint="eastAsia" w:asciiTheme="minorEastAsia" w:hAnsiTheme="minorEastAsia" w:eastAsiaTheme="minorEastAsia" w:cstheme="minorEastAsia"/>
          <w:szCs w:val="21"/>
          <w:highlight w:val="none"/>
        </w:rPr>
        <w:t>开立时间：      年      月</w:t>
      </w:r>
      <w:r>
        <w:rPr>
          <w:rFonts w:hint="eastAsia" w:asciiTheme="minorEastAsia" w:hAnsiTheme="minorEastAsia" w:eastAsiaTheme="minorEastAsia" w:cstheme="minorEastAsia"/>
          <w:szCs w:val="21"/>
          <w:highlight w:val="none"/>
          <w:lang w:val="en-US" w:eastAsia="zh-CN"/>
        </w:rPr>
        <w:t xml:space="preserve">      日</w:t>
      </w:r>
    </w:p>
    <w:p w14:paraId="1AAF87F7">
      <w:pPr>
        <w:pStyle w:val="2"/>
        <w:rPr>
          <w:rFonts w:ascii="宋体" w:hAnsi="宋体"/>
          <w:sz w:val="24"/>
          <w:highlight w:val="none"/>
        </w:rPr>
      </w:pPr>
    </w:p>
    <w:p w14:paraId="71AC5437">
      <w:pPr>
        <w:pStyle w:val="2"/>
        <w:rPr>
          <w:rFonts w:ascii="宋体" w:hAnsi="宋体"/>
          <w:sz w:val="24"/>
          <w:highlight w:val="none"/>
        </w:rPr>
      </w:pPr>
    </w:p>
    <w:p w14:paraId="669E3303">
      <w:pPr>
        <w:pStyle w:val="2"/>
        <w:rPr>
          <w:rFonts w:ascii="宋体" w:hAnsi="宋体"/>
          <w:sz w:val="24"/>
          <w:highlight w:val="none"/>
        </w:rPr>
      </w:pPr>
    </w:p>
    <w:p w14:paraId="20BF7947">
      <w:pPr>
        <w:pStyle w:val="2"/>
        <w:rPr>
          <w:rFonts w:ascii="宋体" w:hAnsi="宋体"/>
          <w:sz w:val="24"/>
          <w:highlight w:val="none"/>
        </w:rPr>
      </w:pPr>
    </w:p>
    <w:p w14:paraId="6B8B8470">
      <w:pPr>
        <w:pStyle w:val="2"/>
        <w:rPr>
          <w:rFonts w:ascii="宋体" w:hAnsi="宋体"/>
          <w:sz w:val="24"/>
          <w:highlight w:val="none"/>
        </w:rPr>
      </w:pPr>
    </w:p>
    <w:p w14:paraId="0E6ED91F">
      <w:pPr>
        <w:pStyle w:val="2"/>
        <w:rPr>
          <w:rFonts w:ascii="宋体" w:hAnsi="宋体"/>
          <w:sz w:val="24"/>
          <w:highlight w:val="none"/>
        </w:rPr>
      </w:pPr>
    </w:p>
    <w:p w14:paraId="52D4B6C5">
      <w:pPr>
        <w:pStyle w:val="2"/>
        <w:rPr>
          <w:rFonts w:ascii="宋体" w:hAnsi="宋体"/>
          <w:sz w:val="24"/>
          <w:highlight w:val="none"/>
        </w:rPr>
      </w:pPr>
    </w:p>
    <w:p w14:paraId="02C22446">
      <w:pPr>
        <w:spacing w:line="360" w:lineRule="auto"/>
        <w:jc w:val="left"/>
        <w:rPr>
          <w:rFonts w:ascii="宋体" w:hAnsi="宋体"/>
          <w:sz w:val="24"/>
          <w:highlight w:val="none"/>
        </w:rPr>
      </w:pPr>
    </w:p>
    <w:bookmarkEnd w:id="578"/>
    <w:p w14:paraId="4B5B2549">
      <w:pPr>
        <w:spacing w:line="360" w:lineRule="auto"/>
        <w:rPr>
          <w:rFonts w:ascii="宋体" w:hAnsi="宋体"/>
          <w:szCs w:val="20"/>
          <w:highlight w:val="none"/>
        </w:rPr>
      </w:pPr>
    </w:p>
    <w:p w14:paraId="3E7DD67D">
      <w:pPr>
        <w:spacing w:line="240" w:lineRule="auto"/>
        <w:rPr>
          <w:rFonts w:ascii="宋体" w:hAnsi="宋体"/>
          <w:szCs w:val="20"/>
          <w:highlight w:val="none"/>
        </w:rPr>
      </w:pPr>
      <w:r>
        <w:rPr>
          <w:rFonts w:ascii="宋体" w:hAnsi="宋体"/>
          <w:szCs w:val="20"/>
          <w:highlight w:val="none"/>
        </w:rPr>
        <w:br w:type="page"/>
      </w:r>
    </w:p>
    <w:p w14:paraId="1B78310E">
      <w:pPr>
        <w:spacing w:line="360" w:lineRule="auto"/>
        <w:rPr>
          <w:rFonts w:ascii="宋体" w:hAnsi="宋体"/>
          <w:szCs w:val="21"/>
          <w:highlight w:val="none"/>
        </w:rPr>
      </w:pPr>
      <w:r>
        <w:rPr>
          <w:rFonts w:hint="eastAsia" w:ascii="宋体" w:hAnsi="宋体"/>
          <w:szCs w:val="20"/>
          <w:highlight w:val="none"/>
          <w:lang w:val="en-US" w:eastAsia="zh-CN"/>
        </w:rPr>
        <w:t>附件12</w:t>
      </w:r>
      <w:r>
        <w:rPr>
          <w:rFonts w:hint="eastAsia" w:ascii="宋体" w:hAnsi="宋体"/>
          <w:szCs w:val="21"/>
          <w:highlight w:val="none"/>
          <w:lang w:eastAsia="zh-CN"/>
        </w:rPr>
        <w:t>：</w:t>
      </w:r>
      <w:r>
        <w:rPr>
          <w:rFonts w:hint="eastAsia" w:ascii="宋体" w:hAnsi="宋体"/>
          <w:szCs w:val="21"/>
          <w:highlight w:val="none"/>
          <w:lang w:val="en-US" w:eastAsia="zh-CN"/>
        </w:rPr>
        <w:t>质量保证金保函</w:t>
      </w:r>
      <w:r>
        <w:rPr>
          <w:rFonts w:hint="eastAsia" w:ascii="宋体" w:hAnsi="宋体"/>
          <w:szCs w:val="21"/>
          <w:highlight w:val="none"/>
        </w:rPr>
        <w:t>（如有）</w:t>
      </w:r>
    </w:p>
    <w:p w14:paraId="763A7118">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08EA2897">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2C2F4A98">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35664F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10FEA47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62AB83E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7046A49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44F4523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6027138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28189E93">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14:paraId="2B1A4817">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14:paraId="4DE9E8A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05EE6F0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06F1C20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22DDED2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14:paraId="19DB4DB9">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14:paraId="1646C98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1F1CF43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14:paraId="67EA157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14:paraId="6F3A813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53E97973">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4E8EA75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6F3BE730">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6B8D0D7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14:paraId="7EA5CF0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4002AB5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14:paraId="1ACB8F2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3F07737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3EDE7E9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53FA94D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5BF424B4">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14:paraId="212A015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06C7931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4052EEA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73491A0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42C30AE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6D897BE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651AECDD">
      <w:pPr>
        <w:spacing w:line="240" w:lineRule="exact"/>
        <w:ind w:firstLine="420" w:firstLineChars="200"/>
        <w:rPr>
          <w:rFonts w:ascii="宋体" w:hAnsi="宋体"/>
          <w:szCs w:val="20"/>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szCs w:val="20"/>
          <w:highlight w:val="none"/>
        </w:rPr>
        <w:br w:type="page"/>
      </w:r>
      <w:bookmarkStart w:id="2071" w:name="招标文件05章工程量清单"/>
      <w:bookmarkEnd w:id="2071"/>
    </w:p>
    <w:p w14:paraId="265F0F51">
      <w:pPr>
        <w:pStyle w:val="3"/>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568"/>
      <w:bookmarkEnd w:id="569"/>
      <w:bookmarkEnd w:id="570"/>
      <w:bookmarkEnd w:id="571"/>
      <w:bookmarkEnd w:id="572"/>
      <w:bookmarkEnd w:id="573"/>
      <w:bookmarkEnd w:id="574"/>
      <w:bookmarkStart w:id="2072" w:name="招标文件05章工程量清单01"/>
      <w:bookmarkEnd w:id="2072"/>
      <w:bookmarkStart w:id="2073" w:name="_Toc287620798"/>
      <w:bookmarkStart w:id="2074" w:name="_Toc224103477"/>
      <w:bookmarkStart w:id="2075" w:name="_Toc277082638"/>
      <w:bookmarkStart w:id="2076" w:name="_Toc430530514"/>
      <w:bookmarkStart w:id="2077" w:name="_Toc287607856"/>
    </w:p>
    <w:bookmarkEnd w:id="2073"/>
    <w:bookmarkEnd w:id="2074"/>
    <w:bookmarkEnd w:id="2075"/>
    <w:bookmarkEnd w:id="2076"/>
    <w:bookmarkEnd w:id="2077"/>
    <w:p w14:paraId="18169BBA">
      <w:pPr>
        <w:snapToGrid w:val="0"/>
        <w:spacing w:line="360" w:lineRule="auto"/>
        <w:jc w:val="center"/>
        <w:rPr>
          <w:rFonts w:ascii="宋体" w:hAnsi="宋体"/>
          <w:color w:val="auto"/>
          <w:sz w:val="24"/>
          <w:highlight w:val="none"/>
        </w:rPr>
      </w:pPr>
    </w:p>
    <w:p w14:paraId="7AAD37F9">
      <w:pPr>
        <w:ind w:right="561"/>
        <w:rPr>
          <w:rFonts w:ascii="宋体" w:hAnsi="宋体"/>
          <w:color w:val="auto"/>
          <w:szCs w:val="21"/>
          <w:highlight w:val="none"/>
        </w:rPr>
      </w:pPr>
      <w:r>
        <w:rPr>
          <w:rFonts w:hint="eastAsia" w:ascii="宋体" w:hAnsi="宋体"/>
          <w:color w:val="auto"/>
          <w:szCs w:val="20"/>
          <w:highlight w:val="none"/>
          <w:lang w:val="en-US" w:eastAsia="zh-CN"/>
        </w:rPr>
        <w:t>详见附件。</w:t>
      </w:r>
      <w:r>
        <w:rPr>
          <w:rFonts w:ascii="宋体" w:hAnsi="宋体"/>
          <w:color w:val="auto"/>
          <w:sz w:val="24"/>
          <w:highlight w:val="none"/>
        </w:rPr>
        <w:br w:type="page"/>
      </w:r>
    </w:p>
    <w:p w14:paraId="02838767">
      <w:pPr>
        <w:pStyle w:val="3"/>
        <w:spacing w:before="0" w:after="0" w:line="360" w:lineRule="auto"/>
        <w:jc w:val="center"/>
        <w:rPr>
          <w:rFonts w:ascii="宋体" w:hAnsi="宋体"/>
          <w:color w:val="auto"/>
          <w:sz w:val="52"/>
          <w:szCs w:val="52"/>
          <w:highlight w:val="none"/>
        </w:rPr>
      </w:pPr>
      <w:bookmarkStart w:id="2078" w:name="_Toc509218844"/>
      <w:bookmarkStart w:id="2079" w:name="_Toc13474"/>
      <w:bookmarkStart w:id="2080" w:name="_Toc534185823"/>
      <w:bookmarkStart w:id="2081" w:name="_Toc30350"/>
      <w:r>
        <w:rPr>
          <w:rFonts w:ascii="宋体" w:hAnsi="宋体"/>
          <w:color w:val="auto"/>
          <w:sz w:val="52"/>
          <w:szCs w:val="52"/>
          <w:highlight w:val="none"/>
        </w:rPr>
        <w:t>第 二 卷</w:t>
      </w:r>
      <w:bookmarkEnd w:id="2078"/>
      <w:bookmarkEnd w:id="2079"/>
      <w:bookmarkEnd w:id="2080"/>
      <w:bookmarkEnd w:id="2081"/>
    </w:p>
    <w:p w14:paraId="06855A24">
      <w:pPr>
        <w:spacing w:line="360" w:lineRule="auto"/>
        <w:rPr>
          <w:rFonts w:ascii="宋体" w:hAnsi="宋体"/>
          <w:color w:val="auto"/>
          <w:szCs w:val="20"/>
          <w:highlight w:val="none"/>
        </w:rPr>
      </w:pPr>
      <w:r>
        <w:rPr>
          <w:rFonts w:ascii="宋体" w:hAnsi="宋体"/>
          <w:color w:val="auto"/>
          <w:szCs w:val="20"/>
          <w:highlight w:val="none"/>
        </w:rPr>
        <w:br w:type="page"/>
      </w:r>
    </w:p>
    <w:p w14:paraId="2F5A810C">
      <w:pPr>
        <w:pStyle w:val="3"/>
        <w:spacing w:line="360" w:lineRule="auto"/>
        <w:jc w:val="center"/>
        <w:rPr>
          <w:rFonts w:ascii="宋体" w:hAnsi="宋体"/>
          <w:color w:val="auto"/>
          <w:highlight w:val="none"/>
        </w:rPr>
      </w:pPr>
      <w:bookmarkStart w:id="2082" w:name="招标文件06章图纸"/>
      <w:bookmarkEnd w:id="2082"/>
      <w:bookmarkStart w:id="2083" w:name="_Toc287607861"/>
      <w:bookmarkStart w:id="2084" w:name="_Toc534185825"/>
      <w:bookmarkStart w:id="2085" w:name="_Toc23859"/>
      <w:bookmarkStart w:id="2086" w:name="_Toc430530519"/>
      <w:bookmarkStart w:id="2087" w:name="_Toc509218846"/>
      <w:bookmarkStart w:id="2088" w:name="_Toc22154"/>
      <w:bookmarkStart w:id="2089" w:name="_Toc287620803"/>
      <w:r>
        <w:rPr>
          <w:rFonts w:hint="eastAsia" w:ascii="宋体" w:hAnsi="宋体"/>
          <w:color w:val="auto"/>
          <w:highlight w:val="none"/>
        </w:rPr>
        <w:t>第六章  图纸</w:t>
      </w:r>
      <w:bookmarkEnd w:id="2083"/>
      <w:bookmarkEnd w:id="2084"/>
      <w:bookmarkEnd w:id="2085"/>
      <w:bookmarkEnd w:id="2086"/>
      <w:bookmarkEnd w:id="2087"/>
      <w:bookmarkEnd w:id="2088"/>
      <w:bookmarkEnd w:id="2089"/>
    </w:p>
    <w:p w14:paraId="52A26291">
      <w:pPr>
        <w:spacing w:line="360" w:lineRule="auto"/>
        <w:rPr>
          <w:rFonts w:hint="eastAsia" w:ascii="宋体" w:hAnsi="宋体" w:eastAsia="宋体"/>
          <w:color w:val="auto"/>
          <w:szCs w:val="20"/>
          <w:highlight w:val="none"/>
          <w:lang w:eastAsia="zh-CN"/>
        </w:rPr>
      </w:pPr>
      <w:bookmarkStart w:id="2090" w:name="招标文件06章图纸01"/>
      <w:bookmarkEnd w:id="2090"/>
      <w:bookmarkStart w:id="2091" w:name="_Toc287620804"/>
      <w:bookmarkStart w:id="2092" w:name="_Toc430530520"/>
      <w:r>
        <w:rPr>
          <w:rFonts w:hint="eastAsia" w:ascii="宋体" w:hAnsi="宋体"/>
          <w:color w:val="auto"/>
          <w:szCs w:val="20"/>
          <w:highlight w:val="none"/>
          <w:lang w:val="en-US" w:eastAsia="zh-CN"/>
        </w:rPr>
        <w:t>详见附件。</w:t>
      </w:r>
    </w:p>
    <w:bookmarkEnd w:id="2091"/>
    <w:bookmarkEnd w:id="2092"/>
    <w:p w14:paraId="39A8B855">
      <w:pPr>
        <w:spacing w:line="360" w:lineRule="auto"/>
        <w:rPr>
          <w:rFonts w:ascii="宋体" w:hAnsi="宋体"/>
          <w:color w:val="auto"/>
          <w:highlight w:val="none"/>
        </w:rPr>
      </w:pPr>
      <w:r>
        <w:rPr>
          <w:rFonts w:ascii="宋体" w:hAnsi="宋体"/>
          <w:color w:val="auto"/>
          <w:szCs w:val="20"/>
          <w:highlight w:val="none"/>
        </w:rPr>
        <w:br w:type="page"/>
      </w:r>
    </w:p>
    <w:p w14:paraId="778C3DC6">
      <w:pPr>
        <w:pStyle w:val="3"/>
        <w:spacing w:before="0" w:after="0" w:line="360" w:lineRule="auto"/>
        <w:jc w:val="center"/>
        <w:rPr>
          <w:rFonts w:ascii="宋体" w:hAnsi="宋体"/>
          <w:color w:val="auto"/>
          <w:sz w:val="52"/>
          <w:szCs w:val="52"/>
          <w:highlight w:val="none"/>
        </w:rPr>
      </w:pPr>
      <w:bookmarkStart w:id="2093" w:name="_Toc5444"/>
      <w:bookmarkStart w:id="2094" w:name="_Toc8804"/>
      <w:r>
        <w:rPr>
          <w:rFonts w:hint="eastAsia" w:ascii="宋体" w:hAnsi="宋体"/>
          <w:color w:val="auto"/>
          <w:sz w:val="52"/>
          <w:szCs w:val="52"/>
          <w:highlight w:val="none"/>
        </w:rPr>
        <w:t>第 三 卷</w:t>
      </w:r>
      <w:bookmarkEnd w:id="2093"/>
      <w:bookmarkEnd w:id="2094"/>
      <w:bookmarkStart w:id="2095" w:name="_Toc509218847"/>
      <w:bookmarkStart w:id="2096" w:name="_Toc536797121"/>
      <w:bookmarkStart w:id="2097" w:name="_Toc13210772"/>
      <w:bookmarkStart w:id="2098" w:name="_Toc534185826"/>
      <w:bookmarkStart w:id="2099" w:name="_Toc536628344"/>
      <w:bookmarkStart w:id="2100" w:name="_Toc13211764"/>
      <w:bookmarkStart w:id="2101" w:name="_Toc536797255"/>
      <w:bookmarkStart w:id="2102" w:name="_Toc13211206"/>
      <w:bookmarkStart w:id="2103" w:name="_Toc536621880"/>
      <w:bookmarkStart w:id="2104" w:name="_Toc536619968"/>
      <w:bookmarkStart w:id="2105" w:name="_Toc536797390"/>
      <w:bookmarkStart w:id="2106" w:name="_Toc536620100"/>
      <w:bookmarkStart w:id="2107" w:name="_Toc536796850"/>
      <w:bookmarkStart w:id="2108" w:name="_Toc536796986"/>
    </w:p>
    <w:bookmarkEnd w:id="2095"/>
    <w:p w14:paraId="003AEFF9">
      <w:pPr>
        <w:rPr>
          <w:color w:val="auto"/>
          <w:highlight w:val="none"/>
        </w:rPr>
      </w:pPr>
      <w:r>
        <w:rPr>
          <w:color w:val="auto"/>
          <w:highlight w:val="none"/>
        </w:rPr>
        <w:br w:type="page"/>
      </w:r>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75CE7769">
      <w:pPr>
        <w:pStyle w:val="3"/>
        <w:spacing w:line="360" w:lineRule="auto"/>
        <w:jc w:val="center"/>
        <w:rPr>
          <w:rFonts w:ascii="宋体" w:hAnsi="宋体"/>
          <w:color w:val="auto"/>
          <w:highlight w:val="none"/>
        </w:rPr>
      </w:pPr>
      <w:bookmarkStart w:id="2109" w:name="招标文件07章技术标准和要求"/>
      <w:bookmarkEnd w:id="2109"/>
      <w:bookmarkStart w:id="2110" w:name="_Toc17170"/>
      <w:bookmarkStart w:id="2111" w:name="_Toc4484"/>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10"/>
      <w:bookmarkEnd w:id="2111"/>
      <w:bookmarkStart w:id="2112" w:name="招标文件07章技术标准和要求01"/>
      <w:bookmarkEnd w:id="2112"/>
      <w:bookmarkStart w:id="2113" w:name="_Toc287620808"/>
      <w:bookmarkStart w:id="2114" w:name="_Toc430530524"/>
    </w:p>
    <w:bookmarkEnd w:id="2113"/>
    <w:bookmarkEnd w:id="2114"/>
    <w:p w14:paraId="67283BAE">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1B10C48B">
      <w:pPr>
        <w:spacing w:line="360" w:lineRule="auto"/>
        <w:rPr>
          <w:rFonts w:ascii="宋体" w:hAnsi="宋体"/>
          <w:color w:val="auto"/>
          <w:highlight w:val="none"/>
        </w:rPr>
      </w:pPr>
      <w:r>
        <w:rPr>
          <w:rFonts w:ascii="宋体" w:hAnsi="宋体"/>
          <w:color w:val="auto"/>
          <w:highlight w:val="none"/>
        </w:rPr>
        <w:br w:type="page"/>
      </w:r>
    </w:p>
    <w:p w14:paraId="527C62C1">
      <w:pPr>
        <w:pStyle w:val="3"/>
        <w:spacing w:before="0" w:after="0" w:line="360" w:lineRule="auto"/>
        <w:jc w:val="center"/>
        <w:rPr>
          <w:rFonts w:ascii="宋体" w:hAnsi="宋体"/>
          <w:color w:val="auto"/>
          <w:sz w:val="52"/>
          <w:szCs w:val="52"/>
          <w:highlight w:val="none"/>
        </w:rPr>
      </w:pPr>
      <w:bookmarkStart w:id="2115" w:name="_Toc18822"/>
      <w:bookmarkStart w:id="2116" w:name="_Toc509218849"/>
      <w:bookmarkStart w:id="2117" w:name="_Toc534185827"/>
      <w:bookmarkStart w:id="2118" w:name="_Toc13855"/>
      <w:r>
        <w:rPr>
          <w:rFonts w:ascii="宋体" w:hAnsi="宋体"/>
          <w:color w:val="auto"/>
          <w:sz w:val="52"/>
          <w:szCs w:val="52"/>
          <w:highlight w:val="none"/>
        </w:rPr>
        <w:t>第 四 卷</w:t>
      </w:r>
      <w:bookmarkEnd w:id="2115"/>
      <w:bookmarkEnd w:id="2116"/>
      <w:bookmarkEnd w:id="2117"/>
      <w:bookmarkEnd w:id="2118"/>
      <w:bookmarkStart w:id="2119" w:name="_Toc536620102"/>
      <w:bookmarkStart w:id="2120" w:name="_Toc536796989"/>
      <w:bookmarkStart w:id="2121" w:name="_Toc536621883"/>
      <w:bookmarkStart w:id="2122" w:name="_Toc534185828"/>
      <w:bookmarkStart w:id="2123" w:name="_Toc536797124"/>
      <w:bookmarkStart w:id="2124" w:name="_Toc536796853"/>
      <w:bookmarkStart w:id="2125" w:name="_Toc13210775"/>
      <w:bookmarkStart w:id="2126" w:name="_Toc509218850"/>
      <w:bookmarkStart w:id="2127" w:name="_Toc536797393"/>
      <w:bookmarkStart w:id="2128" w:name="_Toc536628347"/>
      <w:bookmarkStart w:id="2129" w:name="_Toc13211209"/>
      <w:bookmarkStart w:id="2130" w:name="_Toc536797258"/>
      <w:bookmarkStart w:id="2131" w:name="_Toc536619970"/>
      <w:bookmarkStart w:id="2132" w:name="_Toc13211767"/>
    </w:p>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14:paraId="3435EFA7">
      <w:pPr>
        <w:rPr>
          <w:color w:val="auto"/>
          <w:highlight w:val="none"/>
        </w:rPr>
      </w:pPr>
      <w:r>
        <w:rPr>
          <w:color w:val="auto"/>
          <w:highlight w:val="none"/>
        </w:rPr>
        <w:br w:type="page"/>
      </w:r>
      <w:bookmarkStart w:id="2133" w:name="招标文件08章投标文件格式"/>
      <w:bookmarkEnd w:id="2133"/>
      <w:bookmarkStart w:id="2134" w:name="_Toc287620812"/>
      <w:bookmarkStart w:id="2135" w:name="_Toc287607865"/>
    </w:p>
    <w:p w14:paraId="36DD068B">
      <w:pPr>
        <w:pStyle w:val="3"/>
        <w:spacing w:line="360" w:lineRule="auto"/>
        <w:jc w:val="center"/>
        <w:rPr>
          <w:rFonts w:ascii="宋体" w:hAnsi="宋体"/>
          <w:color w:val="auto"/>
          <w:highlight w:val="none"/>
        </w:rPr>
      </w:pPr>
      <w:bookmarkStart w:id="2136" w:name="_Toc509218852"/>
      <w:bookmarkStart w:id="2137" w:name="_Toc430530528"/>
      <w:bookmarkStart w:id="2138" w:name="_Toc534185829"/>
      <w:bookmarkStart w:id="2139" w:name="_Toc23843"/>
      <w:bookmarkStart w:id="2140" w:name="_Toc10287"/>
      <w:r>
        <w:rPr>
          <w:rFonts w:hint="eastAsia" w:ascii="宋体" w:hAnsi="宋体"/>
          <w:color w:val="auto"/>
          <w:highlight w:val="none"/>
        </w:rPr>
        <w:t xml:space="preserve">第八章  </w:t>
      </w:r>
      <w:r>
        <w:rPr>
          <w:rFonts w:hint="eastAsia" w:ascii="宋体" w:hAnsi="宋体"/>
          <w:color w:val="auto"/>
          <w:highlight w:val="none"/>
          <w:lang w:eastAsia="zh-CN"/>
        </w:rPr>
        <w:t>比选申请文件</w:t>
      </w:r>
      <w:r>
        <w:rPr>
          <w:rFonts w:hint="eastAsia" w:ascii="宋体" w:hAnsi="宋体"/>
          <w:color w:val="auto"/>
          <w:highlight w:val="none"/>
        </w:rPr>
        <w:t>格式</w:t>
      </w:r>
      <w:bookmarkEnd w:id="2134"/>
      <w:bookmarkEnd w:id="2135"/>
      <w:bookmarkEnd w:id="2136"/>
      <w:bookmarkEnd w:id="2137"/>
      <w:bookmarkEnd w:id="2138"/>
      <w:bookmarkEnd w:id="2139"/>
      <w:bookmarkEnd w:id="2140"/>
    </w:p>
    <w:p w14:paraId="451BE29D">
      <w:pPr>
        <w:spacing w:line="360" w:lineRule="auto"/>
        <w:rPr>
          <w:rFonts w:ascii="宋体" w:hAnsi="宋体"/>
          <w:color w:val="auto"/>
          <w:sz w:val="32"/>
          <w:szCs w:val="32"/>
          <w:highlight w:val="none"/>
        </w:rPr>
      </w:pPr>
    </w:p>
    <w:p w14:paraId="536906BA">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141" w:name="_Toc224103493"/>
      <w:r>
        <w:rPr>
          <w:rFonts w:hint="eastAsia" w:ascii="宋体" w:hAnsi="宋体"/>
          <w:color w:val="auto"/>
          <w:sz w:val="36"/>
          <w:szCs w:val="36"/>
          <w:highlight w:val="none"/>
        </w:rPr>
        <w:t>目  录</w:t>
      </w:r>
      <w:bookmarkEnd w:id="2141"/>
    </w:p>
    <w:p w14:paraId="6E2D3F5A">
      <w:pPr>
        <w:spacing w:line="360" w:lineRule="auto"/>
        <w:jc w:val="center"/>
        <w:rPr>
          <w:rFonts w:ascii="宋体" w:hAnsi="宋体"/>
          <w:color w:val="auto"/>
          <w:szCs w:val="20"/>
          <w:highlight w:val="none"/>
        </w:rPr>
      </w:pPr>
    </w:p>
    <w:p w14:paraId="54795D43">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w:t>
      </w:r>
      <w:r>
        <w:rPr>
          <w:rFonts w:hint="eastAsia" w:ascii="宋体" w:hAnsi="宋体"/>
          <w:b/>
          <w:color w:val="auto"/>
          <w:highlight w:val="none"/>
          <w:lang w:eastAsia="zh-CN"/>
        </w:rPr>
        <w:t>比选申请</w:t>
      </w:r>
      <w:r>
        <w:rPr>
          <w:rFonts w:ascii="宋体" w:hAnsi="宋体"/>
          <w:b/>
          <w:color w:val="auto"/>
          <w:highlight w:val="none"/>
        </w:rPr>
        <w:t>函部分</w:t>
      </w:r>
    </w:p>
    <w:p w14:paraId="6D5C4166">
      <w:pPr>
        <w:spacing w:line="360" w:lineRule="auto"/>
        <w:ind w:firstLine="420" w:firstLineChars="200"/>
        <w:rPr>
          <w:rFonts w:hint="eastAsia" w:ascii="宋体" w:hAnsi="宋体" w:eastAsia="宋体" w:cs="Times New Roman"/>
          <w:color w:val="auto"/>
          <w:highlight w:val="none"/>
          <w:lang w:eastAsia="zh-CN"/>
        </w:rPr>
      </w:pPr>
      <w:r>
        <w:rPr>
          <w:rFonts w:ascii="宋体" w:hAnsi="宋体" w:eastAsia="宋体" w:cs="Times New Roman"/>
          <w:color w:val="auto"/>
          <w:highlight w:val="none"/>
        </w:rPr>
        <w:t>（一）</w:t>
      </w:r>
      <w:r>
        <w:rPr>
          <w:rFonts w:hint="eastAsia" w:ascii="宋体" w:hAnsi="宋体" w:eastAsia="宋体" w:cs="Times New Roman"/>
          <w:color w:val="auto"/>
          <w:highlight w:val="none"/>
          <w:lang w:eastAsia="zh-CN"/>
        </w:rPr>
        <w:t>比选申请函</w:t>
      </w:r>
    </w:p>
    <w:p w14:paraId="5E843289">
      <w:pPr>
        <w:spacing w:line="360" w:lineRule="auto"/>
        <w:ind w:firstLine="420" w:firstLineChars="200"/>
        <w:rPr>
          <w:rFonts w:ascii="宋体" w:hAnsi="宋体" w:eastAsia="宋体" w:cs="Times New Roman"/>
          <w:color w:val="auto"/>
          <w:highlight w:val="none"/>
        </w:rPr>
      </w:pPr>
      <w:r>
        <w:rPr>
          <w:rFonts w:ascii="宋体" w:hAnsi="宋体" w:eastAsia="宋体" w:cs="Times New Roman"/>
          <w:color w:val="auto"/>
          <w:highlight w:val="none"/>
        </w:rPr>
        <w:t>（二）</w:t>
      </w:r>
      <w:r>
        <w:rPr>
          <w:rFonts w:hint="eastAsia" w:ascii="宋体" w:hAnsi="宋体" w:eastAsia="宋体" w:cs="Times New Roman"/>
          <w:color w:val="auto"/>
          <w:highlight w:val="none"/>
          <w:lang w:eastAsia="zh-CN"/>
        </w:rPr>
        <w:t>比选申请函</w:t>
      </w:r>
      <w:r>
        <w:rPr>
          <w:rFonts w:ascii="宋体" w:hAnsi="宋体" w:eastAsia="宋体" w:cs="Times New Roman"/>
          <w:color w:val="auto"/>
          <w:highlight w:val="none"/>
        </w:rPr>
        <w:t>附录</w:t>
      </w:r>
    </w:p>
    <w:p w14:paraId="39826339">
      <w:pPr>
        <w:spacing w:line="360" w:lineRule="auto"/>
        <w:ind w:firstLine="420" w:firstLineChars="200"/>
        <w:rPr>
          <w:rFonts w:hint="eastAsia" w:ascii="宋体" w:hAnsi="宋体" w:eastAsia="宋体" w:cs="Times New Roman"/>
          <w:color w:val="auto"/>
          <w:highlight w:val="none"/>
        </w:rPr>
      </w:pPr>
      <w:r>
        <w:rPr>
          <w:rFonts w:ascii="宋体" w:hAnsi="宋体" w:eastAsia="宋体" w:cs="Times New Roman"/>
          <w:color w:val="auto"/>
          <w:highlight w:val="none"/>
        </w:rPr>
        <w:t>（三）</w:t>
      </w:r>
      <w:r>
        <w:rPr>
          <w:rFonts w:hint="eastAsia" w:ascii="宋体" w:hAnsi="宋体" w:eastAsia="宋体" w:cs="Times New Roman"/>
          <w:color w:val="auto"/>
          <w:highlight w:val="none"/>
        </w:rPr>
        <w:t>法定代表人身份证明或附有法定代表人身份证明的授权委托书</w:t>
      </w:r>
    </w:p>
    <w:p w14:paraId="3751D7AD">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2362B22F">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5458B0CA">
      <w:pPr>
        <w:spacing w:line="360" w:lineRule="auto"/>
        <w:rPr>
          <w:rFonts w:hint="default"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三、技术部分</w:t>
      </w:r>
    </w:p>
    <w:p w14:paraId="7CD4D7B0">
      <w:pPr>
        <w:spacing w:line="360" w:lineRule="auto"/>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14:paraId="1857078D">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D088A8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eastAsia="zh-CN"/>
        </w:rPr>
        <w:t>二</w:t>
      </w:r>
      <w:r>
        <w:rPr>
          <w:rFonts w:ascii="宋体" w:hAnsi="宋体"/>
          <w:color w:val="auto"/>
          <w:highlight w:val="none"/>
        </w:rPr>
        <w:t>）</w:t>
      </w:r>
      <w:r>
        <w:rPr>
          <w:rFonts w:hint="eastAsia" w:ascii="宋体" w:hAnsi="宋体"/>
          <w:color w:val="auto"/>
          <w:highlight w:val="none"/>
          <w:lang w:eastAsia="zh-CN"/>
        </w:rPr>
        <w:t>比选申请人</w:t>
      </w:r>
      <w:r>
        <w:rPr>
          <w:rFonts w:ascii="宋体" w:hAnsi="宋体"/>
          <w:color w:val="auto"/>
          <w:highlight w:val="none"/>
        </w:rPr>
        <w:t>基本情况表</w:t>
      </w:r>
    </w:p>
    <w:p w14:paraId="7CFD26D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eastAsia="zh-CN"/>
        </w:rPr>
        <w:t>三</w:t>
      </w:r>
      <w:r>
        <w:rPr>
          <w:rFonts w:ascii="宋体" w:hAnsi="宋体"/>
          <w:color w:val="auto"/>
          <w:highlight w:val="none"/>
        </w:rPr>
        <w:t>）项目管理机构</w:t>
      </w:r>
    </w:p>
    <w:p w14:paraId="6E0F0200">
      <w:pPr>
        <w:spacing w:line="360" w:lineRule="auto"/>
        <w:ind w:firstLine="420" w:firstLineChars="200"/>
        <w:rPr>
          <w:rFonts w:hint="eastAsia" w:ascii="宋体" w:hAnsi="宋体" w:eastAsia="宋体"/>
          <w:color w:val="auto"/>
          <w:highlight w:val="none"/>
          <w:lang w:val="en-US" w:eastAsia="zh-CN"/>
        </w:rPr>
      </w:pPr>
      <w:r>
        <w:rPr>
          <w:rFonts w:ascii="宋体" w:hAnsi="宋体"/>
          <w:color w:val="auto"/>
          <w:highlight w:val="none"/>
        </w:rPr>
        <w:t>（</w:t>
      </w:r>
      <w:r>
        <w:rPr>
          <w:rFonts w:hint="eastAsia" w:ascii="宋体" w:hAnsi="宋体"/>
          <w:color w:val="auto"/>
          <w:highlight w:val="none"/>
          <w:lang w:eastAsia="zh-CN"/>
        </w:rPr>
        <w:t>四</w:t>
      </w:r>
      <w:r>
        <w:rPr>
          <w:rFonts w:ascii="宋体" w:hAnsi="宋体"/>
          <w:color w:val="auto"/>
          <w:highlight w:val="none"/>
        </w:rPr>
        <w:t>）</w:t>
      </w:r>
      <w:r>
        <w:rPr>
          <w:rFonts w:hint="eastAsia" w:ascii="宋体" w:hAnsi="宋体"/>
          <w:color w:val="auto"/>
          <w:highlight w:val="none"/>
        </w:rPr>
        <w:t>承诺</w:t>
      </w:r>
    </w:p>
    <w:p w14:paraId="334BE833">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eastAsia="zh-CN"/>
        </w:rPr>
        <w:t>五</w:t>
      </w:r>
      <w:r>
        <w:rPr>
          <w:rFonts w:ascii="宋体" w:hAnsi="宋体"/>
          <w:color w:val="auto"/>
          <w:highlight w:val="none"/>
        </w:rPr>
        <w:t>）其他资料</w:t>
      </w:r>
    </w:p>
    <w:p w14:paraId="3FC721C3">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2142" w:name="_Toc277082642"/>
      <w:bookmarkStart w:id="2143" w:name="_Toc224103494"/>
      <w:bookmarkStart w:id="2144" w:name="_Toc430530529"/>
      <w:bookmarkStart w:id="2145" w:name="_Toc287607866"/>
      <w:bookmarkStart w:id="2146" w:name="_Toc287620813"/>
    </w:p>
    <w:p w14:paraId="13F95393">
      <w:pPr>
        <w:pStyle w:val="4"/>
        <w:spacing w:line="360" w:lineRule="auto"/>
        <w:jc w:val="center"/>
        <w:rPr>
          <w:rFonts w:ascii="宋体" w:hAnsi="宋体"/>
          <w:b w:val="0"/>
          <w:bCs w:val="0"/>
          <w:color w:val="auto"/>
          <w:sz w:val="44"/>
          <w:szCs w:val="44"/>
          <w:highlight w:val="none"/>
        </w:rPr>
      </w:pPr>
      <w:bookmarkStart w:id="2147" w:name="_Toc28299"/>
      <w:bookmarkStart w:id="2148" w:name="_Toc19476"/>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eastAsia="zh-CN"/>
        </w:rPr>
        <w:t>比选申请</w:t>
      </w:r>
      <w:r>
        <w:rPr>
          <w:rFonts w:hint="eastAsia" w:ascii="宋体" w:hAnsi="宋体"/>
          <w:b w:val="0"/>
          <w:bCs w:val="0"/>
          <w:color w:val="auto"/>
          <w:sz w:val="44"/>
          <w:szCs w:val="44"/>
          <w:highlight w:val="none"/>
        </w:rPr>
        <w:t>函部分</w:t>
      </w:r>
      <w:bookmarkEnd w:id="2142"/>
      <w:bookmarkEnd w:id="2143"/>
      <w:bookmarkEnd w:id="2144"/>
      <w:bookmarkEnd w:id="2145"/>
      <w:bookmarkEnd w:id="2146"/>
      <w:bookmarkEnd w:id="2147"/>
      <w:bookmarkEnd w:id="2148"/>
    </w:p>
    <w:p w14:paraId="464F3A0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3E13ADC9">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314520DE">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E4BFB2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6B2621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FD34A8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7164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03756A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A6448F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比选申请</w:t>
      </w:r>
      <w:r>
        <w:rPr>
          <w:rFonts w:hint="eastAsia" w:ascii="宋体" w:hAnsi="宋体"/>
          <w:color w:val="auto"/>
          <w:kern w:val="0"/>
          <w:sz w:val="72"/>
          <w:szCs w:val="72"/>
          <w:highlight w:val="none"/>
        </w:rPr>
        <w:t>文件</w:t>
      </w:r>
    </w:p>
    <w:p w14:paraId="0C12CD36">
      <w:pPr>
        <w:autoSpaceDE w:val="0"/>
        <w:autoSpaceDN w:val="0"/>
        <w:adjustRightInd w:val="0"/>
        <w:snapToGrid w:val="0"/>
        <w:spacing w:line="360" w:lineRule="auto"/>
        <w:jc w:val="left"/>
        <w:rPr>
          <w:rFonts w:ascii="宋体" w:hAnsi="宋体"/>
          <w:color w:val="auto"/>
          <w:kern w:val="0"/>
          <w:sz w:val="16"/>
          <w:szCs w:val="16"/>
          <w:highlight w:val="none"/>
        </w:rPr>
      </w:pPr>
    </w:p>
    <w:p w14:paraId="77444E5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比选申请</w:t>
      </w:r>
      <w:r>
        <w:rPr>
          <w:rFonts w:hint="eastAsia" w:ascii="宋体" w:hAnsi="宋体"/>
          <w:color w:val="auto"/>
          <w:kern w:val="0"/>
          <w:sz w:val="36"/>
          <w:szCs w:val="36"/>
          <w:highlight w:val="none"/>
        </w:rPr>
        <w:t>函部分</w:t>
      </w:r>
    </w:p>
    <w:p w14:paraId="23F95ED3">
      <w:pPr>
        <w:autoSpaceDE w:val="0"/>
        <w:autoSpaceDN w:val="0"/>
        <w:adjustRightInd w:val="0"/>
        <w:snapToGrid w:val="0"/>
        <w:spacing w:line="360" w:lineRule="auto"/>
        <w:jc w:val="left"/>
        <w:rPr>
          <w:rFonts w:ascii="宋体" w:hAnsi="宋体"/>
          <w:b/>
          <w:color w:val="auto"/>
          <w:kern w:val="0"/>
          <w:sz w:val="20"/>
          <w:szCs w:val="20"/>
          <w:highlight w:val="none"/>
        </w:rPr>
      </w:pPr>
    </w:p>
    <w:p w14:paraId="36181B90">
      <w:pPr>
        <w:autoSpaceDE w:val="0"/>
        <w:autoSpaceDN w:val="0"/>
        <w:adjustRightInd w:val="0"/>
        <w:snapToGrid w:val="0"/>
        <w:spacing w:line="360" w:lineRule="auto"/>
        <w:jc w:val="left"/>
        <w:rPr>
          <w:rFonts w:ascii="宋体" w:hAnsi="宋体"/>
          <w:b/>
          <w:color w:val="auto"/>
          <w:kern w:val="0"/>
          <w:sz w:val="20"/>
          <w:szCs w:val="20"/>
          <w:highlight w:val="none"/>
        </w:rPr>
      </w:pPr>
    </w:p>
    <w:p w14:paraId="4ECE25E2">
      <w:pPr>
        <w:autoSpaceDE w:val="0"/>
        <w:autoSpaceDN w:val="0"/>
        <w:adjustRightInd w:val="0"/>
        <w:snapToGrid w:val="0"/>
        <w:spacing w:line="360" w:lineRule="auto"/>
        <w:jc w:val="left"/>
        <w:rPr>
          <w:rFonts w:ascii="宋体" w:hAnsi="宋体"/>
          <w:b/>
          <w:color w:val="auto"/>
          <w:kern w:val="0"/>
          <w:sz w:val="20"/>
          <w:szCs w:val="20"/>
          <w:highlight w:val="none"/>
        </w:rPr>
      </w:pPr>
    </w:p>
    <w:p w14:paraId="4CF3C28D">
      <w:pPr>
        <w:autoSpaceDE w:val="0"/>
        <w:autoSpaceDN w:val="0"/>
        <w:adjustRightInd w:val="0"/>
        <w:snapToGrid w:val="0"/>
        <w:spacing w:line="360" w:lineRule="auto"/>
        <w:jc w:val="left"/>
        <w:rPr>
          <w:rFonts w:ascii="宋体" w:hAnsi="宋体"/>
          <w:b/>
          <w:color w:val="auto"/>
          <w:kern w:val="0"/>
          <w:sz w:val="20"/>
          <w:szCs w:val="20"/>
          <w:highlight w:val="none"/>
        </w:rPr>
      </w:pPr>
    </w:p>
    <w:p w14:paraId="5AC0FA4F">
      <w:pPr>
        <w:autoSpaceDE w:val="0"/>
        <w:autoSpaceDN w:val="0"/>
        <w:adjustRightInd w:val="0"/>
        <w:snapToGrid w:val="0"/>
        <w:spacing w:line="360" w:lineRule="auto"/>
        <w:jc w:val="left"/>
        <w:rPr>
          <w:rFonts w:ascii="宋体" w:hAnsi="宋体"/>
          <w:b/>
          <w:color w:val="auto"/>
          <w:kern w:val="0"/>
          <w:sz w:val="20"/>
          <w:szCs w:val="20"/>
          <w:highlight w:val="none"/>
        </w:rPr>
      </w:pPr>
    </w:p>
    <w:p w14:paraId="5DD2B53D">
      <w:pPr>
        <w:autoSpaceDE w:val="0"/>
        <w:autoSpaceDN w:val="0"/>
        <w:adjustRightInd w:val="0"/>
        <w:snapToGrid w:val="0"/>
        <w:spacing w:line="360" w:lineRule="auto"/>
        <w:jc w:val="left"/>
        <w:rPr>
          <w:rFonts w:ascii="宋体" w:hAnsi="宋体"/>
          <w:b/>
          <w:color w:val="auto"/>
          <w:kern w:val="0"/>
          <w:sz w:val="20"/>
          <w:szCs w:val="20"/>
          <w:highlight w:val="none"/>
        </w:rPr>
      </w:pPr>
    </w:p>
    <w:p w14:paraId="7D775AF2">
      <w:pPr>
        <w:autoSpaceDE w:val="0"/>
        <w:autoSpaceDN w:val="0"/>
        <w:adjustRightInd w:val="0"/>
        <w:snapToGrid w:val="0"/>
        <w:spacing w:line="360" w:lineRule="auto"/>
        <w:jc w:val="left"/>
        <w:rPr>
          <w:rFonts w:ascii="宋体" w:hAnsi="宋体"/>
          <w:b/>
          <w:color w:val="auto"/>
          <w:kern w:val="0"/>
          <w:sz w:val="20"/>
          <w:szCs w:val="20"/>
          <w:highlight w:val="none"/>
        </w:rPr>
      </w:pPr>
    </w:p>
    <w:p w14:paraId="7E0A4BCC">
      <w:pPr>
        <w:autoSpaceDE w:val="0"/>
        <w:autoSpaceDN w:val="0"/>
        <w:adjustRightInd w:val="0"/>
        <w:snapToGrid w:val="0"/>
        <w:spacing w:line="360" w:lineRule="auto"/>
        <w:jc w:val="left"/>
        <w:rPr>
          <w:rFonts w:ascii="宋体" w:hAnsi="宋体"/>
          <w:b/>
          <w:color w:val="auto"/>
          <w:kern w:val="0"/>
          <w:sz w:val="20"/>
          <w:szCs w:val="20"/>
          <w:highlight w:val="none"/>
        </w:rPr>
      </w:pPr>
    </w:p>
    <w:p w14:paraId="15D36430">
      <w:pPr>
        <w:autoSpaceDE w:val="0"/>
        <w:autoSpaceDN w:val="0"/>
        <w:adjustRightInd w:val="0"/>
        <w:snapToGrid w:val="0"/>
        <w:spacing w:line="360" w:lineRule="auto"/>
        <w:jc w:val="left"/>
        <w:rPr>
          <w:rFonts w:ascii="宋体" w:hAnsi="宋体"/>
          <w:b/>
          <w:color w:val="auto"/>
          <w:kern w:val="0"/>
          <w:sz w:val="20"/>
          <w:szCs w:val="20"/>
          <w:highlight w:val="none"/>
        </w:rPr>
      </w:pPr>
    </w:p>
    <w:p w14:paraId="0FA4DF58">
      <w:pPr>
        <w:autoSpaceDE w:val="0"/>
        <w:autoSpaceDN w:val="0"/>
        <w:adjustRightInd w:val="0"/>
        <w:snapToGrid w:val="0"/>
        <w:spacing w:line="360" w:lineRule="auto"/>
        <w:jc w:val="left"/>
        <w:rPr>
          <w:rFonts w:ascii="宋体" w:hAnsi="宋体"/>
          <w:b/>
          <w:color w:val="auto"/>
          <w:kern w:val="0"/>
          <w:sz w:val="20"/>
          <w:szCs w:val="20"/>
          <w:highlight w:val="none"/>
        </w:rPr>
      </w:pPr>
    </w:p>
    <w:p w14:paraId="042AC7E2">
      <w:pPr>
        <w:autoSpaceDE w:val="0"/>
        <w:autoSpaceDN w:val="0"/>
        <w:adjustRightInd w:val="0"/>
        <w:snapToGrid w:val="0"/>
        <w:spacing w:line="360" w:lineRule="auto"/>
        <w:jc w:val="left"/>
        <w:rPr>
          <w:rFonts w:ascii="宋体" w:hAnsi="宋体"/>
          <w:b/>
          <w:color w:val="auto"/>
          <w:kern w:val="0"/>
          <w:sz w:val="20"/>
          <w:szCs w:val="20"/>
          <w:highlight w:val="none"/>
        </w:rPr>
      </w:pPr>
    </w:p>
    <w:p w14:paraId="2CBC03AD">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9A980FE">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18027D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70BAA40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845A672">
      <w:pPr>
        <w:autoSpaceDE w:val="0"/>
        <w:autoSpaceDN w:val="0"/>
        <w:adjustRightInd w:val="0"/>
        <w:snapToGrid w:val="0"/>
        <w:spacing w:line="360" w:lineRule="auto"/>
        <w:jc w:val="left"/>
        <w:rPr>
          <w:rFonts w:ascii="宋体" w:hAnsi="宋体"/>
          <w:color w:val="auto"/>
          <w:kern w:val="0"/>
          <w:sz w:val="24"/>
          <w:szCs w:val="21"/>
          <w:highlight w:val="none"/>
        </w:rPr>
      </w:pPr>
    </w:p>
    <w:p w14:paraId="5C270DD5">
      <w:pPr>
        <w:autoSpaceDE w:val="0"/>
        <w:autoSpaceDN w:val="0"/>
        <w:adjustRightInd w:val="0"/>
        <w:spacing w:line="360" w:lineRule="auto"/>
        <w:ind w:firstLine="480" w:firstLineChars="200"/>
        <w:jc w:val="left"/>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（一）</w:t>
      </w:r>
      <w:r>
        <w:rPr>
          <w:rFonts w:hint="eastAsia" w:ascii="宋体" w:hAnsi="宋体" w:eastAsia="宋体" w:cs="Times New Roman"/>
          <w:color w:val="auto"/>
          <w:kern w:val="0"/>
          <w:sz w:val="24"/>
          <w:highlight w:val="none"/>
          <w:lang w:eastAsia="zh-CN"/>
        </w:rPr>
        <w:t>比选申请</w:t>
      </w:r>
      <w:r>
        <w:rPr>
          <w:rFonts w:ascii="宋体" w:hAnsi="宋体" w:eastAsia="宋体" w:cs="Times New Roman"/>
          <w:color w:val="auto"/>
          <w:kern w:val="0"/>
          <w:sz w:val="24"/>
          <w:highlight w:val="none"/>
        </w:rPr>
        <w:t>函</w:t>
      </w:r>
    </w:p>
    <w:p w14:paraId="1E2E93DC">
      <w:pPr>
        <w:autoSpaceDE w:val="0"/>
        <w:autoSpaceDN w:val="0"/>
        <w:adjustRightInd w:val="0"/>
        <w:spacing w:line="360" w:lineRule="auto"/>
        <w:ind w:firstLine="480" w:firstLineChars="200"/>
        <w:jc w:val="left"/>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（二）</w:t>
      </w:r>
      <w:r>
        <w:rPr>
          <w:rFonts w:hint="eastAsia" w:ascii="宋体" w:hAnsi="宋体" w:eastAsia="宋体" w:cs="Times New Roman"/>
          <w:color w:val="auto"/>
          <w:kern w:val="0"/>
          <w:sz w:val="24"/>
          <w:highlight w:val="none"/>
          <w:lang w:eastAsia="zh-CN"/>
        </w:rPr>
        <w:t>比选申请</w:t>
      </w:r>
      <w:r>
        <w:rPr>
          <w:rFonts w:ascii="宋体" w:hAnsi="宋体" w:eastAsia="宋体" w:cs="Times New Roman"/>
          <w:color w:val="auto"/>
          <w:kern w:val="0"/>
          <w:sz w:val="24"/>
          <w:highlight w:val="none"/>
        </w:rPr>
        <w:t>函附录</w:t>
      </w:r>
    </w:p>
    <w:p w14:paraId="62335547">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（三）</w:t>
      </w:r>
      <w:r>
        <w:rPr>
          <w:rFonts w:hint="eastAsia" w:ascii="宋体" w:hAnsi="宋体" w:eastAsia="宋体" w:cs="Times New Roman"/>
          <w:color w:val="auto"/>
          <w:kern w:val="0"/>
          <w:sz w:val="24"/>
          <w:highlight w:val="none"/>
        </w:rPr>
        <w:t>法定代表人身份证明或附有法定代表人身份证明的授权委托书</w:t>
      </w:r>
    </w:p>
    <w:p w14:paraId="5DDAFE2D">
      <w:pPr>
        <w:pStyle w:val="2"/>
        <w:rPr>
          <w:color w:val="auto"/>
          <w:highlight w:val="none"/>
        </w:rPr>
      </w:pPr>
    </w:p>
    <w:p w14:paraId="69B65A65">
      <w:pPr>
        <w:autoSpaceDE w:val="0"/>
        <w:autoSpaceDN w:val="0"/>
        <w:adjustRightInd w:val="0"/>
        <w:snapToGrid w:val="0"/>
        <w:spacing w:line="360" w:lineRule="auto"/>
        <w:jc w:val="left"/>
        <w:rPr>
          <w:rFonts w:ascii="宋体" w:hAnsi="宋体"/>
          <w:color w:val="auto"/>
          <w:w w:val="99"/>
          <w:kern w:val="0"/>
          <w:sz w:val="28"/>
          <w:szCs w:val="28"/>
          <w:highlight w:val="none"/>
        </w:rPr>
      </w:pPr>
    </w:p>
    <w:p w14:paraId="3547CA94">
      <w:pPr>
        <w:pStyle w:val="5"/>
        <w:spacing w:before="0" w:after="0" w:line="400" w:lineRule="exact"/>
        <w:jc w:val="center"/>
        <w:rPr>
          <w:rFonts w:hint="eastAsia" w:ascii="宋体" w:hAnsi="宋体" w:eastAsia="宋体"/>
          <w:b w:val="0"/>
          <w:color w:val="auto"/>
          <w:highlight w:val="none"/>
          <w:lang w:eastAsia="zh-CN"/>
        </w:rPr>
      </w:pPr>
      <w:bookmarkStart w:id="2149" w:name="_Toc534185831"/>
      <w:bookmarkStart w:id="2150" w:name="_Toc287620814"/>
      <w:bookmarkStart w:id="2151" w:name="_Toc509218854"/>
      <w:bookmarkStart w:id="2152" w:name="_Toc430530530"/>
      <w:bookmarkStart w:id="2153" w:name="_Toc287607867"/>
      <w:bookmarkStart w:id="2154" w:name="_Toc224103495"/>
      <w:bookmarkStart w:id="2155" w:name="_Toc277082643"/>
      <w:r>
        <w:rPr>
          <w:rFonts w:ascii="宋体" w:hAnsi="宋体"/>
          <w:color w:val="auto"/>
          <w:highlight w:val="none"/>
        </w:rPr>
        <w:br w:type="page"/>
      </w:r>
      <w:bookmarkStart w:id="2156" w:name="_Toc26071"/>
      <w:bookmarkStart w:id="2157" w:name="_Toc20803"/>
      <w:r>
        <w:rPr>
          <w:rFonts w:hint="eastAsia"/>
          <w:color w:val="auto"/>
          <w:highlight w:val="none"/>
        </w:rPr>
        <w:t>（一）</w:t>
      </w:r>
      <w:bookmarkEnd w:id="2149"/>
      <w:bookmarkEnd w:id="2150"/>
      <w:bookmarkEnd w:id="2151"/>
      <w:bookmarkEnd w:id="2152"/>
      <w:bookmarkEnd w:id="2153"/>
      <w:bookmarkEnd w:id="2154"/>
      <w:bookmarkEnd w:id="2155"/>
      <w:bookmarkEnd w:id="2156"/>
      <w:r>
        <w:rPr>
          <w:rFonts w:hint="eastAsia"/>
          <w:color w:val="auto"/>
          <w:highlight w:val="none"/>
          <w:lang w:eastAsia="zh-CN"/>
        </w:rPr>
        <w:t>比选申请函</w:t>
      </w:r>
      <w:bookmarkEnd w:id="2157"/>
    </w:p>
    <w:p w14:paraId="41B19A6F">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8B2547E">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文件的要求</w:t>
      </w:r>
      <w:r>
        <w:rPr>
          <w:rFonts w:ascii="宋体" w:hAnsi="宋体"/>
          <w:snapToGrid w:val="0"/>
          <w:color w:val="auto"/>
          <w:kern w:val="0"/>
          <w:szCs w:val="21"/>
          <w:highlight w:val="none"/>
        </w:rPr>
        <w:t>。</w:t>
      </w:r>
    </w:p>
    <w:p w14:paraId="69B7E7C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480E1647">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28891CFD">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01A93A1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后，在</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规定的期限内与你方签订合同。</w:t>
      </w:r>
    </w:p>
    <w:p w14:paraId="6E76405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附录属于合同文件的组成部分。</w:t>
      </w:r>
    </w:p>
    <w:p w14:paraId="67193F8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文件规定向你方递交履约担保。</w:t>
      </w:r>
    </w:p>
    <w:p w14:paraId="5918890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9AE274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文件第七章 技术标准和要求中所列的技术指标和参数要求完成全部合同工程。</w:t>
      </w:r>
    </w:p>
    <w:p w14:paraId="570691C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比选申请文件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比选申请人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1FD724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30968E7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2B6835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028032E">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4227D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4E72B1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5553C4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16DD28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27D506B">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E7867CA">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799187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3DDEB7E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5BCF20FF">
      <w:pPr>
        <w:pStyle w:val="5"/>
        <w:jc w:val="center"/>
        <w:rPr>
          <w:rFonts w:ascii="宋体" w:hAnsi="宋体"/>
          <w:snapToGrid w:val="0"/>
          <w:color w:val="auto"/>
          <w:kern w:val="0"/>
          <w:szCs w:val="21"/>
          <w:highlight w:val="none"/>
        </w:rPr>
      </w:pPr>
      <w:bookmarkStart w:id="2158" w:name="_Toc430530531"/>
      <w:bookmarkStart w:id="2159" w:name="_Toc287620815"/>
      <w:bookmarkStart w:id="2160" w:name="_Toc287607868"/>
      <w:bookmarkStart w:id="2161" w:name="_Toc224103496"/>
      <w:bookmarkStart w:id="2162" w:name="_Toc277082644"/>
      <w:r>
        <w:rPr>
          <w:rFonts w:ascii="宋体" w:hAnsi="宋体"/>
          <w:color w:val="auto"/>
          <w:sz w:val="28"/>
          <w:highlight w:val="none"/>
        </w:rPr>
        <w:br w:type="page"/>
      </w:r>
      <w:bookmarkStart w:id="2163" w:name="_Toc9575"/>
      <w:bookmarkStart w:id="2164" w:name="_Toc509218855"/>
      <w:bookmarkStart w:id="2165" w:name="_Toc534185832"/>
      <w:bookmarkStart w:id="2166" w:name="_Toc30967"/>
      <w:r>
        <w:rPr>
          <w:color w:val="auto"/>
          <w:highlight w:val="none"/>
        </w:rPr>
        <w:t>（二）</w:t>
      </w:r>
      <w:r>
        <w:rPr>
          <w:rFonts w:hint="eastAsia"/>
          <w:color w:val="auto"/>
          <w:highlight w:val="none"/>
          <w:lang w:eastAsia="zh-CN"/>
        </w:rPr>
        <w:t>比选申请函</w:t>
      </w:r>
      <w:r>
        <w:rPr>
          <w:color w:val="auto"/>
          <w:highlight w:val="none"/>
        </w:rPr>
        <w:t>附录</w:t>
      </w:r>
      <w:bookmarkEnd w:id="2158"/>
      <w:bookmarkEnd w:id="2159"/>
      <w:bookmarkEnd w:id="2160"/>
      <w:bookmarkEnd w:id="2161"/>
      <w:bookmarkEnd w:id="2162"/>
      <w:bookmarkEnd w:id="2163"/>
      <w:bookmarkEnd w:id="2164"/>
      <w:bookmarkEnd w:id="2165"/>
      <w:bookmarkEnd w:id="2166"/>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0B63F9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EAFFB2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序号</w:t>
            </w:r>
          </w:p>
        </w:tc>
        <w:tc>
          <w:tcPr>
            <w:tcW w:w="2582" w:type="dxa"/>
            <w:vAlign w:val="center"/>
          </w:tcPr>
          <w:p w14:paraId="68EC135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条款名称</w:t>
            </w:r>
          </w:p>
        </w:tc>
        <w:tc>
          <w:tcPr>
            <w:tcW w:w="2388" w:type="dxa"/>
            <w:vAlign w:val="center"/>
          </w:tcPr>
          <w:p w14:paraId="245F9A4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合同条款号</w:t>
            </w:r>
          </w:p>
        </w:tc>
        <w:tc>
          <w:tcPr>
            <w:tcW w:w="2987" w:type="dxa"/>
            <w:vAlign w:val="center"/>
          </w:tcPr>
          <w:p w14:paraId="4491128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约定内容</w:t>
            </w:r>
          </w:p>
        </w:tc>
        <w:tc>
          <w:tcPr>
            <w:tcW w:w="792" w:type="dxa"/>
            <w:vAlign w:val="center"/>
          </w:tcPr>
          <w:p w14:paraId="7A4BB91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备注</w:t>
            </w:r>
          </w:p>
        </w:tc>
      </w:tr>
      <w:tr w14:paraId="28BA4E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C282C9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73AB999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工期</w:t>
            </w:r>
          </w:p>
        </w:tc>
        <w:tc>
          <w:tcPr>
            <w:tcW w:w="2388" w:type="dxa"/>
            <w:vAlign w:val="center"/>
          </w:tcPr>
          <w:p w14:paraId="6122CBA0">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1.1.4.3</w:t>
            </w:r>
          </w:p>
        </w:tc>
        <w:tc>
          <w:tcPr>
            <w:tcW w:w="2987" w:type="dxa"/>
            <w:vAlign w:val="center"/>
          </w:tcPr>
          <w:p w14:paraId="0FD616C8">
            <w:pPr>
              <w:keepNext w:val="0"/>
              <w:keepLines w:val="0"/>
              <w:suppressLineNumbers w:val="0"/>
              <w:tabs>
                <w:tab w:val="left" w:pos="1560"/>
              </w:tabs>
              <w:autoSpaceDE w:val="0"/>
              <w:autoSpaceDN w:val="0"/>
              <w:adjustRightInd w:val="0"/>
              <w:spacing w:before="0" w:beforeAutospacing="0" w:after="0" w:afterAutospacing="0"/>
              <w:ind w:left="0" w:right="0" w:firstLine="630" w:firstLineChars="300"/>
              <w:jc w:val="center"/>
              <w:rPr>
                <w:rFonts w:hint="default" w:ascii="宋体" w:hAnsi="宋体"/>
                <w:snapToGrid w:val="0"/>
                <w:color w:val="auto"/>
                <w:kern w:val="0"/>
                <w:szCs w:val="21"/>
                <w:highlight w:val="none"/>
              </w:rPr>
            </w:pPr>
          </w:p>
        </w:tc>
        <w:tc>
          <w:tcPr>
            <w:tcW w:w="792" w:type="dxa"/>
            <w:vAlign w:val="center"/>
          </w:tcPr>
          <w:p w14:paraId="3242474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r>
      <w:tr w14:paraId="56A41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6040BE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3D2BDDE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分包</w:t>
            </w:r>
          </w:p>
        </w:tc>
        <w:tc>
          <w:tcPr>
            <w:tcW w:w="2388" w:type="dxa"/>
            <w:vAlign w:val="center"/>
          </w:tcPr>
          <w:p w14:paraId="1AFE1559">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3.5</w:t>
            </w:r>
          </w:p>
        </w:tc>
        <w:tc>
          <w:tcPr>
            <w:tcW w:w="2987" w:type="dxa"/>
            <w:vAlign w:val="center"/>
          </w:tcPr>
          <w:p w14:paraId="07B7FF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c>
          <w:tcPr>
            <w:tcW w:w="792" w:type="dxa"/>
            <w:vAlign w:val="center"/>
          </w:tcPr>
          <w:p w14:paraId="097DE07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r>
      <w:tr w14:paraId="792FA3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0E6840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619F270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1D198799">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32ABFC6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c>
          <w:tcPr>
            <w:tcW w:w="792" w:type="dxa"/>
            <w:vAlign w:val="center"/>
          </w:tcPr>
          <w:p w14:paraId="7E67A5A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r>
      <w:tr w14:paraId="1D9CB5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C4B596">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582" w:type="dxa"/>
            <w:vAlign w:val="center"/>
          </w:tcPr>
          <w:p w14:paraId="13CDA72E">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388" w:type="dxa"/>
            <w:vAlign w:val="center"/>
          </w:tcPr>
          <w:p w14:paraId="5BFA2C73">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987" w:type="dxa"/>
            <w:vAlign w:val="center"/>
          </w:tcPr>
          <w:p w14:paraId="5D0ADEE9">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792" w:type="dxa"/>
            <w:vAlign w:val="center"/>
          </w:tcPr>
          <w:p w14:paraId="4740905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r>
      <w:tr w14:paraId="6D6EE7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C09FE59">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582" w:type="dxa"/>
            <w:vAlign w:val="center"/>
          </w:tcPr>
          <w:p w14:paraId="6C3166FF">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388" w:type="dxa"/>
            <w:vAlign w:val="center"/>
          </w:tcPr>
          <w:p w14:paraId="014A0077">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2987" w:type="dxa"/>
            <w:vAlign w:val="center"/>
          </w:tcPr>
          <w:p w14:paraId="686F9F36">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w:t>
            </w:r>
          </w:p>
        </w:tc>
        <w:tc>
          <w:tcPr>
            <w:tcW w:w="792" w:type="dxa"/>
            <w:vAlign w:val="center"/>
          </w:tcPr>
          <w:p w14:paraId="77C31B2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color w:val="auto"/>
                <w:kern w:val="0"/>
                <w:szCs w:val="21"/>
                <w:highlight w:val="none"/>
              </w:rPr>
            </w:pPr>
          </w:p>
        </w:tc>
      </w:tr>
    </w:tbl>
    <w:p w14:paraId="53E209BC">
      <w:pPr>
        <w:spacing w:line="360" w:lineRule="auto"/>
        <w:rPr>
          <w:rFonts w:ascii="宋体" w:hAnsi="宋体"/>
          <w:snapToGrid w:val="0"/>
          <w:color w:val="auto"/>
          <w:w w:val="99"/>
          <w:highlight w:val="none"/>
        </w:rPr>
      </w:pPr>
    </w:p>
    <w:p w14:paraId="71ACEB98">
      <w:pPr>
        <w:spacing w:line="360" w:lineRule="auto"/>
        <w:rPr>
          <w:rFonts w:ascii="宋体" w:hAnsi="宋体"/>
          <w:snapToGrid w:val="0"/>
          <w:color w:val="auto"/>
          <w:highlight w:val="none"/>
        </w:rPr>
      </w:pPr>
    </w:p>
    <w:p w14:paraId="42C989B2">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3425F27">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4911D633">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461C7F5">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23FD11">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2167" w:name="_Toc277082645"/>
      <w:bookmarkStart w:id="2168" w:name="_Toc224103497"/>
      <w:bookmarkStart w:id="2169" w:name="_Toc430530532"/>
      <w:bookmarkStart w:id="2170" w:name="_Toc287620816"/>
      <w:bookmarkStart w:id="2171" w:name="_Toc8650"/>
      <w:bookmarkStart w:id="2172" w:name="_Toc287607869"/>
      <w:bookmarkStart w:id="2173" w:name="_Toc6916"/>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2167"/>
      <w:bookmarkEnd w:id="2168"/>
      <w:bookmarkEnd w:id="2169"/>
      <w:bookmarkEnd w:id="2170"/>
      <w:bookmarkEnd w:id="2171"/>
      <w:bookmarkEnd w:id="2172"/>
      <w:bookmarkEnd w:id="2173"/>
    </w:p>
    <w:p w14:paraId="60BA9643">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2E4DC67">
      <w:pPr>
        <w:spacing w:line="480" w:lineRule="auto"/>
        <w:jc w:val="center"/>
        <w:rPr>
          <w:rFonts w:ascii="宋体" w:hAnsi="宋体"/>
          <w:color w:val="auto"/>
          <w:highlight w:val="none"/>
        </w:rPr>
      </w:pPr>
    </w:p>
    <w:p w14:paraId="6E9E82F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A802B0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316C8B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E20DA4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4C646F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CC754C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2F4D65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0488507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FA3BB5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8D8869C">
      <w:pPr>
        <w:pStyle w:val="2"/>
        <w:spacing w:after="0" w:line="360" w:lineRule="auto"/>
        <w:rPr>
          <w:rFonts w:ascii="宋体" w:hAnsi="宋体"/>
          <w:color w:val="auto"/>
          <w:szCs w:val="21"/>
          <w:highlight w:val="none"/>
        </w:rPr>
      </w:pPr>
    </w:p>
    <w:p w14:paraId="6756D61C">
      <w:pPr>
        <w:pStyle w:val="2"/>
        <w:spacing w:after="0" w:line="360" w:lineRule="auto"/>
        <w:rPr>
          <w:rFonts w:ascii="宋体" w:hAnsi="宋体"/>
          <w:color w:val="auto"/>
          <w:szCs w:val="21"/>
          <w:highlight w:val="none"/>
        </w:rPr>
      </w:pPr>
    </w:p>
    <w:p w14:paraId="65AE26AF">
      <w:pPr>
        <w:pStyle w:val="2"/>
        <w:spacing w:after="0" w:line="360" w:lineRule="auto"/>
        <w:rPr>
          <w:rFonts w:ascii="宋体" w:hAnsi="宋体"/>
          <w:color w:val="auto"/>
          <w:szCs w:val="21"/>
          <w:highlight w:val="none"/>
        </w:rPr>
      </w:pPr>
    </w:p>
    <w:p w14:paraId="53712EE2">
      <w:pPr>
        <w:pStyle w:val="2"/>
        <w:spacing w:after="0" w:line="360" w:lineRule="auto"/>
        <w:rPr>
          <w:rFonts w:ascii="宋体" w:hAnsi="宋体"/>
          <w:color w:val="auto"/>
          <w:szCs w:val="21"/>
          <w:highlight w:val="none"/>
        </w:rPr>
      </w:pPr>
    </w:p>
    <w:p w14:paraId="2CCC227F">
      <w:pPr>
        <w:pStyle w:val="2"/>
        <w:spacing w:after="0" w:line="360" w:lineRule="auto"/>
        <w:rPr>
          <w:rFonts w:ascii="宋体" w:hAnsi="宋体"/>
          <w:color w:val="auto"/>
          <w:szCs w:val="21"/>
          <w:highlight w:val="none"/>
        </w:rPr>
      </w:pPr>
    </w:p>
    <w:p w14:paraId="59C087BE">
      <w:pPr>
        <w:pStyle w:val="2"/>
        <w:spacing w:after="0" w:line="360" w:lineRule="auto"/>
        <w:rPr>
          <w:rFonts w:ascii="宋体" w:hAnsi="宋体"/>
          <w:color w:val="auto"/>
          <w:szCs w:val="21"/>
          <w:highlight w:val="none"/>
        </w:rPr>
      </w:pPr>
    </w:p>
    <w:p w14:paraId="62A4CD3E">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9EB65B8">
      <w:pPr>
        <w:autoSpaceDE w:val="0"/>
        <w:autoSpaceDN w:val="0"/>
        <w:adjustRightInd w:val="0"/>
        <w:snapToGrid w:val="0"/>
        <w:spacing w:line="480" w:lineRule="auto"/>
        <w:jc w:val="left"/>
        <w:rPr>
          <w:rFonts w:ascii="宋体" w:hAnsi="宋体"/>
          <w:color w:val="auto"/>
          <w:kern w:val="0"/>
          <w:sz w:val="20"/>
          <w:szCs w:val="20"/>
          <w:highlight w:val="none"/>
        </w:rPr>
      </w:pPr>
    </w:p>
    <w:p w14:paraId="5DC4292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F0771FD">
      <w:pPr>
        <w:autoSpaceDE w:val="0"/>
        <w:autoSpaceDN w:val="0"/>
        <w:adjustRightInd w:val="0"/>
        <w:snapToGrid w:val="0"/>
        <w:spacing w:line="360" w:lineRule="auto"/>
        <w:jc w:val="left"/>
        <w:rPr>
          <w:rFonts w:ascii="宋体" w:hAnsi="宋体"/>
          <w:color w:val="auto"/>
          <w:kern w:val="0"/>
          <w:highlight w:val="none"/>
        </w:rPr>
      </w:pPr>
    </w:p>
    <w:p w14:paraId="3460148E">
      <w:pPr>
        <w:autoSpaceDE w:val="0"/>
        <w:autoSpaceDN w:val="0"/>
        <w:adjustRightInd w:val="0"/>
        <w:snapToGrid w:val="0"/>
        <w:spacing w:line="360" w:lineRule="auto"/>
        <w:jc w:val="left"/>
        <w:rPr>
          <w:rFonts w:ascii="宋体" w:hAnsi="宋体"/>
          <w:color w:val="auto"/>
          <w:kern w:val="0"/>
          <w:highlight w:val="none"/>
        </w:rPr>
      </w:pPr>
    </w:p>
    <w:p w14:paraId="4DAB7C74">
      <w:pPr>
        <w:spacing w:line="360" w:lineRule="auto"/>
        <w:ind w:firstLine="420" w:firstLineChars="200"/>
        <w:rPr>
          <w:rFonts w:ascii="宋体" w:hAnsi="宋体"/>
          <w:color w:val="auto"/>
          <w:kern w:val="0"/>
          <w:highlight w:val="none"/>
        </w:rPr>
      </w:pPr>
      <w:r>
        <w:rPr>
          <w:rFonts w:ascii="宋体" w:hAnsi="宋体"/>
          <w:color w:val="auto"/>
          <w:highlight w:val="none"/>
        </w:rPr>
        <w:t>注：法定代表人身份证明需按上述格式填写完整，不可缺少内容。在此基础上增加内容的不影响其有效性。</w:t>
      </w:r>
    </w:p>
    <w:p w14:paraId="5BFFE22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08B9A07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70D6ABF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EEC175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48D4A9D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BF73FC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eastAsia="zh-CN"/>
        </w:rPr>
        <w:t>比选申请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0D03F0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5CE79D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05120C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315B81B0">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D5ADE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E0F2EEB">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90C675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19B4DD5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841F2C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14F679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71F33B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857C4A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91539F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FCF2B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12986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2D1E2F6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A2F7AC9">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EF43972">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070882FC">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959ED32">
      <w:pPr>
        <w:spacing w:line="360" w:lineRule="auto"/>
        <w:ind w:firstLine="420" w:firstLineChars="200"/>
        <w:rPr>
          <w:rFonts w:ascii="宋体" w:hAnsi="宋体"/>
          <w:color w:val="auto"/>
          <w:highlight w:val="none"/>
        </w:rPr>
      </w:pPr>
      <w:r>
        <w:rPr>
          <w:rFonts w:ascii="宋体" w:hAnsi="宋体"/>
          <w:color w:val="auto"/>
          <w:highlight w:val="none"/>
        </w:rPr>
        <w:br w:type="page"/>
      </w:r>
      <w:bookmarkStart w:id="2174" w:name="_Toc287620819"/>
      <w:bookmarkStart w:id="2175" w:name="_Toc430530534"/>
      <w:bookmarkStart w:id="2176" w:name="_Toc224103500"/>
      <w:bookmarkStart w:id="2177" w:name="_Toc287607872"/>
    </w:p>
    <w:p w14:paraId="4F6D8378">
      <w:pPr>
        <w:pStyle w:val="4"/>
        <w:spacing w:line="360" w:lineRule="auto"/>
        <w:jc w:val="center"/>
        <w:rPr>
          <w:rFonts w:ascii="宋体" w:hAnsi="宋体"/>
          <w:b w:val="0"/>
          <w:bCs w:val="0"/>
          <w:color w:val="auto"/>
          <w:sz w:val="44"/>
          <w:szCs w:val="44"/>
          <w:highlight w:val="none"/>
        </w:rPr>
      </w:pPr>
      <w:bookmarkStart w:id="2178" w:name="_Toc29115"/>
      <w:bookmarkStart w:id="2179" w:name="_Toc23891"/>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2174"/>
      <w:bookmarkEnd w:id="2175"/>
      <w:bookmarkEnd w:id="2176"/>
      <w:bookmarkEnd w:id="2177"/>
      <w:bookmarkEnd w:id="2178"/>
      <w:bookmarkEnd w:id="2179"/>
    </w:p>
    <w:p w14:paraId="5BD397E2">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35C8ED8B">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71075703">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FBC04C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9F2BE3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C690BD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C31C06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C86D6E1">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比选申请</w:t>
      </w:r>
      <w:r>
        <w:rPr>
          <w:rFonts w:hint="eastAsia" w:ascii="宋体" w:hAnsi="宋体"/>
          <w:color w:val="auto"/>
          <w:kern w:val="0"/>
          <w:sz w:val="72"/>
          <w:szCs w:val="72"/>
          <w:highlight w:val="none"/>
        </w:rPr>
        <w:t>文件</w:t>
      </w:r>
    </w:p>
    <w:p w14:paraId="4C92DB31">
      <w:pPr>
        <w:autoSpaceDE w:val="0"/>
        <w:autoSpaceDN w:val="0"/>
        <w:adjustRightInd w:val="0"/>
        <w:snapToGrid w:val="0"/>
        <w:spacing w:line="360" w:lineRule="auto"/>
        <w:jc w:val="left"/>
        <w:rPr>
          <w:rFonts w:ascii="宋体" w:hAnsi="宋体"/>
          <w:color w:val="auto"/>
          <w:kern w:val="0"/>
          <w:sz w:val="16"/>
          <w:szCs w:val="16"/>
          <w:highlight w:val="none"/>
        </w:rPr>
      </w:pPr>
    </w:p>
    <w:p w14:paraId="3F6EDFA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4865782D">
      <w:pPr>
        <w:autoSpaceDE w:val="0"/>
        <w:autoSpaceDN w:val="0"/>
        <w:adjustRightInd w:val="0"/>
        <w:snapToGrid w:val="0"/>
        <w:spacing w:line="360" w:lineRule="auto"/>
        <w:jc w:val="left"/>
        <w:rPr>
          <w:rFonts w:ascii="宋体" w:hAnsi="宋体"/>
          <w:b/>
          <w:color w:val="auto"/>
          <w:kern w:val="0"/>
          <w:sz w:val="20"/>
          <w:szCs w:val="20"/>
          <w:highlight w:val="none"/>
        </w:rPr>
      </w:pPr>
    </w:p>
    <w:p w14:paraId="2BE0A4FD">
      <w:pPr>
        <w:autoSpaceDE w:val="0"/>
        <w:autoSpaceDN w:val="0"/>
        <w:adjustRightInd w:val="0"/>
        <w:snapToGrid w:val="0"/>
        <w:spacing w:line="360" w:lineRule="auto"/>
        <w:jc w:val="left"/>
        <w:rPr>
          <w:rFonts w:ascii="宋体" w:hAnsi="宋体"/>
          <w:b/>
          <w:color w:val="auto"/>
          <w:kern w:val="0"/>
          <w:sz w:val="20"/>
          <w:szCs w:val="20"/>
          <w:highlight w:val="none"/>
        </w:rPr>
      </w:pPr>
    </w:p>
    <w:p w14:paraId="23B5CD70">
      <w:pPr>
        <w:autoSpaceDE w:val="0"/>
        <w:autoSpaceDN w:val="0"/>
        <w:adjustRightInd w:val="0"/>
        <w:snapToGrid w:val="0"/>
        <w:spacing w:line="360" w:lineRule="auto"/>
        <w:jc w:val="left"/>
        <w:rPr>
          <w:rFonts w:ascii="宋体" w:hAnsi="宋体"/>
          <w:b/>
          <w:color w:val="auto"/>
          <w:kern w:val="0"/>
          <w:sz w:val="20"/>
          <w:szCs w:val="20"/>
          <w:highlight w:val="none"/>
        </w:rPr>
      </w:pPr>
    </w:p>
    <w:p w14:paraId="2F73EF8A">
      <w:pPr>
        <w:autoSpaceDE w:val="0"/>
        <w:autoSpaceDN w:val="0"/>
        <w:adjustRightInd w:val="0"/>
        <w:snapToGrid w:val="0"/>
        <w:spacing w:line="360" w:lineRule="auto"/>
        <w:jc w:val="left"/>
        <w:rPr>
          <w:rFonts w:ascii="宋体" w:hAnsi="宋体"/>
          <w:b/>
          <w:color w:val="auto"/>
          <w:kern w:val="0"/>
          <w:sz w:val="20"/>
          <w:szCs w:val="20"/>
          <w:highlight w:val="none"/>
        </w:rPr>
      </w:pPr>
    </w:p>
    <w:p w14:paraId="7E92DACD">
      <w:pPr>
        <w:autoSpaceDE w:val="0"/>
        <w:autoSpaceDN w:val="0"/>
        <w:adjustRightInd w:val="0"/>
        <w:snapToGrid w:val="0"/>
        <w:spacing w:line="360" w:lineRule="auto"/>
        <w:jc w:val="left"/>
        <w:rPr>
          <w:rFonts w:ascii="宋体" w:hAnsi="宋体"/>
          <w:b/>
          <w:color w:val="auto"/>
          <w:kern w:val="0"/>
          <w:sz w:val="20"/>
          <w:szCs w:val="20"/>
          <w:highlight w:val="none"/>
        </w:rPr>
      </w:pPr>
    </w:p>
    <w:p w14:paraId="2C0B7F86">
      <w:pPr>
        <w:autoSpaceDE w:val="0"/>
        <w:autoSpaceDN w:val="0"/>
        <w:adjustRightInd w:val="0"/>
        <w:snapToGrid w:val="0"/>
        <w:spacing w:line="360" w:lineRule="auto"/>
        <w:jc w:val="left"/>
        <w:rPr>
          <w:rFonts w:ascii="宋体" w:hAnsi="宋体"/>
          <w:b/>
          <w:color w:val="auto"/>
          <w:kern w:val="0"/>
          <w:sz w:val="20"/>
          <w:szCs w:val="20"/>
          <w:highlight w:val="none"/>
        </w:rPr>
      </w:pPr>
    </w:p>
    <w:p w14:paraId="673B4E12">
      <w:pPr>
        <w:autoSpaceDE w:val="0"/>
        <w:autoSpaceDN w:val="0"/>
        <w:adjustRightInd w:val="0"/>
        <w:snapToGrid w:val="0"/>
        <w:spacing w:line="360" w:lineRule="auto"/>
        <w:jc w:val="left"/>
        <w:rPr>
          <w:rFonts w:ascii="宋体" w:hAnsi="宋体"/>
          <w:b/>
          <w:color w:val="auto"/>
          <w:kern w:val="0"/>
          <w:sz w:val="20"/>
          <w:szCs w:val="20"/>
          <w:highlight w:val="none"/>
        </w:rPr>
      </w:pPr>
    </w:p>
    <w:p w14:paraId="79632803">
      <w:pPr>
        <w:autoSpaceDE w:val="0"/>
        <w:autoSpaceDN w:val="0"/>
        <w:adjustRightInd w:val="0"/>
        <w:snapToGrid w:val="0"/>
        <w:spacing w:line="360" w:lineRule="auto"/>
        <w:jc w:val="left"/>
        <w:rPr>
          <w:rFonts w:ascii="宋体" w:hAnsi="宋体"/>
          <w:b/>
          <w:color w:val="auto"/>
          <w:kern w:val="0"/>
          <w:sz w:val="20"/>
          <w:szCs w:val="20"/>
          <w:highlight w:val="none"/>
        </w:rPr>
      </w:pPr>
    </w:p>
    <w:p w14:paraId="77A6A1B4">
      <w:pPr>
        <w:autoSpaceDE w:val="0"/>
        <w:autoSpaceDN w:val="0"/>
        <w:adjustRightInd w:val="0"/>
        <w:snapToGrid w:val="0"/>
        <w:spacing w:line="360" w:lineRule="auto"/>
        <w:jc w:val="left"/>
        <w:rPr>
          <w:rFonts w:ascii="宋体" w:hAnsi="宋体"/>
          <w:b/>
          <w:color w:val="auto"/>
          <w:kern w:val="0"/>
          <w:sz w:val="20"/>
          <w:szCs w:val="20"/>
          <w:highlight w:val="none"/>
        </w:rPr>
      </w:pPr>
    </w:p>
    <w:p w14:paraId="49213EFB">
      <w:pPr>
        <w:autoSpaceDE w:val="0"/>
        <w:autoSpaceDN w:val="0"/>
        <w:adjustRightInd w:val="0"/>
        <w:snapToGrid w:val="0"/>
        <w:spacing w:line="360" w:lineRule="auto"/>
        <w:jc w:val="left"/>
        <w:rPr>
          <w:rFonts w:ascii="宋体" w:hAnsi="宋体"/>
          <w:b/>
          <w:color w:val="auto"/>
          <w:kern w:val="0"/>
          <w:sz w:val="20"/>
          <w:szCs w:val="20"/>
          <w:highlight w:val="none"/>
        </w:rPr>
      </w:pPr>
    </w:p>
    <w:p w14:paraId="758CC449">
      <w:pPr>
        <w:autoSpaceDE w:val="0"/>
        <w:autoSpaceDN w:val="0"/>
        <w:adjustRightInd w:val="0"/>
        <w:snapToGrid w:val="0"/>
        <w:spacing w:line="360" w:lineRule="auto"/>
        <w:jc w:val="left"/>
        <w:rPr>
          <w:rFonts w:ascii="宋体" w:hAnsi="宋体"/>
          <w:b/>
          <w:color w:val="auto"/>
          <w:kern w:val="0"/>
          <w:sz w:val="20"/>
          <w:szCs w:val="20"/>
          <w:highlight w:val="none"/>
        </w:rPr>
      </w:pPr>
    </w:p>
    <w:p w14:paraId="6C598787">
      <w:pPr>
        <w:autoSpaceDE w:val="0"/>
        <w:autoSpaceDN w:val="0"/>
        <w:adjustRightInd w:val="0"/>
        <w:snapToGrid w:val="0"/>
        <w:spacing w:line="360" w:lineRule="auto"/>
        <w:jc w:val="left"/>
        <w:rPr>
          <w:rFonts w:ascii="宋体" w:hAnsi="宋体"/>
          <w:b/>
          <w:color w:val="auto"/>
          <w:kern w:val="0"/>
          <w:sz w:val="20"/>
          <w:szCs w:val="20"/>
          <w:highlight w:val="none"/>
        </w:rPr>
      </w:pPr>
    </w:p>
    <w:p w14:paraId="3F4414C0">
      <w:pPr>
        <w:autoSpaceDE w:val="0"/>
        <w:autoSpaceDN w:val="0"/>
        <w:adjustRightInd w:val="0"/>
        <w:snapToGrid w:val="0"/>
        <w:spacing w:line="360" w:lineRule="auto"/>
        <w:jc w:val="left"/>
        <w:rPr>
          <w:rFonts w:ascii="宋体" w:hAnsi="宋体"/>
          <w:b/>
          <w:color w:val="auto"/>
          <w:kern w:val="0"/>
          <w:sz w:val="20"/>
          <w:szCs w:val="20"/>
          <w:highlight w:val="none"/>
        </w:rPr>
      </w:pPr>
    </w:p>
    <w:p w14:paraId="63395E27">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5A6E1FFC">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ECB114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2524D02">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F02D74F">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4680E98A">
      <w:pPr>
        <w:autoSpaceDE w:val="0"/>
        <w:autoSpaceDN w:val="0"/>
        <w:adjustRightInd w:val="0"/>
        <w:snapToGrid w:val="0"/>
        <w:spacing w:line="360" w:lineRule="auto"/>
        <w:jc w:val="left"/>
        <w:rPr>
          <w:rFonts w:ascii="宋体" w:hAnsi="宋体"/>
          <w:color w:val="auto"/>
          <w:kern w:val="0"/>
          <w:szCs w:val="21"/>
          <w:highlight w:val="none"/>
        </w:rPr>
      </w:pPr>
    </w:p>
    <w:p w14:paraId="3E571A9D">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比选申请人</w:t>
      </w:r>
      <w:r>
        <w:rPr>
          <w:rFonts w:ascii="宋体" w:hAnsi="宋体"/>
          <w:i/>
          <w:iCs/>
          <w:color w:val="auto"/>
          <w:kern w:val="0"/>
          <w:szCs w:val="21"/>
          <w:highlight w:val="none"/>
        </w:rPr>
        <w:t>自行编制]</w:t>
      </w:r>
    </w:p>
    <w:p w14:paraId="7E0F86B2">
      <w:pPr>
        <w:autoSpaceDE w:val="0"/>
        <w:autoSpaceDN w:val="0"/>
        <w:adjustRightInd w:val="0"/>
        <w:snapToGrid w:val="0"/>
        <w:spacing w:line="360" w:lineRule="auto"/>
        <w:jc w:val="left"/>
        <w:rPr>
          <w:rFonts w:ascii="宋体" w:hAnsi="宋体"/>
          <w:color w:val="auto"/>
          <w:w w:val="99"/>
          <w:kern w:val="0"/>
          <w:sz w:val="28"/>
          <w:szCs w:val="28"/>
          <w:highlight w:val="none"/>
        </w:rPr>
      </w:pPr>
    </w:p>
    <w:p w14:paraId="31A1D74E">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2180" w:name="_Toc287620820"/>
      <w:bookmarkStart w:id="2181" w:name="_Toc224103501"/>
      <w:bookmarkStart w:id="2182" w:name="_Toc287607873"/>
      <w:bookmarkStart w:id="2183" w:name="_Toc277082648"/>
      <w:bookmarkStart w:id="2184" w:name="_Toc430530535"/>
    </w:p>
    <w:p w14:paraId="4F5F394D">
      <w:pPr>
        <w:pStyle w:val="5"/>
        <w:jc w:val="center"/>
        <w:rPr>
          <w:color w:val="auto"/>
          <w:highlight w:val="none"/>
        </w:rPr>
      </w:pPr>
      <w:bookmarkStart w:id="2185" w:name="_Toc20843"/>
      <w:bookmarkStart w:id="2186" w:name="_Toc28475"/>
      <w:r>
        <w:rPr>
          <w:rFonts w:hint="eastAsia"/>
          <w:color w:val="auto"/>
          <w:highlight w:val="none"/>
        </w:rPr>
        <w:t>（一）已标价工程量清单</w:t>
      </w:r>
      <w:bookmarkEnd w:id="2180"/>
      <w:bookmarkEnd w:id="2181"/>
      <w:bookmarkEnd w:id="2182"/>
      <w:bookmarkEnd w:id="2183"/>
      <w:bookmarkEnd w:id="2184"/>
      <w:bookmarkEnd w:id="2185"/>
      <w:bookmarkEnd w:id="2186"/>
    </w:p>
    <w:p w14:paraId="07E9A8CF">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2598444B">
      <w:pPr>
        <w:rPr>
          <w:rFonts w:hint="eastAsia" w:ascii="宋体" w:hAnsi="宋体"/>
          <w:b w:val="0"/>
          <w:bCs w:val="0"/>
          <w:color w:val="auto"/>
          <w:sz w:val="44"/>
          <w:szCs w:val="44"/>
          <w:highlight w:val="none"/>
          <w:lang w:eastAsia="zh-CN"/>
        </w:rPr>
      </w:pPr>
      <w:bookmarkStart w:id="2187" w:name="_Toc277082656"/>
      <w:bookmarkStart w:id="2188" w:name="_Toc430530545"/>
      <w:bookmarkStart w:id="2189" w:name="_Toc224103510"/>
      <w:bookmarkStart w:id="2190" w:name="_Toc287620829"/>
      <w:bookmarkStart w:id="2191" w:name="_Toc287607882"/>
      <w:bookmarkStart w:id="2192" w:name="_Toc27141"/>
      <w:bookmarkStart w:id="2193" w:name="_Toc19115"/>
      <w:r>
        <w:rPr>
          <w:rFonts w:hint="eastAsia" w:ascii="宋体" w:hAnsi="宋体"/>
          <w:b w:val="0"/>
          <w:bCs w:val="0"/>
          <w:color w:val="auto"/>
          <w:sz w:val="44"/>
          <w:szCs w:val="44"/>
          <w:highlight w:val="none"/>
          <w:lang w:eastAsia="zh-CN"/>
        </w:rPr>
        <w:br w:type="page"/>
      </w:r>
    </w:p>
    <w:p w14:paraId="08421226">
      <w:pPr>
        <w:autoSpaceDE w:val="0"/>
        <w:autoSpaceDN w:val="0"/>
        <w:adjustRightInd w:val="0"/>
        <w:snapToGrid w:val="0"/>
        <w:spacing w:line="360" w:lineRule="auto"/>
        <w:jc w:val="center"/>
        <w:outlineLvl w:val="1"/>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t>三、技术部分</w:t>
      </w:r>
    </w:p>
    <w:p w14:paraId="22D5F07A">
      <w:pP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361AE323">
      <w:pPr>
        <w:autoSpaceDE w:val="0"/>
        <w:autoSpaceDN w:val="0"/>
        <w:adjustRightInd w:val="0"/>
        <w:snapToGrid w:val="0"/>
        <w:spacing w:line="360" w:lineRule="auto"/>
        <w:jc w:val="center"/>
        <w:outlineLvl w:val="1"/>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bookmarkEnd w:id="2187"/>
      <w:bookmarkEnd w:id="2188"/>
      <w:bookmarkEnd w:id="2189"/>
      <w:bookmarkEnd w:id="2190"/>
      <w:bookmarkEnd w:id="2191"/>
      <w:r>
        <w:rPr>
          <w:rFonts w:hint="eastAsia" w:ascii="宋体" w:hAnsi="宋体"/>
          <w:b w:val="0"/>
          <w:bCs w:val="0"/>
          <w:color w:val="auto"/>
          <w:sz w:val="44"/>
          <w:szCs w:val="44"/>
          <w:highlight w:val="none"/>
        </w:rPr>
        <w:t>资格审查部分</w:t>
      </w:r>
      <w:bookmarkEnd w:id="2192"/>
      <w:bookmarkEnd w:id="2193"/>
    </w:p>
    <w:p w14:paraId="77599E3A">
      <w:pPr>
        <w:spacing w:line="360" w:lineRule="auto"/>
        <w:rPr>
          <w:rFonts w:ascii="宋体" w:hAnsi="宋体"/>
          <w:color w:val="auto"/>
          <w:sz w:val="32"/>
          <w:szCs w:val="32"/>
          <w:highlight w:val="none"/>
        </w:rPr>
      </w:pPr>
    </w:p>
    <w:p w14:paraId="4A1BB4A1">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2DAD184">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84A3FC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4FFB5D71">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106E4A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D8D870C">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比选申请</w:t>
      </w:r>
      <w:r>
        <w:rPr>
          <w:rFonts w:hint="eastAsia" w:ascii="宋体" w:hAnsi="宋体"/>
          <w:color w:val="auto"/>
          <w:kern w:val="0"/>
          <w:sz w:val="72"/>
          <w:szCs w:val="72"/>
          <w:highlight w:val="none"/>
        </w:rPr>
        <w:t>文件</w:t>
      </w:r>
    </w:p>
    <w:p w14:paraId="081E0908">
      <w:pPr>
        <w:autoSpaceDE w:val="0"/>
        <w:autoSpaceDN w:val="0"/>
        <w:adjustRightInd w:val="0"/>
        <w:snapToGrid w:val="0"/>
        <w:spacing w:line="360" w:lineRule="auto"/>
        <w:jc w:val="left"/>
        <w:rPr>
          <w:rFonts w:ascii="宋体" w:hAnsi="宋体"/>
          <w:color w:val="auto"/>
          <w:kern w:val="0"/>
          <w:sz w:val="16"/>
          <w:szCs w:val="16"/>
          <w:highlight w:val="none"/>
        </w:rPr>
      </w:pPr>
    </w:p>
    <w:p w14:paraId="6FC2BDA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EABB71B">
      <w:pPr>
        <w:autoSpaceDE w:val="0"/>
        <w:autoSpaceDN w:val="0"/>
        <w:adjustRightInd w:val="0"/>
        <w:snapToGrid w:val="0"/>
        <w:spacing w:line="360" w:lineRule="auto"/>
        <w:jc w:val="left"/>
        <w:rPr>
          <w:rFonts w:ascii="宋体" w:hAnsi="宋体" w:cs="MingLiU"/>
          <w:color w:val="auto"/>
          <w:kern w:val="0"/>
          <w:sz w:val="20"/>
          <w:szCs w:val="20"/>
          <w:highlight w:val="none"/>
        </w:rPr>
      </w:pPr>
    </w:p>
    <w:p w14:paraId="0EABD66B">
      <w:pPr>
        <w:adjustRightInd w:val="0"/>
        <w:snapToGrid w:val="0"/>
        <w:spacing w:line="264" w:lineRule="auto"/>
        <w:rPr>
          <w:rFonts w:ascii="宋体" w:hAnsi="宋体"/>
          <w:color w:val="auto"/>
          <w:szCs w:val="21"/>
          <w:highlight w:val="none"/>
        </w:rPr>
      </w:pPr>
    </w:p>
    <w:p w14:paraId="509A6D4A">
      <w:pPr>
        <w:autoSpaceDE w:val="0"/>
        <w:autoSpaceDN w:val="0"/>
        <w:adjustRightInd w:val="0"/>
        <w:snapToGrid w:val="0"/>
        <w:spacing w:line="360" w:lineRule="auto"/>
        <w:jc w:val="left"/>
        <w:rPr>
          <w:rFonts w:ascii="宋体" w:hAnsi="宋体" w:cs="MingLiU"/>
          <w:color w:val="auto"/>
          <w:kern w:val="0"/>
          <w:sz w:val="20"/>
          <w:szCs w:val="20"/>
          <w:highlight w:val="none"/>
        </w:rPr>
      </w:pPr>
    </w:p>
    <w:p w14:paraId="209ED350">
      <w:pPr>
        <w:autoSpaceDE w:val="0"/>
        <w:autoSpaceDN w:val="0"/>
        <w:adjustRightInd w:val="0"/>
        <w:snapToGrid w:val="0"/>
        <w:spacing w:line="360" w:lineRule="auto"/>
        <w:jc w:val="left"/>
        <w:rPr>
          <w:rFonts w:ascii="宋体" w:hAnsi="宋体" w:cs="MingLiU"/>
          <w:color w:val="auto"/>
          <w:kern w:val="0"/>
          <w:sz w:val="20"/>
          <w:szCs w:val="20"/>
          <w:highlight w:val="none"/>
        </w:rPr>
      </w:pPr>
    </w:p>
    <w:p w14:paraId="25AC394C">
      <w:pPr>
        <w:autoSpaceDE w:val="0"/>
        <w:autoSpaceDN w:val="0"/>
        <w:adjustRightInd w:val="0"/>
        <w:snapToGrid w:val="0"/>
        <w:spacing w:line="360" w:lineRule="auto"/>
        <w:jc w:val="left"/>
        <w:rPr>
          <w:rFonts w:ascii="宋体" w:hAnsi="宋体" w:cs="MingLiU"/>
          <w:color w:val="auto"/>
          <w:kern w:val="0"/>
          <w:sz w:val="20"/>
          <w:szCs w:val="20"/>
          <w:highlight w:val="none"/>
        </w:rPr>
      </w:pPr>
    </w:p>
    <w:p w14:paraId="7816BEFE">
      <w:pPr>
        <w:autoSpaceDE w:val="0"/>
        <w:autoSpaceDN w:val="0"/>
        <w:adjustRightInd w:val="0"/>
        <w:snapToGrid w:val="0"/>
        <w:spacing w:line="360" w:lineRule="auto"/>
        <w:jc w:val="left"/>
        <w:rPr>
          <w:rFonts w:ascii="宋体" w:hAnsi="宋体" w:cs="MingLiU"/>
          <w:color w:val="auto"/>
          <w:kern w:val="0"/>
          <w:sz w:val="20"/>
          <w:szCs w:val="20"/>
          <w:highlight w:val="none"/>
        </w:rPr>
      </w:pPr>
    </w:p>
    <w:p w14:paraId="1D3A9948">
      <w:pPr>
        <w:autoSpaceDE w:val="0"/>
        <w:autoSpaceDN w:val="0"/>
        <w:adjustRightInd w:val="0"/>
        <w:snapToGrid w:val="0"/>
        <w:spacing w:line="360" w:lineRule="auto"/>
        <w:jc w:val="left"/>
        <w:rPr>
          <w:rFonts w:ascii="宋体" w:hAnsi="宋体" w:cs="MingLiU"/>
          <w:color w:val="auto"/>
          <w:kern w:val="0"/>
          <w:sz w:val="20"/>
          <w:szCs w:val="20"/>
          <w:highlight w:val="none"/>
        </w:rPr>
      </w:pPr>
    </w:p>
    <w:p w14:paraId="417CED1F">
      <w:pPr>
        <w:autoSpaceDE w:val="0"/>
        <w:autoSpaceDN w:val="0"/>
        <w:adjustRightInd w:val="0"/>
        <w:snapToGrid w:val="0"/>
        <w:spacing w:line="360" w:lineRule="auto"/>
        <w:jc w:val="left"/>
        <w:rPr>
          <w:rFonts w:ascii="宋体" w:hAnsi="宋体" w:cs="MingLiU"/>
          <w:color w:val="auto"/>
          <w:kern w:val="0"/>
          <w:sz w:val="20"/>
          <w:szCs w:val="20"/>
          <w:highlight w:val="none"/>
        </w:rPr>
      </w:pPr>
    </w:p>
    <w:p w14:paraId="1A8ADC77">
      <w:pPr>
        <w:autoSpaceDE w:val="0"/>
        <w:autoSpaceDN w:val="0"/>
        <w:adjustRightInd w:val="0"/>
        <w:snapToGrid w:val="0"/>
        <w:spacing w:line="360" w:lineRule="auto"/>
        <w:jc w:val="left"/>
        <w:rPr>
          <w:rFonts w:ascii="宋体" w:hAnsi="宋体" w:cs="MingLiU"/>
          <w:color w:val="auto"/>
          <w:kern w:val="0"/>
          <w:sz w:val="20"/>
          <w:szCs w:val="20"/>
          <w:highlight w:val="none"/>
        </w:rPr>
      </w:pPr>
    </w:p>
    <w:p w14:paraId="3D8D9EC7">
      <w:pPr>
        <w:autoSpaceDE w:val="0"/>
        <w:autoSpaceDN w:val="0"/>
        <w:adjustRightInd w:val="0"/>
        <w:snapToGrid w:val="0"/>
        <w:spacing w:line="360" w:lineRule="auto"/>
        <w:jc w:val="left"/>
        <w:rPr>
          <w:rFonts w:ascii="宋体" w:hAnsi="宋体" w:cs="MingLiU"/>
          <w:color w:val="auto"/>
          <w:kern w:val="0"/>
          <w:sz w:val="20"/>
          <w:szCs w:val="20"/>
          <w:highlight w:val="none"/>
        </w:rPr>
      </w:pPr>
    </w:p>
    <w:p w14:paraId="27C49E18">
      <w:pPr>
        <w:autoSpaceDE w:val="0"/>
        <w:autoSpaceDN w:val="0"/>
        <w:adjustRightInd w:val="0"/>
        <w:snapToGrid w:val="0"/>
        <w:spacing w:line="360" w:lineRule="auto"/>
        <w:jc w:val="left"/>
        <w:rPr>
          <w:rFonts w:ascii="宋体" w:hAnsi="宋体" w:cs="MingLiU"/>
          <w:color w:val="auto"/>
          <w:kern w:val="0"/>
          <w:sz w:val="20"/>
          <w:szCs w:val="20"/>
          <w:highlight w:val="none"/>
        </w:rPr>
      </w:pPr>
    </w:p>
    <w:p w14:paraId="490B7E9E">
      <w:pPr>
        <w:pStyle w:val="2"/>
        <w:rPr>
          <w:color w:val="auto"/>
          <w:highlight w:val="none"/>
        </w:rPr>
      </w:pPr>
    </w:p>
    <w:p w14:paraId="10327F9D">
      <w:pPr>
        <w:autoSpaceDE w:val="0"/>
        <w:autoSpaceDN w:val="0"/>
        <w:adjustRightInd w:val="0"/>
        <w:snapToGrid w:val="0"/>
        <w:spacing w:line="360" w:lineRule="auto"/>
        <w:jc w:val="left"/>
        <w:rPr>
          <w:rFonts w:ascii="宋体" w:hAnsi="宋体" w:cs="MingLiU"/>
          <w:color w:val="auto"/>
          <w:kern w:val="0"/>
          <w:sz w:val="20"/>
          <w:szCs w:val="20"/>
          <w:highlight w:val="none"/>
        </w:rPr>
      </w:pPr>
    </w:p>
    <w:p w14:paraId="59A1110E">
      <w:pPr>
        <w:autoSpaceDE w:val="0"/>
        <w:autoSpaceDN w:val="0"/>
        <w:adjustRightInd w:val="0"/>
        <w:snapToGrid w:val="0"/>
        <w:spacing w:line="360" w:lineRule="auto"/>
        <w:jc w:val="left"/>
        <w:rPr>
          <w:rFonts w:ascii="宋体" w:hAnsi="宋体" w:cs="MingLiU"/>
          <w:color w:val="auto"/>
          <w:kern w:val="0"/>
          <w:sz w:val="20"/>
          <w:szCs w:val="20"/>
          <w:highlight w:val="none"/>
        </w:rPr>
      </w:pPr>
    </w:p>
    <w:p w14:paraId="0A5F7E09">
      <w:pPr>
        <w:autoSpaceDE w:val="0"/>
        <w:autoSpaceDN w:val="0"/>
        <w:adjustRightInd w:val="0"/>
        <w:snapToGrid w:val="0"/>
        <w:spacing w:line="360" w:lineRule="auto"/>
        <w:jc w:val="left"/>
        <w:rPr>
          <w:rFonts w:ascii="宋体" w:hAnsi="宋体" w:cs="MingLiU"/>
          <w:color w:val="auto"/>
          <w:kern w:val="0"/>
          <w:sz w:val="20"/>
          <w:szCs w:val="20"/>
          <w:highlight w:val="none"/>
        </w:rPr>
      </w:pPr>
    </w:p>
    <w:p w14:paraId="3789BC7C">
      <w:pPr>
        <w:autoSpaceDE w:val="0"/>
        <w:autoSpaceDN w:val="0"/>
        <w:adjustRightInd w:val="0"/>
        <w:snapToGrid w:val="0"/>
        <w:spacing w:line="360" w:lineRule="auto"/>
        <w:jc w:val="left"/>
        <w:rPr>
          <w:rFonts w:ascii="宋体" w:hAnsi="宋体" w:cs="MingLiU"/>
          <w:color w:val="auto"/>
          <w:kern w:val="0"/>
          <w:sz w:val="20"/>
          <w:szCs w:val="20"/>
          <w:highlight w:val="none"/>
        </w:rPr>
      </w:pPr>
    </w:p>
    <w:p w14:paraId="200ABB59">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E8035F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9E91757">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2A47F608">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A9CBC92">
      <w:pPr>
        <w:spacing w:line="360" w:lineRule="auto"/>
        <w:jc w:val="center"/>
        <w:rPr>
          <w:rFonts w:ascii="宋体" w:hAnsi="宋体"/>
          <w:b/>
          <w:color w:val="auto"/>
          <w:kern w:val="0"/>
          <w:sz w:val="32"/>
          <w:szCs w:val="32"/>
          <w:highlight w:val="none"/>
        </w:rPr>
      </w:pPr>
    </w:p>
    <w:p w14:paraId="6014C032">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61CC3F33">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二</w:t>
      </w:r>
      <w:r>
        <w:rPr>
          <w:rFonts w:ascii="宋体" w:hAnsi="宋体"/>
          <w:color w:val="auto"/>
          <w:szCs w:val="21"/>
          <w:highlight w:val="none"/>
        </w:rPr>
        <w:t>）</w:t>
      </w:r>
      <w:r>
        <w:rPr>
          <w:rFonts w:hint="eastAsia" w:ascii="宋体" w:hAnsi="宋体"/>
          <w:color w:val="auto"/>
          <w:szCs w:val="21"/>
          <w:highlight w:val="none"/>
          <w:lang w:eastAsia="zh-CN"/>
        </w:rPr>
        <w:t>比选申请人</w:t>
      </w:r>
      <w:r>
        <w:rPr>
          <w:rFonts w:ascii="宋体" w:hAnsi="宋体"/>
          <w:color w:val="auto"/>
          <w:szCs w:val="21"/>
          <w:highlight w:val="none"/>
        </w:rPr>
        <w:t>基本情况表</w:t>
      </w:r>
    </w:p>
    <w:p w14:paraId="449EA9E9">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三</w:t>
      </w:r>
      <w:r>
        <w:rPr>
          <w:rFonts w:ascii="宋体" w:hAnsi="宋体"/>
          <w:color w:val="auto"/>
          <w:szCs w:val="21"/>
          <w:highlight w:val="none"/>
        </w:rPr>
        <w:t>）项目管理机构</w:t>
      </w:r>
    </w:p>
    <w:p w14:paraId="2277AD58">
      <w:pPr>
        <w:spacing w:line="360" w:lineRule="auto"/>
        <w:ind w:firstLine="420" w:firstLineChars="200"/>
        <w:rPr>
          <w:rFonts w:hint="eastAsia" w:ascii="宋体" w:hAnsi="宋体" w:eastAsia="宋体"/>
          <w:color w:val="auto"/>
          <w:szCs w:val="21"/>
          <w:highlight w:val="none"/>
          <w:lang w:val="en-US" w:eastAsia="zh-CN"/>
        </w:rPr>
      </w:pPr>
      <w:r>
        <w:rPr>
          <w:rFonts w:ascii="宋体" w:hAnsi="宋体"/>
          <w:color w:val="auto"/>
          <w:szCs w:val="21"/>
          <w:highlight w:val="none"/>
        </w:rPr>
        <w:t>（</w:t>
      </w:r>
      <w:r>
        <w:rPr>
          <w:rFonts w:hint="eastAsia" w:ascii="宋体" w:hAnsi="宋体"/>
          <w:color w:val="auto"/>
          <w:szCs w:val="21"/>
          <w:highlight w:val="none"/>
          <w:lang w:eastAsia="zh-CN"/>
        </w:rPr>
        <w:t>四</w:t>
      </w:r>
      <w:r>
        <w:rPr>
          <w:rFonts w:ascii="宋体" w:hAnsi="宋体"/>
          <w:color w:val="auto"/>
          <w:szCs w:val="21"/>
          <w:highlight w:val="none"/>
        </w:rPr>
        <w:t>）</w:t>
      </w:r>
      <w:r>
        <w:rPr>
          <w:rFonts w:hint="eastAsia" w:ascii="宋体" w:hAnsi="宋体"/>
          <w:color w:val="auto"/>
          <w:szCs w:val="21"/>
          <w:highlight w:val="none"/>
        </w:rPr>
        <w:t>承诺</w:t>
      </w:r>
    </w:p>
    <w:p w14:paraId="31B60CC9">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五</w:t>
      </w:r>
      <w:r>
        <w:rPr>
          <w:rFonts w:ascii="宋体" w:hAnsi="宋体"/>
          <w:color w:val="auto"/>
          <w:szCs w:val="21"/>
          <w:highlight w:val="none"/>
        </w:rPr>
        <w:t>）其他资料</w:t>
      </w:r>
    </w:p>
    <w:p w14:paraId="23268635">
      <w:pPr>
        <w:spacing w:line="360" w:lineRule="auto"/>
        <w:jc w:val="center"/>
        <w:rPr>
          <w:rFonts w:ascii="宋体" w:hAnsi="宋体"/>
          <w:b/>
          <w:color w:val="auto"/>
          <w:kern w:val="0"/>
          <w:sz w:val="32"/>
          <w:szCs w:val="32"/>
          <w:highlight w:val="none"/>
        </w:rPr>
      </w:pPr>
    </w:p>
    <w:p w14:paraId="10D03BD1">
      <w:pPr>
        <w:spacing w:line="360" w:lineRule="auto"/>
        <w:jc w:val="center"/>
        <w:rPr>
          <w:rFonts w:ascii="宋体" w:hAnsi="宋体"/>
          <w:b/>
          <w:color w:val="auto"/>
          <w:kern w:val="0"/>
          <w:sz w:val="32"/>
          <w:szCs w:val="32"/>
          <w:highlight w:val="none"/>
        </w:rPr>
      </w:pPr>
    </w:p>
    <w:p w14:paraId="4B36167A">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2194" w:name="_Toc5633"/>
      <w:bookmarkStart w:id="2195" w:name="_Toc23539"/>
      <w:bookmarkStart w:id="2196" w:name="_Toc224103511"/>
      <w:bookmarkStart w:id="2197" w:name="_Toc287607883"/>
      <w:bookmarkStart w:id="2198" w:name="_Toc287620830"/>
      <w:bookmarkStart w:id="2199" w:name="_Toc430530546"/>
      <w:bookmarkStart w:id="2200" w:name="_Toc277082657"/>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2194"/>
      <w:bookmarkEnd w:id="2195"/>
    </w:p>
    <w:p w14:paraId="09F79CB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AC54C12">
      <w:pPr>
        <w:spacing w:line="480" w:lineRule="auto"/>
        <w:jc w:val="center"/>
        <w:rPr>
          <w:rFonts w:ascii="宋体" w:hAnsi="宋体"/>
          <w:color w:val="auto"/>
          <w:highlight w:val="none"/>
        </w:rPr>
      </w:pPr>
    </w:p>
    <w:p w14:paraId="4813420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390702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E93F51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CA194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3BE625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BFFA96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91BA2F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B5C9D8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2E2DA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25082C94">
      <w:pPr>
        <w:autoSpaceDE w:val="0"/>
        <w:autoSpaceDN w:val="0"/>
        <w:adjustRightInd w:val="0"/>
        <w:snapToGrid w:val="0"/>
        <w:spacing w:line="360" w:lineRule="auto"/>
        <w:jc w:val="left"/>
        <w:rPr>
          <w:rFonts w:ascii="宋体" w:hAnsi="宋体"/>
          <w:color w:val="auto"/>
          <w:szCs w:val="21"/>
          <w:highlight w:val="none"/>
        </w:rPr>
      </w:pPr>
    </w:p>
    <w:p w14:paraId="63547A2C">
      <w:pPr>
        <w:pStyle w:val="2"/>
        <w:spacing w:after="0" w:line="360" w:lineRule="auto"/>
        <w:rPr>
          <w:rFonts w:ascii="宋体" w:hAnsi="宋体"/>
          <w:color w:val="auto"/>
          <w:szCs w:val="21"/>
          <w:highlight w:val="none"/>
        </w:rPr>
      </w:pPr>
    </w:p>
    <w:p w14:paraId="36FD9581">
      <w:pPr>
        <w:pStyle w:val="2"/>
        <w:spacing w:after="0" w:line="360" w:lineRule="auto"/>
        <w:rPr>
          <w:rFonts w:ascii="宋体" w:hAnsi="宋体"/>
          <w:color w:val="auto"/>
          <w:szCs w:val="21"/>
          <w:highlight w:val="none"/>
        </w:rPr>
      </w:pPr>
    </w:p>
    <w:p w14:paraId="348D797C">
      <w:pPr>
        <w:pStyle w:val="2"/>
        <w:spacing w:after="0" w:line="360" w:lineRule="auto"/>
        <w:rPr>
          <w:rFonts w:ascii="宋体" w:hAnsi="宋体"/>
          <w:color w:val="auto"/>
          <w:szCs w:val="21"/>
          <w:highlight w:val="none"/>
        </w:rPr>
      </w:pPr>
    </w:p>
    <w:p w14:paraId="734A1480">
      <w:pPr>
        <w:pStyle w:val="2"/>
        <w:spacing w:after="0" w:line="360" w:lineRule="auto"/>
        <w:rPr>
          <w:rFonts w:ascii="宋体" w:hAnsi="宋体"/>
          <w:color w:val="auto"/>
          <w:szCs w:val="21"/>
          <w:highlight w:val="none"/>
        </w:rPr>
      </w:pPr>
    </w:p>
    <w:p w14:paraId="79636FEF">
      <w:pPr>
        <w:pStyle w:val="2"/>
        <w:spacing w:after="0" w:line="360" w:lineRule="auto"/>
        <w:rPr>
          <w:rFonts w:ascii="宋体" w:hAnsi="宋体"/>
          <w:color w:val="auto"/>
          <w:szCs w:val="21"/>
          <w:highlight w:val="none"/>
        </w:rPr>
      </w:pPr>
    </w:p>
    <w:p w14:paraId="0C7D9821">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81A7969">
      <w:pPr>
        <w:autoSpaceDE w:val="0"/>
        <w:autoSpaceDN w:val="0"/>
        <w:adjustRightInd w:val="0"/>
        <w:snapToGrid w:val="0"/>
        <w:spacing w:line="480" w:lineRule="auto"/>
        <w:jc w:val="left"/>
        <w:rPr>
          <w:rFonts w:ascii="宋体" w:hAnsi="宋体"/>
          <w:color w:val="auto"/>
          <w:kern w:val="0"/>
          <w:sz w:val="20"/>
          <w:szCs w:val="20"/>
          <w:highlight w:val="none"/>
        </w:rPr>
      </w:pPr>
    </w:p>
    <w:p w14:paraId="0BFA595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F663698">
      <w:pPr>
        <w:autoSpaceDE w:val="0"/>
        <w:autoSpaceDN w:val="0"/>
        <w:adjustRightInd w:val="0"/>
        <w:snapToGrid w:val="0"/>
        <w:spacing w:line="360" w:lineRule="auto"/>
        <w:jc w:val="left"/>
        <w:rPr>
          <w:rFonts w:ascii="宋体" w:hAnsi="宋体"/>
          <w:color w:val="auto"/>
          <w:kern w:val="0"/>
          <w:highlight w:val="none"/>
        </w:rPr>
      </w:pPr>
    </w:p>
    <w:p w14:paraId="69CFF884">
      <w:pPr>
        <w:autoSpaceDE w:val="0"/>
        <w:autoSpaceDN w:val="0"/>
        <w:adjustRightInd w:val="0"/>
        <w:snapToGrid w:val="0"/>
        <w:spacing w:line="360" w:lineRule="auto"/>
        <w:jc w:val="left"/>
        <w:rPr>
          <w:rFonts w:ascii="宋体" w:hAnsi="宋体"/>
          <w:color w:val="auto"/>
          <w:kern w:val="0"/>
          <w:highlight w:val="none"/>
        </w:rPr>
      </w:pPr>
    </w:p>
    <w:p w14:paraId="3E0D2BF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2196"/>
      <w:bookmarkEnd w:id="2197"/>
      <w:bookmarkEnd w:id="2198"/>
      <w:bookmarkEnd w:id="2199"/>
      <w:bookmarkEnd w:id="2200"/>
      <w:r>
        <w:rPr>
          <w:rFonts w:hint="eastAsia" w:ascii="宋体" w:hAnsi="宋体"/>
          <w:color w:val="auto"/>
          <w:kern w:val="0"/>
          <w:szCs w:val="21"/>
          <w:highlight w:val="none"/>
        </w:rPr>
        <w:t>。</w:t>
      </w:r>
    </w:p>
    <w:p w14:paraId="7865EA1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AFA982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0245672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C8A82A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131B09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F07383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048D4F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181604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B7706C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7CE4AEC">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02337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29F71B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369076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6EE20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414565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F85984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9CD129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4CA0CB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73C30B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D1DEF9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B5059B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D349B8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37C9812">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733700CC">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09E897BD">
      <w:pPr>
        <w:pStyle w:val="5"/>
        <w:spacing w:before="0" w:after="0" w:line="240" w:lineRule="auto"/>
        <w:jc w:val="center"/>
        <w:rPr>
          <w:rFonts w:ascii="宋体" w:hAnsi="宋体"/>
          <w:color w:val="auto"/>
          <w:highlight w:val="none"/>
        </w:rPr>
      </w:pPr>
      <w:bookmarkStart w:id="2201" w:name="_Toc13984"/>
      <w:bookmarkStart w:id="2202" w:name="_Toc287607887"/>
      <w:bookmarkStart w:id="2203" w:name="_Toc277082659"/>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w:t>
      </w:r>
      <w:r>
        <w:rPr>
          <w:rFonts w:hint="eastAsia" w:ascii="宋体" w:hAnsi="宋体"/>
          <w:b w:val="0"/>
          <w:bCs w:val="0"/>
          <w:color w:val="auto"/>
          <w:highlight w:val="none"/>
          <w:lang w:eastAsia="zh-CN"/>
        </w:rPr>
        <w:t>比选申请人</w:t>
      </w:r>
      <w:r>
        <w:rPr>
          <w:rFonts w:hint="eastAsia" w:ascii="宋体" w:hAnsi="宋体"/>
          <w:b w:val="0"/>
          <w:bCs w:val="0"/>
          <w:color w:val="auto"/>
          <w:highlight w:val="none"/>
        </w:rPr>
        <w:t>基本情况表</w:t>
      </w:r>
      <w:bookmarkEnd w:id="2201"/>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F79A1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3C8E32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lang w:eastAsia="zh-CN"/>
              </w:rPr>
              <w:t>比选申请人</w:t>
            </w:r>
            <w:r>
              <w:rPr>
                <w:rFonts w:hint="eastAsia" w:ascii="宋体" w:hAnsi="宋体" w:cs="MingLiU"/>
                <w:color w:val="auto"/>
                <w:kern w:val="0"/>
                <w:szCs w:val="21"/>
                <w:highlight w:val="none"/>
              </w:rPr>
              <w:t>名称</w:t>
            </w:r>
          </w:p>
        </w:tc>
        <w:tc>
          <w:tcPr>
            <w:tcW w:w="7607" w:type="dxa"/>
            <w:gridSpan w:val="9"/>
            <w:vAlign w:val="center"/>
          </w:tcPr>
          <w:p w14:paraId="34683BC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15340F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43C4A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5506CFC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92" w:type="dxa"/>
            <w:vAlign w:val="center"/>
          </w:tcPr>
          <w:p w14:paraId="039E268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CA10B3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0024B1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C842D8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413D1B1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6EBEC88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92" w:type="dxa"/>
            <w:vAlign w:val="center"/>
          </w:tcPr>
          <w:p w14:paraId="7AF06A4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04C39F4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5EC2A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7FBF3D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67" w:type="dxa"/>
            <w:vAlign w:val="center"/>
          </w:tcPr>
          <w:p w14:paraId="0B94E182">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6C82B60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92" w:type="dxa"/>
            <w:vAlign w:val="center"/>
          </w:tcPr>
          <w:p w14:paraId="04CEA58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75230A0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56ADA2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65FF27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648E5B7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5A2C3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CEC9D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28E4A9A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A95B1D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56" w:type="dxa"/>
            <w:gridSpan w:val="2"/>
            <w:vAlign w:val="center"/>
          </w:tcPr>
          <w:p w14:paraId="4387F4E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BF069F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25" w:type="dxa"/>
            <w:vAlign w:val="center"/>
          </w:tcPr>
          <w:p w14:paraId="20D43E1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28AD102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34C465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C41E2A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579141E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1D78F6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56" w:type="dxa"/>
            <w:gridSpan w:val="2"/>
            <w:vAlign w:val="center"/>
          </w:tcPr>
          <w:p w14:paraId="5E9724B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F6B2FF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25" w:type="dxa"/>
            <w:vAlign w:val="center"/>
          </w:tcPr>
          <w:p w14:paraId="1227B72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DBB590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72D994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69879D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54E7F13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5616" w:type="dxa"/>
            <w:gridSpan w:val="7"/>
            <w:vAlign w:val="center"/>
          </w:tcPr>
          <w:p w14:paraId="0B19DF4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员工总人数：</w:t>
            </w:r>
          </w:p>
        </w:tc>
      </w:tr>
      <w:tr w14:paraId="0B5BD5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EB19E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22C492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restart"/>
            <w:vAlign w:val="center"/>
          </w:tcPr>
          <w:p w14:paraId="353B9E1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49FBB76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4EC4E73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75C2A5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273F53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1CBB1B1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14:paraId="3EDCBDB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14:paraId="1A433BE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D9D799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2741A4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047501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269CD26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14:paraId="55C4DEB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14:paraId="0B6035D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BB5F53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310A57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481D3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1413A5F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14:paraId="512655E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14:paraId="0BDBC14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59450CC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722A94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7875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5F8C32D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14:paraId="4C5A0C6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14:paraId="60EC84B1">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w:t>
            </w:r>
            <w:r>
              <w:rPr>
                <w:rFonts w:hint="default"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0EFD11B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06FB21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27261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89F4F4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79528E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79A7B1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4F1A06F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bl>
    <w:p w14:paraId="6B608E92">
      <w:pPr>
        <w:spacing w:line="360" w:lineRule="auto"/>
        <w:jc w:val="center"/>
        <w:rPr>
          <w:rFonts w:ascii="宋体" w:hAnsi="宋体"/>
          <w:color w:val="auto"/>
          <w:szCs w:val="21"/>
          <w:highlight w:val="none"/>
        </w:rPr>
      </w:pPr>
    </w:p>
    <w:p w14:paraId="382EC205">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04" w:name="_Toc534185840"/>
      <w:bookmarkStart w:id="2205" w:name="_Toc10231"/>
      <w:bookmarkStart w:id="2206" w:name="_Toc509218863"/>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2204"/>
      <w:bookmarkEnd w:id="2205"/>
      <w:bookmarkEnd w:id="2206"/>
    </w:p>
    <w:p w14:paraId="49922AEF">
      <w:pPr>
        <w:spacing w:line="360" w:lineRule="auto"/>
        <w:rPr>
          <w:rFonts w:ascii="宋体" w:hAnsi="宋体"/>
          <w:color w:val="auto"/>
          <w:highlight w:val="none"/>
        </w:rPr>
      </w:pPr>
    </w:p>
    <w:p w14:paraId="338CFD7F">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7"/>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9C169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16CEC6A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00A3D4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1216220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B9A77F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E5AFEE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备注</w:t>
            </w:r>
          </w:p>
        </w:tc>
      </w:tr>
      <w:tr w14:paraId="4509A8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E1B163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vMerge w:val="continue"/>
          </w:tcPr>
          <w:p w14:paraId="72D8A81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vMerge w:val="continue"/>
          </w:tcPr>
          <w:p w14:paraId="3A361AC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vAlign w:val="center"/>
          </w:tcPr>
          <w:p w14:paraId="486F9F3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0D4BC03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248717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76750C5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33AE371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19046F5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52C9BD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9FB401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76D9FC2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2B90D7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3EFF165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9D3113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10AFD1E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F581F9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5577B34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25A17F9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44FBB5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3A63D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734" w:type="dxa"/>
          </w:tcPr>
          <w:p w14:paraId="557EE19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59C261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57A0FCE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C6BA23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68CFB3C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44413E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0D681D3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5B97F23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56E96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A6FCD2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19FB111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3F8450D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5298FE5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76A34DF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11EF676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4D7EBA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554B4D8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3C58737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383D2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872CA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171B45C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75306E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3515752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4A6EDC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53894C1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A24DD3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47840BC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48029CB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2D03E0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4AF6C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10AFC5E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55FAC4D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23E5E93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A9C319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1745FF7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59815EF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5D79CAC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57D1D32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3829F4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0C1A4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1FFCBEF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27741A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74DA80D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7193094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7A01E74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A53D52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14E90E5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1478DD5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7C57E1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59977B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569F75D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5F29AFA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03ABAD1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E9D4D2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4DFF4DC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587B9E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447E83E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272E1CB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5533FC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7B9CA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2C58832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733AD0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5CC494A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7602E3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5F6FB98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F2B4B0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16D1097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1662F0C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722F1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47578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63C009B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356E96C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0C925B9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DF4C99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510BAE8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1F1192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7BCE8EB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2855814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486FB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CB759E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146095B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5B22752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5DC874B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BAC0C8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412DE47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99666F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3576C02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3AC727C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4501E8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E8C057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62DFCB2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5A987E89">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62A948B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58C8B2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70F23C5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5621CC9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6A2D8E1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042B716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4E7313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662F7E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6FD544D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726A49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0883752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FCC1E4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26A3DD7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1EEB6F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05D45CC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71EAD53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602B7B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3061F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50065F9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C1644AD">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510C634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9AAD7E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1AB511A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3B1A763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5329872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0B8F2FA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492525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79406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30B328B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A1DC04C">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25E3FE7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A8C47A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4134E64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1C2BF7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2B76F42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5D7532F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3D7E17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87DD2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324E16A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46FC85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578D013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187D2E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05D1048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D50C72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1A67792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5D64172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285207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A33B7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1BDCD748">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188F112">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309E10A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4B6DEEC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7586B5C0">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02E4F82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31107A5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7E1C7FC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69D93F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C0E3D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68D6902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21743773">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377CBC6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A5F085B">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7396C00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5E9679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3A25386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5668456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14:paraId="1DD39E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521DC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14:paraId="06C708E6">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33BC21F4">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14:paraId="3CCDDF2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684D398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14:paraId="11B25AE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14:paraId="10C4304E">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14:paraId="5B97B68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14:paraId="5D03E95F">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bl>
    <w:p w14:paraId="3FB3B35D">
      <w:pPr>
        <w:spacing w:line="20" w:lineRule="exact"/>
        <w:jc w:val="center"/>
        <w:rPr>
          <w:rFonts w:ascii="宋体" w:hAnsi="宋体"/>
          <w:color w:val="auto"/>
          <w:szCs w:val="21"/>
          <w:highlight w:val="none"/>
        </w:rPr>
      </w:pPr>
    </w:p>
    <w:p w14:paraId="7B88255B">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项目经理简历表</w:t>
      </w:r>
      <w:bookmarkEnd w:id="2202"/>
      <w:bookmarkEnd w:id="2203"/>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D3369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AC51101">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姓名</w:t>
            </w:r>
          </w:p>
        </w:tc>
        <w:tc>
          <w:tcPr>
            <w:tcW w:w="1190" w:type="dxa"/>
            <w:gridSpan w:val="2"/>
            <w:vAlign w:val="center"/>
          </w:tcPr>
          <w:p w14:paraId="0A63371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020" w:type="dxa"/>
            <w:vAlign w:val="center"/>
          </w:tcPr>
          <w:p w14:paraId="52F51E1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年龄</w:t>
            </w:r>
          </w:p>
        </w:tc>
        <w:tc>
          <w:tcPr>
            <w:tcW w:w="1175" w:type="dxa"/>
            <w:vAlign w:val="center"/>
          </w:tcPr>
          <w:p w14:paraId="04B4D62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346" w:type="dxa"/>
            <w:gridSpan w:val="3"/>
            <w:vAlign w:val="center"/>
          </w:tcPr>
          <w:p w14:paraId="1A621AD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学历</w:t>
            </w:r>
          </w:p>
        </w:tc>
        <w:tc>
          <w:tcPr>
            <w:tcW w:w="2528" w:type="dxa"/>
            <w:vAlign w:val="center"/>
          </w:tcPr>
          <w:p w14:paraId="59903FA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6CC288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35C25DD">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职称</w:t>
            </w:r>
          </w:p>
        </w:tc>
        <w:tc>
          <w:tcPr>
            <w:tcW w:w="1190" w:type="dxa"/>
            <w:gridSpan w:val="2"/>
            <w:vAlign w:val="center"/>
          </w:tcPr>
          <w:p w14:paraId="4D24E3C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020" w:type="dxa"/>
            <w:vAlign w:val="center"/>
          </w:tcPr>
          <w:p w14:paraId="03053FB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职务</w:t>
            </w:r>
          </w:p>
        </w:tc>
        <w:tc>
          <w:tcPr>
            <w:tcW w:w="1175" w:type="dxa"/>
            <w:vAlign w:val="center"/>
          </w:tcPr>
          <w:p w14:paraId="3E29512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346" w:type="dxa"/>
            <w:gridSpan w:val="3"/>
            <w:vAlign w:val="center"/>
          </w:tcPr>
          <w:p w14:paraId="1B1C58F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拟在本合同任职</w:t>
            </w:r>
          </w:p>
        </w:tc>
        <w:tc>
          <w:tcPr>
            <w:tcW w:w="2528" w:type="dxa"/>
            <w:vAlign w:val="center"/>
          </w:tcPr>
          <w:p w14:paraId="5953486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2488EC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0397D0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毕业学校</w:t>
            </w:r>
          </w:p>
        </w:tc>
        <w:tc>
          <w:tcPr>
            <w:tcW w:w="8259" w:type="dxa"/>
            <w:gridSpan w:val="8"/>
            <w:vAlign w:val="center"/>
          </w:tcPr>
          <w:p w14:paraId="2FFA822E">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年</w:t>
            </w:r>
            <w:r>
              <w:rPr>
                <w:rFonts w:hint="default" w:ascii="宋体" w:hAnsi="宋体"/>
                <w:color w:val="auto"/>
                <w:spacing w:val="-1"/>
                <w:kern w:val="0"/>
                <w:szCs w:val="21"/>
                <w:highlight w:val="none"/>
              </w:rPr>
              <w:t>毕</w:t>
            </w:r>
            <w:r>
              <w:rPr>
                <w:rFonts w:hint="default" w:ascii="宋体" w:hAnsi="宋体"/>
                <w:color w:val="auto"/>
                <w:kern w:val="0"/>
                <w:szCs w:val="21"/>
                <w:highlight w:val="none"/>
              </w:rPr>
              <w:t>业于</w:t>
            </w:r>
            <w:r>
              <w:rPr>
                <w:rFonts w:hint="default" w:ascii="宋体" w:hAnsi="宋体"/>
                <w:color w:val="auto"/>
                <w:kern w:val="0"/>
                <w:szCs w:val="21"/>
                <w:highlight w:val="none"/>
              </w:rPr>
              <w:tab/>
            </w:r>
            <w:r>
              <w:rPr>
                <w:rFonts w:hint="default" w:ascii="宋体" w:hAnsi="宋体"/>
                <w:color w:val="auto"/>
                <w:kern w:val="0"/>
                <w:szCs w:val="21"/>
                <w:highlight w:val="none"/>
              </w:rPr>
              <w:t>学校</w:t>
            </w:r>
            <w:r>
              <w:rPr>
                <w:rFonts w:hint="default" w:ascii="宋体" w:hAnsi="宋体"/>
                <w:color w:val="auto"/>
                <w:kern w:val="0"/>
                <w:szCs w:val="21"/>
                <w:highlight w:val="none"/>
              </w:rPr>
              <w:tab/>
            </w:r>
            <w:r>
              <w:rPr>
                <w:rFonts w:hint="default" w:ascii="宋体" w:hAnsi="宋体"/>
                <w:color w:val="auto"/>
                <w:kern w:val="0"/>
                <w:szCs w:val="21"/>
                <w:highlight w:val="none"/>
              </w:rPr>
              <w:t>专业</w:t>
            </w:r>
          </w:p>
        </w:tc>
      </w:tr>
      <w:tr w14:paraId="0D1C92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B0B4BA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主要工作经历</w:t>
            </w:r>
          </w:p>
        </w:tc>
      </w:tr>
      <w:tr w14:paraId="0E7F0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0CEFCB">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时间</w:t>
            </w:r>
          </w:p>
        </w:tc>
        <w:tc>
          <w:tcPr>
            <w:tcW w:w="3768" w:type="dxa"/>
            <w:gridSpan w:val="4"/>
            <w:vAlign w:val="center"/>
          </w:tcPr>
          <w:p w14:paraId="19B7298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参加过的类似项目</w:t>
            </w:r>
          </w:p>
        </w:tc>
        <w:tc>
          <w:tcPr>
            <w:tcW w:w="1388" w:type="dxa"/>
            <w:vAlign w:val="center"/>
          </w:tcPr>
          <w:p w14:paraId="72C18C5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担任职务</w:t>
            </w:r>
          </w:p>
        </w:tc>
        <w:tc>
          <w:tcPr>
            <w:tcW w:w="2706" w:type="dxa"/>
            <w:gridSpan w:val="2"/>
            <w:vAlign w:val="center"/>
          </w:tcPr>
          <w:p w14:paraId="3781696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发包人及联系电话</w:t>
            </w:r>
          </w:p>
        </w:tc>
      </w:tr>
      <w:tr w14:paraId="33FB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F38E0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4A2779B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6E348D3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2FEFA44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3DF39D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3B29E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0F815D3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4C472CB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466749D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32E7C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FE300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77C40AB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31E3709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42A862F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55B13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CCBBF2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399546F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1AC6AD7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15A7914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6D59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B9AC0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6B734BD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639EC3A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3F1F368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1E08F4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416AEE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5954706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64FFBED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6BA7AE3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07143C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77602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3545328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4F20BE6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5A0E8B6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69170B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790FB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4EA99BF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3F313DF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1BBEF56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5ACB23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0E2DB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18D6777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4D25B8E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07F2CA0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48FABC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C48D75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72D3D8F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6794A55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20AB49E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661F2B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C32ADF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40668E5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3C3826A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348282C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6A239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ADF75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596B2F2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20C228B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10B88A0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14:paraId="47FAE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3408C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14:paraId="4409A1D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14:paraId="15DCFA1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706" w:type="dxa"/>
            <w:gridSpan w:val="2"/>
            <w:vAlign w:val="center"/>
          </w:tcPr>
          <w:p w14:paraId="6CAC180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bl>
    <w:p w14:paraId="753681C4">
      <w:pPr>
        <w:spacing w:line="360" w:lineRule="auto"/>
        <w:rPr>
          <w:rFonts w:ascii="宋体" w:hAnsi="宋体"/>
          <w:color w:val="auto"/>
          <w:highlight w:val="none"/>
        </w:rPr>
      </w:pPr>
      <w:bookmarkStart w:id="2207" w:name="_Toc224103515"/>
    </w:p>
    <w:bookmarkEnd w:id="2207"/>
    <w:p w14:paraId="28D62DE4">
      <w:pPr>
        <w:adjustRightInd w:val="0"/>
        <w:snapToGrid w:val="0"/>
        <w:spacing w:line="360" w:lineRule="auto"/>
        <w:rPr>
          <w:rFonts w:ascii="宋体" w:hAnsi="宋体"/>
          <w:color w:val="auto"/>
          <w:highlight w:val="none"/>
        </w:rPr>
      </w:pPr>
    </w:p>
    <w:p w14:paraId="166E9DC8">
      <w:pPr>
        <w:pStyle w:val="5"/>
        <w:spacing w:before="0" w:after="0" w:line="360" w:lineRule="auto"/>
        <w:jc w:val="center"/>
        <w:rPr>
          <w:rFonts w:ascii="宋体" w:hAnsi="宋体"/>
          <w:b w:val="0"/>
          <w:color w:val="auto"/>
          <w:highlight w:val="none"/>
        </w:rPr>
      </w:pPr>
      <w:bookmarkStart w:id="2208" w:name="_Toc287620839"/>
      <w:bookmarkStart w:id="2209" w:name="_Toc224103520"/>
      <w:bookmarkStart w:id="2210" w:name="_Toc430530552"/>
      <w:bookmarkStart w:id="2211" w:name="_Toc277082663"/>
      <w:bookmarkStart w:id="2212" w:name="_Toc287607893"/>
      <w:bookmarkStart w:id="2213" w:name="_Toc2318"/>
      <w:bookmarkStart w:id="2214" w:name="_Toc509218866"/>
      <w:bookmarkStart w:id="2215" w:name="_Toc534185843"/>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2208"/>
      <w:bookmarkEnd w:id="2209"/>
      <w:bookmarkEnd w:id="2210"/>
      <w:bookmarkEnd w:id="2211"/>
      <w:bookmarkEnd w:id="2212"/>
      <w:r>
        <w:rPr>
          <w:rFonts w:hint="eastAsia" w:ascii="宋体" w:hAnsi="宋体"/>
          <w:b w:val="0"/>
          <w:color w:val="auto"/>
          <w:highlight w:val="none"/>
        </w:rPr>
        <w:t>承诺</w:t>
      </w:r>
      <w:bookmarkEnd w:id="2213"/>
    </w:p>
    <w:p w14:paraId="2295F68F">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E86EA2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比选申请人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比选</w:t>
      </w:r>
      <w:r>
        <w:rPr>
          <w:rFonts w:hint="eastAsia" w:ascii="宋体" w:hAnsi="宋体"/>
          <w:color w:val="auto"/>
          <w:szCs w:val="21"/>
          <w:highlight w:val="none"/>
        </w:rPr>
        <w:t>，自愿作出以下承诺：</w:t>
      </w:r>
    </w:p>
    <w:p w14:paraId="14FFD64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比选</w:t>
      </w:r>
      <w:r>
        <w:rPr>
          <w:rFonts w:hint="eastAsia" w:ascii="宋体" w:hAnsi="宋体"/>
          <w:color w:val="auto"/>
          <w:szCs w:val="21"/>
          <w:highlight w:val="none"/>
        </w:rPr>
        <w:t>截止日</w:t>
      </w:r>
      <w:r>
        <w:rPr>
          <w:rFonts w:hint="eastAsia" w:ascii="宋体" w:hAnsi="宋体"/>
          <w:color w:val="auto"/>
          <w:szCs w:val="21"/>
          <w:highlight w:val="none"/>
          <w:lang w:eastAsia="zh-CN"/>
        </w:rPr>
        <w:t>比选</w:t>
      </w:r>
      <w:r>
        <w:rPr>
          <w:rFonts w:hint="eastAsia" w:ascii="宋体" w:hAnsi="宋体"/>
          <w:color w:val="auto"/>
          <w:szCs w:val="21"/>
          <w:highlight w:val="none"/>
        </w:rPr>
        <w:t>资格情况不存在下列情形之一：</w:t>
      </w:r>
    </w:p>
    <w:p w14:paraId="68A30E35">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85E98E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DD1FA5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589E0A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9C25AE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374E5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0B56AA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后在本项目任职，签订合同时拟派的项目经理必须与</w:t>
      </w:r>
      <w:r>
        <w:rPr>
          <w:rFonts w:hint="eastAsia" w:ascii="宋体" w:hAnsi="宋体"/>
          <w:color w:val="auto"/>
          <w:szCs w:val="21"/>
          <w:highlight w:val="none"/>
          <w:lang w:eastAsia="zh-CN"/>
        </w:rPr>
        <w:t>比选申请文件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中的项目经理一致，并满足办理施工许可手续的相关要求。不能按承诺到岗履约的，按合同相关条款处罚并上报行政主管部门，给贵单位造成损失的，我公司依法承担违约赔偿责任。拟派的项目经理中</w:t>
      </w:r>
      <w:r>
        <w:rPr>
          <w:rFonts w:hint="eastAsia" w:ascii="宋体" w:hAnsi="宋体"/>
          <w:color w:val="auto"/>
          <w:szCs w:val="21"/>
          <w:highlight w:val="none"/>
          <w:lang w:eastAsia="zh-CN"/>
        </w:rPr>
        <w:t>选</w:t>
      </w:r>
      <w:r>
        <w:rPr>
          <w:rFonts w:hint="eastAsia" w:ascii="宋体" w:hAnsi="宋体"/>
          <w:color w:val="auto"/>
          <w:szCs w:val="21"/>
          <w:highlight w:val="none"/>
        </w:rPr>
        <w:t>后不得随意更换。</w:t>
      </w:r>
    </w:p>
    <w:p w14:paraId="2FB8B7D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w:t>
      </w:r>
      <w:r>
        <w:rPr>
          <w:rFonts w:hint="eastAsia" w:ascii="宋体" w:hAnsi="宋体"/>
          <w:color w:val="auto"/>
          <w:szCs w:val="21"/>
          <w:highlight w:val="none"/>
          <w:lang w:eastAsia="zh-CN"/>
        </w:rPr>
        <w:t>比选</w:t>
      </w:r>
      <w:r>
        <w:rPr>
          <w:rFonts w:hint="eastAsia" w:ascii="宋体" w:hAnsi="宋体"/>
          <w:color w:val="auto"/>
          <w:szCs w:val="21"/>
          <w:highlight w:val="none"/>
        </w:rPr>
        <w:t>的</w:t>
      </w:r>
      <w:r>
        <w:rPr>
          <w:rFonts w:hint="eastAsia" w:ascii="宋体" w:hAnsi="宋体"/>
          <w:color w:val="auto"/>
          <w:szCs w:val="21"/>
          <w:highlight w:val="none"/>
          <w:lang w:eastAsia="zh-CN"/>
        </w:rPr>
        <w:t>比选</w:t>
      </w:r>
      <w:r>
        <w:rPr>
          <w:rFonts w:hint="eastAsia" w:ascii="宋体" w:hAnsi="宋体"/>
          <w:color w:val="auto"/>
          <w:szCs w:val="21"/>
          <w:highlight w:val="none"/>
        </w:rPr>
        <w:t>将被否决；已取得</w:t>
      </w:r>
      <w:r>
        <w:rPr>
          <w:rFonts w:hint="eastAsia" w:ascii="宋体" w:hAnsi="宋体"/>
          <w:color w:val="auto"/>
          <w:szCs w:val="21"/>
          <w:highlight w:val="none"/>
          <w:lang w:eastAsia="zh-CN"/>
        </w:rPr>
        <w:t>中选候选人</w:t>
      </w:r>
      <w:r>
        <w:rPr>
          <w:rFonts w:hint="eastAsia" w:ascii="宋体" w:hAnsi="宋体"/>
          <w:color w:val="auto"/>
          <w:szCs w:val="21"/>
          <w:highlight w:val="none"/>
        </w:rPr>
        <w:t>资格或中</w:t>
      </w:r>
      <w:r>
        <w:rPr>
          <w:rFonts w:hint="eastAsia" w:ascii="宋体" w:hAnsi="宋体"/>
          <w:color w:val="auto"/>
          <w:szCs w:val="21"/>
          <w:highlight w:val="none"/>
          <w:lang w:eastAsia="zh-CN"/>
        </w:rPr>
        <w:t>选</w:t>
      </w:r>
      <w:r>
        <w:rPr>
          <w:rFonts w:hint="eastAsia" w:ascii="宋体" w:hAnsi="宋体"/>
          <w:color w:val="auto"/>
          <w:szCs w:val="21"/>
          <w:highlight w:val="none"/>
        </w:rPr>
        <w:t>资格的，贵单位有权取消我公司</w:t>
      </w:r>
      <w:r>
        <w:rPr>
          <w:rFonts w:hint="eastAsia" w:ascii="宋体" w:hAnsi="宋体"/>
          <w:color w:val="auto"/>
          <w:szCs w:val="21"/>
          <w:highlight w:val="none"/>
          <w:lang w:eastAsia="zh-CN"/>
        </w:rPr>
        <w:t>中选候选人</w:t>
      </w:r>
      <w:r>
        <w:rPr>
          <w:rFonts w:hint="eastAsia" w:ascii="宋体" w:hAnsi="宋体"/>
          <w:color w:val="auto"/>
          <w:szCs w:val="21"/>
          <w:highlight w:val="none"/>
        </w:rPr>
        <w:t>资格或中</w:t>
      </w:r>
      <w:r>
        <w:rPr>
          <w:rFonts w:hint="eastAsia" w:ascii="宋体" w:hAnsi="宋体"/>
          <w:color w:val="auto"/>
          <w:szCs w:val="21"/>
          <w:highlight w:val="none"/>
          <w:lang w:eastAsia="zh-CN"/>
        </w:rPr>
        <w:t>选</w:t>
      </w:r>
      <w:r>
        <w:rPr>
          <w:rFonts w:hint="eastAsia" w:ascii="宋体" w:hAnsi="宋体"/>
          <w:color w:val="auto"/>
          <w:szCs w:val="21"/>
          <w:highlight w:val="none"/>
        </w:rPr>
        <w:t>资格；给贵单位造成损失的，我公司依法承担违约赔偿责任。</w:t>
      </w:r>
    </w:p>
    <w:p w14:paraId="5A816D5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1FD3A5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w:t>
      </w:r>
      <w:r>
        <w:rPr>
          <w:rFonts w:hint="eastAsia" w:ascii="宋体" w:hAnsi="宋体"/>
          <w:color w:val="auto"/>
          <w:szCs w:val="21"/>
          <w:highlight w:val="none"/>
          <w:lang w:eastAsia="zh-CN"/>
        </w:rPr>
        <w:t>中选通知书</w:t>
      </w:r>
      <w:r>
        <w:rPr>
          <w:rFonts w:hint="eastAsia" w:ascii="宋体" w:hAnsi="宋体"/>
          <w:color w:val="auto"/>
          <w:szCs w:val="21"/>
          <w:highlight w:val="none"/>
        </w:rPr>
        <w:t>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日内，办理完成放弃在其他项目任职的手续（或办理完成放弃在其他项目中</w:t>
      </w:r>
      <w:r>
        <w:rPr>
          <w:rFonts w:hint="eastAsia" w:ascii="宋体" w:hAnsi="宋体"/>
          <w:color w:val="auto"/>
          <w:szCs w:val="21"/>
          <w:highlight w:val="none"/>
          <w:lang w:eastAsia="zh-CN"/>
        </w:rPr>
        <w:t>选</w:t>
      </w:r>
      <w:r>
        <w:rPr>
          <w:rFonts w:hint="eastAsia" w:ascii="宋体" w:hAnsi="宋体"/>
          <w:color w:val="auto"/>
          <w:szCs w:val="21"/>
          <w:highlight w:val="none"/>
        </w:rPr>
        <w:t>或拟中</w:t>
      </w:r>
      <w:r>
        <w:rPr>
          <w:rFonts w:hint="eastAsia" w:ascii="宋体" w:hAnsi="宋体"/>
          <w:color w:val="auto"/>
          <w:szCs w:val="21"/>
          <w:highlight w:val="none"/>
          <w:lang w:eastAsia="zh-CN"/>
        </w:rPr>
        <w:t>选</w:t>
      </w:r>
      <w:r>
        <w:rPr>
          <w:rFonts w:hint="eastAsia" w:ascii="宋体" w:hAnsi="宋体"/>
          <w:color w:val="auto"/>
          <w:szCs w:val="21"/>
          <w:highlight w:val="none"/>
        </w:rPr>
        <w:t>的手续），贵单位在合同签订前有权对我公司拟派项目经理在其他项目的任职情形（或在其他项目的中</w:t>
      </w:r>
      <w:r>
        <w:rPr>
          <w:rFonts w:hint="eastAsia" w:ascii="宋体" w:hAnsi="宋体"/>
          <w:color w:val="auto"/>
          <w:szCs w:val="21"/>
          <w:highlight w:val="none"/>
          <w:lang w:eastAsia="zh-CN"/>
        </w:rPr>
        <w:t>选</w:t>
      </w:r>
      <w:r>
        <w:rPr>
          <w:rFonts w:hint="eastAsia" w:ascii="宋体" w:hAnsi="宋体"/>
          <w:color w:val="auto"/>
          <w:szCs w:val="21"/>
          <w:highlight w:val="none"/>
        </w:rPr>
        <w:t>或拟中</w:t>
      </w:r>
      <w:r>
        <w:rPr>
          <w:rFonts w:hint="eastAsia" w:ascii="宋体" w:hAnsi="宋体"/>
          <w:color w:val="auto"/>
          <w:szCs w:val="21"/>
          <w:highlight w:val="none"/>
          <w:lang w:eastAsia="zh-CN"/>
        </w:rPr>
        <w:t>选</w:t>
      </w:r>
      <w:r>
        <w:rPr>
          <w:rFonts w:hint="eastAsia" w:ascii="宋体" w:hAnsi="宋体"/>
          <w:color w:val="auto"/>
          <w:szCs w:val="21"/>
          <w:highlight w:val="none"/>
        </w:rPr>
        <w:t>情形）进行核查，若与我公司承诺内容不符或我公司未在上述时间内按照</w:t>
      </w:r>
      <w:r>
        <w:rPr>
          <w:rFonts w:hint="eastAsia" w:ascii="宋体" w:hAnsi="宋体"/>
          <w:color w:val="auto"/>
          <w:szCs w:val="21"/>
          <w:highlight w:val="none"/>
          <w:lang w:eastAsia="zh-CN"/>
        </w:rPr>
        <w:t>比选</w:t>
      </w:r>
      <w:r>
        <w:rPr>
          <w:rFonts w:hint="eastAsia" w:ascii="宋体" w:hAnsi="宋体"/>
          <w:color w:val="auto"/>
          <w:szCs w:val="21"/>
          <w:highlight w:val="none"/>
        </w:rPr>
        <w:t>文件规定递交放弃在其他项目任职、中</w:t>
      </w:r>
      <w:r>
        <w:rPr>
          <w:rFonts w:hint="eastAsia" w:ascii="宋体" w:hAnsi="宋体"/>
          <w:color w:val="auto"/>
          <w:szCs w:val="21"/>
          <w:highlight w:val="none"/>
          <w:lang w:eastAsia="zh-CN"/>
        </w:rPr>
        <w:t>选</w:t>
      </w:r>
      <w:r>
        <w:rPr>
          <w:rFonts w:hint="eastAsia" w:ascii="宋体" w:hAnsi="宋体"/>
          <w:color w:val="auto"/>
          <w:szCs w:val="21"/>
          <w:highlight w:val="none"/>
        </w:rPr>
        <w:t>或拟中</w:t>
      </w:r>
      <w:r>
        <w:rPr>
          <w:rFonts w:hint="eastAsia" w:ascii="宋体" w:hAnsi="宋体"/>
          <w:color w:val="auto"/>
          <w:szCs w:val="21"/>
          <w:highlight w:val="none"/>
          <w:lang w:eastAsia="zh-CN"/>
        </w:rPr>
        <w:t>选</w:t>
      </w:r>
      <w:r>
        <w:rPr>
          <w:rFonts w:hint="eastAsia" w:ascii="宋体" w:hAnsi="宋体"/>
          <w:color w:val="auto"/>
          <w:szCs w:val="21"/>
          <w:highlight w:val="none"/>
        </w:rPr>
        <w:t>的相关资料，我公司自愿放弃中</w:t>
      </w:r>
      <w:r>
        <w:rPr>
          <w:rFonts w:hint="eastAsia" w:ascii="宋体" w:hAnsi="宋体"/>
          <w:color w:val="auto"/>
          <w:szCs w:val="21"/>
          <w:highlight w:val="none"/>
          <w:lang w:eastAsia="zh-CN"/>
        </w:rPr>
        <w:t>选</w:t>
      </w:r>
      <w:r>
        <w:rPr>
          <w:rFonts w:hint="eastAsia" w:ascii="宋体" w:hAnsi="宋体"/>
          <w:color w:val="auto"/>
          <w:szCs w:val="21"/>
          <w:highlight w:val="none"/>
        </w:rPr>
        <w:t>资格，贵单位不退还我公司的投标保证金。在合同签订时，我公司确保拟派项目经理符合《建筑施工企业项目经理资质管理办法》规定的项目经理任职条件，否则我公司自愿放弃中</w:t>
      </w:r>
      <w:r>
        <w:rPr>
          <w:rFonts w:hint="eastAsia" w:ascii="宋体" w:hAnsi="宋体"/>
          <w:color w:val="auto"/>
          <w:szCs w:val="21"/>
          <w:highlight w:val="none"/>
          <w:lang w:eastAsia="zh-CN"/>
        </w:rPr>
        <w:t>选</w:t>
      </w:r>
      <w:r>
        <w:rPr>
          <w:rFonts w:hint="eastAsia" w:ascii="宋体" w:hAnsi="宋体"/>
          <w:color w:val="auto"/>
          <w:szCs w:val="21"/>
          <w:highlight w:val="none"/>
        </w:rPr>
        <w:t>资格，贵单位不退还我公司的投标保证金。</w:t>
      </w:r>
    </w:p>
    <w:p w14:paraId="1F401DA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10CE445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w:t>
      </w:r>
      <w:r>
        <w:rPr>
          <w:rFonts w:hint="eastAsia" w:ascii="宋体" w:hAnsi="宋体"/>
          <w:color w:val="auto"/>
          <w:szCs w:val="21"/>
          <w:highlight w:val="none"/>
          <w:lang w:eastAsia="zh-CN"/>
        </w:rPr>
        <w:t>选</w:t>
      </w:r>
      <w:r>
        <w:rPr>
          <w:rFonts w:hint="eastAsia" w:ascii="宋体" w:hAnsi="宋体"/>
          <w:color w:val="auto"/>
          <w:szCs w:val="21"/>
          <w:highlight w:val="none"/>
        </w:rPr>
        <w:t>或拟中</w:t>
      </w:r>
      <w:r>
        <w:rPr>
          <w:rFonts w:hint="eastAsia" w:ascii="宋体" w:hAnsi="宋体"/>
          <w:color w:val="auto"/>
          <w:szCs w:val="21"/>
          <w:highlight w:val="none"/>
          <w:lang w:eastAsia="zh-CN"/>
        </w:rPr>
        <w:t>选</w:t>
      </w:r>
      <w:r>
        <w:rPr>
          <w:rFonts w:hint="eastAsia" w:ascii="宋体" w:hAnsi="宋体"/>
          <w:color w:val="auto"/>
          <w:szCs w:val="21"/>
          <w:highlight w:val="none"/>
        </w:rPr>
        <w:t>的将提供：①经中</w:t>
      </w:r>
      <w:r>
        <w:rPr>
          <w:rFonts w:hint="eastAsia" w:ascii="宋体" w:hAnsi="宋体"/>
          <w:color w:val="auto"/>
          <w:szCs w:val="21"/>
          <w:highlight w:val="none"/>
          <w:lang w:eastAsia="zh-CN"/>
        </w:rPr>
        <w:t>选</w:t>
      </w:r>
      <w:r>
        <w:rPr>
          <w:rFonts w:hint="eastAsia" w:ascii="宋体" w:hAnsi="宋体"/>
          <w:color w:val="auto"/>
          <w:szCs w:val="21"/>
          <w:highlight w:val="none"/>
        </w:rPr>
        <w:t>或拟中</w:t>
      </w:r>
      <w:r>
        <w:rPr>
          <w:rFonts w:hint="eastAsia" w:ascii="宋体" w:hAnsi="宋体"/>
          <w:color w:val="auto"/>
          <w:szCs w:val="21"/>
          <w:highlight w:val="none"/>
          <w:lang w:eastAsia="zh-CN"/>
        </w:rPr>
        <w:t>选</w:t>
      </w:r>
      <w:r>
        <w:rPr>
          <w:rFonts w:hint="eastAsia" w:ascii="宋体" w:hAnsi="宋体"/>
          <w:color w:val="auto"/>
          <w:szCs w:val="21"/>
          <w:highlight w:val="none"/>
        </w:rPr>
        <w:t>的其他项目建设单位同意的放弃中</w:t>
      </w:r>
      <w:r>
        <w:rPr>
          <w:rFonts w:hint="eastAsia" w:ascii="宋体" w:hAnsi="宋体"/>
          <w:color w:val="auto"/>
          <w:szCs w:val="21"/>
          <w:highlight w:val="none"/>
          <w:lang w:eastAsia="zh-CN"/>
        </w:rPr>
        <w:t>选</w:t>
      </w:r>
      <w:r>
        <w:rPr>
          <w:rFonts w:hint="eastAsia" w:ascii="宋体" w:hAnsi="宋体"/>
          <w:color w:val="auto"/>
          <w:szCs w:val="21"/>
          <w:highlight w:val="none"/>
        </w:rPr>
        <w:t>函。</w:t>
      </w:r>
    </w:p>
    <w:p w14:paraId="4BD894BC">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w:t>
      </w:r>
      <w:r>
        <w:rPr>
          <w:rFonts w:hint="eastAsia" w:ascii="宋体" w:hAnsi="宋体"/>
          <w:color w:val="auto"/>
          <w:szCs w:val="21"/>
          <w:highlight w:val="none"/>
          <w:lang w:eastAsia="zh-CN"/>
        </w:rPr>
        <w:t>选</w:t>
      </w:r>
      <w:r>
        <w:rPr>
          <w:rFonts w:hint="eastAsia" w:ascii="宋体" w:hAnsi="宋体"/>
          <w:color w:val="auto"/>
          <w:szCs w:val="21"/>
          <w:highlight w:val="none"/>
        </w:rPr>
        <w:t>，在签订合同之前，将按照建设行政主管部门的要求组建施工项目部，配置项目管理班子</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含技术负责人</w:t>
      </w:r>
      <w:r>
        <w:rPr>
          <w:rFonts w:hint="eastAsia" w:ascii="宋体" w:hAnsi="宋体"/>
          <w:color w:val="auto"/>
          <w:szCs w:val="21"/>
          <w:highlight w:val="none"/>
          <w:lang w:eastAsia="zh-CN"/>
        </w:rPr>
        <w:t>）</w:t>
      </w:r>
      <w:r>
        <w:rPr>
          <w:rFonts w:hint="eastAsia" w:ascii="宋体" w:hAnsi="宋体"/>
          <w:color w:val="auto"/>
          <w:szCs w:val="21"/>
          <w:highlight w:val="none"/>
        </w:rPr>
        <w:t>，出具任命文件。任命文件应当明确施工项目部的职责、岗位设置、人员配备，并书面通知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w:t>
      </w:r>
      <w:r>
        <w:rPr>
          <w:rFonts w:hint="eastAsia" w:ascii="宋体" w:hAnsi="宋体"/>
          <w:color w:val="auto"/>
          <w:szCs w:val="21"/>
          <w:highlight w:val="none"/>
          <w:lang w:eastAsia="zh-CN"/>
        </w:rPr>
        <w:t>选</w:t>
      </w:r>
      <w:r>
        <w:rPr>
          <w:rFonts w:hint="eastAsia" w:ascii="宋体" w:hAnsi="宋体"/>
          <w:color w:val="auto"/>
          <w:szCs w:val="21"/>
          <w:highlight w:val="none"/>
        </w:rPr>
        <w:t>后不能满足该要求的，取消我公司中</w:t>
      </w:r>
      <w:r>
        <w:rPr>
          <w:rFonts w:hint="eastAsia" w:ascii="宋体" w:hAnsi="宋体"/>
          <w:color w:val="auto"/>
          <w:szCs w:val="21"/>
          <w:highlight w:val="none"/>
          <w:lang w:eastAsia="zh-CN"/>
        </w:rPr>
        <w:t>选</w:t>
      </w:r>
      <w:r>
        <w:rPr>
          <w:rFonts w:hint="eastAsia" w:ascii="宋体" w:hAnsi="宋体"/>
          <w:color w:val="auto"/>
          <w:szCs w:val="21"/>
          <w:highlight w:val="none"/>
        </w:rPr>
        <w:t>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37BFAC76">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w:t>
      </w:r>
      <w:r>
        <w:rPr>
          <w:rFonts w:hint="eastAsia" w:ascii="宋体" w:hAnsi="宋体"/>
          <w:color w:val="auto"/>
          <w:szCs w:val="21"/>
          <w:highlight w:val="none"/>
          <w:lang w:eastAsia="zh-CN"/>
        </w:rPr>
        <w:t>比选</w:t>
      </w:r>
      <w:r>
        <w:rPr>
          <w:rFonts w:hint="eastAsia" w:ascii="宋体" w:hAnsi="宋体"/>
          <w:color w:val="auto"/>
          <w:szCs w:val="21"/>
          <w:highlight w:val="none"/>
        </w:rPr>
        <w:t>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w:t>
      </w:r>
      <w:r>
        <w:rPr>
          <w:rFonts w:hint="eastAsia" w:ascii="宋体" w:hAnsi="宋体"/>
          <w:color w:val="auto"/>
          <w:szCs w:val="21"/>
          <w:highlight w:val="none"/>
          <w:lang w:eastAsia="zh-CN"/>
        </w:rPr>
        <w:t>比选</w:t>
      </w:r>
      <w:r>
        <w:rPr>
          <w:rFonts w:hint="eastAsia" w:ascii="宋体" w:hAnsi="宋体"/>
          <w:color w:val="auto"/>
          <w:szCs w:val="21"/>
          <w:highlight w:val="none"/>
        </w:rPr>
        <w:t>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w:t>
      </w:r>
      <w:r>
        <w:rPr>
          <w:rFonts w:hint="eastAsia" w:ascii="宋体" w:hAnsi="宋体"/>
          <w:color w:val="auto"/>
          <w:szCs w:val="21"/>
          <w:highlight w:val="none"/>
          <w:lang w:eastAsia="zh-CN"/>
        </w:rPr>
        <w:t>选</w:t>
      </w:r>
      <w:r>
        <w:rPr>
          <w:rFonts w:hint="eastAsia" w:ascii="宋体" w:hAnsi="宋体"/>
          <w:color w:val="auto"/>
          <w:szCs w:val="21"/>
          <w:highlight w:val="none"/>
        </w:rPr>
        <w:t>总报价与本工程的总价最高限价的下浮比例进行同比例下调，我公司无条件接受，否则按我公司违约处理。</w:t>
      </w:r>
    </w:p>
    <w:p w14:paraId="62D0818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w:t>
      </w:r>
      <w:r>
        <w:rPr>
          <w:rFonts w:hint="eastAsia" w:ascii="宋体" w:hAnsi="宋体"/>
          <w:color w:val="auto"/>
          <w:szCs w:val="21"/>
          <w:highlight w:val="none"/>
          <w:u w:val="single"/>
          <w:lang w:eastAsia="zh-CN"/>
        </w:rPr>
        <w:t>选</w:t>
      </w:r>
      <w:r>
        <w:rPr>
          <w:rFonts w:hint="eastAsia" w:ascii="宋体" w:hAnsi="宋体"/>
          <w:color w:val="auto"/>
          <w:szCs w:val="21"/>
          <w:highlight w:val="none"/>
          <w:u w:val="single"/>
        </w:rPr>
        <w:t>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7FC39B3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6、我公司不存在第二章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1.4.3 项规定的任何一种情形。</w:t>
      </w:r>
    </w:p>
    <w:p w14:paraId="7F21EC4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 xml:space="preserve">符合第二章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1.3.1 项的规定。</w:t>
      </w:r>
    </w:p>
    <w:p w14:paraId="2FEB01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符合第四章 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01E680CE">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符合第七章 技术标准和要求（如有）。</w:t>
      </w:r>
    </w:p>
    <w:p w14:paraId="1987804F">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10、我公司接受比选文件中关于“不平衡报价”的相关约定（如有）。</w:t>
      </w:r>
    </w:p>
    <w:p w14:paraId="2802D18A">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11、我公司接受比选文件中关于“不允许负数报价”的相关要求（如有）。</w:t>
      </w:r>
    </w:p>
    <w:p w14:paraId="6D38A517">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2214"/>
    <w:bookmarkEnd w:id="2215"/>
    <w:p w14:paraId="667B3D2F">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6AEB86B">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4E65B5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62187CE">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00FBD757">
      <w:pPr>
        <w:rPr>
          <w:color w:val="auto"/>
          <w:highlight w:val="none"/>
        </w:rPr>
      </w:pPr>
      <w:r>
        <w:rPr>
          <w:color w:val="auto"/>
          <w:highlight w:val="none"/>
        </w:rPr>
        <w:br w:type="page"/>
      </w:r>
    </w:p>
    <w:p w14:paraId="39721967">
      <w:pPr>
        <w:pStyle w:val="5"/>
        <w:spacing w:before="0" w:line="360" w:lineRule="auto"/>
        <w:jc w:val="center"/>
        <w:rPr>
          <w:rFonts w:ascii="宋体" w:hAnsi="宋体"/>
          <w:b w:val="0"/>
          <w:color w:val="auto"/>
          <w:highlight w:val="none"/>
        </w:rPr>
      </w:pPr>
      <w:bookmarkStart w:id="2216" w:name="_Toc23273"/>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2216"/>
    </w:p>
    <w:bookmarkEnd w:id="561"/>
    <w:bookmarkEnd w:id="562"/>
    <w:bookmarkEnd w:id="563"/>
    <w:p w14:paraId="485FDA9D">
      <w:pPr>
        <w:spacing w:line="360" w:lineRule="auto"/>
        <w:ind w:firstLine="420" w:firstLineChars="200"/>
        <w:rPr>
          <w:rFonts w:hint="eastAsia" w:ascii="宋体" w:hAnsi="宋体"/>
          <w:color w:val="auto"/>
          <w:szCs w:val="21"/>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A3D59AA">
                            <w:pPr>
                              <w:rPr>
                                <w:rFonts w:ascii="Times New Roman" w:hAnsi="Times New Roman" w:eastAsia="宋体" w:cs="Times New Roman"/>
                                <w:sz w:val="20"/>
                              </w:rPr>
                            </w:pPr>
                            <w:r>
                              <w:rPr>
                                <w:rFonts w:hint="eastAsia" w:ascii="宋体" w:hAnsi="Times New Roman" w:eastAsia="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1A3D59AA">
                      <w:pPr>
                        <w:rPr>
                          <w:rFonts w:ascii="Times New Roman" w:hAnsi="Times New Roman" w:eastAsia="宋体" w:cs="Times New Roman"/>
                          <w:sz w:val="20"/>
                        </w:rPr>
                      </w:pPr>
                      <w:r>
                        <w:rPr>
                          <w:rFonts w:hint="eastAsia" w:ascii="宋体" w:hAnsi="Times New Roman" w:eastAsia="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594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DB74">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- 3 -</w:t>
    </w:r>
    <w:r>
      <w:fldChar w:fldCharType="end"/>
    </w:r>
  </w:p>
  <w:p w14:paraId="14FB57C4">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F448">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84A">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6076E58D">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DEFF340">
      <w:pPr>
        <w:pStyle w:val="35"/>
        <w:ind w:firstLine="360" w:firstLineChars="200"/>
        <w:rPr>
          <w:rFonts w:ascii="Times New Roman" w:hAnsi="Times New Roman" w:cs="Times New Roman"/>
          <w:lang w:eastAsia="zh-CN"/>
        </w:rPr>
      </w:pPr>
      <w:r>
        <w:rPr>
          <w:rStyle w:val="57"/>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A72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abstractNum w:abstractNumId="2">
    <w:nsid w:val="61027DAC"/>
    <w:multiLevelType w:val="singleLevel"/>
    <w:tmpl w:val="61027DAC"/>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jJiZGUwMDcwMmQwZTY5OTljYmMxNzYyZGQ5YT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CA0"/>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0A67"/>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065B3D"/>
    <w:rsid w:val="013F4369"/>
    <w:rsid w:val="02197498"/>
    <w:rsid w:val="025D08EA"/>
    <w:rsid w:val="028B36A9"/>
    <w:rsid w:val="029B6737"/>
    <w:rsid w:val="029E16D8"/>
    <w:rsid w:val="02C866AB"/>
    <w:rsid w:val="02D3433D"/>
    <w:rsid w:val="02E7478A"/>
    <w:rsid w:val="03000A08"/>
    <w:rsid w:val="031C396B"/>
    <w:rsid w:val="03454DED"/>
    <w:rsid w:val="034675D0"/>
    <w:rsid w:val="03C545D6"/>
    <w:rsid w:val="04090436"/>
    <w:rsid w:val="046D5737"/>
    <w:rsid w:val="04717E20"/>
    <w:rsid w:val="048E122E"/>
    <w:rsid w:val="05AB059E"/>
    <w:rsid w:val="05AB7BBE"/>
    <w:rsid w:val="05DC71B6"/>
    <w:rsid w:val="06665122"/>
    <w:rsid w:val="06C43DE0"/>
    <w:rsid w:val="06C64491"/>
    <w:rsid w:val="07047ECE"/>
    <w:rsid w:val="074A1FE5"/>
    <w:rsid w:val="077305E3"/>
    <w:rsid w:val="07A82607"/>
    <w:rsid w:val="080A52B6"/>
    <w:rsid w:val="08A543EB"/>
    <w:rsid w:val="09376703"/>
    <w:rsid w:val="09760DE3"/>
    <w:rsid w:val="09C5316B"/>
    <w:rsid w:val="0A2B147A"/>
    <w:rsid w:val="0A5821C6"/>
    <w:rsid w:val="0A93506B"/>
    <w:rsid w:val="0B21104E"/>
    <w:rsid w:val="0B9E48FD"/>
    <w:rsid w:val="0BB622A7"/>
    <w:rsid w:val="0BD55995"/>
    <w:rsid w:val="0C3E42BE"/>
    <w:rsid w:val="0C536EC5"/>
    <w:rsid w:val="0C874EE1"/>
    <w:rsid w:val="0D04565D"/>
    <w:rsid w:val="0D4806BF"/>
    <w:rsid w:val="0D7B474B"/>
    <w:rsid w:val="0E024D74"/>
    <w:rsid w:val="0E0B0A7A"/>
    <w:rsid w:val="0E484301"/>
    <w:rsid w:val="0E4A651E"/>
    <w:rsid w:val="0E5F1249"/>
    <w:rsid w:val="0EEE7499"/>
    <w:rsid w:val="0F587009"/>
    <w:rsid w:val="0F772126"/>
    <w:rsid w:val="0F83022C"/>
    <w:rsid w:val="0F837563"/>
    <w:rsid w:val="0F956171"/>
    <w:rsid w:val="1008458B"/>
    <w:rsid w:val="102B5AE8"/>
    <w:rsid w:val="10611A0A"/>
    <w:rsid w:val="10AC3173"/>
    <w:rsid w:val="10AC5059"/>
    <w:rsid w:val="111110FD"/>
    <w:rsid w:val="113464A3"/>
    <w:rsid w:val="115F642C"/>
    <w:rsid w:val="116D0F4A"/>
    <w:rsid w:val="11A11B19"/>
    <w:rsid w:val="12211934"/>
    <w:rsid w:val="127A292F"/>
    <w:rsid w:val="1282121E"/>
    <w:rsid w:val="12ED7A68"/>
    <w:rsid w:val="13012641"/>
    <w:rsid w:val="136A10B9"/>
    <w:rsid w:val="13873A19"/>
    <w:rsid w:val="13E62E35"/>
    <w:rsid w:val="13FD7A4B"/>
    <w:rsid w:val="144731A8"/>
    <w:rsid w:val="146E3E3D"/>
    <w:rsid w:val="14801A85"/>
    <w:rsid w:val="148854BE"/>
    <w:rsid w:val="14CE38A7"/>
    <w:rsid w:val="14D419DE"/>
    <w:rsid w:val="14DC6FEA"/>
    <w:rsid w:val="152F2422"/>
    <w:rsid w:val="15F36B10"/>
    <w:rsid w:val="15F67B8F"/>
    <w:rsid w:val="15F873A5"/>
    <w:rsid w:val="16265D06"/>
    <w:rsid w:val="16CD33F4"/>
    <w:rsid w:val="16E1457B"/>
    <w:rsid w:val="16F26FDC"/>
    <w:rsid w:val="17721137"/>
    <w:rsid w:val="17B60788"/>
    <w:rsid w:val="17E75995"/>
    <w:rsid w:val="18087B95"/>
    <w:rsid w:val="181F073A"/>
    <w:rsid w:val="189E3CDE"/>
    <w:rsid w:val="19450E59"/>
    <w:rsid w:val="19483FD9"/>
    <w:rsid w:val="19813FB0"/>
    <w:rsid w:val="19C659F5"/>
    <w:rsid w:val="1A3D4C07"/>
    <w:rsid w:val="1ACC4D45"/>
    <w:rsid w:val="1B5A4D98"/>
    <w:rsid w:val="1B5B40E1"/>
    <w:rsid w:val="1B610368"/>
    <w:rsid w:val="1BA96B88"/>
    <w:rsid w:val="1BC670A8"/>
    <w:rsid w:val="1C0E117B"/>
    <w:rsid w:val="1C1111DB"/>
    <w:rsid w:val="1C4F2CF1"/>
    <w:rsid w:val="1C676ADD"/>
    <w:rsid w:val="1C6A496F"/>
    <w:rsid w:val="1CA45ECC"/>
    <w:rsid w:val="1D305121"/>
    <w:rsid w:val="1D7814FC"/>
    <w:rsid w:val="1D903E12"/>
    <w:rsid w:val="1DB93368"/>
    <w:rsid w:val="1DCC366B"/>
    <w:rsid w:val="1DD063A3"/>
    <w:rsid w:val="1E8219AC"/>
    <w:rsid w:val="1EAF02C7"/>
    <w:rsid w:val="1F125176"/>
    <w:rsid w:val="1F374DC3"/>
    <w:rsid w:val="1FBF278C"/>
    <w:rsid w:val="1FCA05CF"/>
    <w:rsid w:val="1FFE6BEE"/>
    <w:rsid w:val="203B1E13"/>
    <w:rsid w:val="204F166B"/>
    <w:rsid w:val="20701889"/>
    <w:rsid w:val="20970F82"/>
    <w:rsid w:val="209750C9"/>
    <w:rsid w:val="20BA340F"/>
    <w:rsid w:val="20F14BC7"/>
    <w:rsid w:val="210E1A59"/>
    <w:rsid w:val="216F7993"/>
    <w:rsid w:val="21822B94"/>
    <w:rsid w:val="21825E03"/>
    <w:rsid w:val="21BB220E"/>
    <w:rsid w:val="221D5633"/>
    <w:rsid w:val="22FE5379"/>
    <w:rsid w:val="2312765E"/>
    <w:rsid w:val="235A4CA6"/>
    <w:rsid w:val="24062738"/>
    <w:rsid w:val="2499461A"/>
    <w:rsid w:val="24A10DF8"/>
    <w:rsid w:val="25642544"/>
    <w:rsid w:val="25C83686"/>
    <w:rsid w:val="26C171CB"/>
    <w:rsid w:val="272F24B1"/>
    <w:rsid w:val="274F2647"/>
    <w:rsid w:val="27716A62"/>
    <w:rsid w:val="27826579"/>
    <w:rsid w:val="2805374C"/>
    <w:rsid w:val="28054429"/>
    <w:rsid w:val="282835C4"/>
    <w:rsid w:val="28556108"/>
    <w:rsid w:val="285A1251"/>
    <w:rsid w:val="286454FC"/>
    <w:rsid w:val="286E52FC"/>
    <w:rsid w:val="288B7918"/>
    <w:rsid w:val="28AB7D51"/>
    <w:rsid w:val="28EA7C93"/>
    <w:rsid w:val="28EB24A4"/>
    <w:rsid w:val="29E54A64"/>
    <w:rsid w:val="29EC0622"/>
    <w:rsid w:val="2A3911FD"/>
    <w:rsid w:val="2A697FBF"/>
    <w:rsid w:val="2A6F54DA"/>
    <w:rsid w:val="2A9460A1"/>
    <w:rsid w:val="2AA60995"/>
    <w:rsid w:val="2AB41C26"/>
    <w:rsid w:val="2ABB7DF2"/>
    <w:rsid w:val="2ADE448E"/>
    <w:rsid w:val="2B4613F8"/>
    <w:rsid w:val="2BA72A52"/>
    <w:rsid w:val="2BD902EC"/>
    <w:rsid w:val="2BF17357"/>
    <w:rsid w:val="2C197C11"/>
    <w:rsid w:val="2C263A29"/>
    <w:rsid w:val="2CB73169"/>
    <w:rsid w:val="2D0C6C82"/>
    <w:rsid w:val="2E135BB8"/>
    <w:rsid w:val="2E386092"/>
    <w:rsid w:val="2EE737A0"/>
    <w:rsid w:val="2EF21CAB"/>
    <w:rsid w:val="2F3841ED"/>
    <w:rsid w:val="2F58187C"/>
    <w:rsid w:val="2F634EE2"/>
    <w:rsid w:val="2FCB6257"/>
    <w:rsid w:val="2FDE6606"/>
    <w:rsid w:val="2FFB15BE"/>
    <w:rsid w:val="30297EDA"/>
    <w:rsid w:val="30B1408E"/>
    <w:rsid w:val="30CE71F9"/>
    <w:rsid w:val="30EF67E5"/>
    <w:rsid w:val="310311E3"/>
    <w:rsid w:val="31612DB9"/>
    <w:rsid w:val="31945827"/>
    <w:rsid w:val="31972C6C"/>
    <w:rsid w:val="31A904AE"/>
    <w:rsid w:val="31F4722E"/>
    <w:rsid w:val="320B7848"/>
    <w:rsid w:val="3250703A"/>
    <w:rsid w:val="3275602C"/>
    <w:rsid w:val="328D7DE2"/>
    <w:rsid w:val="32BA571C"/>
    <w:rsid w:val="32EE6C13"/>
    <w:rsid w:val="339F0A34"/>
    <w:rsid w:val="33C53375"/>
    <w:rsid w:val="33F0714A"/>
    <w:rsid w:val="344D3544"/>
    <w:rsid w:val="34562CDE"/>
    <w:rsid w:val="34D523DE"/>
    <w:rsid w:val="3557092C"/>
    <w:rsid w:val="35DB1C68"/>
    <w:rsid w:val="35EC697A"/>
    <w:rsid w:val="36001157"/>
    <w:rsid w:val="368D0151"/>
    <w:rsid w:val="36BA65F9"/>
    <w:rsid w:val="36F4767F"/>
    <w:rsid w:val="37182A56"/>
    <w:rsid w:val="37643147"/>
    <w:rsid w:val="378418A7"/>
    <w:rsid w:val="37FA5CA2"/>
    <w:rsid w:val="383C102E"/>
    <w:rsid w:val="386364D6"/>
    <w:rsid w:val="386709AA"/>
    <w:rsid w:val="387D642F"/>
    <w:rsid w:val="38B92017"/>
    <w:rsid w:val="38D86C09"/>
    <w:rsid w:val="3919772A"/>
    <w:rsid w:val="392857AF"/>
    <w:rsid w:val="3A06128C"/>
    <w:rsid w:val="3A1A7609"/>
    <w:rsid w:val="3A310809"/>
    <w:rsid w:val="3A437DEA"/>
    <w:rsid w:val="3A4E20D5"/>
    <w:rsid w:val="3A6D30B9"/>
    <w:rsid w:val="3A7645E5"/>
    <w:rsid w:val="3AA01AB2"/>
    <w:rsid w:val="3AC705C2"/>
    <w:rsid w:val="3AC82813"/>
    <w:rsid w:val="3B1F54E8"/>
    <w:rsid w:val="3B3339E2"/>
    <w:rsid w:val="3B4130B9"/>
    <w:rsid w:val="3B5D4EDB"/>
    <w:rsid w:val="3B8D4555"/>
    <w:rsid w:val="3BBF0327"/>
    <w:rsid w:val="3BC50684"/>
    <w:rsid w:val="3CC66AB0"/>
    <w:rsid w:val="3CDB69FF"/>
    <w:rsid w:val="3D4027C3"/>
    <w:rsid w:val="3D64203D"/>
    <w:rsid w:val="3DB46376"/>
    <w:rsid w:val="3DF91178"/>
    <w:rsid w:val="3DFB39FD"/>
    <w:rsid w:val="3E287CA5"/>
    <w:rsid w:val="3E971150"/>
    <w:rsid w:val="3ED16F9F"/>
    <w:rsid w:val="3ED95EA9"/>
    <w:rsid w:val="3EFE309E"/>
    <w:rsid w:val="3F512870"/>
    <w:rsid w:val="3F6236D0"/>
    <w:rsid w:val="3F7500DF"/>
    <w:rsid w:val="3F94702A"/>
    <w:rsid w:val="3FCD5576"/>
    <w:rsid w:val="3FE06D3B"/>
    <w:rsid w:val="3FE2521F"/>
    <w:rsid w:val="407451A1"/>
    <w:rsid w:val="408829FA"/>
    <w:rsid w:val="40C1415E"/>
    <w:rsid w:val="40D309FB"/>
    <w:rsid w:val="40DC2D46"/>
    <w:rsid w:val="41D71CA1"/>
    <w:rsid w:val="41DD0B24"/>
    <w:rsid w:val="4233454F"/>
    <w:rsid w:val="425D0D15"/>
    <w:rsid w:val="42A77BCB"/>
    <w:rsid w:val="43035753"/>
    <w:rsid w:val="43527DA5"/>
    <w:rsid w:val="436020D2"/>
    <w:rsid w:val="446454B9"/>
    <w:rsid w:val="44CA2F7C"/>
    <w:rsid w:val="45093CD4"/>
    <w:rsid w:val="454D7023"/>
    <w:rsid w:val="45B01292"/>
    <w:rsid w:val="46F07AD6"/>
    <w:rsid w:val="470770D1"/>
    <w:rsid w:val="471746ED"/>
    <w:rsid w:val="47242D51"/>
    <w:rsid w:val="475256AA"/>
    <w:rsid w:val="476E08C4"/>
    <w:rsid w:val="476F0470"/>
    <w:rsid w:val="48074B4D"/>
    <w:rsid w:val="48826C2D"/>
    <w:rsid w:val="489573EB"/>
    <w:rsid w:val="48BF6C4F"/>
    <w:rsid w:val="49CF100D"/>
    <w:rsid w:val="49F73F5F"/>
    <w:rsid w:val="4A1873CB"/>
    <w:rsid w:val="4A1E7F2C"/>
    <w:rsid w:val="4A271D22"/>
    <w:rsid w:val="4AC606A8"/>
    <w:rsid w:val="4AF83480"/>
    <w:rsid w:val="4B133808"/>
    <w:rsid w:val="4B85051F"/>
    <w:rsid w:val="4B9B28E8"/>
    <w:rsid w:val="4BA803F5"/>
    <w:rsid w:val="4C242852"/>
    <w:rsid w:val="4C6065D9"/>
    <w:rsid w:val="4C806421"/>
    <w:rsid w:val="4CA0475B"/>
    <w:rsid w:val="4CA9593B"/>
    <w:rsid w:val="4CDF4A30"/>
    <w:rsid w:val="4CF84A64"/>
    <w:rsid w:val="4D0E1A0D"/>
    <w:rsid w:val="4D450A84"/>
    <w:rsid w:val="4D8C351B"/>
    <w:rsid w:val="4DD958BA"/>
    <w:rsid w:val="4DFB11F6"/>
    <w:rsid w:val="4E774DAA"/>
    <w:rsid w:val="4EF13B48"/>
    <w:rsid w:val="4F583EE0"/>
    <w:rsid w:val="4FB76013"/>
    <w:rsid w:val="5012408F"/>
    <w:rsid w:val="50146059"/>
    <w:rsid w:val="50BB6409"/>
    <w:rsid w:val="50EB36A6"/>
    <w:rsid w:val="50F9524E"/>
    <w:rsid w:val="51314571"/>
    <w:rsid w:val="513B5867"/>
    <w:rsid w:val="5151313C"/>
    <w:rsid w:val="51573551"/>
    <w:rsid w:val="51895C9D"/>
    <w:rsid w:val="519F4057"/>
    <w:rsid w:val="51BF1290"/>
    <w:rsid w:val="52BC6534"/>
    <w:rsid w:val="52D80BEE"/>
    <w:rsid w:val="538928D5"/>
    <w:rsid w:val="53B2326A"/>
    <w:rsid w:val="5415414D"/>
    <w:rsid w:val="54284E34"/>
    <w:rsid w:val="54660E4D"/>
    <w:rsid w:val="546B6E19"/>
    <w:rsid w:val="548254F0"/>
    <w:rsid w:val="5485514F"/>
    <w:rsid w:val="548D558B"/>
    <w:rsid w:val="549A6C2B"/>
    <w:rsid w:val="54C3004D"/>
    <w:rsid w:val="54C36344"/>
    <w:rsid w:val="55082A65"/>
    <w:rsid w:val="55646FF0"/>
    <w:rsid w:val="55710184"/>
    <w:rsid w:val="55B300C2"/>
    <w:rsid w:val="55C53EA6"/>
    <w:rsid w:val="56477BF3"/>
    <w:rsid w:val="565B7FD3"/>
    <w:rsid w:val="56C34BB0"/>
    <w:rsid w:val="56DB374A"/>
    <w:rsid w:val="570F3A7E"/>
    <w:rsid w:val="57746489"/>
    <w:rsid w:val="578F2469"/>
    <w:rsid w:val="57D4668D"/>
    <w:rsid w:val="58353010"/>
    <w:rsid w:val="59016536"/>
    <w:rsid w:val="590C29FE"/>
    <w:rsid w:val="59305585"/>
    <w:rsid w:val="59382F53"/>
    <w:rsid w:val="59A537CB"/>
    <w:rsid w:val="59F26FCA"/>
    <w:rsid w:val="5A2B7E5E"/>
    <w:rsid w:val="5A655703"/>
    <w:rsid w:val="5A867B53"/>
    <w:rsid w:val="5AA07F40"/>
    <w:rsid w:val="5B071AB3"/>
    <w:rsid w:val="5B650D9F"/>
    <w:rsid w:val="5B793214"/>
    <w:rsid w:val="5B7C4A30"/>
    <w:rsid w:val="5B8A26BD"/>
    <w:rsid w:val="5BB06EC8"/>
    <w:rsid w:val="5BB93C81"/>
    <w:rsid w:val="5BDE0537"/>
    <w:rsid w:val="5BED4D57"/>
    <w:rsid w:val="5BEE4CE5"/>
    <w:rsid w:val="5C6914DA"/>
    <w:rsid w:val="5D083149"/>
    <w:rsid w:val="5D0E6CE6"/>
    <w:rsid w:val="5D4D387D"/>
    <w:rsid w:val="5D5A7075"/>
    <w:rsid w:val="5D6851F5"/>
    <w:rsid w:val="5D834128"/>
    <w:rsid w:val="5DC739C5"/>
    <w:rsid w:val="5E531B97"/>
    <w:rsid w:val="5F144DEA"/>
    <w:rsid w:val="5F5A15AE"/>
    <w:rsid w:val="5F7E3018"/>
    <w:rsid w:val="5F824661"/>
    <w:rsid w:val="5F8E7B88"/>
    <w:rsid w:val="5FBF4BDF"/>
    <w:rsid w:val="60887821"/>
    <w:rsid w:val="60B50C23"/>
    <w:rsid w:val="60E25095"/>
    <w:rsid w:val="60F1388E"/>
    <w:rsid w:val="61022FEE"/>
    <w:rsid w:val="611A4C01"/>
    <w:rsid w:val="61300818"/>
    <w:rsid w:val="61673550"/>
    <w:rsid w:val="618D5457"/>
    <w:rsid w:val="61A77079"/>
    <w:rsid w:val="621F0E23"/>
    <w:rsid w:val="62D17DD9"/>
    <w:rsid w:val="62D6732E"/>
    <w:rsid w:val="62E87C25"/>
    <w:rsid w:val="638279B4"/>
    <w:rsid w:val="638702D0"/>
    <w:rsid w:val="639C64A0"/>
    <w:rsid w:val="63A423C9"/>
    <w:rsid w:val="63AF5733"/>
    <w:rsid w:val="63D1522A"/>
    <w:rsid w:val="642372D3"/>
    <w:rsid w:val="64356146"/>
    <w:rsid w:val="64A358AC"/>
    <w:rsid w:val="651708B8"/>
    <w:rsid w:val="652B0AFB"/>
    <w:rsid w:val="65454382"/>
    <w:rsid w:val="655D7FBE"/>
    <w:rsid w:val="65FD2C93"/>
    <w:rsid w:val="65FF1E91"/>
    <w:rsid w:val="667967BE"/>
    <w:rsid w:val="66AB26EF"/>
    <w:rsid w:val="66B1708E"/>
    <w:rsid w:val="670047E9"/>
    <w:rsid w:val="67857B63"/>
    <w:rsid w:val="687078B0"/>
    <w:rsid w:val="68774F7F"/>
    <w:rsid w:val="68921DB9"/>
    <w:rsid w:val="68BB4E93"/>
    <w:rsid w:val="69342E70"/>
    <w:rsid w:val="69895CAB"/>
    <w:rsid w:val="699B7AB7"/>
    <w:rsid w:val="6ABD617F"/>
    <w:rsid w:val="6AC25622"/>
    <w:rsid w:val="6AEC3960"/>
    <w:rsid w:val="6B0D2DCF"/>
    <w:rsid w:val="6B0F149F"/>
    <w:rsid w:val="6B2B454C"/>
    <w:rsid w:val="6B427AC6"/>
    <w:rsid w:val="6B57195A"/>
    <w:rsid w:val="6B76151E"/>
    <w:rsid w:val="6B8320C0"/>
    <w:rsid w:val="6BD154CC"/>
    <w:rsid w:val="6C0E79A8"/>
    <w:rsid w:val="6C2B2308"/>
    <w:rsid w:val="6C6B3F54"/>
    <w:rsid w:val="6CC92D08"/>
    <w:rsid w:val="6CCE7137"/>
    <w:rsid w:val="6E071562"/>
    <w:rsid w:val="6EB8009F"/>
    <w:rsid w:val="6F083740"/>
    <w:rsid w:val="6F105C05"/>
    <w:rsid w:val="6F133FA3"/>
    <w:rsid w:val="6F6967E1"/>
    <w:rsid w:val="70904B27"/>
    <w:rsid w:val="70AF7355"/>
    <w:rsid w:val="70C31D6B"/>
    <w:rsid w:val="70F74CDB"/>
    <w:rsid w:val="71036320"/>
    <w:rsid w:val="71904B0C"/>
    <w:rsid w:val="71C73801"/>
    <w:rsid w:val="72025B0D"/>
    <w:rsid w:val="7233601F"/>
    <w:rsid w:val="7249798C"/>
    <w:rsid w:val="727A5A85"/>
    <w:rsid w:val="73774085"/>
    <w:rsid w:val="741E09A4"/>
    <w:rsid w:val="743B3304"/>
    <w:rsid w:val="74533F62"/>
    <w:rsid w:val="74891E24"/>
    <w:rsid w:val="74B03CF2"/>
    <w:rsid w:val="74CC0400"/>
    <w:rsid w:val="7502664C"/>
    <w:rsid w:val="752244C4"/>
    <w:rsid w:val="7543158E"/>
    <w:rsid w:val="761A09D8"/>
    <w:rsid w:val="762F50EB"/>
    <w:rsid w:val="76914474"/>
    <w:rsid w:val="76C667BC"/>
    <w:rsid w:val="7718792D"/>
    <w:rsid w:val="77493F8A"/>
    <w:rsid w:val="77646FC0"/>
    <w:rsid w:val="776F0CF3"/>
    <w:rsid w:val="78AC2A23"/>
    <w:rsid w:val="78DB67FF"/>
    <w:rsid w:val="796C5D0E"/>
    <w:rsid w:val="79B7167F"/>
    <w:rsid w:val="79CE69C9"/>
    <w:rsid w:val="79FE79DA"/>
    <w:rsid w:val="7A735C17"/>
    <w:rsid w:val="7A887546"/>
    <w:rsid w:val="7AA71D7C"/>
    <w:rsid w:val="7AAD5FEE"/>
    <w:rsid w:val="7B580C40"/>
    <w:rsid w:val="7B9D6653"/>
    <w:rsid w:val="7BD858DD"/>
    <w:rsid w:val="7BF9402F"/>
    <w:rsid w:val="7CA26DD3"/>
    <w:rsid w:val="7CA554B7"/>
    <w:rsid w:val="7CF312BE"/>
    <w:rsid w:val="7D3E4BB0"/>
    <w:rsid w:val="7D9120E2"/>
    <w:rsid w:val="7DCB1CE0"/>
    <w:rsid w:val="7E673701"/>
    <w:rsid w:val="7E695E0F"/>
    <w:rsid w:val="7E7318ED"/>
    <w:rsid w:val="7E910D86"/>
    <w:rsid w:val="7EF74AD6"/>
    <w:rsid w:val="7F45516D"/>
    <w:rsid w:val="7F783E91"/>
    <w:rsid w:val="7FCB4FD6"/>
    <w:rsid w:val="7FE72A64"/>
    <w:rsid w:val="7FF505E8"/>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7"/>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2"/>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5"/>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8"/>
    <w:autoRedefine/>
    <w:qFormat/>
    <w:uiPriority w:val="0"/>
    <w:pPr>
      <w:keepNext/>
      <w:keepLines/>
      <w:ind w:firstLine="200" w:firstLineChars="200"/>
      <w:outlineLvl w:val="5"/>
    </w:pPr>
    <w:rPr>
      <w:rFonts w:hAnsi="Arial"/>
    </w:rPr>
  </w:style>
  <w:style w:type="paragraph" w:styleId="10">
    <w:name w:val="heading 7"/>
    <w:basedOn w:val="1"/>
    <w:next w:val="1"/>
    <w:link w:val="275"/>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70"/>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0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unhideWhenUsed/>
    <w:qFormat/>
    <w:uiPriority w:val="1"/>
  </w:style>
  <w:style w:type="table" w:default="1" w:styleId="4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217"/>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next w:val="1"/>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7"/>
    <w:autoRedefine/>
    <w:qFormat/>
    <w:uiPriority w:val="0"/>
    <w:pPr>
      <w:shd w:val="clear" w:color="auto" w:fill="000080"/>
    </w:pPr>
  </w:style>
  <w:style w:type="paragraph" w:styleId="17">
    <w:name w:val="annotation text"/>
    <w:basedOn w:val="1"/>
    <w:link w:val="292"/>
    <w:autoRedefine/>
    <w:qFormat/>
    <w:uiPriority w:val="99"/>
    <w:pPr>
      <w:jc w:val="left"/>
    </w:pPr>
  </w:style>
  <w:style w:type="paragraph" w:styleId="18">
    <w:name w:val="Body Text 3"/>
    <w:basedOn w:val="1"/>
    <w:link w:val="311"/>
    <w:autoRedefine/>
    <w:qFormat/>
    <w:uiPriority w:val="0"/>
    <w:pPr>
      <w:spacing w:after="120"/>
    </w:pPr>
    <w:rPr>
      <w:sz w:val="16"/>
      <w:szCs w:val="16"/>
    </w:rPr>
  </w:style>
  <w:style w:type="paragraph" w:styleId="19">
    <w:name w:val="Body Text Indent"/>
    <w:basedOn w:val="1"/>
    <w:link w:val="272"/>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7"/>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60"/>
    <w:autoRedefine/>
    <w:qFormat/>
    <w:uiPriority w:val="0"/>
    <w:pPr>
      <w:ind w:left="100" w:leftChars="2500"/>
    </w:pPr>
  </w:style>
  <w:style w:type="paragraph" w:styleId="27">
    <w:name w:val="Body Text Indent 2"/>
    <w:basedOn w:val="1"/>
    <w:link w:val="274"/>
    <w:autoRedefine/>
    <w:qFormat/>
    <w:uiPriority w:val="0"/>
    <w:pPr>
      <w:widowControl/>
      <w:spacing w:line="480" w:lineRule="auto"/>
      <w:ind w:firstLine="560"/>
      <w:jc w:val="left"/>
    </w:pPr>
    <w:rPr>
      <w:kern w:val="0"/>
      <w:sz w:val="28"/>
    </w:rPr>
  </w:style>
  <w:style w:type="paragraph" w:styleId="28">
    <w:name w:val="endnote text"/>
    <w:basedOn w:val="1"/>
    <w:link w:val="184"/>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11"/>
    <w:autoRedefine/>
    <w:qFormat/>
    <w:uiPriority w:val="0"/>
    <w:rPr>
      <w:sz w:val="18"/>
      <w:szCs w:val="18"/>
    </w:rPr>
  </w:style>
  <w:style w:type="paragraph" w:styleId="30">
    <w:name w:val="footer"/>
    <w:basedOn w:val="1"/>
    <w:link w:val="199"/>
    <w:autoRedefine/>
    <w:qFormat/>
    <w:uiPriority w:val="0"/>
    <w:pPr>
      <w:tabs>
        <w:tab w:val="center" w:pos="4153"/>
        <w:tab w:val="right" w:pos="8306"/>
      </w:tabs>
      <w:snapToGrid w:val="0"/>
      <w:jc w:val="left"/>
    </w:pPr>
    <w:rPr>
      <w:sz w:val="18"/>
      <w:szCs w:val="18"/>
    </w:rPr>
  </w:style>
  <w:style w:type="paragraph" w:styleId="31">
    <w:name w:val="header"/>
    <w:basedOn w:val="1"/>
    <w:link w:val="23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4"/>
    <w:autoRedefine/>
    <w:qFormat/>
    <w:uiPriority w:val="0"/>
    <w:pPr>
      <w:widowControl/>
      <w:jc w:val="center"/>
    </w:pPr>
    <w:rPr>
      <w:kern w:val="0"/>
      <w:sz w:val="20"/>
      <w:u w:val="single"/>
      <w:lang w:eastAsia="en-US"/>
    </w:rPr>
  </w:style>
  <w:style w:type="paragraph" w:styleId="35">
    <w:name w:val="footnote text"/>
    <w:basedOn w:val="1"/>
    <w:link w:val="219"/>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71"/>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7"/>
    <w:autoRedefine/>
    <w:qFormat/>
    <w:uiPriority w:val="0"/>
    <w:rPr>
      <w:i/>
      <w:iCs/>
      <w:sz w:val="26"/>
    </w:rPr>
  </w:style>
  <w:style w:type="paragraph" w:styleId="41">
    <w:name w:val="HTML Preformatted"/>
    <w:basedOn w:val="1"/>
    <w:link w:val="17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4"/>
    <w:autoRedefine/>
    <w:qFormat/>
    <w:uiPriority w:val="0"/>
    <w:pPr>
      <w:widowControl/>
      <w:jc w:val="center"/>
    </w:pPr>
    <w:rPr>
      <w:kern w:val="0"/>
      <w:sz w:val="20"/>
      <w:u w:val="single"/>
      <w:lang w:eastAsia="en-US"/>
    </w:rPr>
  </w:style>
  <w:style w:type="paragraph" w:styleId="45">
    <w:name w:val="annotation subject"/>
    <w:basedOn w:val="17"/>
    <w:next w:val="17"/>
    <w:link w:val="266"/>
    <w:autoRedefine/>
    <w:qFormat/>
    <w:uiPriority w:val="0"/>
    <w:rPr>
      <w:b/>
      <w:bCs/>
    </w:rPr>
  </w:style>
  <w:style w:type="paragraph" w:styleId="46">
    <w:name w:val="Body Text First Indent"/>
    <w:basedOn w:val="1"/>
    <w:next w:val="13"/>
    <w:qFormat/>
    <w:uiPriority w:val="0"/>
    <w:pPr>
      <w:spacing w:line="360" w:lineRule="auto"/>
      <w:ind w:firstLine="420"/>
    </w:pPr>
    <w:rPr>
      <w:rFonts w:ascii="宋体" w:hAnsi="宋体"/>
      <w:sz w:val="24"/>
    </w:r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paragraph" w:customStyle="1" w:styleId="58">
    <w:name w:val="BodyText"/>
    <w:basedOn w:val="1"/>
    <w:next w:val="59"/>
    <w:qFormat/>
    <w:uiPriority w:val="0"/>
    <w:pPr>
      <w:jc w:val="both"/>
      <w:textAlignment w:val="baseline"/>
    </w:pPr>
    <w:rPr>
      <w:rFonts w:ascii="仿宋_GB2312" w:eastAsia="仿宋_GB2312"/>
      <w:kern w:val="2"/>
      <w:sz w:val="32"/>
      <w:lang w:val="en-US" w:eastAsia="zh-CN" w:bidi="ar-SA"/>
    </w:rPr>
  </w:style>
  <w:style w:type="paragraph" w:customStyle="1" w:styleId="59">
    <w:name w:val="BodyTextIndent"/>
    <w:basedOn w:val="1"/>
    <w:qFormat/>
    <w:uiPriority w:val="0"/>
    <w:pPr>
      <w:spacing w:line="700" w:lineRule="exact"/>
      <w:ind w:left="960"/>
      <w:jc w:val="both"/>
      <w:textAlignment w:val="baseline"/>
    </w:pPr>
    <w:rPr>
      <w:rFonts w:ascii="Times New Roman" w:hAnsi="Times New Roman" w:eastAsia="宋体"/>
      <w:kern w:val="2"/>
      <w:sz w:val="44"/>
      <w:szCs w:val="28"/>
      <w:lang w:val="en-US" w:eastAsia="zh-CN" w:bidi="ar-SA"/>
    </w:rPr>
  </w:style>
  <w:style w:type="paragraph" w:customStyle="1" w:styleId="60">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1">
    <w:name w:val="_Style 101"/>
    <w:basedOn w:val="1"/>
    <w:autoRedefine/>
    <w:qFormat/>
    <w:uiPriority w:val="99"/>
    <w:pPr>
      <w:ind w:firstLine="420" w:firstLineChars="200"/>
    </w:pPr>
    <w:rPr>
      <w:sz w:val="28"/>
      <w:szCs w:val="28"/>
    </w:rPr>
  </w:style>
  <w:style w:type="paragraph" w:customStyle="1" w:styleId="62">
    <w:name w:val="表格标题"/>
    <w:basedOn w:val="63"/>
    <w:autoRedefine/>
    <w:qFormat/>
    <w:uiPriority w:val="0"/>
  </w:style>
  <w:style w:type="paragraph" w:customStyle="1" w:styleId="63">
    <w:name w:val="表格内容"/>
    <w:basedOn w:val="1"/>
    <w:autoRedefine/>
    <w:qFormat/>
    <w:uiPriority w:val="0"/>
    <w:pPr>
      <w:suppressLineNumbers/>
      <w:suppressAutoHyphens/>
    </w:pPr>
  </w:style>
  <w:style w:type="paragraph" w:customStyle="1" w:styleId="64">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6">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7">
    <w:name w:val="标准样式1"/>
    <w:basedOn w:val="1"/>
    <w:autoRedefine/>
    <w:qFormat/>
    <w:uiPriority w:val="0"/>
    <w:pPr>
      <w:spacing w:line="600" w:lineRule="exact"/>
      <w:ind w:firstLine="567"/>
    </w:pPr>
    <w:rPr>
      <w:rFonts w:ascii="Calibri" w:hAnsi="Calibri"/>
      <w:sz w:val="28"/>
    </w:rPr>
  </w:style>
  <w:style w:type="paragraph" w:customStyle="1" w:styleId="68">
    <w:name w:val="列出段落11"/>
    <w:basedOn w:val="1"/>
    <w:autoRedefine/>
    <w:qFormat/>
    <w:uiPriority w:val="0"/>
    <w:pPr>
      <w:ind w:firstLine="420" w:firstLineChars="200"/>
    </w:pPr>
    <w:rPr>
      <w:sz w:val="28"/>
      <w:szCs w:val="28"/>
    </w:rPr>
  </w:style>
  <w:style w:type="paragraph" w:customStyle="1" w:styleId="69">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0">
    <w:name w:val="WW-表格标题"/>
    <w:basedOn w:val="71"/>
    <w:autoRedefine/>
    <w:qFormat/>
    <w:uiPriority w:val="0"/>
  </w:style>
  <w:style w:type="paragraph" w:customStyle="1" w:styleId="71">
    <w:name w:val="WW-表格内容"/>
    <w:basedOn w:val="1"/>
    <w:autoRedefine/>
    <w:qFormat/>
    <w:uiPriority w:val="0"/>
    <w:pPr>
      <w:suppressLineNumbers/>
      <w:suppressAutoHyphens/>
    </w:pPr>
  </w:style>
  <w:style w:type="paragraph" w:customStyle="1" w:styleId="72">
    <w:name w:val="引用2"/>
    <w:basedOn w:val="1"/>
    <w:next w:val="1"/>
    <w:link w:val="303"/>
    <w:autoRedefine/>
    <w:qFormat/>
    <w:uiPriority w:val="0"/>
    <w:rPr>
      <w:i/>
      <w:iCs/>
      <w:color w:val="000000"/>
    </w:rPr>
  </w:style>
  <w:style w:type="paragraph" w:customStyle="1" w:styleId="73">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Char Char Char Char"/>
    <w:basedOn w:val="16"/>
    <w:autoRedefine/>
    <w:qFormat/>
    <w:uiPriority w:val="0"/>
    <w:pPr>
      <w:spacing w:line="360" w:lineRule="auto"/>
      <w:ind w:firstLine="200" w:firstLineChars="200"/>
    </w:pPr>
    <w:rPr>
      <w:rFonts w:ascii="Tahoma" w:hAnsi="Tahoma"/>
      <w:sz w:val="24"/>
    </w:rPr>
  </w:style>
  <w:style w:type="paragraph" w:customStyle="1" w:styleId="76">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8">
    <w:name w:val="p16"/>
    <w:basedOn w:val="1"/>
    <w:autoRedefine/>
    <w:qFormat/>
    <w:uiPriority w:val="0"/>
    <w:pPr>
      <w:widowControl/>
    </w:pPr>
    <w:rPr>
      <w:rFonts w:ascii="Calibri" w:hAnsi="Calibri" w:cs="宋体"/>
      <w:kern w:val="0"/>
      <w:szCs w:val="21"/>
    </w:rPr>
  </w:style>
  <w:style w:type="paragraph" w:customStyle="1" w:styleId="79">
    <w:name w:val="列出段落1"/>
    <w:basedOn w:val="1"/>
    <w:autoRedefine/>
    <w:qFormat/>
    <w:uiPriority w:val="0"/>
    <w:pPr>
      <w:ind w:firstLine="420" w:firstLineChars="200"/>
    </w:pPr>
    <w:rPr>
      <w:sz w:val="28"/>
      <w:szCs w:val="28"/>
    </w:rPr>
  </w:style>
  <w:style w:type="paragraph" w:customStyle="1" w:styleId="80">
    <w:name w:val="样式1"/>
    <w:basedOn w:val="1"/>
    <w:next w:val="6"/>
    <w:autoRedefine/>
    <w:qFormat/>
    <w:uiPriority w:val="0"/>
    <w:pPr>
      <w:spacing w:line="360" w:lineRule="auto"/>
      <w:ind w:firstLine="420" w:firstLineChars="200"/>
    </w:pPr>
    <w:rPr>
      <w:rFonts w:ascii="宋体" w:hAnsi="宋体"/>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2">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3">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4">
    <w:name w:val="引用1"/>
    <w:basedOn w:val="1"/>
    <w:next w:val="1"/>
    <w:link w:val="153"/>
    <w:autoRedefine/>
    <w:qFormat/>
    <w:uiPriority w:val="29"/>
    <w:rPr>
      <w:i/>
      <w:iCs/>
      <w:color w:val="000000"/>
      <w:szCs w:val="20"/>
    </w:rPr>
  </w:style>
  <w:style w:type="paragraph" w:customStyle="1" w:styleId="85">
    <w:name w:val="表格文字"/>
    <w:basedOn w:val="1"/>
    <w:autoRedefine/>
    <w:qFormat/>
    <w:uiPriority w:val="0"/>
    <w:pPr>
      <w:adjustRightInd w:val="0"/>
      <w:spacing w:line="420" w:lineRule="atLeast"/>
      <w:jc w:val="left"/>
      <w:textAlignment w:val="baseline"/>
    </w:pPr>
    <w:rPr>
      <w:kern w:val="0"/>
      <w:szCs w:val="20"/>
    </w:rPr>
  </w:style>
  <w:style w:type="paragraph" w:customStyle="1" w:styleId="86">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8">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正  文"/>
    <w:basedOn w:val="1"/>
    <w:autoRedefine/>
    <w:qFormat/>
    <w:uiPriority w:val="0"/>
    <w:pPr>
      <w:spacing w:line="360" w:lineRule="auto"/>
      <w:ind w:firstLine="200" w:firstLineChars="200"/>
    </w:pPr>
    <w:rPr>
      <w:rFonts w:ascii="宋体" w:hAnsi="Calibri"/>
      <w:sz w:val="24"/>
    </w:rPr>
  </w:style>
  <w:style w:type="paragraph" w:customStyle="1" w:styleId="90">
    <w:name w:val="标题4"/>
    <w:basedOn w:val="4"/>
    <w:next w:val="21"/>
    <w:link w:val="246"/>
    <w:autoRedefine/>
    <w:qFormat/>
    <w:uiPriority w:val="0"/>
    <w:pPr>
      <w:spacing w:line="413" w:lineRule="auto"/>
    </w:pPr>
    <w:rPr>
      <w:rFonts w:ascii="Arial" w:hAnsi="Arial"/>
      <w:kern w:val="0"/>
      <w:sz w:val="24"/>
    </w:rPr>
  </w:style>
  <w:style w:type="paragraph" w:customStyle="1" w:styleId="91">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8">
    <w:name w:val="1 Char"/>
    <w:basedOn w:val="1"/>
    <w:autoRedefine/>
    <w:qFormat/>
    <w:uiPriority w:val="0"/>
    <w:pPr>
      <w:widowControl/>
      <w:spacing w:after="160" w:line="240" w:lineRule="exact"/>
      <w:jc w:val="left"/>
    </w:pPr>
    <w:rPr>
      <w:rFonts w:ascii="Calibri" w:hAnsi="Calibri"/>
      <w:szCs w:val="20"/>
    </w:rPr>
  </w:style>
  <w:style w:type="paragraph" w:customStyle="1" w:styleId="99">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0">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1">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2">
    <w:name w:val="p15"/>
    <w:basedOn w:val="1"/>
    <w:autoRedefine/>
    <w:qFormat/>
    <w:uiPriority w:val="0"/>
    <w:pPr>
      <w:widowControl/>
      <w:spacing w:after="120"/>
    </w:pPr>
    <w:rPr>
      <w:kern w:val="0"/>
      <w:szCs w:val="21"/>
    </w:rPr>
  </w:style>
  <w:style w:type="paragraph" w:customStyle="1" w:styleId="10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5">
    <w:name w:val="_Style 124"/>
    <w:basedOn w:val="1"/>
    <w:next w:val="1"/>
    <w:link w:val="200"/>
    <w:autoRedefine/>
    <w:qFormat/>
    <w:uiPriority w:val="0"/>
    <w:rPr>
      <w:i/>
      <w:iCs/>
      <w:color w:val="000000"/>
      <w:szCs w:val="22"/>
    </w:rPr>
  </w:style>
  <w:style w:type="paragraph" w:customStyle="1" w:styleId="106">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8">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0">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1">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明显引用1"/>
    <w:basedOn w:val="1"/>
    <w:next w:val="1"/>
    <w:link w:val="301"/>
    <w:autoRedefine/>
    <w:qFormat/>
    <w:uiPriority w:val="30"/>
    <w:pPr>
      <w:pBdr>
        <w:bottom w:val="single" w:color="4F81BD" w:sz="4" w:space="4"/>
      </w:pBdr>
      <w:spacing w:before="200" w:after="280"/>
      <w:ind w:left="936" w:right="936"/>
    </w:pPr>
    <w:rPr>
      <w:b/>
      <w:bCs/>
      <w:i/>
      <w:iCs/>
      <w:color w:val="4F81BD"/>
      <w:szCs w:val="20"/>
    </w:rPr>
  </w:style>
  <w:style w:type="paragraph" w:customStyle="1" w:styleId="115">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6">
    <w:name w:val="TOC 标题2"/>
    <w:basedOn w:val="3"/>
    <w:next w:val="1"/>
    <w:autoRedefine/>
    <w:unhideWhenUsed/>
    <w:qFormat/>
    <w:uiPriority w:val="0"/>
    <w:pPr>
      <w:outlineLvl w:val="9"/>
    </w:pPr>
    <w:rPr>
      <w:rFonts w:ascii="Calibri" w:hAnsi="Calibri"/>
    </w:rPr>
  </w:style>
  <w:style w:type="paragraph" w:customStyle="1" w:styleId="117">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标题5"/>
    <w:basedOn w:val="5"/>
    <w:link w:val="168"/>
    <w:autoRedefine/>
    <w:qFormat/>
    <w:uiPriority w:val="0"/>
    <w:pPr>
      <w:spacing w:line="413" w:lineRule="auto"/>
    </w:pPr>
    <w:rPr>
      <w:rFonts w:ascii="Arial" w:hAnsi="Arial"/>
      <w:kern w:val="0"/>
      <w:sz w:val="24"/>
    </w:rPr>
  </w:style>
  <w:style w:type="paragraph" w:customStyle="1" w:styleId="120">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1">
    <w:name w:val="_Style 64"/>
    <w:basedOn w:val="1"/>
    <w:next w:val="1"/>
    <w:link w:val="300"/>
    <w:autoRedefine/>
    <w:qFormat/>
    <w:uiPriority w:val="0"/>
    <w:pPr>
      <w:pBdr>
        <w:bottom w:val="single" w:color="4F81BD" w:sz="4" w:space="4"/>
      </w:pBdr>
      <w:spacing w:before="200" w:after="280"/>
      <w:ind w:left="936" w:right="936"/>
    </w:pPr>
    <w:rPr>
      <w:b/>
      <w:bCs/>
      <w:i/>
      <w:iCs/>
      <w:color w:val="4F81BD"/>
      <w:szCs w:val="22"/>
    </w:rPr>
  </w:style>
  <w:style w:type="paragraph" w:customStyle="1" w:styleId="122">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Char2"/>
    <w:basedOn w:val="1"/>
    <w:autoRedefine/>
    <w:qFormat/>
    <w:uiPriority w:val="0"/>
    <w:rPr>
      <w:rFonts w:ascii="Calibri" w:hAnsi="Calibri"/>
    </w:rPr>
  </w:style>
  <w:style w:type="paragraph" w:customStyle="1" w:styleId="124">
    <w:name w:val="_Style 87"/>
    <w:basedOn w:val="1"/>
    <w:autoRedefine/>
    <w:qFormat/>
    <w:uiPriority w:val="99"/>
    <w:pPr>
      <w:ind w:firstLine="420" w:firstLineChars="200"/>
    </w:pPr>
    <w:rPr>
      <w:rFonts w:ascii="Calibri" w:hAnsi="Calibri"/>
      <w:sz w:val="28"/>
      <w:szCs w:val="28"/>
    </w:rPr>
  </w:style>
  <w:style w:type="paragraph" w:customStyle="1" w:styleId="125">
    <w:name w:val="自定样式1"/>
    <w:basedOn w:val="1"/>
    <w:autoRedefine/>
    <w:qFormat/>
    <w:uiPriority w:val="0"/>
    <w:pPr>
      <w:suppressAutoHyphens/>
      <w:jc w:val="center"/>
    </w:pPr>
    <w:rPr>
      <w:rFonts w:ascii="宋体" w:hAnsi="宋体"/>
      <w:color w:val="000000"/>
      <w:sz w:val="18"/>
    </w:rPr>
  </w:style>
  <w:style w:type="paragraph" w:customStyle="1" w:styleId="126">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Char"/>
    <w:basedOn w:val="1"/>
    <w:autoRedefine/>
    <w:qFormat/>
    <w:uiPriority w:val="0"/>
  </w:style>
  <w:style w:type="paragraph" w:customStyle="1" w:styleId="128">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列表段落1"/>
    <w:basedOn w:val="1"/>
    <w:autoRedefine/>
    <w:qFormat/>
    <w:uiPriority w:val="34"/>
    <w:pPr>
      <w:ind w:firstLine="420" w:firstLineChars="200"/>
    </w:pPr>
    <w:rPr>
      <w:rFonts w:ascii="Calibri" w:hAnsi="Calibri"/>
    </w:rPr>
  </w:style>
  <w:style w:type="paragraph" w:customStyle="1" w:styleId="130">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1">
    <w:name w:val="表体"/>
    <w:basedOn w:val="1"/>
    <w:next w:val="1"/>
    <w:autoRedefine/>
    <w:qFormat/>
    <w:uiPriority w:val="0"/>
    <w:pPr>
      <w:spacing w:line="0" w:lineRule="atLeast"/>
    </w:pPr>
    <w:rPr>
      <w:rFonts w:ascii="Calibri" w:hAnsi="Calibri"/>
      <w:b/>
      <w:snapToGrid w:val="0"/>
      <w:szCs w:val="20"/>
    </w:rPr>
  </w:style>
  <w:style w:type="paragraph" w:customStyle="1" w:styleId="132">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3">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4">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5">
    <w:name w:val="Char11"/>
    <w:basedOn w:val="1"/>
    <w:autoRedefine/>
    <w:qFormat/>
    <w:uiPriority w:val="0"/>
  </w:style>
  <w:style w:type="paragraph" w:customStyle="1" w:styleId="13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7">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8">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9">
    <w:name w:val="Char1"/>
    <w:basedOn w:val="1"/>
    <w:autoRedefine/>
    <w:qFormat/>
    <w:uiPriority w:val="0"/>
  </w:style>
  <w:style w:type="paragraph" w:customStyle="1" w:styleId="140">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1">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5">
    <w:name w:val="正文文本 Char2"/>
    <w:autoRedefine/>
    <w:qFormat/>
    <w:uiPriority w:val="99"/>
    <w:rPr>
      <w:kern w:val="2"/>
      <w:sz w:val="21"/>
      <w:szCs w:val="24"/>
    </w:rPr>
  </w:style>
  <w:style w:type="character" w:customStyle="1" w:styleId="146">
    <w:name w:val="尾注文本 Char1"/>
    <w:autoRedefine/>
    <w:qFormat/>
    <w:uiPriority w:val="0"/>
    <w:rPr>
      <w:rFonts w:ascii="Arial" w:hAnsi="Arial" w:cs="Arial"/>
      <w:szCs w:val="24"/>
      <w:lang w:eastAsia="en-US"/>
    </w:rPr>
  </w:style>
  <w:style w:type="character" w:customStyle="1" w:styleId="147">
    <w:name w:val="脚注文本 Char"/>
    <w:autoRedefine/>
    <w:qFormat/>
    <w:uiPriority w:val="0"/>
    <w:rPr>
      <w:rFonts w:ascii="Arial" w:hAnsi="Arial" w:eastAsia="宋体" w:cs="Arial"/>
      <w:sz w:val="18"/>
      <w:szCs w:val="18"/>
      <w:lang w:eastAsia="en-US"/>
    </w:rPr>
  </w:style>
  <w:style w:type="character" w:customStyle="1" w:styleId="148">
    <w:name w:val="Char Char17"/>
    <w:autoRedefine/>
    <w:qFormat/>
    <w:uiPriority w:val="0"/>
    <w:rPr>
      <w:kern w:val="2"/>
      <w:sz w:val="26"/>
      <w:szCs w:val="24"/>
    </w:rPr>
  </w:style>
  <w:style w:type="character" w:customStyle="1" w:styleId="149">
    <w:name w:val="副标题 Char1"/>
    <w:autoRedefine/>
    <w:qFormat/>
    <w:uiPriority w:val="0"/>
    <w:rPr>
      <w:szCs w:val="24"/>
      <w:u w:val="single"/>
      <w:lang w:eastAsia="en-US"/>
    </w:rPr>
  </w:style>
  <w:style w:type="character" w:customStyle="1" w:styleId="150">
    <w:name w:val="标题 Char1"/>
    <w:autoRedefine/>
    <w:qFormat/>
    <w:uiPriority w:val="10"/>
    <w:rPr>
      <w:szCs w:val="24"/>
      <w:u w:val="single"/>
      <w:lang w:eastAsia="en-US"/>
    </w:rPr>
  </w:style>
  <w:style w:type="character" w:customStyle="1" w:styleId="151">
    <w:name w:val="Char Char24"/>
    <w:autoRedefine/>
    <w:qFormat/>
    <w:uiPriority w:val="0"/>
    <w:rPr>
      <w:b/>
      <w:bCs/>
      <w:kern w:val="44"/>
      <w:sz w:val="44"/>
      <w:szCs w:val="44"/>
    </w:rPr>
  </w:style>
  <w:style w:type="character" w:customStyle="1" w:styleId="152">
    <w:name w:val="批注主题 Char"/>
    <w:autoRedefine/>
    <w:qFormat/>
    <w:uiPriority w:val="0"/>
    <w:rPr>
      <w:rFonts w:ascii="宋体" w:hAnsi="宋体" w:eastAsia="宋体"/>
      <w:kern w:val="2"/>
      <w:sz w:val="24"/>
      <w:szCs w:val="28"/>
      <w:lang w:val="en-US" w:eastAsia="zh-CN" w:bidi="ar-SA"/>
    </w:rPr>
  </w:style>
  <w:style w:type="character" w:customStyle="1" w:styleId="153">
    <w:name w:val="引用 Char1"/>
    <w:link w:val="84"/>
    <w:autoRedefine/>
    <w:qFormat/>
    <w:uiPriority w:val="29"/>
    <w:rPr>
      <w:i/>
      <w:iCs/>
      <w:color w:val="000000"/>
      <w:kern w:val="2"/>
      <w:sz w:val="21"/>
    </w:rPr>
  </w:style>
  <w:style w:type="character" w:customStyle="1" w:styleId="154">
    <w:name w:val="Char Char23"/>
    <w:autoRedefine/>
    <w:qFormat/>
    <w:uiPriority w:val="0"/>
    <w:rPr>
      <w:rFonts w:ascii="Cambria" w:hAnsi="Cambria" w:eastAsia="宋体" w:cs="Times New Roman"/>
      <w:b/>
      <w:bCs/>
      <w:kern w:val="2"/>
      <w:sz w:val="32"/>
      <w:szCs w:val="32"/>
    </w:rPr>
  </w:style>
  <w:style w:type="character" w:customStyle="1" w:styleId="155">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6">
    <w:name w:val="标题 9 Char1"/>
    <w:autoRedefine/>
    <w:qFormat/>
    <w:uiPriority w:val="0"/>
    <w:rPr>
      <w:rFonts w:ascii="Times New Roman" w:hAnsi="Times New Roman" w:eastAsia="仿宋_GB2312" w:cs="Times New Roman"/>
      <w:sz w:val="30"/>
      <w:szCs w:val="20"/>
    </w:rPr>
  </w:style>
  <w:style w:type="character" w:customStyle="1" w:styleId="157">
    <w:name w:val="正文文本 Char1"/>
    <w:qFormat/>
    <w:uiPriority w:val="0"/>
    <w:rPr>
      <w:kern w:val="2"/>
      <w:sz w:val="21"/>
      <w:szCs w:val="22"/>
    </w:rPr>
  </w:style>
  <w:style w:type="character" w:customStyle="1" w:styleId="158">
    <w:name w:val="引用 Char2"/>
    <w:qFormat/>
    <w:uiPriority w:val="99"/>
    <w:rPr>
      <w:i/>
      <w:iCs/>
      <w:color w:val="000000"/>
      <w:kern w:val="2"/>
      <w:sz w:val="21"/>
      <w:szCs w:val="24"/>
    </w:rPr>
  </w:style>
  <w:style w:type="character" w:customStyle="1" w:styleId="159">
    <w:name w:val="正文文本 Char3"/>
    <w:semiHidden/>
    <w:qFormat/>
    <w:uiPriority w:val="99"/>
    <w:rPr>
      <w:rFonts w:ascii="Calibri" w:hAnsi="Calibri" w:eastAsia="宋体" w:cs="Times New Roman"/>
      <w:szCs w:val="24"/>
    </w:rPr>
  </w:style>
  <w:style w:type="character" w:customStyle="1" w:styleId="160">
    <w:name w:val="日期 字符"/>
    <w:link w:val="26"/>
    <w:qFormat/>
    <w:uiPriority w:val="0"/>
    <w:rPr>
      <w:rFonts w:eastAsia="宋体"/>
      <w:kern w:val="2"/>
      <w:sz w:val="21"/>
      <w:szCs w:val="24"/>
      <w:lang w:val="en-US" w:eastAsia="zh-CN" w:bidi="ar-SA"/>
    </w:rPr>
  </w:style>
  <w:style w:type="character" w:customStyle="1" w:styleId="161">
    <w:name w:val="标题 2 Char"/>
    <w:qFormat/>
    <w:uiPriority w:val="0"/>
    <w:rPr>
      <w:rFonts w:ascii="仿宋_GB2312" w:hAnsi="Calibri" w:eastAsia="仿宋_GB2312" w:cs="Times New Roman"/>
      <w:b/>
      <w:spacing w:val="1"/>
      <w:w w:val="99"/>
      <w:kern w:val="0"/>
      <w:sz w:val="28"/>
      <w:szCs w:val="32"/>
    </w:rPr>
  </w:style>
  <w:style w:type="character" w:customStyle="1" w:styleId="162">
    <w:name w:val="标题 7 Char"/>
    <w:qFormat/>
    <w:uiPriority w:val="0"/>
    <w:rPr>
      <w:rFonts w:ascii="Calibri" w:hAnsi="Calibri" w:eastAsia="宋体" w:cs="Times New Roman"/>
      <w:b/>
      <w:bCs/>
      <w:sz w:val="24"/>
      <w:szCs w:val="24"/>
    </w:rPr>
  </w:style>
  <w:style w:type="character" w:customStyle="1" w:styleId="163">
    <w:name w:val="批注框文本 Char1"/>
    <w:qFormat/>
    <w:uiPriority w:val="0"/>
    <w:rPr>
      <w:kern w:val="2"/>
      <w:sz w:val="18"/>
      <w:szCs w:val="18"/>
    </w:rPr>
  </w:style>
  <w:style w:type="character" w:customStyle="1" w:styleId="164">
    <w:name w:val="日期 Char1"/>
    <w:qFormat/>
    <w:uiPriority w:val="0"/>
    <w:rPr>
      <w:kern w:val="2"/>
      <w:sz w:val="21"/>
      <w:szCs w:val="22"/>
    </w:rPr>
  </w:style>
  <w:style w:type="character" w:customStyle="1" w:styleId="165">
    <w:name w:val="_Style 171"/>
    <w:qFormat/>
    <w:uiPriority w:val="0"/>
    <w:rPr>
      <w:b/>
      <w:bCs/>
      <w:i/>
      <w:iCs/>
      <w:color w:val="4F81BD"/>
    </w:rPr>
  </w:style>
  <w:style w:type="character" w:customStyle="1" w:styleId="166">
    <w:name w:val="Char Char22"/>
    <w:qFormat/>
    <w:uiPriority w:val="0"/>
    <w:rPr>
      <w:b/>
      <w:bCs/>
      <w:kern w:val="2"/>
      <w:sz w:val="32"/>
      <w:szCs w:val="32"/>
    </w:rPr>
  </w:style>
  <w:style w:type="character" w:customStyle="1" w:styleId="167">
    <w:name w:val="标题 6 Char1"/>
    <w:qFormat/>
    <w:uiPriority w:val="0"/>
    <w:rPr>
      <w:rFonts w:ascii="Times New Roman" w:hAnsi="Arial" w:eastAsia="仿宋_GB2312" w:cs="Times New Roman"/>
      <w:sz w:val="30"/>
      <w:szCs w:val="20"/>
    </w:rPr>
  </w:style>
  <w:style w:type="character" w:customStyle="1" w:styleId="168">
    <w:name w:val="标题5 Char Char"/>
    <w:link w:val="119"/>
    <w:qFormat/>
    <w:uiPriority w:val="0"/>
    <w:rPr>
      <w:rFonts w:ascii="Arial" w:hAnsi="Arial"/>
      <w:b/>
      <w:bCs/>
      <w:sz w:val="24"/>
      <w:szCs w:val="32"/>
      <w:lang w:bidi="ar-SA"/>
    </w:rPr>
  </w:style>
  <w:style w:type="character" w:customStyle="1" w:styleId="169">
    <w:name w:val="正文文本缩进 Char1"/>
    <w:qFormat/>
    <w:uiPriority w:val="0"/>
    <w:rPr>
      <w:kern w:val="2"/>
      <w:sz w:val="21"/>
      <w:szCs w:val="24"/>
    </w:rPr>
  </w:style>
  <w:style w:type="character" w:customStyle="1" w:styleId="170">
    <w:name w:val="标题 4 Char1"/>
    <w:qFormat/>
    <w:uiPriority w:val="0"/>
    <w:rPr>
      <w:rFonts w:ascii="宋体" w:hAnsi="宋体" w:eastAsia="宋体" w:cs="宋体"/>
      <w:b/>
      <w:bCs/>
      <w:sz w:val="24"/>
      <w:szCs w:val="24"/>
    </w:rPr>
  </w:style>
  <w:style w:type="character" w:customStyle="1" w:styleId="171">
    <w:name w:val="尾注文本 Char"/>
    <w:qFormat/>
    <w:uiPriority w:val="0"/>
    <w:rPr>
      <w:kern w:val="2"/>
      <w:sz w:val="21"/>
      <w:szCs w:val="24"/>
    </w:rPr>
  </w:style>
  <w:style w:type="character" w:customStyle="1" w:styleId="172">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3">
    <w:name w:val="尾注文本 Char2"/>
    <w:semiHidden/>
    <w:qFormat/>
    <w:uiPriority w:val="99"/>
    <w:rPr>
      <w:rFonts w:ascii="Calibri" w:hAnsi="Calibri" w:eastAsia="宋体" w:cs="Times New Roman"/>
      <w:szCs w:val="24"/>
    </w:rPr>
  </w:style>
  <w:style w:type="character" w:customStyle="1" w:styleId="174">
    <w:name w:val="明显强调1"/>
    <w:qFormat/>
    <w:uiPriority w:val="0"/>
    <w:rPr>
      <w:b/>
      <w:bCs/>
      <w:i/>
      <w:iCs/>
      <w:color w:val="4F81BD"/>
    </w:rPr>
  </w:style>
  <w:style w:type="character" w:customStyle="1" w:styleId="175">
    <w:name w:val="正文文本 Char"/>
    <w:qFormat/>
    <w:uiPriority w:val="0"/>
    <w:rPr>
      <w:sz w:val="26"/>
      <w:szCs w:val="24"/>
    </w:rPr>
  </w:style>
  <w:style w:type="character" w:customStyle="1" w:styleId="176">
    <w:name w:val="脚注文本 Char2"/>
    <w:semiHidden/>
    <w:qFormat/>
    <w:uiPriority w:val="99"/>
    <w:rPr>
      <w:rFonts w:ascii="Calibri" w:hAnsi="Calibri" w:eastAsia="宋体" w:cs="Times New Roman"/>
      <w:sz w:val="18"/>
      <w:szCs w:val="18"/>
    </w:rPr>
  </w:style>
  <w:style w:type="character" w:customStyle="1" w:styleId="177">
    <w:name w:val="正文文本 2 Char1"/>
    <w:semiHidden/>
    <w:qFormat/>
    <w:uiPriority w:val="99"/>
    <w:rPr>
      <w:rFonts w:ascii="Calibri" w:hAnsi="Calibri" w:eastAsia="宋体" w:cs="Times New Roman"/>
      <w:szCs w:val="24"/>
    </w:rPr>
  </w:style>
  <w:style w:type="character" w:customStyle="1" w:styleId="178">
    <w:name w:val="_Style 248"/>
    <w:qFormat/>
    <w:uiPriority w:val="0"/>
    <w:rPr>
      <w:b/>
      <w:bCs/>
      <w:smallCaps/>
      <w:spacing w:val="5"/>
    </w:rPr>
  </w:style>
  <w:style w:type="character" w:customStyle="1" w:styleId="179">
    <w:name w:val="明显引用 Char3"/>
    <w:qFormat/>
    <w:uiPriority w:val="30"/>
    <w:rPr>
      <w:rFonts w:ascii="Calibri" w:hAnsi="Calibri" w:eastAsia="宋体" w:cs="Times New Roman"/>
      <w:b/>
      <w:bCs/>
      <w:i/>
      <w:iCs/>
      <w:color w:val="4F81BD"/>
      <w:szCs w:val="24"/>
    </w:rPr>
  </w:style>
  <w:style w:type="character" w:customStyle="1" w:styleId="180">
    <w:name w:val="_Style 254"/>
    <w:qFormat/>
    <w:uiPriority w:val="0"/>
    <w:rPr>
      <w:b/>
      <w:bCs/>
      <w:smallCaps/>
      <w:color w:val="C0504D"/>
      <w:spacing w:val="5"/>
      <w:u w:val="single"/>
    </w:rPr>
  </w:style>
  <w:style w:type="character" w:customStyle="1" w:styleId="181">
    <w:name w:val="正文文本缩进 Char2"/>
    <w:semiHidden/>
    <w:qFormat/>
    <w:uiPriority w:val="99"/>
    <w:rPr>
      <w:rFonts w:ascii="Calibri" w:hAnsi="Calibri" w:eastAsia="宋体" w:cs="Times New Roman"/>
      <w:szCs w:val="24"/>
    </w:rPr>
  </w:style>
  <w:style w:type="character" w:customStyle="1" w:styleId="182">
    <w:name w:val="标题 4 字符"/>
    <w:link w:val="6"/>
    <w:qFormat/>
    <w:uiPriority w:val="0"/>
    <w:rPr>
      <w:rFonts w:ascii="宋体" w:hAnsi="宋体" w:eastAsia="宋体" w:cs="宋体"/>
      <w:b/>
      <w:bCs/>
      <w:sz w:val="24"/>
      <w:szCs w:val="24"/>
      <w:lang w:val="en-US" w:eastAsia="zh-CN" w:bidi="ar-SA"/>
    </w:rPr>
  </w:style>
  <w:style w:type="character" w:customStyle="1" w:styleId="183">
    <w:name w:val="正文文本缩进 3 Char"/>
    <w:qFormat/>
    <w:uiPriority w:val="0"/>
    <w:rPr>
      <w:kern w:val="2"/>
      <w:sz w:val="16"/>
      <w:szCs w:val="16"/>
    </w:rPr>
  </w:style>
  <w:style w:type="character" w:customStyle="1" w:styleId="184">
    <w:name w:val="尾注文本 字符"/>
    <w:link w:val="28"/>
    <w:qFormat/>
    <w:uiPriority w:val="0"/>
    <w:rPr>
      <w:rFonts w:ascii="Arial" w:hAnsi="Arial" w:eastAsia="宋体" w:cs="Arial"/>
      <w:szCs w:val="24"/>
      <w:lang w:val="en-US" w:eastAsia="en-US" w:bidi="ar-SA"/>
    </w:rPr>
  </w:style>
  <w:style w:type="character" w:customStyle="1" w:styleId="185">
    <w:name w:val="引用 Char3"/>
    <w:qFormat/>
    <w:uiPriority w:val="29"/>
    <w:rPr>
      <w:rFonts w:ascii="Calibri" w:hAnsi="Calibri" w:eastAsia="宋体" w:cs="Times New Roman"/>
      <w:i/>
      <w:iCs/>
      <w:color w:val="000000"/>
      <w:szCs w:val="24"/>
    </w:rPr>
  </w:style>
  <w:style w:type="character" w:customStyle="1" w:styleId="186">
    <w:name w:val="Char Char32"/>
    <w:qFormat/>
    <w:uiPriority w:val="0"/>
    <w:rPr>
      <w:rFonts w:ascii="仿宋_GB2312" w:eastAsia="仿宋_GB2312" w:cs="MingLiU"/>
      <w:b/>
      <w:spacing w:val="1"/>
      <w:w w:val="99"/>
      <w:sz w:val="28"/>
      <w:szCs w:val="32"/>
    </w:rPr>
  </w:style>
  <w:style w:type="character" w:customStyle="1" w:styleId="187">
    <w:name w:val="日期 Char"/>
    <w:qFormat/>
    <w:uiPriority w:val="0"/>
    <w:rPr>
      <w:rFonts w:eastAsia="宋体"/>
      <w:szCs w:val="24"/>
    </w:rPr>
  </w:style>
  <w:style w:type="character" w:customStyle="1" w:styleId="188">
    <w:name w:val="页脚 Char"/>
    <w:qFormat/>
    <w:uiPriority w:val="0"/>
    <w:rPr>
      <w:sz w:val="18"/>
      <w:szCs w:val="18"/>
    </w:rPr>
  </w:style>
  <w:style w:type="character" w:customStyle="1" w:styleId="189">
    <w:name w:val="style121"/>
    <w:qFormat/>
    <w:uiPriority w:val="0"/>
    <w:rPr>
      <w:rFonts w:hint="eastAsia" w:ascii="宋体" w:hAnsi="宋体" w:eastAsia="宋体"/>
      <w:sz w:val="18"/>
      <w:szCs w:val="18"/>
    </w:rPr>
  </w:style>
  <w:style w:type="character" w:customStyle="1" w:styleId="190">
    <w:name w:val="ss16"/>
    <w:qFormat/>
    <w:uiPriority w:val="0"/>
    <w:rPr>
      <w:rFonts w:hint="eastAsia" w:ascii="宋体" w:hAnsi="宋体" w:eastAsia="宋体"/>
      <w:color w:val="000000"/>
      <w:sz w:val="9"/>
      <w:szCs w:val="9"/>
    </w:rPr>
  </w:style>
  <w:style w:type="character" w:customStyle="1" w:styleId="191">
    <w:name w:val="textcontents"/>
    <w:qFormat/>
    <w:uiPriority w:val="0"/>
    <w:rPr>
      <w:rFonts w:cs="Times New Roman"/>
    </w:rPr>
  </w:style>
  <w:style w:type="character" w:customStyle="1" w:styleId="192">
    <w:name w:val="14t1"/>
    <w:qFormat/>
    <w:uiPriority w:val="0"/>
    <w:rPr>
      <w:rFonts w:hint="eastAsia" w:ascii="宋体" w:hAnsi="宋体" w:eastAsia="宋体"/>
      <w:sz w:val="11"/>
      <w:szCs w:val="11"/>
    </w:rPr>
  </w:style>
  <w:style w:type="character" w:customStyle="1" w:styleId="193">
    <w:name w:val="不明显参考1"/>
    <w:qFormat/>
    <w:uiPriority w:val="0"/>
    <w:rPr>
      <w:smallCaps/>
      <w:color w:val="C0504D"/>
      <w:u w:val="single"/>
    </w:rPr>
  </w:style>
  <w:style w:type="character" w:customStyle="1" w:styleId="194">
    <w:name w:val="unnamed1"/>
    <w:basedOn w:val="49"/>
    <w:qFormat/>
    <w:uiPriority w:val="0"/>
  </w:style>
  <w:style w:type="character" w:customStyle="1" w:styleId="195">
    <w:name w:val="批注主题 Char3"/>
    <w:semiHidden/>
    <w:qFormat/>
    <w:uiPriority w:val="99"/>
    <w:rPr>
      <w:rFonts w:ascii="Calibri" w:hAnsi="Calibri" w:eastAsia="宋体" w:cs="Times New Roman"/>
      <w:b/>
      <w:bCs/>
      <w:szCs w:val="24"/>
    </w:rPr>
  </w:style>
  <w:style w:type="character" w:customStyle="1" w:styleId="196">
    <w:name w:val="标题 3 字符"/>
    <w:link w:val="5"/>
    <w:qFormat/>
    <w:uiPriority w:val="0"/>
    <w:rPr>
      <w:rFonts w:eastAsia="宋体"/>
      <w:b/>
      <w:bCs/>
      <w:kern w:val="2"/>
      <w:sz w:val="32"/>
      <w:szCs w:val="32"/>
      <w:lang w:val="en-US" w:eastAsia="zh-CN" w:bidi="ar-SA"/>
    </w:rPr>
  </w:style>
  <w:style w:type="character" w:customStyle="1" w:styleId="197">
    <w:name w:val="标题 2 字符"/>
    <w:link w:val="4"/>
    <w:qFormat/>
    <w:uiPriority w:val="0"/>
    <w:rPr>
      <w:rFonts w:ascii="Cambria" w:hAnsi="Cambria" w:eastAsia="宋体"/>
      <w:b/>
      <w:bCs/>
      <w:kern w:val="2"/>
      <w:sz w:val="32"/>
      <w:szCs w:val="32"/>
      <w:lang w:val="en-US" w:eastAsia="zh-CN" w:bidi="ar-SA"/>
    </w:rPr>
  </w:style>
  <w:style w:type="character" w:customStyle="1" w:styleId="198">
    <w:name w:val="标题 6 字符"/>
    <w:link w:val="8"/>
    <w:qFormat/>
    <w:uiPriority w:val="0"/>
    <w:rPr>
      <w:rFonts w:hAnsi="Arial" w:eastAsia="仿宋_GB2312"/>
      <w:sz w:val="30"/>
      <w:lang w:val="en-US" w:eastAsia="zh-CN" w:bidi="ar-SA"/>
    </w:rPr>
  </w:style>
  <w:style w:type="character" w:customStyle="1" w:styleId="199">
    <w:name w:val="页脚 字符"/>
    <w:link w:val="30"/>
    <w:qFormat/>
    <w:uiPriority w:val="0"/>
    <w:rPr>
      <w:rFonts w:eastAsia="宋体"/>
      <w:kern w:val="2"/>
      <w:sz w:val="18"/>
      <w:szCs w:val="18"/>
      <w:lang w:val="en-US" w:eastAsia="zh-CN" w:bidi="ar-SA"/>
    </w:rPr>
  </w:style>
  <w:style w:type="character" w:customStyle="1" w:styleId="200">
    <w:name w:val="引用 Char4"/>
    <w:link w:val="105"/>
    <w:qFormat/>
    <w:uiPriority w:val="0"/>
    <w:rPr>
      <w:i/>
      <w:iCs/>
      <w:color w:val="000000"/>
      <w:kern w:val="2"/>
      <w:sz w:val="21"/>
      <w:szCs w:val="22"/>
      <w:lang w:bidi="ar-SA"/>
    </w:rPr>
  </w:style>
  <w:style w:type="character" w:customStyle="1" w:styleId="201">
    <w:name w:val="标题 9 字符"/>
    <w:link w:val="12"/>
    <w:qFormat/>
    <w:uiPriority w:val="0"/>
    <w:rPr>
      <w:rFonts w:eastAsia="仿宋_GB2312"/>
      <w:sz w:val="30"/>
      <w:lang w:val="en-US" w:eastAsia="zh-CN" w:bidi="ar-SA"/>
    </w:rPr>
  </w:style>
  <w:style w:type="character" w:customStyle="1" w:styleId="202">
    <w:name w:val="标题 3 Char"/>
    <w:qFormat/>
    <w:uiPriority w:val="0"/>
    <w:rPr>
      <w:rFonts w:ascii="仿宋_GB2312" w:hAnsi="Calibri" w:eastAsia="仿宋_GB2312" w:cs="Times New Roman"/>
      <w:b/>
      <w:kern w:val="0"/>
      <w:sz w:val="24"/>
      <w:szCs w:val="28"/>
    </w:rPr>
  </w:style>
  <w:style w:type="character" w:customStyle="1" w:styleId="203">
    <w:name w:val="批注文字 Char2"/>
    <w:qFormat/>
    <w:uiPriority w:val="0"/>
    <w:rPr>
      <w:rFonts w:ascii="Calibri" w:hAnsi="Calibri" w:eastAsia="宋体" w:cs="Times New Roman"/>
      <w:szCs w:val="24"/>
    </w:rPr>
  </w:style>
  <w:style w:type="character" w:customStyle="1" w:styleId="204">
    <w:name w:val="normaltext1"/>
    <w:qFormat/>
    <w:uiPriority w:val="0"/>
    <w:rPr>
      <w:rFonts w:hint="default" w:ascii="ˎ̥" w:hAnsi="ˎ̥"/>
      <w:sz w:val="9"/>
      <w:szCs w:val="9"/>
    </w:rPr>
  </w:style>
  <w:style w:type="character" w:customStyle="1" w:styleId="205">
    <w:name w:val="ca-141"/>
    <w:qFormat/>
    <w:uiPriority w:val="0"/>
    <w:rPr>
      <w:rFonts w:hint="eastAsia" w:ascii="仿宋_GB2312" w:eastAsia="仿宋_GB2312"/>
      <w:sz w:val="21"/>
      <w:szCs w:val="21"/>
    </w:rPr>
  </w:style>
  <w:style w:type="character" w:customStyle="1" w:styleId="206">
    <w:name w:val="main_tdbg_7601"/>
    <w:autoRedefine/>
    <w:qFormat/>
    <w:uiPriority w:val="0"/>
    <w:rPr>
      <w:sz w:val="14"/>
      <w:szCs w:val="14"/>
    </w:rPr>
  </w:style>
  <w:style w:type="character" w:customStyle="1" w:styleId="207">
    <w:name w:val="文档结构图 字符"/>
    <w:link w:val="16"/>
    <w:qFormat/>
    <w:uiPriority w:val="0"/>
    <w:rPr>
      <w:rFonts w:eastAsia="宋体"/>
      <w:kern w:val="2"/>
      <w:sz w:val="21"/>
      <w:szCs w:val="24"/>
      <w:lang w:val="en-US" w:eastAsia="zh-CN" w:bidi="ar-SA"/>
    </w:rPr>
  </w:style>
  <w:style w:type="character" w:customStyle="1" w:styleId="208">
    <w:name w:val="批注框文本 Char3"/>
    <w:semiHidden/>
    <w:qFormat/>
    <w:uiPriority w:val="99"/>
    <w:rPr>
      <w:rFonts w:ascii="Calibri" w:hAnsi="Calibri" w:eastAsia="宋体" w:cs="Times New Roman"/>
      <w:sz w:val="18"/>
      <w:szCs w:val="18"/>
    </w:rPr>
  </w:style>
  <w:style w:type="character" w:customStyle="1" w:styleId="209">
    <w:name w:val="Char Char9"/>
    <w:qFormat/>
    <w:locked/>
    <w:uiPriority w:val="0"/>
    <w:rPr>
      <w:rFonts w:ascii="仿宋_GB2312" w:eastAsia="仿宋_GB2312" w:cs="MingLiU"/>
      <w:b/>
      <w:sz w:val="24"/>
      <w:szCs w:val="28"/>
      <w:lang w:val="en-US" w:eastAsia="zh-CN" w:bidi="ar-SA"/>
    </w:rPr>
  </w:style>
  <w:style w:type="character" w:customStyle="1" w:styleId="210">
    <w:name w:val="title11"/>
    <w:qFormat/>
    <w:uiPriority w:val="0"/>
    <w:rPr>
      <w:b/>
      <w:bCs/>
      <w:color w:val="FFFFFF"/>
      <w:sz w:val="11"/>
      <w:szCs w:val="11"/>
    </w:rPr>
  </w:style>
  <w:style w:type="character" w:customStyle="1" w:styleId="211">
    <w:name w:val="批注框文本 字符"/>
    <w:link w:val="29"/>
    <w:qFormat/>
    <w:uiPriority w:val="0"/>
    <w:rPr>
      <w:rFonts w:eastAsia="宋体"/>
      <w:kern w:val="2"/>
      <w:sz w:val="18"/>
      <w:szCs w:val="18"/>
      <w:lang w:val="en-US" w:eastAsia="zh-CN" w:bidi="ar-SA"/>
    </w:rPr>
  </w:style>
  <w:style w:type="character" w:customStyle="1" w:styleId="212">
    <w:name w:val="标题 8 Char1"/>
    <w:qFormat/>
    <w:uiPriority w:val="0"/>
    <w:rPr>
      <w:rFonts w:ascii="Times New Roman" w:hAnsi="Arial" w:eastAsia="仿宋_GB2312" w:cs="Times New Roman"/>
      <w:sz w:val="30"/>
      <w:szCs w:val="20"/>
    </w:rPr>
  </w:style>
  <w:style w:type="character" w:customStyle="1" w:styleId="213">
    <w:name w:val="标题 Char2"/>
    <w:qFormat/>
    <w:uiPriority w:val="10"/>
    <w:rPr>
      <w:rFonts w:ascii="Cambria" w:hAnsi="Cambria" w:eastAsia="宋体" w:cs="Times New Roman"/>
      <w:b/>
      <w:bCs/>
      <w:sz w:val="32"/>
      <w:szCs w:val="32"/>
    </w:rPr>
  </w:style>
  <w:style w:type="character" w:customStyle="1" w:styleId="214">
    <w:name w:val="标题 字符"/>
    <w:link w:val="44"/>
    <w:qFormat/>
    <w:uiPriority w:val="0"/>
    <w:rPr>
      <w:rFonts w:eastAsia="宋体"/>
      <w:szCs w:val="24"/>
      <w:u w:val="single"/>
      <w:lang w:val="en-US" w:eastAsia="en-US" w:bidi="ar-SA"/>
    </w:rPr>
  </w:style>
  <w:style w:type="character" w:customStyle="1" w:styleId="215">
    <w:name w:val="批注主题 Char1"/>
    <w:autoRedefine/>
    <w:qFormat/>
    <w:uiPriority w:val="0"/>
    <w:rPr>
      <w:b/>
      <w:bCs/>
      <w:kern w:val="2"/>
      <w:sz w:val="21"/>
      <w:szCs w:val="22"/>
    </w:rPr>
  </w:style>
  <w:style w:type="character" w:customStyle="1" w:styleId="216">
    <w:name w:val="副标题 Char"/>
    <w:qFormat/>
    <w:uiPriority w:val="0"/>
    <w:rPr>
      <w:rFonts w:ascii="Cambria" w:hAnsi="Cambria" w:eastAsia="宋体" w:cs="Times New Roman"/>
      <w:b/>
      <w:bCs/>
      <w:kern w:val="28"/>
      <w:sz w:val="32"/>
      <w:szCs w:val="32"/>
    </w:rPr>
  </w:style>
  <w:style w:type="character" w:customStyle="1" w:styleId="217">
    <w:name w:val="正文文本 字符"/>
    <w:link w:val="2"/>
    <w:qFormat/>
    <w:uiPriority w:val="0"/>
    <w:rPr>
      <w:rFonts w:eastAsia="宋体"/>
      <w:kern w:val="2"/>
      <w:sz w:val="21"/>
      <w:szCs w:val="24"/>
      <w:lang w:val="en-US" w:eastAsia="zh-CN" w:bidi="ar-SA"/>
    </w:rPr>
  </w:style>
  <w:style w:type="character" w:customStyle="1" w:styleId="218">
    <w:name w:val="纯文本 Char1"/>
    <w:qFormat/>
    <w:uiPriority w:val="0"/>
    <w:rPr>
      <w:rFonts w:ascii="宋体" w:hAnsi="Courier New" w:cs="Courier New"/>
      <w:kern w:val="2"/>
      <w:sz w:val="21"/>
      <w:szCs w:val="21"/>
    </w:rPr>
  </w:style>
  <w:style w:type="character" w:customStyle="1" w:styleId="219">
    <w:name w:val="脚注文本 字符"/>
    <w:link w:val="35"/>
    <w:autoRedefine/>
    <w:qFormat/>
    <w:uiPriority w:val="0"/>
    <w:rPr>
      <w:rFonts w:ascii="Arial" w:hAnsi="Arial" w:eastAsia="宋体" w:cs="Arial"/>
      <w:sz w:val="18"/>
      <w:szCs w:val="18"/>
      <w:lang w:val="en-US" w:eastAsia="en-US" w:bidi="ar-SA"/>
    </w:rPr>
  </w:style>
  <w:style w:type="character" w:customStyle="1" w:styleId="220">
    <w:name w:val="标题 2 Char1"/>
    <w:qFormat/>
    <w:uiPriority w:val="0"/>
    <w:rPr>
      <w:rFonts w:ascii="Cambria" w:hAnsi="Cambria" w:eastAsia="宋体" w:cs="Times New Roman"/>
      <w:b/>
      <w:bCs/>
      <w:kern w:val="2"/>
      <w:sz w:val="32"/>
      <w:szCs w:val="32"/>
    </w:rPr>
  </w:style>
  <w:style w:type="character" w:customStyle="1" w:styleId="221">
    <w:name w:val="脚注文本 Char1"/>
    <w:qFormat/>
    <w:uiPriority w:val="0"/>
    <w:rPr>
      <w:rFonts w:ascii="Arial" w:hAnsi="Arial" w:cs="Arial"/>
      <w:sz w:val="18"/>
      <w:szCs w:val="18"/>
      <w:lang w:eastAsia="en-US"/>
    </w:rPr>
  </w:style>
  <w:style w:type="character" w:customStyle="1" w:styleId="222">
    <w:name w:val="HTML 预设格式 Char2"/>
    <w:semiHidden/>
    <w:qFormat/>
    <w:uiPriority w:val="99"/>
    <w:rPr>
      <w:rFonts w:ascii="Courier New" w:hAnsi="Courier New" w:eastAsia="宋体" w:cs="Courier New"/>
      <w:sz w:val="20"/>
      <w:szCs w:val="20"/>
    </w:rPr>
  </w:style>
  <w:style w:type="character" w:customStyle="1" w:styleId="223">
    <w:name w:val="标题 8 Char"/>
    <w:qFormat/>
    <w:uiPriority w:val="0"/>
    <w:rPr>
      <w:rFonts w:ascii="Arial" w:hAnsi="Arial" w:eastAsia="黑体" w:cs="Times New Roman"/>
      <w:sz w:val="24"/>
      <w:szCs w:val="24"/>
    </w:rPr>
  </w:style>
  <w:style w:type="character" w:customStyle="1" w:styleId="224">
    <w:name w:val="s3"/>
    <w:qFormat/>
    <w:uiPriority w:val="0"/>
  </w:style>
  <w:style w:type="character" w:customStyle="1" w:styleId="225">
    <w:name w:val="标题 4 Char"/>
    <w:qFormat/>
    <w:uiPriority w:val="0"/>
    <w:rPr>
      <w:rFonts w:ascii="仿宋_GB2312" w:hAnsi="Calibri" w:eastAsia="仿宋_GB2312" w:cs="Times New Roman"/>
      <w:b/>
      <w:kern w:val="0"/>
      <w:sz w:val="24"/>
      <w:szCs w:val="28"/>
    </w:rPr>
  </w:style>
  <w:style w:type="character" w:customStyle="1" w:styleId="226">
    <w:name w:val="正文文本缩进 2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正文文本缩进 2 Char2"/>
    <w:semiHidden/>
    <w:qFormat/>
    <w:uiPriority w:val="99"/>
    <w:rPr>
      <w:rFonts w:ascii="Calibri" w:hAnsi="Calibri" w:eastAsia="宋体" w:cs="Times New Roman"/>
      <w:szCs w:val="24"/>
    </w:rPr>
  </w:style>
  <w:style w:type="character" w:customStyle="1" w:styleId="229">
    <w:name w:val="ht1"/>
    <w:qFormat/>
    <w:uiPriority w:val="0"/>
    <w:rPr>
      <w:rFonts w:ascii="黑体" w:eastAsia="黑体"/>
      <w:b/>
      <w:bCs/>
    </w:rPr>
  </w:style>
  <w:style w:type="character" w:customStyle="1" w:styleId="230">
    <w:name w:val="文档结构图 Char3"/>
    <w:semiHidden/>
    <w:qFormat/>
    <w:uiPriority w:val="99"/>
    <w:rPr>
      <w:rFonts w:ascii="宋体" w:hAnsi="Calibri" w:eastAsia="宋体" w:cs="Times New Roman"/>
      <w:sz w:val="18"/>
      <w:szCs w:val="18"/>
    </w:rPr>
  </w:style>
  <w:style w:type="character" w:customStyle="1" w:styleId="231">
    <w:name w:val="书籍标题1"/>
    <w:qFormat/>
    <w:uiPriority w:val="0"/>
    <w:rPr>
      <w:b/>
      <w:bCs/>
      <w:smallCaps/>
      <w:spacing w:val="5"/>
    </w:rPr>
  </w:style>
  <w:style w:type="character" w:customStyle="1" w:styleId="232">
    <w:name w:val="标题 7 Char1"/>
    <w:qFormat/>
    <w:uiPriority w:val="0"/>
    <w:rPr>
      <w:rFonts w:ascii="Times New Roman" w:hAnsi="Times New Roman" w:eastAsia="仿宋_GB2312" w:cs="Times New Roman"/>
      <w:sz w:val="30"/>
      <w:szCs w:val="20"/>
    </w:rPr>
  </w:style>
  <w:style w:type="character" w:customStyle="1" w:styleId="233">
    <w:name w:val="明显引用 Char2"/>
    <w:qFormat/>
    <w:uiPriority w:val="99"/>
    <w:rPr>
      <w:b/>
      <w:bCs/>
      <w:i/>
      <w:iCs/>
      <w:color w:val="4F81BD"/>
      <w:kern w:val="2"/>
      <w:sz w:val="21"/>
      <w:szCs w:val="24"/>
    </w:rPr>
  </w:style>
  <w:style w:type="character" w:customStyle="1" w:styleId="234">
    <w:name w:val="不明显强调1"/>
    <w:qFormat/>
    <w:uiPriority w:val="0"/>
    <w:rPr>
      <w:i/>
      <w:iCs/>
      <w:color w:val="808080"/>
    </w:rPr>
  </w:style>
  <w:style w:type="character" w:customStyle="1" w:styleId="235">
    <w:name w:val="普通文字 Char Char2"/>
    <w:qFormat/>
    <w:uiPriority w:val="0"/>
    <w:rPr>
      <w:rFonts w:ascii="宋体" w:hAnsi="Courier New"/>
      <w:kern w:val="2"/>
      <w:sz w:val="28"/>
      <w:szCs w:val="28"/>
    </w:rPr>
  </w:style>
  <w:style w:type="character" w:customStyle="1" w:styleId="236">
    <w:name w:val="标题 6 Char"/>
    <w:qFormat/>
    <w:uiPriority w:val="0"/>
    <w:rPr>
      <w:rFonts w:ascii="Arial" w:hAnsi="Arial" w:eastAsia="黑体" w:cs="Times New Roman"/>
      <w:b/>
      <w:bCs/>
      <w:sz w:val="24"/>
      <w:szCs w:val="24"/>
    </w:rPr>
  </w:style>
  <w:style w:type="character" w:customStyle="1" w:styleId="237">
    <w:name w:val="l1"/>
    <w:basedOn w:val="49"/>
    <w:qFormat/>
    <w:uiPriority w:val="0"/>
  </w:style>
  <w:style w:type="character" w:customStyle="1" w:styleId="238">
    <w:name w:val="未处理的提及1"/>
    <w:unhideWhenUsed/>
    <w:qFormat/>
    <w:uiPriority w:val="99"/>
    <w:rPr>
      <w:color w:val="808080"/>
      <w:shd w:val="clear" w:color="auto" w:fill="E6E6E6"/>
    </w:rPr>
  </w:style>
  <w:style w:type="character" w:customStyle="1" w:styleId="239">
    <w:name w:val="页眉 字符"/>
    <w:link w:val="31"/>
    <w:qFormat/>
    <w:uiPriority w:val="0"/>
    <w:rPr>
      <w:rFonts w:eastAsia="宋体"/>
      <w:kern w:val="2"/>
      <w:sz w:val="18"/>
      <w:szCs w:val="18"/>
      <w:lang w:val="en-US" w:eastAsia="zh-CN" w:bidi="ar-SA"/>
    </w:rPr>
  </w:style>
  <w:style w:type="character" w:customStyle="1" w:styleId="240">
    <w:name w:val="Char Char35"/>
    <w:qFormat/>
    <w:uiPriority w:val="0"/>
    <w:rPr>
      <w:rFonts w:ascii="仿宋_GB2312" w:eastAsia="仿宋_GB2312" w:cs="MingLiU"/>
      <w:b/>
      <w:sz w:val="24"/>
      <w:szCs w:val="28"/>
    </w:rPr>
  </w:style>
  <w:style w:type="character" w:customStyle="1" w:styleId="241">
    <w:name w:val="Char Char11"/>
    <w:qFormat/>
    <w:locked/>
    <w:uiPriority w:val="0"/>
    <w:rPr>
      <w:rFonts w:eastAsia="黑体"/>
      <w:kern w:val="2"/>
      <w:sz w:val="44"/>
      <w:szCs w:val="44"/>
      <w:lang w:val="en-US" w:eastAsia="zh-CN" w:bidi="ar-SA"/>
    </w:rPr>
  </w:style>
  <w:style w:type="character" w:customStyle="1" w:styleId="242">
    <w:name w:val="style31"/>
    <w:qFormat/>
    <w:uiPriority w:val="0"/>
    <w:rPr>
      <w:sz w:val="10"/>
      <w:szCs w:val="10"/>
    </w:rPr>
  </w:style>
  <w:style w:type="character" w:customStyle="1" w:styleId="243">
    <w:name w:val="0d1471"/>
    <w:qFormat/>
    <w:uiPriority w:val="0"/>
    <w:rPr>
      <w:color w:val="000000"/>
      <w:sz w:val="11"/>
      <w:szCs w:val="11"/>
      <w:u w:val="none"/>
    </w:rPr>
  </w:style>
  <w:style w:type="character" w:customStyle="1" w:styleId="244">
    <w:name w:val="标题 9 Char"/>
    <w:qFormat/>
    <w:uiPriority w:val="0"/>
    <w:rPr>
      <w:rFonts w:ascii="Arial" w:hAnsi="Arial" w:eastAsia="黑体" w:cs="Times New Roman"/>
      <w:szCs w:val="21"/>
    </w:rPr>
  </w:style>
  <w:style w:type="character" w:customStyle="1" w:styleId="245">
    <w:name w:val="标题 3 Char1"/>
    <w:qFormat/>
    <w:uiPriority w:val="0"/>
    <w:rPr>
      <w:rFonts w:ascii="Times New Roman" w:hAnsi="Times New Roman" w:eastAsia="宋体" w:cs="Times New Roman"/>
      <w:b/>
      <w:bCs/>
      <w:kern w:val="2"/>
      <w:sz w:val="32"/>
      <w:szCs w:val="32"/>
    </w:rPr>
  </w:style>
  <w:style w:type="character" w:customStyle="1" w:styleId="246">
    <w:name w:val="标题4 Char Char"/>
    <w:link w:val="90"/>
    <w:qFormat/>
    <w:uiPriority w:val="0"/>
    <w:rPr>
      <w:rFonts w:ascii="Arial" w:hAnsi="Arial"/>
      <w:b/>
      <w:bCs/>
      <w:sz w:val="24"/>
      <w:szCs w:val="32"/>
      <w:lang w:bidi="ar-SA"/>
    </w:rPr>
  </w:style>
  <w:style w:type="character" w:customStyle="1" w:styleId="247">
    <w:name w:val="标题 5 Char1"/>
    <w:qFormat/>
    <w:uiPriority w:val="0"/>
    <w:rPr>
      <w:rFonts w:ascii="宋体" w:hAnsi="宋体" w:eastAsia="宋体" w:cs="宋体"/>
      <w:b/>
      <w:bCs/>
      <w:sz w:val="20"/>
      <w:szCs w:val="20"/>
    </w:rPr>
  </w:style>
  <w:style w:type="character" w:customStyle="1" w:styleId="248">
    <w:name w:val="正文文本缩进 3 Char1"/>
    <w:qFormat/>
    <w:uiPriority w:val="0"/>
    <w:rPr>
      <w:rFonts w:ascii="宋体" w:hAnsi="宋体"/>
      <w:kern w:val="2"/>
      <w:sz w:val="28"/>
      <w:szCs w:val="28"/>
    </w:rPr>
  </w:style>
  <w:style w:type="character" w:customStyle="1" w:styleId="249">
    <w:name w:val="Char Char33"/>
    <w:qFormat/>
    <w:uiPriority w:val="0"/>
    <w:rPr>
      <w:rFonts w:ascii="仿宋_GB2312" w:eastAsia="仿宋_GB2312" w:cs="MingLiU"/>
      <w:b/>
      <w:sz w:val="24"/>
      <w:szCs w:val="28"/>
    </w:rPr>
  </w:style>
  <w:style w:type="character" w:customStyle="1" w:styleId="250">
    <w:name w:val="批注文字 Char1"/>
    <w:qFormat/>
    <w:uiPriority w:val="99"/>
    <w:rPr>
      <w:rFonts w:ascii="Times New Roman" w:hAnsi="Times New Roman" w:eastAsia="宋体" w:cs="Times New Roman"/>
      <w:szCs w:val="24"/>
    </w:rPr>
  </w:style>
  <w:style w:type="character" w:customStyle="1" w:styleId="251">
    <w:name w:val="正文文本 3 Char1"/>
    <w:qFormat/>
    <w:uiPriority w:val="0"/>
    <w:rPr>
      <w:kern w:val="2"/>
      <w:sz w:val="16"/>
      <w:szCs w:val="16"/>
    </w:rPr>
  </w:style>
  <w:style w:type="character" w:customStyle="1" w:styleId="252">
    <w:name w:val="页眉 Char"/>
    <w:qFormat/>
    <w:uiPriority w:val="0"/>
    <w:rPr>
      <w:sz w:val="18"/>
      <w:szCs w:val="18"/>
    </w:rPr>
  </w:style>
  <w:style w:type="character" w:customStyle="1" w:styleId="253">
    <w:name w:val="明显引用 Char"/>
    <w:qFormat/>
    <w:uiPriority w:val="0"/>
    <w:rPr>
      <w:rFonts w:ascii="Times New Roman" w:hAnsi="Times New Roman" w:eastAsia="宋体" w:cs="Times New Roman"/>
      <w:b/>
      <w:bCs/>
      <w:i/>
      <w:iCs/>
      <w:color w:val="4F81BD"/>
      <w:kern w:val="2"/>
      <w:sz w:val="21"/>
      <w:szCs w:val="24"/>
    </w:rPr>
  </w:style>
  <w:style w:type="character" w:customStyle="1" w:styleId="254">
    <w:name w:val="color_red1"/>
    <w:qFormat/>
    <w:uiPriority w:val="0"/>
    <w:rPr>
      <w:color w:val="FA0004"/>
    </w:rPr>
  </w:style>
  <w:style w:type="character" w:customStyle="1" w:styleId="255">
    <w:name w:val="批注主题 Char2"/>
    <w:qFormat/>
    <w:uiPriority w:val="99"/>
    <w:rPr>
      <w:b/>
      <w:bCs/>
      <w:kern w:val="2"/>
      <w:sz w:val="21"/>
      <w:szCs w:val="24"/>
    </w:rPr>
  </w:style>
  <w:style w:type="character" w:customStyle="1" w:styleId="256">
    <w:name w:val="Char Char34"/>
    <w:qFormat/>
    <w:uiPriority w:val="0"/>
    <w:rPr>
      <w:rFonts w:ascii="仿宋_GB2312" w:eastAsia="仿宋_GB2312" w:cs="MingLiU"/>
      <w:b/>
      <w:spacing w:val="1"/>
      <w:w w:val="99"/>
      <w:sz w:val="28"/>
      <w:szCs w:val="32"/>
    </w:rPr>
  </w:style>
  <w:style w:type="character" w:customStyle="1" w:styleId="257">
    <w:name w:val="标题 1 Char"/>
    <w:qFormat/>
    <w:uiPriority w:val="0"/>
    <w:rPr>
      <w:rFonts w:ascii="Times New Roman" w:hAnsi="Times New Roman" w:eastAsia="宋体" w:cs="Times New Roman"/>
      <w:b/>
      <w:bCs/>
      <w:kern w:val="44"/>
      <w:sz w:val="44"/>
      <w:szCs w:val="44"/>
    </w:rPr>
  </w:style>
  <w:style w:type="character" w:customStyle="1" w:styleId="258">
    <w:name w:val="docpro"/>
    <w:basedOn w:val="49"/>
    <w:qFormat/>
    <w:uiPriority w:val="0"/>
  </w:style>
  <w:style w:type="character" w:customStyle="1" w:styleId="259">
    <w:name w:val="正文文本 3 Char"/>
    <w:qFormat/>
    <w:uiPriority w:val="0"/>
    <w:rPr>
      <w:kern w:val="2"/>
      <w:sz w:val="16"/>
      <w:szCs w:val="16"/>
    </w:rPr>
  </w:style>
  <w:style w:type="character" w:customStyle="1" w:styleId="260">
    <w:name w:val="标题 5 Char"/>
    <w:qFormat/>
    <w:uiPriority w:val="0"/>
    <w:rPr>
      <w:rFonts w:ascii="Calibri" w:hAnsi="Calibri" w:eastAsia="宋体" w:cs="Times New Roman"/>
      <w:b/>
      <w:bCs/>
      <w:sz w:val="28"/>
      <w:szCs w:val="28"/>
    </w:rPr>
  </w:style>
  <w:style w:type="character" w:customStyle="1" w:styleId="261">
    <w:name w:val="style161"/>
    <w:qFormat/>
    <w:uiPriority w:val="0"/>
    <w:rPr>
      <w:b/>
      <w:bCs/>
      <w:color w:val="333333"/>
    </w:rPr>
  </w:style>
  <w:style w:type="character" w:customStyle="1" w:styleId="262">
    <w:name w:val="文档结构图 Char2"/>
    <w:qFormat/>
    <w:uiPriority w:val="99"/>
    <w:rPr>
      <w:kern w:val="2"/>
      <w:sz w:val="21"/>
      <w:szCs w:val="24"/>
      <w:shd w:val="clear" w:color="auto" w:fill="000080"/>
    </w:rPr>
  </w:style>
  <w:style w:type="character" w:customStyle="1" w:styleId="263">
    <w:name w:val="页脚 Char1"/>
    <w:semiHidden/>
    <w:qFormat/>
    <w:uiPriority w:val="99"/>
    <w:rPr>
      <w:kern w:val="2"/>
      <w:sz w:val="18"/>
      <w:szCs w:val="18"/>
    </w:rPr>
  </w:style>
  <w:style w:type="character" w:customStyle="1" w:styleId="264">
    <w:name w:val="日期 Char2"/>
    <w:qFormat/>
    <w:uiPriority w:val="99"/>
    <w:rPr>
      <w:kern w:val="2"/>
      <w:sz w:val="21"/>
      <w:szCs w:val="24"/>
    </w:rPr>
  </w:style>
  <w:style w:type="character" w:customStyle="1" w:styleId="265">
    <w:name w:val="HTML 预设格式 Char"/>
    <w:qFormat/>
    <w:uiPriority w:val="0"/>
    <w:rPr>
      <w:rFonts w:ascii="宋体" w:hAnsi="宋体" w:eastAsia="宋体" w:cs="宋体"/>
      <w:color w:val="000000"/>
      <w:sz w:val="24"/>
      <w:szCs w:val="24"/>
    </w:rPr>
  </w:style>
  <w:style w:type="character" w:customStyle="1" w:styleId="266">
    <w:name w:val="批注主题 字符"/>
    <w:link w:val="45"/>
    <w:qFormat/>
    <w:uiPriority w:val="0"/>
    <w:rPr>
      <w:rFonts w:eastAsia="宋体"/>
      <w:b/>
      <w:bCs/>
      <w:kern w:val="2"/>
      <w:sz w:val="21"/>
      <w:szCs w:val="24"/>
      <w:lang w:val="en-US" w:eastAsia="zh-CN" w:bidi="ar-SA"/>
    </w:rPr>
  </w:style>
  <w:style w:type="character" w:customStyle="1" w:styleId="267">
    <w:name w:val="正文文本 2 字符"/>
    <w:link w:val="40"/>
    <w:qFormat/>
    <w:uiPriority w:val="0"/>
    <w:rPr>
      <w:i/>
      <w:iCs/>
      <w:kern w:val="2"/>
      <w:sz w:val="26"/>
      <w:szCs w:val="24"/>
    </w:rPr>
  </w:style>
  <w:style w:type="character" w:customStyle="1" w:styleId="268">
    <w:name w:val="批注框文本 Char"/>
    <w:qFormat/>
    <w:uiPriority w:val="0"/>
    <w:rPr>
      <w:sz w:val="18"/>
      <w:szCs w:val="18"/>
    </w:rPr>
  </w:style>
  <w:style w:type="character" w:customStyle="1" w:styleId="269">
    <w:name w:val="文档结构图 Char"/>
    <w:autoRedefine/>
    <w:qFormat/>
    <w:uiPriority w:val="0"/>
    <w:rPr>
      <w:rFonts w:ascii="宋体"/>
      <w:kern w:val="2"/>
      <w:sz w:val="18"/>
      <w:szCs w:val="18"/>
    </w:rPr>
  </w:style>
  <w:style w:type="character" w:customStyle="1" w:styleId="270">
    <w:name w:val="标题 8 字符"/>
    <w:link w:val="11"/>
    <w:qFormat/>
    <w:uiPriority w:val="0"/>
    <w:rPr>
      <w:rFonts w:hAnsi="Arial" w:eastAsia="仿宋_GB2312"/>
      <w:sz w:val="30"/>
      <w:lang w:val="en-US" w:eastAsia="zh-CN" w:bidi="ar-SA"/>
    </w:rPr>
  </w:style>
  <w:style w:type="character" w:customStyle="1" w:styleId="271">
    <w:name w:val="正文文本缩进 3 字符"/>
    <w:link w:val="37"/>
    <w:qFormat/>
    <w:uiPriority w:val="0"/>
    <w:rPr>
      <w:rFonts w:ascii="宋体" w:hAnsi="宋体" w:eastAsia="宋体"/>
      <w:kern w:val="2"/>
      <w:sz w:val="28"/>
      <w:szCs w:val="28"/>
      <w:lang w:val="en-US" w:eastAsia="zh-CN" w:bidi="ar-SA"/>
    </w:rPr>
  </w:style>
  <w:style w:type="character" w:customStyle="1" w:styleId="272">
    <w:name w:val="正文文本缩进 字符"/>
    <w:link w:val="19"/>
    <w:autoRedefine/>
    <w:qFormat/>
    <w:uiPriority w:val="0"/>
    <w:rPr>
      <w:rFonts w:eastAsia="宋体"/>
      <w:kern w:val="2"/>
      <w:sz w:val="21"/>
      <w:szCs w:val="24"/>
      <w:lang w:val="en-US" w:eastAsia="zh-CN" w:bidi="ar-SA"/>
    </w:rPr>
  </w:style>
  <w:style w:type="character" w:customStyle="1" w:styleId="273">
    <w:name w:val="_Style 196"/>
    <w:qFormat/>
    <w:uiPriority w:val="0"/>
    <w:rPr>
      <w:i/>
      <w:iCs/>
      <w:color w:val="808080"/>
    </w:rPr>
  </w:style>
  <w:style w:type="character" w:customStyle="1" w:styleId="274">
    <w:name w:val="正文文本缩进 2 字符"/>
    <w:link w:val="27"/>
    <w:qFormat/>
    <w:uiPriority w:val="0"/>
    <w:rPr>
      <w:rFonts w:eastAsia="宋体"/>
      <w:sz w:val="28"/>
      <w:szCs w:val="24"/>
      <w:lang w:val="en-US" w:eastAsia="zh-CN" w:bidi="ar-SA"/>
    </w:rPr>
  </w:style>
  <w:style w:type="character" w:customStyle="1" w:styleId="275">
    <w:name w:val="标题 7 字符"/>
    <w:link w:val="10"/>
    <w:qFormat/>
    <w:uiPriority w:val="0"/>
    <w:rPr>
      <w:rFonts w:eastAsia="仿宋_GB2312"/>
      <w:sz w:val="30"/>
      <w:lang w:val="en-US" w:eastAsia="zh-CN" w:bidi="ar-SA"/>
    </w:rPr>
  </w:style>
  <w:style w:type="character" w:customStyle="1" w:styleId="276">
    <w:name w:val="Char Char13"/>
    <w:qFormat/>
    <w:uiPriority w:val="0"/>
    <w:rPr>
      <w:kern w:val="2"/>
      <w:sz w:val="18"/>
      <w:szCs w:val="18"/>
    </w:rPr>
  </w:style>
  <w:style w:type="character" w:customStyle="1" w:styleId="277">
    <w:name w:val="正文文本缩进 2 Char1"/>
    <w:qFormat/>
    <w:uiPriority w:val="0"/>
    <w:rPr>
      <w:sz w:val="28"/>
      <w:szCs w:val="24"/>
    </w:rPr>
  </w:style>
  <w:style w:type="character" w:customStyle="1" w:styleId="278">
    <w:name w:val="Char Char21"/>
    <w:autoRedefine/>
    <w:qFormat/>
    <w:uiPriority w:val="0"/>
    <w:rPr>
      <w:rFonts w:ascii="宋体" w:hAnsi="宋体" w:cs="宋体"/>
      <w:b/>
      <w:bCs/>
      <w:sz w:val="24"/>
      <w:szCs w:val="24"/>
    </w:rPr>
  </w:style>
  <w:style w:type="character" w:customStyle="1" w:styleId="279">
    <w:name w:val="文档结构图 Char1"/>
    <w:qFormat/>
    <w:uiPriority w:val="0"/>
    <w:rPr>
      <w:rFonts w:ascii="宋体"/>
      <w:kern w:val="2"/>
      <w:sz w:val="18"/>
      <w:szCs w:val="18"/>
    </w:rPr>
  </w:style>
  <w:style w:type="character" w:customStyle="1" w:styleId="280">
    <w:name w:val="标题 Char"/>
    <w:qFormat/>
    <w:uiPriority w:val="0"/>
    <w:rPr>
      <w:rFonts w:ascii="Cambria" w:hAnsi="Cambria" w:eastAsia="宋体" w:cs="Times New Roman"/>
      <w:b/>
      <w:bCs/>
      <w:kern w:val="2"/>
      <w:sz w:val="32"/>
      <w:szCs w:val="32"/>
    </w:rPr>
  </w:style>
  <w:style w:type="character" w:customStyle="1" w:styleId="281">
    <w:name w:val="_Style 275"/>
    <w:qFormat/>
    <w:uiPriority w:val="0"/>
    <w:rPr>
      <w:smallCaps/>
      <w:color w:val="C0504D"/>
      <w:u w:val="single"/>
    </w:rPr>
  </w:style>
  <w:style w:type="character" w:customStyle="1" w:styleId="282">
    <w:name w:val="Char Char12"/>
    <w:autoRedefine/>
    <w:qFormat/>
    <w:uiPriority w:val="0"/>
    <w:rPr>
      <w:rFonts w:eastAsia="黑体"/>
      <w:kern w:val="2"/>
      <w:sz w:val="44"/>
      <w:szCs w:val="44"/>
      <w:lang w:val="en-US" w:eastAsia="zh-CN" w:bidi="ar-SA"/>
    </w:rPr>
  </w:style>
  <w:style w:type="character" w:customStyle="1" w:styleId="283">
    <w:name w:val="明显参考1"/>
    <w:qFormat/>
    <w:uiPriority w:val="0"/>
    <w:rPr>
      <w:b/>
      <w:bCs/>
      <w:smallCaps/>
      <w:color w:val="C0504D"/>
      <w:spacing w:val="5"/>
      <w:u w:val="single"/>
    </w:rPr>
  </w:style>
  <w:style w:type="character" w:customStyle="1" w:styleId="284">
    <w:name w:val="Char Char36"/>
    <w:qFormat/>
    <w:uiPriority w:val="0"/>
    <w:rPr>
      <w:rFonts w:ascii="仿宋_GB2312" w:eastAsia="仿宋_GB2312" w:cs="MingLiU"/>
      <w:b/>
      <w:sz w:val="24"/>
      <w:szCs w:val="28"/>
    </w:rPr>
  </w:style>
  <w:style w:type="character" w:customStyle="1" w:styleId="285">
    <w:name w:val="批注框文本 Char2"/>
    <w:qFormat/>
    <w:uiPriority w:val="99"/>
    <w:rPr>
      <w:kern w:val="2"/>
      <w:sz w:val="18"/>
      <w:szCs w:val="18"/>
    </w:rPr>
  </w:style>
  <w:style w:type="character" w:customStyle="1" w:styleId="286">
    <w:name w:val="subhead1"/>
    <w:qFormat/>
    <w:uiPriority w:val="0"/>
    <w:rPr>
      <w:rFonts w:hint="default" w:ascii="Tahoma" w:hAnsi="Tahoma" w:cs="Tahoma"/>
      <w:color w:val="000000"/>
      <w:sz w:val="18"/>
      <w:szCs w:val="18"/>
      <w:u w:val="none"/>
      <w:shd w:val="clear" w:color="auto" w:fill="FFFFFF"/>
    </w:rPr>
  </w:style>
  <w:style w:type="character" w:customStyle="1" w:styleId="287">
    <w:name w:val="正文文本缩进 3 Char2"/>
    <w:semiHidden/>
    <w:qFormat/>
    <w:uiPriority w:val="99"/>
    <w:rPr>
      <w:rFonts w:ascii="Calibri" w:hAnsi="Calibri" w:eastAsia="宋体" w:cs="Times New Roman"/>
      <w:sz w:val="16"/>
      <w:szCs w:val="16"/>
    </w:rPr>
  </w:style>
  <w:style w:type="character" w:customStyle="1" w:styleId="288">
    <w:name w:val="纯文本 Char"/>
    <w:qFormat/>
    <w:uiPriority w:val="0"/>
    <w:rPr>
      <w:rFonts w:ascii="宋体" w:hAnsi="Courier New"/>
      <w:sz w:val="28"/>
      <w:szCs w:val="28"/>
    </w:rPr>
  </w:style>
  <w:style w:type="character" w:customStyle="1" w:styleId="289">
    <w:name w:val="纯文本 Char2"/>
    <w:semiHidden/>
    <w:qFormat/>
    <w:uiPriority w:val="99"/>
    <w:rPr>
      <w:rFonts w:ascii="宋体" w:hAnsi="Courier New" w:eastAsia="宋体" w:cs="Courier New"/>
      <w:szCs w:val="21"/>
    </w:rPr>
  </w:style>
  <w:style w:type="character" w:customStyle="1" w:styleId="290">
    <w:name w:val="页眉 Char1"/>
    <w:semiHidden/>
    <w:qFormat/>
    <w:uiPriority w:val="99"/>
    <w:rPr>
      <w:kern w:val="2"/>
      <w:sz w:val="18"/>
      <w:szCs w:val="18"/>
    </w:rPr>
  </w:style>
  <w:style w:type="character" w:customStyle="1" w:styleId="291">
    <w:name w:val="Char Char14"/>
    <w:qFormat/>
    <w:uiPriority w:val="0"/>
    <w:rPr>
      <w:kern w:val="2"/>
      <w:sz w:val="18"/>
      <w:szCs w:val="18"/>
    </w:rPr>
  </w:style>
  <w:style w:type="character" w:customStyle="1" w:styleId="292">
    <w:name w:val="批注文字 字符"/>
    <w:link w:val="17"/>
    <w:qFormat/>
    <w:uiPriority w:val="99"/>
    <w:rPr>
      <w:rFonts w:eastAsia="宋体"/>
      <w:kern w:val="2"/>
      <w:sz w:val="21"/>
      <w:szCs w:val="24"/>
      <w:lang w:val="en-US" w:eastAsia="zh-CN" w:bidi="ar-SA"/>
    </w:rPr>
  </w:style>
  <w:style w:type="character" w:customStyle="1" w:styleId="293">
    <w:name w:val="批注文字 Char Char"/>
    <w:qFormat/>
    <w:uiPriority w:val="0"/>
    <w:rPr>
      <w:rFonts w:ascii="宋体" w:hAnsi="Times New Roman" w:eastAsia="宋体" w:cs="Times New Roman"/>
      <w:sz w:val="28"/>
      <w:szCs w:val="20"/>
    </w:rPr>
  </w:style>
  <w:style w:type="character" w:customStyle="1" w:styleId="294">
    <w:name w:val="标题 1 Char1"/>
    <w:qFormat/>
    <w:uiPriority w:val="0"/>
    <w:rPr>
      <w:rFonts w:ascii="Times New Roman" w:hAnsi="Times New Roman" w:eastAsia="宋体" w:cs="Times New Roman"/>
      <w:b/>
      <w:bCs/>
      <w:kern w:val="44"/>
      <w:sz w:val="44"/>
      <w:szCs w:val="44"/>
    </w:rPr>
  </w:style>
  <w:style w:type="character" w:customStyle="1" w:styleId="295">
    <w:name w:val="标题 5 字符"/>
    <w:link w:val="7"/>
    <w:qFormat/>
    <w:uiPriority w:val="0"/>
    <w:rPr>
      <w:rFonts w:ascii="宋体" w:hAnsi="宋体" w:eastAsia="宋体" w:cs="宋体"/>
      <w:b/>
      <w:bCs/>
      <w:lang w:val="en-US" w:eastAsia="zh-CN" w:bidi="ar-SA"/>
    </w:rPr>
  </w:style>
  <w:style w:type="character" w:customStyle="1" w:styleId="296">
    <w:name w:val="手改 Char Char"/>
    <w:qFormat/>
    <w:uiPriority w:val="0"/>
    <w:rPr>
      <w:kern w:val="2"/>
      <w:sz w:val="21"/>
      <w:szCs w:val="24"/>
    </w:rPr>
  </w:style>
  <w:style w:type="character" w:customStyle="1" w:styleId="297">
    <w:name w:val="标题 1 字符"/>
    <w:link w:val="3"/>
    <w:qFormat/>
    <w:uiPriority w:val="0"/>
    <w:rPr>
      <w:rFonts w:eastAsia="宋体"/>
      <w:b/>
      <w:bCs/>
      <w:kern w:val="44"/>
      <w:sz w:val="44"/>
      <w:szCs w:val="44"/>
      <w:lang w:val="en-US" w:eastAsia="zh-CN" w:bidi="ar-SA"/>
    </w:rPr>
  </w:style>
  <w:style w:type="character" w:customStyle="1" w:styleId="298">
    <w:name w:val="intel3"/>
    <w:basedOn w:val="49"/>
    <w:qFormat/>
    <w:uiPriority w:val="0"/>
  </w:style>
  <w:style w:type="character" w:customStyle="1" w:styleId="299">
    <w:name w:val="副标题 Char2"/>
    <w:qFormat/>
    <w:uiPriority w:val="11"/>
    <w:rPr>
      <w:rFonts w:ascii="Cambria" w:hAnsi="Cambria" w:eastAsia="宋体" w:cs="Times New Roman"/>
      <w:b/>
      <w:bCs/>
      <w:kern w:val="28"/>
      <w:sz w:val="32"/>
      <w:szCs w:val="32"/>
    </w:rPr>
  </w:style>
  <w:style w:type="character" w:customStyle="1" w:styleId="300">
    <w:name w:val="明显引用 Char4"/>
    <w:link w:val="121"/>
    <w:qFormat/>
    <w:uiPriority w:val="0"/>
    <w:rPr>
      <w:b/>
      <w:bCs/>
      <w:i/>
      <w:iCs/>
      <w:color w:val="4F81BD"/>
      <w:kern w:val="2"/>
      <w:sz w:val="21"/>
      <w:szCs w:val="22"/>
      <w:lang w:bidi="ar-SA"/>
    </w:rPr>
  </w:style>
  <w:style w:type="character" w:customStyle="1" w:styleId="301">
    <w:name w:val="明显引用 Char1"/>
    <w:link w:val="114"/>
    <w:qFormat/>
    <w:uiPriority w:val="30"/>
    <w:rPr>
      <w:b/>
      <w:bCs/>
      <w:i/>
      <w:iCs/>
      <w:color w:val="4F81BD"/>
      <w:kern w:val="2"/>
      <w:sz w:val="21"/>
    </w:rPr>
  </w:style>
  <w:style w:type="character" w:customStyle="1" w:styleId="302">
    <w:name w:val="HTML 预设格式 Char1"/>
    <w:qFormat/>
    <w:uiPriority w:val="0"/>
    <w:rPr>
      <w:rFonts w:ascii="宋体" w:hAnsi="宋体" w:cs="宋体"/>
      <w:color w:val="000000"/>
      <w:sz w:val="24"/>
      <w:szCs w:val="24"/>
    </w:rPr>
  </w:style>
  <w:style w:type="character" w:customStyle="1" w:styleId="303">
    <w:name w:val="引用 Char"/>
    <w:link w:val="72"/>
    <w:qFormat/>
    <w:uiPriority w:val="0"/>
    <w:rPr>
      <w:rFonts w:ascii="Times New Roman" w:hAnsi="Times New Roman" w:eastAsia="宋体" w:cs="Times New Roman"/>
      <w:i/>
      <w:iCs/>
      <w:color w:val="000000"/>
      <w:kern w:val="2"/>
      <w:sz w:val="21"/>
      <w:szCs w:val="24"/>
    </w:rPr>
  </w:style>
  <w:style w:type="character" w:customStyle="1" w:styleId="304">
    <w:name w:val="副标题 字符"/>
    <w:link w:val="34"/>
    <w:qFormat/>
    <w:uiPriority w:val="0"/>
    <w:rPr>
      <w:rFonts w:eastAsia="宋体"/>
      <w:szCs w:val="24"/>
      <w:u w:val="single"/>
      <w:lang w:val="en-US" w:eastAsia="en-US" w:bidi="ar-SA"/>
    </w:rPr>
  </w:style>
  <w:style w:type="character" w:customStyle="1" w:styleId="305">
    <w:name w:val="ITTHEADER1 Char"/>
    <w:qFormat/>
    <w:uiPriority w:val="0"/>
    <w:rPr>
      <w:rFonts w:eastAsia="黑体"/>
      <w:kern w:val="2"/>
      <w:sz w:val="44"/>
      <w:szCs w:val="44"/>
      <w:lang w:val="en-US" w:eastAsia="zh-CN" w:bidi="ar-SA"/>
    </w:rPr>
  </w:style>
  <w:style w:type="character" w:customStyle="1" w:styleId="306">
    <w:name w:val="日期 Char3"/>
    <w:semiHidden/>
    <w:qFormat/>
    <w:uiPriority w:val="99"/>
    <w:rPr>
      <w:rFonts w:ascii="Calibri" w:hAnsi="Calibri" w:eastAsia="宋体" w:cs="Times New Roman"/>
      <w:szCs w:val="24"/>
    </w:rPr>
  </w:style>
  <w:style w:type="character" w:customStyle="1" w:styleId="307">
    <w:name w:val="纯文本 字符"/>
    <w:link w:val="24"/>
    <w:qFormat/>
    <w:uiPriority w:val="0"/>
    <w:rPr>
      <w:rFonts w:ascii="宋体" w:hAnsi="Courier New" w:eastAsia="宋体" w:cs="Courier New"/>
      <w:kern w:val="2"/>
      <w:sz w:val="21"/>
      <w:szCs w:val="21"/>
      <w:lang w:val="en-US" w:eastAsia="zh-CN" w:bidi="ar-SA"/>
    </w:rPr>
  </w:style>
  <w:style w:type="character" w:customStyle="1" w:styleId="308">
    <w:name w:val="批注文字 Char"/>
    <w:qFormat/>
    <w:uiPriority w:val="0"/>
    <w:rPr>
      <w:rFonts w:ascii="Times New Roman" w:hAnsi="Times New Roman" w:eastAsia="宋体" w:cs="Times New Roman"/>
      <w:kern w:val="2"/>
      <w:sz w:val="21"/>
      <w:szCs w:val="24"/>
    </w:rPr>
  </w:style>
  <w:style w:type="character" w:customStyle="1" w:styleId="309">
    <w:name w:val="Section Char"/>
    <w:qFormat/>
    <w:uiPriority w:val="0"/>
    <w:rPr>
      <w:rFonts w:ascii="仿宋_GB2312" w:eastAsia="仿宋_GB2312" w:cs="MingLiU"/>
      <w:b/>
      <w:sz w:val="24"/>
      <w:szCs w:val="28"/>
      <w:lang w:val="en-US" w:eastAsia="zh-CN" w:bidi="ar-SA"/>
    </w:rPr>
  </w:style>
  <w:style w:type="character" w:customStyle="1" w:styleId="310">
    <w:name w:val="正文文本 3 Char2"/>
    <w:semiHidden/>
    <w:qFormat/>
    <w:uiPriority w:val="99"/>
    <w:rPr>
      <w:rFonts w:ascii="Calibri" w:hAnsi="Calibri" w:eastAsia="宋体" w:cs="Times New Roman"/>
      <w:sz w:val="16"/>
      <w:szCs w:val="16"/>
    </w:rPr>
  </w:style>
  <w:style w:type="character" w:customStyle="1" w:styleId="311">
    <w:name w:val="正文文本 3 字符"/>
    <w:link w:val="18"/>
    <w:qFormat/>
    <w:uiPriority w:val="0"/>
    <w:rPr>
      <w:rFonts w:eastAsia="宋体"/>
      <w:kern w:val="2"/>
      <w:sz w:val="16"/>
      <w:szCs w:val="16"/>
      <w:lang w:val="en-US" w:eastAsia="zh-CN" w:bidi="ar-SA"/>
    </w:rPr>
  </w:style>
  <w:style w:type="character" w:customStyle="1" w:styleId="312">
    <w:name w:val="普通文字 Char Char1"/>
    <w:qFormat/>
    <w:uiPriority w:val="0"/>
    <w:rPr>
      <w:rFonts w:ascii="宋体" w:hAnsi="Courier New"/>
      <w:kern w:val="2"/>
      <w:sz w:val="28"/>
      <w:szCs w:val="28"/>
    </w:rPr>
  </w:style>
  <w:style w:type="character" w:customStyle="1" w:styleId="313">
    <w:name w:val="正文文本缩进 Char"/>
    <w:qFormat/>
    <w:uiPriority w:val="0"/>
    <w:rPr>
      <w:rFonts w:ascii="黑体" w:hAnsi="宋体" w:eastAsia="黑体"/>
      <w:color w:val="000000"/>
      <w:sz w:val="28"/>
      <w:szCs w:val="32"/>
    </w:rPr>
  </w:style>
  <w:style w:type="character" w:customStyle="1" w:styleId="314">
    <w:name w:val="font161"/>
    <w:qFormat/>
    <w:uiPriority w:val="0"/>
    <w:rPr>
      <w:b/>
      <w:bCs/>
      <w:sz w:val="32"/>
      <w:szCs w:val="32"/>
    </w:rPr>
  </w:style>
  <w:style w:type="paragraph" w:customStyle="1" w:styleId="315">
    <w:name w:val="List Paragraph"/>
    <w:basedOn w:val="1"/>
    <w:qFormat/>
    <w:uiPriority w:val="99"/>
    <w:pPr>
      <w:ind w:firstLine="420" w:firstLineChars="200"/>
    </w:pPr>
    <w:rPr>
      <w:sz w:val="28"/>
      <w:szCs w:val="28"/>
    </w:rPr>
  </w:style>
  <w:style w:type="paragraph" w:customStyle="1" w:styleId="31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7">
    <w:name w:val="16"/>
    <w:basedOn w:val="49"/>
    <w:qFormat/>
    <w:uiPriority w:val="0"/>
    <w:rPr>
      <w:rFonts w:hint="default" w:ascii="Times New Roman" w:hAnsi="Times New Roman" w:cs="Times New Roman"/>
    </w:rPr>
  </w:style>
  <w:style w:type="character" w:customStyle="1" w:styleId="318">
    <w:name w:val="15"/>
    <w:basedOn w:val="49"/>
    <w:qFormat/>
    <w:uiPriority w:val="0"/>
    <w:rPr>
      <w:rFonts w:hint="default" w:ascii="Times New Roman" w:hAnsi="Times New Roman" w:cs="Times New Roman"/>
    </w:rPr>
  </w:style>
  <w:style w:type="character" w:customStyle="1" w:styleId="319">
    <w:name w:val="17"/>
    <w:basedOn w:val="49"/>
    <w:qFormat/>
    <w:uiPriority w:val="0"/>
    <w:rPr>
      <w:rFonts w:hint="default" w:ascii="Calibri" w:hAnsi="Calibri" w:eastAsia="宋体" w:cs="Times New Roman"/>
    </w:rPr>
  </w:style>
  <w:style w:type="paragraph" w:customStyle="1" w:styleId="320">
    <w:name w:val="页眉1"/>
    <w:basedOn w:val="321"/>
    <w:autoRedefine/>
    <w:unhideWhenUsed/>
    <w:qFormat/>
    <w:uiPriority w:val="0"/>
    <w:pPr>
      <w:pBdr>
        <w:bottom w:val="single" w:color="000000" w:sz="6" w:space="1"/>
      </w:pBdr>
      <w:tabs>
        <w:tab w:val="center" w:pos="4153"/>
        <w:tab w:val="right" w:pos="8306"/>
      </w:tabs>
      <w:snapToGrid w:val="0"/>
      <w:jc w:val="center"/>
    </w:pPr>
    <w:rPr>
      <w:kern w:val="0"/>
      <w:sz w:val="18"/>
      <w:szCs w:val="18"/>
    </w:rPr>
  </w:style>
  <w:style w:type="paragraph" w:customStyle="1" w:styleId="321">
    <w:name w:val="正文1"/>
    <w:next w:val="32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2">
    <w:name w:val="正文文本1"/>
    <w:basedOn w:val="321"/>
    <w:next w:val="323"/>
    <w:autoRedefine/>
    <w:unhideWhenUsed/>
    <w:qFormat/>
    <w:uiPriority w:val="0"/>
    <w:pPr>
      <w:spacing w:after="120"/>
    </w:pPr>
    <w:rPr>
      <w:rFonts w:ascii="Times New Roman" w:hAnsi="Times New Roman"/>
      <w:kern w:val="0"/>
      <w:sz w:val="20"/>
    </w:rPr>
  </w:style>
  <w:style w:type="paragraph" w:customStyle="1" w:styleId="323">
    <w:name w:val="目录 53"/>
    <w:next w:val="1"/>
    <w:autoRedefine/>
    <w:qFormat/>
    <w:uiPriority w:val="0"/>
    <w:pPr>
      <w:ind w:left="1275"/>
      <w:jc w:val="both"/>
    </w:pPr>
    <w:rPr>
      <w:rFonts w:ascii="Calibri" w:hAnsi="Calibri" w:eastAsia="宋体" w:cs="Times New Roman"/>
      <w:sz w:val="21"/>
      <w:lang w:val="en-US" w:eastAsia="zh-CN" w:bidi="ar-SA"/>
    </w:rPr>
  </w:style>
  <w:style w:type="paragraph" w:customStyle="1" w:styleId="324">
    <w:name w:val="标题 11"/>
    <w:basedOn w:val="321"/>
    <w:next w:val="321"/>
    <w:autoRedefine/>
    <w:qFormat/>
    <w:uiPriority w:val="0"/>
    <w:pPr>
      <w:keepNext/>
      <w:keepLines/>
      <w:spacing w:before="340" w:after="330" w:line="578" w:lineRule="auto"/>
      <w:outlineLvl w:val="0"/>
    </w:pPr>
    <w:rPr>
      <w:rFonts w:ascii="Times New Roman" w:hAnsi="Times New Roman"/>
      <w:b/>
      <w:bCs/>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204</Pages>
  <Words>30795</Words>
  <Characters>32751</Characters>
  <Lines>1</Lines>
  <Paragraphs>1</Paragraphs>
  <TotalTime>28</TotalTime>
  <ScaleCrop>false</ScaleCrop>
  <LinksUpToDate>false</LinksUpToDate>
  <CharactersWithSpaces>35648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啊嘞丶</cp:lastModifiedBy>
  <cp:lastPrinted>2025-01-08T03:30:00Z</cp:lastPrinted>
  <dcterms:modified xsi:type="dcterms:W3CDTF">2025-04-21T13:14:47Z</dcterms:modified>
  <dc:title>第一卷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5B489E6CEB2A445D97609BF96AA84A61_13</vt:lpwstr>
  </property>
  <property fmtid="{D5CDD505-2E9C-101B-9397-08002B2CF9AE}" pid="4" name="KSOTemplateDocerSaveRecord">
    <vt:lpwstr>eyJoZGlkIjoiN2Q3MmFiOGY2ZTVhMDgwNDFiOTExNDFiMGUzYzEwZWQiLCJ1c2VySWQiOiI2NDIwMTM0MDgifQ==</vt:lpwstr>
  </property>
</Properties>
</file>