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2E120">
      <w:pPr>
        <w:spacing w:line="360" w:lineRule="auto"/>
        <w:jc w:val="center"/>
        <w:outlineLvl w:val="0"/>
        <w:rPr>
          <w:rFonts w:hint="eastAsia" w:ascii="宋体" w:hAnsi="宋体" w:eastAsia="宋体" w:cs="宋体"/>
          <w:b/>
          <w:bCs/>
          <w:color w:val="auto"/>
          <w:spacing w:val="80"/>
          <w:sz w:val="72"/>
          <w:szCs w:val="72"/>
          <w:highlight w:val="none"/>
        </w:rPr>
      </w:pPr>
      <w:bookmarkStart w:id="0" w:name="_Toc1078"/>
      <w:bookmarkStart w:id="1" w:name="_Toc3994"/>
      <w:bookmarkStart w:id="2" w:name="_Toc9203"/>
      <w:bookmarkStart w:id="3" w:name="_Toc7325"/>
      <w:bookmarkStart w:id="4" w:name="_Toc30252"/>
      <w:bookmarkStart w:id="5" w:name="_Toc16646"/>
      <w:bookmarkStart w:id="6" w:name="_Toc7730"/>
      <w:bookmarkStart w:id="7" w:name="_Toc2521"/>
      <w:bookmarkStart w:id="8" w:name="_Toc9880"/>
      <w:bookmarkStart w:id="9" w:name="_Toc27179"/>
      <w:bookmarkStart w:id="10" w:name="_Toc32522"/>
      <w:bookmarkStart w:id="11" w:name="_Toc6460"/>
    </w:p>
    <w:p w14:paraId="7F0251B6">
      <w:pPr>
        <w:spacing w:line="360" w:lineRule="auto"/>
        <w:jc w:val="center"/>
        <w:rPr>
          <w:rFonts w:hint="eastAsia" w:ascii="宋体" w:hAnsi="宋体" w:eastAsia="宋体" w:cs="宋体"/>
          <w:b/>
          <w:bCs/>
          <w:color w:val="auto"/>
          <w:spacing w:val="80"/>
          <w:sz w:val="72"/>
          <w:szCs w:val="72"/>
          <w:highlight w:val="none"/>
        </w:rPr>
      </w:pPr>
      <w:bookmarkStart w:id="12" w:name="_Toc22009"/>
      <w:bookmarkStart w:id="13" w:name="_Toc13999"/>
      <w:r>
        <w:rPr>
          <w:rFonts w:hint="eastAsia" w:ascii="宋体" w:hAnsi="宋体" w:eastAsia="宋体" w:cs="宋体"/>
          <w:b/>
          <w:bCs/>
          <w:color w:val="auto"/>
          <w:spacing w:val="80"/>
          <w:sz w:val="72"/>
          <w:szCs w:val="72"/>
          <w:highlight w:val="none"/>
        </w:rPr>
        <w:t>行采家电子竞采</w:t>
      </w:r>
      <w:bookmarkEnd w:id="0"/>
      <w:bookmarkEnd w:id="1"/>
      <w:bookmarkEnd w:id="2"/>
      <w:bookmarkEnd w:id="3"/>
      <w:bookmarkEnd w:id="4"/>
      <w:bookmarkEnd w:id="5"/>
      <w:bookmarkEnd w:id="6"/>
      <w:bookmarkEnd w:id="7"/>
      <w:bookmarkEnd w:id="8"/>
      <w:bookmarkEnd w:id="9"/>
      <w:bookmarkEnd w:id="10"/>
      <w:bookmarkEnd w:id="11"/>
      <w:bookmarkStart w:id="14" w:name="_Toc15023"/>
      <w:bookmarkStart w:id="15" w:name="_Toc3071"/>
      <w:r>
        <w:rPr>
          <w:rFonts w:hint="eastAsia" w:ascii="宋体" w:hAnsi="宋体" w:eastAsia="宋体" w:cs="宋体"/>
          <w:b/>
          <w:bCs/>
          <w:color w:val="auto"/>
          <w:spacing w:val="80"/>
          <w:sz w:val="72"/>
          <w:szCs w:val="72"/>
          <w:highlight w:val="none"/>
        </w:rPr>
        <w:t>文件</w:t>
      </w:r>
      <w:bookmarkEnd w:id="12"/>
      <w:bookmarkEnd w:id="13"/>
      <w:bookmarkEnd w:id="14"/>
      <w:bookmarkEnd w:id="15"/>
    </w:p>
    <w:p w14:paraId="65E8D00A">
      <w:pPr>
        <w:spacing w:line="360" w:lineRule="auto"/>
        <w:jc w:val="center"/>
        <w:rPr>
          <w:rFonts w:hint="eastAsia" w:ascii="宋体" w:hAnsi="宋体" w:eastAsia="宋体" w:cs="宋体"/>
          <w:b/>
          <w:bCs/>
          <w:color w:val="auto"/>
          <w:spacing w:val="80"/>
          <w:sz w:val="48"/>
          <w:szCs w:val="48"/>
          <w:highlight w:val="none"/>
        </w:rPr>
      </w:pPr>
      <w:r>
        <w:rPr>
          <w:rFonts w:hint="eastAsia" w:ascii="宋体" w:hAnsi="宋体" w:eastAsia="宋体" w:cs="宋体"/>
          <w:b/>
          <w:bCs/>
          <w:color w:val="auto"/>
          <w:spacing w:val="80"/>
          <w:sz w:val="48"/>
          <w:szCs w:val="48"/>
          <w:highlight w:val="none"/>
        </w:rPr>
        <w:t>（网上询比）</w:t>
      </w:r>
    </w:p>
    <w:p w14:paraId="187AB1D8">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0BFD07BC">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5EE08439">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6FFE08E4">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2DD6F498">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3B923C85">
      <w:pPr>
        <w:pageBreakBefore w:val="0"/>
        <w:kinsoku/>
        <w:wordWrap/>
        <w:overflowPunct/>
        <w:topLinePunct w:val="0"/>
        <w:autoSpaceDE/>
        <w:autoSpaceDN/>
        <w:bidi w:val="0"/>
        <w:adjustRightInd/>
        <w:snapToGrid w:val="0"/>
        <w:spacing w:line="560" w:lineRule="exact"/>
        <w:ind w:right="0"/>
        <w:jc w:val="center"/>
        <w:textAlignment w:val="auto"/>
        <w:rPr>
          <w:rFonts w:hint="eastAsia" w:asciiTheme="minorEastAsia" w:hAnsiTheme="minorEastAsia" w:eastAsiaTheme="minorEastAsia" w:cstheme="minorEastAsia"/>
          <w:color w:val="auto"/>
          <w:sz w:val="32"/>
          <w:szCs w:val="32"/>
          <w:highlight w:val="none"/>
          <w:lang w:eastAsia="zh-CN"/>
        </w:rPr>
      </w:pPr>
      <w:bookmarkStart w:id="16" w:name="_Toc29254"/>
      <w:bookmarkStart w:id="17" w:name="_Toc4784"/>
      <w:bookmarkStart w:id="18" w:name="_Toc4800"/>
      <w:r>
        <w:rPr>
          <w:rFonts w:hint="eastAsia" w:asciiTheme="minorEastAsia" w:hAnsiTheme="minorEastAsia" w:eastAsiaTheme="minorEastAsia" w:cstheme="minorEastAsia"/>
          <w:color w:val="auto"/>
          <w:sz w:val="32"/>
          <w:szCs w:val="32"/>
          <w:highlight w:val="none"/>
        </w:rPr>
        <w:t>项目名称：</w:t>
      </w:r>
      <w:bookmarkEnd w:id="16"/>
      <w:bookmarkEnd w:id="17"/>
      <w:bookmarkEnd w:id="18"/>
      <w:r>
        <w:rPr>
          <w:rFonts w:hint="eastAsia" w:asciiTheme="minorEastAsia" w:hAnsiTheme="minorEastAsia" w:eastAsiaTheme="minorEastAsia" w:cstheme="minorEastAsia"/>
          <w:color w:val="auto"/>
          <w:sz w:val="32"/>
          <w:szCs w:val="32"/>
          <w:highlight w:val="none"/>
          <w:lang w:eastAsia="zh-CN"/>
        </w:rPr>
        <w:t>设计制作农业执法普法宣传物料</w:t>
      </w:r>
    </w:p>
    <w:p w14:paraId="30CE5B88">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24676E55">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3CEDE5AB">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5F8A01F7">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662FC5E2">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4A81455">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123F8E6">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8670F5C">
      <w:pPr>
        <w:pageBreakBefore w:val="0"/>
        <w:kinsoku/>
        <w:wordWrap/>
        <w:overflowPunct/>
        <w:topLinePunct w:val="0"/>
        <w:autoSpaceDE/>
        <w:autoSpaceDN/>
        <w:bidi w:val="0"/>
        <w:adjustRightInd/>
        <w:snapToGrid w:val="0"/>
        <w:spacing w:line="560" w:lineRule="exact"/>
        <w:ind w:left="0" w:leftChars="0" w:right="0" w:firstLine="1600" w:firstLineChars="500"/>
        <w:textAlignment w:val="auto"/>
        <w:rPr>
          <w:rFonts w:hint="eastAsia" w:asciiTheme="minorEastAsia" w:hAnsiTheme="minorEastAsia" w:eastAsiaTheme="minorEastAsia" w:cstheme="minorEastAsia"/>
          <w:color w:val="auto"/>
          <w:sz w:val="32"/>
          <w:szCs w:val="32"/>
          <w:highlight w:val="none"/>
        </w:rPr>
      </w:pPr>
      <w:bookmarkStart w:id="19" w:name="_Toc14170"/>
      <w:bookmarkStart w:id="20" w:name="_Toc27739"/>
      <w:bookmarkStart w:id="21" w:name="_Toc12327"/>
      <w:r>
        <w:rPr>
          <w:rFonts w:hint="eastAsia" w:asciiTheme="minorEastAsia" w:hAnsiTheme="minorEastAsia" w:eastAsiaTheme="minorEastAsia" w:cstheme="minorEastAsia"/>
          <w:color w:val="auto"/>
          <w:sz w:val="32"/>
          <w:szCs w:val="32"/>
          <w:highlight w:val="none"/>
        </w:rPr>
        <w:t>采  购 人：</w:t>
      </w:r>
      <w:bookmarkEnd w:id="19"/>
      <w:r>
        <w:rPr>
          <w:rFonts w:hint="eastAsia" w:asciiTheme="minorEastAsia" w:hAnsiTheme="minorEastAsia" w:eastAsiaTheme="minorEastAsia" w:cstheme="minorEastAsia"/>
          <w:color w:val="auto"/>
          <w:sz w:val="32"/>
          <w:szCs w:val="32"/>
          <w:highlight w:val="none"/>
        </w:rPr>
        <w:t>重庆市农业综合行政执法总队</w:t>
      </w:r>
      <w:bookmarkEnd w:id="20"/>
      <w:bookmarkEnd w:id="21"/>
    </w:p>
    <w:p w14:paraId="17C26D1C">
      <w:pPr>
        <w:pageBreakBefore w:val="0"/>
        <w:kinsoku/>
        <w:wordWrap/>
        <w:overflowPunct/>
        <w:topLinePunct w:val="0"/>
        <w:autoSpaceDE/>
        <w:autoSpaceDN/>
        <w:bidi w:val="0"/>
        <w:adjustRightInd/>
        <w:snapToGrid w:val="0"/>
        <w:spacing w:line="560" w:lineRule="exact"/>
        <w:ind w:left="0" w:leftChars="0" w:right="0" w:firstLine="1600" w:firstLineChars="500"/>
        <w:textAlignment w:val="auto"/>
        <w:rPr>
          <w:rFonts w:hint="eastAsia" w:asciiTheme="minorEastAsia" w:hAnsiTheme="minorEastAsia" w:eastAsiaTheme="minorEastAsia" w:cstheme="minorEastAsia"/>
          <w:color w:val="auto"/>
          <w:sz w:val="32"/>
          <w:szCs w:val="32"/>
          <w:highlight w:val="none"/>
        </w:rPr>
      </w:pPr>
      <w:bookmarkStart w:id="22" w:name="_Toc11034"/>
      <w:bookmarkStart w:id="23" w:name="_Toc19959"/>
      <w:bookmarkStart w:id="24" w:name="_Toc17732"/>
      <w:r>
        <w:rPr>
          <w:rFonts w:hint="eastAsia" w:asciiTheme="minorEastAsia" w:hAnsiTheme="minorEastAsia" w:eastAsiaTheme="minorEastAsia" w:cstheme="minorEastAsia"/>
          <w:color w:val="auto"/>
          <w:sz w:val="32"/>
          <w:szCs w:val="32"/>
          <w:highlight w:val="none"/>
        </w:rPr>
        <w:t>采购代理机构：重庆方采工程项目管理咨询有限公司</w:t>
      </w:r>
      <w:bookmarkEnd w:id="22"/>
      <w:bookmarkEnd w:id="23"/>
      <w:bookmarkEnd w:id="24"/>
    </w:p>
    <w:p w14:paraId="140014F4">
      <w:pPr>
        <w:pageBreakBefore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Theme="minorEastAsia" w:hAnsiTheme="minorEastAsia" w:eastAsiaTheme="minorEastAsia" w:cstheme="minorEastAsia"/>
          <w:color w:val="auto"/>
          <w:sz w:val="32"/>
          <w:szCs w:val="32"/>
          <w:highlight w:val="none"/>
        </w:rPr>
      </w:pPr>
    </w:p>
    <w:p w14:paraId="7155DEB8">
      <w:pPr>
        <w:pageBreakBefore w:val="0"/>
        <w:kinsoku/>
        <w:wordWrap/>
        <w:overflowPunct/>
        <w:topLinePunct w:val="0"/>
        <w:autoSpaceDE/>
        <w:autoSpaceDN/>
        <w:bidi w:val="0"/>
        <w:adjustRightInd/>
        <w:snapToGrid w:val="0"/>
        <w:spacing w:line="560" w:lineRule="exact"/>
        <w:ind w:left="0" w:leftChars="0" w:right="0" w:firstLine="640" w:firstLineChars="200"/>
        <w:jc w:val="center"/>
        <w:textAlignment w:val="auto"/>
        <w:rPr>
          <w:rFonts w:hint="eastAsia" w:asciiTheme="minorEastAsia" w:hAnsiTheme="minorEastAsia" w:eastAsiaTheme="minorEastAsia" w:cstheme="minorEastAsia"/>
          <w:color w:val="auto"/>
          <w:sz w:val="32"/>
          <w:szCs w:val="32"/>
          <w:highlight w:val="none"/>
        </w:rPr>
      </w:pPr>
      <w:bookmarkStart w:id="25" w:name="_Toc6099"/>
      <w:bookmarkStart w:id="26" w:name="_Toc15358"/>
      <w:bookmarkStart w:id="27" w:name="_Toc5548"/>
      <w:r>
        <w:rPr>
          <w:rFonts w:hint="eastAsia" w:asciiTheme="minorEastAsia" w:hAnsiTheme="minorEastAsia" w:eastAsiaTheme="minorEastAsia" w:cstheme="minorEastAsia"/>
          <w:color w:val="auto"/>
          <w:sz w:val="32"/>
          <w:szCs w:val="32"/>
          <w:highlight w:val="none"/>
        </w:rPr>
        <w:t>二○二五年</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月</w:t>
      </w:r>
      <w:bookmarkEnd w:id="25"/>
      <w:bookmarkEnd w:id="26"/>
      <w:bookmarkEnd w:id="27"/>
    </w:p>
    <w:p w14:paraId="05CB1620">
      <w:pPr>
        <w:pStyle w:val="22"/>
        <w:pageBreakBefore w:val="0"/>
        <w:kinsoku/>
        <w:wordWrap/>
        <w:overflowPunct/>
        <w:topLinePunct w:val="0"/>
        <w:autoSpaceDE/>
        <w:autoSpaceDN/>
        <w:bidi w:val="0"/>
        <w:adjustRightInd/>
        <w:spacing w:line="560" w:lineRule="exact"/>
        <w:ind w:left="0" w:leftChars="0" w:right="0"/>
        <w:jc w:val="center"/>
        <w:textAlignment w:val="auto"/>
        <w:outlineLvl w:val="0"/>
        <w:rPr>
          <w:rFonts w:hint="eastAsia" w:asciiTheme="minorEastAsia" w:hAnsiTheme="minorEastAsia" w:eastAsiaTheme="minorEastAsia" w:cstheme="minorEastAsia"/>
          <w:b/>
          <w:bCs/>
          <w:color w:val="auto"/>
          <w:sz w:val="28"/>
          <w:szCs w:val="28"/>
          <w:highlight w:val="none"/>
        </w:rPr>
      </w:pPr>
      <w:bookmarkStart w:id="28" w:name="_Toc89"/>
    </w:p>
    <w:p w14:paraId="454ED6BF">
      <w:pPr>
        <w:pStyle w:val="22"/>
        <w:pageBreakBefore w:val="0"/>
        <w:kinsoku/>
        <w:wordWrap/>
        <w:overflowPunct/>
        <w:topLinePunct w:val="0"/>
        <w:autoSpaceDE/>
        <w:autoSpaceDN/>
        <w:bidi w:val="0"/>
        <w:adjustRightInd/>
        <w:spacing w:line="560" w:lineRule="exact"/>
        <w:ind w:left="0" w:leftChars="0" w:right="0"/>
        <w:jc w:val="center"/>
        <w:textAlignment w:val="auto"/>
        <w:outlineLvl w:val="0"/>
        <w:rPr>
          <w:rFonts w:hint="eastAsia" w:asciiTheme="minorEastAsia" w:hAnsiTheme="minorEastAsia" w:eastAsiaTheme="minorEastAsia" w:cstheme="minorEastAsia"/>
          <w:b/>
          <w:bCs/>
          <w:color w:val="auto"/>
          <w:sz w:val="28"/>
          <w:szCs w:val="28"/>
          <w:highlight w:val="none"/>
        </w:rPr>
        <w:sectPr>
          <w:footerReference r:id="rId3" w:type="default"/>
          <w:pgSz w:w="11907" w:h="16840"/>
          <w:pgMar w:top="1134" w:right="1134" w:bottom="1134" w:left="1134" w:header="850" w:footer="992" w:gutter="0"/>
          <w:pgNumType w:start="1"/>
          <w:cols w:space="720" w:num="1"/>
          <w:docGrid w:linePitch="312" w:charSpace="0"/>
        </w:sectPr>
      </w:pPr>
    </w:p>
    <w:bookmarkEnd w:id="28"/>
    <w:sdt>
      <w:sdtPr>
        <w:rPr>
          <w:rFonts w:ascii="宋体" w:hAnsi="宋体" w:eastAsia="宋体" w:cs="Times New Roman"/>
          <w:b/>
          <w:bCs/>
          <w:kern w:val="2"/>
          <w:sz w:val="36"/>
          <w:szCs w:val="36"/>
          <w:lang w:val="en-US" w:eastAsia="zh-CN" w:bidi="ar-SA"/>
        </w:rPr>
        <w:id w:val="147463972"/>
        <w15:color w:val="DBDBDB"/>
        <w:docPartObj>
          <w:docPartGallery w:val="Table of Contents"/>
          <w:docPartUnique/>
        </w:docPartObj>
      </w:sdtPr>
      <w:sdtEndPr>
        <w:rPr>
          <w:rFonts w:ascii="宋体" w:hAnsi="宋体" w:eastAsia="宋体" w:cs="Times New Roman"/>
          <w:b/>
          <w:bCs/>
          <w:kern w:val="2"/>
          <w:sz w:val="36"/>
          <w:szCs w:val="36"/>
          <w:lang w:val="en-US" w:eastAsia="zh-CN" w:bidi="ar-SA"/>
        </w:rPr>
      </w:sdtEndPr>
      <w:sdtContent>
        <w:p w14:paraId="423512B2">
          <w:pPr>
            <w:spacing w:before="0" w:beforeLines="0" w:after="0" w:afterLines="0" w:line="240" w:lineRule="auto"/>
            <w:ind w:left="0" w:leftChars="0" w:right="0" w:rightChars="0" w:firstLine="0" w:firstLineChars="0"/>
            <w:jc w:val="center"/>
            <w:rPr>
              <w:b/>
              <w:bCs/>
              <w:sz w:val="36"/>
              <w:szCs w:val="36"/>
            </w:rPr>
          </w:pPr>
          <w:bookmarkStart w:id="29" w:name="_Toc13032"/>
          <w:r>
            <w:rPr>
              <w:rFonts w:ascii="宋体" w:hAnsi="宋体" w:eastAsia="宋体"/>
              <w:b/>
              <w:bCs/>
              <w:sz w:val="36"/>
              <w:szCs w:val="36"/>
            </w:rPr>
            <w:t>目录</w:t>
          </w:r>
        </w:p>
        <w:p w14:paraId="406463D9">
          <w:pPr>
            <w:pStyle w:val="17"/>
            <w:tabs>
              <w:tab w:val="right" w:leader="dot" w:pos="9637"/>
            </w:tabs>
          </w:pPr>
          <w:r>
            <w:fldChar w:fldCharType="begin"/>
          </w:r>
          <w:r>
            <w:instrText xml:space="preserve">TOC \o "1-1" \h \u </w:instrText>
          </w:r>
          <w:r>
            <w:fldChar w:fldCharType="separate"/>
          </w:r>
          <w:r>
            <w:fldChar w:fldCharType="begin"/>
          </w:r>
          <w:r>
            <w:instrText xml:space="preserve"> HYPERLINK \l _Toc6704 </w:instrText>
          </w:r>
          <w:r>
            <w:fldChar w:fldCharType="separate"/>
          </w:r>
          <w:r>
            <w:rPr>
              <w:rFonts w:hint="eastAsia" w:asciiTheme="minorEastAsia" w:hAnsiTheme="minorEastAsia" w:eastAsiaTheme="minorEastAsia" w:cstheme="minorEastAsia"/>
              <w:bCs/>
              <w:szCs w:val="36"/>
              <w:highlight w:val="none"/>
            </w:rPr>
            <w:t>第一篇 采购邀请书</w:t>
          </w:r>
          <w:r>
            <w:tab/>
          </w:r>
          <w:r>
            <w:fldChar w:fldCharType="begin"/>
          </w:r>
          <w:r>
            <w:instrText xml:space="preserve"> PAGEREF _Toc6704 \h </w:instrText>
          </w:r>
          <w:r>
            <w:fldChar w:fldCharType="separate"/>
          </w:r>
          <w:r>
            <w:t>- 2 -</w:t>
          </w:r>
          <w:r>
            <w:fldChar w:fldCharType="end"/>
          </w:r>
          <w:r>
            <w:fldChar w:fldCharType="end"/>
          </w:r>
        </w:p>
        <w:p w14:paraId="5215EC3C">
          <w:pPr>
            <w:pStyle w:val="17"/>
            <w:tabs>
              <w:tab w:val="right" w:leader="dot" w:pos="9637"/>
            </w:tabs>
          </w:pPr>
          <w:r>
            <w:fldChar w:fldCharType="begin"/>
          </w:r>
          <w:r>
            <w:instrText xml:space="preserve"> HYPERLINK \l _Toc19767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一、竞采项目内容</w:t>
          </w:r>
          <w:r>
            <w:tab/>
          </w:r>
          <w:r>
            <w:fldChar w:fldCharType="begin"/>
          </w:r>
          <w:r>
            <w:instrText xml:space="preserve"> PAGEREF _Toc19767 \h </w:instrText>
          </w:r>
          <w:r>
            <w:fldChar w:fldCharType="separate"/>
          </w:r>
          <w:r>
            <w:t>- 2 -</w:t>
          </w:r>
          <w:r>
            <w:fldChar w:fldCharType="end"/>
          </w:r>
          <w:r>
            <w:fldChar w:fldCharType="end"/>
          </w:r>
        </w:p>
        <w:p w14:paraId="21F31B32">
          <w:pPr>
            <w:pStyle w:val="17"/>
            <w:tabs>
              <w:tab w:val="right" w:leader="dot" w:pos="9637"/>
            </w:tabs>
          </w:pPr>
          <w:r>
            <w:fldChar w:fldCharType="begin"/>
          </w:r>
          <w:r>
            <w:instrText xml:space="preserve"> HYPERLINK \l _Toc28815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二、资金来源</w:t>
          </w:r>
          <w:r>
            <w:tab/>
          </w:r>
          <w:r>
            <w:fldChar w:fldCharType="begin"/>
          </w:r>
          <w:r>
            <w:instrText xml:space="preserve"> PAGEREF _Toc28815 \h </w:instrText>
          </w:r>
          <w:r>
            <w:fldChar w:fldCharType="separate"/>
          </w:r>
          <w:r>
            <w:t>- 2 -</w:t>
          </w:r>
          <w:r>
            <w:fldChar w:fldCharType="end"/>
          </w:r>
          <w:r>
            <w:fldChar w:fldCharType="end"/>
          </w:r>
        </w:p>
        <w:p w14:paraId="18D0E909">
          <w:pPr>
            <w:pStyle w:val="17"/>
            <w:tabs>
              <w:tab w:val="right" w:leader="dot" w:pos="9637"/>
            </w:tabs>
          </w:pPr>
          <w:r>
            <w:fldChar w:fldCharType="begin"/>
          </w:r>
          <w:r>
            <w:instrText xml:space="preserve"> HYPERLINK \l _Toc25281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三、资格条件</w:t>
          </w:r>
          <w:r>
            <w:tab/>
          </w:r>
          <w:r>
            <w:fldChar w:fldCharType="begin"/>
          </w:r>
          <w:r>
            <w:instrText xml:space="preserve"> PAGEREF _Toc25281 \h </w:instrText>
          </w:r>
          <w:r>
            <w:fldChar w:fldCharType="separate"/>
          </w:r>
          <w:r>
            <w:t>- 2 -</w:t>
          </w:r>
          <w:r>
            <w:fldChar w:fldCharType="end"/>
          </w:r>
          <w:r>
            <w:fldChar w:fldCharType="end"/>
          </w:r>
        </w:p>
        <w:p w14:paraId="6298767A">
          <w:pPr>
            <w:pStyle w:val="17"/>
            <w:tabs>
              <w:tab w:val="right" w:leader="dot" w:pos="9637"/>
            </w:tabs>
          </w:pPr>
          <w:r>
            <w:fldChar w:fldCharType="begin"/>
          </w:r>
          <w:r>
            <w:instrText xml:space="preserve"> HYPERLINK \l _Toc25773 </w:instrText>
          </w:r>
          <w:r>
            <w:fldChar w:fldCharType="separate"/>
          </w:r>
          <w:r>
            <w:rPr>
              <w:rFonts w:hint="eastAsia" w:asciiTheme="minorEastAsia" w:hAnsiTheme="minorEastAsia" w:eastAsiaTheme="minorEastAsia" w:cstheme="minorEastAsia"/>
              <w:bCs/>
              <w:kern w:val="44"/>
              <w:szCs w:val="24"/>
              <w:highlight w:val="none"/>
              <w:lang w:val="en-US" w:eastAsia="zh-CN" w:bidi="ar-SA"/>
            </w:rPr>
            <w:t>四、竞采有关说明</w:t>
          </w:r>
          <w:r>
            <w:tab/>
          </w:r>
          <w:r>
            <w:fldChar w:fldCharType="begin"/>
          </w:r>
          <w:r>
            <w:instrText xml:space="preserve"> PAGEREF _Toc25773 \h </w:instrText>
          </w:r>
          <w:r>
            <w:fldChar w:fldCharType="separate"/>
          </w:r>
          <w:r>
            <w:t>- 2 -</w:t>
          </w:r>
          <w:r>
            <w:fldChar w:fldCharType="end"/>
          </w:r>
          <w:r>
            <w:fldChar w:fldCharType="end"/>
          </w:r>
        </w:p>
        <w:p w14:paraId="0FA6FDD9">
          <w:pPr>
            <w:pStyle w:val="17"/>
            <w:tabs>
              <w:tab w:val="right" w:leader="dot" w:pos="9637"/>
            </w:tabs>
          </w:pPr>
          <w:r>
            <w:fldChar w:fldCharType="begin"/>
          </w:r>
          <w:r>
            <w:instrText xml:space="preserve"> HYPERLINK \l _Toc21207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五、竞采有关规定</w:t>
          </w:r>
          <w:r>
            <w:tab/>
          </w:r>
          <w:r>
            <w:fldChar w:fldCharType="begin"/>
          </w:r>
          <w:r>
            <w:instrText xml:space="preserve"> PAGEREF _Toc21207 \h </w:instrText>
          </w:r>
          <w:r>
            <w:fldChar w:fldCharType="separate"/>
          </w:r>
          <w:r>
            <w:t>- 3 -</w:t>
          </w:r>
          <w:r>
            <w:fldChar w:fldCharType="end"/>
          </w:r>
          <w:r>
            <w:fldChar w:fldCharType="end"/>
          </w:r>
        </w:p>
        <w:p w14:paraId="50E82E76">
          <w:pPr>
            <w:pStyle w:val="17"/>
            <w:tabs>
              <w:tab w:val="right" w:leader="dot" w:pos="9637"/>
            </w:tabs>
          </w:pPr>
          <w:r>
            <w:fldChar w:fldCharType="begin"/>
          </w:r>
          <w:r>
            <w:instrText xml:space="preserve"> HYPERLINK \l _Toc29757 </w:instrText>
          </w:r>
          <w:r>
            <w:fldChar w:fldCharType="separate"/>
          </w:r>
          <w:r>
            <w:rPr>
              <w:rFonts w:hint="eastAsia" w:asciiTheme="minorEastAsia" w:hAnsiTheme="minorEastAsia" w:eastAsiaTheme="minorEastAsia" w:cstheme="minorEastAsia"/>
              <w:bCs/>
              <w:kern w:val="44"/>
              <w:szCs w:val="24"/>
              <w:highlight w:val="none"/>
              <w:lang w:val="en-US" w:eastAsia="zh-CN" w:bidi="ar-SA"/>
            </w:rPr>
            <w:t>六、联系方式</w:t>
          </w:r>
          <w:r>
            <w:tab/>
          </w:r>
          <w:r>
            <w:fldChar w:fldCharType="begin"/>
          </w:r>
          <w:r>
            <w:instrText xml:space="preserve"> PAGEREF _Toc29757 \h </w:instrText>
          </w:r>
          <w:r>
            <w:fldChar w:fldCharType="separate"/>
          </w:r>
          <w:r>
            <w:t>- 4 -</w:t>
          </w:r>
          <w:r>
            <w:fldChar w:fldCharType="end"/>
          </w:r>
          <w:r>
            <w:fldChar w:fldCharType="end"/>
          </w:r>
        </w:p>
        <w:p w14:paraId="2FC4C251">
          <w:pPr>
            <w:pStyle w:val="17"/>
            <w:tabs>
              <w:tab w:val="right" w:leader="dot" w:pos="9637"/>
            </w:tabs>
          </w:pPr>
          <w:r>
            <w:fldChar w:fldCharType="begin"/>
          </w:r>
          <w:r>
            <w:instrText xml:space="preserve"> HYPERLINK \l _Toc13642 </w:instrText>
          </w:r>
          <w:r>
            <w:fldChar w:fldCharType="separate"/>
          </w:r>
          <w:r>
            <w:rPr>
              <w:rFonts w:hint="eastAsia" w:asciiTheme="minorEastAsia" w:hAnsiTheme="minorEastAsia" w:eastAsiaTheme="minorEastAsia" w:cstheme="minorEastAsia"/>
              <w:bCs/>
              <w:szCs w:val="36"/>
              <w:highlight w:val="none"/>
            </w:rPr>
            <w:t xml:space="preserve">第二篇 </w:t>
          </w:r>
          <w:r>
            <w:rPr>
              <w:rFonts w:hint="eastAsia" w:asciiTheme="minorEastAsia" w:hAnsiTheme="minorEastAsia" w:eastAsiaTheme="minorEastAsia" w:cstheme="minorEastAsia"/>
              <w:bCs/>
              <w:szCs w:val="36"/>
              <w:highlight w:val="none"/>
              <w:lang w:eastAsia="zh-CN"/>
            </w:rPr>
            <w:t>项目技术（服务）需求</w:t>
          </w:r>
          <w:r>
            <w:tab/>
          </w:r>
          <w:r>
            <w:fldChar w:fldCharType="begin"/>
          </w:r>
          <w:r>
            <w:instrText xml:space="preserve"> PAGEREF _Toc13642 \h </w:instrText>
          </w:r>
          <w:r>
            <w:fldChar w:fldCharType="separate"/>
          </w:r>
          <w:r>
            <w:t>- 6 -</w:t>
          </w:r>
          <w:r>
            <w:fldChar w:fldCharType="end"/>
          </w:r>
          <w:r>
            <w:fldChar w:fldCharType="end"/>
          </w:r>
        </w:p>
        <w:p w14:paraId="786C9201">
          <w:pPr>
            <w:pStyle w:val="17"/>
            <w:tabs>
              <w:tab w:val="right" w:leader="dot" w:pos="9637"/>
            </w:tabs>
          </w:pPr>
          <w:r>
            <w:fldChar w:fldCharType="begin"/>
          </w:r>
          <w:r>
            <w:instrText xml:space="preserve"> HYPERLINK \l _Toc1941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一、项目概述</w:t>
          </w:r>
          <w:r>
            <w:tab/>
          </w:r>
          <w:r>
            <w:fldChar w:fldCharType="begin"/>
          </w:r>
          <w:r>
            <w:instrText xml:space="preserve"> PAGEREF _Toc1941 \h </w:instrText>
          </w:r>
          <w:r>
            <w:fldChar w:fldCharType="separate"/>
          </w:r>
          <w:r>
            <w:t>- 6 -</w:t>
          </w:r>
          <w:r>
            <w:fldChar w:fldCharType="end"/>
          </w:r>
          <w:r>
            <w:fldChar w:fldCharType="end"/>
          </w:r>
        </w:p>
        <w:p w14:paraId="29257DB9">
          <w:pPr>
            <w:pStyle w:val="17"/>
            <w:tabs>
              <w:tab w:val="right" w:leader="dot" w:pos="9637"/>
            </w:tabs>
          </w:pPr>
          <w:r>
            <w:fldChar w:fldCharType="begin"/>
          </w:r>
          <w:r>
            <w:instrText xml:space="preserve"> HYPERLINK \l _Toc206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※二、工作内容</w:t>
          </w:r>
          <w:r>
            <w:tab/>
          </w:r>
          <w:r>
            <w:fldChar w:fldCharType="begin"/>
          </w:r>
          <w:r>
            <w:instrText xml:space="preserve"> PAGEREF _Toc206 \h </w:instrText>
          </w:r>
          <w:r>
            <w:fldChar w:fldCharType="separate"/>
          </w:r>
          <w:r>
            <w:t>- 6 -</w:t>
          </w:r>
          <w:r>
            <w:fldChar w:fldCharType="end"/>
          </w:r>
          <w:r>
            <w:fldChar w:fldCharType="end"/>
          </w:r>
        </w:p>
        <w:p w14:paraId="58291F39">
          <w:pPr>
            <w:pStyle w:val="17"/>
            <w:tabs>
              <w:tab w:val="right" w:leader="dot" w:pos="9637"/>
            </w:tabs>
          </w:pPr>
          <w:r>
            <w:fldChar w:fldCharType="begin"/>
          </w:r>
          <w:r>
            <w:instrText xml:space="preserve"> HYPERLINK \l _Toc29568 </w:instrText>
          </w:r>
          <w:r>
            <w:fldChar w:fldCharType="separate"/>
          </w:r>
          <w:r>
            <w:rPr>
              <w:rFonts w:hint="eastAsia" w:asciiTheme="minorEastAsia" w:hAnsiTheme="minorEastAsia" w:eastAsiaTheme="minorEastAsia" w:cstheme="minorEastAsia"/>
              <w:bCs w:val="0"/>
              <w:szCs w:val="36"/>
              <w:highlight w:val="none"/>
            </w:rPr>
            <w:t>第三篇 项目商务需求</w:t>
          </w:r>
          <w:r>
            <w:tab/>
          </w:r>
          <w:r>
            <w:fldChar w:fldCharType="begin"/>
          </w:r>
          <w:r>
            <w:instrText xml:space="preserve"> PAGEREF _Toc29568 \h </w:instrText>
          </w:r>
          <w:r>
            <w:fldChar w:fldCharType="separate"/>
          </w:r>
          <w:r>
            <w:t>- 8 -</w:t>
          </w:r>
          <w:r>
            <w:fldChar w:fldCharType="end"/>
          </w:r>
          <w:r>
            <w:fldChar w:fldCharType="end"/>
          </w:r>
        </w:p>
        <w:p w14:paraId="0F678713">
          <w:pPr>
            <w:pStyle w:val="17"/>
            <w:tabs>
              <w:tab w:val="right" w:leader="dot" w:pos="9637"/>
            </w:tabs>
          </w:pPr>
          <w:r>
            <w:fldChar w:fldCharType="begin"/>
          </w:r>
          <w:r>
            <w:instrText xml:space="preserve"> HYPERLINK \l _Toc13384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※一、服务地点、验收方式</w:t>
          </w:r>
          <w:r>
            <w:tab/>
          </w:r>
          <w:r>
            <w:fldChar w:fldCharType="begin"/>
          </w:r>
          <w:r>
            <w:instrText xml:space="preserve"> PAGEREF _Toc13384 \h </w:instrText>
          </w:r>
          <w:r>
            <w:fldChar w:fldCharType="separate"/>
          </w:r>
          <w:r>
            <w:t>- 8 -</w:t>
          </w:r>
          <w:r>
            <w:fldChar w:fldCharType="end"/>
          </w:r>
          <w:r>
            <w:fldChar w:fldCharType="end"/>
          </w:r>
        </w:p>
        <w:p w14:paraId="3B7FAFD0">
          <w:pPr>
            <w:pStyle w:val="17"/>
            <w:tabs>
              <w:tab w:val="right" w:leader="dot" w:pos="9637"/>
            </w:tabs>
          </w:pPr>
          <w:r>
            <w:fldChar w:fldCharType="begin"/>
          </w:r>
          <w:r>
            <w:instrText xml:space="preserve"> HYPERLINK \l _Toc19341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※二、报价要求及结算方式</w:t>
          </w:r>
          <w:r>
            <w:tab/>
          </w:r>
          <w:r>
            <w:fldChar w:fldCharType="begin"/>
          </w:r>
          <w:r>
            <w:instrText xml:space="preserve"> PAGEREF _Toc19341 \h </w:instrText>
          </w:r>
          <w:r>
            <w:fldChar w:fldCharType="separate"/>
          </w:r>
          <w:r>
            <w:t>- 8 -</w:t>
          </w:r>
          <w:r>
            <w:fldChar w:fldCharType="end"/>
          </w:r>
          <w:r>
            <w:fldChar w:fldCharType="end"/>
          </w:r>
        </w:p>
        <w:p w14:paraId="3B45BDC7">
          <w:pPr>
            <w:pStyle w:val="17"/>
            <w:tabs>
              <w:tab w:val="right" w:leader="dot" w:pos="9637"/>
            </w:tabs>
          </w:pPr>
          <w:r>
            <w:fldChar w:fldCharType="begin"/>
          </w:r>
          <w:r>
            <w:instrText xml:space="preserve"> HYPERLINK \l _Toc19539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※三、付款方式</w:t>
          </w:r>
          <w:r>
            <w:tab/>
          </w:r>
          <w:r>
            <w:fldChar w:fldCharType="begin"/>
          </w:r>
          <w:r>
            <w:instrText xml:space="preserve"> PAGEREF _Toc19539 \h </w:instrText>
          </w:r>
          <w:r>
            <w:fldChar w:fldCharType="separate"/>
          </w:r>
          <w:r>
            <w:t>- 8 -</w:t>
          </w:r>
          <w:r>
            <w:fldChar w:fldCharType="end"/>
          </w:r>
          <w:r>
            <w:fldChar w:fldCharType="end"/>
          </w:r>
        </w:p>
        <w:p w14:paraId="5BB263DF">
          <w:pPr>
            <w:pStyle w:val="17"/>
            <w:tabs>
              <w:tab w:val="right" w:leader="dot" w:pos="9637"/>
            </w:tabs>
          </w:pPr>
          <w:r>
            <w:fldChar w:fldCharType="begin"/>
          </w:r>
          <w:r>
            <w:instrText xml:space="preserve"> HYPERLINK \l _Toc15345 </w:instrText>
          </w:r>
          <w:r>
            <w:fldChar w:fldCharType="separate"/>
          </w:r>
          <w:r>
            <w:rPr>
              <w:rFonts w:hint="eastAsia" w:asciiTheme="minorEastAsia" w:hAnsiTheme="minorEastAsia" w:eastAsiaTheme="minorEastAsia" w:cstheme="minorEastAsia"/>
              <w:bCs/>
              <w:kern w:val="44"/>
              <w:szCs w:val="24"/>
              <w:highlight w:val="none"/>
              <w:lang w:val="en-US" w:eastAsia="zh-CN" w:bidi="ar-SA"/>
            </w:rPr>
            <w:t>※四、知识产权</w:t>
          </w:r>
          <w:r>
            <w:tab/>
          </w:r>
          <w:r>
            <w:fldChar w:fldCharType="begin"/>
          </w:r>
          <w:r>
            <w:instrText xml:space="preserve"> PAGEREF _Toc15345 \h </w:instrText>
          </w:r>
          <w:r>
            <w:fldChar w:fldCharType="separate"/>
          </w:r>
          <w:r>
            <w:t>- 8 -</w:t>
          </w:r>
          <w:r>
            <w:fldChar w:fldCharType="end"/>
          </w:r>
          <w:r>
            <w:fldChar w:fldCharType="end"/>
          </w:r>
        </w:p>
        <w:p w14:paraId="6A9F5D91">
          <w:pPr>
            <w:pStyle w:val="17"/>
            <w:tabs>
              <w:tab w:val="right" w:leader="dot" w:pos="9637"/>
            </w:tabs>
          </w:pPr>
          <w:r>
            <w:fldChar w:fldCharType="begin"/>
          </w:r>
          <w:r>
            <w:instrText xml:space="preserve"> HYPERLINK \l _Toc1592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五、其他</w:t>
          </w:r>
          <w:r>
            <w:tab/>
          </w:r>
          <w:r>
            <w:fldChar w:fldCharType="begin"/>
          </w:r>
          <w:r>
            <w:instrText xml:space="preserve"> PAGEREF _Toc1592 \h </w:instrText>
          </w:r>
          <w:r>
            <w:fldChar w:fldCharType="separate"/>
          </w:r>
          <w:r>
            <w:t>- 8 -</w:t>
          </w:r>
          <w:r>
            <w:fldChar w:fldCharType="end"/>
          </w:r>
          <w:r>
            <w:fldChar w:fldCharType="end"/>
          </w:r>
        </w:p>
        <w:p w14:paraId="746BF19F">
          <w:pPr>
            <w:pStyle w:val="17"/>
            <w:tabs>
              <w:tab w:val="right" w:leader="dot" w:pos="9637"/>
            </w:tabs>
          </w:pPr>
          <w:r>
            <w:fldChar w:fldCharType="begin"/>
          </w:r>
          <w:r>
            <w:instrText xml:space="preserve"> HYPERLINK \l _Toc20268 </w:instrText>
          </w:r>
          <w:r>
            <w:fldChar w:fldCharType="separate"/>
          </w:r>
          <w:r>
            <w:rPr>
              <w:rFonts w:hint="eastAsia" w:asciiTheme="minorEastAsia" w:hAnsiTheme="minorEastAsia" w:eastAsiaTheme="minorEastAsia" w:cstheme="minorEastAsia"/>
              <w:bCs w:val="0"/>
              <w:szCs w:val="36"/>
              <w:highlight w:val="none"/>
            </w:rPr>
            <w:t>第四篇 资格审查及评审办法</w:t>
          </w:r>
          <w:r>
            <w:tab/>
          </w:r>
          <w:r>
            <w:fldChar w:fldCharType="begin"/>
          </w:r>
          <w:r>
            <w:instrText xml:space="preserve"> PAGEREF _Toc20268 \h </w:instrText>
          </w:r>
          <w:r>
            <w:fldChar w:fldCharType="separate"/>
          </w:r>
          <w:r>
            <w:t>- 9 -</w:t>
          </w:r>
          <w:r>
            <w:fldChar w:fldCharType="end"/>
          </w:r>
          <w:r>
            <w:fldChar w:fldCharType="end"/>
          </w:r>
        </w:p>
        <w:p w14:paraId="2AC36EFF">
          <w:pPr>
            <w:pStyle w:val="17"/>
            <w:tabs>
              <w:tab w:val="right" w:leader="dot" w:pos="9637"/>
            </w:tabs>
          </w:pPr>
          <w:r>
            <w:fldChar w:fldCharType="begin"/>
          </w:r>
          <w:r>
            <w:instrText xml:space="preserve"> HYPERLINK \l _Toc25450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一、资格审查及符合性审查</w:t>
          </w:r>
          <w:r>
            <w:tab/>
          </w:r>
          <w:r>
            <w:fldChar w:fldCharType="begin"/>
          </w:r>
          <w:r>
            <w:instrText xml:space="preserve"> PAGEREF _Toc25450 \h </w:instrText>
          </w:r>
          <w:r>
            <w:fldChar w:fldCharType="separate"/>
          </w:r>
          <w:r>
            <w:t>- 9 -</w:t>
          </w:r>
          <w:r>
            <w:fldChar w:fldCharType="end"/>
          </w:r>
          <w:r>
            <w:fldChar w:fldCharType="end"/>
          </w:r>
        </w:p>
        <w:p w14:paraId="521C2E97">
          <w:pPr>
            <w:pStyle w:val="17"/>
            <w:tabs>
              <w:tab w:val="right" w:leader="dot" w:pos="9637"/>
            </w:tabs>
          </w:pPr>
          <w:r>
            <w:fldChar w:fldCharType="begin"/>
          </w:r>
          <w:r>
            <w:instrText xml:space="preserve"> HYPERLINK \l _Toc26125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二、评审方法</w:t>
          </w:r>
          <w:r>
            <w:tab/>
          </w:r>
          <w:r>
            <w:fldChar w:fldCharType="begin"/>
          </w:r>
          <w:r>
            <w:instrText xml:space="preserve"> PAGEREF _Toc26125 \h </w:instrText>
          </w:r>
          <w:r>
            <w:fldChar w:fldCharType="separate"/>
          </w:r>
          <w:r>
            <w:t>- 10 -</w:t>
          </w:r>
          <w:r>
            <w:fldChar w:fldCharType="end"/>
          </w:r>
          <w:r>
            <w:fldChar w:fldCharType="end"/>
          </w:r>
        </w:p>
        <w:p w14:paraId="295EC99E">
          <w:pPr>
            <w:pStyle w:val="17"/>
            <w:tabs>
              <w:tab w:val="right" w:leader="dot" w:pos="9637"/>
            </w:tabs>
          </w:pPr>
          <w:r>
            <w:fldChar w:fldCharType="begin"/>
          </w:r>
          <w:r>
            <w:instrText xml:space="preserve"> HYPERLINK \l _Toc14844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三、评审标准</w:t>
          </w:r>
          <w:r>
            <w:tab/>
          </w:r>
          <w:r>
            <w:fldChar w:fldCharType="begin"/>
          </w:r>
          <w:r>
            <w:instrText xml:space="preserve"> PAGEREF _Toc14844 \h </w:instrText>
          </w:r>
          <w:r>
            <w:fldChar w:fldCharType="separate"/>
          </w:r>
          <w:r>
            <w:t>- 11 -</w:t>
          </w:r>
          <w:r>
            <w:fldChar w:fldCharType="end"/>
          </w:r>
          <w:r>
            <w:fldChar w:fldCharType="end"/>
          </w:r>
        </w:p>
        <w:p w14:paraId="31EE4787">
          <w:pPr>
            <w:pStyle w:val="17"/>
            <w:tabs>
              <w:tab w:val="right" w:leader="dot" w:pos="9637"/>
            </w:tabs>
          </w:pPr>
          <w:r>
            <w:fldChar w:fldCharType="begin"/>
          </w:r>
          <w:r>
            <w:instrText xml:space="preserve"> HYPERLINK \l _Toc7386 </w:instrText>
          </w:r>
          <w:r>
            <w:fldChar w:fldCharType="separate"/>
          </w:r>
          <w:r>
            <w:rPr>
              <w:rFonts w:hint="eastAsia" w:asciiTheme="minorEastAsia" w:hAnsiTheme="minorEastAsia" w:eastAsiaTheme="minorEastAsia" w:cstheme="minorEastAsia"/>
              <w:bCs/>
              <w:kern w:val="44"/>
              <w:szCs w:val="24"/>
              <w:highlight w:val="none"/>
              <w:lang w:val="en-US" w:eastAsia="zh-CN" w:bidi="ar-SA"/>
            </w:rPr>
            <w:t>四、无效响应条款</w:t>
          </w:r>
          <w:r>
            <w:tab/>
          </w:r>
          <w:r>
            <w:fldChar w:fldCharType="begin"/>
          </w:r>
          <w:r>
            <w:instrText xml:space="preserve"> PAGEREF _Toc7386 \h </w:instrText>
          </w:r>
          <w:r>
            <w:fldChar w:fldCharType="separate"/>
          </w:r>
          <w:r>
            <w:t>- 13 -</w:t>
          </w:r>
          <w:r>
            <w:fldChar w:fldCharType="end"/>
          </w:r>
          <w:r>
            <w:fldChar w:fldCharType="end"/>
          </w:r>
        </w:p>
        <w:p w14:paraId="2D567553">
          <w:pPr>
            <w:pStyle w:val="17"/>
            <w:tabs>
              <w:tab w:val="right" w:leader="dot" w:pos="9637"/>
            </w:tabs>
          </w:pPr>
          <w:r>
            <w:fldChar w:fldCharType="begin"/>
          </w:r>
          <w:r>
            <w:instrText xml:space="preserve"> HYPERLINK \l _Toc16813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五、废标条款</w:t>
          </w:r>
          <w:r>
            <w:tab/>
          </w:r>
          <w:r>
            <w:fldChar w:fldCharType="begin"/>
          </w:r>
          <w:r>
            <w:instrText xml:space="preserve"> PAGEREF _Toc16813 \h </w:instrText>
          </w:r>
          <w:r>
            <w:fldChar w:fldCharType="separate"/>
          </w:r>
          <w:r>
            <w:t>- 13 -</w:t>
          </w:r>
          <w:r>
            <w:fldChar w:fldCharType="end"/>
          </w:r>
          <w:r>
            <w:fldChar w:fldCharType="end"/>
          </w:r>
        </w:p>
        <w:p w14:paraId="7AD7B4A0">
          <w:pPr>
            <w:pStyle w:val="17"/>
            <w:tabs>
              <w:tab w:val="right" w:leader="dot" w:pos="9637"/>
            </w:tabs>
          </w:pPr>
          <w:r>
            <w:fldChar w:fldCharType="begin"/>
          </w:r>
          <w:r>
            <w:instrText xml:space="preserve"> HYPERLINK \l _Toc28318 </w:instrText>
          </w:r>
          <w:r>
            <w:fldChar w:fldCharType="separate"/>
          </w:r>
          <w:r>
            <w:rPr>
              <w:rFonts w:hint="eastAsia" w:asciiTheme="minorEastAsia" w:hAnsiTheme="minorEastAsia" w:eastAsiaTheme="minorEastAsia" w:cstheme="minorEastAsia"/>
              <w:bCs/>
              <w:szCs w:val="36"/>
              <w:highlight w:val="none"/>
            </w:rPr>
            <w:t>第五篇 供应商须知</w:t>
          </w:r>
          <w:r>
            <w:tab/>
          </w:r>
          <w:r>
            <w:fldChar w:fldCharType="begin"/>
          </w:r>
          <w:r>
            <w:instrText xml:space="preserve"> PAGEREF _Toc28318 \h </w:instrText>
          </w:r>
          <w:r>
            <w:fldChar w:fldCharType="separate"/>
          </w:r>
          <w:r>
            <w:t>- 14 -</w:t>
          </w:r>
          <w:r>
            <w:fldChar w:fldCharType="end"/>
          </w:r>
          <w:r>
            <w:fldChar w:fldCharType="end"/>
          </w:r>
        </w:p>
        <w:p w14:paraId="51D078E4">
          <w:pPr>
            <w:pStyle w:val="17"/>
            <w:tabs>
              <w:tab w:val="right" w:leader="dot" w:pos="9637"/>
            </w:tabs>
          </w:pPr>
          <w:r>
            <w:fldChar w:fldCharType="begin"/>
          </w:r>
          <w:r>
            <w:instrText xml:space="preserve"> HYPERLINK \l _Toc19073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一、供应商</w:t>
          </w:r>
          <w:r>
            <w:tab/>
          </w:r>
          <w:r>
            <w:fldChar w:fldCharType="begin"/>
          </w:r>
          <w:r>
            <w:instrText xml:space="preserve"> PAGEREF _Toc19073 \h </w:instrText>
          </w:r>
          <w:r>
            <w:fldChar w:fldCharType="separate"/>
          </w:r>
          <w:r>
            <w:t>- 14 -</w:t>
          </w:r>
          <w:r>
            <w:fldChar w:fldCharType="end"/>
          </w:r>
          <w:r>
            <w:fldChar w:fldCharType="end"/>
          </w:r>
        </w:p>
        <w:p w14:paraId="75EBFF0A">
          <w:pPr>
            <w:pStyle w:val="17"/>
            <w:tabs>
              <w:tab w:val="right" w:leader="dot" w:pos="9637"/>
            </w:tabs>
          </w:pPr>
          <w:r>
            <w:fldChar w:fldCharType="begin"/>
          </w:r>
          <w:r>
            <w:instrText xml:space="preserve"> HYPERLINK \l _Toc12261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二、竞采文件</w:t>
          </w:r>
          <w:r>
            <w:tab/>
          </w:r>
          <w:r>
            <w:fldChar w:fldCharType="begin"/>
          </w:r>
          <w:r>
            <w:instrText xml:space="preserve"> PAGEREF _Toc12261 \h </w:instrText>
          </w:r>
          <w:r>
            <w:fldChar w:fldCharType="separate"/>
          </w:r>
          <w:r>
            <w:t>- 14 -</w:t>
          </w:r>
          <w:r>
            <w:fldChar w:fldCharType="end"/>
          </w:r>
          <w:r>
            <w:fldChar w:fldCharType="end"/>
          </w:r>
        </w:p>
        <w:p w14:paraId="08607094">
          <w:pPr>
            <w:pStyle w:val="17"/>
            <w:tabs>
              <w:tab w:val="right" w:leader="dot" w:pos="9637"/>
            </w:tabs>
          </w:pPr>
          <w:r>
            <w:fldChar w:fldCharType="begin"/>
          </w:r>
          <w:r>
            <w:instrText xml:space="preserve"> HYPERLINK \l _Toc28931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三、响应文件</w:t>
          </w:r>
          <w:r>
            <w:tab/>
          </w:r>
          <w:r>
            <w:fldChar w:fldCharType="begin"/>
          </w:r>
          <w:r>
            <w:instrText xml:space="preserve"> PAGEREF _Toc28931 \h </w:instrText>
          </w:r>
          <w:r>
            <w:fldChar w:fldCharType="separate"/>
          </w:r>
          <w:r>
            <w:t>- 14 -</w:t>
          </w:r>
          <w:r>
            <w:fldChar w:fldCharType="end"/>
          </w:r>
          <w:r>
            <w:fldChar w:fldCharType="end"/>
          </w:r>
        </w:p>
        <w:p w14:paraId="600525B1">
          <w:pPr>
            <w:pStyle w:val="17"/>
            <w:tabs>
              <w:tab w:val="right" w:leader="dot" w:pos="9637"/>
            </w:tabs>
          </w:pPr>
          <w:r>
            <w:fldChar w:fldCharType="begin"/>
          </w:r>
          <w:r>
            <w:instrText xml:space="preserve"> HYPERLINK \l _Toc1143 </w:instrText>
          </w:r>
          <w:r>
            <w:fldChar w:fldCharType="separate"/>
          </w:r>
          <w:r>
            <w:rPr>
              <w:rFonts w:hint="eastAsia" w:asciiTheme="minorEastAsia" w:hAnsiTheme="minorEastAsia" w:eastAsiaTheme="minorEastAsia" w:cstheme="minorEastAsia"/>
              <w:bCs/>
              <w:kern w:val="44"/>
              <w:szCs w:val="24"/>
              <w:highlight w:val="none"/>
              <w:lang w:val="en-US" w:eastAsia="zh-CN" w:bidi="ar-SA"/>
            </w:rPr>
            <w:t>四、评审流程及标准</w:t>
          </w:r>
          <w:r>
            <w:tab/>
          </w:r>
          <w:r>
            <w:fldChar w:fldCharType="begin"/>
          </w:r>
          <w:r>
            <w:instrText xml:space="preserve"> PAGEREF _Toc1143 \h </w:instrText>
          </w:r>
          <w:r>
            <w:fldChar w:fldCharType="separate"/>
          </w:r>
          <w:r>
            <w:t>- 15 -</w:t>
          </w:r>
          <w:r>
            <w:fldChar w:fldCharType="end"/>
          </w:r>
          <w:r>
            <w:fldChar w:fldCharType="end"/>
          </w:r>
        </w:p>
        <w:p w14:paraId="2C731B65">
          <w:pPr>
            <w:pStyle w:val="17"/>
            <w:tabs>
              <w:tab w:val="right" w:leader="dot" w:pos="9637"/>
            </w:tabs>
          </w:pPr>
          <w:r>
            <w:fldChar w:fldCharType="begin"/>
          </w:r>
          <w:r>
            <w:instrText xml:space="preserve"> HYPERLINK \l _Toc1439 </w:instrText>
          </w:r>
          <w:r>
            <w:fldChar w:fldCharType="separate"/>
          </w:r>
          <w:r>
            <w:rPr>
              <w:rFonts w:hint="eastAsia" w:asciiTheme="minorEastAsia" w:hAnsiTheme="minorEastAsia" w:eastAsiaTheme="minorEastAsia" w:cstheme="minorEastAsia"/>
              <w:bCs/>
              <w:kern w:val="44"/>
              <w:szCs w:val="24"/>
              <w:highlight w:val="none"/>
              <w:lang w:val="en-US" w:eastAsia="zh-CN" w:bidi="ar-SA"/>
            </w:rPr>
            <w:t>五、确认成交供应商</w:t>
          </w:r>
          <w:r>
            <w:tab/>
          </w:r>
          <w:r>
            <w:fldChar w:fldCharType="begin"/>
          </w:r>
          <w:r>
            <w:instrText xml:space="preserve"> PAGEREF _Toc1439 \h </w:instrText>
          </w:r>
          <w:r>
            <w:fldChar w:fldCharType="separate"/>
          </w:r>
          <w:r>
            <w:t>- 15 -</w:t>
          </w:r>
          <w:r>
            <w:fldChar w:fldCharType="end"/>
          </w:r>
          <w:r>
            <w:fldChar w:fldCharType="end"/>
          </w:r>
        </w:p>
        <w:p w14:paraId="3C00C14D">
          <w:pPr>
            <w:pStyle w:val="17"/>
            <w:tabs>
              <w:tab w:val="right" w:leader="dot" w:pos="9637"/>
            </w:tabs>
          </w:pPr>
          <w:r>
            <w:fldChar w:fldCharType="begin"/>
          </w:r>
          <w:r>
            <w:instrText xml:space="preserve"> HYPERLINK \l _Toc20433 </w:instrText>
          </w:r>
          <w:r>
            <w:fldChar w:fldCharType="separate"/>
          </w:r>
          <w:r>
            <w:rPr>
              <w:rFonts w:hint="eastAsia" w:asciiTheme="minorEastAsia" w:hAnsiTheme="minorEastAsia" w:eastAsiaTheme="minorEastAsia" w:cstheme="minorEastAsia"/>
              <w:bCs/>
              <w:kern w:val="44"/>
              <w:szCs w:val="24"/>
              <w:highlight w:val="none"/>
              <w:lang w:val="en-US" w:eastAsia="zh-CN" w:bidi="ar-SA"/>
            </w:rPr>
            <w:t>六、成交</w:t>
          </w:r>
          <w:r>
            <w:tab/>
          </w:r>
          <w:r>
            <w:fldChar w:fldCharType="begin"/>
          </w:r>
          <w:r>
            <w:instrText xml:space="preserve"> PAGEREF _Toc20433 \h </w:instrText>
          </w:r>
          <w:r>
            <w:fldChar w:fldCharType="separate"/>
          </w:r>
          <w:r>
            <w:t>- 16 -</w:t>
          </w:r>
          <w:r>
            <w:fldChar w:fldCharType="end"/>
          </w:r>
          <w:r>
            <w:fldChar w:fldCharType="end"/>
          </w:r>
        </w:p>
        <w:p w14:paraId="769E49AF">
          <w:pPr>
            <w:pStyle w:val="17"/>
            <w:tabs>
              <w:tab w:val="right" w:leader="dot" w:pos="9637"/>
            </w:tabs>
          </w:pPr>
          <w:r>
            <w:fldChar w:fldCharType="begin"/>
          </w:r>
          <w:r>
            <w:instrText xml:space="preserve"> HYPERLINK \l _Toc18352 </w:instrText>
          </w:r>
          <w:r>
            <w:fldChar w:fldCharType="separate"/>
          </w:r>
          <w:r>
            <w:rPr>
              <w:rFonts w:hint="eastAsia" w:asciiTheme="minorEastAsia" w:hAnsiTheme="minorEastAsia" w:eastAsiaTheme="minorEastAsia" w:cstheme="minorEastAsia"/>
              <w:bCs/>
              <w:kern w:val="44"/>
              <w:szCs w:val="24"/>
              <w:highlight w:val="none"/>
              <w:lang w:val="en-US" w:eastAsia="zh-CN" w:bidi="ar-SA"/>
            </w:rPr>
            <w:t>七、采购代理服务费</w:t>
          </w:r>
          <w:r>
            <w:tab/>
          </w:r>
          <w:r>
            <w:fldChar w:fldCharType="begin"/>
          </w:r>
          <w:r>
            <w:instrText xml:space="preserve"> PAGEREF _Toc18352 \h </w:instrText>
          </w:r>
          <w:r>
            <w:fldChar w:fldCharType="separate"/>
          </w:r>
          <w:r>
            <w:t>- 16 -</w:t>
          </w:r>
          <w:r>
            <w:fldChar w:fldCharType="end"/>
          </w:r>
          <w:r>
            <w:fldChar w:fldCharType="end"/>
          </w:r>
        </w:p>
        <w:p w14:paraId="230CCBEE">
          <w:pPr>
            <w:pStyle w:val="17"/>
            <w:tabs>
              <w:tab w:val="right" w:leader="dot" w:pos="9637"/>
            </w:tabs>
          </w:pPr>
          <w:r>
            <w:fldChar w:fldCharType="begin"/>
          </w:r>
          <w:r>
            <w:instrText xml:space="preserve"> HYPERLINK \l _Toc24164 </w:instrText>
          </w:r>
          <w:r>
            <w:fldChar w:fldCharType="separate"/>
          </w:r>
          <w:r>
            <w:rPr>
              <w:rFonts w:hint="eastAsia" w:asciiTheme="minorEastAsia" w:hAnsiTheme="minorEastAsia" w:eastAsiaTheme="minorEastAsia" w:cstheme="minorEastAsia"/>
              <w:bCs/>
              <w:kern w:val="44"/>
              <w:szCs w:val="24"/>
              <w:highlight w:val="none"/>
              <w:lang w:val="en-US" w:eastAsia="zh-CN" w:bidi="ar-SA"/>
            </w:rPr>
            <w:t>八、签订合同</w:t>
          </w:r>
          <w:r>
            <w:tab/>
          </w:r>
          <w:r>
            <w:fldChar w:fldCharType="begin"/>
          </w:r>
          <w:r>
            <w:instrText xml:space="preserve"> PAGEREF _Toc24164 \h </w:instrText>
          </w:r>
          <w:r>
            <w:fldChar w:fldCharType="separate"/>
          </w:r>
          <w:r>
            <w:t>- 16 -</w:t>
          </w:r>
          <w:r>
            <w:fldChar w:fldCharType="end"/>
          </w:r>
          <w:r>
            <w:fldChar w:fldCharType="end"/>
          </w:r>
        </w:p>
        <w:p w14:paraId="3DDE9A9F">
          <w:pPr>
            <w:pStyle w:val="17"/>
            <w:tabs>
              <w:tab w:val="right" w:leader="dot" w:pos="9637"/>
            </w:tabs>
          </w:pPr>
          <w:r>
            <w:fldChar w:fldCharType="begin"/>
          </w:r>
          <w:r>
            <w:instrText xml:space="preserve"> HYPERLINK \l _Toc23104 </w:instrText>
          </w:r>
          <w:r>
            <w:fldChar w:fldCharType="separate"/>
          </w:r>
          <w:r>
            <w:rPr>
              <w:rFonts w:hint="eastAsia" w:asciiTheme="minorEastAsia" w:hAnsiTheme="minorEastAsia" w:eastAsiaTheme="minorEastAsia" w:cstheme="minorEastAsia"/>
              <w:bCs/>
              <w:kern w:val="44"/>
              <w:szCs w:val="24"/>
              <w:highlight w:val="none"/>
              <w:lang w:val="en-US" w:eastAsia="zh-CN" w:bidi="ar-SA"/>
            </w:rPr>
            <w:t>九、项目验收</w:t>
          </w:r>
          <w:r>
            <w:tab/>
          </w:r>
          <w:r>
            <w:fldChar w:fldCharType="begin"/>
          </w:r>
          <w:r>
            <w:instrText xml:space="preserve"> PAGEREF _Toc23104 \h </w:instrText>
          </w:r>
          <w:r>
            <w:fldChar w:fldCharType="separate"/>
          </w:r>
          <w:r>
            <w:t>- 16 -</w:t>
          </w:r>
          <w:r>
            <w:fldChar w:fldCharType="end"/>
          </w:r>
          <w:r>
            <w:fldChar w:fldCharType="end"/>
          </w:r>
        </w:p>
        <w:p w14:paraId="00B154F6">
          <w:pPr>
            <w:pStyle w:val="17"/>
            <w:tabs>
              <w:tab w:val="right" w:leader="dot" w:pos="9637"/>
            </w:tabs>
          </w:pPr>
          <w:r>
            <w:fldChar w:fldCharType="begin"/>
          </w:r>
          <w:r>
            <w:instrText xml:space="preserve"> HYPERLINK \l _Toc13807 </w:instrText>
          </w:r>
          <w:r>
            <w:fldChar w:fldCharType="separate"/>
          </w:r>
          <w:r>
            <w:rPr>
              <w:rFonts w:hint="eastAsia" w:asciiTheme="minorEastAsia" w:hAnsiTheme="minorEastAsia" w:eastAsiaTheme="minorEastAsia" w:cstheme="minorEastAsia"/>
              <w:kern w:val="44"/>
              <w:szCs w:val="36"/>
              <w:highlight w:val="none"/>
              <w:lang w:val="en-US" w:eastAsia="zh-CN" w:bidi="ar-SA"/>
            </w:rPr>
            <w:t>第六篇</w:t>
          </w:r>
          <w:r>
            <w:rPr>
              <w:rFonts w:hint="eastAsia" w:asciiTheme="minorEastAsia" w:hAnsiTheme="minorEastAsia" w:eastAsiaTheme="minorEastAsia" w:cstheme="minorEastAsia"/>
              <w:szCs w:val="36"/>
              <w:highlight w:val="none"/>
            </w:rPr>
            <w:t xml:space="preserve"> 合同条款</w:t>
          </w:r>
          <w:r>
            <w:tab/>
          </w:r>
          <w:r>
            <w:fldChar w:fldCharType="begin"/>
          </w:r>
          <w:r>
            <w:instrText xml:space="preserve"> PAGEREF _Toc13807 \h </w:instrText>
          </w:r>
          <w:r>
            <w:fldChar w:fldCharType="separate"/>
          </w:r>
          <w:r>
            <w:t>- 17 -</w:t>
          </w:r>
          <w:r>
            <w:fldChar w:fldCharType="end"/>
          </w:r>
          <w:r>
            <w:fldChar w:fldCharType="end"/>
          </w:r>
        </w:p>
        <w:p w14:paraId="1DD66E90">
          <w:pPr>
            <w:pStyle w:val="17"/>
            <w:tabs>
              <w:tab w:val="right" w:leader="dot" w:pos="9637"/>
            </w:tabs>
          </w:pPr>
          <w:r>
            <w:fldChar w:fldCharType="begin"/>
          </w:r>
          <w:r>
            <w:instrText xml:space="preserve"> HYPERLINK \l _Toc18318 </w:instrText>
          </w:r>
          <w:r>
            <w:fldChar w:fldCharType="separate"/>
          </w:r>
          <w:r>
            <w:rPr>
              <w:rFonts w:hint="eastAsia" w:asciiTheme="minorEastAsia" w:hAnsiTheme="minorEastAsia" w:eastAsiaTheme="minorEastAsia" w:cstheme="minorEastAsia"/>
              <w:bCs w:val="0"/>
              <w:szCs w:val="36"/>
              <w:highlight w:val="none"/>
            </w:rPr>
            <w:t>第七篇 响应文件格式</w:t>
          </w:r>
          <w:r>
            <w:tab/>
          </w:r>
          <w:r>
            <w:fldChar w:fldCharType="begin"/>
          </w:r>
          <w:r>
            <w:instrText xml:space="preserve"> PAGEREF _Toc18318 \h </w:instrText>
          </w:r>
          <w:r>
            <w:fldChar w:fldCharType="separate"/>
          </w:r>
          <w:r>
            <w:t>- 20 -</w:t>
          </w:r>
          <w:r>
            <w:fldChar w:fldCharType="end"/>
          </w:r>
          <w:r>
            <w:fldChar w:fldCharType="end"/>
          </w:r>
        </w:p>
        <w:p w14:paraId="2F0DF02C">
          <w:pPr>
            <w:pStyle w:val="17"/>
            <w:tabs>
              <w:tab w:val="right" w:leader="dot" w:pos="9637"/>
            </w:tabs>
          </w:pPr>
          <w:r>
            <w:fldChar w:fldCharType="begin"/>
          </w:r>
          <w:r>
            <w:instrText xml:space="preserve"> HYPERLINK \l _Toc11617 </w:instrText>
          </w:r>
          <w:r>
            <w:fldChar w:fldCharType="separate"/>
          </w:r>
          <w:r>
            <w:rPr>
              <w:rFonts w:hint="eastAsia" w:asciiTheme="minorEastAsia" w:hAnsiTheme="minorEastAsia" w:eastAsiaTheme="minorEastAsia" w:cstheme="minorEastAsia"/>
              <w:bCs/>
              <w:kern w:val="44"/>
              <w:szCs w:val="28"/>
              <w:highlight w:val="none"/>
              <w:lang w:val="en-US" w:eastAsia="zh-CN" w:bidi="ar-SA"/>
            </w:rPr>
            <w:t>一、经济部分</w:t>
          </w:r>
          <w:r>
            <w:tab/>
          </w:r>
          <w:r>
            <w:fldChar w:fldCharType="begin"/>
          </w:r>
          <w:r>
            <w:instrText xml:space="preserve"> PAGEREF _Toc11617 \h </w:instrText>
          </w:r>
          <w:r>
            <w:fldChar w:fldCharType="separate"/>
          </w:r>
          <w:r>
            <w:t>- 20 -</w:t>
          </w:r>
          <w:r>
            <w:fldChar w:fldCharType="end"/>
          </w:r>
          <w:r>
            <w:fldChar w:fldCharType="end"/>
          </w:r>
        </w:p>
        <w:p w14:paraId="09C54686">
          <w:pPr>
            <w:pStyle w:val="17"/>
            <w:tabs>
              <w:tab w:val="right" w:leader="dot" w:pos="9637"/>
            </w:tabs>
          </w:pPr>
          <w:r>
            <w:fldChar w:fldCharType="begin"/>
          </w:r>
          <w:r>
            <w:instrText xml:space="preserve"> HYPERLINK \l _Toc20933 </w:instrText>
          </w:r>
          <w:r>
            <w:fldChar w:fldCharType="separate"/>
          </w:r>
          <w:r>
            <w:rPr>
              <w:rFonts w:hint="eastAsia" w:asciiTheme="minorEastAsia" w:hAnsiTheme="minorEastAsia" w:eastAsiaTheme="minorEastAsia" w:cstheme="minorEastAsia"/>
              <w:bCs/>
              <w:kern w:val="44"/>
              <w:szCs w:val="28"/>
              <w:highlight w:val="none"/>
              <w:lang w:val="en-US" w:eastAsia="zh-CN" w:bidi="ar-SA"/>
            </w:rPr>
            <w:t>二、资格文件</w:t>
          </w:r>
          <w:r>
            <w:tab/>
          </w:r>
          <w:r>
            <w:fldChar w:fldCharType="begin"/>
          </w:r>
          <w:r>
            <w:instrText xml:space="preserve"> PAGEREF _Toc20933 \h </w:instrText>
          </w:r>
          <w:r>
            <w:fldChar w:fldCharType="separate"/>
          </w:r>
          <w:r>
            <w:t>- 20 -</w:t>
          </w:r>
          <w:r>
            <w:fldChar w:fldCharType="end"/>
          </w:r>
          <w:r>
            <w:fldChar w:fldCharType="end"/>
          </w:r>
        </w:p>
        <w:p w14:paraId="7619FFC8">
          <w:pPr>
            <w:pStyle w:val="17"/>
            <w:tabs>
              <w:tab w:val="right" w:leader="dot" w:pos="9637"/>
            </w:tabs>
          </w:pPr>
          <w:r>
            <w:fldChar w:fldCharType="begin"/>
          </w:r>
          <w:r>
            <w:instrText xml:space="preserve"> HYPERLINK \l _Toc12593 </w:instrText>
          </w:r>
          <w:r>
            <w:fldChar w:fldCharType="separate"/>
          </w:r>
          <w:r>
            <w:rPr>
              <w:rFonts w:hint="eastAsia" w:asciiTheme="minorEastAsia" w:hAnsiTheme="minorEastAsia" w:eastAsiaTheme="minorEastAsia" w:cstheme="minorEastAsia"/>
              <w:bCs/>
              <w:kern w:val="44"/>
              <w:szCs w:val="28"/>
              <w:highlight w:val="none"/>
              <w:lang w:val="en-US" w:eastAsia="zh-CN" w:bidi="ar-SA"/>
            </w:rPr>
            <w:t>三、技术（服务）部分</w:t>
          </w:r>
          <w:r>
            <w:tab/>
          </w:r>
          <w:r>
            <w:fldChar w:fldCharType="begin"/>
          </w:r>
          <w:r>
            <w:instrText xml:space="preserve"> PAGEREF _Toc12593 \h </w:instrText>
          </w:r>
          <w:r>
            <w:fldChar w:fldCharType="separate"/>
          </w:r>
          <w:r>
            <w:t>- 20 -</w:t>
          </w:r>
          <w:r>
            <w:fldChar w:fldCharType="end"/>
          </w:r>
          <w:r>
            <w:fldChar w:fldCharType="end"/>
          </w:r>
        </w:p>
        <w:p w14:paraId="7CA3C1DC">
          <w:pPr>
            <w:pStyle w:val="17"/>
            <w:tabs>
              <w:tab w:val="right" w:leader="dot" w:pos="9637"/>
            </w:tabs>
          </w:pPr>
          <w:r>
            <w:fldChar w:fldCharType="begin"/>
          </w:r>
          <w:r>
            <w:instrText xml:space="preserve"> HYPERLINK \l _Toc665 </w:instrText>
          </w:r>
          <w:r>
            <w:fldChar w:fldCharType="separate"/>
          </w:r>
          <w:r>
            <w:rPr>
              <w:rFonts w:hint="eastAsia" w:asciiTheme="minorEastAsia" w:hAnsiTheme="minorEastAsia" w:eastAsiaTheme="minorEastAsia" w:cstheme="minorEastAsia"/>
              <w:bCs/>
              <w:kern w:val="44"/>
              <w:szCs w:val="28"/>
              <w:highlight w:val="none"/>
              <w:lang w:val="en-US" w:eastAsia="zh-CN" w:bidi="ar-SA"/>
            </w:rPr>
            <w:t>四、商务部分</w:t>
          </w:r>
          <w:r>
            <w:tab/>
          </w:r>
          <w:r>
            <w:fldChar w:fldCharType="begin"/>
          </w:r>
          <w:r>
            <w:instrText xml:space="preserve"> PAGEREF _Toc665 \h </w:instrText>
          </w:r>
          <w:r>
            <w:fldChar w:fldCharType="separate"/>
          </w:r>
          <w:r>
            <w:t>- 20 -</w:t>
          </w:r>
          <w:r>
            <w:fldChar w:fldCharType="end"/>
          </w:r>
          <w:r>
            <w:fldChar w:fldCharType="end"/>
          </w:r>
        </w:p>
        <w:p w14:paraId="5274EF4F">
          <w:pPr>
            <w:pStyle w:val="17"/>
            <w:tabs>
              <w:tab w:val="right" w:leader="dot" w:pos="9637"/>
            </w:tabs>
          </w:pPr>
          <w:r>
            <w:fldChar w:fldCharType="begin"/>
          </w:r>
          <w:r>
            <w:instrText xml:space="preserve"> HYPERLINK \l _Toc14501 </w:instrText>
          </w:r>
          <w:r>
            <w:fldChar w:fldCharType="separate"/>
          </w:r>
          <w:r>
            <w:rPr>
              <w:rFonts w:hint="eastAsia" w:asciiTheme="minorEastAsia" w:hAnsiTheme="minorEastAsia" w:eastAsiaTheme="minorEastAsia" w:cstheme="minorEastAsia"/>
              <w:bCs/>
              <w:kern w:val="44"/>
              <w:szCs w:val="28"/>
              <w:highlight w:val="none"/>
              <w:lang w:val="en-US" w:eastAsia="zh-CN" w:bidi="ar-SA"/>
            </w:rPr>
            <w:t>五、其他与项目有关的资料</w:t>
          </w:r>
          <w:r>
            <w:tab/>
          </w:r>
          <w:r>
            <w:fldChar w:fldCharType="begin"/>
          </w:r>
          <w:r>
            <w:instrText xml:space="preserve"> PAGEREF _Toc14501 \h </w:instrText>
          </w:r>
          <w:r>
            <w:fldChar w:fldCharType="separate"/>
          </w:r>
          <w:r>
            <w:t>- 20 -</w:t>
          </w:r>
          <w:r>
            <w:fldChar w:fldCharType="end"/>
          </w:r>
          <w:r>
            <w:fldChar w:fldCharType="end"/>
          </w:r>
        </w:p>
        <w:p w14:paraId="5B96A724">
          <w:r>
            <w:fldChar w:fldCharType="end"/>
          </w:r>
        </w:p>
      </w:sdtContent>
    </w:sdt>
    <w:p w14:paraId="72E60287">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 w:val="0"/>
          <w:bCs/>
          <w:color w:val="auto"/>
          <w:sz w:val="36"/>
          <w:szCs w:val="36"/>
          <w:highlight w:val="none"/>
        </w:rPr>
      </w:pPr>
      <w:bookmarkStart w:id="30" w:name="_Toc6704"/>
      <w:r>
        <w:rPr>
          <w:rFonts w:hint="eastAsia" w:asciiTheme="minorEastAsia" w:hAnsiTheme="minorEastAsia" w:eastAsiaTheme="minorEastAsia" w:cstheme="minorEastAsia"/>
          <w:b w:val="0"/>
          <w:bCs/>
          <w:color w:val="auto"/>
          <w:sz w:val="36"/>
          <w:szCs w:val="36"/>
          <w:highlight w:val="none"/>
        </w:rPr>
        <w:t>第一篇 采购邀请书</w:t>
      </w:r>
      <w:bookmarkEnd w:id="29"/>
      <w:bookmarkEnd w:id="30"/>
    </w:p>
    <w:p w14:paraId="1841D5B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重庆方采工程项目管理咨询有限公司</w:t>
      </w:r>
      <w:r>
        <w:rPr>
          <w:rFonts w:hint="eastAsia" w:asciiTheme="minorEastAsia" w:hAnsiTheme="minorEastAsia" w:eastAsiaTheme="minorEastAsia" w:cstheme="minorEastAsia"/>
          <w:color w:val="auto"/>
          <w:sz w:val="24"/>
          <w:szCs w:val="24"/>
          <w:highlight w:val="none"/>
        </w:rPr>
        <w:t>（以下简称：采购代理机构）接受</w:t>
      </w:r>
      <w:r>
        <w:rPr>
          <w:rFonts w:hint="eastAsia" w:asciiTheme="minorEastAsia" w:hAnsiTheme="minorEastAsia" w:eastAsiaTheme="minorEastAsia" w:cstheme="minorEastAsia"/>
          <w:color w:val="auto"/>
          <w:sz w:val="24"/>
          <w:szCs w:val="24"/>
          <w:highlight w:val="none"/>
          <w:u w:val="single"/>
        </w:rPr>
        <w:t>重庆市农业综合行政执法总队</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color w:val="auto"/>
          <w:sz w:val="24"/>
          <w:szCs w:val="24"/>
          <w:highlight w:val="none"/>
          <w:u w:val="single"/>
          <w:lang w:eastAsia="zh-CN"/>
        </w:rPr>
        <w:t>设计制作农业执法普法宣传物料</w:t>
      </w:r>
      <w:r>
        <w:rPr>
          <w:rFonts w:hint="eastAsia" w:asciiTheme="minorEastAsia" w:hAnsiTheme="minorEastAsia" w:eastAsiaTheme="minorEastAsia" w:cstheme="minorEastAsia"/>
          <w:color w:val="auto"/>
          <w:sz w:val="24"/>
          <w:szCs w:val="24"/>
          <w:highlight w:val="none"/>
          <w:u w:val="none"/>
          <w:lang w:val="en-US" w:eastAsia="zh-CN"/>
        </w:rPr>
        <w:t>项目</w:t>
      </w:r>
      <w:r>
        <w:rPr>
          <w:rFonts w:hint="eastAsia" w:asciiTheme="minorEastAsia" w:hAnsiTheme="minorEastAsia" w:eastAsiaTheme="minorEastAsia" w:cstheme="minorEastAsia"/>
          <w:color w:val="auto"/>
          <w:sz w:val="24"/>
          <w:szCs w:val="24"/>
          <w:highlight w:val="none"/>
        </w:rPr>
        <w:t>进行网上竞采，欢迎有资格的供应商参与竞采。</w:t>
      </w:r>
    </w:p>
    <w:p w14:paraId="1074BB0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sz w:val="24"/>
          <w:szCs w:val="24"/>
          <w:highlight w:val="none"/>
        </w:rPr>
      </w:pPr>
      <w:bookmarkStart w:id="31" w:name="_Toc21119"/>
      <w:bookmarkStart w:id="32" w:name="_Toc14315"/>
      <w:bookmarkStart w:id="33" w:name="_Toc30594"/>
      <w:bookmarkStart w:id="34" w:name="_Toc19767"/>
      <w:r>
        <w:rPr>
          <w:rFonts w:hint="eastAsia" w:asciiTheme="minorEastAsia" w:hAnsiTheme="minorEastAsia" w:eastAsiaTheme="minorEastAsia" w:cstheme="minorEastAsia"/>
          <w:b w:val="0"/>
          <w:bCs/>
          <w:color w:val="auto"/>
          <w:kern w:val="44"/>
          <w:sz w:val="24"/>
          <w:szCs w:val="24"/>
          <w:highlight w:val="none"/>
          <w:lang w:val="en-US" w:eastAsia="zh-CN" w:bidi="ar-SA"/>
        </w:rPr>
        <w:t>一、竞采项目内容</w:t>
      </w:r>
      <w:bookmarkEnd w:id="31"/>
      <w:bookmarkEnd w:id="32"/>
      <w:bookmarkEnd w:id="33"/>
      <w:bookmarkEnd w:id="34"/>
    </w:p>
    <w:tbl>
      <w:tblPr>
        <w:tblStyle w:val="26"/>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3245"/>
        <w:gridCol w:w="2234"/>
        <w:gridCol w:w="1772"/>
        <w:gridCol w:w="1272"/>
      </w:tblGrid>
      <w:tr w14:paraId="25CC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914" w:type="dxa"/>
            <w:noWrap w:val="0"/>
            <w:vAlign w:val="center"/>
          </w:tcPr>
          <w:p w14:paraId="6256A09A">
            <w:pPr>
              <w:widowControl/>
              <w:spacing w:line="360" w:lineRule="auto"/>
              <w:jc w:val="center"/>
              <w:rPr>
                <w:rFonts w:hint="eastAsia" w:asciiTheme="minorEastAsia" w:hAnsiTheme="minorEastAsia" w:eastAsiaTheme="minorEastAsia" w:cstheme="minorEastAsia"/>
                <w:b/>
                <w:color w:val="auto"/>
                <w:sz w:val="24"/>
                <w:szCs w:val="24"/>
                <w:highlight w:val="none"/>
              </w:rPr>
            </w:pPr>
            <w:bookmarkStart w:id="35" w:name="_Toc378251877"/>
            <w:bookmarkStart w:id="36" w:name="_Toc14960"/>
            <w:bookmarkStart w:id="37" w:name="_Toc10941"/>
            <w:bookmarkStart w:id="38" w:name="_Toc22795"/>
            <w:bookmarkStart w:id="39" w:name="_Toc8843"/>
            <w:bookmarkStart w:id="40" w:name="_Toc1477"/>
            <w:bookmarkStart w:id="41" w:name="_Toc19000"/>
            <w:r>
              <w:rPr>
                <w:rFonts w:hint="eastAsia" w:asciiTheme="minorEastAsia" w:hAnsiTheme="minorEastAsia" w:eastAsiaTheme="minorEastAsia" w:cstheme="minorEastAsia"/>
                <w:b/>
                <w:color w:val="auto"/>
                <w:sz w:val="24"/>
                <w:szCs w:val="24"/>
                <w:highlight w:val="none"/>
              </w:rPr>
              <w:t>序号</w:t>
            </w:r>
          </w:p>
        </w:tc>
        <w:tc>
          <w:tcPr>
            <w:tcW w:w="3245" w:type="dxa"/>
            <w:noWrap w:val="0"/>
            <w:vAlign w:val="center"/>
          </w:tcPr>
          <w:p w14:paraId="4C3B5820">
            <w:pPr>
              <w:widowControl/>
              <w:spacing w:line="36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2234" w:type="dxa"/>
            <w:noWrap w:val="0"/>
            <w:vAlign w:val="center"/>
          </w:tcPr>
          <w:p w14:paraId="1E3DF041">
            <w:pPr>
              <w:widowControl/>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最高限价</w:t>
            </w:r>
          </w:p>
          <w:p w14:paraId="7C5B6802">
            <w:pPr>
              <w:widowControl/>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lang w:val="en-US" w:eastAsia="zh-CN"/>
              </w:rPr>
              <w:t>万</w:t>
            </w:r>
            <w:r>
              <w:rPr>
                <w:rFonts w:hint="eastAsia" w:asciiTheme="minorEastAsia" w:hAnsiTheme="minorEastAsia" w:eastAsiaTheme="minorEastAsia" w:cstheme="minorEastAsia"/>
                <w:b/>
                <w:bCs/>
                <w:color w:val="auto"/>
                <w:kern w:val="0"/>
                <w:sz w:val="24"/>
                <w:szCs w:val="24"/>
                <w:highlight w:val="none"/>
              </w:rPr>
              <w:t>元）</w:t>
            </w:r>
          </w:p>
        </w:tc>
        <w:tc>
          <w:tcPr>
            <w:tcW w:w="1772" w:type="dxa"/>
            <w:noWrap w:val="0"/>
            <w:vAlign w:val="center"/>
          </w:tcPr>
          <w:p w14:paraId="2D3FBDD5">
            <w:pPr>
              <w:spacing w:line="240" w:lineRule="auto"/>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成交供应商数量（名）</w:t>
            </w:r>
          </w:p>
        </w:tc>
        <w:tc>
          <w:tcPr>
            <w:tcW w:w="1272" w:type="dxa"/>
            <w:noWrap w:val="0"/>
            <w:vAlign w:val="center"/>
          </w:tcPr>
          <w:p w14:paraId="502C70DF">
            <w:pPr>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备注</w:t>
            </w:r>
          </w:p>
        </w:tc>
      </w:tr>
      <w:tr w14:paraId="710C1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14" w:type="dxa"/>
            <w:noWrap w:val="0"/>
            <w:vAlign w:val="center"/>
          </w:tcPr>
          <w:p w14:paraId="699B3FFF">
            <w:pPr>
              <w:pStyle w:val="55"/>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245" w:type="dxa"/>
            <w:noWrap w:val="0"/>
            <w:vAlign w:val="center"/>
          </w:tcPr>
          <w:p w14:paraId="6AE435F9">
            <w:pPr>
              <w:widowControl/>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设计制作农业执法普法宣传物料</w:t>
            </w:r>
          </w:p>
        </w:tc>
        <w:tc>
          <w:tcPr>
            <w:tcW w:w="2234" w:type="dxa"/>
            <w:noWrap w:val="0"/>
            <w:vAlign w:val="center"/>
          </w:tcPr>
          <w:p w14:paraId="207B888B">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5</w:t>
            </w:r>
          </w:p>
        </w:tc>
        <w:tc>
          <w:tcPr>
            <w:tcW w:w="1772" w:type="dxa"/>
            <w:noWrap w:val="0"/>
            <w:vAlign w:val="center"/>
          </w:tcPr>
          <w:p w14:paraId="25CB7EE5">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72" w:type="dxa"/>
            <w:noWrap w:val="0"/>
            <w:vAlign w:val="center"/>
          </w:tcPr>
          <w:p w14:paraId="2955BB4B">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p>
        </w:tc>
      </w:tr>
      <w:bookmarkEnd w:id="35"/>
    </w:tbl>
    <w:p w14:paraId="0CA7D6DB">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42" w:name="_Toc28815"/>
      <w:bookmarkStart w:id="43" w:name="_Toc14511"/>
      <w:r>
        <w:rPr>
          <w:rFonts w:hint="eastAsia" w:asciiTheme="minorEastAsia" w:hAnsiTheme="minorEastAsia" w:eastAsiaTheme="minorEastAsia" w:cstheme="minorEastAsia"/>
          <w:b w:val="0"/>
          <w:bCs/>
          <w:color w:val="auto"/>
          <w:kern w:val="44"/>
          <w:sz w:val="24"/>
          <w:szCs w:val="24"/>
          <w:highlight w:val="none"/>
          <w:lang w:val="en-US" w:eastAsia="zh-CN" w:bidi="ar-SA"/>
        </w:rPr>
        <w:t>二、资金来源</w:t>
      </w:r>
      <w:bookmarkEnd w:id="42"/>
      <w:bookmarkEnd w:id="43"/>
    </w:p>
    <w:p w14:paraId="6B8A58E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44" w:name="_Toc28395"/>
      <w:r>
        <w:rPr>
          <w:rFonts w:hint="eastAsia" w:asciiTheme="minorEastAsia" w:hAnsiTheme="minorEastAsia" w:eastAsiaTheme="minorEastAsia" w:cstheme="minorEastAsia"/>
          <w:color w:val="auto"/>
          <w:sz w:val="24"/>
          <w:szCs w:val="24"/>
          <w:highlight w:val="none"/>
          <w:lang w:val="en-US" w:eastAsia="zh-CN"/>
        </w:rPr>
        <w:t>财政预算资金，预算金额为11.5万元。</w:t>
      </w:r>
      <w:bookmarkEnd w:id="44"/>
    </w:p>
    <w:p w14:paraId="31DD8C9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45" w:name="_Toc10976"/>
      <w:bookmarkStart w:id="46" w:name="_Toc25281"/>
      <w:r>
        <w:rPr>
          <w:rFonts w:hint="eastAsia" w:asciiTheme="minorEastAsia" w:hAnsiTheme="minorEastAsia" w:eastAsiaTheme="minorEastAsia" w:cstheme="minorEastAsia"/>
          <w:b w:val="0"/>
          <w:bCs/>
          <w:color w:val="auto"/>
          <w:kern w:val="44"/>
          <w:sz w:val="24"/>
          <w:szCs w:val="24"/>
          <w:highlight w:val="none"/>
          <w:lang w:val="en-US" w:eastAsia="zh-CN" w:bidi="ar-SA"/>
        </w:rPr>
        <w:t>三、资格条件</w:t>
      </w:r>
      <w:bookmarkEnd w:id="36"/>
      <w:bookmarkEnd w:id="37"/>
      <w:bookmarkEnd w:id="38"/>
      <w:bookmarkEnd w:id="39"/>
      <w:bookmarkEnd w:id="40"/>
      <w:bookmarkEnd w:id="41"/>
      <w:bookmarkEnd w:id="45"/>
      <w:bookmarkEnd w:id="46"/>
    </w:p>
    <w:p w14:paraId="2AA0EC8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（一）基本资格条件：</w:t>
      </w:r>
    </w:p>
    <w:p w14:paraId="188D408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6B0ED8F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2F9C93A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20639C6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223F42A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w:t>
      </w:r>
    </w:p>
    <w:p w14:paraId="0E635F8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7AC1415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（二）落实政府采购政策需满足的资格要求：无。</w:t>
      </w:r>
    </w:p>
    <w:p w14:paraId="48F9D90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）本项目的特定资格要求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无。</w:t>
      </w:r>
    </w:p>
    <w:p w14:paraId="593A2D27">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47" w:name="_Toc25773"/>
      <w:bookmarkStart w:id="48" w:name="_Toc3005"/>
      <w:bookmarkStart w:id="49" w:name="_Toc14133"/>
      <w:bookmarkStart w:id="50" w:name="_Toc9964"/>
      <w:bookmarkStart w:id="51" w:name="_Toc17417"/>
      <w:bookmarkStart w:id="52" w:name="_Toc1597"/>
      <w:r>
        <w:rPr>
          <w:rFonts w:hint="eastAsia" w:asciiTheme="minorEastAsia" w:hAnsiTheme="minorEastAsia" w:eastAsiaTheme="minorEastAsia" w:cstheme="minorEastAsia"/>
          <w:b w:val="0"/>
          <w:bCs/>
          <w:color w:val="auto"/>
          <w:kern w:val="44"/>
          <w:sz w:val="24"/>
          <w:szCs w:val="24"/>
          <w:highlight w:val="none"/>
          <w:lang w:val="en-US" w:eastAsia="zh-CN" w:bidi="ar-SA"/>
        </w:rPr>
        <w:t>四、竞采有关说明</w:t>
      </w:r>
      <w:bookmarkEnd w:id="47"/>
      <w:bookmarkEnd w:id="48"/>
      <w:bookmarkEnd w:id="49"/>
      <w:bookmarkEnd w:id="50"/>
      <w:bookmarkEnd w:id="51"/>
      <w:bookmarkEnd w:id="52"/>
      <w:bookmarkStart w:id="53" w:name="_Toc22048"/>
    </w:p>
    <w:p w14:paraId="4C1FBA9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平台注册</w:t>
      </w:r>
    </w:p>
    <w:p w14:paraId="4630777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凡有意参加的供应商，应通过“行采家”平台（https://www.gec123.com）进行注册，成为平台入驻供应商，在网站下载本项目竞采文件以及补遗等响应文件递交截止时间前公布的所有项目资料，无论下载与否，均视为其已知晓所有项目内容。</w:t>
      </w:r>
    </w:p>
    <w:p w14:paraId="13587C6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（二）报名期限</w:t>
      </w:r>
    </w:p>
    <w:p w14:paraId="72543F9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1.报名期限：自公告发布之日起至2025年</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color w:val="auto"/>
          <w:sz w:val="24"/>
          <w:szCs w:val="24"/>
          <w:highlight w:val="none"/>
          <w:u w:val="single"/>
          <w:lang w:val="en-US" w:eastAsia="zh-CN"/>
        </w:rPr>
        <w:t>17:00</w:t>
      </w:r>
      <w:r>
        <w:rPr>
          <w:rFonts w:hint="eastAsia" w:asciiTheme="minorEastAsia" w:hAnsiTheme="minorEastAsia" w:eastAsiaTheme="minorEastAsia" w:cstheme="minorEastAsia"/>
          <w:bCs/>
          <w:color w:val="auto"/>
          <w:sz w:val="24"/>
          <w:szCs w:val="24"/>
          <w:highlight w:val="none"/>
        </w:rPr>
        <w:t>前。</w:t>
      </w:r>
    </w:p>
    <w:p w14:paraId="5576E98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2.报名费：</w:t>
      </w:r>
      <w:r>
        <w:rPr>
          <w:rFonts w:hint="eastAsia" w:asciiTheme="minorEastAsia" w:hAnsiTheme="minorEastAsia" w:eastAsiaTheme="minorEastAsia" w:cstheme="minorEastAsia"/>
          <w:bCs/>
          <w:color w:val="auto"/>
          <w:sz w:val="24"/>
          <w:szCs w:val="24"/>
          <w:highlight w:val="none"/>
          <w:lang w:val="en-US" w:eastAsia="zh-CN"/>
        </w:rPr>
        <w:t>300</w:t>
      </w:r>
      <w:r>
        <w:rPr>
          <w:rFonts w:hint="eastAsia" w:asciiTheme="minorEastAsia" w:hAnsiTheme="minorEastAsia" w:eastAsiaTheme="minorEastAsia" w:cstheme="minorEastAsia"/>
          <w:bCs/>
          <w:color w:val="auto"/>
          <w:sz w:val="24"/>
          <w:szCs w:val="24"/>
          <w:highlight w:val="none"/>
        </w:rPr>
        <w:t>元/家（售后不退），支付账户如下</w:t>
      </w:r>
      <w:r>
        <w:rPr>
          <w:rFonts w:hint="eastAsia" w:asciiTheme="minorEastAsia" w:hAnsiTheme="minorEastAsia" w:eastAsiaTheme="minorEastAsia" w:cstheme="minorEastAsia"/>
          <w:bCs/>
          <w:color w:val="auto"/>
          <w:sz w:val="24"/>
          <w:szCs w:val="24"/>
          <w:highlight w:val="none"/>
          <w:lang w:eastAsia="zh-CN"/>
        </w:rPr>
        <w:t>：</w:t>
      </w:r>
    </w:p>
    <w:p w14:paraId="6A3FAA4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账户名称：重庆方采工程项目管理咨询有限公司</w:t>
      </w:r>
    </w:p>
    <w:p w14:paraId="37062BD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开户银行：重庆渝北银座村镇银行有限责任公司人和支行</w:t>
      </w:r>
    </w:p>
    <w:p w14:paraId="3355AEE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账 号：651095368900015</w:t>
      </w:r>
    </w:p>
    <w:p w14:paraId="4D517DB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行 号：320653000442</w:t>
      </w:r>
    </w:p>
    <w:p w14:paraId="3AE01CF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报名登记</w:t>
      </w:r>
    </w:p>
    <w:p w14:paraId="613FB44D">
      <w:pPr>
        <w:pageBreakBefore w:val="0"/>
        <w:numPr>
          <w:ilvl w:val="0"/>
          <w:numId w:val="0"/>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在报名期限内，供应商将报名费支付凭证及加盖公章的《竞采报名登记表》扫描后发送至</w:t>
      </w:r>
      <w:r>
        <w:rPr>
          <w:rFonts w:hint="eastAsia" w:asciiTheme="minorEastAsia" w:hAnsiTheme="minorEastAsia" w:eastAsiaTheme="minorEastAsia" w:cstheme="minorEastAsia"/>
          <w:bCs/>
          <w:color w:val="auto"/>
          <w:sz w:val="24"/>
          <w:szCs w:val="24"/>
          <w:highlight w:val="none"/>
          <w:lang w:eastAsia="zh-CN"/>
        </w:rPr>
        <w:t>3359677509</w:t>
      </w:r>
      <w:r>
        <w:rPr>
          <w:rFonts w:hint="eastAsia" w:asciiTheme="minorEastAsia" w:hAnsiTheme="minorEastAsia" w:eastAsiaTheme="minorEastAsia" w:cstheme="minorEastAsia"/>
          <w:bCs/>
          <w:color w:val="auto"/>
          <w:sz w:val="24"/>
          <w:szCs w:val="24"/>
          <w:highlight w:val="none"/>
        </w:rPr>
        <w:t>@qq.com。</w:t>
      </w:r>
    </w:p>
    <w:p w14:paraId="755F91B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注：只有在报名期限内完成了报名手续并按时签到的供应商，其响应文件才被接收。</w:t>
      </w:r>
    </w:p>
    <w:p w14:paraId="032EA38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（四）响应文件</w:t>
      </w:r>
    </w:p>
    <w:p w14:paraId="45AAF1C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bookmarkStart w:id="54" w:name="_Toc394"/>
      <w:bookmarkStart w:id="55" w:name="_Toc17573"/>
      <w:bookmarkStart w:id="56" w:name="_Toc14264"/>
      <w:r>
        <w:rPr>
          <w:rFonts w:hint="eastAsia" w:asciiTheme="minorEastAsia" w:hAnsiTheme="minorEastAsia" w:eastAsiaTheme="minorEastAsia" w:cstheme="minorEastAsia"/>
          <w:color w:val="auto"/>
          <w:sz w:val="24"/>
          <w:szCs w:val="24"/>
          <w:highlight w:val="none"/>
        </w:rPr>
        <w:t>1.供应商应按本项目竞采文件要求制作响应文件，</w:t>
      </w:r>
      <w:r>
        <w:rPr>
          <w:rFonts w:hint="eastAsia" w:asciiTheme="minorEastAsia" w:hAnsiTheme="minorEastAsia" w:eastAsiaTheme="minorEastAsia" w:cstheme="minorEastAsia"/>
          <w:bCs/>
          <w:color w:val="auto"/>
          <w:sz w:val="24"/>
          <w:szCs w:val="24"/>
          <w:highlight w:val="none"/>
        </w:rPr>
        <w:t>规定签字、盖章的地方必须按其规定签字、盖章，未按要求制作响应文件的进行无效响应处理。</w:t>
      </w:r>
    </w:p>
    <w:p w14:paraId="2C8C80D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2.供应商提供的响应材料要求真实可靠，采购人可对响应材料真实性进行核查，如有虚假，取消成交资格或者解除合同，并赔偿由此造成采购人的经济损失。</w:t>
      </w:r>
    </w:p>
    <w:p w14:paraId="7E78982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3.请参与本项目竞采的供应商于2025年</w:t>
      </w:r>
      <w:r>
        <w:rPr>
          <w:rFonts w:hint="eastAsia" w:asciiTheme="minorEastAsia" w:hAnsiTheme="minorEastAsia" w:eastAsiaTheme="minorEastAsia" w:cstheme="minorEastAsia"/>
          <w:bCs/>
          <w:color w:val="auto"/>
          <w:sz w:val="24"/>
          <w:szCs w:val="24"/>
          <w:highlight w:val="none"/>
          <w:u w:val="single"/>
          <w:lang w:val="en-US" w:eastAsia="zh-CN"/>
        </w:rPr>
        <w:t>7</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rPr>
        <w:t>日11时00分前在本项目公告电子竞采页面线上完成报价和递交平台服务费</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如有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，并于下列规定的时间地点递交响应文件，根据网站电子竞采规则，未在线上报价的单位其响应文件将不予接收。</w:t>
      </w:r>
      <w:r>
        <w:rPr>
          <w:rFonts w:hint="eastAsia" w:asciiTheme="minorEastAsia" w:hAnsiTheme="minorEastAsia" w:eastAsiaTheme="minorEastAsia" w:cstheme="minorEastAsia"/>
          <w:b/>
          <w:color w:val="auto"/>
          <w:sz w:val="24"/>
          <w:szCs w:val="24"/>
          <w:highlight w:val="none"/>
        </w:rPr>
        <w:t>供应商线上报价时需上传《报价函》扫描件至平台，线上报价与线下纸质响应文件报价不一致的，以线上报价为准进行评审</w:t>
      </w:r>
      <w:r>
        <w:rPr>
          <w:rFonts w:hint="eastAsia" w:asciiTheme="minorEastAsia" w:hAnsiTheme="minorEastAsia" w:eastAsiaTheme="minorEastAsia" w:cstheme="minorEastAsia"/>
          <w:bCs/>
          <w:color w:val="auto"/>
          <w:sz w:val="24"/>
          <w:szCs w:val="24"/>
          <w:highlight w:val="none"/>
        </w:rPr>
        <w:t>。</w:t>
      </w:r>
      <w:bookmarkStart w:id="57" w:name="_Toc30922"/>
    </w:p>
    <w:p w14:paraId="5B8C32A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五）递交响应文件地点：</w:t>
      </w:r>
      <w:bookmarkEnd w:id="57"/>
      <w:bookmarkStart w:id="58" w:name="_Toc30794"/>
      <w:r>
        <w:rPr>
          <w:rFonts w:hint="eastAsia" w:asciiTheme="minorEastAsia" w:hAnsiTheme="minorEastAsia" w:eastAsiaTheme="minorEastAsia" w:cstheme="minorEastAsia"/>
          <w:bCs/>
          <w:color w:val="auto"/>
          <w:sz w:val="24"/>
          <w:szCs w:val="24"/>
          <w:highlight w:val="none"/>
          <w:u w:val="single"/>
          <w:lang w:eastAsia="zh-CN"/>
        </w:rPr>
        <w:t>重庆方采工程项目管理咨询有限公司会议室（重庆市渝北区假日租车写字楼3F）</w:t>
      </w:r>
      <w:r>
        <w:rPr>
          <w:rFonts w:hint="eastAsia" w:asciiTheme="minorEastAsia" w:hAnsiTheme="minorEastAsia" w:eastAsiaTheme="minorEastAsia" w:cstheme="minorEastAsia"/>
          <w:bCs/>
          <w:color w:val="auto"/>
          <w:sz w:val="24"/>
          <w:szCs w:val="24"/>
          <w:highlight w:val="none"/>
          <w:u w:val="single"/>
        </w:rPr>
        <w:t>。</w:t>
      </w:r>
    </w:p>
    <w:bookmarkEnd w:id="58"/>
    <w:p w14:paraId="783C2FF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bookmarkStart w:id="59" w:name="_Toc368"/>
      <w:bookmarkStart w:id="60" w:name="_Toc27708"/>
      <w:r>
        <w:rPr>
          <w:rFonts w:hint="eastAsia" w:asciiTheme="minorEastAsia" w:hAnsiTheme="minorEastAsia" w:eastAsiaTheme="minorEastAsia" w:cstheme="minorEastAsia"/>
          <w:bCs/>
          <w:color w:val="auto"/>
          <w:sz w:val="24"/>
          <w:szCs w:val="24"/>
          <w:highlight w:val="none"/>
        </w:rPr>
        <w:t>（六）响应文件递交时间：2025年</w:t>
      </w:r>
      <w:r>
        <w:rPr>
          <w:rFonts w:hint="eastAsia" w:asciiTheme="minorEastAsia" w:hAnsiTheme="minorEastAsia" w:eastAsiaTheme="minorEastAsia" w:cstheme="minorEastAsia"/>
          <w:bCs/>
          <w:color w:val="auto"/>
          <w:sz w:val="24"/>
          <w:szCs w:val="24"/>
          <w:highlight w:val="none"/>
          <w:u w:val="single"/>
          <w:lang w:val="en-US" w:eastAsia="zh-CN"/>
        </w:rPr>
        <w:t>7</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rPr>
        <w:t>日北京时间</w:t>
      </w:r>
      <w:r>
        <w:rPr>
          <w:rFonts w:hint="eastAsia" w:asciiTheme="minorEastAsia" w:hAnsiTheme="minorEastAsia" w:eastAsiaTheme="minorEastAsia" w:cstheme="minorEastAsia"/>
          <w:bCs/>
          <w:color w:val="auto"/>
          <w:sz w:val="24"/>
          <w:szCs w:val="24"/>
          <w:highlight w:val="none"/>
          <w:u w:val="single"/>
          <w:lang w:val="en-US" w:eastAsia="zh-CN"/>
        </w:rPr>
        <w:t>14:00-14:30</w:t>
      </w:r>
      <w:r>
        <w:rPr>
          <w:rFonts w:hint="eastAsia" w:asciiTheme="minorEastAsia" w:hAnsiTheme="minorEastAsia" w:eastAsiaTheme="minorEastAsia" w:cstheme="minorEastAsia"/>
          <w:bCs/>
          <w:color w:val="auto"/>
          <w:sz w:val="24"/>
          <w:szCs w:val="24"/>
          <w:highlight w:val="none"/>
        </w:rPr>
        <w:t>。</w:t>
      </w:r>
    </w:p>
    <w:p w14:paraId="74FB36B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（七）评审时间：2025年</w:t>
      </w:r>
      <w:r>
        <w:rPr>
          <w:rFonts w:hint="eastAsia" w:asciiTheme="minorEastAsia" w:hAnsiTheme="minorEastAsia" w:eastAsiaTheme="minorEastAsia" w:cstheme="minorEastAsia"/>
          <w:bCs/>
          <w:color w:val="auto"/>
          <w:sz w:val="24"/>
          <w:szCs w:val="24"/>
          <w:highlight w:val="none"/>
          <w:u w:val="single"/>
          <w:lang w:val="en-US" w:eastAsia="zh-CN"/>
        </w:rPr>
        <w:t>7</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color w:val="auto"/>
          <w:sz w:val="24"/>
          <w:szCs w:val="24"/>
          <w:highlight w:val="none"/>
          <w:u w:val="single"/>
          <w:lang w:val="en-US" w:eastAsia="zh-CN"/>
        </w:rPr>
        <w:t>14:30</w:t>
      </w:r>
      <w:r>
        <w:rPr>
          <w:rFonts w:hint="eastAsia" w:asciiTheme="minorEastAsia" w:hAnsiTheme="minorEastAsia" w:eastAsiaTheme="minorEastAsia" w:cstheme="minorEastAsia"/>
          <w:bCs/>
          <w:color w:val="auto"/>
          <w:sz w:val="24"/>
          <w:szCs w:val="24"/>
          <w:highlight w:val="none"/>
        </w:rPr>
        <w:t>。</w:t>
      </w:r>
      <w:bookmarkEnd w:id="59"/>
    </w:p>
    <w:p w14:paraId="0D0ED1F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（八）评审地点：同递交响应文件地点。</w:t>
      </w:r>
      <w:bookmarkEnd w:id="60"/>
    </w:p>
    <w:p w14:paraId="21B17197">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61" w:name="_Toc21207"/>
      <w:bookmarkStart w:id="62" w:name="_Toc32009"/>
      <w:r>
        <w:rPr>
          <w:rFonts w:hint="eastAsia" w:asciiTheme="minorEastAsia" w:hAnsiTheme="minorEastAsia" w:eastAsiaTheme="minorEastAsia" w:cstheme="minorEastAsia"/>
          <w:b w:val="0"/>
          <w:bCs/>
          <w:color w:val="auto"/>
          <w:kern w:val="44"/>
          <w:sz w:val="24"/>
          <w:szCs w:val="24"/>
          <w:highlight w:val="none"/>
          <w:lang w:val="en-US" w:eastAsia="zh-CN" w:bidi="ar-SA"/>
        </w:rPr>
        <w:t>五、竞采有关规定</w:t>
      </w:r>
      <w:bookmarkEnd w:id="54"/>
      <w:bookmarkEnd w:id="55"/>
      <w:bookmarkEnd w:id="56"/>
      <w:bookmarkEnd w:id="61"/>
      <w:bookmarkEnd w:id="62"/>
    </w:p>
    <w:p w14:paraId="277FC8B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bookmarkStart w:id="63" w:name="_Toc16480"/>
      <w:r>
        <w:rPr>
          <w:rFonts w:hint="eastAsia" w:asciiTheme="minorEastAsia" w:hAnsiTheme="minorEastAsia" w:eastAsiaTheme="minorEastAsia" w:cstheme="minorEastAsia"/>
          <w:bCs/>
          <w:color w:val="auto"/>
          <w:sz w:val="24"/>
          <w:szCs w:val="24"/>
          <w:highlight w:val="none"/>
        </w:rPr>
        <w:t>（一）单位负责人为同一人或者存在直接控股、管理关系的不同供应商，不得参加同一合同项（包）下的竞采活动。</w:t>
      </w:r>
    </w:p>
    <w:p w14:paraId="0DBF683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（二）为竞采项目提供整体设计、规范编制或者项目管理、监理、检测等服务的供应商，不得再参加该项目范围内的其他竞采活动。</w:t>
      </w:r>
    </w:p>
    <w:p w14:paraId="28518DD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（三）本项目若有澄清文件一律在“行采家”上发布，请各供应商注意下载或到采购代理机构领取；无论供应商下载或领取与否，均视同供应商已知晓本项目澄清文件的内容。</w:t>
      </w:r>
    </w:p>
    <w:p w14:paraId="201C2D6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（四）超过响应截止时间递交的响应文件，恕不接收。</w:t>
      </w:r>
    </w:p>
    <w:p w14:paraId="187D797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（五）竞采费用：无论结果如何，供应商参与本项目竞采的所有费用均应由供应商自行承担。</w:t>
      </w:r>
    </w:p>
    <w:p w14:paraId="051C47F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（六）本项目</w:t>
      </w:r>
      <w:r>
        <w:rPr>
          <w:rFonts w:hint="eastAsia" w:asciiTheme="minorEastAsia" w:hAnsiTheme="minorEastAsia" w:eastAsiaTheme="minorEastAsia" w:cstheme="minorEastAsia"/>
          <w:b/>
          <w:color w:val="auto"/>
          <w:sz w:val="24"/>
          <w:szCs w:val="24"/>
          <w:highlight w:val="none"/>
        </w:rPr>
        <w:t>不接受联合体</w:t>
      </w:r>
      <w:r>
        <w:rPr>
          <w:rFonts w:hint="eastAsia" w:asciiTheme="minorEastAsia" w:hAnsiTheme="minorEastAsia" w:eastAsiaTheme="minorEastAsia" w:cstheme="minorEastAsia"/>
          <w:bCs/>
          <w:color w:val="auto"/>
          <w:sz w:val="24"/>
          <w:szCs w:val="24"/>
          <w:highlight w:val="none"/>
        </w:rPr>
        <w:t>参与竞采，否则按无效响应处理。</w:t>
      </w:r>
    </w:p>
    <w:p w14:paraId="2DA45C7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（七）本项目</w:t>
      </w:r>
      <w:r>
        <w:rPr>
          <w:rFonts w:hint="eastAsia" w:asciiTheme="minorEastAsia" w:hAnsiTheme="minorEastAsia" w:eastAsiaTheme="minorEastAsia" w:cstheme="minorEastAsia"/>
          <w:b/>
          <w:bCs w:val="0"/>
          <w:color w:val="auto"/>
          <w:sz w:val="24"/>
          <w:szCs w:val="24"/>
          <w:highlight w:val="none"/>
        </w:rPr>
        <w:t>不接受</w:t>
      </w:r>
      <w:r>
        <w:rPr>
          <w:rFonts w:hint="eastAsia" w:asciiTheme="minorEastAsia" w:hAnsiTheme="minorEastAsia" w:eastAsiaTheme="minorEastAsia" w:cstheme="minorEastAsia"/>
          <w:bCs/>
          <w:color w:val="auto"/>
          <w:sz w:val="24"/>
          <w:szCs w:val="24"/>
          <w:highlight w:val="none"/>
        </w:rPr>
        <w:t>合同分包，否则按无效响应处理。</w:t>
      </w:r>
    </w:p>
    <w:p w14:paraId="5DF6C73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竞采活动。</w:t>
      </w:r>
    </w:p>
    <w:p w14:paraId="305AC7BD">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64" w:name="_Toc29757"/>
      <w:bookmarkStart w:id="65" w:name="_Toc9158"/>
      <w:bookmarkStart w:id="66" w:name="_Toc4426"/>
      <w:bookmarkStart w:id="67" w:name="_Toc10435"/>
      <w:bookmarkStart w:id="68" w:name="_Toc3504"/>
      <w:r>
        <w:rPr>
          <w:rFonts w:hint="eastAsia" w:asciiTheme="minorEastAsia" w:hAnsiTheme="minorEastAsia" w:eastAsiaTheme="minorEastAsia" w:cstheme="minorEastAsia"/>
          <w:b w:val="0"/>
          <w:bCs/>
          <w:color w:val="auto"/>
          <w:kern w:val="44"/>
          <w:sz w:val="24"/>
          <w:szCs w:val="24"/>
          <w:highlight w:val="none"/>
          <w:lang w:val="en-US" w:eastAsia="zh-CN" w:bidi="ar-SA"/>
        </w:rPr>
        <w:t>六、联系方式</w:t>
      </w:r>
      <w:bookmarkEnd w:id="63"/>
      <w:bookmarkEnd w:id="64"/>
      <w:bookmarkEnd w:id="65"/>
      <w:bookmarkEnd w:id="66"/>
      <w:bookmarkEnd w:id="67"/>
      <w:bookmarkEnd w:id="68"/>
    </w:p>
    <w:p w14:paraId="224363A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（一）采购人：重庆市农业综合行政执法总队</w:t>
      </w:r>
    </w:p>
    <w:p w14:paraId="67701FB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陈</w:t>
      </w:r>
      <w:r>
        <w:rPr>
          <w:rFonts w:hint="eastAsia" w:asciiTheme="minorEastAsia" w:hAnsiTheme="minorEastAsia" w:eastAsiaTheme="minorEastAsia" w:cstheme="minorEastAsia"/>
          <w:bCs/>
          <w:color w:val="auto"/>
          <w:sz w:val="24"/>
          <w:szCs w:val="24"/>
          <w:highlight w:val="none"/>
        </w:rPr>
        <w:t>老师</w:t>
      </w:r>
    </w:p>
    <w:p w14:paraId="14BC53C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  话：</w:t>
      </w:r>
      <w:r>
        <w:rPr>
          <w:rFonts w:hint="eastAsia" w:asciiTheme="minorEastAsia" w:hAnsiTheme="minorEastAsia" w:eastAsiaTheme="minorEastAsia" w:cstheme="minorEastAsia"/>
          <w:bCs/>
          <w:color w:val="auto"/>
          <w:sz w:val="24"/>
          <w:szCs w:val="24"/>
          <w:highlight w:val="none"/>
          <w:lang w:val="en-US" w:eastAsia="zh-CN"/>
        </w:rPr>
        <w:t>19115693209</w:t>
      </w:r>
    </w:p>
    <w:p w14:paraId="6997ECF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地  址：重庆市江北区建新东路3号附1号        </w:t>
      </w:r>
    </w:p>
    <w:p w14:paraId="7D4C996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（二）代理机构：重庆方采工程项目管理咨询有限公司</w:t>
      </w:r>
    </w:p>
    <w:p w14:paraId="3BE94E5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周</w:t>
      </w:r>
      <w:r>
        <w:rPr>
          <w:rFonts w:hint="eastAsia" w:asciiTheme="minorEastAsia" w:hAnsiTheme="minorEastAsia" w:eastAsiaTheme="minorEastAsia" w:cstheme="minorEastAsia"/>
          <w:bCs/>
          <w:color w:val="auto"/>
          <w:sz w:val="24"/>
          <w:szCs w:val="24"/>
          <w:highlight w:val="none"/>
        </w:rPr>
        <w:t>老师</w:t>
      </w:r>
    </w:p>
    <w:p w14:paraId="587D596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  话：18983262951</w:t>
      </w:r>
    </w:p>
    <w:p w14:paraId="5E42F98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  址：</w:t>
      </w:r>
      <w:bookmarkStart w:id="69" w:name="_Toc20127"/>
      <w:bookmarkStart w:id="70" w:name="_Toc22183"/>
      <w:r>
        <w:rPr>
          <w:rFonts w:hint="eastAsia" w:asciiTheme="minorEastAsia" w:hAnsiTheme="minorEastAsia" w:eastAsiaTheme="minorEastAsia" w:cstheme="minorEastAsia"/>
          <w:bCs/>
          <w:color w:val="auto"/>
          <w:sz w:val="24"/>
          <w:szCs w:val="24"/>
          <w:highlight w:val="none"/>
        </w:rPr>
        <w:t>重庆市大渡口区八桥镇山海路80号附1号</w:t>
      </w:r>
    </w:p>
    <w:p w14:paraId="6E7A461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D7E021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bookmarkStart w:id="71" w:name="_Toc23434"/>
      <w:r>
        <w:rPr>
          <w:rFonts w:hint="eastAsia" w:asciiTheme="minorEastAsia" w:hAnsiTheme="minorEastAsia" w:eastAsiaTheme="minorEastAsia" w:cstheme="minorEastAsia"/>
          <w:b/>
          <w:bCs/>
          <w:color w:val="auto"/>
          <w:sz w:val="28"/>
          <w:szCs w:val="28"/>
          <w:highlight w:val="none"/>
        </w:rPr>
        <w:t>竞采报名登记表</w:t>
      </w:r>
    </w:p>
    <w:p w14:paraId="4EFB482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b/>
          <w:bCs/>
          <w:color w:val="auto"/>
          <w:spacing w:val="40"/>
          <w:sz w:val="28"/>
          <w:szCs w:val="28"/>
          <w:highlight w:val="none"/>
        </w:rPr>
      </w:pPr>
    </w:p>
    <w:tbl>
      <w:tblPr>
        <w:tblStyle w:val="26"/>
        <w:tblW w:w="984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632"/>
        <w:gridCol w:w="1154"/>
        <w:gridCol w:w="3963"/>
      </w:tblGrid>
      <w:tr w14:paraId="3E7E7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00" w:type="dxa"/>
            <w:vAlign w:val="center"/>
          </w:tcPr>
          <w:p w14:paraId="4D43367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tc>
        <w:tc>
          <w:tcPr>
            <w:tcW w:w="7749" w:type="dxa"/>
            <w:gridSpan w:val="3"/>
            <w:vAlign w:val="center"/>
          </w:tcPr>
          <w:p w14:paraId="0DE9135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21571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100" w:type="dxa"/>
            <w:vAlign w:val="center"/>
          </w:tcPr>
          <w:p w14:paraId="6957426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p>
        </w:tc>
        <w:tc>
          <w:tcPr>
            <w:tcW w:w="7749" w:type="dxa"/>
            <w:gridSpan w:val="3"/>
            <w:vAlign w:val="bottom"/>
          </w:tcPr>
          <w:p w14:paraId="4EF4779F">
            <w:pPr>
              <w:pageBreakBefore w:val="0"/>
              <w:kinsoku/>
              <w:wordWrap/>
              <w:overflowPunct/>
              <w:topLinePunct w:val="0"/>
              <w:autoSpaceDE/>
              <w:autoSpaceDN/>
              <w:bidi w:val="0"/>
              <w:adjustRightInd/>
              <w:spacing w:line="560" w:lineRule="exact"/>
              <w:ind w:left="0" w:leftChars="0" w:right="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（公章）</w:t>
            </w:r>
          </w:p>
        </w:tc>
      </w:tr>
      <w:tr w14:paraId="76754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00" w:type="dxa"/>
            <w:vAlign w:val="center"/>
          </w:tcPr>
          <w:p w14:paraId="4EE84C3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w:t>
            </w:r>
          </w:p>
        </w:tc>
        <w:tc>
          <w:tcPr>
            <w:tcW w:w="2632" w:type="dxa"/>
            <w:vAlign w:val="center"/>
          </w:tcPr>
          <w:p w14:paraId="0A44281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4" w:type="dxa"/>
            <w:vAlign w:val="center"/>
          </w:tcPr>
          <w:p w14:paraId="4907178B">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手机</w:t>
            </w:r>
          </w:p>
        </w:tc>
        <w:tc>
          <w:tcPr>
            <w:tcW w:w="3963" w:type="dxa"/>
            <w:vAlign w:val="center"/>
          </w:tcPr>
          <w:p w14:paraId="7F663B1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7D9C3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00" w:type="dxa"/>
            <w:vAlign w:val="center"/>
          </w:tcPr>
          <w:p w14:paraId="053BA1E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办公电话</w:t>
            </w:r>
          </w:p>
        </w:tc>
        <w:tc>
          <w:tcPr>
            <w:tcW w:w="2632" w:type="dxa"/>
            <w:vAlign w:val="center"/>
          </w:tcPr>
          <w:p w14:paraId="6D0058C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4" w:type="dxa"/>
            <w:vAlign w:val="center"/>
          </w:tcPr>
          <w:p w14:paraId="457EE75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传真</w:t>
            </w:r>
          </w:p>
        </w:tc>
        <w:tc>
          <w:tcPr>
            <w:tcW w:w="3963" w:type="dxa"/>
            <w:vAlign w:val="center"/>
          </w:tcPr>
          <w:p w14:paraId="098B35A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13A00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00" w:type="dxa"/>
            <w:vAlign w:val="center"/>
          </w:tcPr>
          <w:p w14:paraId="178EDBD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E-mail</w:t>
            </w:r>
          </w:p>
        </w:tc>
        <w:tc>
          <w:tcPr>
            <w:tcW w:w="2632" w:type="dxa"/>
            <w:vAlign w:val="center"/>
          </w:tcPr>
          <w:p w14:paraId="6767DB7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4" w:type="dxa"/>
            <w:vAlign w:val="center"/>
          </w:tcPr>
          <w:p w14:paraId="0614645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登记</w:t>
            </w:r>
          </w:p>
          <w:p w14:paraId="777CB0B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日期</w:t>
            </w:r>
          </w:p>
        </w:tc>
        <w:tc>
          <w:tcPr>
            <w:tcW w:w="3963" w:type="dxa"/>
            <w:vAlign w:val="center"/>
          </w:tcPr>
          <w:p w14:paraId="2A60036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tc>
      </w:tr>
      <w:tr w14:paraId="7E0DF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100" w:type="dxa"/>
            <w:vAlign w:val="center"/>
          </w:tcPr>
          <w:p w14:paraId="61F6903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供应商地址</w:t>
            </w:r>
          </w:p>
        </w:tc>
        <w:tc>
          <w:tcPr>
            <w:tcW w:w="7749" w:type="dxa"/>
            <w:gridSpan w:val="3"/>
            <w:vAlign w:val="center"/>
          </w:tcPr>
          <w:p w14:paraId="407D11E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5F28F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9849" w:type="dxa"/>
            <w:gridSpan w:val="4"/>
            <w:vAlign w:val="center"/>
          </w:tcPr>
          <w:p w14:paraId="14B2FB0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bl>
    <w:p w14:paraId="2CA79E1F">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090934C">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19DF18E">
      <w:pPr>
        <w:pStyle w:val="3"/>
        <w:pageBreakBefore w:val="0"/>
        <w:kinsoku/>
        <w:wordWrap/>
        <w:overflowPunct/>
        <w:topLinePunct w:val="0"/>
        <w:autoSpaceDE/>
        <w:autoSpaceDN/>
        <w:bidi w:val="0"/>
        <w:adjustRightInd/>
        <w:spacing w:line="560" w:lineRule="exact"/>
        <w:ind w:left="0" w:leftChars="0" w:right="0" w:firstLine="643"/>
        <w:textAlignment w:val="auto"/>
        <w:rPr>
          <w:rFonts w:hint="eastAsia" w:asciiTheme="minorEastAsia" w:hAnsiTheme="minorEastAsia" w:eastAsiaTheme="minorEastAsia" w:cstheme="minorEastAsia"/>
          <w:bCs/>
          <w:color w:val="auto"/>
          <w:sz w:val="28"/>
          <w:szCs w:val="28"/>
          <w:highlight w:val="none"/>
        </w:rPr>
        <w:sectPr>
          <w:footerReference r:id="rId4" w:type="default"/>
          <w:pgSz w:w="11905" w:h="16838"/>
          <w:pgMar w:top="1134" w:right="1134" w:bottom="1134" w:left="1134" w:header="850" w:footer="992" w:gutter="0"/>
          <w:pgNumType w:fmt="numberInDash" w:start="1"/>
          <w:cols w:space="720" w:num="1"/>
          <w:docGrid w:type="lines" w:linePitch="388" w:charSpace="0"/>
        </w:sectPr>
      </w:pPr>
    </w:p>
    <w:p w14:paraId="337F822E">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Cs/>
          <w:color w:val="auto"/>
          <w:sz w:val="36"/>
          <w:szCs w:val="36"/>
          <w:highlight w:val="none"/>
          <w:lang w:eastAsia="zh-CN"/>
        </w:rPr>
      </w:pPr>
      <w:bookmarkStart w:id="72" w:name="_Toc13642"/>
      <w:bookmarkStart w:id="73" w:name="_Toc13540"/>
      <w:r>
        <w:rPr>
          <w:rFonts w:hint="eastAsia" w:asciiTheme="minorEastAsia" w:hAnsiTheme="minorEastAsia" w:eastAsiaTheme="minorEastAsia" w:cstheme="minorEastAsia"/>
          <w:bCs/>
          <w:color w:val="auto"/>
          <w:sz w:val="36"/>
          <w:szCs w:val="36"/>
          <w:highlight w:val="none"/>
        </w:rPr>
        <w:t xml:space="preserve">第二篇 </w:t>
      </w:r>
      <w:bookmarkEnd w:id="69"/>
      <w:bookmarkEnd w:id="70"/>
      <w:bookmarkEnd w:id="71"/>
      <w:r>
        <w:rPr>
          <w:rFonts w:hint="eastAsia" w:asciiTheme="minorEastAsia" w:hAnsiTheme="minorEastAsia" w:eastAsiaTheme="minorEastAsia" w:cstheme="minorEastAsia"/>
          <w:bCs/>
          <w:color w:val="auto"/>
          <w:sz w:val="36"/>
          <w:szCs w:val="36"/>
          <w:highlight w:val="none"/>
          <w:lang w:eastAsia="zh-CN"/>
        </w:rPr>
        <w:t>项目技术（服务）需求</w:t>
      </w:r>
      <w:bookmarkEnd w:id="72"/>
      <w:bookmarkEnd w:id="73"/>
    </w:p>
    <w:bookmarkEnd w:id="53"/>
    <w:p w14:paraId="6C10E59E">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480" w:firstLineChars="200"/>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bookmarkStart w:id="74" w:name="_Toc3518"/>
      <w:bookmarkStart w:id="75" w:name="_Toc17173"/>
      <w:bookmarkStart w:id="76" w:name="_Toc1902"/>
      <w:bookmarkStart w:id="77" w:name="_Toc8493"/>
      <w:bookmarkStart w:id="78" w:name="_Toc22938"/>
      <w:bookmarkStart w:id="79" w:name="_Toc7873"/>
      <w:bookmarkStart w:id="80" w:name="_Toc14076"/>
      <w:r>
        <w:rPr>
          <w:rFonts w:hint="eastAsia" w:asciiTheme="minorEastAsia" w:hAnsiTheme="minorEastAsia" w:eastAsiaTheme="minorEastAsia" w:cstheme="minorEastAsia"/>
          <w:bCs/>
          <w:color w:val="auto"/>
          <w:kern w:val="2"/>
          <w:sz w:val="24"/>
          <w:szCs w:val="24"/>
          <w:highlight w:val="none"/>
          <w:lang w:val="en-US" w:eastAsia="zh-CN" w:bidi="ar-SA"/>
        </w:rPr>
        <w:t>※内容为符合性审查内容，不满足的作无效响应处理。</w:t>
      </w:r>
      <w:bookmarkEnd w:id="74"/>
      <w:bookmarkEnd w:id="75"/>
    </w:p>
    <w:p w14:paraId="1CC51049">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81" w:name="_Toc23113"/>
      <w:bookmarkStart w:id="82" w:name="_Toc1941"/>
      <w:r>
        <w:rPr>
          <w:rFonts w:hint="eastAsia" w:asciiTheme="minorEastAsia" w:hAnsiTheme="minorEastAsia" w:eastAsiaTheme="minorEastAsia" w:cstheme="minorEastAsia"/>
          <w:b w:val="0"/>
          <w:bCs/>
          <w:color w:val="auto"/>
          <w:kern w:val="44"/>
          <w:sz w:val="24"/>
          <w:szCs w:val="24"/>
          <w:highlight w:val="none"/>
          <w:lang w:val="en-US" w:eastAsia="zh-CN" w:bidi="ar-SA"/>
        </w:rPr>
        <w:t>一、</w:t>
      </w:r>
      <w:bookmarkEnd w:id="81"/>
      <w:r>
        <w:rPr>
          <w:rFonts w:hint="eastAsia" w:asciiTheme="minorEastAsia" w:hAnsiTheme="minorEastAsia" w:eastAsiaTheme="minorEastAsia" w:cstheme="minorEastAsia"/>
          <w:b w:val="0"/>
          <w:bCs/>
          <w:color w:val="auto"/>
          <w:kern w:val="44"/>
          <w:sz w:val="24"/>
          <w:szCs w:val="24"/>
          <w:highlight w:val="none"/>
          <w:lang w:val="en-US" w:eastAsia="zh-CN" w:bidi="ar-SA"/>
        </w:rPr>
        <w:t>项目概述</w:t>
      </w:r>
      <w:bookmarkEnd w:id="82"/>
    </w:p>
    <w:p w14:paraId="0B26D2BB">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根据采购人单位工作要求，拟采购供应商提供设计制作农业执法普法宣传物料。</w:t>
      </w:r>
    </w:p>
    <w:p w14:paraId="40C3E1B0">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83" w:name="_Toc206"/>
      <w:r>
        <w:rPr>
          <w:rFonts w:hint="eastAsia" w:asciiTheme="minorEastAsia" w:hAnsiTheme="minorEastAsia" w:eastAsiaTheme="minorEastAsia" w:cstheme="minorEastAsia"/>
          <w:b w:val="0"/>
          <w:bCs/>
          <w:color w:val="auto"/>
          <w:kern w:val="44"/>
          <w:sz w:val="24"/>
          <w:szCs w:val="24"/>
          <w:highlight w:val="none"/>
          <w:lang w:val="en-US" w:eastAsia="zh-CN" w:bidi="ar-SA"/>
        </w:rPr>
        <w:t>※二、工作内容</w:t>
      </w:r>
      <w:bookmarkEnd w:id="83"/>
    </w:p>
    <w:p w14:paraId="0B392881">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（一）工作背景及意义</w:t>
      </w:r>
    </w:p>
    <w:p w14:paraId="220FE8AD">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近年来，市农业综合执法总队按“谁执法谁普法”要求，持续推进普法宣传工作，但是存在农业执法点多面广链长，普法对象众多、受教育程度参差不齐等客观情况，制约了农业执法普法宣传效果。</w:t>
      </w:r>
    </w:p>
    <w:p w14:paraId="1CDB557F">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（二）工作主要内容</w:t>
      </w:r>
    </w:p>
    <w:p w14:paraId="2902FB1C">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1.农业农村部办公厅《关于进一步严明纪律加强农业综合行政执法队伍建设的意见》（农办法〔</w:t>
      </w:r>
      <w:r>
        <w:rPr>
          <w:rFonts w:hint="default"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号）要求要求“认真落实‘谁执法谁普法’普法责任制，推动执法普法有机融合”、重庆市委《关于推进清廉文化建设的实施方案》（渝委党建〔</w:t>
      </w:r>
      <w:r>
        <w:rPr>
          <w:rFonts w:hint="default"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 xml:space="preserve"> 号）要求深入实施清廉文化研究阐释、清廉文化服务供给提升、清廉文化实践养成等六大行动。</w:t>
      </w:r>
    </w:p>
    <w:p w14:paraId="05D929AF">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为更好履行执法普法职能职责，市总队坚持以廉政文化建设为统领，将清廉文化建设全面贯通于执法普法宣传工作中，推动执法普法高质量开展。市总队以采购服务的方式，购买采购设计制作农业执法普法宣传物料服务，服务内容包括设计制作农业执法“小板凳”服务队宣传物料，包括宣传用水杯、宣传用布袋、宣传用遮阳帽、普法宣传画册。</w:t>
      </w:r>
    </w:p>
    <w:p w14:paraId="67115A41">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3.具体要求明细</w:t>
      </w:r>
    </w:p>
    <w:p w14:paraId="0C591AFB">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设计制作市总队各执法领域各类普法宣传物料，其中</w:t>
      </w:r>
      <w:r>
        <w:rPr>
          <w:rFonts w:hint="eastAsia" w:asciiTheme="minorEastAsia" w:hAnsiTheme="minorEastAsia" w:eastAsiaTheme="minorEastAsia" w:cstheme="minorEastAsia"/>
          <w:b w:val="0"/>
          <w:bCs/>
          <w:color w:val="auto"/>
          <w:kern w:val="44"/>
          <w:sz w:val="24"/>
          <w:szCs w:val="24"/>
          <w:highlight w:val="none"/>
          <w:lang w:val="en-US" w:eastAsia="zh-CN" w:bidi="ar-SA"/>
        </w:rPr>
        <w:t>规格要求</w:t>
      </w:r>
      <w:r>
        <w:rPr>
          <w:rFonts w:hint="eastAsia" w:asciiTheme="minorEastAsia" w:hAnsiTheme="minorEastAsia" w:eastAsiaTheme="minorEastAsia" w:cstheme="minorEastAsia"/>
          <w:color w:val="auto"/>
          <w:sz w:val="24"/>
          <w:szCs w:val="24"/>
          <w:highlight w:val="none"/>
          <w:lang w:val="en-US" w:eastAsia="zh-CN"/>
        </w:rPr>
        <w:t>：</w:t>
      </w:r>
    </w:p>
    <w:p w14:paraId="3C0A0D03">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①手提袋：4款，标语不同，双面内容不同，横款，白色，规格40*30*10cm，数量2000个。</w:t>
      </w:r>
    </w:p>
    <w:p w14:paraId="54F7B623">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②手提袋：3款，标语不同，双面内容不同，16A帆布面料+复合无纺布，含磁扣，内袋，单个重量≥300g，数量2000个。</w:t>
      </w:r>
    </w:p>
    <w:p w14:paraId="455F9E7F">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③水杯：4款，标语不同，双面定制，双面内容不同，单色3d印刷，数量2000个。</w:t>
      </w:r>
    </w:p>
    <w:p w14:paraId="14E547FF">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④遮阳帽：5款，彩印logo2处，每款标语不同，数量2000个。</w:t>
      </w:r>
    </w:p>
    <w:p w14:paraId="0ACB19FD">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⑤画册：锁线精装，尺寸210*250mm-铜版纸157克裱灰板-单面-彩色-单面防刮伤哑膜-热烫[哑黄金][225X50]-局部UV[亮光][200X44]-4P-环衬-白布纹180克-不印-8P-内页-铜版纸157克-双面-彩色-36P-共48P，数量100本。</w:t>
      </w:r>
    </w:p>
    <w:p w14:paraId="74767A82">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⑥音频：8个，每个时长约2分钟，比特率128kbps。</w:t>
      </w:r>
    </w:p>
    <w:p w14:paraId="26AA0A96">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⑦漫画书：210*140mm，骑马订装订，封面铜版纸250克，彩色印刷，内页铜版纸157克，总页数20P，数量1000本。</w:t>
      </w:r>
    </w:p>
    <w:p w14:paraId="54333E28">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sectPr>
          <w:footerReference r:id="rId6" w:type="first"/>
          <w:footerReference r:id="rId5" w:type="default"/>
          <w:pgSz w:w="11905" w:h="16838"/>
          <w:pgMar w:top="1134" w:right="1134" w:bottom="1134" w:left="1134" w:header="850" w:footer="992" w:gutter="0"/>
          <w:pgNumType w:fmt="numberInDash"/>
          <w:cols w:space="0" w:num="1"/>
          <w:titlePg/>
          <w:docGrid w:type="lines" w:linePitch="385" w:charSpace="0"/>
        </w:sectPr>
      </w:pPr>
      <w:r>
        <w:rPr>
          <w:rFonts w:hint="eastAsia" w:asciiTheme="minorEastAsia" w:hAnsiTheme="minorEastAsia" w:eastAsiaTheme="minorEastAsia" w:cstheme="minorEastAsia"/>
          <w:color w:val="auto"/>
          <w:sz w:val="24"/>
          <w:szCs w:val="24"/>
          <w:highlight w:val="none"/>
          <w:lang w:val="en-US" w:eastAsia="zh-CN"/>
        </w:rPr>
        <w:t xml:space="preserve"> 注：以上规格要求及数量，最终以采购人给出的需求为准。</w:t>
      </w:r>
    </w:p>
    <w:p w14:paraId="75D9C694">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val="0"/>
          <w:color w:val="auto"/>
          <w:sz w:val="36"/>
          <w:szCs w:val="36"/>
          <w:highlight w:val="none"/>
        </w:rPr>
      </w:pPr>
      <w:bookmarkStart w:id="84" w:name="_Toc29568"/>
      <w:bookmarkStart w:id="85" w:name="_Toc13847"/>
      <w:r>
        <w:rPr>
          <w:rFonts w:hint="eastAsia" w:asciiTheme="minorEastAsia" w:hAnsiTheme="minorEastAsia" w:eastAsiaTheme="minorEastAsia" w:cstheme="minorEastAsia"/>
          <w:b/>
          <w:bCs w:val="0"/>
          <w:color w:val="auto"/>
          <w:sz w:val="36"/>
          <w:szCs w:val="36"/>
          <w:highlight w:val="none"/>
        </w:rPr>
        <w:t>第三篇 项目商务需求</w:t>
      </w:r>
      <w:bookmarkEnd w:id="76"/>
      <w:bookmarkEnd w:id="77"/>
      <w:bookmarkEnd w:id="78"/>
      <w:bookmarkEnd w:id="84"/>
      <w:bookmarkEnd w:id="85"/>
    </w:p>
    <w:bookmarkEnd w:id="79"/>
    <w:bookmarkEnd w:id="80"/>
    <w:p w14:paraId="41BE6604">
      <w:pPr>
        <w:pageBreakBefore w:val="0"/>
        <w:kinsoku/>
        <w:wordWrap/>
        <w:overflowPunct/>
        <w:topLinePunct w:val="0"/>
        <w:autoSpaceDE/>
        <w:autoSpaceDN/>
        <w:bidi w:val="0"/>
        <w:adjustRightInd/>
        <w:snapToGrid w:val="0"/>
        <w:spacing w:line="360" w:lineRule="auto"/>
        <w:ind w:left="0" w:leftChars="0" w:right="0" w:firstLine="482" w:firstLineChars="200"/>
        <w:textAlignment w:val="auto"/>
        <w:rPr>
          <w:rFonts w:hint="eastAsia" w:asciiTheme="minorEastAsia" w:hAnsiTheme="minorEastAsia" w:eastAsiaTheme="minorEastAsia" w:cstheme="minorEastAsia"/>
          <w:b/>
          <w:bCs w:val="0"/>
          <w:color w:val="auto"/>
          <w:sz w:val="24"/>
          <w:szCs w:val="24"/>
          <w:highlight w:val="none"/>
        </w:rPr>
      </w:pPr>
      <w:bookmarkStart w:id="86" w:name="_Toc25903"/>
      <w:bookmarkStart w:id="87" w:name="_Toc25165"/>
      <w:bookmarkStart w:id="88" w:name="_Toc24966"/>
      <w:bookmarkStart w:id="89" w:name="_Toc23663"/>
      <w:bookmarkStart w:id="90" w:name="_Toc75793517"/>
      <w:bookmarkStart w:id="91" w:name="_Toc15693"/>
      <w:bookmarkStart w:id="92" w:name="_Toc2672"/>
      <w:bookmarkStart w:id="93" w:name="_Toc106030393"/>
      <w:bookmarkStart w:id="94" w:name="_Toc8133"/>
      <w:bookmarkStart w:id="95" w:name="_Toc2487"/>
      <w:bookmarkStart w:id="96" w:name="_Toc25911"/>
      <w:bookmarkStart w:id="97" w:name="_Toc11875"/>
      <w:bookmarkStart w:id="98" w:name="_Toc22763"/>
      <w:bookmarkStart w:id="99" w:name="_Toc30067"/>
      <w:bookmarkStart w:id="100" w:name="_Toc17711"/>
      <w:bookmarkStart w:id="101" w:name="_Toc3339"/>
      <w:bookmarkStart w:id="102" w:name="_Toc2406"/>
      <w:bookmarkStart w:id="103" w:name="_Toc23377"/>
      <w:bookmarkStart w:id="104" w:name="_Toc10668"/>
    </w:p>
    <w:p w14:paraId="1B5D4044">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※内容为符合性审查内容，不满足的作无效响应处理。</w:t>
      </w:r>
    </w:p>
    <w:p w14:paraId="4DC29AA1">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05" w:name="_Toc13384"/>
      <w:bookmarkStart w:id="106" w:name="_Toc13488"/>
      <w:bookmarkStart w:id="107" w:name="_Toc20789"/>
      <w:r>
        <w:rPr>
          <w:rFonts w:hint="eastAsia" w:asciiTheme="minorEastAsia" w:hAnsiTheme="minorEastAsia" w:eastAsiaTheme="minorEastAsia" w:cstheme="minorEastAsia"/>
          <w:b w:val="0"/>
          <w:bCs/>
          <w:color w:val="auto"/>
          <w:kern w:val="44"/>
          <w:sz w:val="24"/>
          <w:szCs w:val="24"/>
          <w:highlight w:val="none"/>
          <w:lang w:val="en-US" w:eastAsia="zh-CN" w:bidi="ar-SA"/>
        </w:rPr>
        <w:t>※一、服务地点、验收方式</w:t>
      </w:r>
      <w:bookmarkEnd w:id="105"/>
      <w:bookmarkEnd w:id="106"/>
      <w:bookmarkEnd w:id="107"/>
    </w:p>
    <w:p w14:paraId="61959947">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bookmarkStart w:id="108" w:name="_Toc18506"/>
      <w:bookmarkStart w:id="109" w:name="_Toc15193"/>
      <w:r>
        <w:rPr>
          <w:rFonts w:hint="eastAsia" w:asciiTheme="minorEastAsia" w:hAnsiTheme="minorEastAsia" w:eastAsiaTheme="minorEastAsia" w:cstheme="minorEastAsia"/>
          <w:color w:val="auto"/>
          <w:sz w:val="24"/>
          <w:szCs w:val="24"/>
          <w:highlight w:val="none"/>
          <w:lang w:val="en-US" w:eastAsia="zh-CN"/>
        </w:rPr>
        <w:t>（一）服务地点：</w:t>
      </w:r>
      <w:r>
        <w:rPr>
          <w:rFonts w:hint="eastAsia" w:asciiTheme="minorEastAsia" w:hAnsiTheme="minorEastAsia" w:eastAsiaTheme="minorEastAsia" w:cstheme="minorEastAsia"/>
          <w:color w:val="auto"/>
          <w:sz w:val="24"/>
          <w:szCs w:val="24"/>
          <w:highlight w:val="none"/>
        </w:rPr>
        <w:t>采购人指定地点。</w:t>
      </w:r>
      <w:bookmarkEnd w:id="108"/>
      <w:bookmarkEnd w:id="109"/>
    </w:p>
    <w:p w14:paraId="3B29916E">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bookmarkStart w:id="110" w:name="_Toc20721"/>
      <w:bookmarkStart w:id="111" w:name="_Toc22192"/>
      <w:r>
        <w:rPr>
          <w:rFonts w:hint="eastAsia" w:asciiTheme="minorEastAsia" w:hAnsiTheme="minorEastAsia" w:eastAsiaTheme="minorEastAsia" w:cstheme="minorEastAsia"/>
          <w:color w:val="auto"/>
          <w:sz w:val="24"/>
          <w:szCs w:val="24"/>
          <w:highlight w:val="none"/>
          <w:lang w:val="en-US" w:eastAsia="zh-CN"/>
        </w:rPr>
        <w:t>（二）验收方式：</w:t>
      </w:r>
      <w:bookmarkEnd w:id="110"/>
      <w:r>
        <w:rPr>
          <w:rFonts w:hint="eastAsia" w:asciiTheme="minorEastAsia" w:hAnsiTheme="minorEastAsia" w:eastAsiaTheme="minorEastAsia" w:cstheme="minorEastAsia"/>
          <w:color w:val="auto"/>
          <w:sz w:val="24"/>
          <w:szCs w:val="24"/>
          <w:highlight w:val="none"/>
        </w:rPr>
        <w:t>按照竞采文件、采购合同及相关规定，由采购人组织验收。</w:t>
      </w:r>
      <w:bookmarkEnd w:id="111"/>
    </w:p>
    <w:p w14:paraId="1E0DC5A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12" w:name="_Toc10687"/>
      <w:bookmarkStart w:id="113" w:name="_Toc2173"/>
      <w:bookmarkStart w:id="114" w:name="_Toc19341"/>
      <w:r>
        <w:rPr>
          <w:rFonts w:hint="eastAsia" w:asciiTheme="minorEastAsia" w:hAnsiTheme="minorEastAsia" w:eastAsiaTheme="minorEastAsia" w:cstheme="minorEastAsia"/>
          <w:b w:val="0"/>
          <w:bCs/>
          <w:color w:val="auto"/>
          <w:kern w:val="44"/>
          <w:sz w:val="24"/>
          <w:szCs w:val="24"/>
          <w:highlight w:val="none"/>
          <w:lang w:val="en-US" w:eastAsia="zh-CN" w:bidi="ar-SA"/>
        </w:rPr>
        <w:t>※二、报价要求及结算方式</w:t>
      </w:r>
      <w:bookmarkEnd w:id="112"/>
      <w:bookmarkEnd w:id="113"/>
      <w:bookmarkEnd w:id="114"/>
    </w:p>
    <w:p w14:paraId="39D129C5">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bookmarkStart w:id="115" w:name="_Toc24100"/>
      <w:r>
        <w:rPr>
          <w:rFonts w:hint="eastAsia" w:asciiTheme="minorEastAsia" w:hAnsiTheme="minorEastAsia" w:eastAsiaTheme="minorEastAsia" w:cstheme="minorEastAsia"/>
          <w:bCs/>
          <w:color w:val="auto"/>
          <w:kern w:val="2"/>
          <w:sz w:val="24"/>
          <w:szCs w:val="24"/>
          <w:highlight w:val="none"/>
          <w:lang w:val="en-US" w:eastAsia="zh-CN" w:bidi="ar-SA"/>
        </w:rPr>
        <w:t>（一）报价要求：</w:t>
      </w:r>
    </w:p>
    <w:p w14:paraId="1423241A">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本项目报价为总价包干价格，包含但不限于完成项目的全部劳务费、设备</w:t>
      </w:r>
      <w:r>
        <w:rPr>
          <w:rFonts w:hint="eastAsia" w:asciiTheme="minorEastAsia" w:hAnsiTheme="minorEastAsia" w:eastAsiaTheme="minorEastAsia" w:cstheme="minorEastAsia"/>
          <w:color w:val="auto"/>
          <w:sz w:val="24"/>
          <w:szCs w:val="24"/>
          <w:highlight w:val="none"/>
          <w:lang w:val="en-US" w:eastAsia="zh-CN"/>
        </w:rPr>
        <w:t>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材料费、租赁费、打印费、管理费、</w:t>
      </w:r>
      <w:r>
        <w:rPr>
          <w:rFonts w:hint="eastAsia" w:asciiTheme="minorEastAsia" w:hAnsiTheme="minorEastAsia" w:eastAsiaTheme="minorEastAsia" w:cstheme="minorEastAsia"/>
          <w:color w:val="auto"/>
          <w:sz w:val="24"/>
          <w:szCs w:val="24"/>
          <w:highlight w:val="none"/>
        </w:rPr>
        <w:t>利润、税费、采购代理服务费</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行采家平台费（注：成交供应商支付，包含在报价中不单列）等全部费用。因供应商自身原因少报漏报的，成交人自行承担，成交后执行价格以报价为准不再调整。</w:t>
      </w:r>
    </w:p>
    <w:p w14:paraId="1CC93C74">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16" w:name="_Toc19539"/>
      <w:bookmarkStart w:id="117" w:name="_Toc27196"/>
      <w:bookmarkStart w:id="118" w:name="_Toc19984"/>
      <w:r>
        <w:rPr>
          <w:rFonts w:hint="eastAsia" w:asciiTheme="minorEastAsia" w:hAnsiTheme="minorEastAsia" w:eastAsiaTheme="minorEastAsia" w:cstheme="minorEastAsia"/>
          <w:b w:val="0"/>
          <w:bCs/>
          <w:color w:val="auto"/>
          <w:kern w:val="44"/>
          <w:sz w:val="24"/>
          <w:szCs w:val="24"/>
          <w:highlight w:val="none"/>
          <w:lang w:val="en-US" w:eastAsia="zh-CN" w:bidi="ar-SA"/>
        </w:rPr>
        <w:t>※三、</w:t>
      </w:r>
      <w:bookmarkEnd w:id="115"/>
      <w:r>
        <w:rPr>
          <w:rFonts w:hint="eastAsia" w:asciiTheme="minorEastAsia" w:hAnsiTheme="minorEastAsia" w:eastAsiaTheme="minorEastAsia" w:cstheme="minorEastAsia"/>
          <w:b w:val="0"/>
          <w:bCs/>
          <w:color w:val="auto"/>
          <w:kern w:val="44"/>
          <w:sz w:val="24"/>
          <w:szCs w:val="24"/>
          <w:highlight w:val="none"/>
          <w:lang w:val="en-US" w:eastAsia="zh-CN" w:bidi="ar-SA"/>
        </w:rPr>
        <w:t>付款方式</w:t>
      </w:r>
      <w:bookmarkEnd w:id="116"/>
      <w:bookmarkEnd w:id="117"/>
      <w:bookmarkEnd w:id="118"/>
    </w:p>
    <w:p w14:paraId="474BC8E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（一）总价包干支付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成交供应商交货，且通过采购人验收合格后，10个工作日内支付合同款的100%</w:t>
      </w:r>
      <w:r>
        <w:rPr>
          <w:rFonts w:hint="eastAsia" w:asciiTheme="minorEastAsia" w:hAnsiTheme="minorEastAsia" w:eastAsiaTheme="minorEastAsia" w:cstheme="minorEastAsia"/>
          <w:color w:val="auto"/>
          <w:sz w:val="24"/>
          <w:szCs w:val="24"/>
          <w:highlight w:val="none"/>
        </w:rPr>
        <w:t>。</w:t>
      </w:r>
    </w:p>
    <w:p w14:paraId="7970174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（二）成交供应商应向采购人提交相应金额的</w:t>
      </w:r>
      <w:r>
        <w:rPr>
          <w:rFonts w:hint="eastAsia" w:asciiTheme="minorEastAsia" w:hAnsiTheme="minorEastAsia" w:eastAsiaTheme="minorEastAsia" w:cstheme="minorEastAsia"/>
          <w:color w:val="auto"/>
          <w:sz w:val="24"/>
          <w:szCs w:val="24"/>
          <w:highlight w:val="none"/>
          <w:lang w:val="en-US" w:eastAsia="zh-CN"/>
        </w:rPr>
        <w:t>有效</w:t>
      </w:r>
      <w:r>
        <w:rPr>
          <w:rFonts w:hint="eastAsia" w:asciiTheme="minorEastAsia" w:hAnsiTheme="minorEastAsia" w:eastAsiaTheme="minorEastAsia" w:cstheme="minorEastAsia"/>
          <w:color w:val="auto"/>
          <w:sz w:val="24"/>
          <w:szCs w:val="24"/>
          <w:highlight w:val="none"/>
        </w:rPr>
        <w:t>发票，采购人收到发票后安排支付流程,以转账方式向成交供应商支付服务费用。</w:t>
      </w:r>
    </w:p>
    <w:p w14:paraId="0971D533">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19" w:name="_Toc30864"/>
      <w:bookmarkStart w:id="120" w:name="_Toc31015"/>
      <w:bookmarkStart w:id="121" w:name="_Toc15345"/>
      <w:r>
        <w:rPr>
          <w:rFonts w:hint="eastAsia" w:asciiTheme="minorEastAsia" w:hAnsiTheme="minorEastAsia" w:eastAsiaTheme="minorEastAsia" w:cstheme="minorEastAsia"/>
          <w:b w:val="0"/>
          <w:bCs/>
          <w:color w:val="auto"/>
          <w:kern w:val="44"/>
          <w:sz w:val="24"/>
          <w:szCs w:val="24"/>
          <w:highlight w:val="none"/>
          <w:lang w:val="en-US" w:eastAsia="zh-CN" w:bidi="ar-SA"/>
        </w:rPr>
        <w:t>※四、知识产权</w:t>
      </w:r>
      <w:bookmarkEnd w:id="119"/>
      <w:bookmarkEnd w:id="120"/>
      <w:bookmarkEnd w:id="121"/>
    </w:p>
    <w:p w14:paraId="155692A2">
      <w:pPr>
        <w:pageBreakBefore w:val="0"/>
        <w:kinsoku/>
        <w:wordWrap/>
        <w:overflowPunct/>
        <w:topLinePunct w:val="0"/>
        <w:autoSpaceDE/>
        <w:autoSpaceDN/>
        <w:bidi w:val="0"/>
        <w:adjustRightInd/>
        <w:snapToGrid w:val="0"/>
        <w:spacing w:line="360" w:lineRule="auto"/>
        <w:ind w:left="0" w:leftChars="0" w:right="0" w:firstLine="5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采购人在中华人民共和国境内使用中选人提供的货物及服务时免受第三方提出的侵犯其专利权或其他知识产权的起诉。如果第三方提出侵权指控，中选人应承担由此而引起的一切法律责任和费用。</w:t>
      </w:r>
    </w:p>
    <w:p w14:paraId="0E5C5FD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22" w:name="_Toc15487"/>
      <w:bookmarkStart w:id="123" w:name="_Toc53646881"/>
      <w:bookmarkStart w:id="124" w:name="_Toc802"/>
      <w:bookmarkStart w:id="125" w:name="_Toc1592"/>
      <w:bookmarkStart w:id="126" w:name="_Toc15884"/>
      <w:r>
        <w:rPr>
          <w:rFonts w:hint="eastAsia" w:asciiTheme="minorEastAsia" w:hAnsiTheme="minorEastAsia" w:eastAsiaTheme="minorEastAsia" w:cstheme="minorEastAsia"/>
          <w:b w:val="0"/>
          <w:bCs/>
          <w:color w:val="auto"/>
          <w:kern w:val="44"/>
          <w:sz w:val="24"/>
          <w:szCs w:val="24"/>
          <w:highlight w:val="none"/>
          <w:lang w:val="en-US" w:eastAsia="zh-CN" w:bidi="ar-SA"/>
        </w:rPr>
        <w:t>五、</w:t>
      </w:r>
      <w:bookmarkEnd w:id="122"/>
      <w:bookmarkEnd w:id="123"/>
      <w:bookmarkEnd w:id="124"/>
      <w:bookmarkStart w:id="127" w:name="_Toc2121"/>
      <w:r>
        <w:rPr>
          <w:rFonts w:hint="eastAsia" w:asciiTheme="minorEastAsia" w:hAnsiTheme="minorEastAsia" w:eastAsiaTheme="minorEastAsia" w:cstheme="minorEastAsia"/>
          <w:b w:val="0"/>
          <w:bCs/>
          <w:color w:val="auto"/>
          <w:kern w:val="44"/>
          <w:sz w:val="24"/>
          <w:szCs w:val="24"/>
          <w:highlight w:val="none"/>
          <w:lang w:val="en-US" w:eastAsia="zh-CN" w:bidi="ar-SA"/>
        </w:rPr>
        <w:t>其他</w:t>
      </w:r>
      <w:bookmarkEnd w:id="125"/>
      <w:bookmarkEnd w:id="126"/>
      <w:bookmarkEnd w:id="127"/>
    </w:p>
    <w:p w14:paraId="53A355F5">
      <w:pPr>
        <w:pageBreakBefore w:val="0"/>
        <w:kinsoku/>
        <w:wordWrap/>
        <w:overflowPunct/>
        <w:topLinePunct w:val="0"/>
        <w:autoSpaceDE/>
        <w:autoSpaceDN/>
        <w:bidi w:val="0"/>
        <w:adjustRightInd/>
        <w:snapToGrid w:val="0"/>
        <w:spacing w:line="360" w:lineRule="auto"/>
        <w:ind w:left="0" w:leftChars="0" w:right="0" w:firstLine="5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其他未尽事宜由甲乙双方在合同中详细约定。</w:t>
      </w:r>
    </w:p>
    <w:p w14:paraId="28261444">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1687FD65">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 w:val="0"/>
          <w:bCs/>
          <w:color w:val="auto"/>
          <w:sz w:val="28"/>
          <w:szCs w:val="28"/>
          <w:highlight w:val="none"/>
        </w:rPr>
      </w:pPr>
      <w:bookmarkStart w:id="128" w:name="_Toc20268"/>
      <w:bookmarkStart w:id="129" w:name="_Toc2506"/>
      <w:r>
        <w:rPr>
          <w:rFonts w:hint="eastAsia" w:asciiTheme="minorEastAsia" w:hAnsiTheme="minorEastAsia" w:eastAsiaTheme="minorEastAsia" w:cstheme="minorEastAsia"/>
          <w:b/>
          <w:bCs w:val="0"/>
          <w:color w:val="auto"/>
          <w:sz w:val="36"/>
          <w:szCs w:val="36"/>
          <w:highlight w:val="none"/>
        </w:rPr>
        <w:t>第四篇 资格审查及评审办法</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8"/>
      <w:bookmarkEnd w:id="129"/>
      <w:bookmarkStart w:id="130" w:name="_Toc23973"/>
      <w:bookmarkStart w:id="131" w:name="_Toc21859"/>
      <w:bookmarkStart w:id="132" w:name="_Toc1497"/>
      <w:bookmarkStart w:id="133" w:name="_Toc29755"/>
      <w:bookmarkStart w:id="134" w:name="_Toc27081"/>
      <w:bookmarkStart w:id="135" w:name="_Toc25971"/>
      <w:bookmarkStart w:id="136" w:name="_Toc28360"/>
      <w:bookmarkStart w:id="137" w:name="_Toc4071"/>
      <w:bookmarkStart w:id="138" w:name="_Toc12641"/>
      <w:bookmarkStart w:id="139" w:name="_Toc14564"/>
      <w:bookmarkStart w:id="140" w:name="_Toc75793518"/>
      <w:bookmarkStart w:id="141" w:name="_Toc26309"/>
      <w:bookmarkStart w:id="142" w:name="_Toc28903"/>
      <w:bookmarkStart w:id="143" w:name="_Toc20541"/>
      <w:bookmarkStart w:id="144" w:name="_Toc8983"/>
      <w:bookmarkStart w:id="145" w:name="_Toc106030394"/>
      <w:bookmarkStart w:id="146" w:name="_Toc15440"/>
      <w:bookmarkStart w:id="147" w:name="_Toc10022"/>
      <w:bookmarkStart w:id="148" w:name="_Toc1763"/>
      <w:bookmarkStart w:id="149" w:name="_Toc3951"/>
    </w:p>
    <w:p w14:paraId="708E16F8">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50" w:name="_Toc19368"/>
      <w:bookmarkStart w:id="151" w:name="_Toc25450"/>
      <w:r>
        <w:rPr>
          <w:rFonts w:hint="eastAsia" w:asciiTheme="minorEastAsia" w:hAnsiTheme="minorEastAsia" w:eastAsiaTheme="minorEastAsia" w:cstheme="minorEastAsia"/>
          <w:b w:val="0"/>
          <w:bCs/>
          <w:color w:val="auto"/>
          <w:kern w:val="44"/>
          <w:sz w:val="24"/>
          <w:szCs w:val="24"/>
          <w:highlight w:val="none"/>
          <w:lang w:val="en-US" w:eastAsia="zh-CN" w:bidi="ar-SA"/>
        </w:rPr>
        <w:t>一、资格审查</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Theme="minorEastAsia" w:hAnsiTheme="minorEastAsia" w:eastAsiaTheme="minorEastAsia" w:cstheme="minorEastAsia"/>
          <w:b w:val="0"/>
          <w:bCs/>
          <w:color w:val="auto"/>
          <w:kern w:val="44"/>
          <w:sz w:val="24"/>
          <w:szCs w:val="24"/>
          <w:highlight w:val="none"/>
          <w:lang w:val="en-US" w:eastAsia="zh-CN" w:bidi="ar-SA"/>
        </w:rPr>
        <w:t>及符合性审查</w:t>
      </w:r>
      <w:bookmarkEnd w:id="145"/>
      <w:bookmarkEnd w:id="146"/>
      <w:bookmarkEnd w:id="147"/>
      <w:bookmarkEnd w:id="148"/>
      <w:bookmarkEnd w:id="149"/>
      <w:bookmarkEnd w:id="150"/>
      <w:bookmarkEnd w:id="151"/>
    </w:p>
    <w:p w14:paraId="1E00A6B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若未通过资格审查及符合性审查的响应文件，不进入评审环节。</w:t>
      </w:r>
    </w:p>
    <w:p w14:paraId="1332BC11">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（一）资格审查</w:t>
      </w:r>
    </w:p>
    <w:p w14:paraId="22986CF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对响应文件中的资格证明文件进行审查。资格审查资料表如下：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31"/>
        <w:gridCol w:w="3118"/>
        <w:gridCol w:w="4984"/>
      </w:tblGrid>
      <w:tr w14:paraId="11E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14:paraId="3E815029">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549" w:type="dxa"/>
            <w:gridSpan w:val="2"/>
            <w:vAlign w:val="center"/>
          </w:tcPr>
          <w:p w14:paraId="0794F668">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检查因素</w:t>
            </w:r>
          </w:p>
        </w:tc>
        <w:tc>
          <w:tcPr>
            <w:tcW w:w="4984" w:type="dxa"/>
            <w:vAlign w:val="center"/>
          </w:tcPr>
          <w:p w14:paraId="7975CE4D">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检查内容</w:t>
            </w:r>
          </w:p>
        </w:tc>
      </w:tr>
      <w:tr w14:paraId="20DC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vAlign w:val="center"/>
          </w:tcPr>
          <w:p w14:paraId="6D41D15E">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p>
        </w:tc>
        <w:tc>
          <w:tcPr>
            <w:tcW w:w="431" w:type="dxa"/>
            <w:vMerge w:val="restart"/>
            <w:vAlign w:val="center"/>
          </w:tcPr>
          <w:p w14:paraId="2E26DDD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基本资格条件</w:t>
            </w:r>
          </w:p>
        </w:tc>
        <w:tc>
          <w:tcPr>
            <w:tcW w:w="3118" w:type="dxa"/>
            <w:vAlign w:val="center"/>
          </w:tcPr>
          <w:p w14:paraId="01EE2332">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tc>
        <w:tc>
          <w:tcPr>
            <w:tcW w:w="4984" w:type="dxa"/>
            <w:vAlign w:val="center"/>
          </w:tcPr>
          <w:p w14:paraId="539FC81F">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1.供应商法人营业执照（副本）或事业单位法人证书（副本）或个体工商户营业执照或社会团体法人登记证书（提供复印件）。 </w:t>
            </w:r>
          </w:p>
          <w:p w14:paraId="5D2D9191">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2.供应商法定代表人身份证明和法定代表人授权代表委托书。</w:t>
            </w:r>
          </w:p>
        </w:tc>
      </w:tr>
      <w:tr w14:paraId="28EC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6352F0A5">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0E59F2F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6F573420">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rPr>
              <w:t>具有良好的商业信誉和健全的财务会计制度</w:t>
            </w:r>
          </w:p>
        </w:tc>
        <w:tc>
          <w:tcPr>
            <w:tcW w:w="4984" w:type="dxa"/>
            <w:vMerge w:val="restart"/>
            <w:vAlign w:val="center"/>
          </w:tcPr>
          <w:p w14:paraId="0137048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供应商提供“基本资</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格条件承诺函”（格式详见第七篇）</w:t>
            </w:r>
          </w:p>
          <w:p w14:paraId="44090734">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b/>
                <w:color w:val="auto"/>
                <w:sz w:val="24"/>
                <w:szCs w:val="24"/>
                <w:highlight w:val="none"/>
              </w:rPr>
            </w:pPr>
          </w:p>
        </w:tc>
      </w:tr>
      <w:tr w14:paraId="33AF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677508A9">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330688C0">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2E888A4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3.具有履行合同所必需的设备和专业技术能力</w:t>
            </w:r>
          </w:p>
        </w:tc>
        <w:tc>
          <w:tcPr>
            <w:tcW w:w="4984" w:type="dxa"/>
            <w:vMerge w:val="continue"/>
            <w:vAlign w:val="center"/>
          </w:tcPr>
          <w:p w14:paraId="6FB6DFB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r>
      <w:tr w14:paraId="0599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5352CAB4">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326F0E19">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07BED60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4.有依法缴纳税收和社会保障金的良好记录</w:t>
            </w:r>
          </w:p>
        </w:tc>
        <w:tc>
          <w:tcPr>
            <w:tcW w:w="4984" w:type="dxa"/>
            <w:vMerge w:val="continue"/>
            <w:vAlign w:val="center"/>
          </w:tcPr>
          <w:p w14:paraId="5B93E87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r>
      <w:tr w14:paraId="0B47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vAlign w:val="center"/>
          </w:tcPr>
          <w:p w14:paraId="210E4A20">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0E2D000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p>
        </w:tc>
        <w:tc>
          <w:tcPr>
            <w:tcW w:w="3118" w:type="dxa"/>
            <w:vAlign w:val="center"/>
          </w:tcPr>
          <w:p w14:paraId="0936F0E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5.参加采购活动前三年内，在经营活动中没有重大违法记录（注</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,1)</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tc>
        <w:tc>
          <w:tcPr>
            <w:tcW w:w="4984" w:type="dxa"/>
            <w:vMerge w:val="continue"/>
            <w:vAlign w:val="center"/>
          </w:tcPr>
          <w:p w14:paraId="28A0F0A1">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b/>
                <w:color w:val="auto"/>
                <w:sz w:val="24"/>
                <w:szCs w:val="24"/>
                <w:highlight w:val="none"/>
              </w:rPr>
            </w:pPr>
          </w:p>
        </w:tc>
      </w:tr>
      <w:tr w14:paraId="00A1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Merge w:val="continue"/>
            <w:vAlign w:val="center"/>
          </w:tcPr>
          <w:p w14:paraId="07C9227D">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431" w:type="dxa"/>
            <w:vMerge w:val="continue"/>
            <w:vAlign w:val="center"/>
          </w:tcPr>
          <w:p w14:paraId="71B07DF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c>
          <w:tcPr>
            <w:tcW w:w="3118" w:type="dxa"/>
            <w:vAlign w:val="center"/>
          </w:tcPr>
          <w:p w14:paraId="58D8C9A7">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tc>
        <w:tc>
          <w:tcPr>
            <w:tcW w:w="4984" w:type="dxa"/>
            <w:vAlign w:val="center"/>
          </w:tcPr>
          <w:p w14:paraId="37FE48D4">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p>
        </w:tc>
      </w:tr>
      <w:tr w14:paraId="419F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Align w:val="center"/>
          </w:tcPr>
          <w:p w14:paraId="0A7ECACC">
            <w:pPr>
              <w:pageBreakBefore w:val="0"/>
              <w:kinsoku/>
              <w:wordWrap/>
              <w:overflowPunct/>
              <w:topLinePunct w:val="0"/>
              <w:autoSpaceDE/>
              <w:autoSpaceDN/>
              <w:bidi w:val="0"/>
              <w:adjustRightInd/>
              <w:spacing w:line="240" w:lineRule="auto"/>
              <w:ind w:left="0" w:leftChars="0" w:right="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3549" w:type="dxa"/>
            <w:gridSpan w:val="2"/>
            <w:vAlign w:val="center"/>
          </w:tcPr>
          <w:p w14:paraId="66CB2E14">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本项目的特定资格要求</w:t>
            </w:r>
          </w:p>
        </w:tc>
        <w:tc>
          <w:tcPr>
            <w:tcW w:w="4984" w:type="dxa"/>
            <w:vAlign w:val="center"/>
          </w:tcPr>
          <w:p w14:paraId="00F0BD0B">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按“第一篇”的要求提交（如果有）。</w:t>
            </w:r>
          </w:p>
        </w:tc>
      </w:tr>
      <w:tr w14:paraId="60EC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Align w:val="center"/>
          </w:tcPr>
          <w:p w14:paraId="6D672B7B">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p>
        </w:tc>
        <w:tc>
          <w:tcPr>
            <w:tcW w:w="3549" w:type="dxa"/>
            <w:gridSpan w:val="2"/>
            <w:vAlign w:val="center"/>
          </w:tcPr>
          <w:p w14:paraId="19F91DE7">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竞采保证金</w:t>
            </w:r>
          </w:p>
        </w:tc>
        <w:tc>
          <w:tcPr>
            <w:tcW w:w="4984" w:type="dxa"/>
            <w:vAlign w:val="center"/>
          </w:tcPr>
          <w:p w14:paraId="5B142F1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按“第一篇”的要求提交（如果有）。</w:t>
            </w:r>
          </w:p>
        </w:tc>
      </w:tr>
    </w:tbl>
    <w:p w14:paraId="04DA80E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1C6D395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,1)</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竞采截止日期前通过 “信用中国”网站(www.creditchina.gov.cn)、"中国政府采购网"(www.ccgp.gov.cn)等渠道查询信用记录。</w:t>
      </w:r>
    </w:p>
    <w:p w14:paraId="331C139F">
      <w:pPr>
        <w:pStyle w:val="51"/>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（二）符合性审查</w:t>
      </w:r>
    </w:p>
    <w:p w14:paraId="6DC2BE6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评审小组应当对符合资格的供应商的响应文件进行符合性审查，以确定其是否满足竞采文件的实质性要求。符合性审查资料表如下：</w:t>
      </w:r>
    </w:p>
    <w:tbl>
      <w:tblPr>
        <w:tblStyle w:val="26"/>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60"/>
        <w:gridCol w:w="1742"/>
        <w:gridCol w:w="5822"/>
      </w:tblGrid>
      <w:tr w14:paraId="0D54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5" w:type="dxa"/>
            <w:vAlign w:val="center"/>
          </w:tcPr>
          <w:p w14:paraId="2DFF3825">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202" w:type="dxa"/>
            <w:gridSpan w:val="2"/>
            <w:vAlign w:val="center"/>
          </w:tcPr>
          <w:p w14:paraId="5E050A28">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评审因素</w:t>
            </w:r>
          </w:p>
        </w:tc>
        <w:tc>
          <w:tcPr>
            <w:tcW w:w="5822" w:type="dxa"/>
            <w:vAlign w:val="center"/>
          </w:tcPr>
          <w:p w14:paraId="4A463208">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评审标准</w:t>
            </w:r>
          </w:p>
        </w:tc>
      </w:tr>
      <w:tr w14:paraId="381A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5" w:type="dxa"/>
            <w:vMerge w:val="restart"/>
            <w:vAlign w:val="center"/>
          </w:tcPr>
          <w:p w14:paraId="7CABE68D">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60" w:type="dxa"/>
            <w:vMerge w:val="restart"/>
            <w:vAlign w:val="center"/>
          </w:tcPr>
          <w:p w14:paraId="701EA089">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有效性审查</w:t>
            </w:r>
          </w:p>
        </w:tc>
        <w:tc>
          <w:tcPr>
            <w:tcW w:w="1742" w:type="dxa"/>
            <w:vAlign w:val="center"/>
          </w:tcPr>
          <w:p w14:paraId="5E7AD3FE">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响应文件签署或盖章</w:t>
            </w:r>
          </w:p>
        </w:tc>
        <w:tc>
          <w:tcPr>
            <w:tcW w:w="5822" w:type="dxa"/>
            <w:vAlign w:val="center"/>
          </w:tcPr>
          <w:p w14:paraId="532A62C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响应文件上法定代表人（或其授权代表）的签署或盖章齐全。</w:t>
            </w:r>
          </w:p>
        </w:tc>
      </w:tr>
      <w:tr w14:paraId="0143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5" w:type="dxa"/>
            <w:vMerge w:val="continue"/>
            <w:vAlign w:val="center"/>
          </w:tcPr>
          <w:p w14:paraId="5C5B7BF7">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460" w:type="dxa"/>
            <w:vMerge w:val="continue"/>
            <w:vAlign w:val="center"/>
          </w:tcPr>
          <w:p w14:paraId="61A6F2D1">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p>
        </w:tc>
        <w:tc>
          <w:tcPr>
            <w:tcW w:w="1742" w:type="dxa"/>
            <w:vAlign w:val="center"/>
          </w:tcPr>
          <w:p w14:paraId="395FCF0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c>
          <w:tcPr>
            <w:tcW w:w="5822" w:type="dxa"/>
            <w:vAlign w:val="center"/>
          </w:tcPr>
          <w:p w14:paraId="42AF3C50">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每个包只能有一个</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r>
      <w:tr w14:paraId="6899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25" w:type="dxa"/>
            <w:vMerge w:val="continue"/>
            <w:vAlign w:val="center"/>
          </w:tcPr>
          <w:p w14:paraId="7A122319">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p>
        </w:tc>
        <w:tc>
          <w:tcPr>
            <w:tcW w:w="1460" w:type="dxa"/>
            <w:vMerge w:val="continue"/>
            <w:vAlign w:val="center"/>
          </w:tcPr>
          <w:p w14:paraId="187DA11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p>
        </w:tc>
        <w:tc>
          <w:tcPr>
            <w:tcW w:w="1742" w:type="dxa"/>
            <w:vAlign w:val="center"/>
          </w:tcPr>
          <w:p w14:paraId="775D3F0B">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报价唯一</w:t>
            </w:r>
          </w:p>
        </w:tc>
        <w:tc>
          <w:tcPr>
            <w:tcW w:w="5822" w:type="dxa"/>
            <w:vAlign w:val="center"/>
          </w:tcPr>
          <w:p w14:paraId="1962452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竞采报价在规定限价内报价；</w:t>
            </w:r>
            <w:r>
              <w:rPr>
                <w:rFonts w:hint="eastAsia" w:asciiTheme="minorEastAsia" w:hAnsiTheme="minorEastAsia" w:eastAsiaTheme="minorEastAsia" w:cstheme="minorEastAsia"/>
                <w:color w:val="auto"/>
                <w:sz w:val="24"/>
                <w:szCs w:val="24"/>
                <w:highlight w:val="none"/>
              </w:rPr>
              <w:t>只能有一个有效报价，不得提交选择性报价；出现非否决因素的计价错误的，按照“第五篇”规定的修正方式进行修正。</w:t>
            </w:r>
          </w:p>
        </w:tc>
      </w:tr>
      <w:tr w14:paraId="1544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5" w:type="dxa"/>
            <w:vAlign w:val="center"/>
          </w:tcPr>
          <w:p w14:paraId="28B1296F">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460" w:type="dxa"/>
            <w:vAlign w:val="center"/>
          </w:tcPr>
          <w:p w14:paraId="2DB6984F">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完整性审查</w:t>
            </w:r>
          </w:p>
        </w:tc>
        <w:tc>
          <w:tcPr>
            <w:tcW w:w="1742" w:type="dxa"/>
            <w:vAlign w:val="center"/>
          </w:tcPr>
          <w:p w14:paraId="75D5BE96">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响应文件份数</w:t>
            </w:r>
          </w:p>
        </w:tc>
        <w:tc>
          <w:tcPr>
            <w:tcW w:w="5822" w:type="dxa"/>
            <w:vAlign w:val="center"/>
          </w:tcPr>
          <w:p w14:paraId="7AC243B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满足竞采文件的规定</w:t>
            </w:r>
            <w:r>
              <w:rPr>
                <w:rFonts w:hint="eastAsia" w:asciiTheme="minorEastAsia" w:hAnsiTheme="minorEastAsia" w:eastAsiaTheme="minorEastAsia" w:cstheme="minorEastAsia"/>
                <w:color w:val="auto"/>
                <w:sz w:val="24"/>
                <w:szCs w:val="24"/>
                <w:highlight w:val="none"/>
                <w:lang w:val="zh-CN"/>
              </w:rPr>
              <w:t>。</w:t>
            </w:r>
          </w:p>
        </w:tc>
      </w:tr>
      <w:tr w14:paraId="7657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5" w:type="dxa"/>
            <w:vAlign w:val="center"/>
          </w:tcPr>
          <w:p w14:paraId="6DBD1A50">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1460" w:type="dxa"/>
            <w:vAlign w:val="center"/>
          </w:tcPr>
          <w:p w14:paraId="368149A3">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部分</w:t>
            </w:r>
          </w:p>
        </w:tc>
        <w:tc>
          <w:tcPr>
            <w:tcW w:w="1742" w:type="dxa"/>
            <w:vAlign w:val="center"/>
          </w:tcPr>
          <w:p w14:paraId="1688774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5822" w:type="dxa"/>
            <w:vAlign w:val="center"/>
          </w:tcPr>
          <w:p w14:paraId="74CC9F4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本竞采文件第二篇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内容。</w:t>
            </w:r>
          </w:p>
        </w:tc>
      </w:tr>
      <w:tr w14:paraId="4FD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5" w:type="dxa"/>
            <w:vAlign w:val="center"/>
          </w:tcPr>
          <w:p w14:paraId="3698E720">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1460" w:type="dxa"/>
            <w:vAlign w:val="center"/>
          </w:tcPr>
          <w:p w14:paraId="44D11775">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商务部分</w:t>
            </w:r>
          </w:p>
        </w:tc>
        <w:tc>
          <w:tcPr>
            <w:tcW w:w="1742" w:type="dxa"/>
            <w:vAlign w:val="center"/>
          </w:tcPr>
          <w:p w14:paraId="6866656C">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5822" w:type="dxa"/>
            <w:vAlign w:val="center"/>
          </w:tcPr>
          <w:p w14:paraId="1B8E711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本竞采文件第三篇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内容。</w:t>
            </w:r>
          </w:p>
        </w:tc>
      </w:tr>
      <w:tr w14:paraId="11D0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5" w:type="dxa"/>
            <w:vAlign w:val="center"/>
          </w:tcPr>
          <w:p w14:paraId="170A178B">
            <w:pPr>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1460" w:type="dxa"/>
            <w:vAlign w:val="center"/>
          </w:tcPr>
          <w:p w14:paraId="546B597D">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竞采有效期</w:t>
            </w:r>
          </w:p>
        </w:tc>
        <w:tc>
          <w:tcPr>
            <w:tcW w:w="1742" w:type="dxa"/>
            <w:vAlign w:val="center"/>
          </w:tcPr>
          <w:p w14:paraId="55C774F8">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5822" w:type="dxa"/>
            <w:vAlign w:val="center"/>
          </w:tcPr>
          <w:p w14:paraId="5A8171E7">
            <w:pPr>
              <w:pageBreakBefore w:val="0"/>
              <w:kinsoku/>
              <w:wordWrap/>
              <w:overflowPunct/>
              <w:topLinePunct w:val="0"/>
              <w:autoSpaceDE/>
              <w:autoSpaceDN/>
              <w:bidi w:val="0"/>
              <w:adjustRightInd/>
              <w:spacing w:line="240" w:lineRule="auto"/>
              <w:ind w:left="0" w:leftChars="0" w:right="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响应文件递交截止时间起90天。</w:t>
            </w:r>
          </w:p>
        </w:tc>
      </w:tr>
    </w:tbl>
    <w:p w14:paraId="4B0E8F9D">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52" w:name="_Toc9094"/>
      <w:bookmarkStart w:id="153" w:name="_Toc106030395"/>
      <w:bookmarkStart w:id="154" w:name="_Toc14970"/>
      <w:bookmarkStart w:id="155" w:name="_Toc25341"/>
      <w:bookmarkStart w:id="156" w:name="_Toc29140"/>
      <w:bookmarkStart w:id="157" w:name="_Toc27063"/>
      <w:bookmarkStart w:id="158" w:name="_Toc30717"/>
      <w:bookmarkStart w:id="159" w:name="_Toc20171"/>
      <w:bookmarkStart w:id="160" w:name="_Toc26938"/>
      <w:bookmarkStart w:id="161" w:name="_Toc26125"/>
      <w:bookmarkStart w:id="162" w:name="_Toc14824"/>
      <w:bookmarkStart w:id="163" w:name="_Toc28526"/>
      <w:bookmarkStart w:id="164" w:name="_Toc28549"/>
      <w:bookmarkStart w:id="165" w:name="_Toc75793519"/>
      <w:bookmarkStart w:id="166" w:name="_Toc30011"/>
      <w:bookmarkStart w:id="167" w:name="_Toc21650"/>
      <w:bookmarkStart w:id="168" w:name="_Toc27015"/>
      <w:bookmarkStart w:id="169" w:name="_Toc5620"/>
      <w:bookmarkStart w:id="170" w:name="_Toc27633"/>
      <w:bookmarkStart w:id="171" w:name="_Toc31997"/>
      <w:bookmarkStart w:id="172" w:name="_Toc16405"/>
      <w:bookmarkStart w:id="173" w:name="_Toc26796"/>
      <w:r>
        <w:rPr>
          <w:rFonts w:hint="eastAsia" w:asciiTheme="minorEastAsia" w:hAnsiTheme="minorEastAsia" w:eastAsiaTheme="minorEastAsia" w:cstheme="minorEastAsia"/>
          <w:b w:val="0"/>
          <w:bCs/>
          <w:color w:val="auto"/>
          <w:kern w:val="44"/>
          <w:sz w:val="24"/>
          <w:szCs w:val="24"/>
          <w:highlight w:val="none"/>
          <w:lang w:val="en-US" w:eastAsia="zh-CN" w:bidi="ar-SA"/>
        </w:rPr>
        <w:t>二、评审方法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95FAC0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本项目采用综合评分法进行评审。</w:t>
      </w:r>
    </w:p>
    <w:p w14:paraId="79E0A6F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综合评分法，是指响应文件满足竞采文件全部实质性要求且按照评审因素的量化指标评审得分最高的供应商为成交候选人的评审方法。供应商总得分为价格、</w:t>
      </w:r>
      <w:r>
        <w:rPr>
          <w:rFonts w:hint="eastAsia" w:asciiTheme="minorEastAsia" w:hAnsiTheme="minorEastAsia" w:eastAsiaTheme="minorEastAsia" w:cstheme="minorEastAsia"/>
          <w:color w:val="auto"/>
          <w:kern w:val="0"/>
          <w:sz w:val="24"/>
          <w:szCs w:val="24"/>
          <w:highlight w:val="none"/>
          <w:lang w:eastAsia="zh-CN"/>
        </w:rPr>
        <w:t>技术（服务）</w:t>
      </w:r>
      <w:r>
        <w:rPr>
          <w:rFonts w:hint="eastAsia" w:asciiTheme="minorEastAsia" w:hAnsiTheme="minorEastAsia" w:eastAsiaTheme="minorEastAsia" w:cstheme="minorEastAsia"/>
          <w:color w:val="auto"/>
          <w:kern w:val="0"/>
          <w:sz w:val="24"/>
          <w:szCs w:val="24"/>
          <w:highlight w:val="none"/>
        </w:rPr>
        <w:t>、商务等评定因素分别按照相应权重值计算分项得分后相加，满分为100分。</w:t>
      </w:r>
    </w:p>
    <w:p w14:paraId="1BB21F8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02A68347">
      <w:pPr>
        <w:pageBreakBefore w:val="0"/>
        <w:kinsoku/>
        <w:wordWrap/>
        <w:overflowPunct/>
        <w:topLinePunct w:val="0"/>
        <w:autoSpaceDE/>
        <w:autoSpaceDN/>
        <w:bidi w:val="0"/>
        <w:adjustRightInd/>
        <w:snapToGrid w:val="0"/>
        <w:spacing w:line="360" w:lineRule="auto"/>
        <w:ind w:left="0" w:leftChars="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w:t>
      </w:r>
    </w:p>
    <w:p w14:paraId="2ADC01C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（一）比较与评价。</w:t>
      </w:r>
      <w:r>
        <w:rPr>
          <w:rFonts w:hint="eastAsia" w:asciiTheme="minorEastAsia" w:hAnsiTheme="minorEastAsia" w:eastAsiaTheme="minorEastAsia" w:cstheme="minorEastAsia"/>
          <w:color w:val="auto"/>
          <w:sz w:val="24"/>
          <w:szCs w:val="24"/>
          <w:highlight w:val="none"/>
        </w:rPr>
        <w:t>按竞采文件中规定的评审方法和标准，对资格审查和符合性审查合格的响应文件进行商务、</w:t>
      </w:r>
      <w:r>
        <w:rPr>
          <w:rFonts w:hint="eastAsia" w:asciiTheme="minorEastAsia" w:hAnsiTheme="minorEastAsia" w:eastAsiaTheme="minorEastAsia" w:cstheme="minorEastAsia"/>
          <w:color w:val="auto"/>
          <w:sz w:val="24"/>
          <w:szCs w:val="24"/>
          <w:highlight w:val="none"/>
          <w:lang w:eastAsia="zh-CN"/>
        </w:rPr>
        <w:t>技术（服务）</w:t>
      </w:r>
      <w:r>
        <w:rPr>
          <w:rFonts w:hint="eastAsia" w:asciiTheme="minorEastAsia" w:hAnsiTheme="minorEastAsia" w:eastAsiaTheme="minorEastAsia" w:cstheme="minorEastAsia"/>
          <w:color w:val="auto"/>
          <w:sz w:val="24"/>
          <w:szCs w:val="24"/>
          <w:highlight w:val="none"/>
        </w:rPr>
        <w:t>、报价评分。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7D052F1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（二）推荐成交候选人名单。</w:t>
      </w:r>
    </w:p>
    <w:p w14:paraId="1627688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按评审后得分由高到低的排列顺序推荐综合得分排名</w:t>
      </w:r>
      <w:r>
        <w:rPr>
          <w:rFonts w:hint="eastAsia" w:asciiTheme="minorEastAsia" w:hAnsiTheme="minorEastAsia" w:eastAsiaTheme="minorEastAsia" w:cstheme="minorEastAsia"/>
          <w:bCs/>
          <w:color w:val="auto"/>
          <w:sz w:val="24"/>
          <w:szCs w:val="24"/>
          <w:highlight w:val="none"/>
        </w:rPr>
        <w:t>前三</w:t>
      </w:r>
      <w:r>
        <w:rPr>
          <w:rFonts w:hint="eastAsia" w:asciiTheme="minorEastAsia" w:hAnsiTheme="minorEastAsia" w:eastAsiaTheme="minorEastAsia" w:cstheme="minorEastAsia"/>
          <w:color w:val="auto"/>
          <w:sz w:val="24"/>
          <w:szCs w:val="24"/>
          <w:highlight w:val="none"/>
        </w:rPr>
        <w:t>的供应商为本项目成交候选人，排名第一的为第一成交候选人。得分相同的，按</w:t>
      </w:r>
      <w:r>
        <w:rPr>
          <w:rFonts w:hint="eastAsia" w:asciiTheme="minorEastAsia" w:hAnsiTheme="minorEastAsia" w:eastAsiaTheme="minorEastAsia" w:cstheme="minorEastAsia"/>
          <w:color w:val="auto"/>
          <w:sz w:val="24"/>
          <w:szCs w:val="24"/>
          <w:highlight w:val="none"/>
          <w:lang w:eastAsia="zh-CN"/>
        </w:rPr>
        <w:t>报价</w:t>
      </w:r>
      <w:r>
        <w:rPr>
          <w:rFonts w:hint="eastAsia" w:asciiTheme="minorEastAsia" w:hAnsiTheme="minorEastAsia" w:eastAsiaTheme="minorEastAsia" w:cstheme="minorEastAsia"/>
          <w:color w:val="auto"/>
          <w:sz w:val="24"/>
          <w:szCs w:val="24"/>
          <w:highlight w:val="none"/>
        </w:rPr>
        <w:t>由低到高顺序排列，得分且报价相同的并列，但</w:t>
      </w:r>
      <w:r>
        <w:rPr>
          <w:rFonts w:hint="eastAsia" w:asciiTheme="minorEastAsia" w:hAnsiTheme="minorEastAsia" w:eastAsiaTheme="minorEastAsia" w:cstheme="minorEastAsia"/>
          <w:color w:val="auto"/>
          <w:sz w:val="24"/>
          <w:szCs w:val="24"/>
          <w:highlight w:val="none"/>
          <w:lang w:eastAsia="zh-CN"/>
        </w:rPr>
        <w:t>技术（服务）</w:t>
      </w:r>
      <w:r>
        <w:rPr>
          <w:rFonts w:hint="eastAsia" w:asciiTheme="minorEastAsia" w:hAnsiTheme="minorEastAsia" w:eastAsiaTheme="minorEastAsia" w:cstheme="minorEastAsia"/>
          <w:color w:val="auto"/>
          <w:sz w:val="24"/>
          <w:szCs w:val="24"/>
          <w:highlight w:val="none"/>
        </w:rPr>
        <w:t>部分得分为0分的供应商失去成交候选人资格，仅保留其有效供应商身份。</w:t>
      </w:r>
    </w:p>
    <w:p w14:paraId="597E0C4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成交供应商放弃成交、或者在竞采文件规定的时间内不提交履约保证金或不签定合同的，采购人将依序确定第二成交候选人为成交供应商或重新组织竞采。</w:t>
      </w:r>
    </w:p>
    <w:p w14:paraId="5A108719">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74" w:name="_Toc25814"/>
      <w:bookmarkStart w:id="175" w:name="_Toc11203"/>
      <w:bookmarkStart w:id="176" w:name="_Toc7999"/>
      <w:bookmarkStart w:id="177" w:name="_Toc371"/>
      <w:bookmarkStart w:id="178" w:name="_Toc17116"/>
      <w:bookmarkStart w:id="179" w:name="_Toc1055"/>
      <w:bookmarkStart w:id="180" w:name="_Toc17311"/>
      <w:bookmarkStart w:id="181" w:name="_Toc20875"/>
      <w:bookmarkStart w:id="182" w:name="_Toc4511"/>
      <w:bookmarkStart w:id="183" w:name="_Toc267320057"/>
      <w:bookmarkStart w:id="184" w:name="_Toc19924"/>
      <w:bookmarkStart w:id="185" w:name="_Toc25919"/>
      <w:bookmarkStart w:id="186" w:name="_Toc6313"/>
      <w:bookmarkStart w:id="187" w:name="_Toc106030396"/>
      <w:bookmarkStart w:id="188" w:name="_Toc20800"/>
      <w:bookmarkStart w:id="189" w:name="_Toc5799"/>
      <w:bookmarkStart w:id="190" w:name="_Toc14844"/>
      <w:bookmarkStart w:id="191" w:name="_Toc22772"/>
      <w:bookmarkStart w:id="192" w:name="_Toc75793520"/>
      <w:bookmarkStart w:id="193" w:name="_Toc15716"/>
      <w:bookmarkStart w:id="194" w:name="_Toc6342"/>
      <w:bookmarkStart w:id="195" w:name="_Toc20354"/>
      <w:bookmarkStart w:id="196" w:name="_Toc20699"/>
      <w:r>
        <w:rPr>
          <w:rFonts w:hint="eastAsia" w:asciiTheme="minorEastAsia" w:hAnsiTheme="minorEastAsia" w:eastAsiaTheme="minorEastAsia" w:cstheme="minorEastAsia"/>
          <w:b w:val="0"/>
          <w:bCs/>
          <w:color w:val="auto"/>
          <w:kern w:val="44"/>
          <w:sz w:val="24"/>
          <w:szCs w:val="24"/>
          <w:highlight w:val="none"/>
          <w:lang w:val="en-US" w:eastAsia="zh-CN" w:bidi="ar-SA"/>
        </w:rPr>
        <w:t>三、评审标准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Style w:val="26"/>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89"/>
        <w:gridCol w:w="942"/>
        <w:gridCol w:w="4776"/>
        <w:gridCol w:w="2061"/>
      </w:tblGrid>
      <w:tr w14:paraId="7F89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681" w:type="dxa"/>
            <w:tcBorders>
              <w:top w:val="single" w:color="auto" w:sz="4" w:space="0"/>
              <w:left w:val="single" w:color="auto" w:sz="4" w:space="0"/>
              <w:bottom w:val="single" w:color="auto" w:sz="4" w:space="0"/>
              <w:right w:val="single" w:color="auto" w:sz="4" w:space="0"/>
            </w:tcBorders>
            <w:noWrap w:val="0"/>
            <w:vAlign w:val="center"/>
          </w:tcPr>
          <w:p w14:paraId="02C818B3">
            <w:pPr>
              <w:keepNext w:val="0"/>
              <w:keepLines w:val="0"/>
              <w:pageBreakBefore w:val="0"/>
              <w:kinsoku/>
              <w:wordWrap/>
              <w:overflowPunct/>
              <w:topLinePunct w:val="0"/>
              <w:autoSpaceDE/>
              <w:autoSpaceDN/>
              <w:bidi w:val="0"/>
              <w:adjustRightInd/>
              <w:spacing w:line="240" w:lineRule="auto"/>
              <w:ind w:left="0" w:leftChars="0" w:right="0" w:firstLine="28"/>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E26674A">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评分因素及权值</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A80E3D8">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c>
          <w:tcPr>
            <w:tcW w:w="4776" w:type="dxa"/>
            <w:tcBorders>
              <w:top w:val="single" w:color="auto" w:sz="4" w:space="0"/>
              <w:left w:val="single" w:color="auto" w:sz="4" w:space="0"/>
              <w:bottom w:val="single" w:color="auto" w:sz="4" w:space="0"/>
              <w:right w:val="single" w:color="auto" w:sz="4" w:space="0"/>
            </w:tcBorders>
            <w:noWrap w:val="0"/>
            <w:vAlign w:val="center"/>
          </w:tcPr>
          <w:p w14:paraId="3140519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0C360CE0">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w:t>
            </w:r>
          </w:p>
        </w:tc>
      </w:tr>
      <w:tr w14:paraId="35A0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56957E5E">
            <w:pPr>
              <w:keepNext w:val="0"/>
              <w:keepLines w:val="0"/>
              <w:pageBreakBefore w:val="0"/>
              <w:kinsoku/>
              <w:wordWrap/>
              <w:overflowPunct/>
              <w:topLinePunct w:val="0"/>
              <w:autoSpaceDE/>
              <w:autoSpaceDN/>
              <w:bidi w:val="0"/>
              <w:adjustRightInd/>
              <w:spacing w:line="240" w:lineRule="auto"/>
              <w:ind w:left="0" w:leftChars="0" w:right="0" w:firstLine="28"/>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35651C17">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报价（30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0BD8685">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w:t>
            </w:r>
          </w:p>
        </w:tc>
        <w:tc>
          <w:tcPr>
            <w:tcW w:w="4776" w:type="dxa"/>
            <w:tcBorders>
              <w:top w:val="single" w:color="auto" w:sz="4" w:space="0"/>
              <w:left w:val="single" w:color="auto" w:sz="4" w:space="0"/>
              <w:bottom w:val="single" w:color="auto" w:sz="4" w:space="0"/>
              <w:right w:val="single" w:color="auto" w:sz="4" w:space="0"/>
            </w:tcBorders>
            <w:noWrap w:val="0"/>
            <w:vAlign w:val="center"/>
          </w:tcPr>
          <w:p w14:paraId="435A9CA6">
            <w:pPr>
              <w:pageBreakBefore w:val="0"/>
              <w:kinsoku/>
              <w:wordWrap/>
              <w:overflowPunct/>
              <w:topLinePunct w:val="0"/>
              <w:autoSpaceDE/>
              <w:autoSpaceDN/>
              <w:bidi w:val="0"/>
              <w:adjustRightInd/>
              <w:snapToGrid w:val="0"/>
              <w:spacing w:line="24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通过资格性及符合性评审的供应商的报价中的最低价为评审基准价，按照下列公式计算每个供应商的价格得分。</w:t>
            </w:r>
          </w:p>
          <w:p w14:paraId="4B9CB81A">
            <w:pPr>
              <w:pageBreakBefore w:val="0"/>
              <w:kinsoku/>
              <w:wordWrap/>
              <w:overflowPunct/>
              <w:topLinePunct w:val="0"/>
              <w:autoSpaceDE/>
              <w:autoSpaceDN/>
              <w:bidi w:val="0"/>
              <w:adjustRightInd/>
              <w:snapToGrid w:val="0"/>
              <w:spacing w:line="24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价格得分＝（评审基准价/</w:t>
            </w:r>
            <w:r>
              <w:rPr>
                <w:rFonts w:hint="eastAsia" w:asciiTheme="minorEastAsia" w:hAnsiTheme="minorEastAsia" w:eastAsiaTheme="minorEastAsia" w:cstheme="minorEastAsia"/>
                <w:color w:val="auto"/>
                <w:sz w:val="24"/>
                <w:szCs w:val="24"/>
                <w:highlight w:val="none"/>
                <w:lang w:val="en-US" w:eastAsia="zh-CN"/>
              </w:rPr>
              <w:t>竞采</w:t>
            </w:r>
            <w:r>
              <w:rPr>
                <w:rFonts w:hint="eastAsia" w:asciiTheme="minorEastAsia" w:hAnsiTheme="minorEastAsia" w:eastAsiaTheme="minorEastAsia" w:cstheme="minorEastAsia"/>
                <w:color w:val="auto"/>
                <w:sz w:val="24"/>
                <w:szCs w:val="24"/>
                <w:highlight w:val="none"/>
              </w:rPr>
              <w:t>报价）×权值×100。</w:t>
            </w:r>
            <w:bookmarkStart w:id="499" w:name="_GoBack"/>
            <w:bookmarkEnd w:id="499"/>
          </w:p>
        </w:tc>
        <w:tc>
          <w:tcPr>
            <w:tcW w:w="2061" w:type="dxa"/>
            <w:tcBorders>
              <w:top w:val="single" w:color="auto" w:sz="4" w:space="0"/>
              <w:left w:val="single" w:color="auto" w:sz="4" w:space="0"/>
              <w:bottom w:val="single" w:color="auto" w:sz="4" w:space="0"/>
              <w:right w:val="single" w:color="auto" w:sz="4" w:space="0"/>
            </w:tcBorders>
            <w:noWrap w:val="0"/>
            <w:vAlign w:val="center"/>
          </w:tcPr>
          <w:p w14:paraId="529927BD">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计算结果保留两位小数，第三位四舍五入。</w:t>
            </w:r>
          </w:p>
        </w:tc>
      </w:tr>
      <w:tr w14:paraId="2D74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81" w:type="dxa"/>
            <w:vMerge w:val="restart"/>
            <w:tcBorders>
              <w:top w:val="single" w:color="auto" w:sz="4" w:space="0"/>
              <w:left w:val="single" w:color="auto" w:sz="4" w:space="0"/>
              <w:right w:val="single" w:color="auto" w:sz="4" w:space="0"/>
            </w:tcBorders>
            <w:noWrap w:val="0"/>
            <w:vAlign w:val="center"/>
          </w:tcPr>
          <w:p w14:paraId="484E61A5">
            <w:pPr>
              <w:keepNext w:val="0"/>
              <w:keepLines w:val="0"/>
              <w:pageBreakBefore w:val="0"/>
              <w:kinsoku/>
              <w:wordWrap/>
              <w:overflowPunct/>
              <w:topLinePunct w:val="0"/>
              <w:autoSpaceDE/>
              <w:autoSpaceDN/>
              <w:bidi w:val="0"/>
              <w:adjustRightInd/>
              <w:spacing w:line="240" w:lineRule="auto"/>
              <w:ind w:left="0" w:leftChars="0" w:right="0" w:firstLine="28"/>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89" w:type="dxa"/>
            <w:vMerge w:val="restart"/>
            <w:tcBorders>
              <w:top w:val="single" w:color="auto" w:sz="4" w:space="0"/>
              <w:left w:val="single" w:color="auto" w:sz="4" w:space="0"/>
              <w:right w:val="single" w:color="auto" w:sz="4" w:space="0"/>
            </w:tcBorders>
            <w:noWrap w:val="0"/>
            <w:vAlign w:val="center"/>
          </w:tcPr>
          <w:p w14:paraId="6FD6765B">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tc>
        <w:tc>
          <w:tcPr>
            <w:tcW w:w="942" w:type="dxa"/>
            <w:tcBorders>
              <w:top w:val="single" w:color="auto" w:sz="4" w:space="0"/>
              <w:left w:val="single" w:color="auto" w:sz="4" w:space="0"/>
              <w:right w:val="single" w:color="auto" w:sz="4" w:space="0"/>
            </w:tcBorders>
            <w:noWrap w:val="0"/>
            <w:vAlign w:val="center"/>
          </w:tcPr>
          <w:p w14:paraId="4EB29FA9">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4776" w:type="dxa"/>
            <w:tcBorders>
              <w:top w:val="single" w:color="auto" w:sz="4" w:space="0"/>
              <w:left w:val="single" w:color="auto" w:sz="4" w:space="0"/>
              <w:bottom w:val="single" w:color="auto" w:sz="4" w:space="0"/>
              <w:right w:val="single" w:color="auto" w:sz="4" w:space="0"/>
            </w:tcBorders>
            <w:noWrap w:val="0"/>
            <w:vAlign w:val="top"/>
          </w:tcPr>
          <w:p w14:paraId="18DE78A8">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提供本项目整体服务实施方案，包括备货服务、配送服务、质量保障服务、售后服务。</w:t>
            </w:r>
          </w:p>
          <w:p w14:paraId="2CACCC7B">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685F216A">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服务方案存在1处瑕疵，得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14:paraId="5A87F065">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服务方案存在2处瑕疵，得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2413B455">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方案存在3处以上瑕疵或未提供服务方案的，得0分。</w:t>
            </w:r>
          </w:p>
        </w:tc>
        <w:tc>
          <w:tcPr>
            <w:tcW w:w="2061" w:type="dxa"/>
            <w:vMerge w:val="restart"/>
            <w:tcBorders>
              <w:top w:val="single" w:color="auto" w:sz="4" w:space="0"/>
              <w:left w:val="single" w:color="auto" w:sz="4" w:space="0"/>
              <w:right w:val="single" w:color="auto" w:sz="4" w:space="0"/>
            </w:tcBorders>
            <w:noWrap w:val="0"/>
            <w:vAlign w:val="center"/>
          </w:tcPr>
          <w:p w14:paraId="059331B0">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1.供应商提供书面方案（格式自定）；</w:t>
            </w:r>
          </w:p>
          <w:p w14:paraId="57A94F35">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2.本项内容中所称的“瑕疵”指出现下列任一情形：</w:t>
            </w:r>
          </w:p>
          <w:p w14:paraId="7CC50A94">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（1）方案内容缺项、内容表述不完整；</w:t>
            </w:r>
          </w:p>
          <w:p w14:paraId="031D8225">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（2）缺少针对性描述分析或缺少关键分析点；</w:t>
            </w:r>
          </w:p>
          <w:p w14:paraId="79F850BE">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（3）表述前后矛盾、无连贯性；</w:t>
            </w:r>
          </w:p>
          <w:p w14:paraId="44011AC4">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（4）内容存在逻辑漏洞、常识错误、科学原理错误；</w:t>
            </w:r>
          </w:p>
          <w:p w14:paraId="6D3E84EA">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（5）安排并不适用本项目特性或非专门针对本项目制定；</w:t>
            </w:r>
          </w:p>
          <w:p w14:paraId="0EF3EAB9">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（6）提出的措施举措不利于本项目目标的实现；</w:t>
            </w:r>
          </w:p>
          <w:p w14:paraId="068F5F88">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eastAsiaTheme="minorEastAsia"/>
                <w:lang w:val="en-US" w:eastAsia="zh-CN"/>
              </w:rPr>
            </w:pPr>
            <w:r>
              <w:rPr>
                <w:rFonts w:hint="eastAsia" w:asciiTheme="minorEastAsia" w:hAnsiTheme="minorEastAsia" w:eastAsiaTheme="minorEastAsia" w:cstheme="minorEastAsia"/>
                <w:color w:val="auto"/>
                <w:sz w:val="24"/>
                <w:szCs w:val="24"/>
                <w:highlight w:val="none"/>
              </w:rPr>
              <w:t>（7）现有条件下不可能实现的情形。</w:t>
            </w:r>
          </w:p>
        </w:tc>
      </w:tr>
      <w:tr w14:paraId="045F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681" w:type="dxa"/>
            <w:vMerge w:val="continue"/>
            <w:tcBorders>
              <w:left w:val="single" w:color="auto" w:sz="4" w:space="0"/>
              <w:right w:val="single" w:color="auto" w:sz="4" w:space="0"/>
            </w:tcBorders>
            <w:noWrap w:val="0"/>
            <w:vAlign w:val="center"/>
          </w:tcPr>
          <w:p w14:paraId="659636B6">
            <w:pPr>
              <w:keepNext w:val="0"/>
              <w:keepLines w:val="0"/>
              <w:pageBreakBefore w:val="0"/>
              <w:kinsoku/>
              <w:wordWrap/>
              <w:overflowPunct/>
              <w:topLinePunct w:val="0"/>
              <w:autoSpaceDE/>
              <w:autoSpaceDN/>
              <w:bidi w:val="0"/>
              <w:adjustRightInd/>
              <w:spacing w:line="240" w:lineRule="auto"/>
              <w:ind w:left="0" w:leftChars="0" w:right="0" w:firstLine="28"/>
              <w:jc w:val="center"/>
              <w:textAlignment w:val="auto"/>
              <w:rPr>
                <w:rFonts w:hint="eastAsia" w:asciiTheme="minorEastAsia" w:hAnsiTheme="minorEastAsia" w:eastAsiaTheme="minorEastAsia" w:cstheme="minorEastAsia"/>
                <w:color w:val="auto"/>
                <w:sz w:val="24"/>
                <w:szCs w:val="24"/>
                <w:highlight w:val="none"/>
              </w:rPr>
            </w:pPr>
          </w:p>
        </w:tc>
        <w:tc>
          <w:tcPr>
            <w:tcW w:w="1389" w:type="dxa"/>
            <w:vMerge w:val="continue"/>
            <w:tcBorders>
              <w:left w:val="single" w:color="auto" w:sz="4" w:space="0"/>
              <w:right w:val="single" w:color="auto" w:sz="4" w:space="0"/>
            </w:tcBorders>
            <w:noWrap w:val="0"/>
            <w:vAlign w:val="center"/>
          </w:tcPr>
          <w:p w14:paraId="7CE659E6">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42" w:type="dxa"/>
            <w:tcBorders>
              <w:top w:val="single" w:color="auto" w:sz="4" w:space="0"/>
              <w:left w:val="single" w:color="auto" w:sz="4" w:space="0"/>
              <w:right w:val="single" w:color="auto" w:sz="4" w:space="0"/>
            </w:tcBorders>
            <w:noWrap w:val="0"/>
            <w:vAlign w:val="center"/>
          </w:tcPr>
          <w:p w14:paraId="27BC3D85">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4776" w:type="dxa"/>
            <w:tcBorders>
              <w:top w:val="single" w:color="auto" w:sz="4" w:space="0"/>
              <w:left w:val="single" w:color="auto" w:sz="4" w:space="0"/>
              <w:bottom w:val="single" w:color="auto" w:sz="4" w:space="0"/>
              <w:right w:val="single" w:color="auto" w:sz="4" w:space="0"/>
            </w:tcBorders>
            <w:noWrap w:val="0"/>
            <w:vAlign w:val="top"/>
          </w:tcPr>
          <w:p w14:paraId="0ADF6DB2">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提供本项目内部管理制度方案，包括包括生产管理制度、保密制度、岗位操作制度、质量管理制度、仓库管理制度、财务管理制度、劳动管理制度、人事管理制度。</w:t>
            </w:r>
          </w:p>
          <w:p w14:paraId="682215CE">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45ACBFAA">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服务方案存在1处瑕疵，得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503381F5">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服务方案存在2处瑕疵，得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40357A37">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方案存在3处以上瑕疵或未提供服务方案的，得0分。</w:t>
            </w:r>
          </w:p>
        </w:tc>
        <w:tc>
          <w:tcPr>
            <w:tcW w:w="2061" w:type="dxa"/>
            <w:vMerge w:val="continue"/>
            <w:tcBorders>
              <w:left w:val="single" w:color="auto" w:sz="4" w:space="0"/>
              <w:right w:val="single" w:color="auto" w:sz="4" w:space="0"/>
            </w:tcBorders>
            <w:noWrap w:val="0"/>
            <w:vAlign w:val="center"/>
          </w:tcPr>
          <w:p w14:paraId="6F7D36AE">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p>
        </w:tc>
      </w:tr>
      <w:tr w14:paraId="5CB8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681" w:type="dxa"/>
            <w:vMerge w:val="continue"/>
            <w:tcBorders>
              <w:left w:val="single" w:color="auto" w:sz="4" w:space="0"/>
              <w:right w:val="single" w:color="auto" w:sz="4" w:space="0"/>
            </w:tcBorders>
            <w:noWrap w:val="0"/>
            <w:vAlign w:val="center"/>
          </w:tcPr>
          <w:p w14:paraId="3790B5C8">
            <w:pPr>
              <w:keepNext w:val="0"/>
              <w:keepLines w:val="0"/>
              <w:pageBreakBefore w:val="0"/>
              <w:kinsoku/>
              <w:wordWrap/>
              <w:overflowPunct/>
              <w:topLinePunct w:val="0"/>
              <w:autoSpaceDE/>
              <w:autoSpaceDN/>
              <w:bidi w:val="0"/>
              <w:adjustRightInd/>
              <w:spacing w:line="240" w:lineRule="auto"/>
              <w:ind w:left="0" w:leftChars="0" w:right="0" w:firstLine="28"/>
              <w:jc w:val="center"/>
              <w:textAlignment w:val="auto"/>
              <w:rPr>
                <w:rFonts w:hint="eastAsia" w:asciiTheme="minorEastAsia" w:hAnsiTheme="minorEastAsia" w:eastAsiaTheme="minorEastAsia" w:cstheme="minorEastAsia"/>
                <w:color w:val="auto"/>
                <w:sz w:val="24"/>
                <w:szCs w:val="24"/>
                <w:highlight w:val="none"/>
              </w:rPr>
            </w:pPr>
          </w:p>
        </w:tc>
        <w:tc>
          <w:tcPr>
            <w:tcW w:w="1389" w:type="dxa"/>
            <w:vMerge w:val="continue"/>
            <w:tcBorders>
              <w:left w:val="single" w:color="auto" w:sz="4" w:space="0"/>
              <w:right w:val="single" w:color="auto" w:sz="4" w:space="0"/>
            </w:tcBorders>
            <w:noWrap w:val="0"/>
            <w:vAlign w:val="center"/>
          </w:tcPr>
          <w:p w14:paraId="57D2C10F">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942" w:type="dxa"/>
            <w:tcBorders>
              <w:left w:val="single" w:color="auto" w:sz="4" w:space="0"/>
              <w:right w:val="single" w:color="auto" w:sz="4" w:space="0"/>
            </w:tcBorders>
            <w:noWrap w:val="0"/>
            <w:vAlign w:val="center"/>
          </w:tcPr>
          <w:p w14:paraId="16E89A07">
            <w:pPr>
              <w:keepNext w:val="0"/>
              <w:keepLines w:val="0"/>
              <w:pageBreakBefore w:val="0"/>
              <w:kinsoku/>
              <w:wordWrap/>
              <w:overflowPunct/>
              <w:topLinePunct w:val="0"/>
              <w:autoSpaceDE/>
              <w:autoSpaceDN/>
              <w:bidi w:val="0"/>
              <w:adjustRightInd/>
              <w:spacing w:line="240"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4776" w:type="dxa"/>
            <w:tcBorders>
              <w:top w:val="single" w:color="auto" w:sz="4" w:space="0"/>
              <w:left w:val="single" w:color="auto" w:sz="4" w:space="0"/>
              <w:bottom w:val="single" w:color="auto" w:sz="4" w:space="0"/>
              <w:right w:val="single" w:color="auto" w:sz="4" w:space="0"/>
            </w:tcBorders>
            <w:noWrap w:val="0"/>
            <w:vAlign w:val="top"/>
          </w:tcPr>
          <w:p w14:paraId="084479A5">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提供本项目工期设计安排方案，包括生产计划、计划执行阶段的相应保证措施、计划执行配备了充足的生产设备和技术及生产工人、应急处置预案。</w:t>
            </w:r>
          </w:p>
          <w:p w14:paraId="5C76E032">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676756FF">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服务方案存在1处瑕疵，得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14:paraId="0EDDD46D">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服务方案存在2处瑕疵，得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074BB9AD">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方案存在3处以上瑕疵或未提供服务方案的，得0分。</w:t>
            </w:r>
          </w:p>
        </w:tc>
        <w:tc>
          <w:tcPr>
            <w:tcW w:w="2061" w:type="dxa"/>
            <w:vMerge w:val="continue"/>
            <w:tcBorders>
              <w:left w:val="single" w:color="auto" w:sz="4" w:space="0"/>
              <w:right w:val="single" w:color="auto" w:sz="4" w:space="0"/>
            </w:tcBorders>
            <w:noWrap w:val="0"/>
            <w:vAlign w:val="center"/>
          </w:tcPr>
          <w:p w14:paraId="4A810024">
            <w:pPr>
              <w:keepNext w:val="0"/>
              <w:keepLines w:val="0"/>
              <w:pageBreakBefore w:val="0"/>
              <w:kinsoku/>
              <w:wordWrap/>
              <w:overflowPunct/>
              <w:topLinePunct w:val="0"/>
              <w:autoSpaceDE/>
              <w:autoSpaceDN/>
              <w:bidi w:val="0"/>
              <w:adjustRightInd/>
              <w:spacing w:line="240" w:lineRule="auto"/>
              <w:ind w:left="0" w:leftChars="0" w:right="0"/>
              <w:jc w:val="left"/>
              <w:textAlignment w:val="auto"/>
              <w:rPr>
                <w:rFonts w:hint="eastAsia" w:asciiTheme="minorEastAsia" w:hAnsiTheme="minorEastAsia" w:eastAsiaTheme="minorEastAsia" w:cstheme="minorEastAsia"/>
                <w:color w:val="auto"/>
                <w:sz w:val="24"/>
                <w:szCs w:val="24"/>
                <w:highlight w:val="none"/>
              </w:rPr>
            </w:pPr>
          </w:p>
        </w:tc>
      </w:tr>
      <w:tr w14:paraId="5CFB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681" w:type="dxa"/>
            <w:vMerge w:val="continue"/>
            <w:tcBorders>
              <w:left w:val="single" w:color="auto" w:sz="4" w:space="0"/>
              <w:right w:val="single" w:color="auto" w:sz="4" w:space="0"/>
            </w:tcBorders>
            <w:noWrap w:val="0"/>
            <w:vAlign w:val="center"/>
          </w:tcPr>
          <w:p w14:paraId="3444D666">
            <w:pPr>
              <w:keepNext w:val="0"/>
              <w:keepLines w:val="0"/>
              <w:pageBreakBefore w:val="0"/>
              <w:kinsoku/>
              <w:wordWrap/>
              <w:overflowPunct/>
              <w:topLinePunct w:val="0"/>
              <w:autoSpaceDE/>
              <w:autoSpaceDN/>
              <w:bidi w:val="0"/>
              <w:adjustRightInd/>
              <w:spacing w:line="240" w:lineRule="auto"/>
              <w:ind w:left="0" w:leftChars="0" w:right="0" w:firstLine="28"/>
              <w:jc w:val="center"/>
              <w:textAlignment w:val="auto"/>
              <w:rPr>
                <w:rFonts w:hint="eastAsia" w:asciiTheme="minorEastAsia" w:hAnsiTheme="minorEastAsia" w:eastAsiaTheme="minorEastAsia" w:cstheme="minorEastAsia"/>
                <w:color w:val="auto"/>
                <w:sz w:val="24"/>
                <w:szCs w:val="24"/>
                <w:highlight w:val="none"/>
              </w:rPr>
            </w:pPr>
          </w:p>
        </w:tc>
        <w:tc>
          <w:tcPr>
            <w:tcW w:w="1389" w:type="dxa"/>
            <w:vMerge w:val="continue"/>
            <w:tcBorders>
              <w:left w:val="single" w:color="auto" w:sz="4" w:space="0"/>
              <w:right w:val="single" w:color="auto" w:sz="4" w:space="0"/>
            </w:tcBorders>
            <w:noWrap w:val="0"/>
            <w:vAlign w:val="center"/>
          </w:tcPr>
          <w:p w14:paraId="42F8AA0F">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p>
        </w:tc>
        <w:tc>
          <w:tcPr>
            <w:tcW w:w="942" w:type="dxa"/>
            <w:tcBorders>
              <w:left w:val="single" w:color="auto" w:sz="4" w:space="0"/>
              <w:right w:val="single" w:color="auto" w:sz="4" w:space="0"/>
            </w:tcBorders>
            <w:noWrap w:val="0"/>
            <w:vAlign w:val="center"/>
          </w:tcPr>
          <w:p w14:paraId="0821EA32">
            <w:pPr>
              <w:keepNext w:val="0"/>
              <w:keepLines w:val="0"/>
              <w:pageBreakBefore w:val="0"/>
              <w:kinsoku/>
              <w:wordWrap/>
              <w:overflowPunct/>
              <w:topLinePunct w:val="0"/>
              <w:autoSpaceDE/>
              <w:autoSpaceDN/>
              <w:bidi w:val="0"/>
              <w:adjustRightInd/>
              <w:spacing w:line="240"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c>
          <w:tcPr>
            <w:tcW w:w="4776" w:type="dxa"/>
            <w:tcBorders>
              <w:top w:val="single" w:color="auto" w:sz="4" w:space="0"/>
              <w:left w:val="single" w:color="auto" w:sz="4" w:space="0"/>
              <w:bottom w:val="single" w:color="auto" w:sz="4" w:space="0"/>
              <w:right w:val="single" w:color="auto" w:sz="4" w:space="0"/>
            </w:tcBorders>
            <w:noWrap w:val="0"/>
            <w:vAlign w:val="top"/>
          </w:tcPr>
          <w:p w14:paraId="423ABAC4">
            <w:pPr>
              <w:pStyle w:val="56"/>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4.根据供应商提供的样品（定制）进行评审，包括宣传用水杯、宣传用布袋、宣传用遮阳帽。</w:t>
            </w:r>
          </w:p>
          <w:p w14:paraId="131FC76D">
            <w:pPr>
              <w:pStyle w:val="56"/>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①样品无瑕疵，得20分；</w:t>
            </w:r>
          </w:p>
          <w:p w14:paraId="45455DA4">
            <w:pPr>
              <w:pStyle w:val="56"/>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②样品有1处瑕疵，得12分；</w:t>
            </w:r>
          </w:p>
          <w:p w14:paraId="7E6DB59C">
            <w:pPr>
              <w:pStyle w:val="56"/>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③样品有2处及以上瑕疵，或出现缺项，得4分；</w:t>
            </w:r>
          </w:p>
          <w:p w14:paraId="1E90A9F0">
            <w:pPr>
              <w:pStyle w:val="56"/>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④样品有3处及以上瑕疵或未提供不得分</w:t>
            </w:r>
            <w:r>
              <w:rPr>
                <w:rFonts w:hint="eastAsia" w:ascii="宋体" w:hAnsi="宋体" w:eastAsia="宋体" w:cs="宋体"/>
                <w:color w:val="auto"/>
                <w:sz w:val="24"/>
                <w:szCs w:val="24"/>
              </w:rPr>
              <w:t>。</w:t>
            </w:r>
          </w:p>
        </w:tc>
        <w:tc>
          <w:tcPr>
            <w:tcW w:w="2061" w:type="dxa"/>
            <w:tcBorders>
              <w:left w:val="single" w:color="auto" w:sz="4" w:space="0"/>
              <w:right w:val="single" w:color="auto" w:sz="4" w:space="0"/>
            </w:tcBorders>
            <w:noWrap w:val="0"/>
            <w:vAlign w:val="center"/>
          </w:tcPr>
          <w:p w14:paraId="7AD7AF65">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注：“瑕疵”指下述任意一种情形：</w:t>
            </w:r>
          </w:p>
          <w:p w14:paraId="005DF800">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1.款式、色彩较差；</w:t>
            </w:r>
          </w:p>
          <w:p w14:paraId="549AFA0A">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2.样品材质较差；</w:t>
            </w:r>
          </w:p>
          <w:p w14:paraId="296A31BE">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3.感官、气味、手感较差；</w:t>
            </w:r>
          </w:p>
          <w:p w14:paraId="530F7596">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4.线迹不均匀直顺、止口反吐；</w:t>
            </w:r>
          </w:p>
          <w:p w14:paraId="5F3501DA">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5.不耐磨损，易掉漆；</w:t>
            </w:r>
          </w:p>
          <w:p w14:paraId="6EEE375B">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6.水杯密封性差；</w:t>
            </w:r>
          </w:p>
          <w:p w14:paraId="3C8964ED">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7.不符合采购人的实际使用需求；</w:t>
            </w:r>
          </w:p>
          <w:p w14:paraId="073FA5CE">
            <w:pPr>
              <w:pageBreakBefore w:val="0"/>
              <w:kinsoku/>
              <w:wordWrap/>
              <w:overflowPunct/>
              <w:topLinePunct w:val="0"/>
              <w:autoSpaceDE/>
              <w:autoSpaceDN/>
              <w:bidi w:val="0"/>
              <w:adjustRightInd/>
              <w:spacing w:line="240" w:lineRule="auto"/>
              <w:ind w:left="0" w:leftChars="0" w:right="0" w:firstLine="28"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8.不符合法律法规和现行政策的情形</w:t>
            </w:r>
          </w:p>
        </w:tc>
      </w:tr>
      <w:tr w14:paraId="78D4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681" w:type="dxa"/>
            <w:tcBorders>
              <w:top w:val="single" w:color="auto" w:sz="4" w:space="0"/>
              <w:left w:val="single" w:color="auto" w:sz="4" w:space="0"/>
              <w:right w:val="single" w:color="auto" w:sz="4" w:space="0"/>
            </w:tcBorders>
            <w:noWrap w:val="0"/>
            <w:vAlign w:val="center"/>
          </w:tcPr>
          <w:p w14:paraId="27424495">
            <w:pPr>
              <w:keepNext w:val="0"/>
              <w:keepLines w:val="0"/>
              <w:pageBreakBefore w:val="0"/>
              <w:kinsoku/>
              <w:wordWrap/>
              <w:overflowPunct/>
              <w:topLinePunct w:val="0"/>
              <w:autoSpaceDE/>
              <w:autoSpaceDN/>
              <w:bidi w:val="0"/>
              <w:adjustRightInd/>
              <w:spacing w:line="240" w:lineRule="auto"/>
              <w:ind w:left="0" w:leftChars="0" w:right="0" w:firstLine="28"/>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89" w:type="dxa"/>
            <w:tcBorders>
              <w:top w:val="single" w:color="auto" w:sz="4" w:space="0"/>
              <w:left w:val="single" w:color="auto" w:sz="4" w:space="0"/>
              <w:right w:val="single" w:color="auto" w:sz="4" w:space="0"/>
            </w:tcBorders>
            <w:noWrap w:val="0"/>
            <w:vAlign w:val="center"/>
          </w:tcPr>
          <w:p w14:paraId="58892439">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w:t>
            </w:r>
          </w:p>
          <w:p w14:paraId="577D37BE">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部分</w:t>
            </w:r>
          </w:p>
          <w:p w14:paraId="077AC8DF">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tc>
        <w:tc>
          <w:tcPr>
            <w:tcW w:w="942" w:type="dxa"/>
            <w:tcBorders>
              <w:top w:val="single" w:color="auto" w:sz="4" w:space="0"/>
              <w:left w:val="single" w:color="auto" w:sz="4" w:space="0"/>
              <w:right w:val="single" w:color="auto" w:sz="4" w:space="0"/>
            </w:tcBorders>
            <w:noWrap w:val="0"/>
            <w:vAlign w:val="center"/>
          </w:tcPr>
          <w:p w14:paraId="4F50C487">
            <w:pPr>
              <w:keepNext w:val="0"/>
              <w:keepLines w:val="0"/>
              <w:pageBreakBefore w:val="0"/>
              <w:kinsoku/>
              <w:wordWrap/>
              <w:overflowPunct/>
              <w:topLinePunct w:val="0"/>
              <w:autoSpaceDE/>
              <w:autoSpaceDN/>
              <w:bidi w:val="0"/>
              <w:adjustRightInd/>
              <w:spacing w:line="240" w:lineRule="auto"/>
              <w:ind w:left="0" w:leftChars="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4776" w:type="dxa"/>
            <w:tcBorders>
              <w:top w:val="single" w:color="auto" w:sz="4" w:space="0"/>
              <w:left w:val="single" w:color="auto" w:sz="4" w:space="0"/>
              <w:right w:val="single" w:color="auto" w:sz="4" w:space="0"/>
            </w:tcBorders>
            <w:noWrap w:val="0"/>
            <w:vAlign w:val="center"/>
          </w:tcPr>
          <w:p w14:paraId="3730D619">
            <w:pPr>
              <w:keepNext w:val="0"/>
              <w:keepLines w:val="0"/>
              <w:pageBreakBefore w:val="0"/>
              <w:widowControl/>
              <w:kinsoku/>
              <w:wordWrap/>
              <w:overflowPunct/>
              <w:topLinePunct w:val="0"/>
              <w:autoSpaceDE/>
              <w:autoSpaceDN/>
              <w:bidi w:val="0"/>
              <w:adjustRightInd/>
              <w:spacing w:line="24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.业绩</w:t>
            </w:r>
          </w:p>
          <w:p w14:paraId="083575CA">
            <w:pPr>
              <w:keepNext w:val="0"/>
              <w:keepLines w:val="0"/>
              <w:pageBreakBefore w:val="0"/>
              <w:widowControl w:val="0"/>
              <w:kinsoku/>
              <w:wordWrap/>
              <w:overflowPunct/>
              <w:topLinePunct w:val="0"/>
              <w:autoSpaceDE/>
              <w:autoSpaceDN/>
              <w:bidi w:val="0"/>
              <w:adjustRightInd/>
              <w:snapToGrid/>
              <w:spacing w:line="240" w:lineRule="auto"/>
              <w:ind w:left="0" w:leftChars="0" w:right="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2022</w:t>
            </w:r>
            <w:r>
              <w:rPr>
                <w:rFonts w:hint="eastAsia" w:asciiTheme="minorEastAsia" w:hAnsiTheme="minorEastAsia" w:eastAsiaTheme="minorEastAsia" w:cstheme="minorEastAsia"/>
                <w:color w:val="auto"/>
                <w:sz w:val="24"/>
                <w:szCs w:val="24"/>
                <w:highlight w:val="none"/>
              </w:rPr>
              <w:t>年1月1日至今</w:t>
            </w:r>
            <w:r>
              <w:rPr>
                <w:rFonts w:hint="eastAsia" w:asciiTheme="minorEastAsia" w:hAnsiTheme="minorEastAsia" w:eastAsiaTheme="minorEastAsia" w:cstheme="minorEastAsia"/>
                <w:color w:val="auto"/>
                <w:sz w:val="24"/>
                <w:szCs w:val="24"/>
                <w:highlight w:val="none"/>
                <w:lang w:eastAsia="zh-CN"/>
              </w:rPr>
              <w:t>（以合同签订时间为准）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有类似项目业绩的</w:t>
            </w:r>
            <w:r>
              <w:rPr>
                <w:rFonts w:hint="eastAsia" w:asciiTheme="minorEastAsia" w:hAnsiTheme="minorEastAsia" w:eastAsiaTheme="minorEastAsia" w:cstheme="minorEastAsia"/>
                <w:color w:val="auto"/>
                <w:sz w:val="24"/>
                <w:szCs w:val="24"/>
                <w:highlight w:val="none"/>
              </w:rPr>
              <w:t>，每</w:t>
            </w:r>
            <w:r>
              <w:rPr>
                <w:rFonts w:hint="eastAsia" w:asciiTheme="minorEastAsia" w:hAnsiTheme="minorEastAsia" w:eastAsiaTheme="minorEastAsia" w:cstheme="minorEastAsia"/>
                <w:color w:val="auto"/>
                <w:sz w:val="24"/>
                <w:szCs w:val="24"/>
                <w:highlight w:val="none"/>
                <w:lang w:val="en-US" w:eastAsia="zh-CN"/>
              </w:rPr>
              <w:t>有1</w:t>
            </w:r>
            <w:r>
              <w:rPr>
                <w:rFonts w:hint="eastAsia" w:asciiTheme="minorEastAsia" w:hAnsiTheme="minorEastAsia" w:eastAsiaTheme="minorEastAsia" w:cstheme="minorEastAsia"/>
                <w:color w:val="auto"/>
                <w:sz w:val="24"/>
                <w:szCs w:val="24"/>
                <w:highlight w:val="none"/>
                <w:lang w:eastAsia="zh-CN"/>
              </w:rPr>
              <w:t>个</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本项</w:t>
            </w:r>
            <w:r>
              <w:rPr>
                <w:rFonts w:hint="eastAsia" w:asciiTheme="minorEastAsia" w:hAnsiTheme="minorEastAsia" w:eastAsiaTheme="minorEastAsia" w:cstheme="minorEastAsia"/>
                <w:color w:val="auto"/>
                <w:sz w:val="24"/>
                <w:szCs w:val="24"/>
                <w:highlight w:val="none"/>
              </w:rPr>
              <w:t>最多得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6D950AF8">
            <w:pPr>
              <w:keepNext w:val="0"/>
              <w:keepLines w:val="0"/>
              <w:pageBreakBefore w:val="0"/>
              <w:kinsoku/>
              <w:wordWrap/>
              <w:overflowPunct/>
              <w:topLinePunct w:val="0"/>
              <w:autoSpaceDE/>
              <w:autoSpaceDN/>
              <w:bidi w:val="0"/>
              <w:adjustRightInd/>
              <w:spacing w:line="240" w:lineRule="auto"/>
              <w:ind w:left="0" w:leftChars="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提供①业绩合同②任意一张对应的付款发票（发票付款方须与合同甲方一致）复印件或扫描件并</w:t>
            </w:r>
            <w:r>
              <w:rPr>
                <w:rFonts w:hint="eastAsia" w:asciiTheme="minorEastAsia" w:hAnsiTheme="minorEastAsia" w:eastAsiaTheme="minorEastAsia" w:cstheme="minorEastAsia"/>
                <w:color w:val="auto"/>
                <w:sz w:val="24"/>
                <w:szCs w:val="24"/>
                <w:highlight w:val="none"/>
              </w:rPr>
              <w:t>加盖供应商公章。</w:t>
            </w:r>
          </w:p>
        </w:tc>
      </w:tr>
    </w:tbl>
    <w:p w14:paraId="79E0240A">
      <w:pPr>
        <w:pageBreakBefore w:val="0"/>
        <w:kinsoku/>
        <w:wordWrap/>
        <w:overflowPunct/>
        <w:topLinePunct w:val="0"/>
        <w:autoSpaceDE/>
        <w:autoSpaceDN/>
        <w:bidi w:val="0"/>
        <w:adjustRightInd/>
        <w:snapToGrid w:val="0"/>
        <w:spacing w:line="360" w:lineRule="auto"/>
        <w:ind w:left="0" w:leftChars="0" w:right="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w:t>
      </w:r>
      <w:r>
        <w:rPr>
          <w:rFonts w:hint="eastAsia" w:asciiTheme="minorEastAsia" w:hAnsiTheme="minorEastAsia" w:eastAsiaTheme="minorEastAsia" w:cstheme="minorEastAsia"/>
          <w:color w:val="auto"/>
          <w:sz w:val="24"/>
          <w:szCs w:val="24"/>
          <w:highlight w:val="none"/>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12A1D26B">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197" w:name="_Toc106030397"/>
      <w:bookmarkStart w:id="198" w:name="_Toc26747"/>
      <w:bookmarkStart w:id="199" w:name="_Toc27926"/>
      <w:bookmarkStart w:id="200" w:name="_Toc13232"/>
      <w:bookmarkStart w:id="201" w:name="_Toc6898"/>
      <w:bookmarkStart w:id="202" w:name="_Toc12283"/>
      <w:bookmarkStart w:id="203" w:name="_Toc7386"/>
      <w:bookmarkStart w:id="204" w:name="_Toc20423"/>
      <w:bookmarkStart w:id="205" w:name="_Toc10923"/>
      <w:bookmarkStart w:id="206" w:name="_Toc15200"/>
      <w:bookmarkStart w:id="207" w:name="_Toc31591"/>
      <w:bookmarkStart w:id="208" w:name="_Toc75793521"/>
      <w:bookmarkStart w:id="209" w:name="_Toc17065"/>
      <w:bookmarkStart w:id="210" w:name="_Toc22167"/>
      <w:bookmarkStart w:id="211" w:name="_Toc30659"/>
      <w:bookmarkStart w:id="212" w:name="_Toc13045"/>
      <w:bookmarkStart w:id="213" w:name="_Toc7962"/>
      <w:bookmarkStart w:id="214" w:name="_Toc13301"/>
      <w:bookmarkStart w:id="215" w:name="_Toc4045"/>
      <w:bookmarkStart w:id="216" w:name="_Toc5010"/>
      <w:bookmarkStart w:id="217" w:name="_Toc29586"/>
      <w:bookmarkStart w:id="218" w:name="_Toc18716"/>
      <w:r>
        <w:rPr>
          <w:rFonts w:hint="eastAsia" w:asciiTheme="minorEastAsia" w:hAnsiTheme="minorEastAsia" w:eastAsiaTheme="minorEastAsia" w:cstheme="minorEastAsia"/>
          <w:b w:val="0"/>
          <w:bCs/>
          <w:color w:val="auto"/>
          <w:kern w:val="44"/>
          <w:sz w:val="24"/>
          <w:szCs w:val="24"/>
          <w:highlight w:val="none"/>
          <w:lang w:val="en-US" w:eastAsia="zh-CN" w:bidi="ar-SA"/>
        </w:rPr>
        <w:t>四、无效响应条款</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0946CF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供应商或其响应文件出现下列情况之一者，应为无效响应：</w:t>
      </w:r>
    </w:p>
    <w:p w14:paraId="33ABE50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（一）供应商未通过资格性评审或符合性评审的；</w:t>
      </w:r>
    </w:p>
    <w:p w14:paraId="4330825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（二）法定代表人为同一个人的两个及两个以上法人，母公司、全资子公司及其控股公司，在同一项目中同时参与竞采的；</w:t>
      </w:r>
    </w:p>
    <w:p w14:paraId="2756EDE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（三）单位负责人为同一人或者存在直接控股、管理关系的不同供应商，参加同一项目的竞采的；</w:t>
      </w:r>
    </w:p>
    <w:p w14:paraId="26738E9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（四）为本项目提供整体设计、规范编制或者项目管理、监理、检测等服务的供应商，再参加该项目竞采的；</w:t>
      </w:r>
    </w:p>
    <w:p w14:paraId="17583B6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（五）竞采有效期不满足竞采文件要求的；</w:t>
      </w:r>
    </w:p>
    <w:p w14:paraId="6206853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（六）响应文件内容有与国家现行法律法规相违背的内容，或附有采购人无法接受的条件；</w:t>
      </w:r>
    </w:p>
    <w:p w14:paraId="7A9E8D7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（七）法律、法规和竞采文件规定的其他无效情形。</w:t>
      </w:r>
    </w:p>
    <w:p w14:paraId="5FDF46E5">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19" w:name="_Toc27180"/>
      <w:bookmarkStart w:id="220" w:name="_Toc23533"/>
      <w:bookmarkStart w:id="221" w:name="_Toc20005"/>
      <w:bookmarkStart w:id="222" w:name="_Toc14355"/>
      <w:bookmarkStart w:id="223" w:name="_Toc20000"/>
      <w:bookmarkStart w:id="224" w:name="_Toc7802"/>
      <w:bookmarkStart w:id="225" w:name="_Toc30605"/>
      <w:bookmarkStart w:id="226" w:name="_Toc25549"/>
      <w:bookmarkStart w:id="227" w:name="_Toc6956"/>
      <w:bookmarkStart w:id="228" w:name="_Toc106030398"/>
      <w:bookmarkStart w:id="229" w:name="_Toc6204"/>
      <w:bookmarkStart w:id="230" w:name="_Toc75793522"/>
      <w:bookmarkStart w:id="231" w:name="_Toc21946"/>
      <w:bookmarkStart w:id="232" w:name="_Toc24499"/>
      <w:bookmarkStart w:id="233" w:name="_Toc6719"/>
      <w:bookmarkStart w:id="234" w:name="_Toc1009"/>
      <w:bookmarkStart w:id="235" w:name="_Toc27133"/>
      <w:bookmarkStart w:id="236" w:name="_Toc25960"/>
      <w:bookmarkStart w:id="237" w:name="_Toc16813"/>
      <w:bookmarkStart w:id="238" w:name="_Toc19410"/>
      <w:bookmarkStart w:id="239" w:name="_Toc4422"/>
      <w:bookmarkStart w:id="240" w:name="_Toc11293"/>
      <w:r>
        <w:rPr>
          <w:rFonts w:hint="eastAsia" w:asciiTheme="minorEastAsia" w:hAnsiTheme="minorEastAsia" w:eastAsiaTheme="minorEastAsia" w:cstheme="minorEastAsia"/>
          <w:b w:val="0"/>
          <w:bCs/>
          <w:color w:val="auto"/>
          <w:kern w:val="44"/>
          <w:sz w:val="24"/>
          <w:szCs w:val="24"/>
          <w:highlight w:val="none"/>
          <w:lang w:val="en-US" w:eastAsia="zh-CN" w:bidi="ar-SA"/>
        </w:rPr>
        <w:t>五、废标条款</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4D3C3B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在竞采过程中出现下列情形之一的，应终止评审，作废标处理：</w:t>
      </w:r>
    </w:p>
    <w:p w14:paraId="0DC66B0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（一）符合专业条件的供应商或者对竞采文件作实质响应的供应商不足</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家的；</w:t>
      </w:r>
    </w:p>
    <w:p w14:paraId="2AAAB4E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（二）出现影响竞采公正的违法、违规行为的；</w:t>
      </w:r>
    </w:p>
    <w:p w14:paraId="693FE22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（三）因重大变故，竞采项目取消的。</w:t>
      </w:r>
    </w:p>
    <w:p w14:paraId="40AB142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废标后，除项目任务取消情形外，应当重新组织竞采活动。</w:t>
      </w:r>
    </w:p>
    <w:bookmarkEnd w:id="104"/>
    <w:p w14:paraId="73703369">
      <w:pPr>
        <w:pStyle w:val="3"/>
        <w:pageBreakBefore w:val="0"/>
        <w:kinsoku/>
        <w:wordWrap/>
        <w:overflowPunct/>
        <w:topLinePunct w:val="0"/>
        <w:autoSpaceDE/>
        <w:autoSpaceDN/>
        <w:bidi w:val="0"/>
        <w:adjustRightInd/>
        <w:spacing w:line="360" w:lineRule="auto"/>
        <w:ind w:left="0" w:leftChars="0" w:right="0"/>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color w:val="auto"/>
          <w:sz w:val="24"/>
          <w:szCs w:val="24"/>
          <w:highlight w:val="none"/>
        </w:rPr>
        <w:br w:type="page"/>
      </w:r>
      <w:bookmarkStart w:id="241" w:name="_Toc23166"/>
      <w:bookmarkStart w:id="242" w:name="_Toc28318"/>
      <w:bookmarkStart w:id="243" w:name="_Toc75793523"/>
      <w:bookmarkStart w:id="244" w:name="_Toc22256"/>
      <w:bookmarkStart w:id="245" w:name="_Toc14416"/>
      <w:bookmarkStart w:id="246" w:name="_Toc22201"/>
      <w:bookmarkStart w:id="247" w:name="_Toc106030399"/>
      <w:bookmarkStart w:id="248" w:name="_Toc19831"/>
      <w:bookmarkStart w:id="249" w:name="_Toc4735"/>
      <w:bookmarkStart w:id="250" w:name="_Toc29546"/>
      <w:bookmarkStart w:id="251" w:name="_Toc20379"/>
      <w:bookmarkStart w:id="252" w:name="_Toc32211"/>
      <w:bookmarkStart w:id="253" w:name="_Toc12533"/>
      <w:bookmarkStart w:id="254" w:name="_Toc25962"/>
      <w:bookmarkStart w:id="255" w:name="_Toc18502"/>
      <w:bookmarkStart w:id="256" w:name="_Toc5106"/>
      <w:bookmarkStart w:id="257" w:name="_Toc25755"/>
      <w:bookmarkStart w:id="258" w:name="_Toc13159"/>
      <w:bookmarkStart w:id="259" w:name="_Toc21720"/>
      <w:bookmarkStart w:id="260" w:name="_Toc1982"/>
      <w:bookmarkStart w:id="261" w:name="_Toc21000"/>
      <w:bookmarkStart w:id="262" w:name="_Toc21360"/>
      <w:r>
        <w:rPr>
          <w:rFonts w:hint="eastAsia" w:asciiTheme="minorEastAsia" w:hAnsiTheme="minorEastAsia" w:eastAsiaTheme="minorEastAsia" w:cstheme="minorEastAsia"/>
          <w:b/>
          <w:bCs/>
          <w:color w:val="auto"/>
          <w:sz w:val="36"/>
          <w:szCs w:val="36"/>
          <w:highlight w:val="none"/>
        </w:rPr>
        <w:t>第五篇 供应商须知</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F1DF06A">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63" w:name="_Toc22743"/>
      <w:bookmarkStart w:id="264" w:name="_Toc14797"/>
      <w:bookmarkStart w:id="265" w:name="_Toc9833"/>
      <w:bookmarkStart w:id="266" w:name="_Toc13542"/>
      <w:bookmarkStart w:id="267" w:name="_Toc19073"/>
      <w:r>
        <w:rPr>
          <w:rFonts w:hint="eastAsia" w:asciiTheme="minorEastAsia" w:hAnsiTheme="minorEastAsia" w:eastAsiaTheme="minorEastAsia" w:cstheme="minorEastAsia"/>
          <w:b w:val="0"/>
          <w:bCs/>
          <w:color w:val="auto"/>
          <w:kern w:val="44"/>
          <w:sz w:val="24"/>
          <w:szCs w:val="24"/>
          <w:highlight w:val="none"/>
          <w:lang w:val="en-US" w:eastAsia="zh-CN" w:bidi="ar-SA"/>
        </w:rPr>
        <w:t>一、</w:t>
      </w:r>
      <w:bookmarkEnd w:id="263"/>
      <w:bookmarkEnd w:id="264"/>
      <w:bookmarkEnd w:id="265"/>
      <w:r>
        <w:rPr>
          <w:rFonts w:hint="eastAsia" w:asciiTheme="minorEastAsia" w:hAnsiTheme="minorEastAsia" w:eastAsiaTheme="minorEastAsia" w:cstheme="minorEastAsia"/>
          <w:b w:val="0"/>
          <w:bCs/>
          <w:color w:val="auto"/>
          <w:kern w:val="44"/>
          <w:sz w:val="24"/>
          <w:szCs w:val="24"/>
          <w:highlight w:val="none"/>
          <w:lang w:val="en-US" w:eastAsia="zh-CN" w:bidi="ar-SA"/>
        </w:rPr>
        <w:t>供应商</w:t>
      </w:r>
      <w:bookmarkEnd w:id="266"/>
      <w:bookmarkEnd w:id="267"/>
    </w:p>
    <w:p w14:paraId="609A398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（一）供应商</w:t>
      </w:r>
    </w:p>
    <w:p w14:paraId="6061732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供应商是指响应竞采文件、参加竞采活动的法人、其他组织。</w:t>
      </w:r>
    </w:p>
    <w:p w14:paraId="3A309DE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（二）合格供应商条件</w:t>
      </w:r>
    </w:p>
    <w:p w14:paraId="45F1DD5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合格供应商应完全符合竞采文件第一篇中规定的供应商资格条件，并对竞采文件作出实质性响应。</w:t>
      </w:r>
    </w:p>
    <w:p w14:paraId="189D2A3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（三）供应商的风险</w:t>
      </w:r>
    </w:p>
    <w:p w14:paraId="1D5B854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供应商没有按照竞采文件要求提供全部资料，或者供应商没有对竞采文件在各方面作出实质性响应，可能导致响应被拒绝或评定为无效响应。</w:t>
      </w:r>
    </w:p>
    <w:p w14:paraId="58AA5FE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（四）法律责任</w:t>
      </w:r>
    </w:p>
    <w:p w14:paraId="14F5C54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供应商违反法律法规等相关规定的，将按规定追究供应商法律责任。</w:t>
      </w:r>
    </w:p>
    <w:p w14:paraId="61009197">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68" w:name="_Toc24271"/>
      <w:bookmarkStart w:id="269" w:name="_Toc32437"/>
      <w:bookmarkStart w:id="270" w:name="_Toc29706"/>
      <w:bookmarkStart w:id="271" w:name="_Toc16343"/>
      <w:bookmarkStart w:id="272" w:name="_Toc12261"/>
      <w:r>
        <w:rPr>
          <w:rFonts w:hint="eastAsia" w:asciiTheme="minorEastAsia" w:hAnsiTheme="minorEastAsia" w:eastAsiaTheme="minorEastAsia" w:cstheme="minorEastAsia"/>
          <w:b w:val="0"/>
          <w:bCs/>
          <w:color w:val="auto"/>
          <w:kern w:val="44"/>
          <w:sz w:val="24"/>
          <w:szCs w:val="24"/>
          <w:highlight w:val="none"/>
          <w:lang w:val="en-US" w:eastAsia="zh-CN" w:bidi="ar-SA"/>
        </w:rPr>
        <w:t>二、</w:t>
      </w:r>
      <w:bookmarkEnd w:id="268"/>
      <w:bookmarkEnd w:id="269"/>
      <w:bookmarkEnd w:id="270"/>
      <w:r>
        <w:rPr>
          <w:rFonts w:hint="eastAsia" w:asciiTheme="minorEastAsia" w:hAnsiTheme="minorEastAsia" w:eastAsiaTheme="minorEastAsia" w:cstheme="minorEastAsia"/>
          <w:b w:val="0"/>
          <w:bCs/>
          <w:color w:val="auto"/>
          <w:kern w:val="44"/>
          <w:sz w:val="24"/>
          <w:szCs w:val="24"/>
          <w:highlight w:val="none"/>
          <w:lang w:val="en-US" w:eastAsia="zh-CN" w:bidi="ar-SA"/>
        </w:rPr>
        <w:t>竞采文件</w:t>
      </w:r>
      <w:bookmarkEnd w:id="271"/>
      <w:bookmarkEnd w:id="272"/>
    </w:p>
    <w:p w14:paraId="4C1E3A9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竞采文件是供应商编制响应文件的依据，是评审小组评判依据和标准。竞采文件也是采购人与成交供应商签订合同的基础。</w:t>
      </w:r>
    </w:p>
    <w:p w14:paraId="6ADD395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（一）竞采文件由采购邀请书、</w:t>
      </w:r>
      <w:r>
        <w:rPr>
          <w:rFonts w:hint="eastAsia" w:asciiTheme="minorEastAsia" w:hAnsiTheme="minorEastAsia" w:eastAsiaTheme="minorEastAsia" w:cstheme="minorEastAsia"/>
          <w:color w:val="auto"/>
          <w:sz w:val="24"/>
          <w:szCs w:val="24"/>
          <w:highlight w:val="none"/>
          <w:lang w:eastAsia="zh-CN"/>
        </w:rPr>
        <w:t>项目技术（服务）需求</w:t>
      </w:r>
      <w:r>
        <w:rPr>
          <w:rFonts w:hint="eastAsia" w:asciiTheme="minorEastAsia" w:hAnsiTheme="minorEastAsia" w:eastAsiaTheme="minorEastAsia" w:cstheme="minorEastAsia"/>
          <w:color w:val="auto"/>
          <w:sz w:val="24"/>
          <w:szCs w:val="24"/>
          <w:highlight w:val="none"/>
        </w:rPr>
        <w:t>、项目商务需求、资格审查及评审办法、供应商须知、响应文件格式等六部分组成。</w:t>
      </w:r>
    </w:p>
    <w:p w14:paraId="15E5BCF2">
      <w:pPr>
        <w:pageBreakBefore w:val="0"/>
        <w:kinsoku/>
        <w:wordWrap/>
        <w:overflowPunct/>
        <w:topLinePunct w:val="0"/>
        <w:autoSpaceDE/>
        <w:autoSpaceDN/>
        <w:bidi w:val="0"/>
        <w:adjustRightInd/>
        <w:snapToGrid w:val="0"/>
        <w:spacing w:line="360" w:lineRule="auto"/>
        <w:ind w:left="0" w:leftChars="0" w:right="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（二）采购代理机构对竞采文件所作的一切有效的书面通知、修改及补充，都是竞采文件不可分割的部分。</w:t>
      </w:r>
    </w:p>
    <w:p w14:paraId="2A8AB19C">
      <w:pPr>
        <w:pageBreakBefore w:val="0"/>
        <w:kinsoku/>
        <w:wordWrap/>
        <w:overflowPunct/>
        <w:topLinePunct w:val="0"/>
        <w:autoSpaceDE/>
        <w:autoSpaceDN/>
        <w:bidi w:val="0"/>
        <w:adjustRightInd/>
        <w:snapToGrid w:val="0"/>
        <w:spacing w:line="360" w:lineRule="auto"/>
        <w:ind w:left="0" w:leftChars="0" w:right="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（三）本项目的竞采文件、澄清文件（如果有）一律在“行采家”网站上发布，请各供应商注意下载；无论供应商下载与否，均视同供应商已知晓本项目竞采文件、澄清文件的内容。</w:t>
      </w:r>
    </w:p>
    <w:p w14:paraId="7959591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（四）采购代理机构对已发出的竞采文件需要进行澄清或修改的，应以书面形式或公告形式通知所有竞采文件收受人。该澄清或者修改的内容为竞采文件的组成部分。</w:t>
      </w:r>
    </w:p>
    <w:p w14:paraId="05D2E1B6">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73" w:name="_Toc31145"/>
      <w:bookmarkStart w:id="274" w:name="_Toc21372"/>
      <w:bookmarkStart w:id="275" w:name="_Toc8987"/>
      <w:bookmarkStart w:id="276" w:name="_Toc28931"/>
      <w:bookmarkStart w:id="277" w:name="_Toc2101"/>
      <w:r>
        <w:rPr>
          <w:rFonts w:hint="eastAsia" w:asciiTheme="minorEastAsia" w:hAnsiTheme="minorEastAsia" w:eastAsiaTheme="minorEastAsia" w:cstheme="minorEastAsia"/>
          <w:b w:val="0"/>
          <w:bCs/>
          <w:color w:val="auto"/>
          <w:kern w:val="44"/>
          <w:sz w:val="24"/>
          <w:szCs w:val="24"/>
          <w:highlight w:val="none"/>
          <w:lang w:val="en-US" w:eastAsia="zh-CN" w:bidi="ar-SA"/>
        </w:rPr>
        <w:t>三、</w:t>
      </w:r>
      <w:bookmarkEnd w:id="273"/>
      <w:bookmarkEnd w:id="274"/>
      <w:bookmarkEnd w:id="275"/>
      <w:r>
        <w:rPr>
          <w:rFonts w:hint="eastAsia" w:asciiTheme="minorEastAsia" w:hAnsiTheme="minorEastAsia" w:eastAsiaTheme="minorEastAsia" w:cstheme="minorEastAsia"/>
          <w:b w:val="0"/>
          <w:bCs/>
          <w:color w:val="auto"/>
          <w:kern w:val="44"/>
          <w:sz w:val="24"/>
          <w:szCs w:val="24"/>
          <w:highlight w:val="none"/>
          <w:lang w:val="en-US" w:eastAsia="zh-CN" w:bidi="ar-SA"/>
        </w:rPr>
        <w:t>响应文件</w:t>
      </w:r>
      <w:bookmarkEnd w:id="276"/>
      <w:bookmarkEnd w:id="277"/>
    </w:p>
    <w:p w14:paraId="5954155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供应商应当按照竞采文件的要求编制响应文件，并对竞采文件提出的要求和条件作出实质性响应。</w:t>
      </w:r>
    </w:p>
    <w:p w14:paraId="44927A6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（一）响应文件组成</w:t>
      </w:r>
    </w:p>
    <w:p w14:paraId="078FD19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5DAF6FE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（二）竞采有效期</w:t>
      </w:r>
    </w:p>
    <w:p w14:paraId="596EEAC9">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响应文件递交截止时间起90天。</w:t>
      </w:r>
    </w:p>
    <w:p w14:paraId="5FE190F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（三）响应文件的签署、份数和递交</w:t>
      </w:r>
    </w:p>
    <w:p w14:paraId="1FDF8A2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rPr>
        <w:t>在响应文件中，竞采文件第七篇响应文件格式中规定签署、盖章的地方必须按其规定签署、盖章。</w:t>
      </w:r>
    </w:p>
    <w:p w14:paraId="7EAFEEA0">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2.若供应商对响应文件的错处作必要修改，则应在修改处加盖供应商公章或由法定代表人（或其授权代表）签署确认。</w:t>
      </w:r>
    </w:p>
    <w:p w14:paraId="76A9DE9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3.电报、电话、传真形式的响应文件概不接受。</w:t>
      </w:r>
    </w:p>
    <w:p w14:paraId="706B1F8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D2E316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5.响应文件的正本、副本以及电子文档均应密封送达竞采地点，应在封套上注明项目名称、单位名称。若正本、副本以及电子文档分别进行密封的，还应在封套上注明“正本”、“副本”、“电子文档”字样。</w:t>
      </w:r>
    </w:p>
    <w:p w14:paraId="58752CE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（四）竞采报价</w:t>
      </w:r>
    </w:p>
    <w:p w14:paraId="4EC8A563">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1.供应商应严格按照“响应文件格式”中“报价一览表”的格式填写报价。</w:t>
      </w:r>
    </w:p>
    <w:p w14:paraId="198FB54A">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2.供应商的报价为一次性报价，即在竞采有效期内报价固定不变。</w:t>
      </w:r>
    </w:p>
    <w:p w14:paraId="45C1DA1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3.本项目只接受一个报价，有选择的或有条件的报价将不予接受，作无效响应处理。</w:t>
      </w:r>
    </w:p>
    <w:p w14:paraId="3FCDBDD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（五）修正错误</w:t>
      </w:r>
    </w:p>
    <w:p w14:paraId="0029C09F">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若响应文件出现计算或表达上的错误，修正错误的原则如下：</w:t>
      </w:r>
    </w:p>
    <w:p w14:paraId="567FEFB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1.出现大写不规范（例如“壹万壹仟元”写作“壹点壹万元”）或少数错别字（例如“玖”写作“九”）等不影响判断其实质意义的情况，可视同有效。</w:t>
      </w:r>
    </w:p>
    <w:p w14:paraId="48FD01A6">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2.总价金额与按单价汇总金额不一致的，以单价金额计算结果为准。</w:t>
      </w:r>
    </w:p>
    <w:p w14:paraId="12E3173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评审小组按上述修正错误的原则及方法调整或修正供应商报价，若同时出现两种以上不一致的，按照前款规定的顺序修正，修正后的报价对供应商具有约束作用。</w:t>
      </w:r>
    </w:p>
    <w:p w14:paraId="7E9ADAF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78" w:name="_Toc2488"/>
      <w:bookmarkStart w:id="279" w:name="_Toc27146"/>
      <w:bookmarkStart w:id="280" w:name="_Toc1143"/>
      <w:bookmarkStart w:id="281" w:name="_Toc28317"/>
      <w:bookmarkStart w:id="282" w:name="_Toc3192"/>
      <w:r>
        <w:rPr>
          <w:rFonts w:hint="eastAsia" w:asciiTheme="minorEastAsia" w:hAnsiTheme="minorEastAsia" w:eastAsiaTheme="minorEastAsia" w:cstheme="minorEastAsia"/>
          <w:b w:val="0"/>
          <w:bCs/>
          <w:color w:val="auto"/>
          <w:kern w:val="44"/>
          <w:sz w:val="24"/>
          <w:szCs w:val="24"/>
          <w:highlight w:val="none"/>
          <w:lang w:val="en-US" w:eastAsia="zh-CN" w:bidi="ar-SA"/>
        </w:rPr>
        <w:t>四、评审流程</w:t>
      </w:r>
      <w:bookmarkEnd w:id="278"/>
      <w:bookmarkEnd w:id="279"/>
      <w:r>
        <w:rPr>
          <w:rFonts w:hint="eastAsia" w:asciiTheme="minorEastAsia" w:hAnsiTheme="minorEastAsia" w:eastAsiaTheme="minorEastAsia" w:cstheme="minorEastAsia"/>
          <w:b w:val="0"/>
          <w:bCs/>
          <w:color w:val="auto"/>
          <w:kern w:val="44"/>
          <w:sz w:val="24"/>
          <w:szCs w:val="24"/>
          <w:highlight w:val="none"/>
          <w:lang w:val="en-US" w:eastAsia="zh-CN" w:bidi="ar-SA"/>
        </w:rPr>
        <w:t>及标准</w:t>
      </w:r>
      <w:bookmarkEnd w:id="280"/>
      <w:bookmarkEnd w:id="281"/>
      <w:bookmarkEnd w:id="282"/>
    </w:p>
    <w:p w14:paraId="5738AC7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见第四篇。</w:t>
      </w:r>
    </w:p>
    <w:p w14:paraId="6366BBA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83" w:name="_Toc23216"/>
      <w:bookmarkStart w:id="284" w:name="_Toc26213"/>
      <w:bookmarkStart w:id="285" w:name="_Toc12781"/>
      <w:bookmarkStart w:id="286" w:name="_Toc23757"/>
      <w:bookmarkStart w:id="287" w:name="_Toc1439"/>
      <w:r>
        <w:rPr>
          <w:rFonts w:hint="eastAsia" w:asciiTheme="minorEastAsia" w:hAnsiTheme="minorEastAsia" w:eastAsiaTheme="minorEastAsia" w:cstheme="minorEastAsia"/>
          <w:b w:val="0"/>
          <w:bCs/>
          <w:color w:val="auto"/>
          <w:kern w:val="44"/>
          <w:sz w:val="24"/>
          <w:szCs w:val="24"/>
          <w:highlight w:val="none"/>
          <w:lang w:val="en-US" w:eastAsia="zh-CN" w:bidi="ar-SA"/>
        </w:rPr>
        <w:t>五、确认</w:t>
      </w:r>
      <w:bookmarkEnd w:id="283"/>
      <w:bookmarkEnd w:id="284"/>
      <w:bookmarkEnd w:id="285"/>
      <w:r>
        <w:rPr>
          <w:rFonts w:hint="eastAsia" w:asciiTheme="minorEastAsia" w:hAnsiTheme="minorEastAsia" w:eastAsiaTheme="minorEastAsia" w:cstheme="minorEastAsia"/>
          <w:b w:val="0"/>
          <w:bCs/>
          <w:color w:val="auto"/>
          <w:kern w:val="44"/>
          <w:sz w:val="24"/>
          <w:szCs w:val="24"/>
          <w:highlight w:val="none"/>
          <w:lang w:val="en-US" w:eastAsia="zh-CN" w:bidi="ar-SA"/>
        </w:rPr>
        <w:t>成交供应商</w:t>
      </w:r>
      <w:bookmarkEnd w:id="286"/>
      <w:bookmarkEnd w:id="287"/>
    </w:p>
    <w:p w14:paraId="00F2ACA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（一）原则</w:t>
      </w:r>
    </w:p>
    <w:p w14:paraId="49CCD234">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采购人或其授权的评审小组应按照评审报告中推荐的成交候选人排名顺序确定成交供应商。</w:t>
      </w:r>
    </w:p>
    <w:p w14:paraId="07D224CB">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（二）程序</w:t>
      </w:r>
    </w:p>
    <w:p w14:paraId="5599546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1.采购代理机构应当在评审结束之日起2个工作日内将评审报告送采购人。</w:t>
      </w:r>
    </w:p>
    <w:p w14:paraId="3069DBC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2.采购人应当自收到评审报告之日起5个工作日内按评审报告推荐的成交候选人顺序确定成交供应商。</w:t>
      </w:r>
    </w:p>
    <w:p w14:paraId="00DB895C">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3.采购人或者采购代理机构应当自成交供应商确定之日起2个工作日内，在“行采家”公告成交结果。</w:t>
      </w:r>
    </w:p>
    <w:p w14:paraId="05EBEBB0">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88" w:name="_Toc18089"/>
      <w:bookmarkStart w:id="289" w:name="_Toc7093"/>
      <w:bookmarkStart w:id="290" w:name="_Toc6219"/>
      <w:bookmarkStart w:id="291" w:name="_Toc28680"/>
      <w:bookmarkStart w:id="292" w:name="_Toc20433"/>
      <w:r>
        <w:rPr>
          <w:rFonts w:hint="eastAsia" w:asciiTheme="minorEastAsia" w:hAnsiTheme="minorEastAsia" w:eastAsiaTheme="minorEastAsia" w:cstheme="minorEastAsia"/>
          <w:b w:val="0"/>
          <w:bCs/>
          <w:color w:val="auto"/>
          <w:kern w:val="44"/>
          <w:sz w:val="24"/>
          <w:szCs w:val="24"/>
          <w:highlight w:val="none"/>
          <w:lang w:val="en-US" w:eastAsia="zh-CN" w:bidi="ar-SA"/>
        </w:rPr>
        <w:t>六、</w:t>
      </w:r>
      <w:bookmarkEnd w:id="288"/>
      <w:bookmarkEnd w:id="289"/>
      <w:bookmarkEnd w:id="290"/>
      <w:r>
        <w:rPr>
          <w:rFonts w:hint="eastAsia" w:asciiTheme="minorEastAsia" w:hAnsiTheme="minorEastAsia" w:eastAsiaTheme="minorEastAsia" w:cstheme="minorEastAsia"/>
          <w:b w:val="0"/>
          <w:bCs/>
          <w:color w:val="auto"/>
          <w:kern w:val="44"/>
          <w:sz w:val="24"/>
          <w:szCs w:val="24"/>
          <w:highlight w:val="none"/>
          <w:lang w:val="en-US" w:eastAsia="zh-CN" w:bidi="ar-SA"/>
        </w:rPr>
        <w:t>成交</w:t>
      </w:r>
      <w:bookmarkEnd w:id="291"/>
      <w:bookmarkEnd w:id="292"/>
    </w:p>
    <w:p w14:paraId="650C6198">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（一）采购人依法确定成交供应商后，采购代理机构进行结果公示。</w:t>
      </w:r>
    </w:p>
    <w:p w14:paraId="5936D112">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（二）成交供应商无正当理由放弃成交资格的应当承担相应的法律责任。</w:t>
      </w:r>
    </w:p>
    <w:p w14:paraId="430771AE">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（三）成交供应商拒绝与采购人签订合同的，采购人可以按照评审报告推荐的成交候选人顺序，确定排名下一位的候选人为成交供应商，也可以重新开展竞采活动。</w:t>
      </w:r>
    </w:p>
    <w:p w14:paraId="31D3B3F6">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93" w:name="_Toc18352"/>
      <w:bookmarkStart w:id="294" w:name="_Toc22612"/>
      <w:bookmarkStart w:id="295" w:name="_Toc12557"/>
      <w:bookmarkStart w:id="296" w:name="_Toc20725"/>
      <w:bookmarkStart w:id="297" w:name="_Toc15324"/>
      <w:r>
        <w:rPr>
          <w:rFonts w:hint="eastAsia" w:asciiTheme="minorEastAsia" w:hAnsiTheme="minorEastAsia" w:eastAsiaTheme="minorEastAsia" w:cstheme="minorEastAsia"/>
          <w:b w:val="0"/>
          <w:bCs/>
          <w:color w:val="auto"/>
          <w:kern w:val="44"/>
          <w:sz w:val="24"/>
          <w:szCs w:val="24"/>
          <w:highlight w:val="none"/>
          <w:lang w:val="en-US" w:eastAsia="zh-CN" w:bidi="ar-SA"/>
        </w:rPr>
        <w:t>七、采购代理服务费</w:t>
      </w:r>
      <w:bookmarkEnd w:id="293"/>
      <w:bookmarkEnd w:id="294"/>
      <w:bookmarkEnd w:id="295"/>
      <w:bookmarkEnd w:id="296"/>
      <w:bookmarkEnd w:id="297"/>
    </w:p>
    <w:p w14:paraId="1B1837F6">
      <w:pPr>
        <w:pStyle w:val="2"/>
        <w:pageBreakBefore w:val="0"/>
        <w:kinsoku/>
        <w:wordWrap/>
        <w:overflowPunct/>
        <w:topLinePunct w:val="0"/>
        <w:autoSpaceDE/>
        <w:autoSpaceDN/>
        <w:bidi w:val="0"/>
        <w:adjustRightInd/>
        <w:spacing w:beforeLines="0" w:line="360" w:lineRule="auto"/>
        <w:ind w:left="0" w:leftChars="0" w:right="0" w:firstLine="562"/>
        <w:textAlignment w:val="auto"/>
        <w:rPr>
          <w:rFonts w:hint="eastAsia" w:asciiTheme="minorEastAsia" w:hAnsiTheme="minorEastAsia" w:eastAsiaTheme="minorEastAsia" w:cstheme="minorEastAsia"/>
          <w:b w:val="0"/>
          <w:bCs/>
          <w:color w:val="auto"/>
          <w:sz w:val="24"/>
          <w:szCs w:val="24"/>
          <w:highlight w:val="none"/>
        </w:rPr>
      </w:pPr>
      <w:bookmarkStart w:id="298" w:name="_Toc28733"/>
      <w:r>
        <w:rPr>
          <w:rFonts w:hint="eastAsia" w:asciiTheme="minorEastAsia" w:hAnsiTheme="minorEastAsia" w:eastAsiaTheme="minorEastAsia" w:cstheme="minorEastAsia"/>
          <w:b w:val="0"/>
          <w:bCs/>
          <w:color w:val="auto"/>
          <w:sz w:val="24"/>
          <w:szCs w:val="24"/>
          <w:highlight w:val="none"/>
        </w:rPr>
        <w:t>本项目采购代理服务费</w:t>
      </w:r>
      <w:r>
        <w:rPr>
          <w:rFonts w:hint="eastAsia" w:asciiTheme="minorEastAsia" w:hAnsiTheme="minorEastAsia" w:eastAsiaTheme="minorEastAsia" w:cstheme="minorEastAsia"/>
          <w:b w:val="0"/>
          <w:bCs/>
          <w:color w:val="auto"/>
          <w:sz w:val="24"/>
          <w:szCs w:val="24"/>
          <w:highlight w:val="none"/>
          <w:lang w:val="en-US" w:eastAsia="zh-CN"/>
        </w:rPr>
        <w:t>由</w:t>
      </w:r>
      <w:r>
        <w:rPr>
          <w:rFonts w:hint="eastAsia" w:asciiTheme="minorEastAsia" w:hAnsiTheme="minorEastAsia" w:eastAsiaTheme="minorEastAsia" w:cstheme="minorEastAsia"/>
          <w:b w:val="0"/>
          <w:bCs/>
          <w:color w:val="auto"/>
          <w:sz w:val="24"/>
          <w:szCs w:val="24"/>
          <w:highlight w:val="none"/>
        </w:rPr>
        <w:t>供应商中标后向采购代理机构缴纳</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采购代理服务费以采购的实际</w:t>
      </w:r>
      <w:r>
        <w:rPr>
          <w:rFonts w:hint="eastAsia" w:asciiTheme="minorEastAsia" w:hAnsiTheme="minorEastAsia" w:eastAsiaTheme="minorEastAsia" w:cstheme="minorEastAsia"/>
          <w:b w:val="0"/>
          <w:bCs/>
          <w:color w:val="auto"/>
          <w:sz w:val="24"/>
          <w:szCs w:val="24"/>
          <w:highlight w:val="none"/>
          <w:lang w:val="en-US" w:eastAsia="zh-CN"/>
        </w:rPr>
        <w:t>成交</w:t>
      </w:r>
      <w:r>
        <w:rPr>
          <w:rFonts w:hint="eastAsia" w:asciiTheme="minorEastAsia" w:hAnsiTheme="minorEastAsia" w:eastAsiaTheme="minorEastAsia" w:cstheme="minorEastAsia"/>
          <w:b w:val="0"/>
          <w:bCs/>
          <w:color w:val="auto"/>
          <w:sz w:val="24"/>
          <w:szCs w:val="24"/>
          <w:highlight w:val="none"/>
        </w:rPr>
        <w:t>金额为计费基数，按下列标准计取:采购代理服务费以《招标代理服务收费管理暂行办法》（[2002]1980号及《国家发展改革委关于降低部分建设项目收费标准规范收费行为等有关问题的通知》发改价格〔2011〕534号收费标准计取，采购代理服务费不足</w:t>
      </w:r>
      <w:r>
        <w:rPr>
          <w:rFonts w:hint="eastAsia" w:asciiTheme="minorEastAsia" w:hAnsiTheme="minorEastAsia" w:eastAsiaTheme="minorEastAsia" w:cstheme="minorEastAsia"/>
          <w:b w:val="0"/>
          <w:bCs/>
          <w:color w:val="auto"/>
          <w:sz w:val="24"/>
          <w:szCs w:val="24"/>
          <w:highlight w:val="none"/>
          <w:lang w:val="en-US" w:eastAsia="zh-CN"/>
        </w:rPr>
        <w:t>3000元</w:t>
      </w:r>
      <w:r>
        <w:rPr>
          <w:rFonts w:hint="eastAsia" w:asciiTheme="minorEastAsia" w:hAnsiTheme="minorEastAsia" w:eastAsiaTheme="minorEastAsia" w:cstheme="minorEastAsia"/>
          <w:b w:val="0"/>
          <w:bCs/>
          <w:color w:val="auto"/>
          <w:sz w:val="24"/>
          <w:szCs w:val="24"/>
          <w:highlight w:val="none"/>
        </w:rPr>
        <w:t>按</w:t>
      </w:r>
      <w:r>
        <w:rPr>
          <w:rFonts w:hint="eastAsia" w:asciiTheme="minorEastAsia" w:hAnsiTheme="minorEastAsia" w:eastAsiaTheme="minorEastAsia" w:cstheme="minorEastAsia"/>
          <w:b w:val="0"/>
          <w:bCs/>
          <w:color w:val="auto"/>
          <w:sz w:val="24"/>
          <w:szCs w:val="24"/>
          <w:highlight w:val="none"/>
          <w:lang w:val="en-US" w:eastAsia="zh-CN"/>
        </w:rPr>
        <w:t>3000元</w:t>
      </w:r>
      <w:r>
        <w:rPr>
          <w:rFonts w:hint="eastAsia" w:asciiTheme="minorEastAsia" w:hAnsiTheme="minorEastAsia" w:eastAsiaTheme="minorEastAsia" w:cstheme="minorEastAsia"/>
          <w:b w:val="0"/>
          <w:bCs/>
          <w:color w:val="auto"/>
          <w:sz w:val="24"/>
          <w:szCs w:val="24"/>
          <w:highlight w:val="none"/>
        </w:rPr>
        <w:t>计，缴费账户同报名费缴纳账户。</w:t>
      </w:r>
    </w:p>
    <w:p w14:paraId="1F6C64B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299" w:name="_Toc5049"/>
      <w:bookmarkStart w:id="300" w:name="_Toc12565"/>
      <w:bookmarkStart w:id="301" w:name="_Toc24164"/>
      <w:bookmarkStart w:id="302" w:name="_Toc26232"/>
      <w:r>
        <w:rPr>
          <w:rFonts w:hint="eastAsia" w:asciiTheme="minorEastAsia" w:hAnsiTheme="minorEastAsia" w:eastAsiaTheme="minorEastAsia" w:cstheme="minorEastAsia"/>
          <w:b w:val="0"/>
          <w:bCs/>
          <w:color w:val="auto"/>
          <w:kern w:val="44"/>
          <w:sz w:val="24"/>
          <w:szCs w:val="24"/>
          <w:highlight w:val="none"/>
          <w:lang w:val="en-US" w:eastAsia="zh-CN" w:bidi="ar-SA"/>
        </w:rPr>
        <w:t>八、签订合同</w:t>
      </w:r>
      <w:bookmarkEnd w:id="298"/>
      <w:bookmarkEnd w:id="299"/>
      <w:bookmarkEnd w:id="300"/>
      <w:bookmarkEnd w:id="301"/>
      <w:bookmarkEnd w:id="302"/>
    </w:p>
    <w:p w14:paraId="0F51249E">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（一）采购人原则上应在成交确认书发出之日起二十日内和成交供应商签订合同，无正当理由不得拒绝或拖延合同签订。所签订的合同不得对竞采文件和成交供应商响应文件作实质性修改。</w:t>
      </w:r>
      <w:r>
        <w:rPr>
          <w:rFonts w:hint="eastAsia" w:asciiTheme="minorEastAsia" w:hAnsiTheme="minorEastAsia" w:eastAsiaTheme="minorEastAsia" w:cstheme="minorEastAsia"/>
          <w:color w:val="auto"/>
          <w:kern w:val="0"/>
          <w:sz w:val="24"/>
          <w:szCs w:val="24"/>
          <w:highlight w:val="none"/>
        </w:rPr>
        <w:t>其他未尽事宜由采购人和成交供应商在合同中详细约定。</w:t>
      </w:r>
    </w:p>
    <w:p w14:paraId="249D01CC">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（二）竞采文件、成交供应商的响应文件及澄清文件等，均为签订合同的依据。</w:t>
      </w:r>
    </w:p>
    <w:p w14:paraId="491F4EBE">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1FACF110">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（四）本竞采文件中的合同版式仅供参考，在双方签订合同时可自行选用其他版本。</w:t>
      </w:r>
    </w:p>
    <w:p w14:paraId="41CA3BD2">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b w:val="0"/>
          <w:bCs/>
          <w:color w:val="auto"/>
          <w:kern w:val="44"/>
          <w:sz w:val="24"/>
          <w:szCs w:val="24"/>
          <w:highlight w:val="none"/>
          <w:lang w:val="en-US" w:eastAsia="zh-CN" w:bidi="ar-SA"/>
        </w:rPr>
      </w:pPr>
      <w:bookmarkStart w:id="303" w:name="_Toc11349"/>
      <w:bookmarkStart w:id="304" w:name="_Toc23671"/>
      <w:bookmarkStart w:id="305" w:name="_Toc11558"/>
      <w:bookmarkStart w:id="306" w:name="_Toc23965"/>
      <w:bookmarkStart w:id="307" w:name="_Toc1406"/>
      <w:bookmarkStart w:id="308" w:name="_Toc12465"/>
      <w:bookmarkStart w:id="309" w:name="_Toc26438"/>
      <w:bookmarkStart w:id="310" w:name="_Toc23473"/>
      <w:bookmarkStart w:id="311" w:name="_Toc13934"/>
      <w:bookmarkStart w:id="312" w:name="_Toc27230"/>
      <w:bookmarkStart w:id="313" w:name="_Toc4923"/>
      <w:bookmarkStart w:id="314" w:name="_Toc9393"/>
      <w:bookmarkStart w:id="315" w:name="_Toc13027"/>
      <w:bookmarkStart w:id="316" w:name="_Toc23104"/>
      <w:bookmarkStart w:id="317" w:name="_Toc29139"/>
      <w:bookmarkStart w:id="318" w:name="_Toc21197"/>
      <w:bookmarkStart w:id="319" w:name="_Toc4207"/>
      <w:bookmarkStart w:id="320" w:name="_Toc106030411"/>
      <w:bookmarkStart w:id="321" w:name="_Toc25795"/>
      <w:r>
        <w:rPr>
          <w:rFonts w:hint="eastAsia" w:asciiTheme="minorEastAsia" w:hAnsiTheme="minorEastAsia" w:eastAsiaTheme="minorEastAsia" w:cstheme="minorEastAsia"/>
          <w:b w:val="0"/>
          <w:bCs/>
          <w:color w:val="auto"/>
          <w:kern w:val="44"/>
          <w:sz w:val="24"/>
          <w:szCs w:val="24"/>
          <w:highlight w:val="none"/>
          <w:lang w:val="en-US" w:eastAsia="zh-CN" w:bidi="ar-SA"/>
        </w:rPr>
        <w:t>九、</w:t>
      </w:r>
      <w:bookmarkEnd w:id="303"/>
      <w:bookmarkEnd w:id="304"/>
      <w:bookmarkEnd w:id="305"/>
      <w:bookmarkEnd w:id="306"/>
      <w:r>
        <w:rPr>
          <w:rFonts w:hint="eastAsia" w:asciiTheme="minorEastAsia" w:hAnsiTheme="minorEastAsia" w:eastAsiaTheme="minorEastAsia" w:cstheme="minorEastAsia"/>
          <w:b w:val="0"/>
          <w:bCs/>
          <w:color w:val="auto"/>
          <w:kern w:val="44"/>
          <w:sz w:val="24"/>
          <w:szCs w:val="24"/>
          <w:highlight w:val="none"/>
          <w:lang w:val="en-US" w:eastAsia="zh-CN" w:bidi="ar-SA"/>
        </w:rPr>
        <w:t>项目验收</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9784C5F">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合同执行完毕，由采购人组织履约情况验收，不得无故拖延或附加额外条件。</w:t>
      </w:r>
      <w:bookmarkStart w:id="322" w:name="_Toc21850"/>
      <w:bookmarkStart w:id="323" w:name="_Toc31578"/>
      <w:bookmarkStart w:id="324" w:name="_Toc13002"/>
      <w:bookmarkStart w:id="325" w:name="_Toc31383"/>
      <w:bookmarkStart w:id="326" w:name="_Toc2195"/>
      <w:bookmarkStart w:id="327" w:name="_Toc75793535"/>
      <w:bookmarkStart w:id="328" w:name="_Toc13368"/>
      <w:bookmarkStart w:id="329" w:name="_Toc13050"/>
      <w:bookmarkStart w:id="330" w:name="_Toc19188"/>
      <w:bookmarkStart w:id="331" w:name="_Toc15435"/>
      <w:bookmarkStart w:id="332" w:name="_Toc20328"/>
      <w:bookmarkStart w:id="333" w:name="_Toc3421"/>
    </w:p>
    <w:bookmarkEnd w:id="262"/>
    <w:bookmarkEnd w:id="322"/>
    <w:bookmarkEnd w:id="323"/>
    <w:bookmarkEnd w:id="324"/>
    <w:bookmarkEnd w:id="325"/>
    <w:bookmarkEnd w:id="326"/>
    <w:bookmarkEnd w:id="327"/>
    <w:bookmarkEnd w:id="328"/>
    <w:bookmarkEnd w:id="329"/>
    <w:bookmarkEnd w:id="330"/>
    <w:bookmarkEnd w:id="331"/>
    <w:bookmarkEnd w:id="332"/>
    <w:bookmarkEnd w:id="333"/>
    <w:p w14:paraId="3E008ACB">
      <w:pPr>
        <w:pStyle w:val="3"/>
        <w:pageBreakBefore w:val="0"/>
        <w:numPr>
          <w:ilvl w:val="0"/>
          <w:numId w:val="0"/>
        </w:numPr>
        <w:kinsoku/>
        <w:wordWrap/>
        <w:overflowPunct/>
        <w:topLinePunct w:val="0"/>
        <w:autoSpaceDE/>
        <w:autoSpaceDN/>
        <w:bidi w:val="0"/>
        <w:adjustRightInd/>
        <w:spacing w:line="560" w:lineRule="exact"/>
        <w:ind w:left="0" w:leftChars="0" w:right="0" w:rightChars="0"/>
        <w:textAlignment w:val="auto"/>
        <w:rPr>
          <w:rFonts w:hint="eastAsia" w:asciiTheme="minorEastAsia" w:hAnsiTheme="minorEastAsia" w:eastAsiaTheme="minorEastAsia" w:cstheme="minorEastAsia"/>
          <w:color w:val="auto"/>
          <w:sz w:val="36"/>
          <w:szCs w:val="36"/>
          <w:highlight w:val="none"/>
        </w:rPr>
      </w:pPr>
      <w:bookmarkStart w:id="334" w:name="_Toc13807"/>
      <w:bookmarkStart w:id="335" w:name="_Toc2409"/>
      <w:bookmarkStart w:id="336" w:name="_Toc24661"/>
      <w:bookmarkStart w:id="337" w:name="_Toc27199"/>
      <w:r>
        <w:rPr>
          <w:rFonts w:hint="eastAsia" w:asciiTheme="minorEastAsia" w:hAnsiTheme="minorEastAsia" w:eastAsiaTheme="minorEastAsia" w:cstheme="minorEastAsia"/>
          <w:b/>
          <w:color w:val="auto"/>
          <w:kern w:val="44"/>
          <w:sz w:val="36"/>
          <w:szCs w:val="36"/>
          <w:highlight w:val="none"/>
          <w:lang w:val="en-US" w:eastAsia="zh-CN" w:bidi="ar-SA"/>
        </w:rPr>
        <w:t>第六篇</w:t>
      </w:r>
      <w:r>
        <w:rPr>
          <w:rFonts w:hint="eastAsia" w:asciiTheme="minorEastAsia" w:hAnsiTheme="minorEastAsia" w:eastAsiaTheme="minorEastAsia" w:cstheme="minorEastAsia"/>
          <w:color w:val="auto"/>
          <w:sz w:val="36"/>
          <w:szCs w:val="36"/>
          <w:highlight w:val="none"/>
        </w:rPr>
        <w:t xml:space="preserve"> 合同条款</w:t>
      </w:r>
      <w:bookmarkEnd w:id="334"/>
      <w:bookmarkEnd w:id="335"/>
    </w:p>
    <w:p w14:paraId="7816F83B">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i/>
          <w:iCs/>
          <w:color w:val="auto"/>
          <w:sz w:val="36"/>
          <w:szCs w:val="36"/>
          <w:highlight w:val="none"/>
        </w:rPr>
      </w:pPr>
      <w:bookmarkStart w:id="338" w:name="_Toc18769"/>
    </w:p>
    <w:p w14:paraId="13CC7CF1">
      <w:pPr>
        <w:pageBreakBefore w:val="0"/>
        <w:kinsoku/>
        <w:wordWrap/>
        <w:overflowPunct/>
        <w:topLinePunct w:val="0"/>
        <w:autoSpaceDE/>
        <w:autoSpaceDN/>
        <w:bidi w:val="0"/>
        <w:adjustRightInd/>
        <w:spacing w:line="560" w:lineRule="exact"/>
        <w:ind w:left="0" w:leftChars="0" w:right="0" w:firstLine="482" w:firstLineChars="200"/>
        <w:textAlignment w:val="auto"/>
        <w:rPr>
          <w:rFonts w:hint="eastAsia" w:asciiTheme="minorEastAsia" w:hAnsiTheme="minorEastAsia" w:eastAsiaTheme="minorEastAsia" w:cstheme="minorEastAsia"/>
          <w:b/>
          <w:bCs/>
          <w:i/>
          <w:iCs/>
          <w:color w:val="auto"/>
          <w:sz w:val="24"/>
          <w:szCs w:val="24"/>
          <w:highlight w:val="none"/>
        </w:rPr>
      </w:pPr>
      <w:bookmarkStart w:id="339" w:name="_Toc19205"/>
      <w:r>
        <w:rPr>
          <w:rFonts w:hint="eastAsia" w:asciiTheme="minorEastAsia" w:hAnsiTheme="minorEastAsia" w:eastAsiaTheme="minorEastAsia" w:cstheme="minorEastAsia"/>
          <w:b/>
          <w:bCs/>
          <w:i/>
          <w:iCs/>
          <w:color w:val="auto"/>
          <w:sz w:val="24"/>
          <w:szCs w:val="24"/>
          <w:highlight w:val="none"/>
        </w:rPr>
        <w:t>（注：本格式仅供参考格式，供需双方也可根据实际情况自行采用其他合同范式。）</w:t>
      </w:r>
      <w:bookmarkEnd w:id="338"/>
      <w:bookmarkEnd w:id="339"/>
    </w:p>
    <w:p w14:paraId="7861417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rPr>
        <w:br w:type="page"/>
      </w:r>
      <w:r>
        <w:rPr>
          <w:rFonts w:hint="eastAsia" w:asciiTheme="minorEastAsia" w:hAnsiTheme="minorEastAsia" w:eastAsiaTheme="minorEastAsia" w:cstheme="minorEastAsia"/>
          <w:b w:val="0"/>
          <w:bCs/>
          <w:color w:val="auto"/>
          <w:sz w:val="40"/>
          <w:szCs w:val="40"/>
          <w:highlight w:val="none"/>
        </w:rPr>
        <w:t>采购合同</w:t>
      </w:r>
    </w:p>
    <w:p w14:paraId="4F07ACE3">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p>
    <w:p w14:paraId="1371C7F6">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甲方（需方）：______________      计价单位：__________</w:t>
      </w:r>
    </w:p>
    <w:p w14:paraId="79390893">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乙方（供方）：______________      计量单位：__________</w:t>
      </w:r>
    </w:p>
    <w:p w14:paraId="5206A540">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p>
    <w:p w14:paraId="18AA914F">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经双方协商一致，达成以下购销合同：</w:t>
      </w:r>
    </w:p>
    <w:tbl>
      <w:tblPr>
        <w:tblStyle w:val="26"/>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79"/>
        <w:gridCol w:w="1005"/>
        <w:gridCol w:w="463"/>
        <w:gridCol w:w="863"/>
        <w:gridCol w:w="1159"/>
        <w:gridCol w:w="1594"/>
        <w:gridCol w:w="1610"/>
        <w:gridCol w:w="20"/>
      </w:tblGrid>
      <w:tr w14:paraId="4C82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2" w:hRule="atLeast"/>
        </w:trPr>
        <w:tc>
          <w:tcPr>
            <w:tcW w:w="1360" w:type="dxa"/>
            <w:vAlign w:val="center"/>
          </w:tcPr>
          <w:p w14:paraId="7121165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tc>
        <w:tc>
          <w:tcPr>
            <w:tcW w:w="1779" w:type="dxa"/>
            <w:vAlign w:val="center"/>
          </w:tcPr>
          <w:p w14:paraId="267C34F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服务内容</w:t>
            </w:r>
          </w:p>
        </w:tc>
        <w:tc>
          <w:tcPr>
            <w:tcW w:w="1005" w:type="dxa"/>
            <w:vAlign w:val="center"/>
          </w:tcPr>
          <w:p w14:paraId="08F55AC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数量</w:t>
            </w:r>
          </w:p>
        </w:tc>
        <w:tc>
          <w:tcPr>
            <w:tcW w:w="1326" w:type="dxa"/>
            <w:gridSpan w:val="2"/>
            <w:vAlign w:val="center"/>
          </w:tcPr>
          <w:p w14:paraId="2A021D9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综合单价</w:t>
            </w:r>
          </w:p>
        </w:tc>
        <w:tc>
          <w:tcPr>
            <w:tcW w:w="1159" w:type="dxa"/>
            <w:vAlign w:val="center"/>
          </w:tcPr>
          <w:p w14:paraId="450318D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总价</w:t>
            </w:r>
          </w:p>
        </w:tc>
        <w:tc>
          <w:tcPr>
            <w:tcW w:w="1594" w:type="dxa"/>
            <w:vAlign w:val="center"/>
          </w:tcPr>
          <w:p w14:paraId="5165F90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服务期限</w:t>
            </w:r>
          </w:p>
        </w:tc>
        <w:tc>
          <w:tcPr>
            <w:tcW w:w="1610" w:type="dxa"/>
            <w:vAlign w:val="center"/>
          </w:tcPr>
          <w:p w14:paraId="16C8D2D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服务地点</w:t>
            </w:r>
          </w:p>
        </w:tc>
      </w:tr>
      <w:tr w14:paraId="6EBC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4CD2A8A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53B885D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5821DB2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6C131DD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5AA2278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6F5E515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1ADF9931">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49C6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62A9993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7CC1380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1FD57E4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60D3B65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7BF236A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49F28AA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3E91DA2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4E16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75C6574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3EE8F3C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0136C31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59F3C1E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4C03758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4D00C15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04130BE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1515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317680A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7F2D47B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30BBC7C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1D9021C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6652358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044CACD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2AF61D5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1351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360" w:type="dxa"/>
            <w:vAlign w:val="center"/>
          </w:tcPr>
          <w:p w14:paraId="749CE6D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779" w:type="dxa"/>
            <w:vAlign w:val="center"/>
          </w:tcPr>
          <w:p w14:paraId="461DEB5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005" w:type="dxa"/>
            <w:vAlign w:val="center"/>
          </w:tcPr>
          <w:p w14:paraId="6C0D423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326" w:type="dxa"/>
            <w:gridSpan w:val="2"/>
            <w:vAlign w:val="center"/>
          </w:tcPr>
          <w:p w14:paraId="35632FF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159" w:type="dxa"/>
            <w:vAlign w:val="center"/>
          </w:tcPr>
          <w:p w14:paraId="57941E2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594" w:type="dxa"/>
            <w:vAlign w:val="center"/>
          </w:tcPr>
          <w:p w14:paraId="3B72233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c>
          <w:tcPr>
            <w:tcW w:w="1610" w:type="dxa"/>
            <w:vAlign w:val="center"/>
          </w:tcPr>
          <w:p w14:paraId="597F9F9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6F94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Pr>
        <w:tc>
          <w:tcPr>
            <w:tcW w:w="9833" w:type="dxa"/>
            <w:gridSpan w:val="8"/>
            <w:vAlign w:val="center"/>
          </w:tcPr>
          <w:p w14:paraId="7906234D">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合计人民币（小写）：</w:t>
            </w:r>
          </w:p>
        </w:tc>
      </w:tr>
      <w:tr w14:paraId="292A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Pr>
        <w:tc>
          <w:tcPr>
            <w:tcW w:w="9833" w:type="dxa"/>
            <w:gridSpan w:val="8"/>
            <w:vAlign w:val="center"/>
          </w:tcPr>
          <w:p w14:paraId="1D54B8D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合计人民币（大写）：</w:t>
            </w:r>
          </w:p>
        </w:tc>
      </w:tr>
      <w:tr w14:paraId="27ED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99" w:hRule="atLeast"/>
        </w:trPr>
        <w:tc>
          <w:tcPr>
            <w:tcW w:w="9833" w:type="dxa"/>
            <w:gridSpan w:val="8"/>
          </w:tcPr>
          <w:p w14:paraId="3965E21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一、服务内容</w:t>
            </w:r>
          </w:p>
        </w:tc>
      </w:tr>
      <w:tr w14:paraId="12C1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13" w:hRule="atLeast"/>
        </w:trPr>
        <w:tc>
          <w:tcPr>
            <w:tcW w:w="9833" w:type="dxa"/>
            <w:gridSpan w:val="8"/>
          </w:tcPr>
          <w:p w14:paraId="12BBC6B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二、服务相关要求：</w:t>
            </w:r>
          </w:p>
        </w:tc>
      </w:tr>
      <w:tr w14:paraId="2F8C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853" w:type="dxa"/>
            <w:gridSpan w:val="9"/>
          </w:tcPr>
          <w:p w14:paraId="3E3DC15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三、验收标准、方法：</w:t>
            </w:r>
          </w:p>
          <w:p w14:paraId="42C04CA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如有异议，请于      日内提出。</w:t>
            </w:r>
          </w:p>
        </w:tc>
      </w:tr>
      <w:tr w14:paraId="14CF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853" w:type="dxa"/>
            <w:gridSpan w:val="9"/>
          </w:tcPr>
          <w:p w14:paraId="56F7FDB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四、付款方式：</w:t>
            </w:r>
          </w:p>
          <w:p w14:paraId="0C87F9B4">
            <w:pPr>
              <w:pStyle w:val="12"/>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r w14:paraId="09D9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853" w:type="dxa"/>
            <w:gridSpan w:val="9"/>
          </w:tcPr>
          <w:p w14:paraId="1B48ECC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五、违约责任：</w:t>
            </w:r>
          </w:p>
          <w:p w14:paraId="49C75226">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按《中华人民共和国民法典》执行，或按双方约定。（采购人应按项目实际情况完整填写）</w:t>
            </w:r>
          </w:p>
        </w:tc>
      </w:tr>
      <w:tr w14:paraId="6106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853" w:type="dxa"/>
            <w:gridSpan w:val="9"/>
          </w:tcPr>
          <w:p w14:paraId="62727F1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六、其他约定事项：</w:t>
            </w:r>
          </w:p>
          <w:p w14:paraId="63A76429">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1.采购文件及其澄清文件、投标文件和承诺是本合同不可分割的部分。</w:t>
            </w:r>
          </w:p>
          <w:p w14:paraId="04ABDA9A">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2.本合同如发生争议由双方协商解决，协商不成向需方所在地仲裁机构提请仲裁。</w:t>
            </w:r>
          </w:p>
          <w:p w14:paraId="0F0036C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3.本合同一式__份， 需方__份，供方__份，具备同等法律效力。</w:t>
            </w:r>
          </w:p>
          <w:p w14:paraId="61CD74F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4.其他：</w:t>
            </w:r>
          </w:p>
        </w:tc>
      </w:tr>
      <w:tr w14:paraId="4910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607" w:type="dxa"/>
            <w:gridSpan w:val="4"/>
          </w:tcPr>
          <w:p w14:paraId="07392EE4">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需方：</w:t>
            </w:r>
          </w:p>
          <w:p w14:paraId="09B2C9FC">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p>
          <w:p w14:paraId="4E5B0AC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p>
          <w:p w14:paraId="5E9CA458">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授权代表：</w:t>
            </w:r>
          </w:p>
        </w:tc>
        <w:tc>
          <w:tcPr>
            <w:tcW w:w="5246" w:type="dxa"/>
            <w:gridSpan w:val="5"/>
          </w:tcPr>
          <w:p w14:paraId="4B07A75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供方：</w:t>
            </w:r>
          </w:p>
          <w:p w14:paraId="0B778B22">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p>
          <w:p w14:paraId="7EDE0EB3">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电话：</w:t>
            </w:r>
          </w:p>
          <w:p w14:paraId="47FC7649">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传真：</w:t>
            </w:r>
          </w:p>
          <w:p w14:paraId="1301E0F0">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开户银行：</w:t>
            </w:r>
          </w:p>
          <w:p w14:paraId="6244A225">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账号：</w:t>
            </w:r>
          </w:p>
          <w:p w14:paraId="308704C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授权代表：</w:t>
            </w:r>
          </w:p>
          <w:p w14:paraId="48B042D4">
            <w:pPr>
              <w:pageBreakBefore w:val="0"/>
              <w:widowControl/>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（本栏请用计算机打印以便于准确付款）</w:t>
            </w:r>
          </w:p>
        </w:tc>
      </w:tr>
      <w:tr w14:paraId="5CE4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853" w:type="dxa"/>
            <w:gridSpan w:val="9"/>
          </w:tcPr>
          <w:p w14:paraId="50450E6F">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备注：</w:t>
            </w:r>
          </w:p>
          <w:p w14:paraId="01559A4E">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p w14:paraId="53EBB317">
            <w:pPr>
              <w:pageBreakBefore w:val="0"/>
              <w:kinsoku/>
              <w:wordWrap/>
              <w:overflowPunct/>
              <w:topLinePunct w:val="0"/>
              <w:autoSpaceDE/>
              <w:autoSpaceDN/>
              <w:bidi w:val="0"/>
              <w:adjustRightInd/>
              <w:spacing w:line="560" w:lineRule="exact"/>
              <w:ind w:left="0" w:leftChars="0" w:right="0"/>
              <w:jc w:val="left"/>
              <w:textAlignment w:val="auto"/>
              <w:rPr>
                <w:rFonts w:hint="eastAsia" w:asciiTheme="minorEastAsia" w:hAnsiTheme="minorEastAsia" w:eastAsiaTheme="minorEastAsia" w:cstheme="minorEastAsia"/>
                <w:color w:val="auto"/>
                <w:sz w:val="28"/>
                <w:szCs w:val="28"/>
                <w:highlight w:val="none"/>
              </w:rPr>
            </w:pPr>
          </w:p>
        </w:tc>
      </w:tr>
    </w:tbl>
    <w:p w14:paraId="28D3E7D4">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签约时间：           年   月   日      签约地点：</w:t>
      </w:r>
    </w:p>
    <w:p w14:paraId="11D64AE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kern w:val="0"/>
          <w:sz w:val="28"/>
          <w:szCs w:val="28"/>
          <w:highlight w:val="none"/>
        </w:rPr>
      </w:pPr>
    </w:p>
    <w:p w14:paraId="3A33465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610F3BFF">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sectPr>
          <w:pgSz w:w="11905" w:h="16838"/>
          <w:pgMar w:top="1134" w:right="1134" w:bottom="1134" w:left="1134" w:header="850" w:footer="992" w:gutter="0"/>
          <w:pgNumType w:fmt="numberInDash"/>
          <w:cols w:space="0" w:num="1"/>
          <w:titlePg/>
          <w:docGrid w:type="lines" w:linePitch="385" w:charSpace="0"/>
        </w:sectPr>
      </w:pPr>
    </w:p>
    <w:p w14:paraId="5F72B703">
      <w:pPr>
        <w:pStyle w:val="3"/>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val="0"/>
          <w:color w:val="auto"/>
          <w:sz w:val="36"/>
          <w:szCs w:val="36"/>
          <w:highlight w:val="none"/>
        </w:rPr>
      </w:pPr>
      <w:bookmarkStart w:id="340" w:name="_Toc3364"/>
      <w:bookmarkStart w:id="341" w:name="_Toc18318"/>
      <w:r>
        <w:rPr>
          <w:rFonts w:hint="eastAsia" w:asciiTheme="minorEastAsia" w:hAnsiTheme="minorEastAsia" w:eastAsiaTheme="minorEastAsia" w:cstheme="minorEastAsia"/>
          <w:b/>
          <w:bCs w:val="0"/>
          <w:color w:val="auto"/>
          <w:sz w:val="36"/>
          <w:szCs w:val="36"/>
          <w:highlight w:val="none"/>
        </w:rPr>
        <w:t>第七篇 响应文件格式</w:t>
      </w:r>
      <w:bookmarkEnd w:id="336"/>
      <w:bookmarkEnd w:id="337"/>
      <w:bookmarkEnd w:id="340"/>
      <w:bookmarkEnd w:id="341"/>
    </w:p>
    <w:p w14:paraId="726593E7">
      <w:pPr>
        <w:pageBreakBefore w:val="0"/>
        <w:kinsoku/>
        <w:wordWrap/>
        <w:overflowPunct/>
        <w:topLinePunct w:val="0"/>
        <w:autoSpaceDE/>
        <w:autoSpaceDN/>
        <w:bidi w:val="0"/>
        <w:adjustRightInd/>
        <w:spacing w:line="560" w:lineRule="exact"/>
        <w:ind w:left="0" w:leftChars="0" w:right="0" w:firstLine="723" w:firstLineChars="200"/>
        <w:textAlignment w:val="auto"/>
        <w:rPr>
          <w:rFonts w:hint="eastAsia" w:asciiTheme="minorEastAsia" w:hAnsiTheme="minorEastAsia" w:eastAsiaTheme="minorEastAsia" w:cstheme="minorEastAsia"/>
          <w:b/>
          <w:bCs w:val="0"/>
          <w:color w:val="auto"/>
          <w:sz w:val="36"/>
          <w:szCs w:val="36"/>
          <w:highlight w:val="none"/>
        </w:rPr>
      </w:pPr>
      <w:bookmarkStart w:id="342" w:name="_Toc30939"/>
      <w:bookmarkStart w:id="343" w:name="_Toc22811"/>
      <w:bookmarkStart w:id="344" w:name="_Toc9790"/>
      <w:bookmarkStart w:id="345" w:name="_Toc15251"/>
      <w:bookmarkStart w:id="346" w:name="_Toc10248"/>
    </w:p>
    <w:p w14:paraId="59A12408">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47" w:name="_Toc11617"/>
      <w:r>
        <w:rPr>
          <w:rFonts w:hint="eastAsia" w:asciiTheme="minorEastAsia" w:hAnsiTheme="minorEastAsia" w:eastAsiaTheme="minorEastAsia" w:cstheme="minorEastAsia"/>
          <w:b w:val="0"/>
          <w:bCs/>
          <w:color w:val="auto"/>
          <w:kern w:val="44"/>
          <w:sz w:val="28"/>
          <w:szCs w:val="28"/>
          <w:highlight w:val="none"/>
          <w:lang w:val="en-US" w:eastAsia="zh-CN" w:bidi="ar-SA"/>
        </w:rPr>
        <w:t>一、</w:t>
      </w:r>
      <w:bookmarkEnd w:id="342"/>
      <w:bookmarkEnd w:id="343"/>
      <w:bookmarkEnd w:id="344"/>
      <w:bookmarkEnd w:id="345"/>
      <w:bookmarkEnd w:id="346"/>
      <w:r>
        <w:rPr>
          <w:rFonts w:hint="eastAsia" w:asciiTheme="minorEastAsia" w:hAnsiTheme="minorEastAsia" w:eastAsiaTheme="minorEastAsia" w:cstheme="minorEastAsia"/>
          <w:b w:val="0"/>
          <w:bCs/>
          <w:color w:val="auto"/>
          <w:kern w:val="44"/>
          <w:sz w:val="28"/>
          <w:szCs w:val="28"/>
          <w:highlight w:val="none"/>
          <w:lang w:val="en-US" w:eastAsia="zh-CN" w:bidi="ar-SA"/>
        </w:rPr>
        <w:t>经济部分</w:t>
      </w:r>
      <w:bookmarkEnd w:id="347"/>
    </w:p>
    <w:p w14:paraId="5A01628D">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48" w:name="_Toc18890"/>
      <w:bookmarkStart w:id="349" w:name="_Toc26419"/>
      <w:bookmarkStart w:id="350" w:name="_Toc254"/>
      <w:bookmarkStart w:id="351" w:name="_Toc26002"/>
      <w:bookmarkStart w:id="352" w:name="_Toc24000"/>
      <w:bookmarkStart w:id="353" w:name="_Toc20933"/>
      <w:r>
        <w:rPr>
          <w:rFonts w:hint="eastAsia" w:asciiTheme="minorEastAsia" w:hAnsiTheme="minorEastAsia" w:eastAsiaTheme="minorEastAsia" w:cstheme="minorEastAsia"/>
          <w:b w:val="0"/>
          <w:bCs/>
          <w:color w:val="auto"/>
          <w:kern w:val="44"/>
          <w:sz w:val="28"/>
          <w:szCs w:val="28"/>
          <w:highlight w:val="none"/>
          <w:lang w:val="en-US" w:eastAsia="zh-CN" w:bidi="ar-SA"/>
        </w:rPr>
        <w:t>二、资格</w:t>
      </w:r>
      <w:bookmarkEnd w:id="348"/>
      <w:bookmarkEnd w:id="349"/>
      <w:bookmarkEnd w:id="350"/>
      <w:bookmarkEnd w:id="351"/>
      <w:r>
        <w:rPr>
          <w:rFonts w:hint="eastAsia" w:asciiTheme="minorEastAsia" w:hAnsiTheme="minorEastAsia" w:eastAsiaTheme="minorEastAsia" w:cstheme="minorEastAsia"/>
          <w:b w:val="0"/>
          <w:bCs/>
          <w:color w:val="auto"/>
          <w:kern w:val="44"/>
          <w:sz w:val="28"/>
          <w:szCs w:val="28"/>
          <w:highlight w:val="none"/>
          <w:lang w:val="en-US" w:eastAsia="zh-CN" w:bidi="ar-SA"/>
        </w:rPr>
        <w:t>文件</w:t>
      </w:r>
      <w:bookmarkEnd w:id="352"/>
      <w:bookmarkEnd w:id="353"/>
    </w:p>
    <w:p w14:paraId="0B6F1D21">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54" w:name="_Toc16080"/>
      <w:bookmarkStart w:id="355" w:name="_Toc7698"/>
      <w:bookmarkStart w:id="356" w:name="_Toc11535"/>
      <w:bookmarkStart w:id="357" w:name="_Toc19972"/>
      <w:bookmarkStart w:id="358" w:name="_Toc6114"/>
      <w:bookmarkStart w:id="359" w:name="_Toc12593"/>
      <w:r>
        <w:rPr>
          <w:rFonts w:hint="eastAsia" w:asciiTheme="minorEastAsia" w:hAnsiTheme="minorEastAsia" w:eastAsiaTheme="minorEastAsia" w:cstheme="minorEastAsia"/>
          <w:b w:val="0"/>
          <w:bCs/>
          <w:color w:val="auto"/>
          <w:kern w:val="44"/>
          <w:sz w:val="28"/>
          <w:szCs w:val="28"/>
          <w:highlight w:val="none"/>
          <w:lang w:val="en-US" w:eastAsia="zh-CN" w:bidi="ar-SA"/>
        </w:rPr>
        <w:t>三、</w:t>
      </w:r>
      <w:bookmarkEnd w:id="354"/>
      <w:bookmarkEnd w:id="355"/>
      <w:bookmarkEnd w:id="356"/>
      <w:bookmarkEnd w:id="357"/>
      <w:bookmarkEnd w:id="358"/>
      <w:r>
        <w:rPr>
          <w:rFonts w:hint="eastAsia" w:asciiTheme="minorEastAsia" w:hAnsiTheme="minorEastAsia" w:eastAsiaTheme="minorEastAsia" w:cstheme="minorEastAsia"/>
          <w:b w:val="0"/>
          <w:bCs/>
          <w:color w:val="auto"/>
          <w:kern w:val="44"/>
          <w:sz w:val="28"/>
          <w:szCs w:val="28"/>
          <w:highlight w:val="none"/>
          <w:lang w:val="en-US" w:eastAsia="zh-CN" w:bidi="ar-SA"/>
        </w:rPr>
        <w:t>技术（服务）部分</w:t>
      </w:r>
      <w:bookmarkEnd w:id="359"/>
    </w:p>
    <w:p w14:paraId="5A3A75D4">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60" w:name="_Toc32049"/>
      <w:bookmarkStart w:id="361" w:name="_Toc29209"/>
      <w:bookmarkStart w:id="362" w:name="_Toc15817"/>
      <w:bookmarkStart w:id="363" w:name="_Toc8479"/>
      <w:bookmarkStart w:id="364" w:name="_Toc29874"/>
      <w:bookmarkStart w:id="365" w:name="_Toc665"/>
      <w:r>
        <w:rPr>
          <w:rFonts w:hint="eastAsia" w:asciiTheme="minorEastAsia" w:hAnsiTheme="minorEastAsia" w:eastAsiaTheme="minorEastAsia" w:cstheme="minorEastAsia"/>
          <w:b w:val="0"/>
          <w:bCs/>
          <w:color w:val="auto"/>
          <w:kern w:val="44"/>
          <w:sz w:val="28"/>
          <w:szCs w:val="28"/>
          <w:highlight w:val="none"/>
          <w:lang w:val="en-US" w:eastAsia="zh-CN" w:bidi="ar-SA"/>
        </w:rPr>
        <w:t>四、</w:t>
      </w:r>
      <w:bookmarkEnd w:id="360"/>
      <w:bookmarkEnd w:id="361"/>
      <w:bookmarkEnd w:id="362"/>
      <w:bookmarkEnd w:id="363"/>
      <w:bookmarkEnd w:id="364"/>
      <w:r>
        <w:rPr>
          <w:rFonts w:hint="eastAsia" w:asciiTheme="minorEastAsia" w:hAnsiTheme="minorEastAsia" w:eastAsiaTheme="minorEastAsia" w:cstheme="minorEastAsia"/>
          <w:b w:val="0"/>
          <w:bCs/>
          <w:color w:val="auto"/>
          <w:kern w:val="44"/>
          <w:sz w:val="28"/>
          <w:szCs w:val="28"/>
          <w:highlight w:val="none"/>
          <w:lang w:val="en-US" w:eastAsia="zh-CN" w:bidi="ar-SA"/>
        </w:rPr>
        <w:t>商务部分</w:t>
      </w:r>
      <w:bookmarkEnd w:id="365"/>
    </w:p>
    <w:p w14:paraId="07BC7AA6">
      <w:pPr>
        <w:pageBreakBefore w:val="0"/>
        <w:kinsoku/>
        <w:wordWrap/>
        <w:overflowPunct/>
        <w:topLinePunct w:val="0"/>
        <w:autoSpaceDE/>
        <w:autoSpaceDN/>
        <w:bidi w:val="0"/>
        <w:adjustRightInd/>
        <w:snapToGrid w:val="0"/>
        <w:spacing w:line="360" w:lineRule="auto"/>
        <w:ind w:left="0" w:leftChars="0" w:right="0" w:firstLine="560" w:firstLineChars="200"/>
        <w:jc w:val="left"/>
        <w:textAlignment w:val="auto"/>
        <w:outlineLvl w:val="0"/>
        <w:rPr>
          <w:rFonts w:hint="eastAsia" w:asciiTheme="minorEastAsia" w:hAnsiTheme="minorEastAsia" w:eastAsiaTheme="minorEastAsia" w:cstheme="minorEastAsia"/>
          <w:b w:val="0"/>
          <w:bCs/>
          <w:color w:val="auto"/>
          <w:kern w:val="44"/>
          <w:sz w:val="28"/>
          <w:szCs w:val="28"/>
          <w:highlight w:val="none"/>
          <w:lang w:val="en-US" w:eastAsia="zh-CN" w:bidi="ar-SA"/>
        </w:rPr>
      </w:pPr>
      <w:bookmarkStart w:id="366" w:name="_Toc19746"/>
      <w:bookmarkStart w:id="367" w:name="_Toc8893"/>
      <w:bookmarkStart w:id="368" w:name="_Toc28431"/>
      <w:bookmarkStart w:id="369" w:name="_Toc29564"/>
      <w:bookmarkStart w:id="370" w:name="_Toc14501"/>
      <w:bookmarkStart w:id="371" w:name="_Toc10309"/>
      <w:r>
        <w:rPr>
          <w:rFonts w:hint="eastAsia" w:asciiTheme="minorEastAsia" w:hAnsiTheme="minorEastAsia" w:eastAsiaTheme="minorEastAsia" w:cstheme="minorEastAsia"/>
          <w:b w:val="0"/>
          <w:bCs/>
          <w:color w:val="auto"/>
          <w:kern w:val="44"/>
          <w:sz w:val="28"/>
          <w:szCs w:val="28"/>
          <w:highlight w:val="none"/>
          <w:lang w:val="en-US" w:eastAsia="zh-CN" w:bidi="ar-SA"/>
        </w:rPr>
        <w:t>五、</w:t>
      </w:r>
      <w:bookmarkEnd w:id="366"/>
      <w:bookmarkEnd w:id="367"/>
      <w:bookmarkEnd w:id="368"/>
      <w:r>
        <w:rPr>
          <w:rFonts w:hint="eastAsia" w:asciiTheme="minorEastAsia" w:hAnsiTheme="minorEastAsia" w:eastAsiaTheme="minorEastAsia" w:cstheme="minorEastAsia"/>
          <w:b w:val="0"/>
          <w:bCs/>
          <w:color w:val="auto"/>
          <w:kern w:val="44"/>
          <w:sz w:val="28"/>
          <w:szCs w:val="28"/>
          <w:highlight w:val="none"/>
          <w:lang w:val="en-US" w:eastAsia="zh-CN" w:bidi="ar-SA"/>
        </w:rPr>
        <w:t>其他与项目有关的</w:t>
      </w:r>
      <w:bookmarkEnd w:id="369"/>
      <w:r>
        <w:rPr>
          <w:rFonts w:hint="eastAsia" w:asciiTheme="minorEastAsia" w:hAnsiTheme="minorEastAsia" w:eastAsiaTheme="minorEastAsia" w:cstheme="minorEastAsia"/>
          <w:b w:val="0"/>
          <w:bCs/>
          <w:color w:val="auto"/>
          <w:kern w:val="44"/>
          <w:sz w:val="28"/>
          <w:szCs w:val="28"/>
          <w:highlight w:val="none"/>
          <w:lang w:val="en-US" w:eastAsia="zh-CN" w:bidi="ar-SA"/>
        </w:rPr>
        <w:t>资料</w:t>
      </w:r>
      <w:bookmarkEnd w:id="370"/>
      <w:bookmarkEnd w:id="371"/>
    </w:p>
    <w:p w14:paraId="317C3A5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1AEC172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bookmarkStart w:id="372" w:name="_Toc10124"/>
      <w:bookmarkStart w:id="373" w:name="_Toc27943"/>
      <w:bookmarkStart w:id="374" w:name="_Toc27612"/>
      <w:bookmarkStart w:id="375" w:name="_Toc23361"/>
      <w:bookmarkStart w:id="376" w:name="_Toc13547"/>
      <w:bookmarkStart w:id="377" w:name="_Toc15893"/>
      <w:bookmarkStart w:id="378" w:name="_Toc21561"/>
      <w:bookmarkStart w:id="379" w:name="_Toc27722"/>
      <w:bookmarkStart w:id="380" w:name="_Toc106030417"/>
      <w:bookmarkStart w:id="381" w:name="_Toc25659"/>
      <w:bookmarkStart w:id="382" w:name="_Toc29821"/>
      <w:bookmarkStart w:id="383" w:name="_Toc31828"/>
      <w:bookmarkStart w:id="384" w:name="_Toc14568"/>
      <w:bookmarkStart w:id="385" w:name="_Toc429584884"/>
      <w:bookmarkStart w:id="386" w:name="_Toc75793540"/>
      <w:bookmarkStart w:id="387" w:name="_Toc31914"/>
      <w:bookmarkStart w:id="388" w:name="_Toc14552"/>
      <w:bookmarkStart w:id="389" w:name="_Toc11398"/>
      <w:bookmarkStart w:id="390" w:name="_Toc23145"/>
      <w:bookmarkStart w:id="391" w:name="_Toc18181"/>
      <w:bookmarkStart w:id="392" w:name="_Toc17074"/>
      <w:r>
        <w:rPr>
          <w:rFonts w:hint="eastAsia" w:asciiTheme="minorEastAsia" w:hAnsiTheme="minorEastAsia" w:eastAsiaTheme="minorEastAsia" w:cstheme="minorEastAsia"/>
          <w:b/>
          <w:bCs/>
          <w:color w:val="auto"/>
          <w:sz w:val="28"/>
          <w:szCs w:val="28"/>
          <w:highlight w:val="none"/>
        </w:rPr>
        <w:br w:type="page"/>
      </w:r>
    </w:p>
    <w:p w14:paraId="4B41279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                                    </w:t>
      </w:r>
    </w:p>
    <w:p w14:paraId="1CD8224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38CE184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0354F10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7A141F7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设计制作农业执法普法宣传物料</w:t>
      </w:r>
    </w:p>
    <w:p w14:paraId="0F0E0C21">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1E129C4B">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1E27D72">
      <w:pPr>
        <w:pStyle w:val="9"/>
        <w:rPr>
          <w:rFonts w:hint="eastAsia" w:asciiTheme="minorEastAsia" w:hAnsiTheme="minorEastAsia" w:eastAsiaTheme="minorEastAsia" w:cstheme="minorEastAsia"/>
          <w:color w:val="auto"/>
          <w:sz w:val="28"/>
          <w:szCs w:val="28"/>
          <w:highlight w:val="none"/>
        </w:rPr>
      </w:pPr>
    </w:p>
    <w:p w14:paraId="61618887">
      <w:pPr>
        <w:pStyle w:val="9"/>
        <w:rPr>
          <w:rFonts w:hint="eastAsia" w:asciiTheme="minorEastAsia" w:hAnsiTheme="minorEastAsia" w:eastAsiaTheme="minorEastAsia" w:cstheme="minorEastAsia"/>
          <w:color w:val="auto"/>
          <w:sz w:val="28"/>
          <w:szCs w:val="28"/>
          <w:highlight w:val="none"/>
        </w:rPr>
      </w:pPr>
    </w:p>
    <w:p w14:paraId="24097187">
      <w:pPr>
        <w:pStyle w:val="9"/>
        <w:rPr>
          <w:rFonts w:hint="eastAsia" w:asciiTheme="minorEastAsia" w:hAnsiTheme="minorEastAsia" w:eastAsiaTheme="minorEastAsia" w:cstheme="minorEastAsia"/>
          <w:color w:val="auto"/>
          <w:sz w:val="28"/>
          <w:szCs w:val="28"/>
          <w:highlight w:val="none"/>
        </w:rPr>
      </w:pPr>
    </w:p>
    <w:p w14:paraId="63670559">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47BF9F4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636FE40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响应文件</w:t>
      </w:r>
    </w:p>
    <w:p w14:paraId="7BCB941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p>
    <w:p w14:paraId="0B8327D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p>
    <w:p w14:paraId="7D888F9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36121B4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055078D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36"/>
          <w:szCs w:val="36"/>
          <w:highlight w:val="none"/>
        </w:rPr>
      </w:pPr>
    </w:p>
    <w:p w14:paraId="43D5DBE9">
      <w:pPr>
        <w:pageBreakBefore w:val="0"/>
        <w:kinsoku/>
        <w:wordWrap/>
        <w:overflowPunct/>
        <w:topLinePunct w:val="0"/>
        <w:autoSpaceDE/>
        <w:autoSpaceDN/>
        <w:bidi w:val="0"/>
        <w:adjustRightInd/>
        <w:spacing w:line="560" w:lineRule="exact"/>
        <w:ind w:right="0" w:firstLine="1807" w:firstLineChars="500"/>
        <w:textAlignment w:val="auto"/>
        <w:rPr>
          <w:rFonts w:hint="eastAsia" w:asciiTheme="minorEastAsia" w:hAnsiTheme="minorEastAsia" w:eastAsiaTheme="minorEastAsia" w:cstheme="minorEastAsia"/>
          <w:b/>
          <w:bCs/>
          <w:color w:val="auto"/>
          <w:sz w:val="36"/>
          <w:szCs w:val="36"/>
          <w:highlight w:val="none"/>
          <w:u w:val="single"/>
        </w:rPr>
      </w:pPr>
      <w:r>
        <w:rPr>
          <w:rFonts w:hint="eastAsia" w:asciiTheme="minorEastAsia" w:hAnsiTheme="minorEastAsia" w:eastAsiaTheme="minorEastAsia" w:cstheme="minorEastAsia"/>
          <w:b/>
          <w:bCs/>
          <w:color w:val="auto"/>
          <w:sz w:val="36"/>
          <w:szCs w:val="36"/>
          <w:highlight w:val="none"/>
        </w:rPr>
        <w:t>供应商名称（公章）：</w:t>
      </w:r>
      <w:r>
        <w:rPr>
          <w:rFonts w:hint="eastAsia" w:asciiTheme="minorEastAsia" w:hAnsiTheme="minorEastAsia" w:eastAsiaTheme="minorEastAsia" w:cstheme="minorEastAsia"/>
          <w:b/>
          <w:bCs/>
          <w:color w:val="auto"/>
          <w:sz w:val="36"/>
          <w:szCs w:val="36"/>
          <w:highlight w:val="none"/>
          <w:u w:val="single"/>
        </w:rPr>
        <w:t xml:space="preserve">             </w:t>
      </w:r>
    </w:p>
    <w:p w14:paraId="36DCA5F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 xml:space="preserve"> </w:t>
      </w:r>
    </w:p>
    <w:p w14:paraId="4ABEBDC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年   月   日</w:t>
      </w:r>
    </w:p>
    <w:p w14:paraId="356EE21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ECE857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13B99E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21366A5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551B44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321E0F2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10514D2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572635F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7AA0236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p>
    <w:p w14:paraId="439A75E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目 录</w:t>
      </w:r>
    </w:p>
    <w:p w14:paraId="38464D3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p w14:paraId="3414A1E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（供应商自拟）</w:t>
      </w:r>
    </w:p>
    <w:p w14:paraId="45D359F7">
      <w:pPr>
        <w:pStyle w:val="2"/>
        <w:pageBreakBefore w:val="0"/>
        <w:kinsoku/>
        <w:wordWrap/>
        <w:overflowPunct/>
        <w:topLinePunct w:val="0"/>
        <w:autoSpaceDE/>
        <w:autoSpaceDN/>
        <w:bidi w:val="0"/>
        <w:adjustRightInd/>
        <w:spacing w:beforeLines="0" w:line="560" w:lineRule="exact"/>
        <w:ind w:left="0" w:leftChars="0" w:right="0" w:firstLine="562"/>
        <w:textAlignment w:val="auto"/>
        <w:rPr>
          <w:rFonts w:hint="eastAsia" w:asciiTheme="minorEastAsia" w:hAnsiTheme="minorEastAsia" w:eastAsiaTheme="minorEastAsia" w:cstheme="minorEastAsia"/>
          <w:bCs/>
          <w:color w:val="auto"/>
          <w:sz w:val="28"/>
          <w:szCs w:val="28"/>
          <w:highlight w:val="none"/>
        </w:rPr>
        <w:sectPr>
          <w:pgSz w:w="11905" w:h="16838"/>
          <w:pgMar w:top="1134" w:right="1134" w:bottom="1134" w:left="1134" w:header="850" w:footer="992" w:gutter="0"/>
          <w:pgNumType w:fmt="numberInDash"/>
          <w:cols w:space="0" w:num="1"/>
          <w:titlePg/>
          <w:docGrid w:type="lines" w:linePitch="385" w:charSpace="0"/>
        </w:sectPr>
      </w:pPr>
    </w:p>
    <w:p w14:paraId="72CBF205">
      <w:pPr>
        <w:pStyle w:val="2"/>
        <w:pageBreakBefore w:val="0"/>
        <w:kinsoku/>
        <w:wordWrap/>
        <w:overflowPunct/>
        <w:topLinePunct w:val="0"/>
        <w:autoSpaceDE/>
        <w:autoSpaceDN/>
        <w:bidi w:val="0"/>
        <w:adjustRightInd/>
        <w:spacing w:beforeLines="0" w:line="560" w:lineRule="exact"/>
        <w:ind w:left="0" w:leftChars="0" w:right="0" w:firstLine="562"/>
        <w:textAlignment w:val="auto"/>
        <w:rPr>
          <w:rFonts w:hint="eastAsia" w:asciiTheme="minorEastAsia" w:hAnsiTheme="minorEastAsia" w:eastAsiaTheme="minorEastAsia" w:cstheme="minorEastAsia"/>
          <w:b/>
          <w:bCs/>
          <w:color w:val="auto"/>
          <w:sz w:val="28"/>
          <w:szCs w:val="28"/>
          <w:highlight w:val="none"/>
        </w:rPr>
      </w:pPr>
      <w:bookmarkStart w:id="393" w:name="_Toc18527"/>
      <w:bookmarkStart w:id="394" w:name="_Toc18399"/>
      <w:r>
        <w:rPr>
          <w:rFonts w:hint="eastAsia" w:asciiTheme="minorEastAsia" w:hAnsiTheme="minorEastAsia" w:eastAsiaTheme="minorEastAsia" w:cstheme="minorEastAsia"/>
          <w:b/>
          <w:bCs/>
          <w:color w:val="auto"/>
          <w:sz w:val="28"/>
          <w:szCs w:val="28"/>
          <w:highlight w:val="none"/>
        </w:rPr>
        <w:t>一、</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hint="eastAsia" w:asciiTheme="minorEastAsia" w:hAnsiTheme="minorEastAsia" w:eastAsiaTheme="minorEastAsia" w:cstheme="minorEastAsia"/>
          <w:b/>
          <w:bCs/>
          <w:color w:val="auto"/>
          <w:sz w:val="28"/>
          <w:szCs w:val="28"/>
          <w:highlight w:val="none"/>
        </w:rPr>
        <w:t>经济部分</w:t>
      </w:r>
      <w:bookmarkEnd w:id="391"/>
      <w:bookmarkEnd w:id="393"/>
      <w:bookmarkEnd w:id="394"/>
    </w:p>
    <w:p w14:paraId="1A3179D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（一）报价函</w:t>
      </w:r>
    </w:p>
    <w:p w14:paraId="6D79004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45A701DC">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（采购人或采购代理机构名称）</w:t>
      </w:r>
      <w:r>
        <w:rPr>
          <w:rFonts w:hint="eastAsia" w:asciiTheme="minorEastAsia" w:hAnsiTheme="minorEastAsia" w:eastAsiaTheme="minorEastAsia" w:cstheme="minorEastAsia"/>
          <w:color w:val="auto"/>
          <w:sz w:val="28"/>
          <w:szCs w:val="28"/>
          <w:highlight w:val="none"/>
        </w:rPr>
        <w:t>：</w:t>
      </w:r>
    </w:p>
    <w:p w14:paraId="4BBCD82C">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我方收到____________________________（项目名称）的竞采文件，经详细研究，决定参加该项目的竞采。</w:t>
      </w:r>
    </w:p>
    <w:p w14:paraId="5C5C9793">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1、愿意按照竞采文件中的一切要求竞标本项目，竞采</w:t>
      </w:r>
      <w:r>
        <w:rPr>
          <w:rFonts w:hint="eastAsia" w:asciiTheme="minorEastAsia" w:hAnsiTheme="minorEastAsia" w:eastAsiaTheme="minorEastAsia" w:cstheme="minorEastAsia"/>
          <w:color w:val="auto"/>
          <w:sz w:val="28"/>
          <w:szCs w:val="28"/>
          <w:highlight w:val="none"/>
          <w:lang w:eastAsia="zh-CN"/>
        </w:rPr>
        <w:t>报价</w:t>
      </w:r>
      <w:r>
        <w:rPr>
          <w:rFonts w:hint="eastAsia" w:asciiTheme="minorEastAsia" w:hAnsiTheme="minorEastAsia" w:eastAsiaTheme="minorEastAsia" w:cstheme="minorEastAsia"/>
          <w:color w:val="auto"/>
          <w:sz w:val="28"/>
          <w:szCs w:val="28"/>
          <w:highlight w:val="none"/>
        </w:rPr>
        <w:t>为人民币大写：</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；人民币小写</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元。</w:t>
      </w:r>
    </w:p>
    <w:p w14:paraId="5238AF3D">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2、我方提交的响应文件数量为：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正</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副</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电子档。</w:t>
      </w:r>
    </w:p>
    <w:p w14:paraId="700F1C5F">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3、我方承诺：本次竞采的有效期为90天。</w:t>
      </w:r>
    </w:p>
    <w:p w14:paraId="3D24A9C6">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4、我方完全理解和接受竞采文件的一切规定和要求及评审办法。</w:t>
      </w:r>
    </w:p>
    <w:p w14:paraId="0FE2A2FA">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5、在整个竞采过程中，我方若有违规行为，接受按照相关法律法规给予惩罚。</w:t>
      </w:r>
    </w:p>
    <w:p w14:paraId="4641971E">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6、我方若成为成交供应商，将按照最终评审结果签订合同，并且严格履行合同义务。本报价函将成为合同不可分割的一部分，与合同具有同等的法律效力。</w:t>
      </w:r>
    </w:p>
    <w:p w14:paraId="548AF5D3">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7、我方理解，最低报价不是成交的唯一条件。</w:t>
      </w:r>
    </w:p>
    <w:p w14:paraId="51062125">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8、如果我方成为成交供应商，保证在接到成交通知书后，向采购代理机构交纳竞采文件规定的采购代理服务费。</w:t>
      </w:r>
    </w:p>
    <w:p w14:paraId="5D390B64">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9、我方未为竞采项目提供整体设计、规范编制或者项目管理、监理、施工自检等服务。</w:t>
      </w:r>
    </w:p>
    <w:p w14:paraId="292003CA">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5EF3DB6">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供应商（公章）：</w:t>
      </w:r>
    </w:p>
    <w:p w14:paraId="0EDECD41">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sectPr>
          <w:pgSz w:w="11905" w:h="16838"/>
          <w:pgMar w:top="1134" w:right="1134" w:bottom="1134" w:left="1134" w:header="850" w:footer="992" w:gutter="0"/>
          <w:pgNumType w:fmt="numberInDash"/>
          <w:cols w:space="0" w:num="1"/>
          <w:titlePg/>
          <w:docGrid w:type="lines" w:linePitch="385" w:charSpace="0"/>
        </w:sect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年   月   日</w:t>
      </w:r>
    </w:p>
    <w:p w14:paraId="457E24CD">
      <w:pPr>
        <w:pageBreakBefore w:val="0"/>
        <w:kinsoku/>
        <w:wordWrap/>
        <w:overflowPunct/>
        <w:topLinePunct w:val="0"/>
        <w:autoSpaceDE/>
        <w:autoSpaceDN/>
        <w:bidi w:val="0"/>
        <w:adjustRightInd/>
        <w:spacing w:line="560" w:lineRule="exact"/>
        <w:ind w:left="0" w:leftChars="0" w:right="0"/>
        <w:textAlignment w:val="auto"/>
        <w:outlineLvl w:val="1"/>
        <w:rPr>
          <w:rFonts w:hint="eastAsia" w:asciiTheme="minorEastAsia" w:hAnsiTheme="minorEastAsia" w:eastAsiaTheme="minorEastAsia" w:cstheme="minorEastAsia"/>
          <w:b/>
          <w:bCs/>
          <w:color w:val="auto"/>
          <w:sz w:val="28"/>
          <w:szCs w:val="28"/>
          <w:highlight w:val="none"/>
        </w:rPr>
      </w:pPr>
      <w:bookmarkStart w:id="395" w:name="_Toc6124"/>
      <w:bookmarkStart w:id="396" w:name="_Toc14140"/>
      <w:bookmarkStart w:id="397" w:name="_Toc18310"/>
      <w:bookmarkStart w:id="398" w:name="_Toc3974"/>
      <w:bookmarkStart w:id="399" w:name="_Toc18471"/>
      <w:bookmarkStart w:id="400" w:name="_Toc18485"/>
      <w:bookmarkStart w:id="401" w:name="_Toc4271"/>
      <w:bookmarkStart w:id="402" w:name="_Toc553"/>
      <w:bookmarkStart w:id="403" w:name="_Toc23499"/>
      <w:bookmarkStart w:id="404" w:name="_Toc3736"/>
      <w:r>
        <w:rPr>
          <w:rFonts w:hint="eastAsia" w:asciiTheme="minorEastAsia" w:hAnsiTheme="minorEastAsia" w:eastAsiaTheme="minorEastAsia" w:cstheme="minorEastAsia"/>
          <w:b/>
          <w:bCs/>
          <w:color w:val="auto"/>
          <w:sz w:val="28"/>
          <w:szCs w:val="28"/>
          <w:highlight w:val="none"/>
        </w:rPr>
        <w:t>二、资格</w:t>
      </w:r>
      <w:bookmarkEnd w:id="395"/>
      <w:bookmarkEnd w:id="396"/>
      <w:bookmarkEnd w:id="397"/>
      <w:bookmarkEnd w:id="398"/>
      <w:bookmarkEnd w:id="399"/>
      <w:bookmarkEnd w:id="400"/>
      <w:bookmarkEnd w:id="401"/>
      <w:bookmarkEnd w:id="402"/>
      <w:bookmarkEnd w:id="403"/>
      <w:r>
        <w:rPr>
          <w:rFonts w:hint="eastAsia" w:asciiTheme="minorEastAsia" w:hAnsiTheme="minorEastAsia" w:eastAsiaTheme="minorEastAsia" w:cstheme="minorEastAsia"/>
          <w:b/>
          <w:bCs/>
          <w:color w:val="auto"/>
          <w:sz w:val="28"/>
          <w:szCs w:val="28"/>
          <w:highlight w:val="none"/>
        </w:rPr>
        <w:t>文件</w:t>
      </w:r>
      <w:bookmarkEnd w:id="404"/>
    </w:p>
    <w:p w14:paraId="29EB5535">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（一）营业执照（副本）或事业单位法人证书（副本）或个体工商户营业执照或社会团体法人登记证书复印件</w:t>
      </w:r>
    </w:p>
    <w:p w14:paraId="53DE8D4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u w:val="single"/>
        </w:rPr>
      </w:pPr>
    </w:p>
    <w:p w14:paraId="31EE041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566973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A78EEF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5EFA57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66DC85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C72FF3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29B7FAA">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329506E">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3A02EC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BFF10B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4614F8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A33848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66DBEB7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C2385A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14C80A1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550986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38B21E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405" w:name="_Toc13155"/>
      <w:bookmarkStart w:id="406" w:name="_Toc15489"/>
      <w:bookmarkStart w:id="407" w:name="_Toc22071"/>
      <w:bookmarkStart w:id="408" w:name="_Toc16414"/>
      <w:r>
        <w:rPr>
          <w:rFonts w:hint="eastAsia" w:asciiTheme="minorEastAsia" w:hAnsiTheme="minorEastAsia" w:eastAsiaTheme="minorEastAsia" w:cstheme="minorEastAsia"/>
          <w:b w:val="0"/>
          <w:bCs w:val="0"/>
          <w:color w:val="auto"/>
          <w:sz w:val="28"/>
          <w:szCs w:val="28"/>
          <w:highlight w:val="none"/>
        </w:rPr>
        <w:t>（二）法定代表人身份证明书</w:t>
      </w:r>
      <w:bookmarkEnd w:id="405"/>
      <w:r>
        <w:rPr>
          <w:rFonts w:hint="eastAsia" w:asciiTheme="minorEastAsia" w:hAnsiTheme="minorEastAsia" w:eastAsiaTheme="minorEastAsia" w:cstheme="minorEastAsia"/>
          <w:b w:val="0"/>
          <w:bCs w:val="0"/>
          <w:color w:val="auto"/>
          <w:sz w:val="28"/>
          <w:szCs w:val="28"/>
          <w:highlight w:val="none"/>
        </w:rPr>
        <w:t>（格式）</w:t>
      </w:r>
      <w:bookmarkEnd w:id="406"/>
      <w:bookmarkEnd w:id="407"/>
      <w:bookmarkEnd w:id="408"/>
    </w:p>
    <w:p w14:paraId="1BDBAABD">
      <w:pPr>
        <w:pageBreakBefore w:val="0"/>
        <w:tabs>
          <w:tab w:val="left" w:pos="6300"/>
        </w:tabs>
        <w:kinsoku/>
        <w:wordWrap/>
        <w:overflowPunct/>
        <w:topLinePunct w:val="0"/>
        <w:autoSpaceDE/>
        <w:autoSpaceDN/>
        <w:bidi w:val="0"/>
        <w:adjustRightInd/>
        <w:snapToGrid w:val="0"/>
        <w:spacing w:line="560" w:lineRule="exact"/>
        <w:ind w:left="0" w:leftChars="0" w:right="0" w:firstLine="480"/>
        <w:textAlignment w:val="auto"/>
        <w:rPr>
          <w:rFonts w:hint="eastAsia" w:asciiTheme="minorEastAsia" w:hAnsiTheme="minorEastAsia" w:eastAsiaTheme="minorEastAsia" w:cstheme="minorEastAsia"/>
          <w:color w:val="auto"/>
          <w:sz w:val="28"/>
          <w:szCs w:val="28"/>
          <w:highlight w:val="none"/>
        </w:rPr>
      </w:pPr>
    </w:p>
    <w:p w14:paraId="5073024D">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xml:space="preserve">                                          </w:t>
      </w:r>
    </w:p>
    <w:p w14:paraId="1F130724">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718C1C67">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0B83E7AC">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（法定代表人姓名）在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（供应商名称）任</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（职务名称）职务，是</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（供应商名称）的法定代表人。</w:t>
      </w:r>
    </w:p>
    <w:p w14:paraId="6794887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06716147">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特此证明。</w:t>
      </w:r>
    </w:p>
    <w:p w14:paraId="7FC0B28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6ED37643">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06DC4277">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5D9201BB">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（供应商公章）</w:t>
      </w:r>
    </w:p>
    <w:p w14:paraId="4D174E9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48E67397">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50A68F6E">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法定代表人电话：XXXXXXX      电子邮箱：XXXXXX@XXXXX（若授权他人办理并签署响应文件的可不填写电话和邮箱）</w:t>
      </w:r>
    </w:p>
    <w:p w14:paraId="3FB5FB03">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1F75AD14">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（附：法定代表人身份证正反面复印件）</w:t>
      </w:r>
    </w:p>
    <w:p w14:paraId="6B1670E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43E5158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BF4141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color w:val="auto"/>
          <w:sz w:val="28"/>
          <w:szCs w:val="28"/>
          <w:highlight w:val="none"/>
        </w:rPr>
      </w:pPr>
    </w:p>
    <w:p w14:paraId="526956D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sectPr>
          <w:headerReference r:id="rId7" w:type="default"/>
          <w:footerReference r:id="rId8" w:type="default"/>
          <w:pgSz w:w="11905" w:h="16838"/>
          <w:pgMar w:top="1134" w:right="1134" w:bottom="1134" w:left="1134" w:header="850" w:footer="992" w:gutter="0"/>
          <w:pgNumType w:fmt="numberInDash"/>
          <w:cols w:space="0" w:num="1"/>
          <w:titlePg/>
          <w:docGrid w:type="lines" w:linePitch="385" w:charSpace="0"/>
        </w:sectPr>
      </w:pPr>
      <w:bookmarkStart w:id="409" w:name="_Toc5047"/>
      <w:bookmarkStart w:id="410" w:name="_Toc13316"/>
      <w:bookmarkStart w:id="411" w:name="_Toc13955"/>
      <w:bookmarkStart w:id="412" w:name="_Toc22622"/>
    </w:p>
    <w:p w14:paraId="138C36E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（三）法定代表人授权委托书</w:t>
      </w:r>
      <w:bookmarkEnd w:id="409"/>
      <w:r>
        <w:rPr>
          <w:rFonts w:hint="eastAsia" w:asciiTheme="minorEastAsia" w:hAnsiTheme="minorEastAsia" w:eastAsiaTheme="minorEastAsia" w:cstheme="minorEastAsia"/>
          <w:b w:val="0"/>
          <w:bCs w:val="0"/>
          <w:color w:val="auto"/>
          <w:sz w:val="28"/>
          <w:szCs w:val="28"/>
          <w:highlight w:val="none"/>
        </w:rPr>
        <w:t>（格式）</w:t>
      </w:r>
      <w:bookmarkEnd w:id="410"/>
      <w:bookmarkEnd w:id="411"/>
      <w:bookmarkEnd w:id="412"/>
    </w:p>
    <w:p w14:paraId="61846E1B">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xml:space="preserve">                                                </w:t>
      </w:r>
    </w:p>
    <w:p w14:paraId="24D2DF70">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485237DF">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45269AE3">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（供应商法定代表人姓名）是</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（供应商名称）的法定代表人，特授权</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（被授权人姓名及身份证代码）代表我单位全权办理上述项目的的竞采、签约等具体工作，并签署全部有关文件、协议及合同。</w:t>
      </w:r>
    </w:p>
    <w:p w14:paraId="2FE059D5">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我单位对被授权人的签署负全部责任。</w:t>
      </w:r>
    </w:p>
    <w:p w14:paraId="6ADE828A">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在撤销授权的书面通知以前，本授权书一直有效。被授权人在授权书有效期内签署的所有文件不因授权的撤销而失效。</w:t>
      </w:r>
    </w:p>
    <w:p w14:paraId="15618405">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19134B03">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被授权人：                               供应商法定代表人：</w:t>
      </w:r>
    </w:p>
    <w:p w14:paraId="25E3170F">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（签署或盖章）                               （签署或盖章）</w:t>
      </w:r>
    </w:p>
    <w:p w14:paraId="5FE50B5D">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（附：被授权人身份证正反面复印件）</w:t>
      </w:r>
    </w:p>
    <w:p w14:paraId="6E463E6C">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59DF0E18">
      <w:pPr>
        <w:pageBreakBefore w:val="0"/>
        <w:tabs>
          <w:tab w:val="left" w:pos="6300"/>
        </w:tabs>
        <w:kinsoku/>
        <w:wordWrap/>
        <w:overflowPunct/>
        <w:topLinePunct w:val="0"/>
        <w:autoSpaceDE/>
        <w:autoSpaceDN/>
        <w:bidi w:val="0"/>
        <w:adjustRightInd/>
        <w:snapToGrid w:val="0"/>
        <w:spacing w:line="560" w:lineRule="exact"/>
        <w:ind w:left="0" w:leftChars="0" w:right="0" w:firstLine="570"/>
        <w:textAlignment w:val="auto"/>
        <w:rPr>
          <w:rFonts w:hint="eastAsia" w:asciiTheme="minorEastAsia" w:hAnsiTheme="minorEastAsia" w:eastAsiaTheme="minorEastAsia" w:cstheme="minorEastAsia"/>
          <w:color w:val="auto"/>
          <w:sz w:val="28"/>
          <w:szCs w:val="28"/>
          <w:highlight w:val="none"/>
        </w:rPr>
      </w:pPr>
    </w:p>
    <w:p w14:paraId="3880D340">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（供应商公章）</w:t>
      </w:r>
    </w:p>
    <w:p w14:paraId="741F6692">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10BD49FE">
      <w:pPr>
        <w:pageBreakBefore w:val="0"/>
        <w:tabs>
          <w:tab w:val="left" w:pos="6300"/>
        </w:tabs>
        <w:kinsoku/>
        <w:wordWrap/>
        <w:overflowPunct/>
        <w:topLinePunct w:val="0"/>
        <w:autoSpaceDE/>
        <w:autoSpaceDN/>
        <w:bidi w:val="0"/>
        <w:adjustRightInd/>
        <w:snapToGrid w:val="0"/>
        <w:spacing w:line="560" w:lineRule="exact"/>
        <w:ind w:left="0" w:leftChars="0" w:right="0" w:firstLine="57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被授权人电话（手机）：XXXXXXX     电子邮箱：XXXXXX@XXXXX（若法定代表人办理并签署响应文件的可不填写）</w:t>
      </w:r>
    </w:p>
    <w:p w14:paraId="6E4CCDEE">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p>
    <w:p w14:paraId="44C11C0A">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注：若为法定代表人办理并签署响应文件的，不提供此文件。</w:t>
      </w:r>
    </w:p>
    <w:p w14:paraId="5EB733E7">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7BDF5D8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bookmarkStart w:id="413" w:name="_Toc16943"/>
      <w:bookmarkStart w:id="414" w:name="_Toc6935"/>
      <w:bookmarkStart w:id="415" w:name="_Toc14569"/>
      <w:bookmarkStart w:id="416" w:name="_Toc10882"/>
      <w:bookmarkStart w:id="417" w:name="_Toc30268"/>
      <w:r>
        <w:rPr>
          <w:rFonts w:hint="eastAsia" w:asciiTheme="minorEastAsia" w:hAnsiTheme="minorEastAsia" w:eastAsiaTheme="minorEastAsia" w:cstheme="minorEastAsia"/>
          <w:b w:val="0"/>
          <w:bCs w:val="0"/>
          <w:color w:val="auto"/>
          <w:sz w:val="28"/>
          <w:szCs w:val="28"/>
          <w:highlight w:val="none"/>
        </w:rPr>
        <w:t>（四）</w:t>
      </w:r>
      <w:bookmarkEnd w:id="413"/>
      <w:r>
        <w:rPr>
          <w:rFonts w:hint="eastAsia" w:asciiTheme="minorEastAsia" w:hAnsiTheme="minorEastAsia" w:eastAsiaTheme="minorEastAsia" w:cstheme="minorEastAsia"/>
          <w:b w:val="0"/>
          <w:bCs w:val="0"/>
          <w:color w:val="auto"/>
          <w:sz w:val="28"/>
          <w:szCs w:val="28"/>
          <w:highlight w:val="none"/>
        </w:rPr>
        <w:t>基本资格条件承诺函</w:t>
      </w:r>
      <w:bookmarkEnd w:id="414"/>
      <w:r>
        <w:rPr>
          <w:rFonts w:hint="eastAsia" w:asciiTheme="minorEastAsia" w:hAnsiTheme="minorEastAsia" w:eastAsiaTheme="minorEastAsia" w:cstheme="minorEastAsia"/>
          <w:b w:val="0"/>
          <w:bCs w:val="0"/>
          <w:color w:val="auto"/>
          <w:sz w:val="28"/>
          <w:szCs w:val="28"/>
          <w:highlight w:val="none"/>
        </w:rPr>
        <w:t>（格式）</w:t>
      </w:r>
      <w:bookmarkEnd w:id="415"/>
      <w:bookmarkEnd w:id="416"/>
      <w:bookmarkEnd w:id="417"/>
    </w:p>
    <w:p w14:paraId="581AE969">
      <w:pPr>
        <w:pageBreakBefore w:val="0"/>
        <w:kinsoku/>
        <w:wordWrap/>
        <w:overflowPunct/>
        <w:topLinePunct w:val="0"/>
        <w:autoSpaceDE/>
        <w:autoSpaceDN/>
        <w:bidi w:val="0"/>
        <w:adjustRightInd/>
        <w:spacing w:line="560" w:lineRule="exact"/>
        <w:ind w:left="0" w:leftChars="0" w:right="0" w:firstLine="562" w:firstLineChars="200"/>
        <w:jc w:val="center"/>
        <w:textAlignment w:val="auto"/>
        <w:rPr>
          <w:rFonts w:hint="eastAsia" w:asciiTheme="minorEastAsia" w:hAnsiTheme="minorEastAsia" w:eastAsiaTheme="minorEastAsia" w:cstheme="minorEastAsia"/>
          <w:b/>
          <w:bCs/>
          <w:color w:val="auto"/>
          <w:sz w:val="28"/>
          <w:szCs w:val="28"/>
          <w:highlight w:val="none"/>
        </w:rPr>
      </w:pPr>
    </w:p>
    <w:p w14:paraId="3D17A0C9">
      <w:pPr>
        <w:pageBreakBefore w:val="0"/>
        <w:kinsoku/>
        <w:wordWrap/>
        <w:overflowPunct/>
        <w:topLinePunct w:val="0"/>
        <w:autoSpaceDE/>
        <w:autoSpaceDN/>
        <w:bidi w:val="0"/>
        <w:adjustRightInd/>
        <w:spacing w:line="560" w:lineRule="exact"/>
        <w:ind w:left="0" w:leftChars="0" w:right="0" w:firstLine="562" w:firstLineChars="20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基本资格条件承诺函</w:t>
      </w:r>
    </w:p>
    <w:p w14:paraId="1B7D09E3">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6710F467">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（供应商名称）郑重承诺：</w:t>
      </w:r>
    </w:p>
    <w:p w14:paraId="1601F6BB">
      <w:pPr>
        <w:pageBreakBefore w:val="0"/>
        <w:kinsoku/>
        <w:wordWrap/>
        <w:overflowPunct/>
        <w:topLinePunct w:val="0"/>
        <w:autoSpaceDE/>
        <w:autoSpaceDN/>
        <w:bidi w:val="0"/>
        <w:adjustRightInd/>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8"/>
          <w:szCs w:val="28"/>
          <w:highlight w:val="none"/>
          <w:lang w:val="zh-CN"/>
        </w:rPr>
        <w:t>有依法缴纳税收和社会保障金的良好记录</w:t>
      </w:r>
      <w:r>
        <w:rPr>
          <w:rFonts w:hint="eastAsia" w:asciiTheme="minorEastAsia" w:hAnsiTheme="minorEastAsia" w:eastAsiaTheme="minorEastAsia" w:cstheme="minorEastAsia"/>
          <w:color w:val="auto"/>
          <w:sz w:val="28"/>
          <w:szCs w:val="28"/>
          <w:highlight w:val="none"/>
        </w:rPr>
        <w:t>，参加本项目采购活动前三年内无重大违法活动记录。</w:t>
      </w:r>
    </w:p>
    <w:p w14:paraId="21E8C0DC">
      <w:pPr>
        <w:pageBreakBefore w:val="0"/>
        <w:kinsoku/>
        <w:wordWrap/>
        <w:overflowPunct/>
        <w:topLinePunct w:val="0"/>
        <w:autoSpaceDE/>
        <w:autoSpaceDN/>
        <w:bidi w:val="0"/>
        <w:adjustRightInd/>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2.我方未列入在信用中国网站（www.creditchina.gov.cn）“失信被执行人”、“重大税收违法案件当事人名单”中，也未列入中国政府采购（www.ccgp.gov.cn）“政府采购严重违法失信行为记录名单”中。</w:t>
      </w:r>
    </w:p>
    <w:p w14:paraId="547D04AE">
      <w:pPr>
        <w:pageBreakBefore w:val="0"/>
        <w:kinsoku/>
        <w:wordWrap/>
        <w:overflowPunct/>
        <w:topLinePunct w:val="0"/>
        <w:autoSpaceDE/>
        <w:autoSpaceDN/>
        <w:bidi w:val="0"/>
        <w:adjustRightInd/>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3.我方在项目评审（评审）环节结束后，随时接受采购人、采购代理机构的检查验证，配合提供相关证明材料，证明符合供应商基本资格条件。</w:t>
      </w:r>
    </w:p>
    <w:p w14:paraId="2C9B042C">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我方对以上承诺负全部法律责任。</w:t>
      </w:r>
    </w:p>
    <w:p w14:paraId="4800D016">
      <w:pPr>
        <w:pageBreakBefore w:val="0"/>
        <w:tabs>
          <w:tab w:val="left" w:pos="6300"/>
        </w:tabs>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特此承诺。</w:t>
      </w:r>
    </w:p>
    <w:p w14:paraId="2F2BD192">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546D61BC">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p>
    <w:p w14:paraId="1A1525CB">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p>
    <w:p w14:paraId="73A1588F">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p>
    <w:p w14:paraId="29C661A6">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（供应商公章）</w:t>
      </w:r>
    </w:p>
    <w:p w14:paraId="66925F07">
      <w:pPr>
        <w:pageBreakBefore w:val="0"/>
        <w:tabs>
          <w:tab w:val="left" w:pos="6300"/>
        </w:tabs>
        <w:kinsoku/>
        <w:wordWrap/>
        <w:overflowPunct/>
        <w:topLinePunct w:val="0"/>
        <w:autoSpaceDE/>
        <w:autoSpaceDN/>
        <w:bidi w:val="0"/>
        <w:adjustRightInd/>
        <w:snapToGrid w:val="0"/>
        <w:spacing w:line="560" w:lineRule="exact"/>
        <w:ind w:left="0" w:leftChars="0" w:right="0" w:firstLine="57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760D36BB">
      <w:pPr>
        <w:pageBreakBefore w:val="0"/>
        <w:kinsoku/>
        <w:wordWrap/>
        <w:overflowPunct/>
        <w:topLinePunct w:val="0"/>
        <w:autoSpaceDE/>
        <w:autoSpaceDN/>
        <w:bidi w:val="0"/>
        <w:adjustRightInd/>
        <w:spacing w:line="560" w:lineRule="exact"/>
        <w:ind w:left="0" w:leftChars="0" w:right="0" w:firstLine="3080" w:firstLineChars="1100"/>
        <w:jc w:val="right"/>
        <w:textAlignment w:val="auto"/>
        <w:rPr>
          <w:rFonts w:hint="eastAsia" w:asciiTheme="minorEastAsia" w:hAnsiTheme="minorEastAsia" w:eastAsiaTheme="minorEastAsia" w:cstheme="minorEastAsia"/>
          <w:color w:val="auto"/>
          <w:sz w:val="28"/>
          <w:szCs w:val="28"/>
          <w:highlight w:val="none"/>
        </w:rPr>
      </w:pPr>
    </w:p>
    <w:bookmarkEnd w:id="392"/>
    <w:p w14:paraId="66531E4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bookmarkStart w:id="418" w:name="_Toc1814"/>
      <w:bookmarkStart w:id="419" w:name="_Toc19365"/>
      <w:bookmarkStart w:id="420" w:name="_Toc22450"/>
      <w:bookmarkStart w:id="421" w:name="_Toc32708"/>
      <w:bookmarkStart w:id="422" w:name="_Toc9726"/>
    </w:p>
    <w:p w14:paraId="77666E0C">
      <w:pPr>
        <w:pageBreakBefore w:val="0"/>
        <w:kinsoku/>
        <w:wordWrap/>
        <w:overflowPunct/>
        <w:topLinePunct w:val="0"/>
        <w:autoSpaceDE/>
        <w:autoSpaceDN/>
        <w:bidi w:val="0"/>
        <w:adjustRightInd/>
        <w:spacing w:line="560" w:lineRule="exact"/>
        <w:ind w:left="0" w:leftChars="0" w:right="0" w:firstLine="562" w:firstLineChars="200"/>
        <w:textAlignment w:val="auto"/>
        <w:rPr>
          <w:rFonts w:hint="eastAsia" w:asciiTheme="minorEastAsia" w:hAnsiTheme="minorEastAsia" w:eastAsiaTheme="minorEastAsia" w:cstheme="minorEastAsia"/>
          <w:b/>
          <w:bCs/>
          <w:color w:val="auto"/>
          <w:sz w:val="28"/>
          <w:szCs w:val="28"/>
          <w:highlight w:val="none"/>
        </w:rPr>
      </w:pPr>
      <w:bookmarkStart w:id="423" w:name="_Toc13006"/>
      <w:r>
        <w:rPr>
          <w:rFonts w:hint="eastAsia" w:asciiTheme="minorEastAsia" w:hAnsiTheme="minorEastAsia" w:eastAsiaTheme="minorEastAsia" w:cstheme="minorEastAsia"/>
          <w:b/>
          <w:bCs/>
          <w:color w:val="auto"/>
          <w:sz w:val="28"/>
          <w:szCs w:val="28"/>
          <w:highlight w:val="none"/>
        </w:rPr>
        <w:br w:type="page"/>
      </w:r>
    </w:p>
    <w:p w14:paraId="66F213F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bookmarkStart w:id="424" w:name="_Toc31862"/>
      <w:bookmarkStart w:id="425" w:name="_Toc23748"/>
      <w:bookmarkStart w:id="426" w:name="_Toc10274"/>
      <w:r>
        <w:rPr>
          <w:rFonts w:hint="eastAsia" w:asciiTheme="minorEastAsia" w:hAnsiTheme="minorEastAsia" w:eastAsiaTheme="minorEastAsia" w:cstheme="minorEastAsia"/>
          <w:b w:val="0"/>
          <w:bCs w:val="0"/>
          <w:color w:val="auto"/>
          <w:sz w:val="28"/>
          <w:szCs w:val="28"/>
          <w:highlight w:val="none"/>
        </w:rPr>
        <w:t>（五）特定资格条件证明材料（如有）</w:t>
      </w:r>
    </w:p>
    <w:p w14:paraId="66BBCD8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p>
    <w:bookmarkEnd w:id="424"/>
    <w:bookmarkEnd w:id="425"/>
    <w:bookmarkEnd w:id="426"/>
    <w:p w14:paraId="60589612">
      <w:pPr>
        <w:pageBreakBefore w:val="0"/>
        <w:kinsoku/>
        <w:wordWrap/>
        <w:overflowPunct/>
        <w:topLinePunct w:val="0"/>
        <w:autoSpaceDE/>
        <w:autoSpaceDN/>
        <w:bidi w:val="0"/>
        <w:adjustRightInd/>
        <w:spacing w:line="560" w:lineRule="exact"/>
        <w:ind w:left="0" w:leftChars="0" w:right="0"/>
        <w:textAlignment w:val="auto"/>
        <w:outlineLvl w:val="1"/>
        <w:rPr>
          <w:rFonts w:hint="eastAsia" w:asciiTheme="minorEastAsia" w:hAnsiTheme="minorEastAsia" w:eastAsiaTheme="minorEastAsia" w:cstheme="minorEastAsia"/>
          <w:b/>
          <w:bCs/>
          <w:color w:val="auto"/>
          <w:sz w:val="28"/>
          <w:szCs w:val="28"/>
          <w:highlight w:val="none"/>
        </w:rPr>
      </w:pPr>
      <w:bookmarkStart w:id="427" w:name="_Toc29622"/>
      <w:bookmarkStart w:id="428" w:name="_Toc15378"/>
      <w:bookmarkStart w:id="429" w:name="_Toc12587"/>
      <w:bookmarkStart w:id="430" w:name="_Toc7713"/>
      <w:bookmarkStart w:id="431" w:name="_Toc29104"/>
      <w:r>
        <w:rPr>
          <w:rFonts w:hint="eastAsia" w:asciiTheme="minorEastAsia" w:hAnsiTheme="minorEastAsia" w:eastAsiaTheme="minorEastAsia" w:cstheme="minorEastAsia"/>
          <w:b/>
          <w:bCs/>
          <w:color w:val="auto"/>
          <w:sz w:val="28"/>
          <w:szCs w:val="28"/>
          <w:highlight w:val="none"/>
        </w:rPr>
        <w:t>三、</w:t>
      </w:r>
      <w:bookmarkEnd w:id="418"/>
      <w:bookmarkEnd w:id="419"/>
      <w:bookmarkEnd w:id="420"/>
      <w:bookmarkEnd w:id="421"/>
      <w:bookmarkEnd w:id="423"/>
      <w:bookmarkEnd w:id="427"/>
      <w:bookmarkEnd w:id="428"/>
      <w:bookmarkEnd w:id="429"/>
      <w:r>
        <w:rPr>
          <w:rFonts w:hint="eastAsia" w:asciiTheme="minorEastAsia" w:hAnsiTheme="minorEastAsia" w:eastAsiaTheme="minorEastAsia" w:cstheme="minorEastAsia"/>
          <w:b/>
          <w:bCs/>
          <w:color w:val="auto"/>
          <w:sz w:val="28"/>
          <w:szCs w:val="28"/>
          <w:highlight w:val="none"/>
          <w:lang w:eastAsia="zh-CN"/>
        </w:rPr>
        <w:t>技术（服务）</w:t>
      </w:r>
      <w:r>
        <w:rPr>
          <w:rFonts w:hint="eastAsia" w:asciiTheme="minorEastAsia" w:hAnsiTheme="minorEastAsia" w:eastAsiaTheme="minorEastAsia" w:cstheme="minorEastAsia"/>
          <w:b/>
          <w:bCs/>
          <w:color w:val="auto"/>
          <w:sz w:val="28"/>
          <w:szCs w:val="28"/>
          <w:highlight w:val="none"/>
        </w:rPr>
        <w:t>部分</w:t>
      </w:r>
      <w:bookmarkEnd w:id="430"/>
      <w:bookmarkEnd w:id="431"/>
    </w:p>
    <w:p w14:paraId="17B895C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bookmarkStart w:id="432" w:name="_Toc8181"/>
      <w:bookmarkStart w:id="433" w:name="_Toc13297"/>
      <w:bookmarkStart w:id="434" w:name="_Toc17114"/>
      <w:r>
        <w:rPr>
          <w:rFonts w:hint="eastAsia" w:asciiTheme="minorEastAsia" w:hAnsiTheme="minorEastAsia" w:eastAsiaTheme="minorEastAsia" w:cstheme="minorEastAsia"/>
          <w:b/>
          <w:bCs/>
          <w:color w:val="auto"/>
          <w:sz w:val="28"/>
          <w:szCs w:val="28"/>
          <w:highlight w:val="none"/>
        </w:rPr>
        <w:t>（一）</w:t>
      </w:r>
      <w:r>
        <w:rPr>
          <w:rFonts w:hint="eastAsia" w:asciiTheme="minorEastAsia" w:hAnsiTheme="minorEastAsia" w:eastAsiaTheme="minorEastAsia" w:cstheme="minorEastAsia"/>
          <w:b/>
          <w:bCs/>
          <w:color w:val="auto"/>
          <w:sz w:val="28"/>
          <w:szCs w:val="28"/>
          <w:highlight w:val="none"/>
          <w:lang w:eastAsia="zh-CN"/>
        </w:rPr>
        <w:t>技术（服务）</w:t>
      </w:r>
      <w:r>
        <w:rPr>
          <w:rFonts w:hint="eastAsia" w:asciiTheme="minorEastAsia" w:hAnsiTheme="minorEastAsia" w:eastAsiaTheme="minorEastAsia" w:cstheme="minorEastAsia"/>
          <w:b/>
          <w:bCs/>
          <w:color w:val="auto"/>
          <w:sz w:val="28"/>
          <w:szCs w:val="28"/>
          <w:highlight w:val="none"/>
        </w:rPr>
        <w:t>条款差异表</w:t>
      </w:r>
      <w:bookmarkEnd w:id="432"/>
      <w:bookmarkEnd w:id="433"/>
      <w:bookmarkEnd w:id="434"/>
    </w:p>
    <w:bookmarkEnd w:id="422"/>
    <w:p w14:paraId="650A34DD">
      <w:pPr>
        <w:pageBreakBefore w:val="0"/>
        <w:tabs>
          <w:tab w:val="left" w:pos="720"/>
        </w:tabs>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技术（服务）</w:t>
      </w:r>
      <w:r>
        <w:rPr>
          <w:rFonts w:hint="eastAsia" w:asciiTheme="minorEastAsia" w:hAnsiTheme="minorEastAsia" w:eastAsiaTheme="minorEastAsia" w:cstheme="minorEastAsia"/>
          <w:color w:val="auto"/>
          <w:sz w:val="28"/>
          <w:szCs w:val="28"/>
          <w:highlight w:val="none"/>
        </w:rPr>
        <w:t>条款差异表</w:t>
      </w:r>
    </w:p>
    <w:tbl>
      <w:tblPr>
        <w:tblStyle w:val="2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035"/>
        <w:gridCol w:w="3154"/>
        <w:gridCol w:w="2363"/>
      </w:tblGrid>
      <w:tr w14:paraId="40BA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1" w:type="dxa"/>
            <w:vAlign w:val="center"/>
          </w:tcPr>
          <w:p w14:paraId="485F886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35" w:name="_Toc19618"/>
            <w:bookmarkStart w:id="436" w:name="_Toc32321"/>
            <w:bookmarkStart w:id="437" w:name="_Toc26811"/>
            <w:bookmarkStart w:id="438" w:name="_Toc11598"/>
            <w:bookmarkStart w:id="439" w:name="_Toc11785"/>
            <w:bookmarkStart w:id="440" w:name="_Toc20881"/>
            <w:r>
              <w:rPr>
                <w:rFonts w:hint="eastAsia" w:asciiTheme="minorEastAsia" w:hAnsiTheme="minorEastAsia" w:eastAsiaTheme="minorEastAsia" w:cstheme="minorEastAsia"/>
                <w:color w:val="auto"/>
                <w:sz w:val="28"/>
                <w:szCs w:val="28"/>
                <w:highlight w:val="none"/>
              </w:rPr>
              <w:t>序号</w:t>
            </w:r>
            <w:bookmarkEnd w:id="435"/>
            <w:bookmarkEnd w:id="436"/>
            <w:bookmarkEnd w:id="437"/>
            <w:bookmarkEnd w:id="438"/>
            <w:bookmarkEnd w:id="439"/>
            <w:bookmarkEnd w:id="440"/>
          </w:p>
        </w:tc>
        <w:tc>
          <w:tcPr>
            <w:tcW w:w="3035" w:type="dxa"/>
            <w:vAlign w:val="center"/>
          </w:tcPr>
          <w:p w14:paraId="5B95CA9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41" w:name="_Toc10531"/>
            <w:bookmarkStart w:id="442" w:name="_Toc18303"/>
            <w:bookmarkStart w:id="443" w:name="_Toc25371"/>
            <w:bookmarkStart w:id="444" w:name="_Toc22837"/>
            <w:bookmarkStart w:id="445" w:name="_Toc22352"/>
            <w:bookmarkStart w:id="446" w:name="_Toc23124"/>
            <w:r>
              <w:rPr>
                <w:rFonts w:hint="eastAsia" w:asciiTheme="minorEastAsia" w:hAnsiTheme="minorEastAsia" w:eastAsiaTheme="minorEastAsia" w:cstheme="minorEastAsia"/>
                <w:color w:val="auto"/>
                <w:sz w:val="28"/>
                <w:szCs w:val="28"/>
                <w:highlight w:val="none"/>
              </w:rPr>
              <w:t>项目</w:t>
            </w:r>
            <w:bookmarkEnd w:id="441"/>
            <w:bookmarkEnd w:id="442"/>
            <w:bookmarkEnd w:id="443"/>
            <w:bookmarkEnd w:id="444"/>
            <w:bookmarkEnd w:id="445"/>
            <w:bookmarkEnd w:id="446"/>
            <w:r>
              <w:rPr>
                <w:rFonts w:hint="eastAsia" w:asciiTheme="minorEastAsia" w:hAnsiTheme="minorEastAsia" w:eastAsiaTheme="minorEastAsia" w:cstheme="minorEastAsia"/>
                <w:color w:val="auto"/>
                <w:sz w:val="28"/>
                <w:szCs w:val="28"/>
                <w:highlight w:val="none"/>
              </w:rPr>
              <w:t>要求</w:t>
            </w:r>
          </w:p>
        </w:tc>
        <w:tc>
          <w:tcPr>
            <w:tcW w:w="3154" w:type="dxa"/>
            <w:vAlign w:val="center"/>
          </w:tcPr>
          <w:p w14:paraId="56272F6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47" w:name="_Toc11743"/>
            <w:bookmarkStart w:id="448" w:name="_Toc27763"/>
            <w:bookmarkStart w:id="449" w:name="_Toc2477"/>
            <w:bookmarkStart w:id="450" w:name="_Toc22442"/>
            <w:bookmarkStart w:id="451" w:name="_Toc23328"/>
            <w:bookmarkStart w:id="452" w:name="_Toc2096"/>
            <w:r>
              <w:rPr>
                <w:rFonts w:hint="eastAsia" w:asciiTheme="minorEastAsia" w:hAnsiTheme="minorEastAsia" w:eastAsiaTheme="minorEastAsia" w:cstheme="minorEastAsia"/>
                <w:color w:val="auto"/>
                <w:sz w:val="28"/>
                <w:szCs w:val="28"/>
                <w:highlight w:val="none"/>
              </w:rPr>
              <w:t>响应情况</w:t>
            </w:r>
            <w:bookmarkEnd w:id="447"/>
            <w:bookmarkEnd w:id="448"/>
            <w:bookmarkEnd w:id="449"/>
            <w:bookmarkEnd w:id="450"/>
            <w:bookmarkEnd w:id="451"/>
            <w:bookmarkEnd w:id="452"/>
          </w:p>
        </w:tc>
        <w:tc>
          <w:tcPr>
            <w:tcW w:w="2363" w:type="dxa"/>
            <w:vAlign w:val="center"/>
          </w:tcPr>
          <w:p w14:paraId="3B77994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53" w:name="_Toc10595"/>
            <w:bookmarkStart w:id="454" w:name="_Toc14056"/>
            <w:bookmarkStart w:id="455" w:name="_Toc16701"/>
            <w:bookmarkStart w:id="456" w:name="_Toc30250"/>
            <w:bookmarkStart w:id="457" w:name="_Toc5026"/>
            <w:bookmarkStart w:id="458" w:name="_Toc3009"/>
            <w:r>
              <w:rPr>
                <w:rFonts w:hint="eastAsia" w:asciiTheme="minorEastAsia" w:hAnsiTheme="minorEastAsia" w:eastAsiaTheme="minorEastAsia" w:cstheme="minorEastAsia"/>
                <w:color w:val="auto"/>
                <w:sz w:val="28"/>
                <w:szCs w:val="28"/>
                <w:highlight w:val="none"/>
              </w:rPr>
              <w:t>差异说明</w:t>
            </w:r>
            <w:bookmarkEnd w:id="453"/>
            <w:bookmarkEnd w:id="454"/>
            <w:bookmarkEnd w:id="455"/>
            <w:bookmarkEnd w:id="456"/>
            <w:bookmarkEnd w:id="457"/>
            <w:bookmarkEnd w:id="458"/>
          </w:p>
        </w:tc>
      </w:tr>
      <w:tr w14:paraId="2E1D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75ED56E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5FCD6A2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5B9A421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59126C0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F9C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5305EEC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4CDC545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2CCA1E2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4C95CD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358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04435EB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1C87B64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293C9FC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76DFA5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127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35EBCCA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12ADEC2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62AD89B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DC9A9B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E47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76E8853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289265F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10AB405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3A2C168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667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1AB6536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7D0215E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73DCB41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A8CA00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60C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7B7C6BD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3F15A1D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2CBE448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79B90FC">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6F3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1" w:type="dxa"/>
            <w:vAlign w:val="center"/>
          </w:tcPr>
          <w:p w14:paraId="6EB4B7B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5" w:type="dxa"/>
            <w:vAlign w:val="center"/>
          </w:tcPr>
          <w:p w14:paraId="5DF5C94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4" w:type="dxa"/>
            <w:vAlign w:val="center"/>
          </w:tcPr>
          <w:p w14:paraId="496ADE5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391EFC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bl>
    <w:p w14:paraId="0A85091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40D6384C">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供应商名称（公章）：                      法定代表人或授权代表（签署或盖章）：</w:t>
      </w:r>
    </w:p>
    <w:p w14:paraId="0BB8B215">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p>
    <w:p w14:paraId="509B0D7E">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079B1863">
      <w:pPr>
        <w:pStyle w:val="38"/>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w:t>
      </w:r>
    </w:p>
    <w:p w14:paraId="5A02403D">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1.本表即为对本项目“第二篇”</w:t>
      </w:r>
      <w:r>
        <w:rPr>
          <w:rFonts w:hint="eastAsia" w:asciiTheme="minorEastAsia" w:hAnsiTheme="minorEastAsia" w:eastAsiaTheme="minorEastAsia" w:cstheme="minorEastAsia"/>
          <w:color w:val="auto"/>
          <w:sz w:val="28"/>
          <w:szCs w:val="28"/>
          <w:highlight w:val="none"/>
          <w:lang w:val="en-US" w:eastAsia="zh-CN"/>
        </w:rPr>
        <w:t>要求</w:t>
      </w:r>
      <w:r>
        <w:rPr>
          <w:rFonts w:hint="eastAsia" w:asciiTheme="minorEastAsia" w:hAnsiTheme="minorEastAsia" w:eastAsiaTheme="minorEastAsia" w:cstheme="minorEastAsia"/>
          <w:color w:val="auto"/>
          <w:sz w:val="28"/>
          <w:szCs w:val="28"/>
          <w:highlight w:val="none"/>
        </w:rPr>
        <w:t>进行比较和响应；</w:t>
      </w:r>
    </w:p>
    <w:p w14:paraId="1ABAA672">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2.该表必须按照竞采文件要求如实填写，根据响应情况在“差异说明”项填写“无差异”或正负偏离说明，※条款不得负偏离响应，否则作无效响应处理；</w:t>
      </w:r>
    </w:p>
    <w:p w14:paraId="45E25395">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3.该表可扩展；</w:t>
      </w:r>
    </w:p>
    <w:p w14:paraId="46E42C44">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4.可附相关技术支撑材料。（如有，格式自定。）</w:t>
      </w:r>
    </w:p>
    <w:p w14:paraId="1F0E43A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3D3AD4B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val="0"/>
          <w:bCs w:val="0"/>
          <w:color w:val="auto"/>
          <w:sz w:val="28"/>
          <w:szCs w:val="28"/>
          <w:highlight w:val="none"/>
        </w:rPr>
      </w:pPr>
      <w:bookmarkStart w:id="459" w:name="_Toc13717"/>
      <w:r>
        <w:rPr>
          <w:rFonts w:hint="eastAsia" w:asciiTheme="minorEastAsia" w:hAnsiTheme="minorEastAsia" w:eastAsiaTheme="minorEastAsia" w:cstheme="minorEastAsia"/>
          <w:b w:val="0"/>
          <w:bCs w:val="0"/>
          <w:color w:val="auto"/>
          <w:sz w:val="28"/>
          <w:szCs w:val="28"/>
          <w:highlight w:val="none"/>
        </w:rPr>
        <w:t>（二）其他</w:t>
      </w:r>
      <w:bookmarkEnd w:id="459"/>
      <w:r>
        <w:rPr>
          <w:rFonts w:hint="eastAsia" w:asciiTheme="minorEastAsia" w:hAnsiTheme="minorEastAsia" w:eastAsiaTheme="minorEastAsia" w:cstheme="minorEastAsia"/>
          <w:b w:val="0"/>
          <w:bCs w:val="0"/>
          <w:color w:val="auto"/>
          <w:sz w:val="28"/>
          <w:szCs w:val="28"/>
          <w:highlight w:val="none"/>
          <w:lang w:eastAsia="zh-CN"/>
        </w:rPr>
        <w:t>技术（服务）</w:t>
      </w:r>
      <w:r>
        <w:rPr>
          <w:rFonts w:hint="eastAsia" w:asciiTheme="minorEastAsia" w:hAnsiTheme="minorEastAsia" w:eastAsiaTheme="minorEastAsia" w:cstheme="minorEastAsia"/>
          <w:b w:val="0"/>
          <w:bCs w:val="0"/>
          <w:color w:val="auto"/>
          <w:sz w:val="28"/>
          <w:szCs w:val="28"/>
          <w:highlight w:val="none"/>
        </w:rPr>
        <w:t>部分相关资料（自拟）</w:t>
      </w:r>
    </w:p>
    <w:p w14:paraId="41D11EF6">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460" w:name="_Toc18349"/>
      <w:bookmarkStart w:id="461" w:name="_Toc27337"/>
      <w:bookmarkStart w:id="462" w:name="_Toc2630"/>
      <w:bookmarkStart w:id="463" w:name="_Toc16264"/>
      <w:bookmarkStart w:id="464" w:name="_Toc5262"/>
    </w:p>
    <w:p w14:paraId="5AA4CCBE">
      <w:pPr>
        <w:pageBreakBefore w:val="0"/>
        <w:kinsoku/>
        <w:wordWrap/>
        <w:overflowPunct/>
        <w:topLinePunct w:val="0"/>
        <w:autoSpaceDE/>
        <w:autoSpaceDN/>
        <w:bidi w:val="0"/>
        <w:adjustRightInd/>
        <w:spacing w:line="560" w:lineRule="exact"/>
        <w:ind w:left="0" w:leftChars="0" w:right="0"/>
        <w:textAlignment w:val="auto"/>
        <w:outlineLvl w:val="1"/>
        <w:rPr>
          <w:rFonts w:hint="eastAsia" w:asciiTheme="minorEastAsia" w:hAnsiTheme="minorEastAsia" w:eastAsiaTheme="minorEastAsia" w:cstheme="minorEastAsia"/>
          <w:b/>
          <w:bCs/>
          <w:color w:val="auto"/>
          <w:sz w:val="28"/>
          <w:szCs w:val="28"/>
          <w:highlight w:val="none"/>
        </w:rPr>
      </w:pPr>
      <w:bookmarkStart w:id="465" w:name="_Toc17521"/>
      <w:bookmarkStart w:id="466" w:name="_Toc28286"/>
      <w:bookmarkStart w:id="467" w:name="_Toc11036"/>
      <w:bookmarkStart w:id="468" w:name="_Toc12163"/>
      <w:bookmarkStart w:id="469" w:name="_Toc12301"/>
      <w:r>
        <w:rPr>
          <w:rFonts w:hint="eastAsia" w:asciiTheme="minorEastAsia" w:hAnsiTheme="minorEastAsia" w:eastAsiaTheme="minorEastAsia" w:cstheme="minorEastAsia"/>
          <w:b/>
          <w:bCs/>
          <w:color w:val="auto"/>
          <w:sz w:val="28"/>
          <w:szCs w:val="28"/>
          <w:highlight w:val="none"/>
        </w:rPr>
        <w:t>四、</w:t>
      </w:r>
      <w:bookmarkEnd w:id="460"/>
      <w:bookmarkEnd w:id="461"/>
      <w:bookmarkEnd w:id="462"/>
      <w:bookmarkEnd w:id="463"/>
      <w:bookmarkEnd w:id="464"/>
      <w:bookmarkEnd w:id="465"/>
      <w:bookmarkEnd w:id="466"/>
      <w:r>
        <w:rPr>
          <w:rFonts w:hint="eastAsia" w:asciiTheme="minorEastAsia" w:hAnsiTheme="minorEastAsia" w:eastAsiaTheme="minorEastAsia" w:cstheme="minorEastAsia"/>
          <w:b/>
          <w:bCs/>
          <w:color w:val="auto"/>
          <w:sz w:val="28"/>
          <w:szCs w:val="28"/>
          <w:highlight w:val="none"/>
        </w:rPr>
        <w:t>商务部分</w:t>
      </w:r>
      <w:bookmarkEnd w:id="467"/>
      <w:bookmarkEnd w:id="468"/>
      <w:bookmarkEnd w:id="469"/>
    </w:p>
    <w:p w14:paraId="6BD1C007">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b/>
          <w:bCs/>
          <w:color w:val="auto"/>
          <w:sz w:val="28"/>
          <w:szCs w:val="28"/>
          <w:highlight w:val="none"/>
        </w:rPr>
      </w:pPr>
    </w:p>
    <w:p w14:paraId="6F730CD1">
      <w:pPr>
        <w:pageBreakBefore w:val="0"/>
        <w:kinsoku/>
        <w:wordWrap/>
        <w:overflowPunct/>
        <w:topLinePunct w:val="0"/>
        <w:autoSpaceDE/>
        <w:autoSpaceDN/>
        <w:bidi w:val="0"/>
        <w:adjustRightInd/>
        <w:snapToGrid w:val="0"/>
        <w:spacing w:line="560" w:lineRule="exact"/>
        <w:ind w:left="0" w:leftChars="0" w:right="0" w:firstLine="562" w:firstLineChars="2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（一）投标函</w:t>
      </w:r>
    </w:p>
    <w:p w14:paraId="61B9FE2E">
      <w:pPr>
        <w:pageBreakBefore w:val="0"/>
        <w:kinsoku/>
        <w:wordWrap/>
        <w:overflowPunct/>
        <w:topLinePunct w:val="0"/>
        <w:autoSpaceDE/>
        <w:autoSpaceDN/>
        <w:bidi w:val="0"/>
        <w:adjustRightInd/>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xml:space="preserve">                                             </w:t>
      </w:r>
    </w:p>
    <w:p w14:paraId="765A1692">
      <w:pPr>
        <w:pageBreakBefore w:val="0"/>
        <w:tabs>
          <w:tab w:val="left" w:pos="6300"/>
        </w:tabs>
        <w:kinsoku/>
        <w:wordWrap/>
        <w:overflowPunct/>
        <w:topLinePunct w:val="0"/>
        <w:autoSpaceDE/>
        <w:autoSpaceDN/>
        <w:bidi w:val="0"/>
        <w:adjustRightInd/>
        <w:snapToGrid w:val="0"/>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（采购人或代理机构名称）：</w:t>
      </w:r>
    </w:p>
    <w:p w14:paraId="0DD54D53">
      <w:pPr>
        <w:pageBreakBefore w:val="0"/>
        <w:kinsoku/>
        <w:wordWrap/>
        <w:overflowPunct/>
        <w:topLinePunct w:val="0"/>
        <w:autoSpaceDE/>
        <w:autoSpaceDN/>
        <w:bidi w:val="0"/>
        <w:adjustRightInd/>
        <w:snapToGrid w:val="0"/>
        <w:spacing w:line="560" w:lineRule="exact"/>
        <w:ind w:left="0" w:leftChars="0" w:right="0"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（供应商名称），注册地址：</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。我方就参加本次采购有关事项郑重声明如下：</w:t>
      </w:r>
    </w:p>
    <w:p w14:paraId="030FBABB">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bookmarkStart w:id="470" w:name="_Toc8065"/>
      <w:bookmarkStart w:id="471" w:name="_Toc15412"/>
      <w:r>
        <w:rPr>
          <w:rFonts w:hint="eastAsia" w:asciiTheme="minorEastAsia" w:hAnsiTheme="minorEastAsia" w:eastAsiaTheme="minorEastAsia" w:cstheme="minorEastAsia"/>
          <w:color w:val="auto"/>
          <w:sz w:val="28"/>
          <w:szCs w:val="28"/>
          <w:highlight w:val="none"/>
        </w:rPr>
        <w:t>一、我方完全理解并接受该项目竞采文件所有要求。</w:t>
      </w:r>
      <w:bookmarkEnd w:id="470"/>
      <w:bookmarkEnd w:id="471"/>
    </w:p>
    <w:p w14:paraId="20CA2951">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二、我方提交的所有响应文件、资料都是准确和真实的，如有虚假或隐瞒，我方愿意承担一切法律责任。</w:t>
      </w:r>
    </w:p>
    <w:p w14:paraId="31523F80">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三、我方承诺按照竞采文件要求，提供本项目的工作。</w:t>
      </w:r>
    </w:p>
    <w:p w14:paraId="1C416DC6">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bookmarkStart w:id="472" w:name="_Toc5527"/>
      <w:bookmarkStart w:id="473" w:name="_Toc10192"/>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、我方承诺：本次竞采有效期为递交响应文件截止起90天。</w:t>
      </w:r>
      <w:bookmarkEnd w:id="472"/>
      <w:bookmarkEnd w:id="473"/>
    </w:p>
    <w:p w14:paraId="1B2D9630">
      <w:pPr>
        <w:pageBreakBefore w:val="0"/>
        <w:kinsoku/>
        <w:wordWrap/>
        <w:overflowPunct/>
        <w:topLinePunct w:val="0"/>
        <w:autoSpaceDE/>
        <w:autoSpaceDN/>
        <w:bidi w:val="0"/>
        <w:adjustRightInd/>
        <w:snapToGrid w:val="0"/>
        <w:spacing w:line="560" w:lineRule="exact"/>
        <w:ind w:left="0" w:leftChars="0" w:right="0" w:firstLine="562" w:firstLineChars="2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五</w:t>
      </w:r>
      <w:r>
        <w:rPr>
          <w:rFonts w:hint="eastAsia" w:asciiTheme="minorEastAsia" w:hAnsiTheme="minorEastAsia" w:eastAsiaTheme="minorEastAsia" w:cstheme="minorEastAsia"/>
          <w:b/>
          <w:bCs/>
          <w:color w:val="auto"/>
          <w:sz w:val="28"/>
          <w:szCs w:val="28"/>
          <w:highlight w:val="none"/>
        </w:rPr>
        <w:t>、我方报价中的报价为闭口价，即在竞采有效期和合同有效期内，报价不变。</w:t>
      </w:r>
    </w:p>
    <w:p w14:paraId="7DA76437">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、如果我方成为成交供应商，我方将履行竞采文件中规定的各项要求以及我方响应文件的各项承诺，按相关法律法规及合同约定条款承担我方责任。</w:t>
      </w:r>
    </w:p>
    <w:p w14:paraId="465A24F4">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、我方未为竞采项目提供整体设计、规范编制或者项目管理、监理、检测等服务。</w:t>
      </w:r>
    </w:p>
    <w:p w14:paraId="41335871">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、我方理解，最低报价不是成交的唯一条件。</w:t>
      </w:r>
    </w:p>
    <w:p w14:paraId="3C17FAEF">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、若我方成为成交供应商，愿意按有关规定及竞采文件要求缴纳采购代理服务费。</w:t>
      </w:r>
    </w:p>
    <w:p w14:paraId="6F8FAD70">
      <w:pPr>
        <w:pageBreakBefore w:val="0"/>
        <w:tabs>
          <w:tab w:val="left" w:pos="6300"/>
        </w:tabs>
        <w:kinsoku/>
        <w:wordWrap/>
        <w:overflowPunct/>
        <w:topLinePunct w:val="0"/>
        <w:autoSpaceDE/>
        <w:autoSpaceDN/>
        <w:bidi w:val="0"/>
        <w:adjustRightInd/>
        <w:snapToGrid w:val="0"/>
        <w:spacing w:line="560" w:lineRule="exact"/>
        <w:ind w:left="0" w:leftChars="0" w:right="0" w:firstLine="6370" w:firstLineChars="2275"/>
        <w:textAlignment w:val="auto"/>
        <w:rPr>
          <w:rFonts w:hint="eastAsia" w:asciiTheme="minorEastAsia" w:hAnsiTheme="minorEastAsia" w:eastAsiaTheme="minorEastAsia" w:cstheme="minorEastAsia"/>
          <w:color w:val="auto"/>
          <w:sz w:val="28"/>
          <w:szCs w:val="28"/>
          <w:highlight w:val="none"/>
        </w:rPr>
      </w:pPr>
    </w:p>
    <w:p w14:paraId="419FA0DC">
      <w:pPr>
        <w:pageBreakBefore w:val="0"/>
        <w:tabs>
          <w:tab w:val="left" w:pos="6300"/>
        </w:tabs>
        <w:kinsoku/>
        <w:wordWrap/>
        <w:overflowPunct/>
        <w:topLinePunct w:val="0"/>
        <w:autoSpaceDE/>
        <w:autoSpaceDN/>
        <w:bidi w:val="0"/>
        <w:adjustRightInd/>
        <w:snapToGrid w:val="0"/>
        <w:spacing w:line="560" w:lineRule="exact"/>
        <w:ind w:left="0" w:leftChars="0" w:right="0" w:firstLine="5040" w:firstLineChars="18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（供应商公章）</w:t>
      </w:r>
    </w:p>
    <w:p w14:paraId="0B714B14">
      <w:pPr>
        <w:pageBreakBefore w:val="0"/>
        <w:tabs>
          <w:tab w:val="left" w:pos="6300"/>
        </w:tabs>
        <w:kinsoku/>
        <w:wordWrap/>
        <w:overflowPunct/>
        <w:topLinePunct w:val="0"/>
        <w:autoSpaceDE/>
        <w:autoSpaceDN/>
        <w:bidi w:val="0"/>
        <w:adjustRightInd/>
        <w:snapToGrid w:val="0"/>
        <w:spacing w:line="560" w:lineRule="exact"/>
        <w:ind w:left="0" w:leftChars="0" w:right="0" w:firstLine="5600" w:firstLineChars="20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4B27BC1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474" w:name="_Toc10242"/>
      <w:bookmarkStart w:id="475" w:name="_Toc19167"/>
      <w:bookmarkStart w:id="476" w:name="_Toc17279"/>
      <w:r>
        <w:rPr>
          <w:rFonts w:hint="eastAsia" w:asciiTheme="minorEastAsia" w:hAnsiTheme="minorEastAsia" w:eastAsiaTheme="minorEastAsia" w:cstheme="minorEastAsia"/>
          <w:b w:val="0"/>
          <w:bCs w:val="0"/>
          <w:color w:val="auto"/>
          <w:sz w:val="28"/>
          <w:szCs w:val="28"/>
          <w:highlight w:val="none"/>
        </w:rPr>
        <w:t>（二）商务条款差异表</w:t>
      </w:r>
      <w:bookmarkEnd w:id="474"/>
      <w:bookmarkEnd w:id="475"/>
      <w:bookmarkEnd w:id="476"/>
    </w:p>
    <w:p w14:paraId="004B3590">
      <w:pPr>
        <w:pageBreakBefore w:val="0"/>
        <w:tabs>
          <w:tab w:val="left" w:pos="720"/>
        </w:tabs>
        <w:kinsoku/>
        <w:wordWrap/>
        <w:overflowPunct/>
        <w:topLinePunct w:val="0"/>
        <w:autoSpaceDE/>
        <w:autoSpaceDN/>
        <w:bidi w:val="0"/>
        <w:adjustRightInd/>
        <w:spacing w:line="560" w:lineRule="exact"/>
        <w:ind w:left="0" w:leftChars="0" w:right="0" w:firstLine="527"/>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商务条款差异表</w:t>
      </w:r>
    </w:p>
    <w:tbl>
      <w:tblPr>
        <w:tblStyle w:val="2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037"/>
        <w:gridCol w:w="3153"/>
        <w:gridCol w:w="2363"/>
      </w:tblGrid>
      <w:tr w14:paraId="68E3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00" w:type="dxa"/>
            <w:vAlign w:val="center"/>
          </w:tcPr>
          <w:p w14:paraId="18A826E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77" w:name="_Toc26650"/>
            <w:bookmarkStart w:id="478" w:name="_Toc30909"/>
            <w:bookmarkStart w:id="479" w:name="_Toc12928"/>
            <w:bookmarkStart w:id="480" w:name="_Toc3165"/>
            <w:r>
              <w:rPr>
                <w:rFonts w:hint="eastAsia" w:asciiTheme="minorEastAsia" w:hAnsiTheme="minorEastAsia" w:eastAsiaTheme="minorEastAsia" w:cstheme="minorEastAsia"/>
                <w:color w:val="auto"/>
                <w:sz w:val="28"/>
                <w:szCs w:val="28"/>
                <w:highlight w:val="none"/>
              </w:rPr>
              <w:t>序号</w:t>
            </w:r>
            <w:bookmarkEnd w:id="477"/>
            <w:bookmarkEnd w:id="478"/>
            <w:bookmarkEnd w:id="479"/>
            <w:bookmarkEnd w:id="480"/>
          </w:p>
        </w:tc>
        <w:tc>
          <w:tcPr>
            <w:tcW w:w="3037" w:type="dxa"/>
            <w:vAlign w:val="center"/>
          </w:tcPr>
          <w:p w14:paraId="52388EF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项目要求</w:t>
            </w:r>
          </w:p>
        </w:tc>
        <w:tc>
          <w:tcPr>
            <w:tcW w:w="3153" w:type="dxa"/>
            <w:vAlign w:val="center"/>
          </w:tcPr>
          <w:p w14:paraId="04B0268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81" w:name="_Toc24660"/>
            <w:bookmarkStart w:id="482" w:name="_Toc22122"/>
            <w:bookmarkStart w:id="483" w:name="_Toc3511"/>
            <w:bookmarkStart w:id="484" w:name="_Toc4456"/>
            <w:r>
              <w:rPr>
                <w:rFonts w:hint="eastAsia" w:asciiTheme="minorEastAsia" w:hAnsiTheme="minorEastAsia" w:eastAsiaTheme="minorEastAsia" w:cstheme="minorEastAsia"/>
                <w:color w:val="auto"/>
                <w:sz w:val="28"/>
                <w:szCs w:val="28"/>
                <w:highlight w:val="none"/>
              </w:rPr>
              <w:t>响应情况</w:t>
            </w:r>
            <w:bookmarkEnd w:id="481"/>
            <w:bookmarkEnd w:id="482"/>
            <w:bookmarkEnd w:id="483"/>
            <w:bookmarkEnd w:id="484"/>
          </w:p>
        </w:tc>
        <w:tc>
          <w:tcPr>
            <w:tcW w:w="2363" w:type="dxa"/>
            <w:vAlign w:val="center"/>
          </w:tcPr>
          <w:p w14:paraId="01E0233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bookmarkStart w:id="485" w:name="_Toc15020"/>
            <w:bookmarkStart w:id="486" w:name="_Toc11128"/>
            <w:bookmarkStart w:id="487" w:name="_Toc14571"/>
            <w:bookmarkStart w:id="488" w:name="_Toc13230"/>
            <w:r>
              <w:rPr>
                <w:rFonts w:hint="eastAsia" w:asciiTheme="minorEastAsia" w:hAnsiTheme="minorEastAsia" w:eastAsiaTheme="minorEastAsia" w:cstheme="minorEastAsia"/>
                <w:color w:val="auto"/>
                <w:sz w:val="28"/>
                <w:szCs w:val="28"/>
                <w:highlight w:val="none"/>
              </w:rPr>
              <w:t>差异说明</w:t>
            </w:r>
            <w:bookmarkEnd w:id="485"/>
            <w:bookmarkEnd w:id="486"/>
            <w:bookmarkEnd w:id="487"/>
            <w:bookmarkEnd w:id="488"/>
          </w:p>
        </w:tc>
      </w:tr>
      <w:tr w14:paraId="11DF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5F21898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3CD5EF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4A73AB4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E0BAF1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467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B1CA34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5E734E0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13E938B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F92008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45A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AEA038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C085038">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4969040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00C0ED8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F56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5FA735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53E74DB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3190855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F356C6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0CB8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0C79FC0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04D4DD1D">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2FC2B6C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739E530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25D4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2FFDB2C6">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63FB01E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49379F4F">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1681D000">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438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6B422AB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0C9D44B">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12D6A332">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5AD1CFE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18F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1FBAB72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7BCB42E5">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00A415A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4208A44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2AD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79058B29">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6BC46A64">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760F287E">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0639F28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r w14:paraId="7849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Align w:val="center"/>
          </w:tcPr>
          <w:p w14:paraId="3FDFE161">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037" w:type="dxa"/>
            <w:vAlign w:val="center"/>
          </w:tcPr>
          <w:p w14:paraId="1DB442BA">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3153" w:type="dxa"/>
            <w:vAlign w:val="center"/>
          </w:tcPr>
          <w:p w14:paraId="032621E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c>
          <w:tcPr>
            <w:tcW w:w="2363" w:type="dxa"/>
            <w:vAlign w:val="center"/>
          </w:tcPr>
          <w:p w14:paraId="3D6FB3D7">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p>
        </w:tc>
      </w:tr>
    </w:tbl>
    <w:p w14:paraId="29B77F9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9C93CAC">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供应商名称（公章）：                      法定代表人或授权代表（签署或盖章）：</w:t>
      </w:r>
    </w:p>
    <w:p w14:paraId="7664EED9">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p>
    <w:p w14:paraId="74828C14">
      <w:pPr>
        <w:pageBreakBefore w:val="0"/>
        <w:kinsoku/>
        <w:wordWrap/>
        <w:overflowPunct/>
        <w:topLinePunct w:val="0"/>
        <w:autoSpaceDE/>
        <w:autoSpaceDN/>
        <w:bidi w:val="0"/>
        <w:adjustRightInd/>
        <w:spacing w:line="560" w:lineRule="exact"/>
        <w:ind w:left="0" w:leftChars="0" w:right="0" w:firstLine="48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p>
    <w:p w14:paraId="291A0536">
      <w:pPr>
        <w:pStyle w:val="38"/>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w:t>
      </w:r>
    </w:p>
    <w:p w14:paraId="24C02EAE">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1.本表即为对本项目“第三篇”所列商务要求进行比较和响应；</w:t>
      </w:r>
    </w:p>
    <w:p w14:paraId="6F01E39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2.该表必须按照竞采文件要求如实填写，根据响应情况在“差异说明”项填写“无差异”或正负偏离说明，※条款不得负偏离响应，否则作无效响应处理；</w:t>
      </w:r>
    </w:p>
    <w:p w14:paraId="5B61507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3.该表可扩展；</w:t>
      </w:r>
    </w:p>
    <w:p w14:paraId="70B1D3F9">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4.可附相关</w:t>
      </w:r>
      <w:r>
        <w:rPr>
          <w:rFonts w:hint="eastAsia" w:asciiTheme="minorEastAsia" w:hAnsiTheme="minorEastAsia" w:eastAsiaTheme="minorEastAsia" w:cstheme="minorEastAsia"/>
          <w:color w:val="auto"/>
          <w:sz w:val="28"/>
          <w:szCs w:val="28"/>
          <w:highlight w:val="none"/>
          <w:lang w:eastAsia="zh-CN"/>
        </w:rPr>
        <w:t>技术（服务）</w:t>
      </w:r>
      <w:r>
        <w:rPr>
          <w:rFonts w:hint="eastAsia" w:asciiTheme="minorEastAsia" w:hAnsiTheme="minorEastAsia" w:eastAsiaTheme="minorEastAsia" w:cstheme="minorEastAsia"/>
          <w:color w:val="auto"/>
          <w:sz w:val="28"/>
          <w:szCs w:val="28"/>
          <w:highlight w:val="none"/>
        </w:rPr>
        <w:t>支撑材料。（格式自定）</w:t>
      </w:r>
    </w:p>
    <w:p w14:paraId="36825A90">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bookmarkStart w:id="489" w:name="_Toc28259"/>
      <w:bookmarkStart w:id="490" w:name="_Toc20137"/>
      <w:bookmarkStart w:id="491" w:name="_Toc25826"/>
      <w:bookmarkStart w:id="492" w:name="_Toc30526"/>
      <w:bookmarkStart w:id="493" w:name="_Toc13056"/>
      <w:bookmarkStart w:id="494" w:name="_Toc13132"/>
      <w:r>
        <w:rPr>
          <w:rFonts w:hint="eastAsia" w:asciiTheme="minorEastAsia" w:hAnsiTheme="minorEastAsia" w:eastAsiaTheme="minorEastAsia" w:cstheme="minorEastAsia"/>
          <w:b w:val="0"/>
          <w:bCs w:val="0"/>
          <w:color w:val="auto"/>
          <w:sz w:val="28"/>
          <w:szCs w:val="28"/>
          <w:highlight w:val="none"/>
        </w:rPr>
        <w:t>（三）商务部分相关证明材料（自附）</w:t>
      </w:r>
      <w:r>
        <w:rPr>
          <w:rFonts w:hint="eastAsia" w:asciiTheme="minorEastAsia" w:hAnsiTheme="minorEastAsia" w:eastAsiaTheme="minorEastAsia" w:cstheme="minorEastAsia"/>
          <w:color w:val="auto"/>
          <w:sz w:val="28"/>
          <w:szCs w:val="28"/>
          <w:highlight w:val="none"/>
        </w:rPr>
        <w:br w:type="page"/>
      </w:r>
    </w:p>
    <w:p w14:paraId="7EE7A442">
      <w:pPr>
        <w:pStyle w:val="2"/>
        <w:pageBreakBefore w:val="0"/>
        <w:kinsoku/>
        <w:wordWrap/>
        <w:overflowPunct/>
        <w:topLinePunct w:val="0"/>
        <w:autoSpaceDE/>
        <w:autoSpaceDN/>
        <w:bidi w:val="0"/>
        <w:adjustRightInd/>
        <w:spacing w:beforeLines="0" w:line="560" w:lineRule="exact"/>
        <w:ind w:left="0" w:leftChars="0" w:right="0" w:firstLine="562"/>
        <w:textAlignment w:val="auto"/>
        <w:rPr>
          <w:rFonts w:hint="eastAsia" w:asciiTheme="minorEastAsia" w:hAnsiTheme="minorEastAsia" w:eastAsiaTheme="minorEastAsia" w:cstheme="minorEastAsia"/>
          <w:color w:val="auto"/>
          <w:sz w:val="28"/>
          <w:szCs w:val="28"/>
          <w:highlight w:val="none"/>
        </w:rPr>
      </w:pPr>
      <w:bookmarkStart w:id="495" w:name="_Toc23051"/>
      <w:bookmarkStart w:id="496" w:name="_Toc2353"/>
      <w:bookmarkStart w:id="497" w:name="_Toc985"/>
      <w:bookmarkStart w:id="498" w:name="_Toc27347"/>
      <w:r>
        <w:rPr>
          <w:rFonts w:hint="eastAsia" w:asciiTheme="minorEastAsia" w:hAnsiTheme="minorEastAsia" w:eastAsiaTheme="minorEastAsia" w:cstheme="minorEastAsia"/>
          <w:color w:val="auto"/>
          <w:sz w:val="28"/>
          <w:szCs w:val="28"/>
          <w:highlight w:val="none"/>
        </w:rPr>
        <w:t>五、</w:t>
      </w:r>
      <w:bookmarkEnd w:id="489"/>
      <w:bookmarkEnd w:id="490"/>
      <w:bookmarkEnd w:id="491"/>
      <w:r>
        <w:rPr>
          <w:rFonts w:hint="eastAsia" w:asciiTheme="minorEastAsia" w:hAnsiTheme="minorEastAsia" w:eastAsiaTheme="minorEastAsia" w:cstheme="minorEastAsia"/>
          <w:color w:val="auto"/>
          <w:sz w:val="28"/>
          <w:szCs w:val="28"/>
          <w:highlight w:val="none"/>
        </w:rPr>
        <w:t>其他与项目有关的资料</w:t>
      </w:r>
      <w:bookmarkEnd w:id="492"/>
      <w:bookmarkEnd w:id="493"/>
      <w:bookmarkEnd w:id="494"/>
      <w:bookmarkEnd w:id="495"/>
      <w:bookmarkEnd w:id="496"/>
      <w:bookmarkEnd w:id="497"/>
      <w:bookmarkEnd w:id="498"/>
    </w:p>
    <w:p w14:paraId="012A558A">
      <w:pPr>
        <w:pageBreakBefore w:val="0"/>
        <w:kinsoku/>
        <w:wordWrap/>
        <w:overflowPunct/>
        <w:topLinePunct w:val="0"/>
        <w:autoSpaceDE/>
        <w:autoSpaceDN/>
        <w:bidi w:val="0"/>
        <w:adjustRightInd/>
        <w:snapToGrid w:val="0"/>
        <w:spacing w:line="560" w:lineRule="exact"/>
        <w:ind w:left="0" w:leftChars="0" w:right="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（一）其他与项目有关的资料（如有，自附。）</w:t>
      </w:r>
    </w:p>
    <w:p w14:paraId="1D066DE4">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369189FA">
      <w:pPr>
        <w:pStyle w:val="19"/>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6D9B381D">
      <w:pPr>
        <w:pStyle w:val="19"/>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0E57DB8">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2EC5AA3">
      <w:pPr>
        <w:pStyle w:val="9"/>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02683BCB">
      <w:pPr>
        <w:pStyle w:val="19"/>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7F5B5DB3">
      <w:pPr>
        <w:pageBreakBefore w:val="0"/>
        <w:kinsoku/>
        <w:wordWrap/>
        <w:overflowPunct/>
        <w:topLinePunct w:val="0"/>
        <w:autoSpaceDE/>
        <w:autoSpaceDN/>
        <w:bidi w:val="0"/>
        <w:adjustRightInd/>
        <w:spacing w:line="560" w:lineRule="exact"/>
        <w:ind w:left="0" w:leftChars="0" w:right="0"/>
        <w:textAlignment w:val="auto"/>
        <w:rPr>
          <w:rFonts w:hint="eastAsia" w:asciiTheme="minorEastAsia" w:hAnsiTheme="minorEastAsia" w:eastAsiaTheme="minorEastAsia" w:cstheme="minorEastAsia"/>
          <w:color w:val="auto"/>
          <w:sz w:val="28"/>
          <w:szCs w:val="28"/>
          <w:highlight w:val="none"/>
        </w:rPr>
      </w:pPr>
    </w:p>
    <w:p w14:paraId="27EF48E3">
      <w:pPr>
        <w:pageBreakBefore w:val="0"/>
        <w:kinsoku/>
        <w:wordWrap/>
        <w:overflowPunct/>
        <w:topLinePunct w:val="0"/>
        <w:autoSpaceDE/>
        <w:autoSpaceDN/>
        <w:bidi w:val="0"/>
        <w:adjustRightInd/>
        <w:spacing w:line="560" w:lineRule="exact"/>
        <w:ind w:left="0" w:leftChars="0" w:right="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（结  束）</w:t>
      </w:r>
    </w:p>
    <w:sectPr>
      <w:pgSz w:w="11905" w:h="16838"/>
      <w:pgMar w:top="1134" w:right="1134" w:bottom="1134" w:left="1134" w:header="850" w:footer="992" w:gutter="0"/>
      <w:pgNumType w:fmt="numberInDash"/>
      <w:cols w:space="0" w:num="1"/>
      <w:titlePg/>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D6D29AE-58CA-4523-BCA5-03E9FA535608}"/>
  </w:font>
  <w:font w:name="Garamond">
    <w:altName w:val="ksdb"/>
    <w:panose1 w:val="02020404030301010803"/>
    <w:charset w:val="00"/>
    <w:family w:val="roman"/>
    <w:pitch w:val="default"/>
    <w:sig w:usb0="00000000"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6E55">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BFE8A">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F4F910">
                          <w:pPr>
                            <w:pStyle w:val="14"/>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DF4F910">
                    <w:pPr>
                      <w:pStyle w:val="14"/>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CBF3">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DA1AD">
                          <w:pPr>
                            <w:pStyle w:val="14"/>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1DA1AD">
                    <w:pPr>
                      <w:pStyle w:val="14"/>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666">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14B4FF">
                          <w:pPr>
                            <w:pStyle w:val="14"/>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C14B4FF">
                    <w:pPr>
                      <w:pStyle w:val="14"/>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E31B">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D31DE">
                          <w:pPr>
                            <w:pStyle w:val="14"/>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7D1D31DE">
                    <w:pPr>
                      <w:pStyle w:val="14"/>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9DD75">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DF6DB2"/>
    <w:rsid w:val="00003620"/>
    <w:rsid w:val="00023321"/>
    <w:rsid w:val="00044EF2"/>
    <w:rsid w:val="001065CA"/>
    <w:rsid w:val="001315D9"/>
    <w:rsid w:val="002B6923"/>
    <w:rsid w:val="00460371"/>
    <w:rsid w:val="004B23E9"/>
    <w:rsid w:val="004D59BD"/>
    <w:rsid w:val="00540D96"/>
    <w:rsid w:val="005749D1"/>
    <w:rsid w:val="00610597"/>
    <w:rsid w:val="006460C2"/>
    <w:rsid w:val="006558E4"/>
    <w:rsid w:val="0069744B"/>
    <w:rsid w:val="00704336"/>
    <w:rsid w:val="00707FFD"/>
    <w:rsid w:val="0075194C"/>
    <w:rsid w:val="007D5EF2"/>
    <w:rsid w:val="009D033E"/>
    <w:rsid w:val="00B057ED"/>
    <w:rsid w:val="00B572D5"/>
    <w:rsid w:val="00DF6DB2"/>
    <w:rsid w:val="00E16FE2"/>
    <w:rsid w:val="00E30FAC"/>
    <w:rsid w:val="00E54D24"/>
    <w:rsid w:val="00E91C51"/>
    <w:rsid w:val="00EB1C0E"/>
    <w:rsid w:val="00F22F9D"/>
    <w:rsid w:val="00FC02BF"/>
    <w:rsid w:val="01121891"/>
    <w:rsid w:val="01203FAE"/>
    <w:rsid w:val="0123584C"/>
    <w:rsid w:val="01237FC0"/>
    <w:rsid w:val="012B64AF"/>
    <w:rsid w:val="012F2443"/>
    <w:rsid w:val="01317F69"/>
    <w:rsid w:val="01390BCC"/>
    <w:rsid w:val="013B0DE8"/>
    <w:rsid w:val="013C56E1"/>
    <w:rsid w:val="014A20C9"/>
    <w:rsid w:val="01510BEF"/>
    <w:rsid w:val="015E4AD6"/>
    <w:rsid w:val="0160084E"/>
    <w:rsid w:val="016073E8"/>
    <w:rsid w:val="016F4205"/>
    <w:rsid w:val="017B7436"/>
    <w:rsid w:val="017E6F26"/>
    <w:rsid w:val="01944054"/>
    <w:rsid w:val="01973B44"/>
    <w:rsid w:val="01987FE8"/>
    <w:rsid w:val="019E4ED3"/>
    <w:rsid w:val="01AE15BA"/>
    <w:rsid w:val="01BA61B0"/>
    <w:rsid w:val="01C34939"/>
    <w:rsid w:val="01C761D7"/>
    <w:rsid w:val="01D34B7C"/>
    <w:rsid w:val="01D408F4"/>
    <w:rsid w:val="01D534BA"/>
    <w:rsid w:val="01D803E5"/>
    <w:rsid w:val="01F9035B"/>
    <w:rsid w:val="01FD42EF"/>
    <w:rsid w:val="01FF3BC3"/>
    <w:rsid w:val="020C008E"/>
    <w:rsid w:val="02414E7F"/>
    <w:rsid w:val="024737BC"/>
    <w:rsid w:val="02532161"/>
    <w:rsid w:val="02535CBD"/>
    <w:rsid w:val="025657AD"/>
    <w:rsid w:val="027D2D3A"/>
    <w:rsid w:val="02811860"/>
    <w:rsid w:val="028213AB"/>
    <w:rsid w:val="028916DF"/>
    <w:rsid w:val="02963DFC"/>
    <w:rsid w:val="02A76009"/>
    <w:rsid w:val="02A91D81"/>
    <w:rsid w:val="02C473C4"/>
    <w:rsid w:val="02C72207"/>
    <w:rsid w:val="02C941D1"/>
    <w:rsid w:val="02CB1CF7"/>
    <w:rsid w:val="02D53891"/>
    <w:rsid w:val="02D54924"/>
    <w:rsid w:val="02D84414"/>
    <w:rsid w:val="02D908B8"/>
    <w:rsid w:val="02E35293"/>
    <w:rsid w:val="02F72AEC"/>
    <w:rsid w:val="02F96864"/>
    <w:rsid w:val="03060419"/>
    <w:rsid w:val="03123DCA"/>
    <w:rsid w:val="0313544C"/>
    <w:rsid w:val="031713E0"/>
    <w:rsid w:val="032612CE"/>
    <w:rsid w:val="0334549D"/>
    <w:rsid w:val="0341020B"/>
    <w:rsid w:val="034A5F18"/>
    <w:rsid w:val="034D4E02"/>
    <w:rsid w:val="03561F09"/>
    <w:rsid w:val="03595555"/>
    <w:rsid w:val="035A307B"/>
    <w:rsid w:val="03685798"/>
    <w:rsid w:val="036F2FCB"/>
    <w:rsid w:val="036F6B27"/>
    <w:rsid w:val="0371289F"/>
    <w:rsid w:val="03791753"/>
    <w:rsid w:val="03993BA4"/>
    <w:rsid w:val="039E565E"/>
    <w:rsid w:val="03A34A22"/>
    <w:rsid w:val="03A8028B"/>
    <w:rsid w:val="03B14776"/>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50140F6"/>
    <w:rsid w:val="05025778"/>
    <w:rsid w:val="050E236F"/>
    <w:rsid w:val="05195C41"/>
    <w:rsid w:val="05260A35"/>
    <w:rsid w:val="052971A9"/>
    <w:rsid w:val="053D1916"/>
    <w:rsid w:val="054162A1"/>
    <w:rsid w:val="05455794"/>
    <w:rsid w:val="05542478"/>
    <w:rsid w:val="056401E1"/>
    <w:rsid w:val="05685F23"/>
    <w:rsid w:val="05706B86"/>
    <w:rsid w:val="057C552B"/>
    <w:rsid w:val="057D6F2B"/>
    <w:rsid w:val="058E7496"/>
    <w:rsid w:val="058F1702"/>
    <w:rsid w:val="05922FA0"/>
    <w:rsid w:val="0595200F"/>
    <w:rsid w:val="05A21435"/>
    <w:rsid w:val="05C649F8"/>
    <w:rsid w:val="05C81985"/>
    <w:rsid w:val="05CA098C"/>
    <w:rsid w:val="05D37841"/>
    <w:rsid w:val="05D71325"/>
    <w:rsid w:val="05D830A9"/>
    <w:rsid w:val="05E41A4E"/>
    <w:rsid w:val="05F61781"/>
    <w:rsid w:val="05F652DD"/>
    <w:rsid w:val="05F81055"/>
    <w:rsid w:val="060F45F1"/>
    <w:rsid w:val="06173ED7"/>
    <w:rsid w:val="061B11E8"/>
    <w:rsid w:val="062F07EF"/>
    <w:rsid w:val="062F1292"/>
    <w:rsid w:val="063F4ED6"/>
    <w:rsid w:val="064047AA"/>
    <w:rsid w:val="064249C6"/>
    <w:rsid w:val="064414E6"/>
    <w:rsid w:val="064E336B"/>
    <w:rsid w:val="064F0F69"/>
    <w:rsid w:val="0661309E"/>
    <w:rsid w:val="066163F9"/>
    <w:rsid w:val="06624721"/>
    <w:rsid w:val="066C2290"/>
    <w:rsid w:val="066C31F2"/>
    <w:rsid w:val="066F5090"/>
    <w:rsid w:val="06764670"/>
    <w:rsid w:val="069F3BC7"/>
    <w:rsid w:val="06AB431A"/>
    <w:rsid w:val="06B036DE"/>
    <w:rsid w:val="06B11926"/>
    <w:rsid w:val="06B331CE"/>
    <w:rsid w:val="06B62CBE"/>
    <w:rsid w:val="06B807E5"/>
    <w:rsid w:val="06BA6A94"/>
    <w:rsid w:val="06C37F45"/>
    <w:rsid w:val="06CB4FA1"/>
    <w:rsid w:val="06CF5A14"/>
    <w:rsid w:val="06D7510F"/>
    <w:rsid w:val="06DE3CB3"/>
    <w:rsid w:val="070103DE"/>
    <w:rsid w:val="07035F04"/>
    <w:rsid w:val="07140111"/>
    <w:rsid w:val="07141DCB"/>
    <w:rsid w:val="0717375D"/>
    <w:rsid w:val="07195727"/>
    <w:rsid w:val="0721282E"/>
    <w:rsid w:val="074E3E49"/>
    <w:rsid w:val="07500A1D"/>
    <w:rsid w:val="07571DAC"/>
    <w:rsid w:val="075F5104"/>
    <w:rsid w:val="07634BF4"/>
    <w:rsid w:val="076B3AA9"/>
    <w:rsid w:val="076F1953"/>
    <w:rsid w:val="077C0C82"/>
    <w:rsid w:val="0784456A"/>
    <w:rsid w:val="07852DBD"/>
    <w:rsid w:val="078608E3"/>
    <w:rsid w:val="0789477F"/>
    <w:rsid w:val="07934F2A"/>
    <w:rsid w:val="0797489E"/>
    <w:rsid w:val="07975B80"/>
    <w:rsid w:val="07A07E80"/>
    <w:rsid w:val="07A64AE1"/>
    <w:rsid w:val="07B216D8"/>
    <w:rsid w:val="07B61B72"/>
    <w:rsid w:val="07CD6512"/>
    <w:rsid w:val="07D96C64"/>
    <w:rsid w:val="07E07FF3"/>
    <w:rsid w:val="07F41CF0"/>
    <w:rsid w:val="07FB307F"/>
    <w:rsid w:val="080F69C5"/>
    <w:rsid w:val="081465CD"/>
    <w:rsid w:val="08161C67"/>
    <w:rsid w:val="08326375"/>
    <w:rsid w:val="084367D4"/>
    <w:rsid w:val="084A1910"/>
    <w:rsid w:val="08564759"/>
    <w:rsid w:val="08566507"/>
    <w:rsid w:val="085E7779"/>
    <w:rsid w:val="086A1FB2"/>
    <w:rsid w:val="08894C98"/>
    <w:rsid w:val="08BF40AC"/>
    <w:rsid w:val="08D00067"/>
    <w:rsid w:val="08F63846"/>
    <w:rsid w:val="0913264A"/>
    <w:rsid w:val="09167A44"/>
    <w:rsid w:val="09252D8D"/>
    <w:rsid w:val="09336848"/>
    <w:rsid w:val="093F343F"/>
    <w:rsid w:val="095C5D9F"/>
    <w:rsid w:val="096E162E"/>
    <w:rsid w:val="09774987"/>
    <w:rsid w:val="097A4477"/>
    <w:rsid w:val="097C3D4B"/>
    <w:rsid w:val="09931095"/>
    <w:rsid w:val="09AE1167"/>
    <w:rsid w:val="09E55D95"/>
    <w:rsid w:val="0A037FC9"/>
    <w:rsid w:val="0A067AB9"/>
    <w:rsid w:val="0A072A97"/>
    <w:rsid w:val="0A0855DF"/>
    <w:rsid w:val="0A0A4865"/>
    <w:rsid w:val="0A0A75A9"/>
    <w:rsid w:val="0A0D0E47"/>
    <w:rsid w:val="0A2134F6"/>
    <w:rsid w:val="0A3E36F7"/>
    <w:rsid w:val="0A3E680D"/>
    <w:rsid w:val="0A4D717D"/>
    <w:rsid w:val="0A51342A"/>
    <w:rsid w:val="0A5151D8"/>
    <w:rsid w:val="0A56459C"/>
    <w:rsid w:val="0A6C3DC0"/>
    <w:rsid w:val="0A6F38B0"/>
    <w:rsid w:val="0A856C30"/>
    <w:rsid w:val="0A883B4D"/>
    <w:rsid w:val="0A984BB5"/>
    <w:rsid w:val="0AA70248"/>
    <w:rsid w:val="0AD23916"/>
    <w:rsid w:val="0AD950EC"/>
    <w:rsid w:val="0ADA3ECE"/>
    <w:rsid w:val="0ADD2F10"/>
    <w:rsid w:val="0AEC6CAF"/>
    <w:rsid w:val="0B073AE9"/>
    <w:rsid w:val="0B0E4E77"/>
    <w:rsid w:val="0B16263E"/>
    <w:rsid w:val="0B187AA4"/>
    <w:rsid w:val="0B3A3EBE"/>
    <w:rsid w:val="0B425A17"/>
    <w:rsid w:val="0B445E0F"/>
    <w:rsid w:val="0B464611"/>
    <w:rsid w:val="0B4D5164"/>
    <w:rsid w:val="0B4E7969"/>
    <w:rsid w:val="0B521208"/>
    <w:rsid w:val="0B5717B6"/>
    <w:rsid w:val="0B667275"/>
    <w:rsid w:val="0B6B22C9"/>
    <w:rsid w:val="0B7D3DAB"/>
    <w:rsid w:val="0B8213C1"/>
    <w:rsid w:val="0B8A1792"/>
    <w:rsid w:val="0B8D0492"/>
    <w:rsid w:val="0B8E420A"/>
    <w:rsid w:val="0B903ADE"/>
    <w:rsid w:val="0B957346"/>
    <w:rsid w:val="0B980BE5"/>
    <w:rsid w:val="0B9B6CCA"/>
    <w:rsid w:val="0BAD28E2"/>
    <w:rsid w:val="0BB43C70"/>
    <w:rsid w:val="0BB84DE3"/>
    <w:rsid w:val="0BC814CA"/>
    <w:rsid w:val="0BD7170D"/>
    <w:rsid w:val="0BDA11FD"/>
    <w:rsid w:val="0BED7182"/>
    <w:rsid w:val="0C006EB6"/>
    <w:rsid w:val="0C05627A"/>
    <w:rsid w:val="0C083FBC"/>
    <w:rsid w:val="0C1622A5"/>
    <w:rsid w:val="0C1F4E62"/>
    <w:rsid w:val="0C2421D9"/>
    <w:rsid w:val="0C37664F"/>
    <w:rsid w:val="0C452B1A"/>
    <w:rsid w:val="0C460641"/>
    <w:rsid w:val="0C637445"/>
    <w:rsid w:val="0C6B22BE"/>
    <w:rsid w:val="0C9D4705"/>
    <w:rsid w:val="0CA737D5"/>
    <w:rsid w:val="0CAA0BCF"/>
    <w:rsid w:val="0CC021A1"/>
    <w:rsid w:val="0CC46135"/>
    <w:rsid w:val="0CC7259C"/>
    <w:rsid w:val="0CE340E1"/>
    <w:rsid w:val="0CE449F4"/>
    <w:rsid w:val="0CE95B9C"/>
    <w:rsid w:val="0CEA0CA3"/>
    <w:rsid w:val="0CEF17A8"/>
    <w:rsid w:val="0CF14A50"/>
    <w:rsid w:val="0CFA3905"/>
    <w:rsid w:val="0D2A3ABE"/>
    <w:rsid w:val="0D407866"/>
    <w:rsid w:val="0D40797F"/>
    <w:rsid w:val="0D442DD2"/>
    <w:rsid w:val="0D4E2C3A"/>
    <w:rsid w:val="0D5C45C0"/>
    <w:rsid w:val="0D611BD6"/>
    <w:rsid w:val="0D662D48"/>
    <w:rsid w:val="0D786F20"/>
    <w:rsid w:val="0D7C256C"/>
    <w:rsid w:val="0D7D0092"/>
    <w:rsid w:val="0D8238FA"/>
    <w:rsid w:val="0D894C89"/>
    <w:rsid w:val="0DA67DDF"/>
    <w:rsid w:val="0DAB10A3"/>
    <w:rsid w:val="0DC42165"/>
    <w:rsid w:val="0DC45CC1"/>
    <w:rsid w:val="0DC52BE4"/>
    <w:rsid w:val="0DCC5EB8"/>
    <w:rsid w:val="0DEF0A31"/>
    <w:rsid w:val="0DF26CD2"/>
    <w:rsid w:val="0DF90060"/>
    <w:rsid w:val="0DFA594D"/>
    <w:rsid w:val="0E224B6C"/>
    <w:rsid w:val="0E342E47"/>
    <w:rsid w:val="0E666D78"/>
    <w:rsid w:val="0E67321C"/>
    <w:rsid w:val="0E6C0832"/>
    <w:rsid w:val="0E6F3E7F"/>
    <w:rsid w:val="0E9438E5"/>
    <w:rsid w:val="0E947D89"/>
    <w:rsid w:val="0E963B01"/>
    <w:rsid w:val="0E9C09EC"/>
    <w:rsid w:val="0EA0672E"/>
    <w:rsid w:val="0EC3241C"/>
    <w:rsid w:val="0EC35F79"/>
    <w:rsid w:val="0EC95C85"/>
    <w:rsid w:val="0ECC307F"/>
    <w:rsid w:val="0ECC4670"/>
    <w:rsid w:val="0EDB32C2"/>
    <w:rsid w:val="0F000F7B"/>
    <w:rsid w:val="0F274759"/>
    <w:rsid w:val="0F5372FC"/>
    <w:rsid w:val="0F691B78"/>
    <w:rsid w:val="0F7200CA"/>
    <w:rsid w:val="0F76123D"/>
    <w:rsid w:val="0F865924"/>
    <w:rsid w:val="0F9067A2"/>
    <w:rsid w:val="0F9470D3"/>
    <w:rsid w:val="0F9E52D1"/>
    <w:rsid w:val="0FA1450C"/>
    <w:rsid w:val="0FB44876"/>
    <w:rsid w:val="0FC87CEA"/>
    <w:rsid w:val="0FD06B9F"/>
    <w:rsid w:val="0FD52407"/>
    <w:rsid w:val="0FF22FB9"/>
    <w:rsid w:val="0FFF56D6"/>
    <w:rsid w:val="100E1475"/>
    <w:rsid w:val="102869DB"/>
    <w:rsid w:val="10321608"/>
    <w:rsid w:val="103709CC"/>
    <w:rsid w:val="103C4234"/>
    <w:rsid w:val="1040283D"/>
    <w:rsid w:val="104355C3"/>
    <w:rsid w:val="10466E61"/>
    <w:rsid w:val="104D01F0"/>
    <w:rsid w:val="10587DF7"/>
    <w:rsid w:val="10593038"/>
    <w:rsid w:val="10596B94"/>
    <w:rsid w:val="105B0B5E"/>
    <w:rsid w:val="106F63B8"/>
    <w:rsid w:val="107A6B0B"/>
    <w:rsid w:val="107C5A41"/>
    <w:rsid w:val="108005C5"/>
    <w:rsid w:val="109D1177"/>
    <w:rsid w:val="10C33691"/>
    <w:rsid w:val="10EA5A3E"/>
    <w:rsid w:val="10EC2A75"/>
    <w:rsid w:val="10F20B4A"/>
    <w:rsid w:val="10FC5772"/>
    <w:rsid w:val="10FD39C4"/>
    <w:rsid w:val="110034B4"/>
    <w:rsid w:val="11196324"/>
    <w:rsid w:val="11333889"/>
    <w:rsid w:val="113B44EC"/>
    <w:rsid w:val="113E3FDC"/>
    <w:rsid w:val="116457F1"/>
    <w:rsid w:val="1172466A"/>
    <w:rsid w:val="119D51A7"/>
    <w:rsid w:val="119D7604"/>
    <w:rsid w:val="119F0F1F"/>
    <w:rsid w:val="11A16A45"/>
    <w:rsid w:val="11A402E3"/>
    <w:rsid w:val="11AA3420"/>
    <w:rsid w:val="11C42733"/>
    <w:rsid w:val="11CE710E"/>
    <w:rsid w:val="11E066A4"/>
    <w:rsid w:val="11E701D0"/>
    <w:rsid w:val="11F22685"/>
    <w:rsid w:val="11F624FE"/>
    <w:rsid w:val="11F76665"/>
    <w:rsid w:val="11FA7F03"/>
    <w:rsid w:val="12033835"/>
    <w:rsid w:val="121865DB"/>
    <w:rsid w:val="12323B41"/>
    <w:rsid w:val="12372F05"/>
    <w:rsid w:val="123840C4"/>
    <w:rsid w:val="124318AA"/>
    <w:rsid w:val="124B4C03"/>
    <w:rsid w:val="124F73DC"/>
    <w:rsid w:val="125D0492"/>
    <w:rsid w:val="125F095F"/>
    <w:rsid w:val="12641821"/>
    <w:rsid w:val="127203E1"/>
    <w:rsid w:val="12863E8D"/>
    <w:rsid w:val="12922832"/>
    <w:rsid w:val="129E11D6"/>
    <w:rsid w:val="129E2F84"/>
    <w:rsid w:val="12AA1929"/>
    <w:rsid w:val="12B502CE"/>
    <w:rsid w:val="12BE7183"/>
    <w:rsid w:val="12C10A21"/>
    <w:rsid w:val="12CA1FCB"/>
    <w:rsid w:val="12E34E3B"/>
    <w:rsid w:val="12F86309"/>
    <w:rsid w:val="12F86B39"/>
    <w:rsid w:val="12FD414F"/>
    <w:rsid w:val="12FE1C75"/>
    <w:rsid w:val="13044E54"/>
    <w:rsid w:val="130A23C8"/>
    <w:rsid w:val="130B0801"/>
    <w:rsid w:val="131C20FB"/>
    <w:rsid w:val="13482EF0"/>
    <w:rsid w:val="1356385F"/>
    <w:rsid w:val="13573133"/>
    <w:rsid w:val="136A2E67"/>
    <w:rsid w:val="136C6BDF"/>
    <w:rsid w:val="13785584"/>
    <w:rsid w:val="137F156C"/>
    <w:rsid w:val="13836400"/>
    <w:rsid w:val="13872098"/>
    <w:rsid w:val="138C7281"/>
    <w:rsid w:val="13904FC3"/>
    <w:rsid w:val="13925EE6"/>
    <w:rsid w:val="1399374C"/>
    <w:rsid w:val="139B3968"/>
    <w:rsid w:val="139C19DC"/>
    <w:rsid w:val="139F5206"/>
    <w:rsid w:val="139F6FB4"/>
    <w:rsid w:val="13A7230D"/>
    <w:rsid w:val="13AE5449"/>
    <w:rsid w:val="13CA6299"/>
    <w:rsid w:val="13CC15F2"/>
    <w:rsid w:val="13DD5D2E"/>
    <w:rsid w:val="13E470BD"/>
    <w:rsid w:val="13E7095B"/>
    <w:rsid w:val="13EA3C03"/>
    <w:rsid w:val="13F84916"/>
    <w:rsid w:val="141334FE"/>
    <w:rsid w:val="14264FE0"/>
    <w:rsid w:val="1436224E"/>
    <w:rsid w:val="144A162C"/>
    <w:rsid w:val="145A737F"/>
    <w:rsid w:val="1461070D"/>
    <w:rsid w:val="14636234"/>
    <w:rsid w:val="14665D24"/>
    <w:rsid w:val="146E6986"/>
    <w:rsid w:val="14726477"/>
    <w:rsid w:val="148368D6"/>
    <w:rsid w:val="14860174"/>
    <w:rsid w:val="14983A03"/>
    <w:rsid w:val="14A16D5C"/>
    <w:rsid w:val="14A64372"/>
    <w:rsid w:val="14BF71E2"/>
    <w:rsid w:val="14C2372B"/>
    <w:rsid w:val="14CB5B87"/>
    <w:rsid w:val="14D25167"/>
    <w:rsid w:val="14D92443"/>
    <w:rsid w:val="14E86739"/>
    <w:rsid w:val="15080B89"/>
    <w:rsid w:val="15190FE8"/>
    <w:rsid w:val="151B4D60"/>
    <w:rsid w:val="151E5B91"/>
    <w:rsid w:val="152534E9"/>
    <w:rsid w:val="1528122B"/>
    <w:rsid w:val="152A7C39"/>
    <w:rsid w:val="153674A4"/>
    <w:rsid w:val="153D78B4"/>
    <w:rsid w:val="15565D98"/>
    <w:rsid w:val="155C679B"/>
    <w:rsid w:val="156009C5"/>
    <w:rsid w:val="1574566E"/>
    <w:rsid w:val="15802E15"/>
    <w:rsid w:val="15907FD8"/>
    <w:rsid w:val="15997A33"/>
    <w:rsid w:val="15AC7766"/>
    <w:rsid w:val="15AD4406"/>
    <w:rsid w:val="15B7153F"/>
    <w:rsid w:val="15C639B1"/>
    <w:rsid w:val="15CF38CC"/>
    <w:rsid w:val="15D31197"/>
    <w:rsid w:val="15D53161"/>
    <w:rsid w:val="15DB629E"/>
    <w:rsid w:val="15EE7D7F"/>
    <w:rsid w:val="15EF417B"/>
    <w:rsid w:val="15F35395"/>
    <w:rsid w:val="15F80BFE"/>
    <w:rsid w:val="160475A2"/>
    <w:rsid w:val="160E6673"/>
    <w:rsid w:val="161A0B74"/>
    <w:rsid w:val="1629423D"/>
    <w:rsid w:val="162C6AF9"/>
    <w:rsid w:val="163D4862"/>
    <w:rsid w:val="164B6F7F"/>
    <w:rsid w:val="1658169C"/>
    <w:rsid w:val="1666025D"/>
    <w:rsid w:val="16687D3E"/>
    <w:rsid w:val="166D65D9"/>
    <w:rsid w:val="168A2AF7"/>
    <w:rsid w:val="16913548"/>
    <w:rsid w:val="16AE5760"/>
    <w:rsid w:val="16C64858"/>
    <w:rsid w:val="16D90A2F"/>
    <w:rsid w:val="16ED44DA"/>
    <w:rsid w:val="172B7C90"/>
    <w:rsid w:val="174E4CFE"/>
    <w:rsid w:val="175956CC"/>
    <w:rsid w:val="175D7112"/>
    <w:rsid w:val="175E2CE2"/>
    <w:rsid w:val="1767603B"/>
    <w:rsid w:val="17683B61"/>
    <w:rsid w:val="17C0399D"/>
    <w:rsid w:val="17C50FB3"/>
    <w:rsid w:val="17C84600"/>
    <w:rsid w:val="17D17958"/>
    <w:rsid w:val="17D94B36"/>
    <w:rsid w:val="17E31439"/>
    <w:rsid w:val="17EE4066"/>
    <w:rsid w:val="17FD699F"/>
    <w:rsid w:val="18194E5B"/>
    <w:rsid w:val="18267CA4"/>
    <w:rsid w:val="18295325"/>
    <w:rsid w:val="182C2DE0"/>
    <w:rsid w:val="182E6534"/>
    <w:rsid w:val="18363C5F"/>
    <w:rsid w:val="184E0FA9"/>
    <w:rsid w:val="18561C0B"/>
    <w:rsid w:val="185A7104"/>
    <w:rsid w:val="185D743E"/>
    <w:rsid w:val="187F0273"/>
    <w:rsid w:val="18891FE1"/>
    <w:rsid w:val="188D7D23"/>
    <w:rsid w:val="188E75F7"/>
    <w:rsid w:val="18980476"/>
    <w:rsid w:val="189866C8"/>
    <w:rsid w:val="189A41EE"/>
    <w:rsid w:val="18A72D85"/>
    <w:rsid w:val="18B352B0"/>
    <w:rsid w:val="18B37049"/>
    <w:rsid w:val="18B8458C"/>
    <w:rsid w:val="18C64FE3"/>
    <w:rsid w:val="18CE3E98"/>
    <w:rsid w:val="18D544EC"/>
    <w:rsid w:val="18DE232D"/>
    <w:rsid w:val="19061883"/>
    <w:rsid w:val="190B6E9A"/>
    <w:rsid w:val="19137AFC"/>
    <w:rsid w:val="19153875"/>
    <w:rsid w:val="191C4C03"/>
    <w:rsid w:val="192166BD"/>
    <w:rsid w:val="19257F5C"/>
    <w:rsid w:val="19457408"/>
    <w:rsid w:val="19467ED2"/>
    <w:rsid w:val="194D1260"/>
    <w:rsid w:val="194D74B2"/>
    <w:rsid w:val="196E5FF2"/>
    <w:rsid w:val="197D7D98"/>
    <w:rsid w:val="1981715C"/>
    <w:rsid w:val="19874772"/>
    <w:rsid w:val="19884D68"/>
    <w:rsid w:val="19C07C84"/>
    <w:rsid w:val="19EA4D01"/>
    <w:rsid w:val="19FB2A6A"/>
    <w:rsid w:val="19FE255B"/>
    <w:rsid w:val="1A18186E"/>
    <w:rsid w:val="1A18361C"/>
    <w:rsid w:val="1A240213"/>
    <w:rsid w:val="1A3345AB"/>
    <w:rsid w:val="1A381F10"/>
    <w:rsid w:val="1A4A57A0"/>
    <w:rsid w:val="1A5545C6"/>
    <w:rsid w:val="1A654388"/>
    <w:rsid w:val="1A6732D4"/>
    <w:rsid w:val="1A6844D4"/>
    <w:rsid w:val="1A6E148E"/>
    <w:rsid w:val="1A89276C"/>
    <w:rsid w:val="1A9C249F"/>
    <w:rsid w:val="1A9F5AEC"/>
    <w:rsid w:val="1AA1531C"/>
    <w:rsid w:val="1AA2738A"/>
    <w:rsid w:val="1AAB7407"/>
    <w:rsid w:val="1AB53561"/>
    <w:rsid w:val="1AB570BD"/>
    <w:rsid w:val="1AB80F1C"/>
    <w:rsid w:val="1AC11F06"/>
    <w:rsid w:val="1AD559B1"/>
    <w:rsid w:val="1ADB3280"/>
    <w:rsid w:val="1ADB7C95"/>
    <w:rsid w:val="1AE654C9"/>
    <w:rsid w:val="1AE87493"/>
    <w:rsid w:val="1B0E2C71"/>
    <w:rsid w:val="1B132036"/>
    <w:rsid w:val="1B215345"/>
    <w:rsid w:val="1B232D26"/>
    <w:rsid w:val="1B285AE1"/>
    <w:rsid w:val="1B371D78"/>
    <w:rsid w:val="1B41388C"/>
    <w:rsid w:val="1B636B19"/>
    <w:rsid w:val="1B6805D3"/>
    <w:rsid w:val="1B697EA8"/>
    <w:rsid w:val="1B6B6201"/>
    <w:rsid w:val="1B701236"/>
    <w:rsid w:val="1B7C5E2D"/>
    <w:rsid w:val="1B9E7E6B"/>
    <w:rsid w:val="1BA62EAA"/>
    <w:rsid w:val="1BA875D4"/>
    <w:rsid w:val="1BAF48EB"/>
    <w:rsid w:val="1BBB4BA7"/>
    <w:rsid w:val="1BCD6688"/>
    <w:rsid w:val="1BD6378F"/>
    <w:rsid w:val="1BDB187A"/>
    <w:rsid w:val="1BEC2FB3"/>
    <w:rsid w:val="1BFB4FA4"/>
    <w:rsid w:val="1BFE4A94"/>
    <w:rsid w:val="1C063DFC"/>
    <w:rsid w:val="1C0A51E7"/>
    <w:rsid w:val="1C146065"/>
    <w:rsid w:val="1C1B73F4"/>
    <w:rsid w:val="1C2C1601"/>
    <w:rsid w:val="1C3D1800"/>
    <w:rsid w:val="1C493F61"/>
    <w:rsid w:val="1C512E16"/>
    <w:rsid w:val="1C542199"/>
    <w:rsid w:val="1C5446B4"/>
    <w:rsid w:val="1C5B5A42"/>
    <w:rsid w:val="1C730FDE"/>
    <w:rsid w:val="1C7F7983"/>
    <w:rsid w:val="1C850D11"/>
    <w:rsid w:val="1C8925AF"/>
    <w:rsid w:val="1C8D752E"/>
    <w:rsid w:val="1C926381"/>
    <w:rsid w:val="1C9E5FCC"/>
    <w:rsid w:val="1CB57848"/>
    <w:rsid w:val="1CB6536F"/>
    <w:rsid w:val="1CBB2985"/>
    <w:rsid w:val="1CC7132A"/>
    <w:rsid w:val="1CD35F20"/>
    <w:rsid w:val="1CD83537"/>
    <w:rsid w:val="1CFDA188"/>
    <w:rsid w:val="1D0460DA"/>
    <w:rsid w:val="1D0C4F8F"/>
    <w:rsid w:val="1D2642A2"/>
    <w:rsid w:val="1D300C7D"/>
    <w:rsid w:val="1D445881"/>
    <w:rsid w:val="1D4D5CD3"/>
    <w:rsid w:val="1D552DD9"/>
    <w:rsid w:val="1D5A5F73"/>
    <w:rsid w:val="1D5C5F16"/>
    <w:rsid w:val="1D685307"/>
    <w:rsid w:val="1D724B42"/>
    <w:rsid w:val="1D752B34"/>
    <w:rsid w:val="1D7D3EB6"/>
    <w:rsid w:val="1D864D41"/>
    <w:rsid w:val="1D8D2573"/>
    <w:rsid w:val="1DA23028"/>
    <w:rsid w:val="1DBC69B5"/>
    <w:rsid w:val="1DE859FC"/>
    <w:rsid w:val="1DEB5F7A"/>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4E1D03"/>
    <w:rsid w:val="1E506D33"/>
    <w:rsid w:val="1E5906A7"/>
    <w:rsid w:val="1E607CAE"/>
    <w:rsid w:val="1E6905F2"/>
    <w:rsid w:val="1E766B63"/>
    <w:rsid w:val="1E7DB2E3"/>
    <w:rsid w:val="1E803E86"/>
    <w:rsid w:val="1EA90CE7"/>
    <w:rsid w:val="1EB83620"/>
    <w:rsid w:val="1EC93137"/>
    <w:rsid w:val="1ED241B0"/>
    <w:rsid w:val="1EDD4E34"/>
    <w:rsid w:val="1EDF295B"/>
    <w:rsid w:val="1EF739DC"/>
    <w:rsid w:val="1F0C74C8"/>
    <w:rsid w:val="1F1072F4"/>
    <w:rsid w:val="1F132C50"/>
    <w:rsid w:val="1F1E7942"/>
    <w:rsid w:val="1F244811"/>
    <w:rsid w:val="1F264A2D"/>
    <w:rsid w:val="1F274302"/>
    <w:rsid w:val="1F274C01"/>
    <w:rsid w:val="1F3C1B5B"/>
    <w:rsid w:val="1F3E1D77"/>
    <w:rsid w:val="1F4E188E"/>
    <w:rsid w:val="1F6A2B6C"/>
    <w:rsid w:val="1F6D61B8"/>
    <w:rsid w:val="1F6D77C8"/>
    <w:rsid w:val="1F7532BF"/>
    <w:rsid w:val="1F8654CC"/>
    <w:rsid w:val="1F90634B"/>
    <w:rsid w:val="1FA20DCC"/>
    <w:rsid w:val="1FA47700"/>
    <w:rsid w:val="1FA53BA4"/>
    <w:rsid w:val="1FA807DA"/>
    <w:rsid w:val="1FB812A8"/>
    <w:rsid w:val="1FC3402A"/>
    <w:rsid w:val="1FE741BD"/>
    <w:rsid w:val="1FFD54FC"/>
    <w:rsid w:val="20104D96"/>
    <w:rsid w:val="20120B0E"/>
    <w:rsid w:val="20140D2A"/>
    <w:rsid w:val="20234AC9"/>
    <w:rsid w:val="20315438"/>
    <w:rsid w:val="203266EE"/>
    <w:rsid w:val="20346CD6"/>
    <w:rsid w:val="20407429"/>
    <w:rsid w:val="20457135"/>
    <w:rsid w:val="204D7D98"/>
    <w:rsid w:val="20542ED4"/>
    <w:rsid w:val="20592BE1"/>
    <w:rsid w:val="205C0C54"/>
    <w:rsid w:val="20653333"/>
    <w:rsid w:val="206550E2"/>
    <w:rsid w:val="20692E24"/>
    <w:rsid w:val="206A35D7"/>
    <w:rsid w:val="206A6B9C"/>
    <w:rsid w:val="206F41B2"/>
    <w:rsid w:val="207B1E2B"/>
    <w:rsid w:val="208A2D9A"/>
    <w:rsid w:val="208C6B12"/>
    <w:rsid w:val="208F6602"/>
    <w:rsid w:val="20947775"/>
    <w:rsid w:val="209D0D1F"/>
    <w:rsid w:val="20A0611A"/>
    <w:rsid w:val="20A21E92"/>
    <w:rsid w:val="20B17B77"/>
    <w:rsid w:val="20D12777"/>
    <w:rsid w:val="20D14525"/>
    <w:rsid w:val="20D34741"/>
    <w:rsid w:val="20DB1848"/>
    <w:rsid w:val="20E26732"/>
    <w:rsid w:val="20E56222"/>
    <w:rsid w:val="20E97AC1"/>
    <w:rsid w:val="21132D8F"/>
    <w:rsid w:val="211C60E8"/>
    <w:rsid w:val="213435D0"/>
    <w:rsid w:val="21380A48"/>
    <w:rsid w:val="213A47C0"/>
    <w:rsid w:val="21703D3E"/>
    <w:rsid w:val="21751354"/>
    <w:rsid w:val="218617B3"/>
    <w:rsid w:val="21933ED0"/>
    <w:rsid w:val="21983295"/>
    <w:rsid w:val="219914E7"/>
    <w:rsid w:val="21991DF6"/>
    <w:rsid w:val="21A1039B"/>
    <w:rsid w:val="21B62351"/>
    <w:rsid w:val="21CF315A"/>
    <w:rsid w:val="21D249F9"/>
    <w:rsid w:val="21E8421C"/>
    <w:rsid w:val="21E93AF0"/>
    <w:rsid w:val="21F77FBB"/>
    <w:rsid w:val="220B70F2"/>
    <w:rsid w:val="220F3557"/>
    <w:rsid w:val="22261312"/>
    <w:rsid w:val="223B434C"/>
    <w:rsid w:val="223C6316"/>
    <w:rsid w:val="224A27E1"/>
    <w:rsid w:val="224C6559"/>
    <w:rsid w:val="22592A24"/>
    <w:rsid w:val="225B2A36"/>
    <w:rsid w:val="22600256"/>
    <w:rsid w:val="2265586D"/>
    <w:rsid w:val="22775899"/>
    <w:rsid w:val="2280028D"/>
    <w:rsid w:val="22AC349C"/>
    <w:rsid w:val="22B20386"/>
    <w:rsid w:val="22B21902"/>
    <w:rsid w:val="22E1799D"/>
    <w:rsid w:val="22E36792"/>
    <w:rsid w:val="22E9024C"/>
    <w:rsid w:val="22F866E1"/>
    <w:rsid w:val="22F95FB5"/>
    <w:rsid w:val="22FD7853"/>
    <w:rsid w:val="22FE4E63"/>
    <w:rsid w:val="23160915"/>
    <w:rsid w:val="231B417D"/>
    <w:rsid w:val="232A43C0"/>
    <w:rsid w:val="233139A1"/>
    <w:rsid w:val="23566F63"/>
    <w:rsid w:val="23696C97"/>
    <w:rsid w:val="236B2A0F"/>
    <w:rsid w:val="23711FEF"/>
    <w:rsid w:val="2375388E"/>
    <w:rsid w:val="2382763C"/>
    <w:rsid w:val="23A423C5"/>
    <w:rsid w:val="23A45F21"/>
    <w:rsid w:val="23AB3753"/>
    <w:rsid w:val="23B26890"/>
    <w:rsid w:val="23CB5BA3"/>
    <w:rsid w:val="23D902C0"/>
    <w:rsid w:val="23DD1433"/>
    <w:rsid w:val="23DE7685"/>
    <w:rsid w:val="23DF164F"/>
    <w:rsid w:val="23EA427B"/>
    <w:rsid w:val="240D7F6A"/>
    <w:rsid w:val="24170DE9"/>
    <w:rsid w:val="241906BD"/>
    <w:rsid w:val="241C1F5B"/>
    <w:rsid w:val="242B03F0"/>
    <w:rsid w:val="242D5F16"/>
    <w:rsid w:val="24311EAA"/>
    <w:rsid w:val="24422DFE"/>
    <w:rsid w:val="244A2F6C"/>
    <w:rsid w:val="244D0366"/>
    <w:rsid w:val="245E07C6"/>
    <w:rsid w:val="24620CBA"/>
    <w:rsid w:val="24822706"/>
    <w:rsid w:val="2483022C"/>
    <w:rsid w:val="248A5117"/>
    <w:rsid w:val="2492046F"/>
    <w:rsid w:val="2492221D"/>
    <w:rsid w:val="249E5066"/>
    <w:rsid w:val="24B16B47"/>
    <w:rsid w:val="24BD373E"/>
    <w:rsid w:val="24C70119"/>
    <w:rsid w:val="24CA5E5B"/>
    <w:rsid w:val="24D40A88"/>
    <w:rsid w:val="24DB1E16"/>
    <w:rsid w:val="24EC4023"/>
    <w:rsid w:val="24ED38F7"/>
    <w:rsid w:val="24F164AA"/>
    <w:rsid w:val="250C6474"/>
    <w:rsid w:val="250C7BDD"/>
    <w:rsid w:val="25180974"/>
    <w:rsid w:val="25203CCD"/>
    <w:rsid w:val="2527505B"/>
    <w:rsid w:val="252E63EA"/>
    <w:rsid w:val="25333A00"/>
    <w:rsid w:val="25341526"/>
    <w:rsid w:val="253728AF"/>
    <w:rsid w:val="253B28B5"/>
    <w:rsid w:val="25430923"/>
    <w:rsid w:val="25473008"/>
    <w:rsid w:val="254774AC"/>
    <w:rsid w:val="254F010E"/>
    <w:rsid w:val="2553373E"/>
    <w:rsid w:val="25583467"/>
    <w:rsid w:val="255C556D"/>
    <w:rsid w:val="256040C9"/>
    <w:rsid w:val="25695674"/>
    <w:rsid w:val="25695F41"/>
    <w:rsid w:val="2572277A"/>
    <w:rsid w:val="257A162F"/>
    <w:rsid w:val="25860A76"/>
    <w:rsid w:val="25A71CF8"/>
    <w:rsid w:val="25A91362"/>
    <w:rsid w:val="25BD0EF9"/>
    <w:rsid w:val="25C20003"/>
    <w:rsid w:val="25EC3BAF"/>
    <w:rsid w:val="260B672B"/>
    <w:rsid w:val="261A071C"/>
    <w:rsid w:val="262C538B"/>
    <w:rsid w:val="263317DE"/>
    <w:rsid w:val="263F0183"/>
    <w:rsid w:val="26400147"/>
    <w:rsid w:val="26413EFB"/>
    <w:rsid w:val="264659B5"/>
    <w:rsid w:val="26485289"/>
    <w:rsid w:val="26597496"/>
    <w:rsid w:val="2674607E"/>
    <w:rsid w:val="268B1CCF"/>
    <w:rsid w:val="26920BFA"/>
    <w:rsid w:val="26995AE5"/>
    <w:rsid w:val="269E759F"/>
    <w:rsid w:val="26A050C5"/>
    <w:rsid w:val="26AA40C1"/>
    <w:rsid w:val="26AD333E"/>
    <w:rsid w:val="26B3099D"/>
    <w:rsid w:val="26BA5C25"/>
    <w:rsid w:val="26BD5C77"/>
    <w:rsid w:val="26C1503C"/>
    <w:rsid w:val="26C37006"/>
    <w:rsid w:val="26C54B2C"/>
    <w:rsid w:val="26DD1E76"/>
    <w:rsid w:val="26E054C2"/>
    <w:rsid w:val="26F96584"/>
    <w:rsid w:val="26FC4863"/>
    <w:rsid w:val="27024388"/>
    <w:rsid w:val="27037402"/>
    <w:rsid w:val="270713C3"/>
    <w:rsid w:val="270D202F"/>
    <w:rsid w:val="27337E5F"/>
    <w:rsid w:val="27392E24"/>
    <w:rsid w:val="274243CE"/>
    <w:rsid w:val="275A34C6"/>
    <w:rsid w:val="275E1D48"/>
    <w:rsid w:val="27677991"/>
    <w:rsid w:val="277327DA"/>
    <w:rsid w:val="278B7B24"/>
    <w:rsid w:val="27A3569D"/>
    <w:rsid w:val="27A40BE5"/>
    <w:rsid w:val="27A55B0F"/>
    <w:rsid w:val="27AC6936"/>
    <w:rsid w:val="27B01338"/>
    <w:rsid w:val="27B626C7"/>
    <w:rsid w:val="27BB2ACC"/>
    <w:rsid w:val="27CB43C4"/>
    <w:rsid w:val="27D1743C"/>
    <w:rsid w:val="27DD55D8"/>
    <w:rsid w:val="27E40FE2"/>
    <w:rsid w:val="27E92A9C"/>
    <w:rsid w:val="28033B5E"/>
    <w:rsid w:val="280B2A12"/>
    <w:rsid w:val="2810627B"/>
    <w:rsid w:val="28137B19"/>
    <w:rsid w:val="281713B7"/>
    <w:rsid w:val="28274CC4"/>
    <w:rsid w:val="283B73C3"/>
    <w:rsid w:val="28463A4A"/>
    <w:rsid w:val="284657F9"/>
    <w:rsid w:val="28481571"/>
    <w:rsid w:val="285D414E"/>
    <w:rsid w:val="28620159"/>
    <w:rsid w:val="28687E65"/>
    <w:rsid w:val="28697739"/>
    <w:rsid w:val="288B4085"/>
    <w:rsid w:val="28926C90"/>
    <w:rsid w:val="28A30E9D"/>
    <w:rsid w:val="28A759AF"/>
    <w:rsid w:val="28B05368"/>
    <w:rsid w:val="28B27CA3"/>
    <w:rsid w:val="28B60BD0"/>
    <w:rsid w:val="28C332ED"/>
    <w:rsid w:val="28C606E7"/>
    <w:rsid w:val="28C72DDD"/>
    <w:rsid w:val="28CD5F1A"/>
    <w:rsid w:val="28D41056"/>
    <w:rsid w:val="28EA0701"/>
    <w:rsid w:val="28F16026"/>
    <w:rsid w:val="2903193C"/>
    <w:rsid w:val="290336EA"/>
    <w:rsid w:val="290D4568"/>
    <w:rsid w:val="290F208E"/>
    <w:rsid w:val="29193321"/>
    <w:rsid w:val="291C47AB"/>
    <w:rsid w:val="29233D8C"/>
    <w:rsid w:val="29476954"/>
    <w:rsid w:val="294F2DD3"/>
    <w:rsid w:val="29535AE8"/>
    <w:rsid w:val="29543F45"/>
    <w:rsid w:val="295464C2"/>
    <w:rsid w:val="29626662"/>
    <w:rsid w:val="296E0E36"/>
    <w:rsid w:val="297C6AA2"/>
    <w:rsid w:val="299D769A"/>
    <w:rsid w:val="29AC3D81"/>
    <w:rsid w:val="29AF73CD"/>
    <w:rsid w:val="29BB3FC4"/>
    <w:rsid w:val="29CE3CF8"/>
    <w:rsid w:val="29D11A3A"/>
    <w:rsid w:val="29DB6414"/>
    <w:rsid w:val="29DD64CA"/>
    <w:rsid w:val="29E37FC4"/>
    <w:rsid w:val="29E4351B"/>
    <w:rsid w:val="29F6324E"/>
    <w:rsid w:val="2A0239A1"/>
    <w:rsid w:val="2A072FE9"/>
    <w:rsid w:val="2A14198E"/>
    <w:rsid w:val="2A16744D"/>
    <w:rsid w:val="2A1B4A63"/>
    <w:rsid w:val="2A263B34"/>
    <w:rsid w:val="2A347C01"/>
    <w:rsid w:val="2A375D41"/>
    <w:rsid w:val="2A3D0E87"/>
    <w:rsid w:val="2A510485"/>
    <w:rsid w:val="2A524929"/>
    <w:rsid w:val="2A567E78"/>
    <w:rsid w:val="2A5C1303"/>
    <w:rsid w:val="2A6102EC"/>
    <w:rsid w:val="2A77613D"/>
    <w:rsid w:val="2A7C7BF7"/>
    <w:rsid w:val="2A862824"/>
    <w:rsid w:val="2A88034A"/>
    <w:rsid w:val="2AA8279A"/>
    <w:rsid w:val="2AA9206F"/>
    <w:rsid w:val="2AB033FD"/>
    <w:rsid w:val="2ACC030F"/>
    <w:rsid w:val="2AD25A69"/>
    <w:rsid w:val="2AD27987"/>
    <w:rsid w:val="2AD9215F"/>
    <w:rsid w:val="2AD96DF8"/>
    <w:rsid w:val="2ADE440E"/>
    <w:rsid w:val="2AE964C6"/>
    <w:rsid w:val="2B002496"/>
    <w:rsid w:val="2B05199B"/>
    <w:rsid w:val="2B14398C"/>
    <w:rsid w:val="2B1D39AC"/>
    <w:rsid w:val="2B1E0CAF"/>
    <w:rsid w:val="2B1E2A5D"/>
    <w:rsid w:val="2B357351"/>
    <w:rsid w:val="2B406E77"/>
    <w:rsid w:val="2B4C581C"/>
    <w:rsid w:val="2B606BD1"/>
    <w:rsid w:val="2B726905"/>
    <w:rsid w:val="2B8723B0"/>
    <w:rsid w:val="2B8A296A"/>
    <w:rsid w:val="2B9B22FF"/>
    <w:rsid w:val="2BAF1907"/>
    <w:rsid w:val="2BB62C95"/>
    <w:rsid w:val="2BC37160"/>
    <w:rsid w:val="2BD355F5"/>
    <w:rsid w:val="2BDF3BA3"/>
    <w:rsid w:val="2BE912BD"/>
    <w:rsid w:val="2BF235A7"/>
    <w:rsid w:val="2BF832AE"/>
    <w:rsid w:val="2C077995"/>
    <w:rsid w:val="2C1125C1"/>
    <w:rsid w:val="2C165AE7"/>
    <w:rsid w:val="2C1A1178"/>
    <w:rsid w:val="2C2220D9"/>
    <w:rsid w:val="2C297BFF"/>
    <w:rsid w:val="2C3172E5"/>
    <w:rsid w:val="2C3406FF"/>
    <w:rsid w:val="2C3B13EC"/>
    <w:rsid w:val="2C475FE3"/>
    <w:rsid w:val="2C506C46"/>
    <w:rsid w:val="2C6E4C6A"/>
    <w:rsid w:val="2C703257"/>
    <w:rsid w:val="2C736DD8"/>
    <w:rsid w:val="2C772424"/>
    <w:rsid w:val="2C9B7CA1"/>
    <w:rsid w:val="2CA70830"/>
    <w:rsid w:val="2CAA0D04"/>
    <w:rsid w:val="2CB82A3D"/>
    <w:rsid w:val="2CB847EB"/>
    <w:rsid w:val="2CBF201D"/>
    <w:rsid w:val="2CC3566A"/>
    <w:rsid w:val="2CD07CC3"/>
    <w:rsid w:val="2CD312DD"/>
    <w:rsid w:val="2CE2593C"/>
    <w:rsid w:val="2CF25F4F"/>
    <w:rsid w:val="2CFC5020"/>
    <w:rsid w:val="2D04536F"/>
    <w:rsid w:val="2D12039F"/>
    <w:rsid w:val="2D2B7271"/>
    <w:rsid w:val="2D3227EF"/>
    <w:rsid w:val="2D3E73E6"/>
    <w:rsid w:val="2D4349FC"/>
    <w:rsid w:val="2D452523"/>
    <w:rsid w:val="2D4542D1"/>
    <w:rsid w:val="2D5C161A"/>
    <w:rsid w:val="2D5C786C"/>
    <w:rsid w:val="2D6A1F89"/>
    <w:rsid w:val="2D6B7AAF"/>
    <w:rsid w:val="2D6D1A79"/>
    <w:rsid w:val="2D720E3E"/>
    <w:rsid w:val="2D7C1CBC"/>
    <w:rsid w:val="2D8F7C42"/>
    <w:rsid w:val="2DAA4A7C"/>
    <w:rsid w:val="2DB9562B"/>
    <w:rsid w:val="2DBB4593"/>
    <w:rsid w:val="2DBD47AF"/>
    <w:rsid w:val="2DC93154"/>
    <w:rsid w:val="2DD65871"/>
    <w:rsid w:val="2DD90EBD"/>
    <w:rsid w:val="2DEC299E"/>
    <w:rsid w:val="2DEF06E0"/>
    <w:rsid w:val="2DFF595B"/>
    <w:rsid w:val="2E0E0B66"/>
    <w:rsid w:val="2E3507E9"/>
    <w:rsid w:val="2E3F2682"/>
    <w:rsid w:val="2E405189"/>
    <w:rsid w:val="2E4427DA"/>
    <w:rsid w:val="2E642E7C"/>
    <w:rsid w:val="2E67471B"/>
    <w:rsid w:val="2E825C96"/>
    <w:rsid w:val="2E9D1EEA"/>
    <w:rsid w:val="2EB20408"/>
    <w:rsid w:val="2EB23BE8"/>
    <w:rsid w:val="2EC67693"/>
    <w:rsid w:val="2ED7322E"/>
    <w:rsid w:val="2ED81174"/>
    <w:rsid w:val="2EDE1C71"/>
    <w:rsid w:val="2EE45D6B"/>
    <w:rsid w:val="2EE66D0F"/>
    <w:rsid w:val="2EE82BD8"/>
    <w:rsid w:val="2EEA2EE4"/>
    <w:rsid w:val="2EFF2BA5"/>
    <w:rsid w:val="2F0F6197"/>
    <w:rsid w:val="2F192425"/>
    <w:rsid w:val="2F3339AA"/>
    <w:rsid w:val="2F3565C7"/>
    <w:rsid w:val="2F3C7955"/>
    <w:rsid w:val="2F464330"/>
    <w:rsid w:val="2F4F7689"/>
    <w:rsid w:val="2F542EF1"/>
    <w:rsid w:val="2F5527C5"/>
    <w:rsid w:val="2F5C3B54"/>
    <w:rsid w:val="2F603644"/>
    <w:rsid w:val="2F700004"/>
    <w:rsid w:val="2F750AF6"/>
    <w:rsid w:val="2F776BDF"/>
    <w:rsid w:val="2F837332"/>
    <w:rsid w:val="2F8512FC"/>
    <w:rsid w:val="2F994DA8"/>
    <w:rsid w:val="2FAA48BF"/>
    <w:rsid w:val="2FB674D6"/>
    <w:rsid w:val="2FB90FA6"/>
    <w:rsid w:val="2FBE036A"/>
    <w:rsid w:val="2FD63906"/>
    <w:rsid w:val="2FD656B4"/>
    <w:rsid w:val="2FE57FED"/>
    <w:rsid w:val="2FE73D65"/>
    <w:rsid w:val="30006BD5"/>
    <w:rsid w:val="301663F8"/>
    <w:rsid w:val="301D177E"/>
    <w:rsid w:val="302F1268"/>
    <w:rsid w:val="302F3016"/>
    <w:rsid w:val="303643A5"/>
    <w:rsid w:val="304F36B8"/>
    <w:rsid w:val="305111DE"/>
    <w:rsid w:val="30556F21"/>
    <w:rsid w:val="30586A11"/>
    <w:rsid w:val="305B04AF"/>
    <w:rsid w:val="305C3E68"/>
    <w:rsid w:val="305F4F6B"/>
    <w:rsid w:val="3062163D"/>
    <w:rsid w:val="30621B6B"/>
    <w:rsid w:val="307B625B"/>
    <w:rsid w:val="307C26FF"/>
    <w:rsid w:val="307D1FD3"/>
    <w:rsid w:val="308B46F0"/>
    <w:rsid w:val="3091782D"/>
    <w:rsid w:val="30B55C11"/>
    <w:rsid w:val="30EB33E1"/>
    <w:rsid w:val="30FE1366"/>
    <w:rsid w:val="31053E7C"/>
    <w:rsid w:val="31083F93"/>
    <w:rsid w:val="31093867"/>
    <w:rsid w:val="310E5321"/>
    <w:rsid w:val="31190263"/>
    <w:rsid w:val="311E37B6"/>
    <w:rsid w:val="313A1C72"/>
    <w:rsid w:val="31554CFE"/>
    <w:rsid w:val="31642CFA"/>
    <w:rsid w:val="318F1FBE"/>
    <w:rsid w:val="31945827"/>
    <w:rsid w:val="31975317"/>
    <w:rsid w:val="31A677D0"/>
    <w:rsid w:val="31AA6DF8"/>
    <w:rsid w:val="31BD2FCF"/>
    <w:rsid w:val="31C61758"/>
    <w:rsid w:val="31CC3212"/>
    <w:rsid w:val="31D40319"/>
    <w:rsid w:val="31D9265F"/>
    <w:rsid w:val="31E06CBE"/>
    <w:rsid w:val="31F10E53"/>
    <w:rsid w:val="31F84007"/>
    <w:rsid w:val="32002EBC"/>
    <w:rsid w:val="320F4EAD"/>
    <w:rsid w:val="3216623C"/>
    <w:rsid w:val="321D3A6E"/>
    <w:rsid w:val="321E3342"/>
    <w:rsid w:val="322840E9"/>
    <w:rsid w:val="323D5EBE"/>
    <w:rsid w:val="32472899"/>
    <w:rsid w:val="32494863"/>
    <w:rsid w:val="324C6101"/>
    <w:rsid w:val="325356E2"/>
    <w:rsid w:val="32560D2E"/>
    <w:rsid w:val="325A019F"/>
    <w:rsid w:val="3267118D"/>
    <w:rsid w:val="326A3B99"/>
    <w:rsid w:val="32780CA4"/>
    <w:rsid w:val="329F4483"/>
    <w:rsid w:val="32A73338"/>
    <w:rsid w:val="32AE2918"/>
    <w:rsid w:val="32CC0FF0"/>
    <w:rsid w:val="32E620B2"/>
    <w:rsid w:val="32EB591A"/>
    <w:rsid w:val="32EE540A"/>
    <w:rsid w:val="32F522F5"/>
    <w:rsid w:val="32F742BF"/>
    <w:rsid w:val="32F81DE5"/>
    <w:rsid w:val="32FA3DAF"/>
    <w:rsid w:val="32FA790B"/>
    <w:rsid w:val="32FB6D81"/>
    <w:rsid w:val="32FC18D5"/>
    <w:rsid w:val="32FF3174"/>
    <w:rsid w:val="33016EEC"/>
    <w:rsid w:val="33033C29"/>
    <w:rsid w:val="330A3CD4"/>
    <w:rsid w:val="330E785B"/>
    <w:rsid w:val="33332E1D"/>
    <w:rsid w:val="333515BA"/>
    <w:rsid w:val="33386686"/>
    <w:rsid w:val="333A23FE"/>
    <w:rsid w:val="335214F5"/>
    <w:rsid w:val="338813BB"/>
    <w:rsid w:val="339A2E9C"/>
    <w:rsid w:val="33BE302F"/>
    <w:rsid w:val="33BE4DDD"/>
    <w:rsid w:val="33D068BE"/>
    <w:rsid w:val="33E03406"/>
    <w:rsid w:val="340D1B3C"/>
    <w:rsid w:val="3422536C"/>
    <w:rsid w:val="34376474"/>
    <w:rsid w:val="34480B4A"/>
    <w:rsid w:val="344C4197"/>
    <w:rsid w:val="345D2848"/>
    <w:rsid w:val="346516FC"/>
    <w:rsid w:val="346E6803"/>
    <w:rsid w:val="34733E19"/>
    <w:rsid w:val="347B74B6"/>
    <w:rsid w:val="348C4EDB"/>
    <w:rsid w:val="348E0C53"/>
    <w:rsid w:val="34983880"/>
    <w:rsid w:val="349B511E"/>
    <w:rsid w:val="34A35D81"/>
    <w:rsid w:val="34A75871"/>
    <w:rsid w:val="34B955A4"/>
    <w:rsid w:val="34CA36DC"/>
    <w:rsid w:val="34CB5A03"/>
    <w:rsid w:val="34EC597A"/>
    <w:rsid w:val="34EE7BB1"/>
    <w:rsid w:val="34F0546A"/>
    <w:rsid w:val="34F07218"/>
    <w:rsid w:val="34F211E2"/>
    <w:rsid w:val="34FC1F43"/>
    <w:rsid w:val="34FC3E0F"/>
    <w:rsid w:val="35066A3B"/>
    <w:rsid w:val="350B5E00"/>
    <w:rsid w:val="35305866"/>
    <w:rsid w:val="353600E4"/>
    <w:rsid w:val="35402DD4"/>
    <w:rsid w:val="354B26A0"/>
    <w:rsid w:val="354E03E2"/>
    <w:rsid w:val="355F439E"/>
    <w:rsid w:val="356D6ABA"/>
    <w:rsid w:val="356E2833"/>
    <w:rsid w:val="35775454"/>
    <w:rsid w:val="35803815"/>
    <w:rsid w:val="35846425"/>
    <w:rsid w:val="358C4411"/>
    <w:rsid w:val="35951B6D"/>
    <w:rsid w:val="359E4EC6"/>
    <w:rsid w:val="35A85D44"/>
    <w:rsid w:val="35A87AF3"/>
    <w:rsid w:val="35BC359E"/>
    <w:rsid w:val="35BC534C"/>
    <w:rsid w:val="35CF507F"/>
    <w:rsid w:val="35DD410A"/>
    <w:rsid w:val="35E13004"/>
    <w:rsid w:val="35EF5721"/>
    <w:rsid w:val="361231BE"/>
    <w:rsid w:val="36174C78"/>
    <w:rsid w:val="361E1B63"/>
    <w:rsid w:val="362A0508"/>
    <w:rsid w:val="36415E89"/>
    <w:rsid w:val="36421CF5"/>
    <w:rsid w:val="364517E5"/>
    <w:rsid w:val="365C49EA"/>
    <w:rsid w:val="36624145"/>
    <w:rsid w:val="366639ED"/>
    <w:rsid w:val="367B0D63"/>
    <w:rsid w:val="36806379"/>
    <w:rsid w:val="36A22794"/>
    <w:rsid w:val="36A858D0"/>
    <w:rsid w:val="36A95955"/>
    <w:rsid w:val="36AA789A"/>
    <w:rsid w:val="36B64491"/>
    <w:rsid w:val="36B6623F"/>
    <w:rsid w:val="36C50230"/>
    <w:rsid w:val="36C7763D"/>
    <w:rsid w:val="36CA1CEB"/>
    <w:rsid w:val="36D14E27"/>
    <w:rsid w:val="36D30B9F"/>
    <w:rsid w:val="36D84166"/>
    <w:rsid w:val="36D861B6"/>
    <w:rsid w:val="36E20DE2"/>
    <w:rsid w:val="36FA25D0"/>
    <w:rsid w:val="37024FE0"/>
    <w:rsid w:val="37054AD1"/>
    <w:rsid w:val="37060F75"/>
    <w:rsid w:val="371B42F4"/>
    <w:rsid w:val="373A6E70"/>
    <w:rsid w:val="373D426B"/>
    <w:rsid w:val="373F4487"/>
    <w:rsid w:val="37461371"/>
    <w:rsid w:val="37557806"/>
    <w:rsid w:val="376A4769"/>
    <w:rsid w:val="377B16C2"/>
    <w:rsid w:val="378B147A"/>
    <w:rsid w:val="379876F3"/>
    <w:rsid w:val="379A790F"/>
    <w:rsid w:val="379C3687"/>
    <w:rsid w:val="379E11AD"/>
    <w:rsid w:val="37A0321C"/>
    <w:rsid w:val="37B207B5"/>
    <w:rsid w:val="37B22EAA"/>
    <w:rsid w:val="37C91822"/>
    <w:rsid w:val="37F05781"/>
    <w:rsid w:val="3810197F"/>
    <w:rsid w:val="38211DDE"/>
    <w:rsid w:val="38226167"/>
    <w:rsid w:val="3825367C"/>
    <w:rsid w:val="38325D99"/>
    <w:rsid w:val="38417D8A"/>
    <w:rsid w:val="384653A1"/>
    <w:rsid w:val="3852626E"/>
    <w:rsid w:val="38547ABE"/>
    <w:rsid w:val="385775AE"/>
    <w:rsid w:val="385B709E"/>
    <w:rsid w:val="387C0DC3"/>
    <w:rsid w:val="3882287D"/>
    <w:rsid w:val="38912BFC"/>
    <w:rsid w:val="38966328"/>
    <w:rsid w:val="389D0C7A"/>
    <w:rsid w:val="389E6F8B"/>
    <w:rsid w:val="389F58C0"/>
    <w:rsid w:val="38A071A7"/>
    <w:rsid w:val="38A547BD"/>
    <w:rsid w:val="38A65E3F"/>
    <w:rsid w:val="38AA3B82"/>
    <w:rsid w:val="38AD5420"/>
    <w:rsid w:val="38B13162"/>
    <w:rsid w:val="38B8629F"/>
    <w:rsid w:val="38B95B73"/>
    <w:rsid w:val="38BB18EB"/>
    <w:rsid w:val="38C70290"/>
    <w:rsid w:val="38CA5FD2"/>
    <w:rsid w:val="38CF5396"/>
    <w:rsid w:val="38D53385"/>
    <w:rsid w:val="38E52E0C"/>
    <w:rsid w:val="38EC3ACE"/>
    <w:rsid w:val="38F31085"/>
    <w:rsid w:val="38FB618B"/>
    <w:rsid w:val="390239BE"/>
    <w:rsid w:val="3905525C"/>
    <w:rsid w:val="39075A22"/>
    <w:rsid w:val="390C16F6"/>
    <w:rsid w:val="390E5EBF"/>
    <w:rsid w:val="390F72AC"/>
    <w:rsid w:val="3911775D"/>
    <w:rsid w:val="391536F1"/>
    <w:rsid w:val="39267E6B"/>
    <w:rsid w:val="39292CF8"/>
    <w:rsid w:val="392C73C4"/>
    <w:rsid w:val="39423DBA"/>
    <w:rsid w:val="39461AFC"/>
    <w:rsid w:val="394B7113"/>
    <w:rsid w:val="39557F91"/>
    <w:rsid w:val="39581830"/>
    <w:rsid w:val="395B4E7C"/>
    <w:rsid w:val="3965374F"/>
    <w:rsid w:val="39761CB6"/>
    <w:rsid w:val="39782384"/>
    <w:rsid w:val="39846389"/>
    <w:rsid w:val="39965EB4"/>
    <w:rsid w:val="39BA6046"/>
    <w:rsid w:val="39BB4388"/>
    <w:rsid w:val="39BF365D"/>
    <w:rsid w:val="39C42A21"/>
    <w:rsid w:val="39C96289"/>
    <w:rsid w:val="39CD7B28"/>
    <w:rsid w:val="39CE38A0"/>
    <w:rsid w:val="39E10598"/>
    <w:rsid w:val="39E66E3B"/>
    <w:rsid w:val="39EB4452"/>
    <w:rsid w:val="39F8091D"/>
    <w:rsid w:val="39FF3A59"/>
    <w:rsid w:val="3A03179B"/>
    <w:rsid w:val="3A192D6D"/>
    <w:rsid w:val="3A2D4A6A"/>
    <w:rsid w:val="3A2F2590"/>
    <w:rsid w:val="3A4E3DF5"/>
    <w:rsid w:val="3A555D6F"/>
    <w:rsid w:val="3A572453"/>
    <w:rsid w:val="3A7A7584"/>
    <w:rsid w:val="3A887EF3"/>
    <w:rsid w:val="3A8B353F"/>
    <w:rsid w:val="3A9E7870"/>
    <w:rsid w:val="3AA50AA5"/>
    <w:rsid w:val="3AAA1C17"/>
    <w:rsid w:val="3AAA2B43"/>
    <w:rsid w:val="3ABB3E24"/>
    <w:rsid w:val="3AC23405"/>
    <w:rsid w:val="3AD302F2"/>
    <w:rsid w:val="3AD9074E"/>
    <w:rsid w:val="3AD969A0"/>
    <w:rsid w:val="3ADA2622"/>
    <w:rsid w:val="3AF235BE"/>
    <w:rsid w:val="3B0532F1"/>
    <w:rsid w:val="3B07350D"/>
    <w:rsid w:val="3B0A4CF0"/>
    <w:rsid w:val="3B0D21A6"/>
    <w:rsid w:val="3B1C4F63"/>
    <w:rsid w:val="3B245E6D"/>
    <w:rsid w:val="3B3B53DC"/>
    <w:rsid w:val="3B3E6803"/>
    <w:rsid w:val="3B491E82"/>
    <w:rsid w:val="3B516536"/>
    <w:rsid w:val="3B530501"/>
    <w:rsid w:val="3B581673"/>
    <w:rsid w:val="3B5E72AB"/>
    <w:rsid w:val="3B65253E"/>
    <w:rsid w:val="3B671017"/>
    <w:rsid w:val="3B6E533A"/>
    <w:rsid w:val="3B716BD9"/>
    <w:rsid w:val="3B732951"/>
    <w:rsid w:val="3B7364AD"/>
    <w:rsid w:val="3B8561E0"/>
    <w:rsid w:val="3B914B85"/>
    <w:rsid w:val="3B9308FD"/>
    <w:rsid w:val="3B9603ED"/>
    <w:rsid w:val="3BA42B0A"/>
    <w:rsid w:val="3BBF61AC"/>
    <w:rsid w:val="3BCA3066"/>
    <w:rsid w:val="3BCC2061"/>
    <w:rsid w:val="3BE13D5E"/>
    <w:rsid w:val="3BE15B0C"/>
    <w:rsid w:val="3BF07AFD"/>
    <w:rsid w:val="3BF13876"/>
    <w:rsid w:val="3BF27E3F"/>
    <w:rsid w:val="3BF84C04"/>
    <w:rsid w:val="3C0D4B53"/>
    <w:rsid w:val="3C1F4887"/>
    <w:rsid w:val="3C267A21"/>
    <w:rsid w:val="3C2A2785"/>
    <w:rsid w:val="3C37397E"/>
    <w:rsid w:val="3C3A0768"/>
    <w:rsid w:val="3C3A521C"/>
    <w:rsid w:val="3C504A40"/>
    <w:rsid w:val="3C6329C5"/>
    <w:rsid w:val="3C6A3D54"/>
    <w:rsid w:val="3C6B3628"/>
    <w:rsid w:val="3C7945E5"/>
    <w:rsid w:val="3C7A386B"/>
    <w:rsid w:val="3C834E15"/>
    <w:rsid w:val="3C8D403D"/>
    <w:rsid w:val="3C991F43"/>
    <w:rsid w:val="3C9943D8"/>
    <w:rsid w:val="3CAA4150"/>
    <w:rsid w:val="3CAB1C76"/>
    <w:rsid w:val="3CB11983"/>
    <w:rsid w:val="3CB50CFF"/>
    <w:rsid w:val="3CB60D47"/>
    <w:rsid w:val="3CCF005B"/>
    <w:rsid w:val="3CD218F9"/>
    <w:rsid w:val="3CDD2778"/>
    <w:rsid w:val="3CED04E1"/>
    <w:rsid w:val="3CF96E86"/>
    <w:rsid w:val="3CFE26EE"/>
    <w:rsid w:val="3D0A1093"/>
    <w:rsid w:val="3D131BCB"/>
    <w:rsid w:val="3D257C7B"/>
    <w:rsid w:val="3D2F70B9"/>
    <w:rsid w:val="3D3879AE"/>
    <w:rsid w:val="3D4445A5"/>
    <w:rsid w:val="3D566086"/>
    <w:rsid w:val="3D65276D"/>
    <w:rsid w:val="3D670293"/>
    <w:rsid w:val="3D755FB3"/>
    <w:rsid w:val="3D780336"/>
    <w:rsid w:val="3D8A3F82"/>
    <w:rsid w:val="3D8B74C8"/>
    <w:rsid w:val="3D931088"/>
    <w:rsid w:val="3D9646D4"/>
    <w:rsid w:val="3D9A41C5"/>
    <w:rsid w:val="3D9F17DB"/>
    <w:rsid w:val="3DBD7EB3"/>
    <w:rsid w:val="3DC41242"/>
    <w:rsid w:val="3DC512D0"/>
    <w:rsid w:val="3DEE62BF"/>
    <w:rsid w:val="3DF71617"/>
    <w:rsid w:val="3DFC4E7F"/>
    <w:rsid w:val="3E012496"/>
    <w:rsid w:val="3E0E4BB3"/>
    <w:rsid w:val="3E104487"/>
    <w:rsid w:val="3E2241BA"/>
    <w:rsid w:val="3E241CE0"/>
    <w:rsid w:val="3E3F15CF"/>
    <w:rsid w:val="3E481E73"/>
    <w:rsid w:val="3E5C76CC"/>
    <w:rsid w:val="3E66054B"/>
    <w:rsid w:val="3E6A003B"/>
    <w:rsid w:val="3E6D18D9"/>
    <w:rsid w:val="3E733D99"/>
    <w:rsid w:val="3E7E421D"/>
    <w:rsid w:val="3E916C1F"/>
    <w:rsid w:val="3E970704"/>
    <w:rsid w:val="3E9A1FA2"/>
    <w:rsid w:val="3EA03A5D"/>
    <w:rsid w:val="3EAC6B85"/>
    <w:rsid w:val="3EB158B4"/>
    <w:rsid w:val="3EBB7322"/>
    <w:rsid w:val="3EBE3EE3"/>
    <w:rsid w:val="3EC20408"/>
    <w:rsid w:val="3EC6723B"/>
    <w:rsid w:val="3ED2798E"/>
    <w:rsid w:val="3EE651E8"/>
    <w:rsid w:val="3EEA1054"/>
    <w:rsid w:val="3EF773F5"/>
    <w:rsid w:val="3F027924"/>
    <w:rsid w:val="3F057D64"/>
    <w:rsid w:val="3F125FDD"/>
    <w:rsid w:val="3F1A55AC"/>
    <w:rsid w:val="3F210422"/>
    <w:rsid w:val="3F253F62"/>
    <w:rsid w:val="3F261A88"/>
    <w:rsid w:val="3F281CA4"/>
    <w:rsid w:val="3F2C52F0"/>
    <w:rsid w:val="3F402B4A"/>
    <w:rsid w:val="3F406FEE"/>
    <w:rsid w:val="3F450160"/>
    <w:rsid w:val="3F47037C"/>
    <w:rsid w:val="3F473ED8"/>
    <w:rsid w:val="3F5B3E28"/>
    <w:rsid w:val="3F60143E"/>
    <w:rsid w:val="3F7A2278"/>
    <w:rsid w:val="3F7B0026"/>
    <w:rsid w:val="3F7F7B16"/>
    <w:rsid w:val="3F932D49"/>
    <w:rsid w:val="3F981D74"/>
    <w:rsid w:val="3FA01B56"/>
    <w:rsid w:val="3FA13A92"/>
    <w:rsid w:val="3FA16FFD"/>
    <w:rsid w:val="3FA4132B"/>
    <w:rsid w:val="3FAE3F57"/>
    <w:rsid w:val="3FB452E6"/>
    <w:rsid w:val="3FBB48C6"/>
    <w:rsid w:val="3FDF412C"/>
    <w:rsid w:val="3FE2019B"/>
    <w:rsid w:val="3FE52590"/>
    <w:rsid w:val="3FE61943"/>
    <w:rsid w:val="3FE94F8F"/>
    <w:rsid w:val="3FFD713A"/>
    <w:rsid w:val="3FFF2A05"/>
    <w:rsid w:val="400022D9"/>
    <w:rsid w:val="4001677D"/>
    <w:rsid w:val="40050825"/>
    <w:rsid w:val="400973E0"/>
    <w:rsid w:val="401C35B7"/>
    <w:rsid w:val="401F6C03"/>
    <w:rsid w:val="403703F1"/>
    <w:rsid w:val="403D46F7"/>
    <w:rsid w:val="40420B44"/>
    <w:rsid w:val="4044666A"/>
    <w:rsid w:val="40510BF2"/>
    <w:rsid w:val="40511FF8"/>
    <w:rsid w:val="405D597D"/>
    <w:rsid w:val="40615DE8"/>
    <w:rsid w:val="40775FC8"/>
    <w:rsid w:val="407F3756"/>
    <w:rsid w:val="408F7882"/>
    <w:rsid w:val="409F1FF3"/>
    <w:rsid w:val="40A4535A"/>
    <w:rsid w:val="40AC0D04"/>
    <w:rsid w:val="40C94DC1"/>
    <w:rsid w:val="40EB11DB"/>
    <w:rsid w:val="40EF2A79"/>
    <w:rsid w:val="410F72DA"/>
    <w:rsid w:val="41135599"/>
    <w:rsid w:val="41173D7E"/>
    <w:rsid w:val="411C1395"/>
    <w:rsid w:val="412C782A"/>
    <w:rsid w:val="41314E40"/>
    <w:rsid w:val="413F5BE3"/>
    <w:rsid w:val="414813D4"/>
    <w:rsid w:val="4148218A"/>
    <w:rsid w:val="41601281"/>
    <w:rsid w:val="4171348E"/>
    <w:rsid w:val="418A4550"/>
    <w:rsid w:val="41AC096A"/>
    <w:rsid w:val="41B11ADD"/>
    <w:rsid w:val="41B25855"/>
    <w:rsid w:val="41B56B45"/>
    <w:rsid w:val="41BE244C"/>
    <w:rsid w:val="41BE41FA"/>
    <w:rsid w:val="41C45CB4"/>
    <w:rsid w:val="41C65DC8"/>
    <w:rsid w:val="41D00C05"/>
    <w:rsid w:val="41DF1BC4"/>
    <w:rsid w:val="41F83BB0"/>
    <w:rsid w:val="41F85FC5"/>
    <w:rsid w:val="41FD3881"/>
    <w:rsid w:val="42073DF3"/>
    <w:rsid w:val="42156510"/>
    <w:rsid w:val="421678CB"/>
    <w:rsid w:val="42206C63"/>
    <w:rsid w:val="422A188F"/>
    <w:rsid w:val="4234125C"/>
    <w:rsid w:val="423D7815"/>
    <w:rsid w:val="42442951"/>
    <w:rsid w:val="42576B28"/>
    <w:rsid w:val="425F778B"/>
    <w:rsid w:val="42703746"/>
    <w:rsid w:val="427A2817"/>
    <w:rsid w:val="42834EA3"/>
    <w:rsid w:val="428D4052"/>
    <w:rsid w:val="429733C9"/>
    <w:rsid w:val="42A0764D"/>
    <w:rsid w:val="42A94F05"/>
    <w:rsid w:val="42AF1CC4"/>
    <w:rsid w:val="42CA554C"/>
    <w:rsid w:val="42D32572"/>
    <w:rsid w:val="42E20147"/>
    <w:rsid w:val="42F9198D"/>
    <w:rsid w:val="42FE0D52"/>
    <w:rsid w:val="43014CE6"/>
    <w:rsid w:val="430805CF"/>
    <w:rsid w:val="433C7ACC"/>
    <w:rsid w:val="434F15AD"/>
    <w:rsid w:val="43560B8E"/>
    <w:rsid w:val="435A7F52"/>
    <w:rsid w:val="43635059"/>
    <w:rsid w:val="436808C1"/>
    <w:rsid w:val="436D237B"/>
    <w:rsid w:val="43721740"/>
    <w:rsid w:val="43741014"/>
    <w:rsid w:val="437B23A2"/>
    <w:rsid w:val="43813731"/>
    <w:rsid w:val="438D657A"/>
    <w:rsid w:val="43986235"/>
    <w:rsid w:val="43AD4526"/>
    <w:rsid w:val="43AF64F0"/>
    <w:rsid w:val="43B17484"/>
    <w:rsid w:val="43B24586"/>
    <w:rsid w:val="43B64397"/>
    <w:rsid w:val="43C20D21"/>
    <w:rsid w:val="43CC52F4"/>
    <w:rsid w:val="43D13C70"/>
    <w:rsid w:val="43D65C3E"/>
    <w:rsid w:val="43E32EF2"/>
    <w:rsid w:val="43F91FF0"/>
    <w:rsid w:val="43F959BD"/>
    <w:rsid w:val="44004F9E"/>
    <w:rsid w:val="442C2A84"/>
    <w:rsid w:val="44316F05"/>
    <w:rsid w:val="44471D2E"/>
    <w:rsid w:val="44480F49"/>
    <w:rsid w:val="444924A1"/>
    <w:rsid w:val="44564BBE"/>
    <w:rsid w:val="44621098"/>
    <w:rsid w:val="446472DA"/>
    <w:rsid w:val="447B63D2"/>
    <w:rsid w:val="4496320C"/>
    <w:rsid w:val="449D0A3E"/>
    <w:rsid w:val="449D459A"/>
    <w:rsid w:val="44A771C7"/>
    <w:rsid w:val="44A818BD"/>
    <w:rsid w:val="44A92F3F"/>
    <w:rsid w:val="44AD6ED3"/>
    <w:rsid w:val="44B30262"/>
    <w:rsid w:val="44BD4C3D"/>
    <w:rsid w:val="44C4421D"/>
    <w:rsid w:val="44CC6C2E"/>
    <w:rsid w:val="44CD1324"/>
    <w:rsid w:val="44D02BC2"/>
    <w:rsid w:val="44FE14DD"/>
    <w:rsid w:val="45050ABD"/>
    <w:rsid w:val="4508410A"/>
    <w:rsid w:val="450C4AD6"/>
    <w:rsid w:val="451C1963"/>
    <w:rsid w:val="451E30B0"/>
    <w:rsid w:val="45230F44"/>
    <w:rsid w:val="452A0159"/>
    <w:rsid w:val="453452D6"/>
    <w:rsid w:val="453B25D8"/>
    <w:rsid w:val="4545710C"/>
    <w:rsid w:val="45462E84"/>
    <w:rsid w:val="454F7F8B"/>
    <w:rsid w:val="45513D03"/>
    <w:rsid w:val="456F454F"/>
    <w:rsid w:val="457B2B2E"/>
    <w:rsid w:val="4582210E"/>
    <w:rsid w:val="4588524B"/>
    <w:rsid w:val="458F482B"/>
    <w:rsid w:val="459E4A6E"/>
    <w:rsid w:val="45B778DE"/>
    <w:rsid w:val="45C1250B"/>
    <w:rsid w:val="45C85647"/>
    <w:rsid w:val="45D43FEC"/>
    <w:rsid w:val="45D64DA2"/>
    <w:rsid w:val="45DF26B5"/>
    <w:rsid w:val="45E16709"/>
    <w:rsid w:val="46026DAB"/>
    <w:rsid w:val="460423BC"/>
    <w:rsid w:val="46184820"/>
    <w:rsid w:val="46207231"/>
    <w:rsid w:val="463201EB"/>
    <w:rsid w:val="463B1919"/>
    <w:rsid w:val="464078D3"/>
    <w:rsid w:val="46455D41"/>
    <w:rsid w:val="46476EB4"/>
    <w:rsid w:val="464C44CA"/>
    <w:rsid w:val="4654512D"/>
    <w:rsid w:val="466229CE"/>
    <w:rsid w:val="466F6E02"/>
    <w:rsid w:val="4674757D"/>
    <w:rsid w:val="467557CF"/>
    <w:rsid w:val="467A2DE5"/>
    <w:rsid w:val="468C0D6B"/>
    <w:rsid w:val="46946C63"/>
    <w:rsid w:val="469A3487"/>
    <w:rsid w:val="469F45FA"/>
    <w:rsid w:val="46A614B6"/>
    <w:rsid w:val="46A63BDA"/>
    <w:rsid w:val="46B34549"/>
    <w:rsid w:val="46C202E8"/>
    <w:rsid w:val="46E22739"/>
    <w:rsid w:val="47266AC9"/>
    <w:rsid w:val="472F1E22"/>
    <w:rsid w:val="4736606C"/>
    <w:rsid w:val="47394A4E"/>
    <w:rsid w:val="47395E3D"/>
    <w:rsid w:val="47490A0A"/>
    <w:rsid w:val="47507FEA"/>
    <w:rsid w:val="478168DD"/>
    <w:rsid w:val="478B1022"/>
    <w:rsid w:val="479003E6"/>
    <w:rsid w:val="479B1265"/>
    <w:rsid w:val="479C322F"/>
    <w:rsid w:val="479D19EA"/>
    <w:rsid w:val="47AA14A8"/>
    <w:rsid w:val="47B265C4"/>
    <w:rsid w:val="47C54534"/>
    <w:rsid w:val="47C615D0"/>
    <w:rsid w:val="47CB7671"/>
    <w:rsid w:val="47DC362C"/>
    <w:rsid w:val="47DE73A4"/>
    <w:rsid w:val="47E81FD1"/>
    <w:rsid w:val="48027536"/>
    <w:rsid w:val="48184616"/>
    <w:rsid w:val="48217291"/>
    <w:rsid w:val="482A3593"/>
    <w:rsid w:val="482C45B3"/>
    <w:rsid w:val="48313978"/>
    <w:rsid w:val="483671E0"/>
    <w:rsid w:val="48411E12"/>
    <w:rsid w:val="48413518"/>
    <w:rsid w:val="48484E0B"/>
    <w:rsid w:val="484A4A39"/>
    <w:rsid w:val="48552DCE"/>
    <w:rsid w:val="48561630"/>
    <w:rsid w:val="485D476D"/>
    <w:rsid w:val="486636D8"/>
    <w:rsid w:val="48780FA3"/>
    <w:rsid w:val="487A4C36"/>
    <w:rsid w:val="487D096B"/>
    <w:rsid w:val="48877A3B"/>
    <w:rsid w:val="48904B42"/>
    <w:rsid w:val="4893018E"/>
    <w:rsid w:val="48934632"/>
    <w:rsid w:val="48A14FFC"/>
    <w:rsid w:val="48A67125"/>
    <w:rsid w:val="48B00D40"/>
    <w:rsid w:val="48BB1493"/>
    <w:rsid w:val="48BC5937"/>
    <w:rsid w:val="48DD3AFF"/>
    <w:rsid w:val="48E402F2"/>
    <w:rsid w:val="48EB621C"/>
    <w:rsid w:val="49060960"/>
    <w:rsid w:val="491C6DB7"/>
    <w:rsid w:val="49261002"/>
    <w:rsid w:val="493D634C"/>
    <w:rsid w:val="49494CF1"/>
    <w:rsid w:val="494E2307"/>
    <w:rsid w:val="494F67AB"/>
    <w:rsid w:val="49584F34"/>
    <w:rsid w:val="49830203"/>
    <w:rsid w:val="4985574B"/>
    <w:rsid w:val="49951CE4"/>
    <w:rsid w:val="49BF4FB3"/>
    <w:rsid w:val="49C425C9"/>
    <w:rsid w:val="49D071C0"/>
    <w:rsid w:val="49E54A1A"/>
    <w:rsid w:val="49ED2E91"/>
    <w:rsid w:val="49FE3D2D"/>
    <w:rsid w:val="4A0B01F8"/>
    <w:rsid w:val="4A0B1FA6"/>
    <w:rsid w:val="4A161077"/>
    <w:rsid w:val="4A1B668D"/>
    <w:rsid w:val="4A286FFC"/>
    <w:rsid w:val="4A2F038B"/>
    <w:rsid w:val="4A2F6CCB"/>
    <w:rsid w:val="4A3F69E7"/>
    <w:rsid w:val="4A4060F4"/>
    <w:rsid w:val="4A4F27DB"/>
    <w:rsid w:val="4A541B9F"/>
    <w:rsid w:val="4A584B8C"/>
    <w:rsid w:val="4A653DAC"/>
    <w:rsid w:val="4A6718D3"/>
    <w:rsid w:val="4A6D3238"/>
    <w:rsid w:val="4A6F2535"/>
    <w:rsid w:val="4A857FAB"/>
    <w:rsid w:val="4A9D2749"/>
    <w:rsid w:val="4A9D3546"/>
    <w:rsid w:val="4AA06B93"/>
    <w:rsid w:val="4AB34B18"/>
    <w:rsid w:val="4ABE79CD"/>
    <w:rsid w:val="4AD52CE0"/>
    <w:rsid w:val="4ADF3B5F"/>
    <w:rsid w:val="4AE21479"/>
    <w:rsid w:val="4AE253FD"/>
    <w:rsid w:val="4AE81AD6"/>
    <w:rsid w:val="4AEE78FE"/>
    <w:rsid w:val="4AFC64BF"/>
    <w:rsid w:val="4B115AA3"/>
    <w:rsid w:val="4B161640"/>
    <w:rsid w:val="4B1A4B97"/>
    <w:rsid w:val="4B26353C"/>
    <w:rsid w:val="4B2B6DA4"/>
    <w:rsid w:val="4B363221"/>
    <w:rsid w:val="4B375749"/>
    <w:rsid w:val="4B393CE2"/>
    <w:rsid w:val="4B3C4E66"/>
    <w:rsid w:val="4B4B11F4"/>
    <w:rsid w:val="4B4B4D50"/>
    <w:rsid w:val="4B5D6832"/>
    <w:rsid w:val="4B661B8A"/>
    <w:rsid w:val="4B7122DD"/>
    <w:rsid w:val="4B7A73E4"/>
    <w:rsid w:val="4B8244EA"/>
    <w:rsid w:val="4B8B339F"/>
    <w:rsid w:val="4B9D6A2F"/>
    <w:rsid w:val="4BA40904"/>
    <w:rsid w:val="4BA426B2"/>
    <w:rsid w:val="4BAD5A0B"/>
    <w:rsid w:val="4BB44F0C"/>
    <w:rsid w:val="4BBA1528"/>
    <w:rsid w:val="4BBD05CA"/>
    <w:rsid w:val="4BC56B3C"/>
    <w:rsid w:val="4BCA036B"/>
    <w:rsid w:val="4BCD39B7"/>
    <w:rsid w:val="4BE86A43"/>
    <w:rsid w:val="4BF058F8"/>
    <w:rsid w:val="4BF076A6"/>
    <w:rsid w:val="4C013661"/>
    <w:rsid w:val="4C0E5B16"/>
    <w:rsid w:val="4C1330DF"/>
    <w:rsid w:val="4C4C5224"/>
    <w:rsid w:val="4C545E87"/>
    <w:rsid w:val="4C5B3372"/>
    <w:rsid w:val="4C5F36AF"/>
    <w:rsid w:val="4C705496"/>
    <w:rsid w:val="4C714C8A"/>
    <w:rsid w:val="4C76404F"/>
    <w:rsid w:val="4C991AEB"/>
    <w:rsid w:val="4CA24E44"/>
    <w:rsid w:val="4CA7245A"/>
    <w:rsid w:val="4CA74208"/>
    <w:rsid w:val="4CAA74EC"/>
    <w:rsid w:val="4CB6269D"/>
    <w:rsid w:val="4CC50B32"/>
    <w:rsid w:val="4CC76658"/>
    <w:rsid w:val="4CC92CDF"/>
    <w:rsid w:val="4CCE170B"/>
    <w:rsid w:val="4CCF19B1"/>
    <w:rsid w:val="4CD86AB8"/>
    <w:rsid w:val="4CD945DE"/>
    <w:rsid w:val="4CDD429D"/>
    <w:rsid w:val="4CE23492"/>
    <w:rsid w:val="4CE3088A"/>
    <w:rsid w:val="4CE54D31"/>
    <w:rsid w:val="4CEF795D"/>
    <w:rsid w:val="4CFB27A6"/>
    <w:rsid w:val="4D16138E"/>
    <w:rsid w:val="4D5679DC"/>
    <w:rsid w:val="4D5A74CD"/>
    <w:rsid w:val="4D7560B4"/>
    <w:rsid w:val="4D783DF7"/>
    <w:rsid w:val="4D7A7B6F"/>
    <w:rsid w:val="4D8072B6"/>
    <w:rsid w:val="4D824513"/>
    <w:rsid w:val="4D8911E0"/>
    <w:rsid w:val="4D8C33FE"/>
    <w:rsid w:val="4DAB3725"/>
    <w:rsid w:val="4DAE3F37"/>
    <w:rsid w:val="4DB473A2"/>
    <w:rsid w:val="4DB964A1"/>
    <w:rsid w:val="4DC1754C"/>
    <w:rsid w:val="4DC51AD6"/>
    <w:rsid w:val="4DC66910"/>
    <w:rsid w:val="4DD674DB"/>
    <w:rsid w:val="4DD86E04"/>
    <w:rsid w:val="4DE4323A"/>
    <w:rsid w:val="4DEE5E67"/>
    <w:rsid w:val="4DF924BF"/>
    <w:rsid w:val="4E013DEC"/>
    <w:rsid w:val="4E047438"/>
    <w:rsid w:val="4E061402"/>
    <w:rsid w:val="4E157897"/>
    <w:rsid w:val="4E353A96"/>
    <w:rsid w:val="4E355844"/>
    <w:rsid w:val="4E3D70E2"/>
    <w:rsid w:val="4E3F66C2"/>
    <w:rsid w:val="4E4B32B9"/>
    <w:rsid w:val="4E4C33F2"/>
    <w:rsid w:val="4E616639"/>
    <w:rsid w:val="4E6A7BE3"/>
    <w:rsid w:val="4E721C6A"/>
    <w:rsid w:val="4E726A98"/>
    <w:rsid w:val="4E741B0A"/>
    <w:rsid w:val="4EA12ED9"/>
    <w:rsid w:val="4EB01D52"/>
    <w:rsid w:val="4EBB21ED"/>
    <w:rsid w:val="4EC651E4"/>
    <w:rsid w:val="4EDD03B5"/>
    <w:rsid w:val="4F075432"/>
    <w:rsid w:val="4F0973FC"/>
    <w:rsid w:val="4F0E056F"/>
    <w:rsid w:val="4F1810E5"/>
    <w:rsid w:val="4F1D6A04"/>
    <w:rsid w:val="4F2935FA"/>
    <w:rsid w:val="4F3D70A6"/>
    <w:rsid w:val="4F4026F2"/>
    <w:rsid w:val="4F4154B6"/>
    <w:rsid w:val="4F495A4B"/>
    <w:rsid w:val="4F5B577E"/>
    <w:rsid w:val="4F604B42"/>
    <w:rsid w:val="4F610FE6"/>
    <w:rsid w:val="4F6E3703"/>
    <w:rsid w:val="4F6F2C6B"/>
    <w:rsid w:val="4F7A5C04"/>
    <w:rsid w:val="4F9053B1"/>
    <w:rsid w:val="4F905428"/>
    <w:rsid w:val="4F9273F2"/>
    <w:rsid w:val="4F934F18"/>
    <w:rsid w:val="4F9A44F8"/>
    <w:rsid w:val="4FB54E8E"/>
    <w:rsid w:val="4FB56C3C"/>
    <w:rsid w:val="4FBB7FCB"/>
    <w:rsid w:val="4FBF3F5F"/>
    <w:rsid w:val="4FC21359"/>
    <w:rsid w:val="4FC357FD"/>
    <w:rsid w:val="4FC41575"/>
    <w:rsid w:val="4FD03A76"/>
    <w:rsid w:val="4FFA4F97"/>
    <w:rsid w:val="4FFC2ABD"/>
    <w:rsid w:val="50091D29"/>
    <w:rsid w:val="500B2D00"/>
    <w:rsid w:val="500F6132"/>
    <w:rsid w:val="501778F7"/>
    <w:rsid w:val="50216A4B"/>
    <w:rsid w:val="50306C0B"/>
    <w:rsid w:val="50355FCF"/>
    <w:rsid w:val="50440650"/>
    <w:rsid w:val="504601DC"/>
    <w:rsid w:val="505523EB"/>
    <w:rsid w:val="50566671"/>
    <w:rsid w:val="505E1082"/>
    <w:rsid w:val="5076395C"/>
    <w:rsid w:val="50901407"/>
    <w:rsid w:val="50940F47"/>
    <w:rsid w:val="50964CC0"/>
    <w:rsid w:val="5099655E"/>
    <w:rsid w:val="50A13664"/>
    <w:rsid w:val="50A62A29"/>
    <w:rsid w:val="50BE5FC4"/>
    <w:rsid w:val="50C17863"/>
    <w:rsid w:val="50C80047"/>
    <w:rsid w:val="50CE26AB"/>
    <w:rsid w:val="50F6750C"/>
    <w:rsid w:val="510936E3"/>
    <w:rsid w:val="510E0CFA"/>
    <w:rsid w:val="510F4A72"/>
    <w:rsid w:val="511939BD"/>
    <w:rsid w:val="511B3417"/>
    <w:rsid w:val="511B6F73"/>
    <w:rsid w:val="51220301"/>
    <w:rsid w:val="51383FC9"/>
    <w:rsid w:val="515240B8"/>
    <w:rsid w:val="515D0FE2"/>
    <w:rsid w:val="516052CE"/>
    <w:rsid w:val="5160707C"/>
    <w:rsid w:val="51646882"/>
    <w:rsid w:val="516721B8"/>
    <w:rsid w:val="51716209"/>
    <w:rsid w:val="51870AAC"/>
    <w:rsid w:val="518E3BE9"/>
    <w:rsid w:val="51A21442"/>
    <w:rsid w:val="51A52CE0"/>
    <w:rsid w:val="51A857F9"/>
    <w:rsid w:val="51AF41D3"/>
    <w:rsid w:val="51B82A14"/>
    <w:rsid w:val="51E11F6A"/>
    <w:rsid w:val="51E63A25"/>
    <w:rsid w:val="52196A42"/>
    <w:rsid w:val="523C53F3"/>
    <w:rsid w:val="525A3F94"/>
    <w:rsid w:val="525B6CEF"/>
    <w:rsid w:val="5260487F"/>
    <w:rsid w:val="52630468"/>
    <w:rsid w:val="52A31916"/>
    <w:rsid w:val="52A82A88"/>
    <w:rsid w:val="52A86F2C"/>
    <w:rsid w:val="52B21B59"/>
    <w:rsid w:val="52BB6C5F"/>
    <w:rsid w:val="52D01FDF"/>
    <w:rsid w:val="52E37F64"/>
    <w:rsid w:val="52E94FF6"/>
    <w:rsid w:val="52FC4B82"/>
    <w:rsid w:val="530F48B5"/>
    <w:rsid w:val="531719BC"/>
    <w:rsid w:val="531760C4"/>
    <w:rsid w:val="53277E51"/>
    <w:rsid w:val="533A056C"/>
    <w:rsid w:val="533E503D"/>
    <w:rsid w:val="5354676C"/>
    <w:rsid w:val="5358625C"/>
    <w:rsid w:val="536015B5"/>
    <w:rsid w:val="53607807"/>
    <w:rsid w:val="53624E0A"/>
    <w:rsid w:val="5362532D"/>
    <w:rsid w:val="536C1D08"/>
    <w:rsid w:val="53764934"/>
    <w:rsid w:val="537E2EA2"/>
    <w:rsid w:val="538460DE"/>
    <w:rsid w:val="53876B42"/>
    <w:rsid w:val="538F3C48"/>
    <w:rsid w:val="53966D85"/>
    <w:rsid w:val="539B439B"/>
    <w:rsid w:val="53A12E87"/>
    <w:rsid w:val="53A3075F"/>
    <w:rsid w:val="53A414A2"/>
    <w:rsid w:val="53A4298E"/>
    <w:rsid w:val="53AF1757"/>
    <w:rsid w:val="53B16F24"/>
    <w:rsid w:val="53B316E5"/>
    <w:rsid w:val="53BA0CC5"/>
    <w:rsid w:val="53C02053"/>
    <w:rsid w:val="53DD2CA6"/>
    <w:rsid w:val="53E775E0"/>
    <w:rsid w:val="53EB5322"/>
    <w:rsid w:val="53F35F85"/>
    <w:rsid w:val="5403676A"/>
    <w:rsid w:val="54085ED4"/>
    <w:rsid w:val="54104D89"/>
    <w:rsid w:val="541805B7"/>
    <w:rsid w:val="541D3002"/>
    <w:rsid w:val="542E5358"/>
    <w:rsid w:val="54387E3C"/>
    <w:rsid w:val="543C792C"/>
    <w:rsid w:val="544762D1"/>
    <w:rsid w:val="54492049"/>
    <w:rsid w:val="54505185"/>
    <w:rsid w:val="54532EC8"/>
    <w:rsid w:val="545C3B2A"/>
    <w:rsid w:val="545D0467"/>
    <w:rsid w:val="54640C31"/>
    <w:rsid w:val="54642849"/>
    <w:rsid w:val="54696247"/>
    <w:rsid w:val="547075D6"/>
    <w:rsid w:val="54776BB6"/>
    <w:rsid w:val="547F1F0F"/>
    <w:rsid w:val="548D63DA"/>
    <w:rsid w:val="54905ECA"/>
    <w:rsid w:val="5492579E"/>
    <w:rsid w:val="54B0392B"/>
    <w:rsid w:val="54CB0CB0"/>
    <w:rsid w:val="54D2203E"/>
    <w:rsid w:val="54E0475B"/>
    <w:rsid w:val="54E56DB8"/>
    <w:rsid w:val="55063C85"/>
    <w:rsid w:val="550B5550"/>
    <w:rsid w:val="55222FC6"/>
    <w:rsid w:val="553B7BE4"/>
    <w:rsid w:val="5548346E"/>
    <w:rsid w:val="554F18E1"/>
    <w:rsid w:val="556829A3"/>
    <w:rsid w:val="556C4241"/>
    <w:rsid w:val="557355CF"/>
    <w:rsid w:val="55872E29"/>
    <w:rsid w:val="558772CD"/>
    <w:rsid w:val="55A439DB"/>
    <w:rsid w:val="55A57753"/>
    <w:rsid w:val="55AD03B6"/>
    <w:rsid w:val="55AE4859"/>
    <w:rsid w:val="55B22FA5"/>
    <w:rsid w:val="55B67727"/>
    <w:rsid w:val="55C0458D"/>
    <w:rsid w:val="55C23E61"/>
    <w:rsid w:val="55CC7E02"/>
    <w:rsid w:val="55CE0A58"/>
    <w:rsid w:val="55D32512"/>
    <w:rsid w:val="55FD3C3F"/>
    <w:rsid w:val="56024BA5"/>
    <w:rsid w:val="56075D18"/>
    <w:rsid w:val="561A1F82"/>
    <w:rsid w:val="56226FF5"/>
    <w:rsid w:val="56234C2D"/>
    <w:rsid w:val="56315F82"/>
    <w:rsid w:val="5632548A"/>
    <w:rsid w:val="56334D5F"/>
    <w:rsid w:val="564B3E56"/>
    <w:rsid w:val="564E1B99"/>
    <w:rsid w:val="565151E5"/>
    <w:rsid w:val="56530F5D"/>
    <w:rsid w:val="56586573"/>
    <w:rsid w:val="565D4368"/>
    <w:rsid w:val="565F354D"/>
    <w:rsid w:val="56665134"/>
    <w:rsid w:val="56725887"/>
    <w:rsid w:val="567F61F6"/>
    <w:rsid w:val="568A7075"/>
    <w:rsid w:val="569854FE"/>
    <w:rsid w:val="56C37E91"/>
    <w:rsid w:val="56D71B8E"/>
    <w:rsid w:val="56E524FD"/>
    <w:rsid w:val="56F56FEE"/>
    <w:rsid w:val="57064221"/>
    <w:rsid w:val="57064403"/>
    <w:rsid w:val="570E435D"/>
    <w:rsid w:val="571B25E3"/>
    <w:rsid w:val="57266671"/>
    <w:rsid w:val="573214BA"/>
    <w:rsid w:val="57407733"/>
    <w:rsid w:val="57437223"/>
    <w:rsid w:val="577218B7"/>
    <w:rsid w:val="57763155"/>
    <w:rsid w:val="57792C45"/>
    <w:rsid w:val="577D0987"/>
    <w:rsid w:val="57833AC4"/>
    <w:rsid w:val="57957FD1"/>
    <w:rsid w:val="579F39AA"/>
    <w:rsid w:val="57A001D2"/>
    <w:rsid w:val="57A51C8C"/>
    <w:rsid w:val="57A53A3A"/>
    <w:rsid w:val="57A803B9"/>
    <w:rsid w:val="57A85A6B"/>
    <w:rsid w:val="57B819BF"/>
    <w:rsid w:val="57C02622"/>
    <w:rsid w:val="57E24C8E"/>
    <w:rsid w:val="57E74053"/>
    <w:rsid w:val="57E94CAC"/>
    <w:rsid w:val="57EE718F"/>
    <w:rsid w:val="58022C3B"/>
    <w:rsid w:val="580943E3"/>
    <w:rsid w:val="580E5A83"/>
    <w:rsid w:val="581806B0"/>
    <w:rsid w:val="5831588C"/>
    <w:rsid w:val="583A0626"/>
    <w:rsid w:val="584119B5"/>
    <w:rsid w:val="58417C07"/>
    <w:rsid w:val="58555460"/>
    <w:rsid w:val="58612B92"/>
    <w:rsid w:val="586C6306"/>
    <w:rsid w:val="58704048"/>
    <w:rsid w:val="588C2D0D"/>
    <w:rsid w:val="5891029F"/>
    <w:rsid w:val="58947D5E"/>
    <w:rsid w:val="58950E5A"/>
    <w:rsid w:val="58953AAF"/>
    <w:rsid w:val="589B466B"/>
    <w:rsid w:val="58A70C52"/>
    <w:rsid w:val="58A921CB"/>
    <w:rsid w:val="58BE3005"/>
    <w:rsid w:val="58BF28DA"/>
    <w:rsid w:val="58DF11CE"/>
    <w:rsid w:val="58E04ED5"/>
    <w:rsid w:val="58E80082"/>
    <w:rsid w:val="58EF7663"/>
    <w:rsid w:val="58FA5C29"/>
    <w:rsid w:val="58FC58DC"/>
    <w:rsid w:val="5915074C"/>
    <w:rsid w:val="591E3224"/>
    <w:rsid w:val="592738D0"/>
    <w:rsid w:val="592D3CE7"/>
    <w:rsid w:val="59385DB3"/>
    <w:rsid w:val="59400152"/>
    <w:rsid w:val="59417793"/>
    <w:rsid w:val="594313CB"/>
    <w:rsid w:val="5947124D"/>
    <w:rsid w:val="594A7B2A"/>
    <w:rsid w:val="595347AB"/>
    <w:rsid w:val="595C281E"/>
    <w:rsid w:val="596F4300"/>
    <w:rsid w:val="59821A6D"/>
    <w:rsid w:val="5988716F"/>
    <w:rsid w:val="598D29D8"/>
    <w:rsid w:val="598D4786"/>
    <w:rsid w:val="59927FEE"/>
    <w:rsid w:val="5996123D"/>
    <w:rsid w:val="59A815C0"/>
    <w:rsid w:val="59C53F20"/>
    <w:rsid w:val="59D2488F"/>
    <w:rsid w:val="59D44AE4"/>
    <w:rsid w:val="59DD395F"/>
    <w:rsid w:val="59E3084A"/>
    <w:rsid w:val="59F82547"/>
    <w:rsid w:val="59FD190B"/>
    <w:rsid w:val="59FE19ED"/>
    <w:rsid w:val="5A0507C0"/>
    <w:rsid w:val="5A0A04CC"/>
    <w:rsid w:val="5A3B7DEC"/>
    <w:rsid w:val="5A4A2677"/>
    <w:rsid w:val="5A4B3859"/>
    <w:rsid w:val="5A623E64"/>
    <w:rsid w:val="5A646500"/>
    <w:rsid w:val="5A6A4AC7"/>
    <w:rsid w:val="5A737E20"/>
    <w:rsid w:val="5A7476F4"/>
    <w:rsid w:val="5AB02E22"/>
    <w:rsid w:val="5AB13AE4"/>
    <w:rsid w:val="5AB20948"/>
    <w:rsid w:val="5AB3646E"/>
    <w:rsid w:val="5AC643F3"/>
    <w:rsid w:val="5AC66EF9"/>
    <w:rsid w:val="5AD14B46"/>
    <w:rsid w:val="5AE3311B"/>
    <w:rsid w:val="5AE87C8F"/>
    <w:rsid w:val="5AEE74A6"/>
    <w:rsid w:val="5AF251E8"/>
    <w:rsid w:val="5AF33247"/>
    <w:rsid w:val="5AF36B9D"/>
    <w:rsid w:val="5AFA5E4B"/>
    <w:rsid w:val="5AFF16B3"/>
    <w:rsid w:val="5AFF3461"/>
    <w:rsid w:val="5B0942E0"/>
    <w:rsid w:val="5B0A0784"/>
    <w:rsid w:val="5B157129"/>
    <w:rsid w:val="5B172EA1"/>
    <w:rsid w:val="5B1F705C"/>
    <w:rsid w:val="5B2D18D4"/>
    <w:rsid w:val="5B565263"/>
    <w:rsid w:val="5B6955F4"/>
    <w:rsid w:val="5B6B2007"/>
    <w:rsid w:val="5B742431"/>
    <w:rsid w:val="5B8F6EDB"/>
    <w:rsid w:val="5B94004E"/>
    <w:rsid w:val="5BA069F2"/>
    <w:rsid w:val="5BA74225"/>
    <w:rsid w:val="5BB93F58"/>
    <w:rsid w:val="5BBA09F3"/>
    <w:rsid w:val="5BD20B76"/>
    <w:rsid w:val="5BD357E1"/>
    <w:rsid w:val="5BD4669C"/>
    <w:rsid w:val="5BF40B0F"/>
    <w:rsid w:val="5C0056E3"/>
    <w:rsid w:val="5C0351D3"/>
    <w:rsid w:val="5C047AB6"/>
    <w:rsid w:val="5C0C22DA"/>
    <w:rsid w:val="5C1178F0"/>
    <w:rsid w:val="5C1318BA"/>
    <w:rsid w:val="5C337866"/>
    <w:rsid w:val="5C3435DF"/>
    <w:rsid w:val="5C50666A"/>
    <w:rsid w:val="5C531CB7"/>
    <w:rsid w:val="5C533A65"/>
    <w:rsid w:val="5C58107B"/>
    <w:rsid w:val="5C5D0D87"/>
    <w:rsid w:val="5C68135C"/>
    <w:rsid w:val="5C6D0731"/>
    <w:rsid w:val="5C71213D"/>
    <w:rsid w:val="5C8B76A2"/>
    <w:rsid w:val="5C902F0B"/>
    <w:rsid w:val="5C917CF5"/>
    <w:rsid w:val="5C983B6D"/>
    <w:rsid w:val="5C9C18B0"/>
    <w:rsid w:val="5CA6628A"/>
    <w:rsid w:val="5CA73DB1"/>
    <w:rsid w:val="5CAA564F"/>
    <w:rsid w:val="5CC52489"/>
    <w:rsid w:val="5CCE758F"/>
    <w:rsid w:val="5CE648D9"/>
    <w:rsid w:val="5D227715"/>
    <w:rsid w:val="5D284EF1"/>
    <w:rsid w:val="5D4D372F"/>
    <w:rsid w:val="5D5061F6"/>
    <w:rsid w:val="5D55380D"/>
    <w:rsid w:val="5D663C6C"/>
    <w:rsid w:val="5D6F2B20"/>
    <w:rsid w:val="5D740137"/>
    <w:rsid w:val="5D7C523D"/>
    <w:rsid w:val="5D8660BC"/>
    <w:rsid w:val="5D942587"/>
    <w:rsid w:val="5DA64068"/>
    <w:rsid w:val="5DCC7F73"/>
    <w:rsid w:val="5DD064B1"/>
    <w:rsid w:val="5DD619A0"/>
    <w:rsid w:val="5DF748C4"/>
    <w:rsid w:val="5E0349DE"/>
    <w:rsid w:val="5E1D07CE"/>
    <w:rsid w:val="5E3B2A02"/>
    <w:rsid w:val="5E413D91"/>
    <w:rsid w:val="5E451AD3"/>
    <w:rsid w:val="5E5D506F"/>
    <w:rsid w:val="5E6E2DD8"/>
    <w:rsid w:val="5E77D06B"/>
    <w:rsid w:val="5E7D126D"/>
    <w:rsid w:val="5E7D74BF"/>
    <w:rsid w:val="5E9A3AB1"/>
    <w:rsid w:val="5EA44495"/>
    <w:rsid w:val="5EAB402C"/>
    <w:rsid w:val="5EBD3D5F"/>
    <w:rsid w:val="5EBD78BB"/>
    <w:rsid w:val="5EC51758"/>
    <w:rsid w:val="5EDF3CD6"/>
    <w:rsid w:val="5EDF7832"/>
    <w:rsid w:val="5EE30B66"/>
    <w:rsid w:val="5EF00C63"/>
    <w:rsid w:val="5EFC4888"/>
    <w:rsid w:val="5F0454EA"/>
    <w:rsid w:val="5F047298"/>
    <w:rsid w:val="5F0C439F"/>
    <w:rsid w:val="5F1F1842"/>
    <w:rsid w:val="5F2D2C93"/>
    <w:rsid w:val="5F49114F"/>
    <w:rsid w:val="5F4955F3"/>
    <w:rsid w:val="5F5E71A7"/>
    <w:rsid w:val="5F6C02C9"/>
    <w:rsid w:val="5F7A755A"/>
    <w:rsid w:val="5F926F9A"/>
    <w:rsid w:val="5F93686E"/>
    <w:rsid w:val="5FAA42E4"/>
    <w:rsid w:val="5FB011CE"/>
    <w:rsid w:val="5FB6CB2A"/>
    <w:rsid w:val="5FB707AE"/>
    <w:rsid w:val="5FBE38EB"/>
    <w:rsid w:val="5FBF1411"/>
    <w:rsid w:val="5FC65148"/>
    <w:rsid w:val="5FD01870"/>
    <w:rsid w:val="5FD0250C"/>
    <w:rsid w:val="5FD749AD"/>
    <w:rsid w:val="5FDA624B"/>
    <w:rsid w:val="5FEA2932"/>
    <w:rsid w:val="5FED41D0"/>
    <w:rsid w:val="5FF3956C"/>
    <w:rsid w:val="5FF60630"/>
    <w:rsid w:val="5FFD0658"/>
    <w:rsid w:val="6005776C"/>
    <w:rsid w:val="600B2AE0"/>
    <w:rsid w:val="601C57A4"/>
    <w:rsid w:val="602120CC"/>
    <w:rsid w:val="6025396A"/>
    <w:rsid w:val="60285208"/>
    <w:rsid w:val="602A5424"/>
    <w:rsid w:val="602D281F"/>
    <w:rsid w:val="602F6597"/>
    <w:rsid w:val="60310561"/>
    <w:rsid w:val="603911C4"/>
    <w:rsid w:val="604665DE"/>
    <w:rsid w:val="60522285"/>
    <w:rsid w:val="6057789C"/>
    <w:rsid w:val="605D3104"/>
    <w:rsid w:val="60787F3E"/>
    <w:rsid w:val="608F5287"/>
    <w:rsid w:val="60932FCA"/>
    <w:rsid w:val="60964868"/>
    <w:rsid w:val="60AE3960"/>
    <w:rsid w:val="60C05441"/>
    <w:rsid w:val="60C767CF"/>
    <w:rsid w:val="60CC028A"/>
    <w:rsid w:val="60DA0BF8"/>
    <w:rsid w:val="60DE7169"/>
    <w:rsid w:val="60E07891"/>
    <w:rsid w:val="60E4111E"/>
    <w:rsid w:val="60E5134B"/>
    <w:rsid w:val="60EE59F8"/>
    <w:rsid w:val="61016185"/>
    <w:rsid w:val="610E43FE"/>
    <w:rsid w:val="61137C66"/>
    <w:rsid w:val="6118702B"/>
    <w:rsid w:val="61206FA0"/>
    <w:rsid w:val="61243C22"/>
    <w:rsid w:val="61447E20"/>
    <w:rsid w:val="61477910"/>
    <w:rsid w:val="61481125"/>
    <w:rsid w:val="61483DB4"/>
    <w:rsid w:val="615C0C4D"/>
    <w:rsid w:val="615D19B1"/>
    <w:rsid w:val="615E2827"/>
    <w:rsid w:val="615F567B"/>
    <w:rsid w:val="61630BEE"/>
    <w:rsid w:val="616446A4"/>
    <w:rsid w:val="61785574"/>
    <w:rsid w:val="617E77D6"/>
    <w:rsid w:val="61835B97"/>
    <w:rsid w:val="618D5C6B"/>
    <w:rsid w:val="619706DF"/>
    <w:rsid w:val="61994561"/>
    <w:rsid w:val="619A3EE4"/>
    <w:rsid w:val="61A255D6"/>
    <w:rsid w:val="61A830E3"/>
    <w:rsid w:val="61AE5BE1"/>
    <w:rsid w:val="61B50D1E"/>
    <w:rsid w:val="61C45941"/>
    <w:rsid w:val="61CD250B"/>
    <w:rsid w:val="61DA565F"/>
    <w:rsid w:val="61DE2022"/>
    <w:rsid w:val="61F93300"/>
    <w:rsid w:val="61FE0917"/>
    <w:rsid w:val="623C31ED"/>
    <w:rsid w:val="624778AB"/>
    <w:rsid w:val="626400BF"/>
    <w:rsid w:val="626926F0"/>
    <w:rsid w:val="62764951"/>
    <w:rsid w:val="62791D4B"/>
    <w:rsid w:val="627E3805"/>
    <w:rsid w:val="629923ED"/>
    <w:rsid w:val="6299419B"/>
    <w:rsid w:val="629E7A04"/>
    <w:rsid w:val="62A468BF"/>
    <w:rsid w:val="62AC0373"/>
    <w:rsid w:val="62B86D17"/>
    <w:rsid w:val="62CA25A7"/>
    <w:rsid w:val="62DA4EE0"/>
    <w:rsid w:val="62E573E1"/>
    <w:rsid w:val="62EA2C49"/>
    <w:rsid w:val="62F13FD7"/>
    <w:rsid w:val="62F31AFE"/>
    <w:rsid w:val="630930CF"/>
    <w:rsid w:val="630A432C"/>
    <w:rsid w:val="631D301E"/>
    <w:rsid w:val="63310878"/>
    <w:rsid w:val="633A597E"/>
    <w:rsid w:val="633F4D43"/>
    <w:rsid w:val="6344075B"/>
    <w:rsid w:val="634560D1"/>
    <w:rsid w:val="63514A76"/>
    <w:rsid w:val="6353259C"/>
    <w:rsid w:val="63624ED5"/>
    <w:rsid w:val="636B3D8A"/>
    <w:rsid w:val="636D2D43"/>
    <w:rsid w:val="637075F2"/>
    <w:rsid w:val="638B442C"/>
    <w:rsid w:val="6393508F"/>
    <w:rsid w:val="63A23524"/>
    <w:rsid w:val="63A36518"/>
    <w:rsid w:val="63A728E8"/>
    <w:rsid w:val="63A948B2"/>
    <w:rsid w:val="63C416EC"/>
    <w:rsid w:val="63EF49BB"/>
    <w:rsid w:val="640D4E41"/>
    <w:rsid w:val="642301C1"/>
    <w:rsid w:val="64346872"/>
    <w:rsid w:val="643E0467"/>
    <w:rsid w:val="64414AEB"/>
    <w:rsid w:val="645E569D"/>
    <w:rsid w:val="64713622"/>
    <w:rsid w:val="6476316D"/>
    <w:rsid w:val="649B244D"/>
    <w:rsid w:val="64AA5F69"/>
    <w:rsid w:val="64AC28AC"/>
    <w:rsid w:val="64AD1B28"/>
    <w:rsid w:val="64CA4AE0"/>
    <w:rsid w:val="64D43BB1"/>
    <w:rsid w:val="64DB4F3F"/>
    <w:rsid w:val="64EA5182"/>
    <w:rsid w:val="64EB69CB"/>
    <w:rsid w:val="64ED03AD"/>
    <w:rsid w:val="64F93617"/>
    <w:rsid w:val="65071890"/>
    <w:rsid w:val="650A1380"/>
    <w:rsid w:val="65130235"/>
    <w:rsid w:val="651D5558"/>
    <w:rsid w:val="65200BA4"/>
    <w:rsid w:val="65202952"/>
    <w:rsid w:val="65295CAB"/>
    <w:rsid w:val="653D3504"/>
    <w:rsid w:val="65401246"/>
    <w:rsid w:val="65474383"/>
    <w:rsid w:val="6549634D"/>
    <w:rsid w:val="654C7BEB"/>
    <w:rsid w:val="65534AD5"/>
    <w:rsid w:val="6569254B"/>
    <w:rsid w:val="656E7B61"/>
    <w:rsid w:val="657F1D6E"/>
    <w:rsid w:val="658C6239"/>
    <w:rsid w:val="65931376"/>
    <w:rsid w:val="65B431E5"/>
    <w:rsid w:val="65BD4645"/>
    <w:rsid w:val="65BD63F3"/>
    <w:rsid w:val="65D1387D"/>
    <w:rsid w:val="65F362B8"/>
    <w:rsid w:val="65F8742B"/>
    <w:rsid w:val="65FA13F5"/>
    <w:rsid w:val="660364FC"/>
    <w:rsid w:val="660404C6"/>
    <w:rsid w:val="66056E07"/>
    <w:rsid w:val="66081D64"/>
    <w:rsid w:val="660B715E"/>
    <w:rsid w:val="660D2ED6"/>
    <w:rsid w:val="66154481"/>
    <w:rsid w:val="66187ACD"/>
    <w:rsid w:val="661C136B"/>
    <w:rsid w:val="661E3335"/>
    <w:rsid w:val="66285F62"/>
    <w:rsid w:val="663568D1"/>
    <w:rsid w:val="66387DD1"/>
    <w:rsid w:val="66546D57"/>
    <w:rsid w:val="665723A3"/>
    <w:rsid w:val="66651D93"/>
    <w:rsid w:val="66747DFB"/>
    <w:rsid w:val="667747F4"/>
    <w:rsid w:val="667B2536"/>
    <w:rsid w:val="66807B4C"/>
    <w:rsid w:val="668F1B3D"/>
    <w:rsid w:val="66925EA8"/>
    <w:rsid w:val="669C10B7"/>
    <w:rsid w:val="66B6356E"/>
    <w:rsid w:val="66BC66AA"/>
    <w:rsid w:val="66C37A39"/>
    <w:rsid w:val="66C814F3"/>
    <w:rsid w:val="66D103A8"/>
    <w:rsid w:val="66D24120"/>
    <w:rsid w:val="66E4179C"/>
    <w:rsid w:val="66FB71D3"/>
    <w:rsid w:val="670307BF"/>
    <w:rsid w:val="67073DC9"/>
    <w:rsid w:val="670E6B05"/>
    <w:rsid w:val="671A0817"/>
    <w:rsid w:val="67223341"/>
    <w:rsid w:val="67262C9D"/>
    <w:rsid w:val="672C3830"/>
    <w:rsid w:val="67656D42"/>
    <w:rsid w:val="67670D0C"/>
    <w:rsid w:val="676D40F6"/>
    <w:rsid w:val="677D408C"/>
    <w:rsid w:val="678F3DBF"/>
    <w:rsid w:val="67966EFB"/>
    <w:rsid w:val="67A34CD2"/>
    <w:rsid w:val="67A61834"/>
    <w:rsid w:val="67B6134C"/>
    <w:rsid w:val="67BC2E06"/>
    <w:rsid w:val="67BF46A4"/>
    <w:rsid w:val="67C223E6"/>
    <w:rsid w:val="67E660D5"/>
    <w:rsid w:val="67EA3F6E"/>
    <w:rsid w:val="67EB36EB"/>
    <w:rsid w:val="67F00D02"/>
    <w:rsid w:val="68077DF9"/>
    <w:rsid w:val="68126ECA"/>
    <w:rsid w:val="68141711"/>
    <w:rsid w:val="681744E0"/>
    <w:rsid w:val="68246BFD"/>
    <w:rsid w:val="682D5AB2"/>
    <w:rsid w:val="682E182A"/>
    <w:rsid w:val="68352BB8"/>
    <w:rsid w:val="683A1F7D"/>
    <w:rsid w:val="684E5A28"/>
    <w:rsid w:val="685079F2"/>
    <w:rsid w:val="68726C63"/>
    <w:rsid w:val="68842D99"/>
    <w:rsid w:val="6884575B"/>
    <w:rsid w:val="68906041"/>
    <w:rsid w:val="68945B31"/>
    <w:rsid w:val="68A5389A"/>
    <w:rsid w:val="68C31F72"/>
    <w:rsid w:val="68C77CB4"/>
    <w:rsid w:val="68CD4B9F"/>
    <w:rsid w:val="68D91796"/>
    <w:rsid w:val="68E11D62"/>
    <w:rsid w:val="68EF7605"/>
    <w:rsid w:val="69095EE2"/>
    <w:rsid w:val="69180510"/>
    <w:rsid w:val="691B590A"/>
    <w:rsid w:val="69201173"/>
    <w:rsid w:val="69272501"/>
    <w:rsid w:val="692F13B6"/>
    <w:rsid w:val="693A1EED"/>
    <w:rsid w:val="693B7875"/>
    <w:rsid w:val="69531548"/>
    <w:rsid w:val="695D23C7"/>
    <w:rsid w:val="696A6892"/>
    <w:rsid w:val="697274F4"/>
    <w:rsid w:val="697650E9"/>
    <w:rsid w:val="69821E2D"/>
    <w:rsid w:val="698B1D32"/>
    <w:rsid w:val="698C2CAC"/>
    <w:rsid w:val="698C6808"/>
    <w:rsid w:val="699D0A15"/>
    <w:rsid w:val="69A27DD9"/>
    <w:rsid w:val="69B55AF0"/>
    <w:rsid w:val="69C73CE4"/>
    <w:rsid w:val="69C75A92"/>
    <w:rsid w:val="69C95831"/>
    <w:rsid w:val="69E623BC"/>
    <w:rsid w:val="6A072332"/>
    <w:rsid w:val="6A2151A2"/>
    <w:rsid w:val="6A3C6480"/>
    <w:rsid w:val="6A4B66C3"/>
    <w:rsid w:val="6A507835"/>
    <w:rsid w:val="6A6257BB"/>
    <w:rsid w:val="6A6D6639"/>
    <w:rsid w:val="6A8614A9"/>
    <w:rsid w:val="6A9516EC"/>
    <w:rsid w:val="6A9E2C97"/>
    <w:rsid w:val="6AA656A7"/>
    <w:rsid w:val="6AA73ABC"/>
    <w:rsid w:val="6AA87672"/>
    <w:rsid w:val="6AAA0797"/>
    <w:rsid w:val="6AB46016"/>
    <w:rsid w:val="6AC56475"/>
    <w:rsid w:val="6AD20B92"/>
    <w:rsid w:val="6ADB01D4"/>
    <w:rsid w:val="6ADE12E5"/>
    <w:rsid w:val="6AF26367"/>
    <w:rsid w:val="6B0F76F1"/>
    <w:rsid w:val="6B1116BB"/>
    <w:rsid w:val="6B192137"/>
    <w:rsid w:val="6B1B64B0"/>
    <w:rsid w:val="6B1D005F"/>
    <w:rsid w:val="6B386B50"/>
    <w:rsid w:val="6B477A2A"/>
    <w:rsid w:val="6B666406"/>
    <w:rsid w:val="6B67752D"/>
    <w:rsid w:val="6B6E08BB"/>
    <w:rsid w:val="6B712159"/>
    <w:rsid w:val="6B7834E8"/>
    <w:rsid w:val="6B7E6624"/>
    <w:rsid w:val="6B827EC3"/>
    <w:rsid w:val="6B881251"/>
    <w:rsid w:val="6BA73654"/>
    <w:rsid w:val="6BB64010"/>
    <w:rsid w:val="6BC07C08"/>
    <w:rsid w:val="6BC47261"/>
    <w:rsid w:val="6BCA3618"/>
    <w:rsid w:val="6BCB7ABB"/>
    <w:rsid w:val="6BE02E3B"/>
    <w:rsid w:val="6BEC7A32"/>
    <w:rsid w:val="6BEE7306"/>
    <w:rsid w:val="6BF863D7"/>
    <w:rsid w:val="6BFD1C3F"/>
    <w:rsid w:val="6BFF1513"/>
    <w:rsid w:val="6C156F89"/>
    <w:rsid w:val="6C1825D5"/>
    <w:rsid w:val="6C1F3963"/>
    <w:rsid w:val="6C240F7A"/>
    <w:rsid w:val="6C30791F"/>
    <w:rsid w:val="6C3A079D"/>
    <w:rsid w:val="6C4B4758"/>
    <w:rsid w:val="6C4C52F4"/>
    <w:rsid w:val="6C580C23"/>
    <w:rsid w:val="6C59228F"/>
    <w:rsid w:val="6C621AA2"/>
    <w:rsid w:val="6C7517D5"/>
    <w:rsid w:val="6C861C34"/>
    <w:rsid w:val="6C937EAD"/>
    <w:rsid w:val="6C9C4FB4"/>
    <w:rsid w:val="6C9F2CF6"/>
    <w:rsid w:val="6CA976D1"/>
    <w:rsid w:val="6CAE6A95"/>
    <w:rsid w:val="6CAF0778"/>
    <w:rsid w:val="6CB247D7"/>
    <w:rsid w:val="6CC13DA5"/>
    <w:rsid w:val="6CC8224D"/>
    <w:rsid w:val="6CDB1F80"/>
    <w:rsid w:val="6CDE55CC"/>
    <w:rsid w:val="6CFE17CB"/>
    <w:rsid w:val="6D0A4613"/>
    <w:rsid w:val="6D170ADE"/>
    <w:rsid w:val="6D17288C"/>
    <w:rsid w:val="6D1F1741"/>
    <w:rsid w:val="6D21370B"/>
    <w:rsid w:val="6D340359"/>
    <w:rsid w:val="6D502D47"/>
    <w:rsid w:val="6D505279"/>
    <w:rsid w:val="6D5C3AC4"/>
    <w:rsid w:val="6D8617C0"/>
    <w:rsid w:val="6D8F68C7"/>
    <w:rsid w:val="6D911863"/>
    <w:rsid w:val="6D916E4E"/>
    <w:rsid w:val="6D940381"/>
    <w:rsid w:val="6D9F4845"/>
    <w:rsid w:val="6DAD4F9F"/>
    <w:rsid w:val="6DB12CE1"/>
    <w:rsid w:val="6DCF13B9"/>
    <w:rsid w:val="6DDA7D0A"/>
    <w:rsid w:val="6DEC5AC7"/>
    <w:rsid w:val="6DED797A"/>
    <w:rsid w:val="6DEE183F"/>
    <w:rsid w:val="6DF350A8"/>
    <w:rsid w:val="6DFD31A3"/>
    <w:rsid w:val="6E0B0643"/>
    <w:rsid w:val="6E1319A6"/>
    <w:rsid w:val="6E184B0E"/>
    <w:rsid w:val="6E250FD9"/>
    <w:rsid w:val="6E3D4575"/>
    <w:rsid w:val="6E4771A1"/>
    <w:rsid w:val="6E565636"/>
    <w:rsid w:val="6E641B01"/>
    <w:rsid w:val="6E755ABD"/>
    <w:rsid w:val="6E7F693B"/>
    <w:rsid w:val="6EA2087C"/>
    <w:rsid w:val="6EAB5982"/>
    <w:rsid w:val="6EBE3907"/>
    <w:rsid w:val="6ED21161"/>
    <w:rsid w:val="6EE40E94"/>
    <w:rsid w:val="6EE964AB"/>
    <w:rsid w:val="6EED5F9B"/>
    <w:rsid w:val="6F06705D"/>
    <w:rsid w:val="6F141779"/>
    <w:rsid w:val="6F193452"/>
    <w:rsid w:val="6F42021D"/>
    <w:rsid w:val="6F4831D1"/>
    <w:rsid w:val="6F4A1255"/>
    <w:rsid w:val="6F4D4C8B"/>
    <w:rsid w:val="6F6124E5"/>
    <w:rsid w:val="6F630BD6"/>
    <w:rsid w:val="6F6F075E"/>
    <w:rsid w:val="6F7044D6"/>
    <w:rsid w:val="6F774BAC"/>
    <w:rsid w:val="6F79782E"/>
    <w:rsid w:val="6F80296B"/>
    <w:rsid w:val="6F9603E0"/>
    <w:rsid w:val="6F975F07"/>
    <w:rsid w:val="6F9F6684"/>
    <w:rsid w:val="6FA7614A"/>
    <w:rsid w:val="6FB13580"/>
    <w:rsid w:val="6FB22D40"/>
    <w:rsid w:val="6FB72105"/>
    <w:rsid w:val="6FB95E7D"/>
    <w:rsid w:val="6FC5117A"/>
    <w:rsid w:val="6FCD2794"/>
    <w:rsid w:val="6FD827A7"/>
    <w:rsid w:val="6FE949B4"/>
    <w:rsid w:val="6FF4238A"/>
    <w:rsid w:val="6FF62C2D"/>
    <w:rsid w:val="700323DB"/>
    <w:rsid w:val="70241ED4"/>
    <w:rsid w:val="702459EC"/>
    <w:rsid w:val="70253512"/>
    <w:rsid w:val="70294DB1"/>
    <w:rsid w:val="703D085C"/>
    <w:rsid w:val="704020FA"/>
    <w:rsid w:val="704718D2"/>
    <w:rsid w:val="70495D5B"/>
    <w:rsid w:val="7053007F"/>
    <w:rsid w:val="70840239"/>
    <w:rsid w:val="70AC7790"/>
    <w:rsid w:val="70AF6726"/>
    <w:rsid w:val="70AF7355"/>
    <w:rsid w:val="70BA6A2B"/>
    <w:rsid w:val="70BF5715"/>
    <w:rsid w:val="70CB5E68"/>
    <w:rsid w:val="70D50A94"/>
    <w:rsid w:val="70D867D7"/>
    <w:rsid w:val="70EE7DA8"/>
    <w:rsid w:val="70F57389"/>
    <w:rsid w:val="70F74EAF"/>
    <w:rsid w:val="70FF1FB5"/>
    <w:rsid w:val="710C022E"/>
    <w:rsid w:val="7121252E"/>
    <w:rsid w:val="713357AB"/>
    <w:rsid w:val="7141612A"/>
    <w:rsid w:val="715045BF"/>
    <w:rsid w:val="715916C6"/>
    <w:rsid w:val="715E2BBD"/>
    <w:rsid w:val="715F4802"/>
    <w:rsid w:val="716B764B"/>
    <w:rsid w:val="71A36DE5"/>
    <w:rsid w:val="71A37FFC"/>
    <w:rsid w:val="71A87F57"/>
    <w:rsid w:val="71AC3EEB"/>
    <w:rsid w:val="71B374B1"/>
    <w:rsid w:val="71C62CFF"/>
    <w:rsid w:val="71CB1E97"/>
    <w:rsid w:val="71D64AC4"/>
    <w:rsid w:val="71DB657E"/>
    <w:rsid w:val="71E427DC"/>
    <w:rsid w:val="71E52F59"/>
    <w:rsid w:val="71E74F23"/>
    <w:rsid w:val="71EA0570"/>
    <w:rsid w:val="71F65166"/>
    <w:rsid w:val="720C2BDC"/>
    <w:rsid w:val="721E62BD"/>
    <w:rsid w:val="72331F17"/>
    <w:rsid w:val="72347A3D"/>
    <w:rsid w:val="72361A07"/>
    <w:rsid w:val="72417DAB"/>
    <w:rsid w:val="724203AC"/>
    <w:rsid w:val="72457E9C"/>
    <w:rsid w:val="72536115"/>
    <w:rsid w:val="72556331"/>
    <w:rsid w:val="727051DB"/>
    <w:rsid w:val="727E04E4"/>
    <w:rsid w:val="72807126"/>
    <w:rsid w:val="728F2A40"/>
    <w:rsid w:val="729047C5"/>
    <w:rsid w:val="72A9042B"/>
    <w:rsid w:val="72A94360"/>
    <w:rsid w:val="72AF5315"/>
    <w:rsid w:val="72B312A9"/>
    <w:rsid w:val="72BD7A32"/>
    <w:rsid w:val="72C214EC"/>
    <w:rsid w:val="72C62D8B"/>
    <w:rsid w:val="72C74D55"/>
    <w:rsid w:val="72D57472"/>
    <w:rsid w:val="72D6671B"/>
    <w:rsid w:val="72DA58DB"/>
    <w:rsid w:val="72E256EB"/>
    <w:rsid w:val="72EE5E3E"/>
    <w:rsid w:val="72F86CBC"/>
    <w:rsid w:val="72FC46DC"/>
    <w:rsid w:val="72FC49FE"/>
    <w:rsid w:val="73171838"/>
    <w:rsid w:val="7318735E"/>
    <w:rsid w:val="73335F46"/>
    <w:rsid w:val="73467A28"/>
    <w:rsid w:val="734F0FD2"/>
    <w:rsid w:val="73530396"/>
    <w:rsid w:val="73634A7D"/>
    <w:rsid w:val="73702CF6"/>
    <w:rsid w:val="73734595"/>
    <w:rsid w:val="737547B1"/>
    <w:rsid w:val="737F73DD"/>
    <w:rsid w:val="738F7621"/>
    <w:rsid w:val="73903399"/>
    <w:rsid w:val="7399224D"/>
    <w:rsid w:val="739A7D73"/>
    <w:rsid w:val="73B013B8"/>
    <w:rsid w:val="73BE73D7"/>
    <w:rsid w:val="73D2750D"/>
    <w:rsid w:val="73D43285"/>
    <w:rsid w:val="73DC3D05"/>
    <w:rsid w:val="73DE2356"/>
    <w:rsid w:val="73EA4B55"/>
    <w:rsid w:val="73EF6311"/>
    <w:rsid w:val="740022CC"/>
    <w:rsid w:val="740578E3"/>
    <w:rsid w:val="74096F68"/>
    <w:rsid w:val="7431692A"/>
    <w:rsid w:val="743B50B2"/>
    <w:rsid w:val="74432521"/>
    <w:rsid w:val="744F5002"/>
    <w:rsid w:val="74582108"/>
    <w:rsid w:val="745B5755"/>
    <w:rsid w:val="74602D6B"/>
    <w:rsid w:val="74604B19"/>
    <w:rsid w:val="746F4033"/>
    <w:rsid w:val="74732A9E"/>
    <w:rsid w:val="74827185"/>
    <w:rsid w:val="748E78D8"/>
    <w:rsid w:val="74911176"/>
    <w:rsid w:val="74996C40"/>
    <w:rsid w:val="74B36375"/>
    <w:rsid w:val="74B44E65"/>
    <w:rsid w:val="74B97AD4"/>
    <w:rsid w:val="74BA06CD"/>
    <w:rsid w:val="74C23A26"/>
    <w:rsid w:val="74C257D4"/>
    <w:rsid w:val="74CB5A00"/>
    <w:rsid w:val="74CC6652"/>
    <w:rsid w:val="74D177C5"/>
    <w:rsid w:val="74DB0643"/>
    <w:rsid w:val="74DD616A"/>
    <w:rsid w:val="74F160B9"/>
    <w:rsid w:val="74FC0CE6"/>
    <w:rsid w:val="750F1338"/>
    <w:rsid w:val="751029E3"/>
    <w:rsid w:val="751122B7"/>
    <w:rsid w:val="75134281"/>
    <w:rsid w:val="751D6EAE"/>
    <w:rsid w:val="75426C6E"/>
    <w:rsid w:val="7544268D"/>
    <w:rsid w:val="755448DA"/>
    <w:rsid w:val="75580C3E"/>
    <w:rsid w:val="75581C94"/>
    <w:rsid w:val="755C1784"/>
    <w:rsid w:val="755D1591"/>
    <w:rsid w:val="7564635F"/>
    <w:rsid w:val="757765BE"/>
    <w:rsid w:val="757C3BD5"/>
    <w:rsid w:val="758E3908"/>
    <w:rsid w:val="758F3FBD"/>
    <w:rsid w:val="75952EE8"/>
    <w:rsid w:val="759F5B15"/>
    <w:rsid w:val="75C31803"/>
    <w:rsid w:val="75D0399E"/>
    <w:rsid w:val="75D60D25"/>
    <w:rsid w:val="75D60E9A"/>
    <w:rsid w:val="75DB4D9F"/>
    <w:rsid w:val="75E33751"/>
    <w:rsid w:val="75E4177A"/>
    <w:rsid w:val="75EA4FE2"/>
    <w:rsid w:val="75EB2981"/>
    <w:rsid w:val="75F47896"/>
    <w:rsid w:val="75F55735"/>
    <w:rsid w:val="761258AB"/>
    <w:rsid w:val="76143E0D"/>
    <w:rsid w:val="762A3631"/>
    <w:rsid w:val="76311753"/>
    <w:rsid w:val="764A5A81"/>
    <w:rsid w:val="765132FA"/>
    <w:rsid w:val="765468FF"/>
    <w:rsid w:val="767369EB"/>
    <w:rsid w:val="76854D0B"/>
    <w:rsid w:val="76872831"/>
    <w:rsid w:val="76982C90"/>
    <w:rsid w:val="76A41635"/>
    <w:rsid w:val="76AF7FDA"/>
    <w:rsid w:val="76BA0E58"/>
    <w:rsid w:val="76BC3EBD"/>
    <w:rsid w:val="76C45833"/>
    <w:rsid w:val="76C577FD"/>
    <w:rsid w:val="76CC46E8"/>
    <w:rsid w:val="76D8308D"/>
    <w:rsid w:val="76DF08BF"/>
    <w:rsid w:val="76E00627"/>
    <w:rsid w:val="76E41A31"/>
    <w:rsid w:val="76EC6B38"/>
    <w:rsid w:val="76F1414E"/>
    <w:rsid w:val="76F31C74"/>
    <w:rsid w:val="77000835"/>
    <w:rsid w:val="77020109"/>
    <w:rsid w:val="770660D5"/>
    <w:rsid w:val="771B11CB"/>
    <w:rsid w:val="77277E88"/>
    <w:rsid w:val="772A4F3B"/>
    <w:rsid w:val="77376B08"/>
    <w:rsid w:val="773D55E5"/>
    <w:rsid w:val="7746449A"/>
    <w:rsid w:val="774E15A1"/>
    <w:rsid w:val="7750356B"/>
    <w:rsid w:val="775D7A36"/>
    <w:rsid w:val="77626DFA"/>
    <w:rsid w:val="7763329E"/>
    <w:rsid w:val="778E5E41"/>
    <w:rsid w:val="779725EC"/>
    <w:rsid w:val="77AE203F"/>
    <w:rsid w:val="77BF249E"/>
    <w:rsid w:val="77E51F05"/>
    <w:rsid w:val="77EA2BFF"/>
    <w:rsid w:val="780D3305"/>
    <w:rsid w:val="782115C4"/>
    <w:rsid w:val="78252301"/>
    <w:rsid w:val="78280044"/>
    <w:rsid w:val="782B3839"/>
    <w:rsid w:val="7831514A"/>
    <w:rsid w:val="783764D9"/>
    <w:rsid w:val="78411105"/>
    <w:rsid w:val="78415070"/>
    <w:rsid w:val="78484242"/>
    <w:rsid w:val="784C1F84"/>
    <w:rsid w:val="785D5F3F"/>
    <w:rsid w:val="78697682"/>
    <w:rsid w:val="787B1AA4"/>
    <w:rsid w:val="787B63C5"/>
    <w:rsid w:val="78830352"/>
    <w:rsid w:val="788566A9"/>
    <w:rsid w:val="78B47B29"/>
    <w:rsid w:val="78EF46BD"/>
    <w:rsid w:val="78F87A16"/>
    <w:rsid w:val="78FD6DDA"/>
    <w:rsid w:val="79052133"/>
    <w:rsid w:val="790A2B39"/>
    <w:rsid w:val="79110AD8"/>
    <w:rsid w:val="79134850"/>
    <w:rsid w:val="791D122B"/>
    <w:rsid w:val="791D747D"/>
    <w:rsid w:val="79202AC9"/>
    <w:rsid w:val="79294073"/>
    <w:rsid w:val="7931117A"/>
    <w:rsid w:val="795310F0"/>
    <w:rsid w:val="796926C2"/>
    <w:rsid w:val="79703A50"/>
    <w:rsid w:val="797846B3"/>
    <w:rsid w:val="798412AA"/>
    <w:rsid w:val="79956F3B"/>
    <w:rsid w:val="79A66D50"/>
    <w:rsid w:val="79B67EF4"/>
    <w:rsid w:val="79BA116F"/>
    <w:rsid w:val="79D12015"/>
    <w:rsid w:val="79DA7170"/>
    <w:rsid w:val="79E166FC"/>
    <w:rsid w:val="7A150154"/>
    <w:rsid w:val="7A1940E8"/>
    <w:rsid w:val="7A1C7734"/>
    <w:rsid w:val="7A230AC3"/>
    <w:rsid w:val="7A232871"/>
    <w:rsid w:val="7A2605B3"/>
    <w:rsid w:val="7A2776B7"/>
    <w:rsid w:val="7A293BFF"/>
    <w:rsid w:val="7A2A295A"/>
    <w:rsid w:val="7A3C3932"/>
    <w:rsid w:val="7A48677B"/>
    <w:rsid w:val="7A4E3666"/>
    <w:rsid w:val="7A592736"/>
    <w:rsid w:val="7A5F138C"/>
    <w:rsid w:val="7A680BCB"/>
    <w:rsid w:val="7A6A66F1"/>
    <w:rsid w:val="7A6C36E3"/>
    <w:rsid w:val="7A796935"/>
    <w:rsid w:val="7A7C01D3"/>
    <w:rsid w:val="7A813A3B"/>
    <w:rsid w:val="7A9962D1"/>
    <w:rsid w:val="7AB47064"/>
    <w:rsid w:val="7AB91427"/>
    <w:rsid w:val="7ABB0CFB"/>
    <w:rsid w:val="7AC34054"/>
    <w:rsid w:val="7ADD5115"/>
    <w:rsid w:val="7B024B7C"/>
    <w:rsid w:val="7B0A1C83"/>
    <w:rsid w:val="7B1A0118"/>
    <w:rsid w:val="7B1B5C3E"/>
    <w:rsid w:val="7B3960C4"/>
    <w:rsid w:val="7B3A4316"/>
    <w:rsid w:val="7B3B62E0"/>
    <w:rsid w:val="7B4038F6"/>
    <w:rsid w:val="7B52755D"/>
    <w:rsid w:val="7B560A24"/>
    <w:rsid w:val="7B566C76"/>
    <w:rsid w:val="7B58479C"/>
    <w:rsid w:val="7B7D2454"/>
    <w:rsid w:val="7B8B4B71"/>
    <w:rsid w:val="7BA34766"/>
    <w:rsid w:val="7BA522FF"/>
    <w:rsid w:val="7BB66D05"/>
    <w:rsid w:val="7BC736D0"/>
    <w:rsid w:val="7BDD1145"/>
    <w:rsid w:val="7BF070CA"/>
    <w:rsid w:val="7BF72207"/>
    <w:rsid w:val="7BFD3595"/>
    <w:rsid w:val="7BFF32D4"/>
    <w:rsid w:val="7C1032C9"/>
    <w:rsid w:val="7C1728A9"/>
    <w:rsid w:val="7C3B3D9E"/>
    <w:rsid w:val="7C3D05C9"/>
    <w:rsid w:val="7C4B2553"/>
    <w:rsid w:val="7C5546E4"/>
    <w:rsid w:val="7C5A68F7"/>
    <w:rsid w:val="7C6333F8"/>
    <w:rsid w:val="7C885555"/>
    <w:rsid w:val="7C8C3AD6"/>
    <w:rsid w:val="7CB974BC"/>
    <w:rsid w:val="7CBBCC3C"/>
    <w:rsid w:val="7CD51E1C"/>
    <w:rsid w:val="7CD75B94"/>
    <w:rsid w:val="7CF77517"/>
    <w:rsid w:val="7CF83BBE"/>
    <w:rsid w:val="7D044000"/>
    <w:rsid w:val="7D1312C2"/>
    <w:rsid w:val="7D133070"/>
    <w:rsid w:val="7D2012E9"/>
    <w:rsid w:val="7D2E7EAA"/>
    <w:rsid w:val="7D311748"/>
    <w:rsid w:val="7D3B6123"/>
    <w:rsid w:val="7D407BDD"/>
    <w:rsid w:val="7D52346D"/>
    <w:rsid w:val="7D5D253D"/>
    <w:rsid w:val="7D6238ED"/>
    <w:rsid w:val="7D644BCE"/>
    <w:rsid w:val="7D697134"/>
    <w:rsid w:val="7D70600C"/>
    <w:rsid w:val="7D731D61"/>
    <w:rsid w:val="7D7635FF"/>
    <w:rsid w:val="7D7A30EF"/>
    <w:rsid w:val="7D7C2BAC"/>
    <w:rsid w:val="7D9F168F"/>
    <w:rsid w:val="7D9FB440"/>
    <w:rsid w:val="7DB051E5"/>
    <w:rsid w:val="7DC205F3"/>
    <w:rsid w:val="7DD766F1"/>
    <w:rsid w:val="7DE40569"/>
    <w:rsid w:val="7DE71E07"/>
    <w:rsid w:val="7DF74740"/>
    <w:rsid w:val="7DF804B8"/>
    <w:rsid w:val="7E002EC9"/>
    <w:rsid w:val="7E01111B"/>
    <w:rsid w:val="7E1626EC"/>
    <w:rsid w:val="7E2A71A9"/>
    <w:rsid w:val="7E2D1F10"/>
    <w:rsid w:val="7E327BA3"/>
    <w:rsid w:val="7E4E5655"/>
    <w:rsid w:val="7E4F632A"/>
    <w:rsid w:val="7E551467"/>
    <w:rsid w:val="7E6478FC"/>
    <w:rsid w:val="7EAF0B77"/>
    <w:rsid w:val="7EB10D93"/>
    <w:rsid w:val="7EB517AA"/>
    <w:rsid w:val="7EC860DC"/>
    <w:rsid w:val="7ECF1219"/>
    <w:rsid w:val="7EED78F1"/>
    <w:rsid w:val="7EF0118F"/>
    <w:rsid w:val="7EF46ED2"/>
    <w:rsid w:val="7EFD18A2"/>
    <w:rsid w:val="7F0474A0"/>
    <w:rsid w:val="7F17671C"/>
    <w:rsid w:val="7F201A75"/>
    <w:rsid w:val="7F2257ED"/>
    <w:rsid w:val="7F25708B"/>
    <w:rsid w:val="7F2A644F"/>
    <w:rsid w:val="7F350DED"/>
    <w:rsid w:val="7F547970"/>
    <w:rsid w:val="7F596D35"/>
    <w:rsid w:val="7F710522"/>
    <w:rsid w:val="7F7309C6"/>
    <w:rsid w:val="7F735751"/>
    <w:rsid w:val="7F766D40"/>
    <w:rsid w:val="7F7973D7"/>
    <w:rsid w:val="7F7B4EFD"/>
    <w:rsid w:val="7F7D2A23"/>
    <w:rsid w:val="7F8114E6"/>
    <w:rsid w:val="7F9A1827"/>
    <w:rsid w:val="7FAC50B6"/>
    <w:rsid w:val="7FB126CD"/>
    <w:rsid w:val="7FB25ED0"/>
    <w:rsid w:val="7FB72124"/>
    <w:rsid w:val="7FC5261C"/>
    <w:rsid w:val="7FC95C68"/>
    <w:rsid w:val="7FD14B1D"/>
    <w:rsid w:val="7FD775A6"/>
    <w:rsid w:val="7FEDE868"/>
    <w:rsid w:val="7FEF66E7"/>
    <w:rsid w:val="8ECB6B10"/>
    <w:rsid w:val="969F48C0"/>
    <w:rsid w:val="B1FFC2CC"/>
    <w:rsid w:val="BBFF31D7"/>
    <w:rsid w:val="BDCB545C"/>
    <w:rsid w:val="D33605D6"/>
    <w:rsid w:val="D6DC78F9"/>
    <w:rsid w:val="D7778344"/>
    <w:rsid w:val="EFF51731"/>
    <w:rsid w:val="F7B7799D"/>
    <w:rsid w:val="F7F3B2EE"/>
    <w:rsid w:val="F9D795E2"/>
    <w:rsid w:val="FBDF2AFD"/>
    <w:rsid w:val="FCFC372F"/>
    <w:rsid w:val="FDB74773"/>
    <w:rsid w:val="FDFF2667"/>
    <w:rsid w:val="FEF125BB"/>
    <w:rsid w:val="FF582390"/>
    <w:rsid w:val="FFB71095"/>
    <w:rsid w:val="FFBF8CB9"/>
    <w:rsid w:val="FFCDFC8D"/>
    <w:rsid w:val="FFDC9918"/>
    <w:rsid w:val="FFF6796A"/>
    <w:rsid w:val="FFF753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7"/>
    <w:qFormat/>
    <w:uiPriority w:val="0"/>
    <w:pPr>
      <w:keepNext/>
      <w:keepLines/>
      <w:spacing w:line="360" w:lineRule="auto"/>
      <w:jc w:val="center"/>
      <w:outlineLvl w:val="0"/>
    </w:pPr>
    <w:rPr>
      <w:b/>
      <w:kern w:val="44"/>
      <w:sz w:val="30"/>
    </w:rPr>
  </w:style>
  <w:style w:type="paragraph" w:styleId="2">
    <w:name w:val="heading 2"/>
    <w:basedOn w:val="1"/>
    <w:next w:val="1"/>
    <w:link w:val="30"/>
    <w:unhideWhenUsed/>
    <w:qFormat/>
    <w:uiPriority w:val="0"/>
    <w:pPr>
      <w:keepNext/>
      <w:keepLines/>
      <w:spacing w:beforeLines="50"/>
      <w:ind w:firstLine="1680" w:firstLineChars="200"/>
      <w:outlineLvl w:val="1"/>
    </w:pPr>
    <w:rPr>
      <w:rFonts w:ascii="Arial" w:hAnsi="Arial"/>
      <w:b/>
    </w:rPr>
  </w:style>
  <w:style w:type="paragraph" w:styleId="4">
    <w:name w:val="heading 3"/>
    <w:basedOn w:val="1"/>
    <w:next w:val="1"/>
    <w:link w:val="35"/>
    <w:semiHidden/>
    <w:unhideWhenUsed/>
    <w:qFormat/>
    <w:uiPriority w:val="0"/>
    <w:pPr>
      <w:keepNext/>
      <w:keepLines/>
      <w:spacing w:line="360" w:lineRule="auto"/>
      <w:ind w:firstLine="560" w:firstLineChars="200"/>
      <w:jc w:val="left"/>
      <w:outlineLvl w:val="2"/>
    </w:pPr>
    <w:rPr>
      <w:b/>
    </w:rPr>
  </w:style>
  <w:style w:type="paragraph" w:styleId="5">
    <w:name w:val="heading 4"/>
    <w:basedOn w:val="1"/>
    <w:next w:val="1"/>
    <w:link w:val="34"/>
    <w:semiHidden/>
    <w:unhideWhenUsed/>
    <w:qFormat/>
    <w:uiPriority w:val="0"/>
    <w:pPr>
      <w:keepNext/>
      <w:keepLines/>
      <w:spacing w:line="360" w:lineRule="auto"/>
      <w:ind w:firstLine="562" w:firstLineChars="200"/>
      <w:jc w:val="left"/>
      <w:outlineLvl w:val="3"/>
    </w:pPr>
    <w:rPr>
      <w:rFonts w:ascii="Arial" w:hAnsi="Arial"/>
      <w:b/>
    </w:rPr>
  </w:style>
  <w:style w:type="paragraph" w:styleId="6">
    <w:name w:val="heading 5"/>
    <w:basedOn w:val="1"/>
    <w:next w:val="1"/>
    <w:semiHidden/>
    <w:unhideWhenUsed/>
    <w:qFormat/>
    <w:uiPriority w:val="0"/>
    <w:pPr>
      <w:keepNext/>
      <w:keepLines/>
      <w:spacing w:line="360" w:lineRule="auto"/>
      <w:jc w:val="center"/>
      <w:outlineLvl w:val="4"/>
    </w:pPr>
    <w:rPr>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lang w:eastAsia="zh-TW"/>
    </w:rPr>
  </w:style>
  <w:style w:type="paragraph" w:styleId="8">
    <w:name w:val="annotation text"/>
    <w:basedOn w:val="1"/>
    <w:qFormat/>
    <w:uiPriority w:val="0"/>
    <w:pPr>
      <w:jc w:val="left"/>
    </w:pPr>
  </w:style>
  <w:style w:type="paragraph" w:styleId="9">
    <w:name w:val="Body Text"/>
    <w:basedOn w:val="1"/>
    <w:qFormat/>
    <w:uiPriority w:val="0"/>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Date"/>
    <w:basedOn w:val="1"/>
    <w:next w:val="1"/>
    <w:qFormat/>
    <w:uiPriority w:val="0"/>
  </w:style>
  <w:style w:type="paragraph" w:styleId="13">
    <w:name w:val="Balloon Text"/>
    <w:basedOn w:val="1"/>
    <w:link w:val="5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semiHidden/>
    <w:qFormat/>
    <w:uiPriority w:val="0"/>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line="320" w:lineRule="exact"/>
      <w:jc w:val="left"/>
    </w:pPr>
    <w:rPr>
      <w:rFonts w:ascii="宋体" w:hAnsi="宋体"/>
      <w:sz w:val="24"/>
    </w:rPr>
  </w:style>
  <w:style w:type="paragraph" w:styleId="18">
    <w:name w:val="Body Text Indent 3"/>
    <w:basedOn w:val="1"/>
    <w:qFormat/>
    <w:uiPriority w:val="0"/>
    <w:pPr>
      <w:spacing w:line="360" w:lineRule="auto"/>
      <w:ind w:firstLine="632"/>
    </w:pPr>
    <w:rPr>
      <w:rFonts w:ascii="黑体" w:eastAsia="黑体"/>
    </w:rPr>
  </w:style>
  <w:style w:type="paragraph" w:styleId="19">
    <w:name w:val="index 9"/>
    <w:basedOn w:val="1"/>
    <w:next w:val="1"/>
    <w:qFormat/>
    <w:uiPriority w:val="0"/>
    <w:pPr>
      <w:ind w:left="1600" w:leftChars="1600"/>
    </w:pPr>
  </w:style>
  <w:style w:type="paragraph" w:styleId="20">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1">
    <w:name w:val="toc 2"/>
    <w:basedOn w:val="1"/>
    <w:next w:val="1"/>
    <w:qFormat/>
    <w:uiPriority w:val="0"/>
    <w:pPr>
      <w:ind w:left="420" w:leftChars="200"/>
    </w:pPr>
  </w:style>
  <w:style w:type="paragraph" w:styleId="22">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spacing w:line="360" w:lineRule="auto"/>
      <w:jc w:val="center"/>
    </w:pPr>
    <w:rPr>
      <w:rFonts w:ascii="Arial" w:hAnsi="Arial"/>
      <w:b/>
      <w:smallCaps/>
      <w:kern w:val="28"/>
      <w:sz w:val="36"/>
      <w:lang w:eastAsia="en-US"/>
    </w:rPr>
  </w:style>
  <w:style w:type="paragraph" w:styleId="25">
    <w:name w:val="Body Text First Indent 2"/>
    <w:basedOn w:val="10"/>
    <w:qFormat/>
    <w:uiPriority w:val="0"/>
    <w:pPr>
      <w:ind w:firstLine="420" w:firstLineChars="200"/>
    </w:pPr>
  </w:style>
  <w:style w:type="table" w:styleId="27">
    <w:name w:val="Table Grid"/>
    <w:basedOn w:val="26"/>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annotation reference"/>
    <w:basedOn w:val="28"/>
    <w:qFormat/>
    <w:uiPriority w:val="0"/>
    <w:rPr>
      <w:sz w:val="21"/>
      <w:szCs w:val="21"/>
    </w:rPr>
  </w:style>
  <w:style w:type="character" w:customStyle="1" w:styleId="30">
    <w:name w:val="标题 2 Char"/>
    <w:link w:val="2"/>
    <w:qFormat/>
    <w:uiPriority w:val="0"/>
    <w:rPr>
      <w:rFonts w:ascii="Arial" w:hAnsi="Arial" w:eastAsia="宋体" w:cs="Times New Roman"/>
      <w:b/>
      <w:bCs/>
      <w:kern w:val="2"/>
      <w:sz w:val="28"/>
      <w:szCs w:val="32"/>
      <w:lang w:val="en-US" w:eastAsia="zh-CN" w:bidi="ar-SA"/>
    </w:rPr>
  </w:style>
  <w:style w:type="paragraph" w:customStyle="1" w:styleId="31">
    <w:name w:val="标书正文1"/>
    <w:basedOn w:val="1"/>
    <w:qFormat/>
    <w:uiPriority w:val="0"/>
    <w:pPr>
      <w:widowControl/>
      <w:spacing w:line="520" w:lineRule="exact"/>
      <w:ind w:firstLine="640" w:firstLineChars="200"/>
    </w:pPr>
  </w:style>
  <w:style w:type="paragraph" w:customStyle="1" w:styleId="32">
    <w:name w:val="_Style 3"/>
    <w:next w:val="18"/>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标题 1 Char"/>
    <w:link w:val="3"/>
    <w:qFormat/>
    <w:locked/>
    <w:uiPriority w:val="0"/>
    <w:rPr>
      <w:rFonts w:ascii="Times New Roman" w:hAnsi="Times New Roman" w:eastAsia="宋体" w:cs="Times New Roman"/>
      <w:b/>
      <w:bCs/>
      <w:kern w:val="2"/>
      <w:sz w:val="32"/>
      <w:szCs w:val="32"/>
      <w:lang w:val="en-US" w:eastAsia="zh-CN" w:bidi="ar-SA"/>
    </w:rPr>
  </w:style>
  <w:style w:type="character" w:customStyle="1" w:styleId="34">
    <w:name w:val="标题 4 Char"/>
    <w:link w:val="5"/>
    <w:qFormat/>
    <w:uiPriority w:val="0"/>
    <w:rPr>
      <w:rFonts w:ascii="Arial" w:hAnsi="Arial" w:eastAsia="宋体"/>
      <w:b/>
    </w:rPr>
  </w:style>
  <w:style w:type="character" w:customStyle="1" w:styleId="35">
    <w:name w:val="标题 3 Char"/>
    <w:link w:val="4"/>
    <w:qFormat/>
    <w:uiPriority w:val="0"/>
    <w:rPr>
      <w:rFonts w:ascii="Times New Roman" w:hAnsi="Times New Roman" w:eastAsia="宋体"/>
      <w:b/>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标题 1 Char1"/>
    <w:link w:val="3"/>
    <w:qFormat/>
    <w:uiPriority w:val="0"/>
    <w:rPr>
      <w:rFonts w:ascii="Times New Roman" w:hAnsi="Times New Roman" w:eastAsia="宋体" w:cs="Times New Roman"/>
      <w:kern w:val="44"/>
      <w:sz w:val="32"/>
    </w:rPr>
  </w:style>
  <w:style w:type="paragraph" w:customStyle="1" w:styleId="38">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0">
    <w:name w:val="font11"/>
    <w:basedOn w:val="28"/>
    <w:qFormat/>
    <w:uiPriority w:val="0"/>
    <w:rPr>
      <w:rFonts w:hint="default" w:ascii="Segoe UI" w:hAnsi="Segoe UI" w:eastAsia="Segoe UI" w:cs="Segoe UI"/>
      <w:color w:val="000000"/>
      <w:sz w:val="22"/>
      <w:szCs w:val="22"/>
      <w:u w:val="none"/>
    </w:rPr>
  </w:style>
  <w:style w:type="character" w:customStyle="1" w:styleId="41">
    <w:name w:val="font21"/>
    <w:basedOn w:val="28"/>
    <w:qFormat/>
    <w:uiPriority w:val="0"/>
    <w:rPr>
      <w:rFonts w:hint="default" w:ascii="Segoe UI" w:hAnsi="Segoe UI" w:eastAsia="Segoe UI" w:cs="Segoe UI"/>
      <w:color w:val="000000"/>
      <w:sz w:val="21"/>
      <w:szCs w:val="21"/>
      <w:u w:val="none"/>
    </w:rPr>
  </w:style>
  <w:style w:type="character" w:customStyle="1" w:styleId="42">
    <w:name w:val="font51"/>
    <w:basedOn w:val="28"/>
    <w:qFormat/>
    <w:uiPriority w:val="0"/>
    <w:rPr>
      <w:rFonts w:hint="eastAsia" w:ascii="微软雅黑" w:hAnsi="微软雅黑" w:eastAsia="微软雅黑" w:cs="微软雅黑"/>
      <w:color w:val="000000"/>
      <w:sz w:val="20"/>
      <w:szCs w:val="20"/>
      <w:u w:val="none"/>
    </w:rPr>
  </w:style>
  <w:style w:type="character" w:customStyle="1" w:styleId="43">
    <w:name w:val="font61"/>
    <w:basedOn w:val="28"/>
    <w:qFormat/>
    <w:uiPriority w:val="0"/>
    <w:rPr>
      <w:rFonts w:ascii="宋体" w:hAnsi="宋体" w:eastAsia="宋体" w:cs="宋体"/>
      <w:color w:val="000000"/>
      <w:sz w:val="20"/>
      <w:szCs w:val="20"/>
      <w:u w:val="none"/>
    </w:rPr>
  </w:style>
  <w:style w:type="character" w:customStyle="1" w:styleId="44">
    <w:name w:val="font01"/>
    <w:basedOn w:val="28"/>
    <w:qFormat/>
    <w:uiPriority w:val="0"/>
    <w:rPr>
      <w:rFonts w:hint="eastAsia" w:ascii="宋体" w:hAnsi="宋体" w:eastAsia="宋体" w:cs="宋体"/>
      <w:color w:val="000000"/>
      <w:sz w:val="20"/>
      <w:szCs w:val="20"/>
      <w:u w:val="none"/>
    </w:rPr>
  </w:style>
  <w:style w:type="paragraph" w:customStyle="1" w:styleId="45">
    <w:name w:val="正文1"/>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6">
    <w:name w:val="正文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47">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8">
    <w:name w:val="正文文本缩进1"/>
    <w:basedOn w:val="1"/>
    <w:qFormat/>
    <w:uiPriority w:val="0"/>
    <w:pPr>
      <w:ind w:firstLine="640" w:firstLineChars="200"/>
    </w:pPr>
    <w:rPr>
      <w:rFonts w:ascii="Calibri"/>
    </w:rPr>
  </w:style>
  <w:style w:type="paragraph" w:customStyle="1" w:styleId="49">
    <w:name w:val="正文首行缩进11"/>
    <w:basedOn w:val="9"/>
    <w:qFormat/>
    <w:uiPriority w:val="0"/>
    <w:pPr>
      <w:adjustRightInd w:val="0"/>
      <w:spacing w:line="275" w:lineRule="atLeast"/>
      <w:ind w:firstLine="420"/>
      <w:textAlignment w:val="baseline"/>
    </w:pPr>
    <w:rPr>
      <w:rFonts w:ascii="宋体" w:eastAsia="楷体_GB2312"/>
      <w:sz w:val="24"/>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1">
    <w:name w:val="正文文本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52">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3">
    <w:name w:val="正文（缩进）"/>
    <w:next w:val="1"/>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 w:type="character" w:customStyle="1" w:styleId="54">
    <w:name w:val="批注框文本 Char"/>
    <w:basedOn w:val="28"/>
    <w:link w:val="13"/>
    <w:qFormat/>
    <w:uiPriority w:val="0"/>
    <w:rPr>
      <w:kern w:val="2"/>
      <w:sz w:val="18"/>
      <w:szCs w:val="18"/>
    </w:rPr>
  </w:style>
  <w:style w:type="paragraph" w:customStyle="1" w:styleId="55">
    <w:name w:val="1"/>
    <w:basedOn w:val="1"/>
    <w:next w:val="11"/>
    <w:qFormat/>
    <w:uiPriority w:val="99"/>
    <w:rPr>
      <w:rFonts w:ascii="宋体" w:hAnsi="Courier New" w:cs="宋体"/>
      <w:sz w:val="21"/>
      <w:szCs w:val="21"/>
    </w:rPr>
  </w:style>
  <w:style w:type="paragraph" w:customStyle="1" w:styleId="56">
    <w:name w:val="正文 A A"/>
    <w:qFormat/>
    <w:uiPriority w:val="0"/>
    <w:pPr>
      <w:widowControl w:val="0"/>
      <w:jc w:val="both"/>
    </w:pPr>
    <w:rPr>
      <w:rFonts w:hint="eastAsia" w:ascii="Arial Unicode MS" w:hAnsi="Arial Unicode MS" w:eastAsia="Arial Unicode MS" w:cs="Arial Unicode MS"/>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35</Pages>
  <Words>9580</Words>
  <Characters>10071</Characters>
  <Lines>98</Lines>
  <Paragraphs>27</Paragraphs>
  <TotalTime>25</TotalTime>
  <ScaleCrop>false</ScaleCrop>
  <LinksUpToDate>false</LinksUpToDate>
  <CharactersWithSpaces>10446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2025-04-25T10:34:00Z</dcterms:created>
  <dc:creator>Admin</dc:creator>
  <cp:lastModifiedBy>任静茹</cp:lastModifiedBy>
  <cp:lastPrinted>2025-05-08T15:25:00Z</cp:lastPrinted>
  <dcterms:modified xsi:type="dcterms:W3CDTF">2025-06-25T06:46:14Z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AC6AA3D7B7564C8892AFC3BDBF76DAB4_13</vt:lpwstr>
  </property>
  <property fmtid="{D5CDD505-2E9C-101B-9397-08002B2CF9AE}" pid="4" name="KSOTemplateDocerSaveRecord">
    <vt:lpwstr>eyJoZGlkIjoiNjEzMWViMWU4ODM3ODQxMjEyYzFhODUyNTg2M2I3ODEiLCJ1c2VySWQiOiIxMTUyNDQyNjA1In0=</vt:lpwstr>
  </property>
</Properties>
</file>