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6970B">
      <w:pPr>
        <w:jc w:val="center"/>
        <w:rPr>
          <w:rFonts w:ascii="宋体" w:hAnsi="宋体" w:cs="宋体"/>
          <w:b/>
          <w:bCs/>
          <w:sz w:val="96"/>
          <w:szCs w:val="96"/>
        </w:rPr>
      </w:pPr>
    </w:p>
    <w:p w14:paraId="00F4E005">
      <w:pPr>
        <w:jc w:val="center"/>
        <w:rPr>
          <w:rFonts w:ascii="宋体" w:hAnsi="宋体" w:cs="宋体"/>
          <w:b/>
          <w:bCs/>
          <w:sz w:val="96"/>
          <w:szCs w:val="96"/>
        </w:rPr>
      </w:pPr>
      <w:r>
        <w:rPr>
          <w:rFonts w:hint="eastAsia" w:ascii="宋体" w:hAnsi="宋体" w:cs="宋体"/>
          <w:b/>
          <w:bCs/>
          <w:sz w:val="96"/>
          <w:szCs w:val="96"/>
        </w:rPr>
        <w:t>行采家-电子竞采</w:t>
      </w:r>
    </w:p>
    <w:p w14:paraId="0D5AEA4E">
      <w:pPr>
        <w:pStyle w:val="11"/>
        <w:spacing w:line="360" w:lineRule="auto"/>
        <w:ind w:left="0"/>
        <w:jc w:val="center"/>
        <w:rPr>
          <w:rFonts w:ascii="宋体" w:hAnsi="宋体" w:cs="宋体"/>
          <w:sz w:val="24"/>
          <w:szCs w:val="24"/>
        </w:rPr>
      </w:pPr>
      <w:r>
        <w:rPr>
          <w:rFonts w:hint="eastAsia" w:ascii="宋体" w:hAnsi="宋体" w:cs="宋体"/>
          <w:b/>
          <w:bCs/>
          <w:sz w:val="96"/>
          <w:szCs w:val="96"/>
        </w:rPr>
        <w:t>采购文件</w:t>
      </w:r>
    </w:p>
    <w:p w14:paraId="5B2F6DFE">
      <w:pPr>
        <w:pStyle w:val="11"/>
        <w:spacing w:line="360" w:lineRule="auto"/>
        <w:ind w:left="0"/>
        <w:jc w:val="center"/>
        <w:rPr>
          <w:rFonts w:ascii="宋体" w:hAnsi="宋体" w:cs="宋体"/>
          <w:sz w:val="24"/>
          <w:szCs w:val="24"/>
        </w:rPr>
      </w:pPr>
    </w:p>
    <w:p w14:paraId="77043ECA">
      <w:pPr>
        <w:pStyle w:val="11"/>
        <w:spacing w:line="360" w:lineRule="auto"/>
        <w:ind w:left="0"/>
        <w:jc w:val="center"/>
        <w:rPr>
          <w:rFonts w:ascii="宋体" w:hAnsi="宋体" w:cs="宋体"/>
          <w:sz w:val="24"/>
          <w:szCs w:val="24"/>
        </w:rPr>
      </w:pPr>
    </w:p>
    <w:p w14:paraId="1ADFD23A">
      <w:pPr>
        <w:pStyle w:val="11"/>
        <w:spacing w:line="360" w:lineRule="auto"/>
        <w:ind w:left="0"/>
        <w:rPr>
          <w:rFonts w:ascii="宋体" w:hAnsi="宋体" w:cs="宋体"/>
          <w:sz w:val="24"/>
          <w:szCs w:val="24"/>
        </w:rPr>
      </w:pPr>
    </w:p>
    <w:p w14:paraId="2D46800C">
      <w:pPr>
        <w:pStyle w:val="11"/>
        <w:spacing w:line="360" w:lineRule="auto"/>
        <w:ind w:left="0"/>
        <w:jc w:val="center"/>
        <w:rPr>
          <w:rFonts w:ascii="宋体" w:hAnsi="宋体" w:cs="宋体"/>
          <w:sz w:val="24"/>
          <w:szCs w:val="24"/>
        </w:rPr>
      </w:pPr>
    </w:p>
    <w:p w14:paraId="6BCE8A59">
      <w:pPr>
        <w:spacing w:line="360" w:lineRule="auto"/>
        <w:outlineLvl w:val="0"/>
        <w:rPr>
          <w:rFonts w:ascii="宋体" w:hAnsi="宋体" w:cs="宋体"/>
          <w:b/>
          <w:bCs/>
          <w:sz w:val="40"/>
          <w:szCs w:val="40"/>
        </w:rPr>
      </w:pPr>
      <w:bookmarkStart w:id="0" w:name="_Toc21852"/>
      <w:r>
        <w:rPr>
          <w:rFonts w:hint="eastAsia" w:ascii="宋体" w:hAnsi="宋体" w:cs="宋体"/>
          <w:b/>
          <w:bCs/>
          <w:sz w:val="40"/>
          <w:szCs w:val="40"/>
        </w:rPr>
        <w:t>项目名称：建胜镇民胜村人居环境提升工程监理服务</w:t>
      </w:r>
      <w:bookmarkEnd w:id="0"/>
    </w:p>
    <w:p w14:paraId="3EAC2C57">
      <w:pPr>
        <w:spacing w:line="360" w:lineRule="auto"/>
        <w:jc w:val="left"/>
        <w:outlineLvl w:val="0"/>
        <w:rPr>
          <w:rFonts w:ascii="宋体" w:hAnsi="宋体" w:cs="宋体"/>
          <w:b/>
          <w:bCs/>
          <w:sz w:val="40"/>
          <w:szCs w:val="40"/>
        </w:rPr>
      </w:pPr>
      <w:bookmarkStart w:id="1" w:name="_Toc3606"/>
      <w:r>
        <w:rPr>
          <w:rFonts w:hint="eastAsia" w:ascii="宋体" w:hAnsi="宋体" w:cs="宋体"/>
          <w:b/>
          <w:bCs/>
          <w:sz w:val="40"/>
          <w:szCs w:val="40"/>
        </w:rPr>
        <w:t>项目编号：XD-ZC-2026-015</w:t>
      </w:r>
      <w:bookmarkEnd w:id="1"/>
    </w:p>
    <w:p w14:paraId="0845B16B">
      <w:pPr>
        <w:pStyle w:val="10"/>
        <w:rPr>
          <w:rFonts w:ascii="宋体" w:hAnsi="宋体" w:cs="宋体"/>
          <w:b/>
          <w:bCs/>
          <w:sz w:val="36"/>
          <w:szCs w:val="36"/>
        </w:rPr>
      </w:pPr>
    </w:p>
    <w:p w14:paraId="2594DA41">
      <w:pPr>
        <w:pStyle w:val="10"/>
        <w:rPr>
          <w:rFonts w:ascii="宋体" w:hAnsi="宋体" w:cs="宋体"/>
          <w:b/>
          <w:bCs/>
          <w:sz w:val="30"/>
          <w:szCs w:val="30"/>
        </w:rPr>
      </w:pPr>
    </w:p>
    <w:p w14:paraId="5582FEAE">
      <w:pPr>
        <w:pStyle w:val="10"/>
        <w:rPr>
          <w:rFonts w:ascii="宋体" w:hAnsi="宋体" w:cs="宋体"/>
          <w:sz w:val="30"/>
          <w:szCs w:val="30"/>
        </w:rPr>
      </w:pPr>
    </w:p>
    <w:p w14:paraId="423E9E7E">
      <w:pPr>
        <w:spacing w:line="360" w:lineRule="auto"/>
        <w:rPr>
          <w:rFonts w:ascii="宋体" w:hAnsi="宋体" w:cs="宋体"/>
        </w:rPr>
      </w:pPr>
    </w:p>
    <w:p w14:paraId="4E058BD2">
      <w:pPr>
        <w:spacing w:line="360" w:lineRule="auto"/>
        <w:ind w:firstLine="1958" w:firstLineChars="650"/>
        <w:outlineLvl w:val="0"/>
        <w:rPr>
          <w:rFonts w:ascii="宋体" w:hAnsi="宋体" w:cs="宋体"/>
          <w:b/>
          <w:bCs/>
          <w:sz w:val="30"/>
          <w:szCs w:val="30"/>
        </w:rPr>
      </w:pPr>
      <w:r>
        <w:rPr>
          <w:rFonts w:hint="eastAsia" w:ascii="宋体" w:hAnsi="宋体" w:cs="宋体"/>
          <w:b/>
          <w:bCs/>
          <w:sz w:val="30"/>
          <w:szCs w:val="30"/>
        </w:rPr>
        <w:t xml:space="preserve"> </w:t>
      </w:r>
    </w:p>
    <w:p w14:paraId="1DC35B20">
      <w:pPr>
        <w:spacing w:line="360" w:lineRule="auto"/>
        <w:jc w:val="center"/>
        <w:outlineLvl w:val="0"/>
        <w:rPr>
          <w:rFonts w:ascii="宋体" w:hAnsi="宋体" w:cs="宋体"/>
          <w:b/>
          <w:bCs/>
          <w:sz w:val="32"/>
          <w:szCs w:val="32"/>
        </w:rPr>
      </w:pPr>
      <w:bookmarkStart w:id="2" w:name="_Toc1737"/>
      <w:r>
        <w:rPr>
          <w:rFonts w:hint="eastAsia" w:ascii="宋体" w:hAnsi="宋体" w:cs="宋体"/>
          <w:b/>
          <w:bCs/>
          <w:sz w:val="32"/>
          <w:szCs w:val="32"/>
        </w:rPr>
        <w:t>采购人：</w:t>
      </w:r>
      <w:r>
        <w:rPr>
          <w:rFonts w:hint="eastAsia" w:ascii="宋体" w:hAnsi="宋体" w:cs="宋体"/>
          <w:b/>
          <w:bCs/>
          <w:sz w:val="32"/>
          <w:szCs w:val="32"/>
          <w:u w:val="single"/>
        </w:rPr>
        <w:t>重庆市大渡口区建胜镇人民政府</w:t>
      </w:r>
      <w:r>
        <w:rPr>
          <w:rFonts w:hint="eastAsia" w:ascii="宋体" w:hAnsi="宋体" w:cs="宋体"/>
          <w:b/>
          <w:bCs/>
          <w:sz w:val="32"/>
          <w:szCs w:val="32"/>
        </w:rPr>
        <w:t>（盖单位法人章）</w:t>
      </w:r>
      <w:bookmarkEnd w:id="2"/>
    </w:p>
    <w:p w14:paraId="2C96B252">
      <w:pPr>
        <w:spacing w:line="360" w:lineRule="auto"/>
        <w:outlineLvl w:val="0"/>
        <w:rPr>
          <w:rFonts w:ascii="宋体" w:hAnsi="宋体" w:cs="宋体"/>
          <w:b/>
          <w:bCs/>
          <w:sz w:val="32"/>
          <w:szCs w:val="32"/>
        </w:rPr>
      </w:pPr>
      <w:bookmarkStart w:id="3" w:name="_Toc11327"/>
      <w:r>
        <w:rPr>
          <w:rFonts w:hint="eastAsia" w:ascii="宋体" w:hAnsi="宋体" w:cs="宋体"/>
          <w:b/>
          <w:bCs/>
          <w:sz w:val="32"/>
          <w:szCs w:val="32"/>
        </w:rPr>
        <w:t>采购代理机构：</w:t>
      </w:r>
      <w:r>
        <w:rPr>
          <w:rFonts w:hint="eastAsia" w:ascii="宋体" w:hAnsi="宋体" w:cs="宋体"/>
          <w:b/>
          <w:bCs/>
          <w:sz w:val="32"/>
          <w:szCs w:val="32"/>
          <w:u w:val="single"/>
        </w:rPr>
        <w:t>重庆兴渡工程咨询有限公司</w:t>
      </w:r>
      <w:r>
        <w:rPr>
          <w:rFonts w:hint="eastAsia" w:ascii="宋体" w:hAnsi="宋体" w:cs="宋体"/>
          <w:b/>
          <w:bCs/>
          <w:sz w:val="32"/>
          <w:szCs w:val="32"/>
        </w:rPr>
        <w:t>（盖单位法人章）</w:t>
      </w:r>
      <w:bookmarkEnd w:id="3"/>
    </w:p>
    <w:p w14:paraId="623D7383">
      <w:pPr>
        <w:snapToGrid w:val="0"/>
        <w:spacing w:line="360" w:lineRule="auto"/>
        <w:rPr>
          <w:rFonts w:ascii="宋体" w:hAnsi="宋体" w:cs="宋体"/>
          <w:b/>
          <w:bCs/>
          <w:sz w:val="30"/>
          <w:szCs w:val="30"/>
        </w:rPr>
      </w:pPr>
    </w:p>
    <w:p w14:paraId="277F3BE6">
      <w:pPr>
        <w:snapToGrid w:val="0"/>
        <w:spacing w:line="360" w:lineRule="auto"/>
        <w:jc w:val="center"/>
        <w:rPr>
          <w:rFonts w:ascii="宋体" w:hAnsi="宋体" w:cs="宋体"/>
          <w:sz w:val="32"/>
          <w:szCs w:val="32"/>
        </w:rPr>
        <w:sectPr>
          <w:headerReference r:id="rId4" w:type="first"/>
          <w:footerReference r:id="rId6" w:type="first"/>
          <w:headerReference r:id="rId3" w:type="default"/>
          <w:footerReference r:id="rId5" w:type="even"/>
          <w:pgSz w:w="11907" w:h="16840"/>
          <w:pgMar w:top="1417" w:right="1417" w:bottom="1417" w:left="1417" w:header="851" w:footer="992" w:gutter="0"/>
          <w:pgNumType w:start="1"/>
          <w:cols w:space="720" w:num="1"/>
          <w:docGrid w:linePitch="380" w:charSpace="-5735"/>
        </w:sectPr>
      </w:pPr>
      <w:r>
        <w:rPr>
          <w:rFonts w:hint="eastAsia" w:ascii="宋体" w:hAnsi="宋体" w:cs="宋体"/>
          <w:b/>
          <w:bCs/>
          <w:sz w:val="32"/>
          <w:szCs w:val="32"/>
        </w:rPr>
        <w:t>二〇二六年</w:t>
      </w:r>
      <w:r>
        <w:rPr>
          <w:rFonts w:hint="eastAsia" w:ascii="宋体" w:hAnsi="宋体" w:cs="宋体"/>
          <w:b/>
          <w:bCs/>
          <w:sz w:val="32"/>
          <w:szCs w:val="32"/>
          <w:lang w:eastAsia="zh-CN"/>
        </w:rPr>
        <w:t>五</w:t>
      </w:r>
      <w:r>
        <w:rPr>
          <w:rFonts w:hint="eastAsia" w:ascii="宋体" w:hAnsi="宋体" w:cs="宋体"/>
          <w:b/>
          <w:bCs/>
          <w:sz w:val="32"/>
          <w:szCs w:val="32"/>
        </w:rPr>
        <w:t>月</w:t>
      </w:r>
    </w:p>
    <w:p w14:paraId="06D595D9">
      <w:pPr>
        <w:spacing w:line="360" w:lineRule="auto"/>
        <w:outlineLvl w:val="0"/>
        <w:rPr>
          <w:rFonts w:ascii="仿宋" w:hAnsi="仿宋" w:eastAsia="仿宋" w:cs="仿宋"/>
          <w:sz w:val="24"/>
          <w:szCs w:val="24"/>
        </w:rPr>
      </w:pPr>
    </w:p>
    <w:p w14:paraId="5DA6F68C">
      <w:pPr>
        <w:spacing w:line="360" w:lineRule="auto"/>
        <w:jc w:val="center"/>
        <w:outlineLvl w:val="0"/>
        <w:rPr>
          <w:rFonts w:ascii="宋体" w:hAnsi="宋体" w:cs="宋体"/>
          <w:sz w:val="28"/>
          <w:szCs w:val="28"/>
        </w:rPr>
      </w:pPr>
      <w:bookmarkStart w:id="4" w:name="_Toc25759"/>
      <w:r>
        <w:rPr>
          <w:rFonts w:hint="eastAsia" w:ascii="宋体" w:hAnsi="宋体" w:cs="宋体"/>
          <w:sz w:val="28"/>
          <w:szCs w:val="28"/>
        </w:rPr>
        <w:t>目   录</w:t>
      </w:r>
      <w:bookmarkEnd w:id="4"/>
    </w:p>
    <w:sdt>
      <w:sdtPr>
        <w:rPr>
          <w:rFonts w:hint="eastAsia" w:ascii="宋体" w:hAnsi="宋体" w:cs="宋体"/>
          <w:b/>
          <w:sz w:val="21"/>
        </w:rPr>
        <w:id w:val="147464966"/>
        <w:docPartObj>
          <w:docPartGallery w:val="Table of Contents"/>
          <w:docPartUnique/>
        </w:docPartObj>
      </w:sdtPr>
      <w:sdtEndPr>
        <w:rPr>
          <w:rFonts w:hint="eastAsia" w:ascii="宋体" w:hAnsi="宋体" w:cs="宋体"/>
          <w:b/>
          <w:bCs/>
          <w:sz w:val="32"/>
          <w:szCs w:val="36"/>
        </w:rPr>
      </w:sdtEndPr>
      <w:sdtContent>
        <w:p w14:paraId="2D413331">
          <w:pPr>
            <w:jc w:val="center"/>
            <w:rPr>
              <w:rFonts w:ascii="宋体" w:hAnsi="宋体" w:cs="宋体"/>
            </w:rPr>
          </w:pPr>
          <w:bookmarkStart w:id="5" w:name="_Toc19580"/>
          <w:bookmarkStart w:id="6" w:name="_Toc11641050"/>
          <w:bookmarkStart w:id="7" w:name="_Toc212456861"/>
          <w:bookmarkStart w:id="8" w:name="_Toc12789052"/>
          <w:r>
            <w:rPr>
              <w:rFonts w:hint="eastAsia" w:ascii="宋体" w:hAnsi="宋体" w:cs="宋体"/>
              <w:bCs/>
              <w:sz w:val="36"/>
              <w:szCs w:val="36"/>
            </w:rPr>
            <w:fldChar w:fldCharType="begin"/>
          </w:r>
          <w:r>
            <w:rPr>
              <w:rFonts w:hint="eastAsia" w:ascii="宋体" w:hAnsi="宋体" w:cs="宋体"/>
              <w:bCs/>
              <w:sz w:val="36"/>
              <w:szCs w:val="36"/>
            </w:rPr>
            <w:instrText xml:space="preserve">TOC \o "1-3" \h \u </w:instrText>
          </w:r>
          <w:r>
            <w:rPr>
              <w:rFonts w:hint="eastAsia" w:ascii="宋体" w:hAnsi="宋体" w:cs="宋体"/>
              <w:bCs/>
              <w:sz w:val="36"/>
              <w:szCs w:val="36"/>
            </w:rPr>
            <w:fldChar w:fldCharType="separate"/>
          </w:r>
        </w:p>
        <w:p w14:paraId="1A81FEA1">
          <w:pPr>
            <w:pStyle w:val="21"/>
            <w:tabs>
              <w:tab w:val="right" w:leader="dot" w:pos="9185"/>
            </w:tabs>
            <w:ind w:left="560"/>
            <w:rPr>
              <w:rFonts w:ascii="宋体" w:hAnsi="宋体" w:cs="宋体"/>
            </w:rPr>
          </w:pPr>
          <w:r>
            <w:fldChar w:fldCharType="begin"/>
          </w:r>
          <w:r>
            <w:instrText xml:space="preserve"> HYPERLINK \l "_Toc31462" </w:instrText>
          </w:r>
          <w:r>
            <w:fldChar w:fldCharType="separate"/>
          </w:r>
          <w:r>
            <w:rPr>
              <w:rFonts w:hint="eastAsia" w:ascii="宋体" w:hAnsi="宋体" w:cs="宋体"/>
              <w:bCs/>
              <w:szCs w:val="36"/>
            </w:rPr>
            <w:t>第一篇 采购邀请书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_Toc31462 \h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r>
            <w:rPr>
              <w:rFonts w:hint="eastAsia" w:ascii="宋体" w:hAnsi="宋体" w:cs="宋体"/>
            </w:rPr>
            <w:fldChar w:fldCharType="end"/>
          </w:r>
        </w:p>
        <w:p w14:paraId="5C6B6CDB">
          <w:pPr>
            <w:pStyle w:val="21"/>
            <w:tabs>
              <w:tab w:val="right" w:leader="dot" w:pos="9185"/>
            </w:tabs>
            <w:ind w:left="560" w:firstLine="560" w:firstLineChars="200"/>
            <w:rPr>
              <w:rFonts w:ascii="宋体" w:hAnsi="宋体" w:cs="宋体"/>
            </w:rPr>
          </w:pPr>
          <w:r>
            <w:fldChar w:fldCharType="begin"/>
          </w:r>
          <w:r>
            <w:instrText xml:space="preserve"> HYPERLINK \l "_Toc3274" </w:instrText>
          </w:r>
          <w:r>
            <w:fldChar w:fldCharType="separate"/>
          </w:r>
          <w:r>
            <w:rPr>
              <w:rFonts w:hint="eastAsia" w:ascii="宋体" w:hAnsi="宋体" w:cs="宋体"/>
            </w:rPr>
            <w:t>一、竞采采购内容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_Toc3274 \h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r>
            <w:rPr>
              <w:rFonts w:hint="eastAsia" w:ascii="宋体" w:hAnsi="宋体" w:cs="宋体"/>
            </w:rPr>
            <w:fldChar w:fldCharType="end"/>
          </w:r>
        </w:p>
        <w:p w14:paraId="6A05F063">
          <w:pPr>
            <w:pStyle w:val="21"/>
            <w:tabs>
              <w:tab w:val="right" w:leader="dot" w:pos="9185"/>
            </w:tabs>
            <w:ind w:left="560" w:firstLine="560" w:firstLineChars="200"/>
            <w:rPr>
              <w:rFonts w:ascii="宋体" w:hAnsi="宋体" w:cs="宋体"/>
            </w:rPr>
          </w:pPr>
          <w:r>
            <w:fldChar w:fldCharType="begin"/>
          </w:r>
          <w:r>
            <w:instrText xml:space="preserve"> HYPERLINK \l "_Toc24615" </w:instrText>
          </w:r>
          <w:r>
            <w:fldChar w:fldCharType="separate"/>
          </w:r>
          <w:r>
            <w:rPr>
              <w:rFonts w:hint="eastAsia" w:ascii="宋体" w:hAnsi="宋体" w:cs="宋体"/>
            </w:rPr>
            <w:t>二、资金来源</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_Toc24615 \h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r>
            <w:rPr>
              <w:rFonts w:hint="eastAsia" w:ascii="宋体" w:hAnsi="宋体" w:cs="宋体"/>
            </w:rPr>
            <w:fldChar w:fldCharType="end"/>
          </w:r>
        </w:p>
        <w:p w14:paraId="26DDC26B">
          <w:pPr>
            <w:pStyle w:val="21"/>
            <w:tabs>
              <w:tab w:val="right" w:leader="dot" w:pos="9185"/>
            </w:tabs>
            <w:ind w:left="560" w:firstLine="560" w:firstLineChars="200"/>
            <w:rPr>
              <w:rFonts w:ascii="宋体" w:hAnsi="宋体" w:cs="宋体"/>
            </w:rPr>
          </w:pPr>
          <w:r>
            <w:fldChar w:fldCharType="begin"/>
          </w:r>
          <w:r>
            <w:instrText xml:space="preserve"> HYPERLINK \l "_Toc30056" </w:instrText>
          </w:r>
          <w:r>
            <w:fldChar w:fldCharType="separate"/>
          </w:r>
          <w:r>
            <w:rPr>
              <w:rFonts w:hint="eastAsia" w:ascii="宋体" w:hAnsi="宋体" w:cs="宋体"/>
            </w:rPr>
            <w:t>三、供应商资格条件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_Toc30056 \h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r>
            <w:rPr>
              <w:rFonts w:hint="eastAsia" w:ascii="宋体" w:hAnsi="宋体" w:cs="宋体"/>
            </w:rPr>
            <w:fldChar w:fldCharType="end"/>
          </w:r>
        </w:p>
        <w:p w14:paraId="13FE941C">
          <w:pPr>
            <w:pStyle w:val="21"/>
            <w:tabs>
              <w:tab w:val="right" w:leader="dot" w:pos="9185"/>
            </w:tabs>
            <w:ind w:left="560" w:firstLine="560" w:firstLineChars="200"/>
            <w:rPr>
              <w:rFonts w:ascii="宋体" w:hAnsi="宋体" w:cs="宋体"/>
            </w:rPr>
          </w:pPr>
          <w:r>
            <w:fldChar w:fldCharType="begin"/>
          </w:r>
          <w:r>
            <w:instrText xml:space="preserve"> HYPERLINK \l "_Toc18508" </w:instrText>
          </w:r>
          <w:r>
            <w:fldChar w:fldCharType="separate"/>
          </w:r>
          <w:r>
            <w:rPr>
              <w:rFonts w:hint="eastAsia" w:ascii="宋体" w:hAnsi="宋体" w:cs="宋体"/>
            </w:rPr>
            <w:t>四、电子竞采有关说明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_Toc18508 \h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r>
            <w:rPr>
              <w:rFonts w:hint="eastAsia" w:ascii="宋体" w:hAnsi="宋体" w:cs="宋体"/>
            </w:rPr>
            <w:fldChar w:fldCharType="end"/>
          </w:r>
        </w:p>
        <w:p w14:paraId="5D7EF5F4">
          <w:pPr>
            <w:pStyle w:val="21"/>
            <w:tabs>
              <w:tab w:val="right" w:leader="dot" w:pos="9185"/>
            </w:tabs>
            <w:ind w:left="560" w:firstLine="560" w:firstLineChars="200"/>
            <w:rPr>
              <w:rFonts w:ascii="宋体" w:hAnsi="宋体" w:cs="宋体"/>
            </w:rPr>
          </w:pPr>
          <w:r>
            <w:fldChar w:fldCharType="begin"/>
          </w:r>
          <w:r>
            <w:instrText xml:space="preserve"> HYPERLINK \l "_Toc5530" </w:instrText>
          </w:r>
          <w:r>
            <w:fldChar w:fldCharType="separate"/>
          </w:r>
          <w:r>
            <w:rPr>
              <w:rFonts w:hint="eastAsia" w:ascii="宋体" w:hAnsi="宋体" w:cs="宋体"/>
            </w:rPr>
            <w:t>五、其他有关规定</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_Toc5530 \h </w:instrText>
          </w:r>
          <w:r>
            <w:rPr>
              <w:rFonts w:hint="eastAsia" w:ascii="宋体" w:hAnsi="宋体" w:cs="宋体"/>
            </w:rPr>
            <w:fldChar w:fldCharType="separate"/>
          </w:r>
          <w:r>
            <w:rPr>
              <w:rFonts w:hint="eastAsia" w:ascii="宋体" w:hAnsi="宋体" w:cs="宋体"/>
            </w:rPr>
            <w:t>- 2 -</w:t>
          </w:r>
          <w:r>
            <w:rPr>
              <w:rFonts w:hint="eastAsia" w:ascii="宋体" w:hAnsi="宋体" w:cs="宋体"/>
            </w:rPr>
            <w:fldChar w:fldCharType="end"/>
          </w:r>
          <w:r>
            <w:rPr>
              <w:rFonts w:hint="eastAsia" w:ascii="宋体" w:hAnsi="宋体" w:cs="宋体"/>
            </w:rPr>
            <w:fldChar w:fldCharType="end"/>
          </w:r>
        </w:p>
        <w:p w14:paraId="6C5F23BE">
          <w:pPr>
            <w:pStyle w:val="21"/>
            <w:tabs>
              <w:tab w:val="right" w:leader="dot" w:pos="9185"/>
            </w:tabs>
            <w:ind w:left="560" w:firstLine="560" w:firstLineChars="200"/>
            <w:rPr>
              <w:rFonts w:ascii="宋体" w:hAnsi="宋体" w:cs="宋体"/>
            </w:rPr>
          </w:pPr>
          <w:r>
            <w:fldChar w:fldCharType="begin"/>
          </w:r>
          <w:r>
            <w:instrText xml:space="preserve"> HYPERLINK \l "_Toc8686" </w:instrText>
          </w:r>
          <w:r>
            <w:fldChar w:fldCharType="separate"/>
          </w:r>
          <w:r>
            <w:rPr>
              <w:rFonts w:hint="eastAsia" w:ascii="宋体" w:hAnsi="宋体" w:cs="宋体"/>
            </w:rPr>
            <w:t>六、联系方式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_Toc8686 \h </w:instrText>
          </w:r>
          <w:r>
            <w:rPr>
              <w:rFonts w:hint="eastAsia" w:ascii="宋体" w:hAnsi="宋体" w:cs="宋体"/>
            </w:rPr>
            <w:fldChar w:fldCharType="separate"/>
          </w:r>
          <w:r>
            <w:rPr>
              <w:rFonts w:hint="eastAsia" w:ascii="宋体" w:hAnsi="宋体" w:cs="宋体"/>
            </w:rPr>
            <w:t>- 3 -</w:t>
          </w:r>
          <w:r>
            <w:rPr>
              <w:rFonts w:hint="eastAsia" w:ascii="宋体" w:hAnsi="宋体" w:cs="宋体"/>
            </w:rPr>
            <w:fldChar w:fldCharType="end"/>
          </w:r>
          <w:r>
            <w:rPr>
              <w:rFonts w:hint="eastAsia" w:ascii="宋体" w:hAnsi="宋体" w:cs="宋体"/>
            </w:rPr>
            <w:fldChar w:fldCharType="end"/>
          </w:r>
        </w:p>
        <w:p w14:paraId="4B958DA3">
          <w:pPr>
            <w:pStyle w:val="21"/>
            <w:tabs>
              <w:tab w:val="right" w:leader="dot" w:pos="9185"/>
            </w:tabs>
            <w:ind w:left="560"/>
            <w:rPr>
              <w:rFonts w:ascii="宋体" w:hAnsi="宋体" w:cs="宋体"/>
            </w:rPr>
          </w:pPr>
          <w:r>
            <w:fldChar w:fldCharType="begin"/>
          </w:r>
          <w:r>
            <w:instrText xml:space="preserve"> HYPERLINK \l "_Toc3498" </w:instrText>
          </w:r>
          <w:r>
            <w:fldChar w:fldCharType="separate"/>
          </w:r>
          <w:r>
            <w:rPr>
              <w:rFonts w:hint="eastAsia" w:ascii="宋体" w:hAnsi="宋体" w:cs="宋体"/>
              <w:bCs/>
              <w:szCs w:val="36"/>
            </w:rPr>
            <w:t>第二篇 项目服务（质量）需求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_Toc3498 \h </w:instrText>
          </w:r>
          <w:r>
            <w:rPr>
              <w:rFonts w:hint="eastAsia" w:ascii="宋体" w:hAnsi="宋体" w:cs="宋体"/>
            </w:rPr>
            <w:fldChar w:fldCharType="separate"/>
          </w:r>
          <w:r>
            <w:rPr>
              <w:rFonts w:hint="eastAsia" w:ascii="宋体" w:hAnsi="宋体" w:cs="宋体"/>
            </w:rPr>
            <w:t>- 4 -</w:t>
          </w:r>
          <w:r>
            <w:rPr>
              <w:rFonts w:hint="eastAsia" w:ascii="宋体" w:hAnsi="宋体" w:cs="宋体"/>
            </w:rPr>
            <w:fldChar w:fldCharType="end"/>
          </w:r>
          <w:r>
            <w:rPr>
              <w:rFonts w:hint="eastAsia" w:ascii="宋体" w:hAnsi="宋体" w:cs="宋体"/>
            </w:rPr>
            <w:fldChar w:fldCharType="end"/>
          </w:r>
        </w:p>
        <w:p w14:paraId="479B033E">
          <w:pPr>
            <w:pStyle w:val="21"/>
            <w:tabs>
              <w:tab w:val="right" w:leader="dot" w:pos="9185"/>
            </w:tabs>
            <w:ind w:left="560" w:firstLine="560" w:firstLineChars="200"/>
            <w:rPr>
              <w:rFonts w:ascii="宋体" w:hAnsi="宋体" w:cs="宋体"/>
            </w:rPr>
          </w:pPr>
          <w:r>
            <w:fldChar w:fldCharType="begin"/>
          </w:r>
          <w:r>
            <w:instrText xml:space="preserve"> HYPERLINK \l "_Toc4088" </w:instrText>
          </w:r>
          <w:r>
            <w:fldChar w:fldCharType="separate"/>
          </w:r>
          <w:r>
            <w:rPr>
              <w:rFonts w:hint="eastAsia" w:ascii="宋体" w:hAnsi="宋体" w:cs="宋体"/>
            </w:rPr>
            <w:t>一、项目概况</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_Toc4088 \h </w:instrText>
          </w:r>
          <w:r>
            <w:rPr>
              <w:rFonts w:hint="eastAsia" w:ascii="宋体" w:hAnsi="宋体" w:cs="宋体"/>
            </w:rPr>
            <w:fldChar w:fldCharType="separate"/>
          </w:r>
          <w:r>
            <w:rPr>
              <w:rFonts w:hint="eastAsia" w:ascii="宋体" w:hAnsi="宋体" w:cs="宋体"/>
            </w:rPr>
            <w:t>- 4 -</w:t>
          </w:r>
          <w:r>
            <w:rPr>
              <w:rFonts w:hint="eastAsia" w:ascii="宋体" w:hAnsi="宋体" w:cs="宋体"/>
            </w:rPr>
            <w:fldChar w:fldCharType="end"/>
          </w:r>
          <w:r>
            <w:rPr>
              <w:rFonts w:hint="eastAsia" w:ascii="宋体" w:hAnsi="宋体" w:cs="宋体"/>
            </w:rPr>
            <w:fldChar w:fldCharType="end"/>
          </w:r>
        </w:p>
        <w:p w14:paraId="6B6A641C">
          <w:pPr>
            <w:pStyle w:val="21"/>
            <w:tabs>
              <w:tab w:val="right" w:leader="dot" w:pos="9185"/>
            </w:tabs>
            <w:ind w:left="560" w:firstLine="560" w:firstLineChars="200"/>
            <w:rPr>
              <w:rFonts w:ascii="宋体" w:hAnsi="宋体" w:cs="宋体"/>
            </w:rPr>
          </w:pPr>
          <w:r>
            <w:fldChar w:fldCharType="begin"/>
          </w:r>
          <w:r>
            <w:instrText xml:space="preserve"> HYPERLINK \l "_Toc4476" </w:instrText>
          </w:r>
          <w:r>
            <w:fldChar w:fldCharType="separate"/>
          </w:r>
          <w:r>
            <w:rPr>
              <w:rFonts w:hint="eastAsia" w:ascii="宋体" w:hAnsi="宋体" w:cs="宋体"/>
            </w:rPr>
            <w:t>二、采购范围</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_Toc4476 \h </w:instrText>
          </w:r>
          <w:r>
            <w:rPr>
              <w:rFonts w:hint="eastAsia" w:ascii="宋体" w:hAnsi="宋体" w:cs="宋体"/>
            </w:rPr>
            <w:fldChar w:fldCharType="separate"/>
          </w:r>
          <w:r>
            <w:rPr>
              <w:rFonts w:hint="eastAsia" w:ascii="宋体" w:hAnsi="宋体" w:cs="宋体"/>
            </w:rPr>
            <w:t>- 4 -</w:t>
          </w:r>
          <w:r>
            <w:rPr>
              <w:rFonts w:hint="eastAsia" w:ascii="宋体" w:hAnsi="宋体" w:cs="宋体"/>
            </w:rPr>
            <w:fldChar w:fldCharType="end"/>
          </w:r>
          <w:r>
            <w:rPr>
              <w:rFonts w:hint="eastAsia" w:ascii="宋体" w:hAnsi="宋体" w:cs="宋体"/>
            </w:rPr>
            <w:fldChar w:fldCharType="end"/>
          </w:r>
        </w:p>
        <w:p w14:paraId="77E59DD0">
          <w:pPr>
            <w:pStyle w:val="21"/>
            <w:tabs>
              <w:tab w:val="right" w:leader="dot" w:pos="9185"/>
            </w:tabs>
            <w:ind w:left="560" w:firstLine="560" w:firstLineChars="200"/>
            <w:rPr>
              <w:rFonts w:ascii="宋体" w:hAnsi="宋体" w:cs="宋体"/>
            </w:rPr>
          </w:pPr>
          <w:r>
            <w:fldChar w:fldCharType="begin"/>
          </w:r>
          <w:r>
            <w:instrText xml:space="preserve"> HYPERLINK \l "_Toc10461" </w:instrText>
          </w:r>
          <w:r>
            <w:fldChar w:fldCharType="separate"/>
          </w:r>
          <w:r>
            <w:rPr>
              <w:rFonts w:hint="eastAsia" w:ascii="宋体" w:hAnsi="宋体" w:cs="宋体"/>
            </w:rPr>
            <w:t>三、监理工作要求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_Toc10461 \h </w:instrText>
          </w:r>
          <w:r>
            <w:rPr>
              <w:rFonts w:hint="eastAsia" w:ascii="宋体" w:hAnsi="宋体" w:cs="宋体"/>
            </w:rPr>
            <w:fldChar w:fldCharType="separate"/>
          </w:r>
          <w:r>
            <w:rPr>
              <w:rFonts w:hint="eastAsia" w:ascii="宋体" w:hAnsi="宋体" w:cs="宋体"/>
            </w:rPr>
            <w:t>- 4 -</w:t>
          </w:r>
          <w:r>
            <w:rPr>
              <w:rFonts w:hint="eastAsia" w:ascii="宋体" w:hAnsi="宋体" w:cs="宋体"/>
            </w:rPr>
            <w:fldChar w:fldCharType="end"/>
          </w:r>
          <w:r>
            <w:rPr>
              <w:rFonts w:hint="eastAsia" w:ascii="宋体" w:hAnsi="宋体" w:cs="宋体"/>
            </w:rPr>
            <w:fldChar w:fldCharType="end"/>
          </w:r>
        </w:p>
        <w:p w14:paraId="76F3A4D9">
          <w:pPr>
            <w:pStyle w:val="21"/>
            <w:tabs>
              <w:tab w:val="right" w:leader="dot" w:pos="9185"/>
            </w:tabs>
            <w:ind w:left="560" w:firstLine="560" w:firstLineChars="200"/>
            <w:rPr>
              <w:rFonts w:ascii="宋体" w:hAnsi="宋体" w:cs="宋体"/>
            </w:rPr>
          </w:pPr>
          <w:r>
            <w:fldChar w:fldCharType="begin"/>
          </w:r>
          <w:r>
            <w:instrText xml:space="preserve"> HYPERLINK \l "_Toc12129" </w:instrText>
          </w:r>
          <w:r>
            <w:fldChar w:fldCharType="separate"/>
          </w:r>
          <w:r>
            <w:rPr>
              <w:rFonts w:hint="eastAsia" w:ascii="宋体" w:hAnsi="宋体" w:cs="宋体"/>
            </w:rPr>
            <w:t>四、服务质量标准：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_Toc12129 \h </w:instrText>
          </w:r>
          <w:r>
            <w:rPr>
              <w:rFonts w:hint="eastAsia" w:ascii="宋体" w:hAnsi="宋体" w:cs="宋体"/>
            </w:rPr>
            <w:fldChar w:fldCharType="separate"/>
          </w:r>
          <w:r>
            <w:rPr>
              <w:rFonts w:hint="eastAsia" w:ascii="宋体" w:hAnsi="宋体" w:cs="宋体"/>
            </w:rPr>
            <w:t>- 4 -</w:t>
          </w:r>
          <w:r>
            <w:rPr>
              <w:rFonts w:hint="eastAsia" w:ascii="宋体" w:hAnsi="宋体" w:cs="宋体"/>
            </w:rPr>
            <w:fldChar w:fldCharType="end"/>
          </w:r>
          <w:r>
            <w:rPr>
              <w:rFonts w:hint="eastAsia" w:ascii="宋体" w:hAnsi="宋体" w:cs="宋体"/>
            </w:rPr>
            <w:fldChar w:fldCharType="end"/>
          </w:r>
        </w:p>
        <w:p w14:paraId="19568035">
          <w:pPr>
            <w:pStyle w:val="21"/>
            <w:tabs>
              <w:tab w:val="right" w:leader="dot" w:pos="9185"/>
            </w:tabs>
            <w:ind w:left="560" w:firstLine="560" w:firstLineChars="200"/>
            <w:rPr>
              <w:rFonts w:ascii="宋体" w:hAnsi="宋体" w:cs="宋体"/>
            </w:rPr>
          </w:pPr>
          <w:r>
            <w:fldChar w:fldCharType="begin"/>
          </w:r>
          <w:r>
            <w:instrText xml:space="preserve"> HYPERLINK \l "_Toc5261" </w:instrText>
          </w:r>
          <w:r>
            <w:fldChar w:fldCharType="separate"/>
          </w:r>
          <w:r>
            <w:rPr>
              <w:rFonts w:hint="eastAsia" w:ascii="宋体" w:hAnsi="宋体" w:cs="宋体"/>
            </w:rPr>
            <w:t>五、人员要求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_Toc5261 \h </w:instrText>
          </w:r>
          <w:r>
            <w:rPr>
              <w:rFonts w:hint="eastAsia" w:ascii="宋体" w:hAnsi="宋体" w:cs="宋体"/>
            </w:rPr>
            <w:fldChar w:fldCharType="separate"/>
          </w:r>
          <w:r>
            <w:rPr>
              <w:rFonts w:hint="eastAsia" w:ascii="宋体" w:hAnsi="宋体" w:cs="宋体"/>
            </w:rPr>
            <w:t>- 5 -</w:t>
          </w:r>
          <w:r>
            <w:rPr>
              <w:rFonts w:hint="eastAsia" w:ascii="宋体" w:hAnsi="宋体" w:cs="宋体"/>
            </w:rPr>
            <w:fldChar w:fldCharType="end"/>
          </w:r>
          <w:r>
            <w:rPr>
              <w:rFonts w:hint="eastAsia" w:ascii="宋体" w:hAnsi="宋体" w:cs="宋体"/>
            </w:rPr>
            <w:fldChar w:fldCharType="end"/>
          </w:r>
        </w:p>
        <w:p w14:paraId="7D3EF0F2">
          <w:pPr>
            <w:pStyle w:val="21"/>
            <w:tabs>
              <w:tab w:val="right" w:leader="dot" w:pos="9185"/>
            </w:tabs>
            <w:ind w:left="560" w:firstLine="560" w:firstLineChars="200"/>
            <w:rPr>
              <w:rFonts w:ascii="宋体" w:hAnsi="宋体" w:cs="宋体"/>
            </w:rPr>
          </w:pPr>
          <w:r>
            <w:fldChar w:fldCharType="begin"/>
          </w:r>
          <w:r>
            <w:instrText xml:space="preserve"> HYPERLINK \l "_Toc7888" </w:instrText>
          </w:r>
          <w:r>
            <w:fldChar w:fldCharType="separate"/>
          </w:r>
          <w:r>
            <w:rPr>
              <w:rFonts w:hint="eastAsia" w:ascii="宋体" w:hAnsi="宋体" w:cs="宋体"/>
            </w:rPr>
            <w:t>六、监理工作内容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_Toc7888 \h </w:instrText>
          </w:r>
          <w:r>
            <w:rPr>
              <w:rFonts w:hint="eastAsia" w:ascii="宋体" w:hAnsi="宋体" w:cs="宋体"/>
            </w:rPr>
            <w:fldChar w:fldCharType="separate"/>
          </w:r>
          <w:r>
            <w:rPr>
              <w:rFonts w:hint="eastAsia" w:ascii="宋体" w:hAnsi="宋体" w:cs="宋体"/>
            </w:rPr>
            <w:t>- 5 -</w:t>
          </w:r>
          <w:r>
            <w:rPr>
              <w:rFonts w:hint="eastAsia" w:ascii="宋体" w:hAnsi="宋体" w:cs="宋体"/>
            </w:rPr>
            <w:fldChar w:fldCharType="end"/>
          </w:r>
          <w:r>
            <w:rPr>
              <w:rFonts w:hint="eastAsia" w:ascii="宋体" w:hAnsi="宋体" w:cs="宋体"/>
            </w:rPr>
            <w:fldChar w:fldCharType="end"/>
          </w:r>
        </w:p>
        <w:p w14:paraId="2E216628">
          <w:pPr>
            <w:pStyle w:val="21"/>
            <w:tabs>
              <w:tab w:val="right" w:leader="dot" w:pos="9185"/>
            </w:tabs>
            <w:ind w:left="560" w:firstLine="560" w:firstLineChars="200"/>
            <w:rPr>
              <w:rFonts w:ascii="宋体" w:hAnsi="宋体" w:cs="宋体"/>
            </w:rPr>
          </w:pPr>
          <w:r>
            <w:fldChar w:fldCharType="begin"/>
          </w:r>
          <w:r>
            <w:instrText xml:space="preserve"> HYPERLINK \l "_Toc9955" </w:instrText>
          </w:r>
          <w:r>
            <w:fldChar w:fldCharType="separate"/>
          </w:r>
          <w:r>
            <w:rPr>
              <w:rFonts w:hint="eastAsia" w:ascii="宋体" w:hAnsi="宋体" w:cs="宋体"/>
            </w:rPr>
            <w:t>七、其他</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_Toc9955 \h </w:instrText>
          </w:r>
          <w:r>
            <w:rPr>
              <w:rFonts w:hint="eastAsia" w:ascii="宋体" w:hAnsi="宋体" w:cs="宋体"/>
            </w:rPr>
            <w:fldChar w:fldCharType="separate"/>
          </w:r>
          <w:r>
            <w:rPr>
              <w:rFonts w:hint="eastAsia" w:ascii="宋体" w:hAnsi="宋体" w:cs="宋体"/>
            </w:rPr>
            <w:t>- 6 -</w:t>
          </w:r>
          <w:r>
            <w:rPr>
              <w:rFonts w:hint="eastAsia" w:ascii="宋体" w:hAnsi="宋体" w:cs="宋体"/>
            </w:rPr>
            <w:fldChar w:fldCharType="end"/>
          </w:r>
          <w:r>
            <w:rPr>
              <w:rFonts w:hint="eastAsia" w:ascii="宋体" w:hAnsi="宋体" w:cs="宋体"/>
            </w:rPr>
            <w:fldChar w:fldCharType="end"/>
          </w:r>
        </w:p>
        <w:p w14:paraId="1A6D3EC1">
          <w:pPr>
            <w:pStyle w:val="21"/>
            <w:tabs>
              <w:tab w:val="right" w:leader="dot" w:pos="9185"/>
            </w:tabs>
            <w:ind w:left="560"/>
            <w:rPr>
              <w:rFonts w:ascii="宋体" w:hAnsi="宋体" w:cs="宋体"/>
              <w:bCs/>
              <w:szCs w:val="36"/>
            </w:rPr>
          </w:pPr>
          <w:r>
            <w:fldChar w:fldCharType="begin"/>
          </w:r>
          <w:r>
            <w:instrText xml:space="preserve"> HYPERLINK \l "_Toc3498" </w:instrText>
          </w:r>
          <w:r>
            <w:fldChar w:fldCharType="separate"/>
          </w:r>
          <w:r>
            <w:rPr>
              <w:rFonts w:hint="eastAsia" w:ascii="宋体" w:hAnsi="宋体" w:cs="宋体"/>
              <w:bCs/>
              <w:szCs w:val="36"/>
            </w:rPr>
            <w:t>第三篇 项目商务需求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_Toc3498 \h </w:instrText>
          </w:r>
          <w:r>
            <w:rPr>
              <w:rFonts w:hint="eastAsia" w:ascii="宋体" w:hAnsi="宋体" w:cs="宋体"/>
            </w:rPr>
            <w:fldChar w:fldCharType="separate"/>
          </w:r>
          <w:r>
            <w:rPr>
              <w:rFonts w:hint="eastAsia" w:ascii="宋体" w:hAnsi="宋体" w:cs="宋体"/>
            </w:rPr>
            <w:t>- 4 -</w:t>
          </w:r>
          <w:r>
            <w:rPr>
              <w:rFonts w:hint="eastAsia" w:ascii="宋体" w:hAnsi="宋体" w:cs="宋体"/>
            </w:rPr>
            <w:fldChar w:fldCharType="end"/>
          </w:r>
          <w:r>
            <w:rPr>
              <w:rFonts w:hint="eastAsia" w:ascii="宋体" w:hAnsi="宋体" w:cs="宋体"/>
            </w:rPr>
            <w:fldChar w:fldCharType="end"/>
          </w:r>
        </w:p>
        <w:p w14:paraId="6B0560EB">
          <w:pPr>
            <w:pStyle w:val="21"/>
            <w:tabs>
              <w:tab w:val="right" w:leader="dot" w:pos="9185"/>
            </w:tabs>
            <w:ind w:left="560" w:firstLine="560" w:firstLineChars="200"/>
            <w:rPr>
              <w:rFonts w:ascii="宋体" w:hAnsi="宋体" w:cs="宋体"/>
            </w:rPr>
          </w:pPr>
          <w:r>
            <w:fldChar w:fldCharType="begin"/>
          </w:r>
          <w:r>
            <w:instrText xml:space="preserve"> HYPERLINK \l "_Toc23947" </w:instrText>
          </w:r>
          <w:r>
            <w:fldChar w:fldCharType="separate"/>
          </w:r>
          <w:r>
            <w:rPr>
              <w:rFonts w:hint="eastAsia" w:ascii="宋体" w:hAnsi="宋体" w:cs="宋体"/>
            </w:rPr>
            <w:t>一、服务期、地点及实施方式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_Toc23947 \h </w:instrText>
          </w:r>
          <w:r>
            <w:rPr>
              <w:rFonts w:hint="eastAsia" w:ascii="宋体" w:hAnsi="宋体" w:cs="宋体"/>
            </w:rPr>
            <w:fldChar w:fldCharType="separate"/>
          </w:r>
          <w:r>
            <w:rPr>
              <w:rFonts w:hint="eastAsia" w:ascii="宋体" w:hAnsi="宋体" w:cs="宋体"/>
            </w:rPr>
            <w:t>- 7 -</w:t>
          </w:r>
          <w:r>
            <w:rPr>
              <w:rFonts w:hint="eastAsia" w:ascii="宋体" w:hAnsi="宋体" w:cs="宋体"/>
            </w:rPr>
            <w:fldChar w:fldCharType="end"/>
          </w:r>
          <w:r>
            <w:rPr>
              <w:rFonts w:hint="eastAsia" w:ascii="宋体" w:hAnsi="宋体" w:cs="宋体"/>
            </w:rPr>
            <w:fldChar w:fldCharType="end"/>
          </w:r>
        </w:p>
        <w:p w14:paraId="18167D8B">
          <w:pPr>
            <w:pStyle w:val="21"/>
            <w:tabs>
              <w:tab w:val="right" w:leader="dot" w:pos="9185"/>
            </w:tabs>
            <w:ind w:left="560" w:firstLine="560" w:firstLineChars="200"/>
            <w:rPr>
              <w:rFonts w:ascii="宋体" w:hAnsi="宋体" w:cs="宋体"/>
            </w:rPr>
          </w:pPr>
          <w:r>
            <w:fldChar w:fldCharType="begin"/>
          </w:r>
          <w:r>
            <w:instrText xml:space="preserve"> HYPERLINK \l "_Toc17053" </w:instrText>
          </w:r>
          <w:r>
            <w:fldChar w:fldCharType="separate"/>
          </w:r>
          <w:r>
            <w:rPr>
              <w:rFonts w:hint="eastAsia" w:ascii="宋体" w:hAnsi="宋体" w:cs="宋体"/>
            </w:rPr>
            <w:t>二、报价原则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_Toc17053 \h </w:instrText>
          </w:r>
          <w:r>
            <w:rPr>
              <w:rFonts w:hint="eastAsia" w:ascii="宋体" w:hAnsi="宋体" w:cs="宋体"/>
            </w:rPr>
            <w:fldChar w:fldCharType="separate"/>
          </w:r>
          <w:r>
            <w:rPr>
              <w:rFonts w:hint="eastAsia" w:ascii="宋体" w:hAnsi="宋体" w:cs="宋体"/>
            </w:rPr>
            <w:t>- 7 -</w:t>
          </w:r>
          <w:r>
            <w:rPr>
              <w:rFonts w:hint="eastAsia" w:ascii="宋体" w:hAnsi="宋体" w:cs="宋体"/>
            </w:rPr>
            <w:fldChar w:fldCharType="end"/>
          </w:r>
          <w:r>
            <w:rPr>
              <w:rFonts w:hint="eastAsia" w:ascii="宋体" w:hAnsi="宋体" w:cs="宋体"/>
            </w:rPr>
            <w:fldChar w:fldCharType="end"/>
          </w:r>
        </w:p>
        <w:p w14:paraId="1DD7AD5D">
          <w:pPr>
            <w:pStyle w:val="21"/>
            <w:tabs>
              <w:tab w:val="right" w:leader="dot" w:pos="9185"/>
            </w:tabs>
            <w:ind w:left="560" w:firstLine="560" w:firstLineChars="200"/>
            <w:rPr>
              <w:rFonts w:ascii="宋体" w:hAnsi="宋体" w:cs="宋体"/>
            </w:rPr>
          </w:pPr>
          <w:r>
            <w:fldChar w:fldCharType="begin"/>
          </w:r>
          <w:r>
            <w:instrText xml:space="preserve"> HYPERLINK \l "_Toc22327" </w:instrText>
          </w:r>
          <w:r>
            <w:fldChar w:fldCharType="separate"/>
          </w:r>
          <w:r>
            <w:rPr>
              <w:rFonts w:hint="eastAsia" w:ascii="宋体" w:hAnsi="宋体" w:cs="宋体"/>
            </w:rPr>
            <w:t>三、付款方式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_Toc22327 \h </w:instrText>
          </w:r>
          <w:r>
            <w:rPr>
              <w:rFonts w:hint="eastAsia" w:ascii="宋体" w:hAnsi="宋体" w:cs="宋体"/>
            </w:rPr>
            <w:fldChar w:fldCharType="separate"/>
          </w:r>
          <w:r>
            <w:rPr>
              <w:rFonts w:hint="eastAsia" w:ascii="宋体" w:hAnsi="宋体" w:cs="宋体"/>
            </w:rPr>
            <w:t>- 8 -</w:t>
          </w:r>
          <w:r>
            <w:rPr>
              <w:rFonts w:hint="eastAsia" w:ascii="宋体" w:hAnsi="宋体" w:cs="宋体"/>
            </w:rPr>
            <w:fldChar w:fldCharType="end"/>
          </w:r>
          <w:r>
            <w:rPr>
              <w:rFonts w:hint="eastAsia" w:ascii="宋体" w:hAnsi="宋体" w:cs="宋体"/>
            </w:rPr>
            <w:fldChar w:fldCharType="end"/>
          </w:r>
        </w:p>
        <w:p w14:paraId="0065B2BB">
          <w:pPr>
            <w:pStyle w:val="21"/>
            <w:tabs>
              <w:tab w:val="right" w:leader="dot" w:pos="9185"/>
            </w:tabs>
            <w:ind w:left="560" w:firstLine="560" w:firstLineChars="200"/>
            <w:rPr>
              <w:rFonts w:ascii="宋体" w:hAnsi="宋体" w:cs="宋体"/>
            </w:rPr>
          </w:pPr>
          <w:r>
            <w:fldChar w:fldCharType="begin"/>
          </w:r>
          <w:r>
            <w:instrText xml:space="preserve"> HYPERLINK \l "_Toc28972" </w:instrText>
          </w:r>
          <w:r>
            <w:fldChar w:fldCharType="separate"/>
          </w:r>
          <w:r>
            <w:rPr>
              <w:rFonts w:hint="eastAsia" w:ascii="宋体" w:hAnsi="宋体" w:cs="宋体"/>
            </w:rPr>
            <w:t>四、知识产权</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_Toc28972 \h </w:instrText>
          </w:r>
          <w:r>
            <w:rPr>
              <w:rFonts w:hint="eastAsia" w:ascii="宋体" w:hAnsi="宋体" w:cs="宋体"/>
            </w:rPr>
            <w:fldChar w:fldCharType="separate"/>
          </w:r>
          <w:r>
            <w:rPr>
              <w:rFonts w:hint="eastAsia" w:ascii="宋体" w:hAnsi="宋体" w:cs="宋体"/>
            </w:rPr>
            <w:t>- 8 -</w:t>
          </w:r>
          <w:r>
            <w:rPr>
              <w:rFonts w:hint="eastAsia" w:ascii="宋体" w:hAnsi="宋体" w:cs="宋体"/>
            </w:rPr>
            <w:fldChar w:fldCharType="end"/>
          </w:r>
          <w:r>
            <w:rPr>
              <w:rFonts w:hint="eastAsia" w:ascii="宋体" w:hAnsi="宋体" w:cs="宋体"/>
            </w:rPr>
            <w:fldChar w:fldCharType="end"/>
          </w:r>
        </w:p>
        <w:p w14:paraId="651575AE">
          <w:pPr>
            <w:pStyle w:val="21"/>
            <w:tabs>
              <w:tab w:val="right" w:leader="dot" w:pos="9185"/>
            </w:tabs>
            <w:ind w:left="560" w:firstLine="560" w:firstLineChars="200"/>
            <w:rPr>
              <w:rFonts w:ascii="宋体" w:hAnsi="宋体" w:cs="宋体"/>
            </w:rPr>
          </w:pPr>
          <w:r>
            <w:fldChar w:fldCharType="begin"/>
          </w:r>
          <w:r>
            <w:instrText xml:space="preserve"> HYPERLINK \l "_Toc29300" </w:instrText>
          </w:r>
          <w:r>
            <w:fldChar w:fldCharType="separate"/>
          </w:r>
          <w:r>
            <w:rPr>
              <w:rFonts w:hint="eastAsia" w:ascii="宋体" w:hAnsi="宋体" w:cs="宋体"/>
            </w:rPr>
            <w:t>五、其他</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_Toc29300 \h </w:instrText>
          </w:r>
          <w:r>
            <w:rPr>
              <w:rFonts w:hint="eastAsia" w:ascii="宋体" w:hAnsi="宋体" w:cs="宋体"/>
            </w:rPr>
            <w:fldChar w:fldCharType="separate"/>
          </w:r>
          <w:r>
            <w:rPr>
              <w:rFonts w:hint="eastAsia" w:ascii="宋体" w:hAnsi="宋体" w:cs="宋体"/>
            </w:rPr>
            <w:t>- 8 -</w:t>
          </w:r>
          <w:r>
            <w:rPr>
              <w:rFonts w:hint="eastAsia" w:ascii="宋体" w:hAnsi="宋体" w:cs="宋体"/>
            </w:rPr>
            <w:fldChar w:fldCharType="end"/>
          </w:r>
          <w:r>
            <w:rPr>
              <w:rFonts w:hint="eastAsia" w:ascii="宋体" w:hAnsi="宋体" w:cs="宋体"/>
            </w:rPr>
            <w:fldChar w:fldCharType="end"/>
          </w:r>
        </w:p>
        <w:p w14:paraId="3197267D">
          <w:pPr>
            <w:pStyle w:val="21"/>
            <w:tabs>
              <w:tab w:val="right" w:leader="dot" w:pos="9185"/>
            </w:tabs>
            <w:ind w:left="560"/>
            <w:rPr>
              <w:rFonts w:ascii="宋体" w:hAnsi="宋体" w:cs="宋体"/>
            </w:rPr>
          </w:pPr>
          <w:r>
            <w:fldChar w:fldCharType="begin"/>
          </w:r>
          <w:r>
            <w:instrText xml:space="preserve"> HYPERLINK \l "_Toc15828" </w:instrText>
          </w:r>
          <w:r>
            <w:fldChar w:fldCharType="separate"/>
          </w:r>
          <w:r>
            <w:rPr>
              <w:rFonts w:hint="eastAsia" w:ascii="宋体" w:hAnsi="宋体" w:cs="宋体"/>
              <w:bCs/>
              <w:szCs w:val="32"/>
            </w:rPr>
            <w:t>第四篇 网上竞采程序及方法、评审标准、无效响应和采购终止</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_Toc15828 \h </w:instrText>
          </w:r>
          <w:r>
            <w:rPr>
              <w:rFonts w:hint="eastAsia" w:ascii="宋体" w:hAnsi="宋体" w:cs="宋体"/>
            </w:rPr>
            <w:fldChar w:fldCharType="separate"/>
          </w:r>
          <w:r>
            <w:rPr>
              <w:rFonts w:hint="eastAsia" w:ascii="宋体" w:hAnsi="宋体" w:cs="宋体"/>
            </w:rPr>
            <w:t>- 9 -</w:t>
          </w:r>
          <w:r>
            <w:rPr>
              <w:rFonts w:hint="eastAsia" w:ascii="宋体" w:hAnsi="宋体" w:cs="宋体"/>
            </w:rPr>
            <w:fldChar w:fldCharType="end"/>
          </w:r>
          <w:r>
            <w:rPr>
              <w:rFonts w:hint="eastAsia" w:ascii="宋体" w:hAnsi="宋体" w:cs="宋体"/>
            </w:rPr>
            <w:fldChar w:fldCharType="end"/>
          </w:r>
        </w:p>
        <w:p w14:paraId="2FD27BAC">
          <w:pPr>
            <w:pStyle w:val="21"/>
            <w:tabs>
              <w:tab w:val="right" w:leader="dot" w:pos="9185"/>
            </w:tabs>
            <w:ind w:left="560" w:firstLine="560" w:firstLineChars="200"/>
            <w:rPr>
              <w:rFonts w:ascii="宋体" w:hAnsi="宋体" w:cs="宋体"/>
            </w:rPr>
          </w:pPr>
          <w:r>
            <w:fldChar w:fldCharType="begin"/>
          </w:r>
          <w:r>
            <w:instrText xml:space="preserve"> HYPERLINK \l "_Toc30712" </w:instrText>
          </w:r>
          <w:r>
            <w:fldChar w:fldCharType="separate"/>
          </w:r>
          <w:r>
            <w:rPr>
              <w:rFonts w:hint="eastAsia" w:ascii="宋体" w:hAnsi="宋体" w:cs="宋体"/>
            </w:rPr>
            <w:t>一、网上竞采采购程序及方法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_Toc30712 \h </w:instrText>
          </w:r>
          <w:r>
            <w:rPr>
              <w:rFonts w:hint="eastAsia" w:ascii="宋体" w:hAnsi="宋体" w:cs="宋体"/>
            </w:rPr>
            <w:fldChar w:fldCharType="separate"/>
          </w:r>
          <w:r>
            <w:rPr>
              <w:rFonts w:hint="eastAsia" w:ascii="宋体" w:hAnsi="宋体" w:cs="宋体"/>
            </w:rPr>
            <w:t>- 9 -</w:t>
          </w:r>
          <w:r>
            <w:rPr>
              <w:rFonts w:hint="eastAsia" w:ascii="宋体" w:hAnsi="宋体" w:cs="宋体"/>
            </w:rPr>
            <w:fldChar w:fldCharType="end"/>
          </w:r>
          <w:r>
            <w:rPr>
              <w:rFonts w:hint="eastAsia" w:ascii="宋体" w:hAnsi="宋体" w:cs="宋体"/>
            </w:rPr>
            <w:fldChar w:fldCharType="end"/>
          </w:r>
        </w:p>
        <w:p w14:paraId="1E13029D">
          <w:pPr>
            <w:pStyle w:val="21"/>
            <w:tabs>
              <w:tab w:val="right" w:leader="dot" w:pos="9185"/>
            </w:tabs>
            <w:ind w:left="560" w:firstLine="560" w:firstLineChars="200"/>
            <w:rPr>
              <w:rFonts w:ascii="宋体" w:hAnsi="宋体" w:cs="宋体"/>
            </w:rPr>
          </w:pPr>
          <w:r>
            <w:fldChar w:fldCharType="begin"/>
          </w:r>
          <w:r>
            <w:instrText xml:space="preserve"> HYPERLINK \l "_Toc11063" </w:instrText>
          </w:r>
          <w:r>
            <w:fldChar w:fldCharType="separate"/>
          </w:r>
          <w:r>
            <w:rPr>
              <w:rFonts w:hint="eastAsia" w:ascii="宋体" w:hAnsi="宋体" w:cs="宋体"/>
            </w:rPr>
            <w:t>二、评审方法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_Toc11063 \h </w:instrText>
          </w:r>
          <w:r>
            <w:rPr>
              <w:rFonts w:hint="eastAsia" w:ascii="宋体" w:hAnsi="宋体" w:cs="宋体"/>
            </w:rPr>
            <w:fldChar w:fldCharType="separate"/>
          </w:r>
          <w:r>
            <w:rPr>
              <w:rFonts w:hint="eastAsia" w:ascii="宋体" w:hAnsi="宋体" w:cs="宋体"/>
            </w:rPr>
            <w:t>- 10 -</w:t>
          </w:r>
          <w:r>
            <w:rPr>
              <w:rFonts w:hint="eastAsia" w:ascii="宋体" w:hAnsi="宋体" w:cs="宋体"/>
            </w:rPr>
            <w:fldChar w:fldCharType="end"/>
          </w:r>
          <w:r>
            <w:rPr>
              <w:rFonts w:hint="eastAsia" w:ascii="宋体" w:hAnsi="宋体" w:cs="宋体"/>
            </w:rPr>
            <w:fldChar w:fldCharType="end"/>
          </w:r>
        </w:p>
        <w:p w14:paraId="68D124E0">
          <w:pPr>
            <w:pStyle w:val="21"/>
            <w:tabs>
              <w:tab w:val="right" w:leader="dot" w:pos="9185"/>
            </w:tabs>
            <w:ind w:left="560" w:firstLine="560" w:firstLineChars="200"/>
            <w:rPr>
              <w:rFonts w:ascii="宋体" w:hAnsi="宋体" w:cs="宋体"/>
            </w:rPr>
          </w:pPr>
          <w:r>
            <w:fldChar w:fldCharType="begin"/>
          </w:r>
          <w:r>
            <w:instrText xml:space="preserve"> HYPERLINK \l "_Toc20083" </w:instrText>
          </w:r>
          <w:r>
            <w:fldChar w:fldCharType="separate"/>
          </w:r>
          <w:r>
            <w:rPr>
              <w:rFonts w:hint="eastAsia" w:ascii="宋体" w:hAnsi="宋体" w:cs="宋体"/>
            </w:rPr>
            <w:t>三、无效响应</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_Toc20083 \h </w:instrText>
          </w:r>
          <w:r>
            <w:rPr>
              <w:rFonts w:hint="eastAsia" w:ascii="宋体" w:hAnsi="宋体" w:cs="宋体"/>
            </w:rPr>
            <w:fldChar w:fldCharType="separate"/>
          </w:r>
          <w:r>
            <w:rPr>
              <w:rFonts w:hint="eastAsia" w:ascii="宋体" w:hAnsi="宋体" w:cs="宋体"/>
            </w:rPr>
            <w:t>- 12 -</w:t>
          </w:r>
          <w:r>
            <w:rPr>
              <w:rFonts w:hint="eastAsia" w:ascii="宋体" w:hAnsi="宋体" w:cs="宋体"/>
            </w:rPr>
            <w:fldChar w:fldCharType="end"/>
          </w:r>
          <w:r>
            <w:rPr>
              <w:rFonts w:hint="eastAsia" w:ascii="宋体" w:hAnsi="宋体" w:cs="宋体"/>
            </w:rPr>
            <w:fldChar w:fldCharType="end"/>
          </w:r>
        </w:p>
        <w:p w14:paraId="143E9D3C">
          <w:pPr>
            <w:pStyle w:val="21"/>
            <w:tabs>
              <w:tab w:val="right" w:leader="dot" w:pos="9185"/>
            </w:tabs>
            <w:ind w:left="560" w:firstLine="560" w:firstLineChars="200"/>
            <w:rPr>
              <w:rFonts w:ascii="宋体" w:hAnsi="宋体" w:cs="宋体"/>
            </w:rPr>
          </w:pPr>
          <w:r>
            <w:fldChar w:fldCharType="begin"/>
          </w:r>
          <w:r>
            <w:instrText xml:space="preserve"> HYPERLINK \l "_Toc27042" </w:instrText>
          </w:r>
          <w:r>
            <w:fldChar w:fldCharType="separate"/>
          </w:r>
          <w:r>
            <w:rPr>
              <w:rFonts w:hint="eastAsia" w:ascii="宋体" w:hAnsi="宋体" w:cs="宋体"/>
            </w:rPr>
            <w:t>四、采购终止</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_Toc27042 \h </w:instrText>
          </w:r>
          <w:r>
            <w:rPr>
              <w:rFonts w:hint="eastAsia" w:ascii="宋体" w:hAnsi="宋体" w:cs="宋体"/>
            </w:rPr>
            <w:fldChar w:fldCharType="separate"/>
          </w:r>
          <w:r>
            <w:rPr>
              <w:rFonts w:hint="eastAsia" w:ascii="宋体" w:hAnsi="宋体" w:cs="宋体"/>
            </w:rPr>
            <w:t>- 12 -</w:t>
          </w:r>
          <w:r>
            <w:rPr>
              <w:rFonts w:hint="eastAsia" w:ascii="宋体" w:hAnsi="宋体" w:cs="宋体"/>
            </w:rPr>
            <w:fldChar w:fldCharType="end"/>
          </w:r>
          <w:r>
            <w:rPr>
              <w:rFonts w:hint="eastAsia" w:ascii="宋体" w:hAnsi="宋体" w:cs="宋体"/>
            </w:rPr>
            <w:fldChar w:fldCharType="end"/>
          </w:r>
        </w:p>
        <w:p w14:paraId="7BAEB2FB">
          <w:pPr>
            <w:pStyle w:val="21"/>
            <w:tabs>
              <w:tab w:val="right" w:leader="dot" w:pos="9185"/>
            </w:tabs>
            <w:ind w:left="560"/>
            <w:rPr>
              <w:rFonts w:ascii="宋体" w:hAnsi="宋体" w:cs="宋体"/>
            </w:rPr>
          </w:pPr>
          <w:r>
            <w:fldChar w:fldCharType="begin"/>
          </w:r>
          <w:r>
            <w:instrText xml:space="preserve"> HYPERLINK \l "_Toc23198" </w:instrText>
          </w:r>
          <w:r>
            <w:fldChar w:fldCharType="separate"/>
          </w:r>
          <w:r>
            <w:rPr>
              <w:rFonts w:hint="eastAsia" w:ascii="宋体" w:hAnsi="宋体" w:cs="宋体"/>
              <w:szCs w:val="32"/>
            </w:rPr>
            <w:t>第五篇  供应商须知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_Toc23198 \h </w:instrText>
          </w:r>
          <w:r>
            <w:rPr>
              <w:rFonts w:hint="eastAsia" w:ascii="宋体" w:hAnsi="宋体" w:cs="宋体"/>
            </w:rPr>
            <w:fldChar w:fldCharType="separate"/>
          </w:r>
          <w:r>
            <w:rPr>
              <w:rFonts w:hint="eastAsia" w:ascii="宋体" w:hAnsi="宋体" w:cs="宋体"/>
            </w:rPr>
            <w:t>- 13 -</w:t>
          </w:r>
          <w:r>
            <w:rPr>
              <w:rFonts w:hint="eastAsia" w:ascii="宋体" w:hAnsi="宋体" w:cs="宋体"/>
            </w:rPr>
            <w:fldChar w:fldCharType="end"/>
          </w:r>
          <w:r>
            <w:rPr>
              <w:rFonts w:hint="eastAsia" w:ascii="宋体" w:hAnsi="宋体" w:cs="宋体"/>
            </w:rPr>
            <w:fldChar w:fldCharType="end"/>
          </w:r>
        </w:p>
        <w:p w14:paraId="42E554F3">
          <w:pPr>
            <w:pStyle w:val="21"/>
            <w:tabs>
              <w:tab w:val="right" w:leader="dot" w:pos="9185"/>
            </w:tabs>
            <w:ind w:left="560" w:firstLine="560" w:firstLineChars="200"/>
            <w:rPr>
              <w:rFonts w:ascii="宋体" w:hAnsi="宋体" w:cs="宋体"/>
            </w:rPr>
          </w:pPr>
          <w:r>
            <w:fldChar w:fldCharType="begin"/>
          </w:r>
          <w:r>
            <w:instrText xml:space="preserve"> HYPERLINK \l "_Toc3202" </w:instrText>
          </w:r>
          <w:r>
            <w:fldChar w:fldCharType="separate"/>
          </w:r>
          <w:r>
            <w:rPr>
              <w:rFonts w:hint="eastAsia" w:ascii="宋体" w:hAnsi="宋体" w:cs="宋体"/>
            </w:rPr>
            <w:t>一、网上竞采费用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_Toc3202 \h </w:instrText>
          </w:r>
          <w:r>
            <w:rPr>
              <w:rFonts w:hint="eastAsia" w:ascii="宋体" w:hAnsi="宋体" w:cs="宋体"/>
            </w:rPr>
            <w:fldChar w:fldCharType="separate"/>
          </w:r>
          <w:r>
            <w:rPr>
              <w:rFonts w:hint="eastAsia" w:ascii="宋体" w:hAnsi="宋体" w:cs="宋体"/>
            </w:rPr>
            <w:t>- 13 -</w:t>
          </w:r>
          <w:r>
            <w:rPr>
              <w:rFonts w:hint="eastAsia" w:ascii="宋体" w:hAnsi="宋体" w:cs="宋体"/>
            </w:rPr>
            <w:fldChar w:fldCharType="end"/>
          </w:r>
          <w:r>
            <w:rPr>
              <w:rFonts w:hint="eastAsia" w:ascii="宋体" w:hAnsi="宋体" w:cs="宋体"/>
            </w:rPr>
            <w:fldChar w:fldCharType="end"/>
          </w:r>
        </w:p>
        <w:p w14:paraId="74269369">
          <w:pPr>
            <w:pStyle w:val="21"/>
            <w:tabs>
              <w:tab w:val="right" w:leader="dot" w:pos="9185"/>
            </w:tabs>
            <w:ind w:left="560" w:firstLine="560" w:firstLineChars="200"/>
            <w:rPr>
              <w:rFonts w:ascii="宋体" w:hAnsi="宋体" w:cs="宋体"/>
            </w:rPr>
          </w:pPr>
          <w:r>
            <w:fldChar w:fldCharType="begin"/>
          </w:r>
          <w:r>
            <w:instrText xml:space="preserve"> HYPERLINK \l "_Toc17152" </w:instrText>
          </w:r>
          <w:r>
            <w:fldChar w:fldCharType="separate"/>
          </w:r>
          <w:r>
            <w:rPr>
              <w:rFonts w:hint="eastAsia" w:ascii="宋体" w:hAnsi="宋体" w:cs="宋体"/>
            </w:rPr>
            <w:t>二、网上竞采文件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_Toc17152 \h </w:instrText>
          </w:r>
          <w:r>
            <w:rPr>
              <w:rFonts w:hint="eastAsia" w:ascii="宋体" w:hAnsi="宋体" w:cs="宋体"/>
            </w:rPr>
            <w:fldChar w:fldCharType="separate"/>
          </w:r>
          <w:r>
            <w:rPr>
              <w:rFonts w:hint="eastAsia" w:ascii="宋体" w:hAnsi="宋体" w:cs="宋体"/>
            </w:rPr>
            <w:t>- 13 -</w:t>
          </w:r>
          <w:r>
            <w:rPr>
              <w:rFonts w:hint="eastAsia" w:ascii="宋体" w:hAnsi="宋体" w:cs="宋体"/>
            </w:rPr>
            <w:fldChar w:fldCharType="end"/>
          </w:r>
          <w:r>
            <w:rPr>
              <w:rFonts w:hint="eastAsia" w:ascii="宋体" w:hAnsi="宋体" w:cs="宋体"/>
            </w:rPr>
            <w:fldChar w:fldCharType="end"/>
          </w:r>
        </w:p>
        <w:p w14:paraId="282BA218">
          <w:pPr>
            <w:pStyle w:val="21"/>
            <w:tabs>
              <w:tab w:val="right" w:leader="dot" w:pos="9185"/>
            </w:tabs>
            <w:ind w:left="560" w:firstLine="560" w:firstLineChars="200"/>
            <w:rPr>
              <w:rFonts w:ascii="宋体" w:hAnsi="宋体" w:cs="宋体"/>
            </w:rPr>
          </w:pPr>
          <w:r>
            <w:fldChar w:fldCharType="begin"/>
          </w:r>
          <w:r>
            <w:instrText xml:space="preserve"> HYPERLINK \l "_Toc27379" </w:instrText>
          </w:r>
          <w:r>
            <w:fldChar w:fldCharType="separate"/>
          </w:r>
          <w:r>
            <w:rPr>
              <w:rFonts w:hint="eastAsia" w:ascii="宋体" w:hAnsi="宋体" w:cs="宋体"/>
            </w:rPr>
            <w:t>三、网上竞采要求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_Toc27379 \h </w:instrText>
          </w:r>
          <w:r>
            <w:rPr>
              <w:rFonts w:hint="eastAsia" w:ascii="宋体" w:hAnsi="宋体" w:cs="宋体"/>
            </w:rPr>
            <w:fldChar w:fldCharType="separate"/>
          </w:r>
          <w:r>
            <w:rPr>
              <w:rFonts w:hint="eastAsia" w:ascii="宋体" w:hAnsi="宋体" w:cs="宋体"/>
            </w:rPr>
            <w:t>- 13 -</w:t>
          </w:r>
          <w:r>
            <w:rPr>
              <w:rFonts w:hint="eastAsia" w:ascii="宋体" w:hAnsi="宋体" w:cs="宋体"/>
            </w:rPr>
            <w:fldChar w:fldCharType="end"/>
          </w:r>
          <w:r>
            <w:rPr>
              <w:rFonts w:hint="eastAsia" w:ascii="宋体" w:hAnsi="宋体" w:cs="宋体"/>
            </w:rPr>
            <w:fldChar w:fldCharType="end"/>
          </w:r>
        </w:p>
        <w:p w14:paraId="6404228F">
          <w:pPr>
            <w:pStyle w:val="21"/>
            <w:tabs>
              <w:tab w:val="right" w:leader="dot" w:pos="9185"/>
            </w:tabs>
            <w:ind w:left="560" w:firstLine="560" w:firstLineChars="200"/>
            <w:rPr>
              <w:rFonts w:ascii="宋体" w:hAnsi="宋体" w:cs="宋体"/>
            </w:rPr>
          </w:pPr>
          <w:r>
            <w:fldChar w:fldCharType="begin"/>
          </w:r>
          <w:r>
            <w:instrText xml:space="preserve"> HYPERLINK \l "_Toc16640" </w:instrText>
          </w:r>
          <w:r>
            <w:fldChar w:fldCharType="separate"/>
          </w:r>
          <w:r>
            <w:rPr>
              <w:rFonts w:hint="eastAsia" w:ascii="宋体" w:hAnsi="宋体" w:cs="宋体"/>
            </w:rPr>
            <w:t>四、成交供应商的确认和变更</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_Toc16640 \h </w:instrText>
          </w:r>
          <w:r>
            <w:rPr>
              <w:rFonts w:hint="eastAsia" w:ascii="宋体" w:hAnsi="宋体" w:cs="宋体"/>
            </w:rPr>
            <w:fldChar w:fldCharType="separate"/>
          </w:r>
          <w:r>
            <w:rPr>
              <w:rFonts w:hint="eastAsia" w:ascii="宋体" w:hAnsi="宋体" w:cs="宋体"/>
            </w:rPr>
            <w:t>- 14 -</w:t>
          </w:r>
          <w:r>
            <w:rPr>
              <w:rFonts w:hint="eastAsia" w:ascii="宋体" w:hAnsi="宋体" w:cs="宋体"/>
            </w:rPr>
            <w:fldChar w:fldCharType="end"/>
          </w:r>
          <w:r>
            <w:rPr>
              <w:rFonts w:hint="eastAsia" w:ascii="宋体" w:hAnsi="宋体" w:cs="宋体"/>
            </w:rPr>
            <w:fldChar w:fldCharType="end"/>
          </w:r>
        </w:p>
        <w:p w14:paraId="5B40603C">
          <w:pPr>
            <w:pStyle w:val="21"/>
            <w:tabs>
              <w:tab w:val="right" w:leader="dot" w:pos="9185"/>
            </w:tabs>
            <w:ind w:left="560" w:firstLine="560" w:firstLineChars="200"/>
            <w:rPr>
              <w:rFonts w:ascii="宋体" w:hAnsi="宋体" w:cs="宋体"/>
            </w:rPr>
          </w:pPr>
          <w:r>
            <w:fldChar w:fldCharType="begin"/>
          </w:r>
          <w:r>
            <w:instrText xml:space="preserve"> HYPERLINK \l "_Toc11010" </w:instrText>
          </w:r>
          <w:r>
            <w:fldChar w:fldCharType="separate"/>
          </w:r>
          <w:r>
            <w:rPr>
              <w:rFonts w:hint="eastAsia" w:ascii="宋体" w:hAnsi="宋体" w:cs="宋体"/>
            </w:rPr>
            <w:t>五、成交通知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_Toc11010 \h </w:instrText>
          </w:r>
          <w:r>
            <w:rPr>
              <w:rFonts w:hint="eastAsia" w:ascii="宋体" w:hAnsi="宋体" w:cs="宋体"/>
            </w:rPr>
            <w:fldChar w:fldCharType="separate"/>
          </w:r>
          <w:r>
            <w:rPr>
              <w:rFonts w:hint="eastAsia" w:ascii="宋体" w:hAnsi="宋体" w:cs="宋体"/>
            </w:rPr>
            <w:t>- 15 -</w:t>
          </w:r>
          <w:r>
            <w:rPr>
              <w:rFonts w:hint="eastAsia" w:ascii="宋体" w:hAnsi="宋体" w:cs="宋体"/>
            </w:rPr>
            <w:fldChar w:fldCharType="end"/>
          </w:r>
          <w:r>
            <w:rPr>
              <w:rFonts w:hint="eastAsia" w:ascii="宋体" w:hAnsi="宋体" w:cs="宋体"/>
            </w:rPr>
            <w:fldChar w:fldCharType="end"/>
          </w:r>
        </w:p>
        <w:p w14:paraId="644D9DA4">
          <w:pPr>
            <w:pStyle w:val="21"/>
            <w:tabs>
              <w:tab w:val="right" w:leader="dot" w:pos="9185"/>
            </w:tabs>
            <w:ind w:left="560" w:firstLine="560" w:firstLineChars="200"/>
            <w:rPr>
              <w:rFonts w:ascii="宋体" w:hAnsi="宋体" w:cs="宋体"/>
            </w:rPr>
          </w:pPr>
          <w:r>
            <w:fldChar w:fldCharType="begin"/>
          </w:r>
          <w:r>
            <w:instrText xml:space="preserve"> HYPERLINK \l "_Toc28318" </w:instrText>
          </w:r>
          <w:r>
            <w:fldChar w:fldCharType="separate"/>
          </w:r>
          <w:r>
            <w:rPr>
              <w:rFonts w:hint="eastAsia" w:ascii="宋体" w:hAnsi="宋体" w:cs="宋体"/>
            </w:rPr>
            <w:t>六、关于质疑和投诉</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_Toc28318 \h </w:instrText>
          </w:r>
          <w:r>
            <w:rPr>
              <w:rFonts w:hint="eastAsia" w:ascii="宋体" w:hAnsi="宋体" w:cs="宋体"/>
            </w:rPr>
            <w:fldChar w:fldCharType="separate"/>
          </w:r>
          <w:r>
            <w:rPr>
              <w:rFonts w:hint="eastAsia" w:ascii="宋体" w:hAnsi="宋体" w:cs="宋体"/>
            </w:rPr>
            <w:t>- 15 -</w:t>
          </w:r>
          <w:r>
            <w:rPr>
              <w:rFonts w:hint="eastAsia" w:ascii="宋体" w:hAnsi="宋体" w:cs="宋体"/>
            </w:rPr>
            <w:fldChar w:fldCharType="end"/>
          </w:r>
          <w:r>
            <w:rPr>
              <w:rFonts w:hint="eastAsia" w:ascii="宋体" w:hAnsi="宋体" w:cs="宋体"/>
            </w:rPr>
            <w:fldChar w:fldCharType="end"/>
          </w:r>
        </w:p>
        <w:p w14:paraId="1EB550BD">
          <w:pPr>
            <w:pStyle w:val="21"/>
            <w:tabs>
              <w:tab w:val="right" w:leader="dot" w:pos="9185"/>
            </w:tabs>
            <w:ind w:left="560" w:firstLine="560" w:firstLineChars="200"/>
            <w:rPr>
              <w:rFonts w:ascii="宋体" w:hAnsi="宋体" w:cs="宋体"/>
            </w:rPr>
          </w:pPr>
          <w:r>
            <w:fldChar w:fldCharType="begin"/>
          </w:r>
          <w:r>
            <w:instrText xml:space="preserve"> HYPERLINK \l "_Toc31882" </w:instrText>
          </w:r>
          <w:r>
            <w:fldChar w:fldCharType="separate"/>
          </w:r>
          <w:r>
            <w:rPr>
              <w:rFonts w:hint="eastAsia" w:ascii="宋体" w:hAnsi="宋体" w:cs="宋体"/>
            </w:rPr>
            <w:t>七、采购代理服务费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_Toc31882 \h </w:instrText>
          </w:r>
          <w:r>
            <w:rPr>
              <w:rFonts w:hint="eastAsia" w:ascii="宋体" w:hAnsi="宋体" w:cs="宋体"/>
            </w:rPr>
            <w:fldChar w:fldCharType="separate"/>
          </w:r>
          <w:r>
            <w:rPr>
              <w:rFonts w:hint="eastAsia" w:ascii="宋体" w:hAnsi="宋体" w:cs="宋体"/>
            </w:rPr>
            <w:t>- 16 -</w:t>
          </w:r>
          <w:r>
            <w:rPr>
              <w:rFonts w:hint="eastAsia" w:ascii="宋体" w:hAnsi="宋体" w:cs="宋体"/>
            </w:rPr>
            <w:fldChar w:fldCharType="end"/>
          </w:r>
          <w:r>
            <w:rPr>
              <w:rFonts w:hint="eastAsia" w:ascii="宋体" w:hAnsi="宋体" w:cs="宋体"/>
            </w:rPr>
            <w:fldChar w:fldCharType="end"/>
          </w:r>
        </w:p>
        <w:p w14:paraId="06E6BCE3">
          <w:pPr>
            <w:pStyle w:val="21"/>
            <w:tabs>
              <w:tab w:val="right" w:leader="dot" w:pos="9185"/>
            </w:tabs>
            <w:ind w:left="560" w:firstLine="560" w:firstLineChars="200"/>
            <w:rPr>
              <w:rFonts w:ascii="宋体" w:hAnsi="宋体" w:cs="宋体"/>
            </w:rPr>
          </w:pPr>
          <w:r>
            <w:fldChar w:fldCharType="begin"/>
          </w:r>
          <w:r>
            <w:instrText xml:space="preserve"> HYPERLINK \l "_Toc6890" </w:instrText>
          </w:r>
          <w:r>
            <w:fldChar w:fldCharType="separate"/>
          </w:r>
          <w:r>
            <w:rPr>
              <w:rFonts w:hint="eastAsia" w:ascii="宋体" w:hAnsi="宋体" w:cs="宋体"/>
            </w:rPr>
            <w:t>八、签订合同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_Toc6890 \h </w:instrText>
          </w:r>
          <w:r>
            <w:rPr>
              <w:rFonts w:hint="eastAsia" w:ascii="宋体" w:hAnsi="宋体" w:cs="宋体"/>
            </w:rPr>
            <w:fldChar w:fldCharType="separate"/>
          </w:r>
          <w:r>
            <w:rPr>
              <w:rFonts w:hint="eastAsia" w:ascii="宋体" w:hAnsi="宋体" w:cs="宋体"/>
            </w:rPr>
            <w:t>- 16 -</w:t>
          </w:r>
          <w:r>
            <w:rPr>
              <w:rFonts w:hint="eastAsia" w:ascii="宋体" w:hAnsi="宋体" w:cs="宋体"/>
            </w:rPr>
            <w:fldChar w:fldCharType="end"/>
          </w:r>
          <w:r>
            <w:rPr>
              <w:rFonts w:hint="eastAsia" w:ascii="宋体" w:hAnsi="宋体" w:cs="宋体"/>
            </w:rPr>
            <w:fldChar w:fldCharType="end"/>
          </w:r>
        </w:p>
        <w:p w14:paraId="61BEA818">
          <w:pPr>
            <w:pStyle w:val="21"/>
            <w:tabs>
              <w:tab w:val="right" w:leader="dot" w:pos="9185"/>
            </w:tabs>
            <w:ind w:left="560"/>
            <w:rPr>
              <w:rFonts w:ascii="宋体" w:hAnsi="宋体" w:cs="宋体"/>
            </w:rPr>
          </w:pPr>
          <w:r>
            <w:fldChar w:fldCharType="begin"/>
          </w:r>
          <w:r>
            <w:instrText xml:space="preserve"> HYPERLINK \l "_Toc16784" </w:instrText>
          </w:r>
          <w:r>
            <w:fldChar w:fldCharType="separate"/>
          </w:r>
          <w:r>
            <w:rPr>
              <w:rFonts w:hint="eastAsia" w:ascii="宋体" w:hAnsi="宋体" w:cs="宋体"/>
              <w:bCs/>
              <w:szCs w:val="36"/>
            </w:rPr>
            <w:t>第六篇 采购合同格式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_Toc16784 \h </w:instrText>
          </w:r>
          <w:r>
            <w:rPr>
              <w:rFonts w:hint="eastAsia" w:ascii="宋体" w:hAnsi="宋体" w:cs="宋体"/>
            </w:rPr>
            <w:fldChar w:fldCharType="separate"/>
          </w:r>
          <w:r>
            <w:rPr>
              <w:rFonts w:hint="eastAsia" w:ascii="宋体" w:hAnsi="宋体" w:cs="宋体"/>
            </w:rPr>
            <w:t>- 17 -</w:t>
          </w:r>
          <w:r>
            <w:rPr>
              <w:rFonts w:hint="eastAsia" w:ascii="宋体" w:hAnsi="宋体" w:cs="宋体"/>
            </w:rPr>
            <w:fldChar w:fldCharType="end"/>
          </w:r>
          <w:r>
            <w:rPr>
              <w:rFonts w:hint="eastAsia" w:ascii="宋体" w:hAnsi="宋体" w:cs="宋体"/>
            </w:rPr>
            <w:fldChar w:fldCharType="end"/>
          </w:r>
        </w:p>
        <w:p w14:paraId="176E2752">
          <w:pPr>
            <w:pStyle w:val="21"/>
            <w:tabs>
              <w:tab w:val="right" w:leader="dot" w:pos="9185"/>
            </w:tabs>
            <w:ind w:left="560"/>
            <w:rPr>
              <w:rFonts w:ascii="宋体" w:hAnsi="宋体" w:cs="宋体"/>
            </w:rPr>
          </w:pPr>
          <w:r>
            <w:fldChar w:fldCharType="begin"/>
          </w:r>
          <w:r>
            <w:instrText xml:space="preserve"> HYPERLINK \l "_Toc2019" </w:instrText>
          </w:r>
          <w:r>
            <w:fldChar w:fldCharType="separate"/>
          </w:r>
          <w:r>
            <w:rPr>
              <w:rFonts w:hint="eastAsia" w:ascii="宋体" w:hAnsi="宋体" w:cs="宋体"/>
              <w:bCs/>
              <w:szCs w:val="36"/>
            </w:rPr>
            <w:t>第七篇 响应文件组成及要求格式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_Toc2019 \h </w:instrText>
          </w:r>
          <w:r>
            <w:rPr>
              <w:rFonts w:hint="eastAsia" w:ascii="宋体" w:hAnsi="宋体" w:cs="宋体"/>
            </w:rPr>
            <w:fldChar w:fldCharType="separate"/>
          </w:r>
          <w:r>
            <w:rPr>
              <w:rFonts w:hint="eastAsia" w:ascii="宋体" w:hAnsi="宋体" w:cs="宋体"/>
            </w:rPr>
            <w:t>- 59 -</w:t>
          </w:r>
          <w:r>
            <w:rPr>
              <w:rFonts w:hint="eastAsia" w:ascii="宋体" w:hAnsi="宋体" w:cs="宋体"/>
            </w:rPr>
            <w:fldChar w:fldCharType="end"/>
          </w:r>
          <w:r>
            <w:rPr>
              <w:rFonts w:hint="eastAsia" w:ascii="宋体" w:hAnsi="宋体" w:cs="宋体"/>
            </w:rPr>
            <w:fldChar w:fldCharType="end"/>
          </w:r>
        </w:p>
        <w:p w14:paraId="317E9586">
          <w:pPr>
            <w:pStyle w:val="21"/>
            <w:tabs>
              <w:tab w:val="right" w:leader="dot" w:pos="9185"/>
            </w:tabs>
            <w:ind w:left="560" w:firstLine="560" w:firstLineChars="200"/>
            <w:rPr>
              <w:rFonts w:ascii="宋体" w:hAnsi="宋体" w:cs="宋体"/>
            </w:rPr>
          </w:pPr>
          <w:r>
            <w:fldChar w:fldCharType="begin"/>
          </w:r>
          <w:r>
            <w:instrText xml:space="preserve"> HYPERLINK \l "_Toc14263" </w:instrText>
          </w:r>
          <w:r>
            <w:fldChar w:fldCharType="separate"/>
          </w:r>
          <w:r>
            <w:rPr>
              <w:rFonts w:hint="eastAsia" w:ascii="宋体" w:hAnsi="宋体" w:cs="宋体"/>
            </w:rPr>
            <w:t>一、经济部分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_Toc14263 \h </w:instrText>
          </w:r>
          <w:r>
            <w:rPr>
              <w:rFonts w:hint="eastAsia" w:ascii="宋体" w:hAnsi="宋体" w:cs="宋体"/>
            </w:rPr>
            <w:fldChar w:fldCharType="separate"/>
          </w:r>
          <w:r>
            <w:rPr>
              <w:rFonts w:hint="eastAsia" w:ascii="宋体" w:hAnsi="宋体" w:cs="宋体"/>
            </w:rPr>
            <w:t>- 60 -</w:t>
          </w:r>
          <w:r>
            <w:rPr>
              <w:rFonts w:hint="eastAsia" w:ascii="宋体" w:hAnsi="宋体" w:cs="宋体"/>
            </w:rPr>
            <w:fldChar w:fldCharType="end"/>
          </w:r>
          <w:r>
            <w:rPr>
              <w:rFonts w:hint="eastAsia" w:ascii="宋体" w:hAnsi="宋体" w:cs="宋体"/>
            </w:rPr>
            <w:fldChar w:fldCharType="end"/>
          </w:r>
        </w:p>
        <w:p w14:paraId="40FFA4C1">
          <w:pPr>
            <w:pStyle w:val="21"/>
            <w:tabs>
              <w:tab w:val="right" w:leader="dot" w:pos="9185"/>
            </w:tabs>
            <w:ind w:left="560" w:firstLine="560" w:firstLineChars="200"/>
            <w:rPr>
              <w:rFonts w:ascii="宋体" w:hAnsi="宋体" w:cs="宋体"/>
            </w:rPr>
          </w:pPr>
          <w:r>
            <w:fldChar w:fldCharType="begin"/>
          </w:r>
          <w:r>
            <w:instrText xml:space="preserve"> HYPERLINK \l "_Toc7674" </w:instrText>
          </w:r>
          <w:r>
            <w:fldChar w:fldCharType="separate"/>
          </w:r>
          <w:r>
            <w:rPr>
              <w:rFonts w:hint="eastAsia" w:ascii="宋体" w:hAnsi="宋体" w:cs="宋体"/>
            </w:rPr>
            <w:t>二、服务部分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_Toc7674 \h </w:instrText>
          </w:r>
          <w:r>
            <w:rPr>
              <w:rFonts w:hint="eastAsia" w:ascii="宋体" w:hAnsi="宋体" w:cs="宋体"/>
            </w:rPr>
            <w:fldChar w:fldCharType="separate"/>
          </w:r>
          <w:r>
            <w:rPr>
              <w:rFonts w:hint="eastAsia" w:ascii="宋体" w:hAnsi="宋体" w:cs="宋体"/>
            </w:rPr>
            <w:t>- 61 -</w:t>
          </w:r>
          <w:r>
            <w:rPr>
              <w:rFonts w:hint="eastAsia" w:ascii="宋体" w:hAnsi="宋体" w:cs="宋体"/>
            </w:rPr>
            <w:fldChar w:fldCharType="end"/>
          </w:r>
          <w:r>
            <w:rPr>
              <w:rFonts w:hint="eastAsia" w:ascii="宋体" w:hAnsi="宋体" w:cs="宋体"/>
            </w:rPr>
            <w:fldChar w:fldCharType="end"/>
          </w:r>
        </w:p>
        <w:p w14:paraId="74046627">
          <w:pPr>
            <w:pStyle w:val="21"/>
            <w:tabs>
              <w:tab w:val="right" w:leader="dot" w:pos="9185"/>
            </w:tabs>
            <w:ind w:left="560" w:firstLine="560" w:firstLineChars="200"/>
            <w:rPr>
              <w:rFonts w:ascii="宋体" w:hAnsi="宋体" w:cs="宋体"/>
            </w:rPr>
          </w:pPr>
          <w:r>
            <w:fldChar w:fldCharType="begin"/>
          </w:r>
          <w:r>
            <w:instrText xml:space="preserve"> HYPERLINK \l "_Toc3060" </w:instrText>
          </w:r>
          <w:r>
            <w:fldChar w:fldCharType="separate"/>
          </w:r>
          <w:r>
            <w:rPr>
              <w:rFonts w:hint="eastAsia" w:ascii="宋体" w:hAnsi="宋体" w:cs="宋体"/>
            </w:rPr>
            <w:t>三、商务部分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_Toc3060 \h </w:instrText>
          </w:r>
          <w:r>
            <w:rPr>
              <w:rFonts w:hint="eastAsia" w:ascii="宋体" w:hAnsi="宋体" w:cs="宋体"/>
            </w:rPr>
            <w:fldChar w:fldCharType="separate"/>
          </w:r>
          <w:r>
            <w:rPr>
              <w:rFonts w:hint="eastAsia" w:ascii="宋体" w:hAnsi="宋体" w:cs="宋体"/>
            </w:rPr>
            <w:t>- 64 -</w:t>
          </w:r>
          <w:r>
            <w:rPr>
              <w:rFonts w:hint="eastAsia" w:ascii="宋体" w:hAnsi="宋体" w:cs="宋体"/>
            </w:rPr>
            <w:fldChar w:fldCharType="end"/>
          </w:r>
          <w:r>
            <w:rPr>
              <w:rFonts w:hint="eastAsia" w:ascii="宋体" w:hAnsi="宋体" w:cs="宋体"/>
            </w:rPr>
            <w:fldChar w:fldCharType="end"/>
          </w:r>
        </w:p>
        <w:p w14:paraId="40703AFB">
          <w:pPr>
            <w:pStyle w:val="21"/>
            <w:tabs>
              <w:tab w:val="right" w:leader="dot" w:pos="9185"/>
            </w:tabs>
            <w:ind w:left="560" w:firstLine="560" w:firstLineChars="200"/>
            <w:rPr>
              <w:rFonts w:ascii="宋体" w:hAnsi="宋体" w:cs="宋体"/>
            </w:rPr>
          </w:pPr>
          <w:r>
            <w:fldChar w:fldCharType="begin"/>
          </w:r>
          <w:r>
            <w:instrText xml:space="preserve"> HYPERLINK \l "_Toc10684" </w:instrText>
          </w:r>
          <w:r>
            <w:fldChar w:fldCharType="separate"/>
          </w:r>
          <w:r>
            <w:rPr>
              <w:rFonts w:hint="eastAsia" w:ascii="宋体" w:hAnsi="宋体" w:cs="宋体"/>
            </w:rPr>
            <w:t>四、资格条件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_Toc10684 \h </w:instrText>
          </w:r>
          <w:r>
            <w:rPr>
              <w:rFonts w:hint="eastAsia" w:ascii="宋体" w:hAnsi="宋体" w:cs="宋体"/>
            </w:rPr>
            <w:fldChar w:fldCharType="separate"/>
          </w:r>
          <w:r>
            <w:rPr>
              <w:rFonts w:hint="eastAsia" w:ascii="宋体" w:hAnsi="宋体" w:cs="宋体"/>
            </w:rPr>
            <w:t>- 66 -</w:t>
          </w:r>
          <w:r>
            <w:rPr>
              <w:rFonts w:hint="eastAsia" w:ascii="宋体" w:hAnsi="宋体" w:cs="宋体"/>
            </w:rPr>
            <w:fldChar w:fldCharType="end"/>
          </w:r>
          <w:r>
            <w:rPr>
              <w:rFonts w:hint="eastAsia" w:ascii="宋体" w:hAnsi="宋体" w:cs="宋体"/>
            </w:rPr>
            <w:fldChar w:fldCharType="end"/>
          </w:r>
        </w:p>
        <w:p w14:paraId="4440749B">
          <w:pPr>
            <w:pStyle w:val="21"/>
            <w:tabs>
              <w:tab w:val="right" w:leader="dot" w:pos="9185"/>
            </w:tabs>
            <w:ind w:left="560" w:firstLine="560" w:firstLineChars="200"/>
            <w:rPr>
              <w:rFonts w:ascii="宋体" w:hAnsi="宋体" w:cs="宋体"/>
            </w:rPr>
          </w:pPr>
          <w:r>
            <w:fldChar w:fldCharType="begin"/>
          </w:r>
          <w:r>
            <w:instrText xml:space="preserve"> HYPERLINK \l "_Toc1206" </w:instrText>
          </w:r>
          <w:r>
            <w:fldChar w:fldCharType="separate"/>
          </w:r>
          <w:r>
            <w:rPr>
              <w:rFonts w:hint="eastAsia" w:ascii="宋体" w:hAnsi="宋体" w:cs="宋体"/>
            </w:rPr>
            <w:t>五、</w:t>
          </w:r>
          <w:r>
            <w:rPr>
              <w:rFonts w:hint="eastAsia" w:ascii="宋体" w:hAnsi="宋体" w:cs="宋体"/>
              <w:szCs w:val="24"/>
            </w:rPr>
            <w:t>其他与项目有关的资料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_Toc1206 \h </w:instrText>
          </w:r>
          <w:r>
            <w:rPr>
              <w:rFonts w:hint="eastAsia" w:ascii="宋体" w:hAnsi="宋体" w:cs="宋体"/>
            </w:rPr>
            <w:fldChar w:fldCharType="separate"/>
          </w:r>
          <w:r>
            <w:rPr>
              <w:rFonts w:hint="eastAsia" w:ascii="宋体" w:hAnsi="宋体" w:cs="宋体"/>
            </w:rPr>
            <w:t>- 71 -</w:t>
          </w:r>
          <w:r>
            <w:rPr>
              <w:rFonts w:hint="eastAsia" w:ascii="宋体" w:hAnsi="宋体" w:cs="宋体"/>
            </w:rPr>
            <w:fldChar w:fldCharType="end"/>
          </w:r>
          <w:r>
            <w:rPr>
              <w:rFonts w:hint="eastAsia" w:ascii="宋体" w:hAnsi="宋体" w:cs="宋体"/>
            </w:rPr>
            <w:fldChar w:fldCharType="end"/>
          </w:r>
        </w:p>
        <w:p w14:paraId="58A824CA">
          <w:pPr>
            <w:pStyle w:val="3"/>
            <w:spacing w:line="360" w:lineRule="auto"/>
            <w:rPr>
              <w:rFonts w:ascii="宋体" w:hAnsi="宋体" w:eastAsia="宋体" w:cs="宋体"/>
              <w:bCs/>
              <w:szCs w:val="36"/>
            </w:rPr>
          </w:pPr>
          <w:r>
            <w:rPr>
              <w:rFonts w:hint="eastAsia" w:ascii="宋体" w:hAnsi="宋体" w:eastAsia="宋体" w:cs="宋体"/>
              <w:bCs/>
              <w:szCs w:val="36"/>
            </w:rPr>
            <w:fldChar w:fldCharType="end"/>
          </w:r>
        </w:p>
      </w:sdtContent>
    </w:sdt>
    <w:p w14:paraId="5A24A547">
      <w:pPr>
        <w:rPr>
          <w:rFonts w:ascii="宋体" w:hAnsi="宋体" w:cs="宋体"/>
        </w:rPr>
        <w:sectPr>
          <w:footerReference r:id="rId7" w:type="default"/>
          <w:pgSz w:w="11907" w:h="16840"/>
          <w:pgMar w:top="1134" w:right="1304" w:bottom="1134" w:left="1418" w:header="850" w:footer="850" w:gutter="0"/>
          <w:cols w:space="720" w:num="1"/>
          <w:docGrid w:linePitch="312" w:charSpace="0"/>
        </w:sectPr>
      </w:pPr>
    </w:p>
    <w:p w14:paraId="0367870A">
      <w:pPr>
        <w:pStyle w:val="3"/>
        <w:spacing w:line="360" w:lineRule="auto"/>
        <w:jc w:val="center"/>
        <w:rPr>
          <w:rFonts w:ascii="宋体" w:hAnsi="宋体" w:eastAsia="宋体" w:cs="宋体"/>
          <w:bCs/>
          <w:sz w:val="36"/>
          <w:szCs w:val="36"/>
        </w:rPr>
      </w:pPr>
      <w:bookmarkStart w:id="9" w:name="_Toc31462"/>
      <w:r>
        <w:rPr>
          <w:rFonts w:hint="eastAsia" w:ascii="宋体" w:hAnsi="宋体" w:eastAsia="宋体" w:cs="宋体"/>
          <w:bCs/>
          <w:sz w:val="36"/>
          <w:szCs w:val="36"/>
        </w:rPr>
        <w:t xml:space="preserve">第一篇 </w:t>
      </w:r>
      <w:bookmarkEnd w:id="5"/>
      <w:bookmarkEnd w:id="6"/>
      <w:bookmarkEnd w:id="7"/>
      <w:bookmarkEnd w:id="8"/>
      <w:r>
        <w:rPr>
          <w:rFonts w:hint="eastAsia" w:ascii="宋体" w:hAnsi="宋体" w:eastAsia="宋体" w:cs="宋体"/>
          <w:bCs/>
          <w:sz w:val="36"/>
          <w:szCs w:val="36"/>
        </w:rPr>
        <w:t>采购邀请书</w:t>
      </w:r>
      <w:bookmarkEnd w:id="9"/>
    </w:p>
    <w:p w14:paraId="6BCAF743">
      <w:pPr>
        <w:snapToGrid w:val="0"/>
        <w:spacing w:line="360" w:lineRule="auto"/>
        <w:ind w:firstLine="480" w:firstLineChars="200"/>
        <w:rPr>
          <w:rFonts w:ascii="宋体" w:hAnsi="宋体" w:cs="宋体"/>
          <w:sz w:val="24"/>
          <w:szCs w:val="24"/>
        </w:rPr>
      </w:pPr>
      <w:bookmarkStart w:id="10" w:name="_Toc317775175"/>
      <w:bookmarkStart w:id="11" w:name="_Toc28581"/>
      <w:bookmarkStart w:id="12" w:name="_Toc313893526"/>
      <w:r>
        <w:rPr>
          <w:rFonts w:hint="eastAsia" w:ascii="宋体" w:hAnsi="宋体" w:cs="宋体"/>
          <w:sz w:val="24"/>
          <w:szCs w:val="24"/>
          <w:u w:val="single"/>
        </w:rPr>
        <w:t>重庆兴渡工程咨询有限公司</w:t>
      </w:r>
      <w:r>
        <w:rPr>
          <w:rFonts w:hint="eastAsia" w:ascii="宋体" w:hAnsi="宋体" w:cs="宋体"/>
          <w:sz w:val="24"/>
          <w:szCs w:val="24"/>
        </w:rPr>
        <w:t>（以下简称：采购代理机构）接受</w:t>
      </w:r>
      <w:r>
        <w:rPr>
          <w:rFonts w:hint="eastAsia" w:ascii="宋体" w:hAnsi="宋体" w:cs="宋体"/>
          <w:sz w:val="24"/>
          <w:szCs w:val="24"/>
          <w:u w:val="single"/>
        </w:rPr>
        <w:t>重庆市大渡口区建胜镇人民政府</w:t>
      </w:r>
      <w:r>
        <w:rPr>
          <w:rFonts w:hint="eastAsia" w:ascii="宋体" w:hAnsi="宋体" w:cs="宋体"/>
          <w:sz w:val="24"/>
          <w:szCs w:val="24"/>
        </w:rPr>
        <w:t>（以下简称：采购人）的委托，对</w:t>
      </w:r>
      <w:r>
        <w:rPr>
          <w:rFonts w:hint="eastAsia" w:ascii="宋体" w:hAnsi="宋体" w:cs="宋体"/>
          <w:kern w:val="0"/>
          <w:sz w:val="24"/>
          <w:szCs w:val="24"/>
          <w:u w:val="single"/>
        </w:rPr>
        <w:t>大渡口区建胜镇民胜村人居环境提升工程监理服务</w:t>
      </w:r>
      <w:r>
        <w:rPr>
          <w:rFonts w:hint="eastAsia" w:ascii="宋体" w:hAnsi="宋体" w:cs="宋体"/>
          <w:sz w:val="24"/>
          <w:szCs w:val="24"/>
        </w:rPr>
        <w:t>进行网上竞采。欢迎有资格的供应商前来参与。</w:t>
      </w:r>
    </w:p>
    <w:p w14:paraId="39789B9F">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ascii="宋体" w:hAnsi="宋体" w:eastAsia="宋体" w:cs="宋体"/>
          <w:sz w:val="24"/>
        </w:rPr>
      </w:pPr>
      <w:bookmarkStart w:id="13" w:name="_Toc3274"/>
      <w:r>
        <w:rPr>
          <w:rFonts w:hint="eastAsia" w:ascii="宋体" w:hAnsi="宋体" w:eastAsia="宋体" w:cs="宋体"/>
          <w:sz w:val="24"/>
        </w:rPr>
        <w:t>一、</w:t>
      </w:r>
      <w:bookmarkEnd w:id="10"/>
      <w:bookmarkEnd w:id="11"/>
      <w:bookmarkEnd w:id="12"/>
      <w:r>
        <w:rPr>
          <w:rFonts w:hint="eastAsia" w:ascii="宋体" w:hAnsi="宋体" w:eastAsia="宋体" w:cs="宋体"/>
          <w:sz w:val="24"/>
        </w:rPr>
        <w:t>竞采采购内容</w:t>
      </w:r>
      <w:bookmarkEnd w:id="13"/>
    </w:p>
    <w:tbl>
      <w:tblPr>
        <w:tblStyle w:val="24"/>
        <w:tblW w:w="9498"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2"/>
        <w:gridCol w:w="1889"/>
        <w:gridCol w:w="2337"/>
        <w:gridCol w:w="2750"/>
      </w:tblGrid>
      <w:tr w14:paraId="3174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22" w:type="dxa"/>
            <w:tcBorders>
              <w:top w:val="single" w:color="auto" w:sz="4" w:space="0"/>
              <w:left w:val="single" w:color="auto" w:sz="4" w:space="0"/>
              <w:right w:val="single" w:color="auto" w:sz="4" w:space="0"/>
            </w:tcBorders>
            <w:noWrap/>
            <w:vAlign w:val="center"/>
          </w:tcPr>
          <w:p w14:paraId="2E3F38FA">
            <w:pPr>
              <w:widowControl/>
              <w:snapToGrid w:val="0"/>
              <w:jc w:val="center"/>
              <w:textAlignment w:val="baseline"/>
              <w:rPr>
                <w:rFonts w:ascii="宋体" w:hAnsi="宋体" w:cs="宋体"/>
                <w:b/>
                <w:bCs/>
                <w:kern w:val="0"/>
                <w:sz w:val="21"/>
                <w:szCs w:val="21"/>
              </w:rPr>
            </w:pPr>
            <w:bookmarkStart w:id="14" w:name="_Toc28615"/>
            <w:bookmarkStart w:id="15" w:name="_Toc373860293"/>
            <w:bookmarkStart w:id="16" w:name="_Toc317775178"/>
            <w:r>
              <w:rPr>
                <w:rFonts w:hint="eastAsia" w:ascii="宋体" w:hAnsi="宋体" w:cs="宋体"/>
                <w:b/>
                <w:bCs/>
                <w:kern w:val="0"/>
                <w:sz w:val="21"/>
                <w:szCs w:val="21"/>
              </w:rPr>
              <w:t>项目名称</w:t>
            </w:r>
          </w:p>
        </w:tc>
        <w:tc>
          <w:tcPr>
            <w:tcW w:w="1889" w:type="dxa"/>
            <w:tcBorders>
              <w:top w:val="single" w:color="auto" w:sz="4" w:space="0"/>
              <w:left w:val="single" w:color="auto" w:sz="4" w:space="0"/>
              <w:right w:val="single" w:color="auto" w:sz="4" w:space="0"/>
            </w:tcBorders>
            <w:noWrap/>
            <w:vAlign w:val="center"/>
          </w:tcPr>
          <w:p w14:paraId="42B50BB6">
            <w:pPr>
              <w:jc w:val="center"/>
              <w:rPr>
                <w:rFonts w:ascii="宋体" w:hAnsi="宋体" w:cs="宋体"/>
                <w:b/>
                <w:bCs/>
                <w:kern w:val="0"/>
                <w:sz w:val="21"/>
                <w:szCs w:val="21"/>
              </w:rPr>
            </w:pPr>
            <w:r>
              <w:rPr>
                <w:rFonts w:hint="eastAsia" w:ascii="宋体" w:hAnsi="宋体" w:cs="宋体"/>
                <w:b/>
                <w:bCs/>
                <w:kern w:val="0"/>
                <w:sz w:val="21"/>
                <w:szCs w:val="21"/>
              </w:rPr>
              <w:t>采购限价（元）</w:t>
            </w:r>
          </w:p>
        </w:tc>
        <w:tc>
          <w:tcPr>
            <w:tcW w:w="2337" w:type="dxa"/>
            <w:tcBorders>
              <w:top w:val="single" w:color="auto" w:sz="4" w:space="0"/>
              <w:left w:val="single" w:color="auto" w:sz="4" w:space="0"/>
              <w:right w:val="single" w:color="auto" w:sz="4" w:space="0"/>
            </w:tcBorders>
            <w:noWrap/>
            <w:vAlign w:val="center"/>
          </w:tcPr>
          <w:p w14:paraId="19556407">
            <w:pPr>
              <w:snapToGrid w:val="0"/>
              <w:jc w:val="center"/>
              <w:textAlignment w:val="baseline"/>
              <w:rPr>
                <w:rFonts w:ascii="宋体" w:hAnsi="宋体" w:cs="宋体"/>
                <w:b/>
                <w:bCs/>
                <w:kern w:val="0"/>
                <w:sz w:val="21"/>
                <w:szCs w:val="21"/>
              </w:rPr>
            </w:pPr>
            <w:r>
              <w:rPr>
                <w:rFonts w:hint="eastAsia" w:ascii="宋体" w:hAnsi="宋体" w:cs="宋体"/>
                <w:b/>
                <w:bCs/>
                <w:kern w:val="0"/>
                <w:sz w:val="21"/>
                <w:szCs w:val="21"/>
              </w:rPr>
              <w:t>成交供应商数量（名）</w:t>
            </w:r>
          </w:p>
        </w:tc>
        <w:tc>
          <w:tcPr>
            <w:tcW w:w="2750" w:type="dxa"/>
            <w:tcBorders>
              <w:top w:val="single" w:color="auto" w:sz="4" w:space="0"/>
              <w:left w:val="single" w:color="auto" w:sz="4" w:space="0"/>
              <w:right w:val="single" w:color="auto" w:sz="4" w:space="0"/>
            </w:tcBorders>
            <w:noWrap/>
            <w:vAlign w:val="center"/>
          </w:tcPr>
          <w:p w14:paraId="41D52A4D">
            <w:pPr>
              <w:jc w:val="center"/>
              <w:rPr>
                <w:rFonts w:ascii="宋体" w:hAnsi="宋体" w:cs="宋体"/>
                <w:b/>
                <w:bCs/>
                <w:kern w:val="0"/>
                <w:sz w:val="21"/>
                <w:szCs w:val="21"/>
              </w:rPr>
            </w:pPr>
            <w:r>
              <w:rPr>
                <w:rFonts w:hint="eastAsia" w:ascii="宋体" w:hAnsi="宋体" w:cs="宋体"/>
                <w:b/>
                <w:bCs/>
                <w:kern w:val="0"/>
                <w:sz w:val="21"/>
                <w:szCs w:val="21"/>
              </w:rPr>
              <w:t>采购标的对应的中小企业划分标准所属行业</w:t>
            </w:r>
          </w:p>
        </w:tc>
      </w:tr>
      <w:tr w14:paraId="1F71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522" w:type="dxa"/>
            <w:tcBorders>
              <w:top w:val="single" w:color="auto" w:sz="4" w:space="0"/>
              <w:left w:val="single" w:color="auto" w:sz="4" w:space="0"/>
              <w:right w:val="single" w:color="auto" w:sz="4" w:space="0"/>
            </w:tcBorders>
            <w:noWrap/>
            <w:vAlign w:val="center"/>
          </w:tcPr>
          <w:p w14:paraId="1D6A28DE">
            <w:pPr>
              <w:widowControl/>
              <w:snapToGrid w:val="0"/>
              <w:jc w:val="left"/>
              <w:textAlignment w:val="baseline"/>
              <w:rPr>
                <w:rFonts w:ascii="宋体" w:hAnsi="宋体" w:cs="宋体"/>
                <w:kern w:val="0"/>
                <w:sz w:val="21"/>
                <w:szCs w:val="21"/>
              </w:rPr>
            </w:pPr>
            <w:r>
              <w:rPr>
                <w:rFonts w:hint="eastAsia" w:ascii="宋体" w:hAnsi="宋体" w:cs="宋体"/>
                <w:kern w:val="0"/>
                <w:sz w:val="21"/>
                <w:szCs w:val="21"/>
              </w:rPr>
              <w:t>建胜镇民胜村人居环境提升工程监理服务</w:t>
            </w:r>
          </w:p>
        </w:tc>
        <w:tc>
          <w:tcPr>
            <w:tcW w:w="1889" w:type="dxa"/>
            <w:tcBorders>
              <w:top w:val="single" w:color="auto" w:sz="4" w:space="0"/>
              <w:left w:val="single" w:color="auto" w:sz="4" w:space="0"/>
              <w:right w:val="single" w:color="auto" w:sz="4" w:space="0"/>
            </w:tcBorders>
            <w:noWrap/>
            <w:vAlign w:val="center"/>
          </w:tcPr>
          <w:p w14:paraId="20EB6641">
            <w:pPr>
              <w:widowControl/>
              <w:snapToGrid w:val="0"/>
              <w:jc w:val="center"/>
              <w:textAlignment w:val="baseline"/>
              <w:rPr>
                <w:rFonts w:ascii="宋体" w:hAnsi="宋体" w:cs="宋体"/>
                <w:sz w:val="21"/>
                <w:szCs w:val="21"/>
              </w:rPr>
            </w:pPr>
            <w:r>
              <w:rPr>
                <w:rFonts w:hint="eastAsia" w:ascii="宋体" w:hAnsi="宋体" w:cs="宋体"/>
                <w:sz w:val="21"/>
                <w:szCs w:val="21"/>
              </w:rPr>
              <w:t>97403.43</w:t>
            </w:r>
          </w:p>
        </w:tc>
        <w:tc>
          <w:tcPr>
            <w:tcW w:w="2337" w:type="dxa"/>
            <w:tcBorders>
              <w:top w:val="single" w:color="auto" w:sz="4" w:space="0"/>
              <w:left w:val="single" w:color="auto" w:sz="4" w:space="0"/>
              <w:right w:val="single" w:color="auto" w:sz="4" w:space="0"/>
            </w:tcBorders>
            <w:noWrap/>
            <w:vAlign w:val="center"/>
          </w:tcPr>
          <w:p w14:paraId="0B379267">
            <w:pPr>
              <w:widowControl/>
              <w:snapToGrid w:val="0"/>
              <w:jc w:val="center"/>
              <w:textAlignment w:val="baseline"/>
              <w:rPr>
                <w:rFonts w:ascii="宋体" w:hAnsi="宋体" w:cs="宋体"/>
                <w:sz w:val="21"/>
                <w:szCs w:val="21"/>
              </w:rPr>
            </w:pPr>
            <w:r>
              <w:rPr>
                <w:rFonts w:hint="eastAsia" w:ascii="宋体" w:hAnsi="宋体" w:cs="宋体"/>
                <w:sz w:val="21"/>
                <w:szCs w:val="21"/>
              </w:rPr>
              <w:t>1</w:t>
            </w:r>
          </w:p>
        </w:tc>
        <w:tc>
          <w:tcPr>
            <w:tcW w:w="2750" w:type="dxa"/>
            <w:tcBorders>
              <w:top w:val="single" w:color="auto" w:sz="4" w:space="0"/>
              <w:left w:val="single" w:color="auto" w:sz="4" w:space="0"/>
              <w:right w:val="single" w:color="auto" w:sz="4" w:space="0"/>
            </w:tcBorders>
            <w:noWrap/>
            <w:vAlign w:val="center"/>
          </w:tcPr>
          <w:p w14:paraId="6BD453C1">
            <w:pPr>
              <w:jc w:val="center"/>
              <w:rPr>
                <w:rFonts w:ascii="宋体" w:hAnsi="宋体" w:cs="宋体"/>
                <w:kern w:val="0"/>
                <w:sz w:val="21"/>
                <w:szCs w:val="21"/>
              </w:rPr>
            </w:pPr>
            <w:r>
              <w:rPr>
                <w:rFonts w:hint="eastAsia" w:ascii="宋体" w:hAnsi="宋体" w:cs="宋体"/>
                <w:kern w:val="0"/>
                <w:sz w:val="21"/>
                <w:szCs w:val="21"/>
              </w:rPr>
              <w:t>建筑业</w:t>
            </w:r>
          </w:p>
        </w:tc>
      </w:tr>
    </w:tbl>
    <w:p w14:paraId="025D9B89">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17" w:name="_Toc24615"/>
      <w:r>
        <w:rPr>
          <w:rFonts w:hint="eastAsia" w:ascii="宋体" w:hAnsi="宋体" w:eastAsia="宋体" w:cs="宋体"/>
          <w:sz w:val="24"/>
        </w:rPr>
        <w:t>二、资金来源</w:t>
      </w:r>
      <w:bookmarkEnd w:id="17"/>
    </w:p>
    <w:p w14:paraId="43458C12">
      <w:pPr>
        <w:spacing w:line="360" w:lineRule="auto"/>
        <w:ind w:firstLine="480" w:firstLineChars="200"/>
        <w:rPr>
          <w:rFonts w:ascii="宋体" w:hAnsi="宋体" w:cs="宋体"/>
          <w:sz w:val="24"/>
          <w:szCs w:val="24"/>
        </w:rPr>
      </w:pPr>
      <w:r>
        <w:rPr>
          <w:rFonts w:hint="eastAsia" w:ascii="宋体" w:hAnsi="宋体" w:cs="宋体"/>
          <w:sz w:val="24"/>
          <w:szCs w:val="24"/>
        </w:rPr>
        <w:t>大中型水库移民后期扶持资金。</w:t>
      </w:r>
    </w:p>
    <w:p w14:paraId="1C8203C1">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18" w:name="_Toc30056"/>
      <w:r>
        <w:rPr>
          <w:rFonts w:hint="eastAsia" w:ascii="宋体" w:hAnsi="宋体" w:eastAsia="宋体" w:cs="宋体"/>
          <w:sz w:val="24"/>
        </w:rPr>
        <w:t>三、供应商资格条件</w:t>
      </w:r>
      <w:bookmarkEnd w:id="14"/>
      <w:bookmarkEnd w:id="18"/>
    </w:p>
    <w:p w14:paraId="66C97790">
      <w:pPr>
        <w:spacing w:line="360" w:lineRule="auto"/>
        <w:ind w:firstLine="480" w:firstLineChars="200"/>
        <w:rPr>
          <w:rFonts w:ascii="宋体" w:hAnsi="宋体" w:cs="宋体"/>
          <w:sz w:val="24"/>
          <w:szCs w:val="24"/>
        </w:rPr>
      </w:pPr>
      <w:r>
        <w:rPr>
          <w:rFonts w:hint="eastAsia" w:ascii="宋体" w:hAnsi="宋体" w:cs="宋体"/>
          <w:sz w:val="24"/>
          <w:szCs w:val="24"/>
        </w:rPr>
        <w:t>（一）满足《中华人民共和国政府采购法》第二十二条规定；</w:t>
      </w:r>
    </w:p>
    <w:p w14:paraId="54AC151F">
      <w:pPr>
        <w:spacing w:line="360" w:lineRule="auto"/>
        <w:ind w:firstLine="480" w:firstLineChars="200"/>
        <w:rPr>
          <w:rFonts w:ascii="宋体" w:hAnsi="宋体" w:cs="宋体"/>
          <w:sz w:val="24"/>
          <w:szCs w:val="24"/>
        </w:rPr>
      </w:pPr>
      <w:r>
        <w:rPr>
          <w:rFonts w:hint="eastAsia" w:ascii="宋体" w:hAnsi="宋体" w:cs="宋体"/>
          <w:sz w:val="24"/>
          <w:szCs w:val="24"/>
        </w:rPr>
        <w:t>（二）落实政府采购政策需满足的资格要求：本项目专门面向中小微企业采购，供应商应为中小微企业（提供中小企业声明函）</w:t>
      </w:r>
      <w:r>
        <w:rPr>
          <w:rFonts w:hint="eastAsia" w:ascii="宋体" w:hAnsi="宋体" w:cs="宋体"/>
          <w:sz w:val="24"/>
          <w:szCs w:val="24"/>
          <w:lang w:eastAsia="zh-CN"/>
        </w:rPr>
        <w:t>，或</w:t>
      </w:r>
      <w:r>
        <w:rPr>
          <w:rFonts w:hint="eastAsia" w:ascii="宋体" w:hAnsi="宋体" w:cs="宋体"/>
          <w:sz w:val="24"/>
          <w:szCs w:val="24"/>
        </w:rPr>
        <w:t>监狱企业（提供监狱企业证明文件）</w:t>
      </w:r>
      <w:r>
        <w:rPr>
          <w:rFonts w:hint="eastAsia" w:ascii="宋体" w:hAnsi="宋体" w:cs="宋体"/>
          <w:sz w:val="24"/>
          <w:szCs w:val="24"/>
          <w:lang w:eastAsia="zh-CN"/>
        </w:rPr>
        <w:t>，或</w:t>
      </w:r>
      <w:r>
        <w:rPr>
          <w:rFonts w:hint="eastAsia" w:ascii="宋体" w:hAnsi="宋体" w:cs="宋体"/>
          <w:sz w:val="24"/>
          <w:szCs w:val="24"/>
        </w:rPr>
        <w:t>残疾人福利性单位（提供残疾人福利性单位声明函</w:t>
      </w:r>
      <w:r>
        <w:rPr>
          <w:rFonts w:hint="eastAsia" w:ascii="宋体" w:hAnsi="宋体" w:cs="宋体"/>
          <w:sz w:val="24"/>
          <w:szCs w:val="24"/>
          <w:lang w:eastAsia="zh-CN"/>
        </w:rPr>
        <w:t>）。</w:t>
      </w:r>
    </w:p>
    <w:p w14:paraId="231BFD69">
      <w:pPr>
        <w:spacing w:line="360" w:lineRule="auto"/>
        <w:ind w:firstLine="480" w:firstLineChars="200"/>
        <w:rPr>
          <w:rFonts w:ascii="宋体" w:hAnsi="宋体" w:cs="宋体"/>
          <w:sz w:val="24"/>
          <w:szCs w:val="24"/>
        </w:rPr>
      </w:pPr>
      <w:bookmarkStart w:id="19" w:name="_Toc5284"/>
      <w:r>
        <w:rPr>
          <w:rFonts w:hint="eastAsia" w:ascii="宋体" w:hAnsi="宋体" w:cs="宋体"/>
          <w:sz w:val="24"/>
          <w:szCs w:val="24"/>
        </w:rPr>
        <w:t>（三）特定资格条件：</w:t>
      </w:r>
    </w:p>
    <w:p w14:paraId="0E46C050">
      <w:pPr>
        <w:spacing w:line="360" w:lineRule="auto"/>
        <w:ind w:firstLine="480" w:firstLineChars="200"/>
        <w:rPr>
          <w:rFonts w:ascii="宋体" w:hAnsi="宋体" w:cs="宋体"/>
          <w:b/>
          <w:bCs/>
          <w:sz w:val="24"/>
          <w:szCs w:val="24"/>
        </w:rPr>
      </w:pPr>
      <w:r>
        <w:rPr>
          <w:rFonts w:hint="eastAsia" w:ascii="宋体" w:hAnsi="宋体" w:cs="宋体"/>
          <w:sz w:val="24"/>
          <w:szCs w:val="24"/>
        </w:rPr>
        <w:t>供应商须具备建设行政主管部门颁发的有效的工程监理综合资质或建筑工程监理乙级及以上资质；</w:t>
      </w:r>
    </w:p>
    <w:p w14:paraId="7BE27AF3">
      <w:pPr>
        <w:spacing w:line="360" w:lineRule="auto"/>
        <w:ind w:firstLine="480" w:firstLineChars="200"/>
        <w:rPr>
          <w:rFonts w:ascii="宋体" w:hAnsi="宋体" w:cs="宋体"/>
          <w:sz w:val="24"/>
          <w:szCs w:val="24"/>
        </w:rPr>
      </w:pPr>
      <w:r>
        <w:rPr>
          <w:rFonts w:hint="eastAsia" w:ascii="宋体" w:hAnsi="宋体" w:cs="宋体"/>
          <w:sz w:val="24"/>
          <w:szCs w:val="24"/>
        </w:rPr>
        <w:t>注：须提供资质证书副本复印件并加盖供应商单位公章。</w:t>
      </w:r>
    </w:p>
    <w:p w14:paraId="278CEBD4">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20" w:name="_Toc18508"/>
      <w:r>
        <w:rPr>
          <w:rFonts w:hint="eastAsia" w:ascii="宋体" w:hAnsi="宋体" w:eastAsia="宋体" w:cs="宋体"/>
          <w:sz w:val="24"/>
        </w:rPr>
        <w:t>四、</w:t>
      </w:r>
      <w:bookmarkEnd w:id="15"/>
      <w:bookmarkEnd w:id="19"/>
      <w:r>
        <w:rPr>
          <w:rFonts w:hint="eastAsia" w:ascii="宋体" w:hAnsi="宋体" w:eastAsia="宋体" w:cs="宋体"/>
          <w:sz w:val="24"/>
        </w:rPr>
        <w:t>电子竞采有关说明</w:t>
      </w:r>
      <w:bookmarkEnd w:id="20"/>
    </w:p>
    <w:p w14:paraId="755BAA0B">
      <w:pPr>
        <w:spacing w:line="360" w:lineRule="auto"/>
        <w:ind w:firstLine="480" w:firstLineChars="200"/>
        <w:rPr>
          <w:rFonts w:ascii="宋体" w:hAnsi="宋体" w:cs="宋体"/>
          <w:sz w:val="24"/>
          <w:szCs w:val="24"/>
        </w:rPr>
      </w:pPr>
      <w:r>
        <w:rPr>
          <w:rFonts w:hint="eastAsia" w:ascii="宋体" w:hAnsi="宋体" w:cs="宋体"/>
          <w:sz w:val="24"/>
          <w:szCs w:val="24"/>
        </w:rPr>
        <w:t>（一）供应商应通过“行采家”平台（https://www.gec123.com）进行注册，成为行采家平台供应商。</w:t>
      </w:r>
    </w:p>
    <w:bookmarkEnd w:id="16"/>
    <w:p w14:paraId="6E0A844F">
      <w:pPr>
        <w:spacing w:line="360" w:lineRule="auto"/>
        <w:ind w:firstLine="480" w:firstLineChars="200"/>
        <w:rPr>
          <w:rFonts w:ascii="宋体" w:hAnsi="宋体" w:cs="宋体"/>
          <w:sz w:val="24"/>
        </w:rPr>
      </w:pPr>
      <w:bookmarkStart w:id="21" w:name="_Toc11608"/>
      <w:bookmarkStart w:id="22" w:name="_Toc480466699"/>
      <w:r>
        <w:rPr>
          <w:rFonts w:hint="eastAsia" w:ascii="宋体" w:hAnsi="宋体" w:cs="宋体"/>
          <w:sz w:val="24"/>
        </w:rPr>
        <w:t>（二）凡有意参加</w:t>
      </w:r>
      <w:r>
        <w:rPr>
          <w:rFonts w:hint="eastAsia" w:ascii="宋体" w:hAnsi="宋体" w:cs="宋体"/>
          <w:sz w:val="24"/>
          <w:lang w:eastAsia="zh-CN"/>
        </w:rPr>
        <w:t>竞采</w:t>
      </w:r>
      <w:r>
        <w:rPr>
          <w:rFonts w:hint="eastAsia" w:ascii="宋体" w:hAnsi="宋体" w:cs="宋体"/>
          <w:sz w:val="24"/>
        </w:rPr>
        <w:t>的供应商，请于公告发布之日</w:t>
      </w:r>
      <w:r>
        <w:rPr>
          <w:rFonts w:hint="eastAsia" w:ascii="宋体" w:hAnsi="宋体" w:cs="宋体"/>
          <w:sz w:val="24"/>
          <w:lang w:eastAsia="zh-CN"/>
        </w:rPr>
        <w:t>（</w:t>
      </w:r>
      <w:r>
        <w:rPr>
          <w:rFonts w:hint="eastAsia" w:ascii="宋体" w:hAnsi="宋体" w:cs="宋体"/>
          <w:sz w:val="24"/>
          <w:lang w:val="en-US" w:eastAsia="zh-CN"/>
        </w:rPr>
        <w:t>2026年5月26日</w:t>
      </w:r>
      <w:r>
        <w:rPr>
          <w:rFonts w:hint="eastAsia" w:ascii="宋体" w:hAnsi="宋体" w:cs="宋体"/>
          <w:sz w:val="24"/>
          <w:lang w:eastAsia="zh-CN"/>
        </w:rPr>
        <w:t>）</w:t>
      </w:r>
      <w:r>
        <w:rPr>
          <w:rFonts w:hint="eastAsia" w:ascii="宋体" w:hAnsi="宋体" w:cs="宋体"/>
          <w:sz w:val="24"/>
        </w:rPr>
        <w:t>起至响应文件上传截止时间之前，在行采家-电子竞采（www.gec123.com/xe/）下载并查看本项目</w:t>
      </w:r>
      <w:r>
        <w:rPr>
          <w:rFonts w:hint="eastAsia" w:ascii="宋体" w:hAnsi="宋体" w:cs="宋体"/>
          <w:sz w:val="24"/>
          <w:lang w:eastAsia="zh-CN"/>
        </w:rPr>
        <w:t>竞采</w:t>
      </w:r>
      <w:r>
        <w:rPr>
          <w:rFonts w:hint="eastAsia" w:ascii="宋体" w:hAnsi="宋体" w:cs="宋体"/>
          <w:sz w:val="24"/>
        </w:rPr>
        <w:t>文件以及变更公告等竞采前公布的所有项目资料，无论供应商下载查看与否，均视为已知晓所有竞采实质性要求内容。</w:t>
      </w:r>
    </w:p>
    <w:p w14:paraId="27F84E7B">
      <w:pPr>
        <w:spacing w:line="360" w:lineRule="auto"/>
        <w:ind w:firstLine="480" w:firstLineChars="200"/>
        <w:rPr>
          <w:rFonts w:ascii="宋体" w:hAnsi="宋体" w:cs="宋体"/>
          <w:sz w:val="24"/>
        </w:rPr>
      </w:pPr>
      <w:r>
        <w:rPr>
          <w:rFonts w:hint="eastAsia" w:ascii="宋体" w:hAnsi="宋体" w:cs="宋体"/>
          <w:sz w:val="24"/>
        </w:rPr>
        <w:t>（三）</w:t>
      </w:r>
      <w:r>
        <w:rPr>
          <w:rFonts w:hint="eastAsia" w:ascii="宋体" w:hAnsi="宋体" w:cs="宋体"/>
          <w:bCs/>
          <w:sz w:val="24"/>
          <w:szCs w:val="24"/>
        </w:rPr>
        <w:t>供应商须在</w:t>
      </w:r>
      <w:r>
        <w:rPr>
          <w:rFonts w:hint="eastAsia" w:ascii="宋体" w:hAnsi="宋体" w:cs="宋体"/>
          <w:sz w:val="24"/>
        </w:rPr>
        <w:t>行采家-电子竞采（www.gec123.com/xe/）平台</w:t>
      </w:r>
      <w:r>
        <w:rPr>
          <w:rFonts w:hint="eastAsia" w:ascii="宋体" w:hAnsi="宋体" w:cs="宋体"/>
          <w:bCs/>
          <w:sz w:val="24"/>
          <w:szCs w:val="24"/>
        </w:rPr>
        <w:t>上获取</w:t>
      </w:r>
      <w:r>
        <w:rPr>
          <w:rFonts w:hint="eastAsia" w:ascii="宋体" w:hAnsi="宋体" w:cs="宋体"/>
          <w:bCs/>
          <w:sz w:val="24"/>
          <w:szCs w:val="24"/>
          <w:lang w:eastAsia="zh-CN"/>
        </w:rPr>
        <w:t>电子竞采</w:t>
      </w:r>
      <w:r>
        <w:rPr>
          <w:rFonts w:hint="eastAsia" w:ascii="宋体" w:hAnsi="宋体" w:cs="宋体"/>
          <w:bCs/>
          <w:sz w:val="24"/>
          <w:szCs w:val="24"/>
        </w:rPr>
        <w:t>文件，并在规定的时间内按要求报价和上传响应文件，未按要求报价和上传响应文件的视为无效供应商</w:t>
      </w:r>
      <w:r>
        <w:rPr>
          <w:rFonts w:hint="eastAsia" w:ascii="宋体" w:hAnsi="宋体" w:cs="宋体"/>
          <w:sz w:val="24"/>
        </w:rPr>
        <w:t>。</w:t>
      </w:r>
    </w:p>
    <w:p w14:paraId="7DCF6C92">
      <w:pPr>
        <w:spacing w:line="360" w:lineRule="auto"/>
        <w:ind w:firstLine="482" w:firstLineChars="200"/>
        <w:rPr>
          <w:rFonts w:ascii="宋体" w:hAnsi="宋体" w:cs="宋体"/>
          <w:b/>
          <w:bCs/>
          <w:sz w:val="24"/>
          <w:szCs w:val="24"/>
        </w:rPr>
      </w:pPr>
      <w:r>
        <w:rPr>
          <w:rFonts w:hint="eastAsia" w:ascii="宋体" w:hAnsi="宋体" w:cs="宋体"/>
          <w:b/>
          <w:bCs/>
          <w:sz w:val="24"/>
          <w:szCs w:val="24"/>
        </w:rPr>
        <w:t>备注：</w:t>
      </w:r>
    </w:p>
    <w:p w14:paraId="78915534">
      <w:pPr>
        <w:spacing w:line="360" w:lineRule="auto"/>
        <w:ind w:firstLine="482" w:firstLineChars="200"/>
        <w:rPr>
          <w:rFonts w:ascii="宋体" w:hAnsi="宋体" w:cs="宋体"/>
          <w:b/>
          <w:bCs/>
          <w:sz w:val="24"/>
          <w:szCs w:val="24"/>
        </w:rPr>
      </w:pPr>
      <w:r>
        <w:rPr>
          <w:rFonts w:hint="eastAsia" w:ascii="宋体" w:hAnsi="宋体" w:cs="宋体"/>
          <w:b/>
          <w:bCs/>
          <w:sz w:val="24"/>
          <w:szCs w:val="24"/>
        </w:rPr>
        <w:t>1.供应商在</w:t>
      </w:r>
      <w:r>
        <w:rPr>
          <w:rFonts w:hint="eastAsia" w:ascii="宋体" w:hAnsi="宋体" w:cs="宋体"/>
          <w:b/>
          <w:bCs/>
          <w:sz w:val="24"/>
        </w:rPr>
        <w:t>行采家-电子竞采（www.gec123.com/xe/）平台上</w:t>
      </w:r>
      <w:r>
        <w:rPr>
          <w:rFonts w:hint="eastAsia" w:ascii="宋体" w:hAnsi="宋体" w:cs="宋体"/>
          <w:b/>
          <w:bCs/>
          <w:sz w:val="24"/>
          <w:szCs w:val="24"/>
        </w:rPr>
        <w:t>须上传本项目的响应文件一份。供应商在</w:t>
      </w:r>
      <w:r>
        <w:rPr>
          <w:rFonts w:hint="eastAsia" w:ascii="宋体" w:hAnsi="宋体" w:cs="宋体"/>
          <w:b/>
          <w:bCs/>
          <w:sz w:val="24"/>
        </w:rPr>
        <w:t>行采家-电子竞采（www.gec123.com/xe/）平台上的报价必须与上传的响应文件中的报价一致，否则，按无效响应处理。</w:t>
      </w:r>
    </w:p>
    <w:p w14:paraId="14EBEF5E">
      <w:pPr>
        <w:spacing w:line="360" w:lineRule="auto"/>
        <w:ind w:firstLine="482" w:firstLineChars="200"/>
        <w:rPr>
          <w:rFonts w:ascii="宋体" w:hAnsi="宋体" w:cs="宋体"/>
          <w:b/>
          <w:bCs/>
          <w:sz w:val="24"/>
        </w:rPr>
      </w:pPr>
      <w:r>
        <w:rPr>
          <w:rFonts w:hint="eastAsia" w:ascii="宋体" w:hAnsi="宋体" w:cs="宋体"/>
          <w:b/>
          <w:bCs/>
          <w:sz w:val="24"/>
          <w:szCs w:val="24"/>
        </w:rPr>
        <w:t>2.供应商的响应文件应按照</w:t>
      </w:r>
      <w:r>
        <w:rPr>
          <w:rFonts w:hint="eastAsia" w:ascii="宋体" w:hAnsi="宋体" w:cs="宋体"/>
          <w:b/>
          <w:bCs/>
          <w:sz w:val="24"/>
          <w:szCs w:val="24"/>
          <w:lang w:eastAsia="zh-CN"/>
        </w:rPr>
        <w:t>竞采</w:t>
      </w:r>
      <w:r>
        <w:rPr>
          <w:rFonts w:hint="eastAsia" w:ascii="宋体" w:hAnsi="宋体" w:cs="宋体"/>
          <w:b/>
          <w:bCs/>
          <w:sz w:val="24"/>
          <w:szCs w:val="24"/>
        </w:rPr>
        <w:t>文件要求制作，要求签字、盖章的地方必须按规定签字、盖章，并扫描成PDF格式电子文档上传至</w:t>
      </w:r>
      <w:r>
        <w:rPr>
          <w:rFonts w:hint="eastAsia" w:ascii="宋体" w:hAnsi="宋体" w:cs="宋体"/>
          <w:b/>
          <w:bCs/>
          <w:sz w:val="24"/>
        </w:rPr>
        <w:t>行采家－电子竞采（www.gec123.com/xe/）</w:t>
      </w:r>
      <w:r>
        <w:rPr>
          <w:rFonts w:hint="eastAsia" w:ascii="宋体" w:hAnsi="宋体" w:cs="宋体"/>
          <w:b/>
          <w:bCs/>
          <w:sz w:val="24"/>
          <w:lang w:eastAsia="zh-CN"/>
        </w:rPr>
        <w:t>平台</w:t>
      </w:r>
      <w:r>
        <w:rPr>
          <w:rFonts w:hint="eastAsia" w:ascii="宋体" w:hAnsi="宋体" w:cs="宋体"/>
          <w:b/>
          <w:bCs/>
          <w:sz w:val="24"/>
          <w:szCs w:val="24"/>
        </w:rPr>
        <w:t>，扫描件须清晰可辨，未按要求制</w:t>
      </w:r>
      <w:r>
        <w:rPr>
          <w:rFonts w:hint="eastAsia" w:ascii="宋体" w:hAnsi="宋体" w:cs="宋体"/>
          <w:b/>
          <w:bCs/>
          <w:sz w:val="24"/>
        </w:rPr>
        <w:t>作的文件按无效响应处理。</w:t>
      </w:r>
    </w:p>
    <w:p w14:paraId="72C18F2B">
      <w:pPr>
        <w:spacing w:line="360" w:lineRule="auto"/>
        <w:ind w:firstLine="480" w:firstLineChars="200"/>
        <w:rPr>
          <w:rFonts w:ascii="宋体" w:hAnsi="宋体" w:cs="宋体"/>
          <w:sz w:val="24"/>
          <w:szCs w:val="24"/>
        </w:rPr>
      </w:pPr>
      <w:r>
        <w:rPr>
          <w:rFonts w:hint="eastAsia" w:ascii="宋体" w:hAnsi="宋体" w:cs="宋体"/>
          <w:sz w:val="24"/>
        </w:rPr>
        <w:t>（四）报名方式</w:t>
      </w:r>
    </w:p>
    <w:p w14:paraId="3880DFF4">
      <w:pPr>
        <w:spacing w:line="360" w:lineRule="auto"/>
        <w:ind w:firstLine="480" w:firstLineChars="200"/>
        <w:rPr>
          <w:rFonts w:ascii="宋体" w:hAnsi="宋体" w:cs="宋体"/>
          <w:sz w:val="24"/>
        </w:rPr>
      </w:pPr>
      <w:r>
        <w:rPr>
          <w:rFonts w:hint="eastAsia" w:ascii="宋体" w:hAnsi="宋体" w:cs="宋体"/>
          <w:sz w:val="24"/>
        </w:rPr>
        <w:t>1.报名时间：</w:t>
      </w:r>
      <w:r>
        <w:rPr>
          <w:rFonts w:hint="eastAsia" w:ascii="宋体" w:hAnsi="宋体" w:cs="宋体"/>
          <w:sz w:val="24"/>
          <w:lang w:eastAsia="zh-CN"/>
        </w:rPr>
        <w:t>2026年</w:t>
      </w:r>
      <w:r>
        <w:rPr>
          <w:rFonts w:hint="eastAsia" w:ascii="宋体" w:hAnsi="宋体" w:cs="宋体"/>
          <w:sz w:val="24"/>
          <w:lang w:val="en-US" w:eastAsia="zh-CN"/>
        </w:rPr>
        <w:t>5</w:t>
      </w:r>
      <w:r>
        <w:rPr>
          <w:rFonts w:hint="eastAsia" w:ascii="宋体" w:hAnsi="宋体" w:cs="宋体"/>
          <w:sz w:val="24"/>
          <w:lang w:eastAsia="zh-CN"/>
        </w:rPr>
        <w:t>月</w:t>
      </w:r>
      <w:r>
        <w:rPr>
          <w:rFonts w:hint="eastAsia" w:ascii="宋体" w:hAnsi="宋体" w:cs="宋体"/>
          <w:sz w:val="24"/>
          <w:lang w:val="en-US" w:eastAsia="zh-CN"/>
        </w:rPr>
        <w:t>26</w:t>
      </w:r>
      <w:r>
        <w:rPr>
          <w:rFonts w:hint="eastAsia" w:ascii="宋体" w:hAnsi="宋体" w:cs="宋体"/>
          <w:sz w:val="24"/>
        </w:rPr>
        <w:t>日—</w:t>
      </w:r>
      <w:r>
        <w:rPr>
          <w:rFonts w:hint="eastAsia" w:ascii="宋体" w:hAnsi="宋体" w:cs="宋体"/>
          <w:sz w:val="24"/>
          <w:lang w:eastAsia="zh-CN"/>
        </w:rPr>
        <w:t>2026年</w:t>
      </w:r>
      <w:r>
        <w:rPr>
          <w:rFonts w:hint="eastAsia" w:ascii="宋体" w:hAnsi="宋体" w:cs="宋体"/>
          <w:sz w:val="24"/>
          <w:lang w:val="en-US" w:eastAsia="zh-CN"/>
        </w:rPr>
        <w:t>5</w:t>
      </w:r>
      <w:r>
        <w:rPr>
          <w:rFonts w:hint="eastAsia" w:ascii="宋体" w:hAnsi="宋体" w:cs="宋体"/>
          <w:sz w:val="24"/>
          <w:lang w:eastAsia="zh-CN"/>
        </w:rPr>
        <w:t>月</w:t>
      </w:r>
      <w:r>
        <w:rPr>
          <w:rFonts w:hint="eastAsia" w:ascii="宋体" w:hAnsi="宋体" w:cs="宋体"/>
          <w:sz w:val="24"/>
          <w:lang w:val="en-US" w:eastAsia="zh-CN"/>
        </w:rPr>
        <w:t>28</w:t>
      </w:r>
      <w:r>
        <w:rPr>
          <w:rFonts w:hint="eastAsia" w:ascii="宋体" w:hAnsi="宋体" w:cs="宋体"/>
          <w:sz w:val="24"/>
        </w:rPr>
        <w:t>日</w:t>
      </w:r>
      <w:r>
        <w:rPr>
          <w:rFonts w:hint="eastAsia" w:ascii="宋体" w:hAnsi="宋体" w:cs="宋体"/>
          <w:sz w:val="24"/>
          <w:lang w:eastAsia="zh-CN"/>
        </w:rPr>
        <w:t xml:space="preserve"> 17</w:t>
      </w:r>
      <w:r>
        <w:rPr>
          <w:rFonts w:hint="eastAsia" w:ascii="宋体" w:hAnsi="宋体" w:cs="宋体"/>
          <w:sz w:val="24"/>
        </w:rPr>
        <w:t>:</w:t>
      </w:r>
      <w:r>
        <w:rPr>
          <w:rFonts w:hint="eastAsia" w:ascii="宋体" w:hAnsi="宋体" w:cs="宋体"/>
          <w:sz w:val="24"/>
          <w:lang w:val="en-US" w:eastAsia="zh-CN"/>
        </w:rPr>
        <w:t>0</w:t>
      </w:r>
      <w:r>
        <w:rPr>
          <w:rFonts w:hint="eastAsia" w:ascii="宋体" w:hAnsi="宋体" w:cs="宋体"/>
          <w:sz w:val="24"/>
        </w:rPr>
        <w:t>0。</w:t>
      </w:r>
    </w:p>
    <w:p w14:paraId="38A8F291">
      <w:pPr>
        <w:spacing w:line="360" w:lineRule="auto"/>
        <w:ind w:firstLine="480" w:firstLineChars="200"/>
        <w:rPr>
          <w:rFonts w:ascii="宋体" w:hAnsi="宋体" w:cs="宋体"/>
          <w:sz w:val="24"/>
        </w:rPr>
      </w:pPr>
      <w:r>
        <w:rPr>
          <w:rFonts w:hint="eastAsia" w:ascii="宋体" w:hAnsi="宋体" w:cs="宋体"/>
          <w:sz w:val="24"/>
        </w:rPr>
        <w:t>2.</w:t>
      </w:r>
      <w:bookmarkStart w:id="23" w:name="_Toc3308"/>
      <w:r>
        <w:rPr>
          <w:rFonts w:hint="eastAsia" w:ascii="宋体" w:hAnsi="宋体" w:cs="宋体"/>
          <w:sz w:val="24"/>
        </w:rPr>
        <w:fldChar w:fldCharType="begin"/>
      </w:r>
      <w:r>
        <w:rPr>
          <w:rFonts w:hint="eastAsia" w:ascii="宋体" w:hAnsi="宋体" w:cs="宋体"/>
          <w:sz w:val="24"/>
        </w:rPr>
        <w:instrText xml:space="preserve"> HYPERLINK "mailto:，供应商将文件购买费转入下侧二维码中，转账时注明\“供应商简称-大佛寺配电房改造工程（可简写）\”，并将《报名登记表》（格式详见附件）填写完整加盖供应商公章扫描后同询比文件购买费转账截图一起发送至指定邮箱（283927784@qq.com）。" </w:instrText>
      </w:r>
      <w:r>
        <w:rPr>
          <w:rFonts w:hint="eastAsia" w:ascii="宋体" w:hAnsi="宋体" w:cs="宋体"/>
          <w:sz w:val="24"/>
        </w:rPr>
        <w:fldChar w:fldCharType="separate"/>
      </w:r>
      <w:r>
        <w:rPr>
          <w:rFonts w:hint="eastAsia" w:ascii="宋体" w:hAnsi="宋体" w:cs="宋体"/>
          <w:sz w:val="24"/>
        </w:rPr>
        <w:t>供应商将附件1《报名登记表》填写完整，加盖供应商公章，扫描后发送至指定邮箱（3780013030@qq.com），报名时间以邮箱到达时间为准，经代理机构确认报名有效后，对成功报名供应商的信用信息及关联单位信息进行核查。</w:t>
      </w:r>
      <w:bookmarkEnd w:id="23"/>
      <w:r>
        <w:rPr>
          <w:rFonts w:hint="eastAsia" w:ascii="宋体" w:hAnsi="宋体" w:cs="宋体"/>
          <w:sz w:val="24"/>
        </w:rPr>
        <w:fldChar w:fldCharType="end"/>
      </w:r>
    </w:p>
    <w:p w14:paraId="35E31825">
      <w:pPr>
        <w:spacing w:line="360" w:lineRule="auto"/>
        <w:ind w:firstLine="480" w:firstLineChars="200"/>
        <w:rPr>
          <w:rFonts w:hint="eastAsia" w:ascii="宋体" w:hAnsi="宋体" w:cs="宋体"/>
          <w:sz w:val="24"/>
        </w:rPr>
      </w:pPr>
      <w:r>
        <w:rPr>
          <w:rFonts w:hint="eastAsia" w:ascii="宋体" w:hAnsi="宋体" w:cs="宋体"/>
          <w:sz w:val="24"/>
        </w:rPr>
        <w:t>（五）行采家－电子竞采（www.gec123.com/xe/）平台的响应文件上传开始时间和截止时间：</w:t>
      </w:r>
      <w:r>
        <w:rPr>
          <w:rFonts w:hint="eastAsia" w:ascii="宋体" w:hAnsi="宋体" w:cs="宋体"/>
          <w:sz w:val="24"/>
          <w:highlight w:val="none"/>
          <w:lang w:eastAsia="zh-CN"/>
        </w:rPr>
        <w:t>本项目采购公告发布之日起至</w:t>
      </w:r>
      <w:r>
        <w:rPr>
          <w:rFonts w:hint="eastAsia" w:ascii="宋体" w:hAnsi="宋体" w:cs="宋体"/>
          <w:sz w:val="24"/>
          <w:highlight w:val="none"/>
          <w:lang w:val="en-US" w:eastAsia="zh-CN"/>
        </w:rPr>
        <w:t>2026年05月29日9:00时止</w:t>
      </w:r>
      <w:r>
        <w:rPr>
          <w:rFonts w:hint="eastAsia" w:ascii="宋体" w:hAnsi="宋体" w:cs="宋体"/>
          <w:sz w:val="24"/>
          <w:highlight w:val="none"/>
        </w:rPr>
        <w:t>。</w:t>
      </w:r>
    </w:p>
    <w:p w14:paraId="09C5A53F">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六</w:t>
      </w:r>
      <w:r>
        <w:rPr>
          <w:rFonts w:hint="eastAsia" w:ascii="宋体" w:hAnsi="宋体" w:cs="宋体"/>
          <w:sz w:val="24"/>
          <w:highlight w:val="none"/>
        </w:rPr>
        <w:t>）开标时间：同响应文件递交截止时间。</w:t>
      </w:r>
    </w:p>
    <w:p w14:paraId="0D611D91">
      <w:pPr>
        <w:spacing w:line="360" w:lineRule="auto"/>
        <w:ind w:firstLine="480" w:firstLineChars="200"/>
        <w:rPr>
          <w:rFonts w:ascii="宋体" w:hAnsi="宋体" w:cs="宋体"/>
          <w:b/>
          <w:bCs/>
          <w:sz w:val="24"/>
          <w:szCs w:val="24"/>
          <w:highlight w:val="none"/>
        </w:rPr>
      </w:pPr>
      <w:r>
        <w:rPr>
          <w:rFonts w:hint="eastAsia" w:ascii="宋体" w:hAnsi="宋体" w:cs="宋体"/>
          <w:sz w:val="24"/>
          <w:highlight w:val="none"/>
        </w:rPr>
        <w:t>（</w:t>
      </w:r>
      <w:r>
        <w:rPr>
          <w:rFonts w:hint="eastAsia" w:ascii="宋体" w:hAnsi="宋体" w:cs="宋体"/>
          <w:sz w:val="24"/>
          <w:highlight w:val="none"/>
          <w:lang w:eastAsia="zh-CN"/>
        </w:rPr>
        <w:t>七</w:t>
      </w:r>
      <w:r>
        <w:rPr>
          <w:rFonts w:hint="eastAsia" w:ascii="宋体" w:hAnsi="宋体" w:cs="宋体"/>
          <w:sz w:val="24"/>
          <w:highlight w:val="none"/>
        </w:rPr>
        <w:t>）无论竞标结果如何，供应商参与本项目的所有费用均由供应商自行承担。</w:t>
      </w:r>
    </w:p>
    <w:p w14:paraId="29B952A2">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24" w:name="_Toc5530"/>
      <w:r>
        <w:rPr>
          <w:rFonts w:hint="eastAsia" w:ascii="宋体" w:hAnsi="宋体" w:eastAsia="宋体" w:cs="宋体"/>
          <w:sz w:val="24"/>
        </w:rPr>
        <w:t>五、其他有关规定</w:t>
      </w:r>
      <w:bookmarkEnd w:id="21"/>
      <w:bookmarkEnd w:id="22"/>
      <w:bookmarkEnd w:id="24"/>
    </w:p>
    <w:p w14:paraId="3E02DBD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（一）单位负责人为同一人或者存在直接控股、管理关系的不同供应商，不得参加同一合同项（分包）下的投标活动，否则均为响应无效。</w:t>
      </w:r>
    </w:p>
    <w:p w14:paraId="30211EE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（二）为</w:t>
      </w:r>
      <w:r>
        <w:rPr>
          <w:rFonts w:hint="eastAsia" w:ascii="宋体" w:hAnsi="宋体" w:cs="宋体"/>
          <w:sz w:val="24"/>
          <w:szCs w:val="24"/>
          <w:highlight w:val="none"/>
          <w:lang w:eastAsia="zh-CN"/>
        </w:rPr>
        <w:t>竞采</w:t>
      </w:r>
      <w:r>
        <w:rPr>
          <w:rFonts w:hint="eastAsia" w:ascii="宋体" w:hAnsi="宋体" w:cs="宋体"/>
          <w:sz w:val="24"/>
          <w:szCs w:val="24"/>
          <w:highlight w:val="none"/>
        </w:rPr>
        <w:t>项目提供整体设计、规范编制或者项目管理、监理、检测等服务的供应商，不得再参加该项目的其他采购活动。</w:t>
      </w:r>
    </w:p>
    <w:p w14:paraId="5005915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（三）本项目的补遗文件（如果有）一律在</w:t>
      </w:r>
      <w:r>
        <w:rPr>
          <w:rFonts w:hint="eastAsia" w:ascii="宋体" w:hAnsi="宋体" w:cs="宋体"/>
          <w:sz w:val="24"/>
          <w:szCs w:val="24"/>
        </w:rPr>
        <w:t>“行采家”平台（https://www.gec123.com）</w:t>
      </w:r>
      <w:r>
        <w:rPr>
          <w:rFonts w:hint="eastAsia" w:ascii="宋体" w:hAnsi="宋体" w:cs="宋体"/>
          <w:sz w:val="24"/>
          <w:szCs w:val="24"/>
          <w:lang w:eastAsia="zh-CN"/>
        </w:rPr>
        <w:t>上</w:t>
      </w:r>
      <w:r>
        <w:rPr>
          <w:rFonts w:hint="eastAsia" w:ascii="宋体" w:hAnsi="宋体" w:cs="宋体"/>
          <w:sz w:val="24"/>
          <w:szCs w:val="24"/>
          <w:highlight w:val="none"/>
        </w:rPr>
        <w:t>发布，请各供应商注意下载；无论供应商下载与否，均视同供应商已知晓本项目补遗文件（如果有）的内容。</w:t>
      </w:r>
    </w:p>
    <w:p w14:paraId="539AA4F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（四）超过响应文件截止时间递交的响应文件，恕不接收。</w:t>
      </w:r>
    </w:p>
    <w:p w14:paraId="529AC60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w:t>
      </w:r>
      <w:r>
        <w:rPr>
          <w:rFonts w:hint="eastAsia" w:ascii="宋体" w:hAnsi="宋体" w:cs="宋体"/>
          <w:sz w:val="24"/>
          <w:szCs w:val="24"/>
          <w:highlight w:val="none"/>
          <w:lang w:eastAsia="zh-CN"/>
        </w:rPr>
        <w:t>竞采</w:t>
      </w:r>
      <w:r>
        <w:rPr>
          <w:rFonts w:hint="eastAsia" w:ascii="宋体" w:hAnsi="宋体" w:cs="宋体"/>
          <w:sz w:val="24"/>
          <w:szCs w:val="24"/>
          <w:highlight w:val="none"/>
        </w:rPr>
        <w:t>费用：无论</w:t>
      </w:r>
      <w:r>
        <w:rPr>
          <w:rFonts w:hint="eastAsia" w:ascii="宋体" w:hAnsi="宋体" w:cs="宋体"/>
          <w:sz w:val="24"/>
          <w:szCs w:val="24"/>
          <w:highlight w:val="none"/>
          <w:lang w:eastAsia="zh-CN"/>
        </w:rPr>
        <w:t>竞采</w:t>
      </w:r>
      <w:r>
        <w:rPr>
          <w:rFonts w:hint="eastAsia" w:ascii="宋体" w:hAnsi="宋体" w:cs="宋体"/>
          <w:sz w:val="24"/>
          <w:szCs w:val="24"/>
          <w:highlight w:val="none"/>
        </w:rPr>
        <w:t>结果如何，供应商参与本项目</w:t>
      </w:r>
      <w:r>
        <w:rPr>
          <w:rFonts w:hint="eastAsia" w:ascii="宋体" w:hAnsi="宋体" w:cs="宋体"/>
          <w:sz w:val="24"/>
          <w:szCs w:val="24"/>
          <w:highlight w:val="none"/>
          <w:lang w:eastAsia="zh-CN"/>
        </w:rPr>
        <w:t>竞采</w:t>
      </w:r>
      <w:r>
        <w:rPr>
          <w:rFonts w:hint="eastAsia" w:ascii="宋体" w:hAnsi="宋体" w:cs="宋体"/>
          <w:sz w:val="24"/>
          <w:szCs w:val="24"/>
          <w:highlight w:val="none"/>
        </w:rPr>
        <w:t>的所有费用均应由供应商自行承担。</w:t>
      </w:r>
    </w:p>
    <w:p w14:paraId="0CDCC7AC">
      <w:pPr>
        <w:spacing w:line="360" w:lineRule="auto"/>
        <w:ind w:firstLine="480" w:firstLineChars="200"/>
        <w:rPr>
          <w:rFonts w:ascii="宋体" w:hAnsi="宋体" w:cs="宋体"/>
          <w:sz w:val="24"/>
          <w:szCs w:val="24"/>
          <w:highlight w:val="none"/>
        </w:rPr>
      </w:pPr>
      <w:bookmarkStart w:id="25" w:name="_Toc480466700"/>
      <w:r>
        <w:rPr>
          <w:rFonts w:hint="eastAsia" w:ascii="宋体" w:hAnsi="宋体" w:cs="宋体"/>
          <w:sz w:val="24"/>
          <w:szCs w:val="24"/>
          <w:highlight w:val="none"/>
        </w:rPr>
        <w:t>（六）本项目不接受联合体参与</w:t>
      </w:r>
      <w:r>
        <w:rPr>
          <w:rFonts w:hint="eastAsia" w:ascii="宋体" w:hAnsi="宋体" w:cs="宋体"/>
          <w:sz w:val="24"/>
          <w:szCs w:val="24"/>
          <w:highlight w:val="none"/>
          <w:lang w:eastAsia="zh-CN"/>
        </w:rPr>
        <w:t>竞采</w:t>
      </w:r>
      <w:r>
        <w:rPr>
          <w:rFonts w:hint="eastAsia" w:ascii="宋体" w:hAnsi="宋体" w:cs="宋体"/>
          <w:sz w:val="24"/>
          <w:szCs w:val="24"/>
          <w:highlight w:val="none"/>
        </w:rPr>
        <w:t>。</w:t>
      </w:r>
    </w:p>
    <w:p w14:paraId="09FD38A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（七）本项目不接受合同分包。</w:t>
      </w:r>
    </w:p>
    <w:p w14:paraId="40B7F53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八）按照《财政部关于在政府采购活动中查询及使用信用记录有关问题的通知》财库〔2016〕125号，被列入失信被执行人、重大税收违法案件当事人名单、政府采购严重违法失信行为记录名单，以及其他不符合《中华人民共和国政府采购法》第二十二条规定条件的供应商，将被拒绝参与政府采购活动。</w:t>
      </w:r>
    </w:p>
    <w:p w14:paraId="569C5BF7">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26" w:name="_Toc1712"/>
      <w:bookmarkStart w:id="27" w:name="_Toc8686"/>
      <w:r>
        <w:rPr>
          <w:rFonts w:hint="eastAsia" w:ascii="宋体" w:hAnsi="宋体" w:eastAsia="宋体" w:cs="宋体"/>
          <w:sz w:val="24"/>
        </w:rPr>
        <w:t>六、</w:t>
      </w:r>
      <w:bookmarkEnd w:id="26"/>
      <w:bookmarkStart w:id="28" w:name="_Toc26660"/>
      <w:r>
        <w:rPr>
          <w:rFonts w:hint="eastAsia" w:ascii="宋体" w:hAnsi="宋体" w:eastAsia="宋体" w:cs="宋体"/>
          <w:sz w:val="24"/>
        </w:rPr>
        <w:t>联系方式</w:t>
      </w:r>
      <w:bookmarkEnd w:id="25"/>
      <w:bookmarkEnd w:id="27"/>
      <w:bookmarkEnd w:id="28"/>
    </w:p>
    <w:p w14:paraId="0D8B2EBE">
      <w:pPr>
        <w:spacing w:line="360" w:lineRule="auto"/>
        <w:ind w:firstLine="480" w:firstLineChars="200"/>
        <w:rPr>
          <w:rFonts w:ascii="宋体" w:hAnsi="宋体" w:cs="宋体"/>
          <w:sz w:val="24"/>
          <w:szCs w:val="24"/>
          <w:highlight w:val="none"/>
        </w:rPr>
      </w:pPr>
      <w:bookmarkStart w:id="29" w:name="_Toc64"/>
      <w:r>
        <w:rPr>
          <w:rFonts w:hint="eastAsia" w:ascii="宋体" w:hAnsi="宋体" w:cs="宋体"/>
          <w:sz w:val="24"/>
          <w:szCs w:val="24"/>
          <w:highlight w:val="none"/>
        </w:rPr>
        <w:t>（一）采购人：重庆市大渡口区建胜镇人民政府</w:t>
      </w:r>
    </w:p>
    <w:p w14:paraId="6BEAF77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联系人： 胡老师</w:t>
      </w:r>
    </w:p>
    <w:p w14:paraId="55D8A0A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电  话：023-68551839</w:t>
      </w:r>
    </w:p>
    <w:p w14:paraId="5443B75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地  址：重庆市大渡口区建胜镇茄子溪街道39号</w:t>
      </w:r>
    </w:p>
    <w:p w14:paraId="54271940">
      <w:pPr>
        <w:snapToGrid w:val="0"/>
        <w:spacing w:line="360" w:lineRule="auto"/>
        <w:ind w:firstLine="480" w:firstLineChars="200"/>
        <w:rPr>
          <w:rFonts w:ascii="宋体" w:hAnsi="宋体" w:cs="宋体"/>
          <w:sz w:val="24"/>
          <w:szCs w:val="24"/>
          <w:highlight w:val="none"/>
        </w:rPr>
      </w:pPr>
    </w:p>
    <w:p w14:paraId="691CA616">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w:t>
      </w:r>
      <w:r>
        <w:rPr>
          <w:rFonts w:hint="eastAsia" w:ascii="宋体" w:hAnsi="宋体" w:cs="宋体"/>
          <w:sz w:val="24"/>
          <w:szCs w:val="24"/>
          <w:highlight w:val="none"/>
          <w:lang w:eastAsia="zh-CN"/>
        </w:rPr>
        <w:t>采购</w:t>
      </w:r>
      <w:r>
        <w:rPr>
          <w:rFonts w:hint="eastAsia" w:ascii="宋体" w:hAnsi="宋体" w:cs="宋体"/>
          <w:sz w:val="24"/>
          <w:szCs w:val="24"/>
          <w:highlight w:val="none"/>
        </w:rPr>
        <w:t>代理机构：重庆兴渡工程咨询有限公司</w:t>
      </w:r>
    </w:p>
    <w:p w14:paraId="2C2B96A4">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联系人：吴老师</w:t>
      </w:r>
    </w:p>
    <w:p w14:paraId="5FD46B42">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电  话：17830826183</w:t>
      </w:r>
    </w:p>
    <w:p w14:paraId="7EBBE5B3">
      <w:pPr>
        <w:snapToGrid w:val="0"/>
        <w:spacing w:line="360" w:lineRule="auto"/>
        <w:ind w:firstLine="480" w:firstLineChars="200"/>
        <w:rPr>
          <w:rFonts w:ascii="宋体" w:hAnsi="宋体" w:cs="宋体"/>
          <w:highlight w:val="none"/>
        </w:rPr>
        <w:sectPr>
          <w:footerReference r:id="rId8" w:type="default"/>
          <w:pgSz w:w="11907" w:h="16840"/>
          <w:pgMar w:top="1134" w:right="1134" w:bottom="1134" w:left="1134" w:header="850" w:footer="850" w:gutter="0"/>
          <w:pgNumType w:fmt="numberInDash" w:start="1"/>
          <w:cols w:space="720" w:num="1"/>
          <w:docGrid w:linePitch="312" w:charSpace="0"/>
        </w:sectPr>
      </w:pPr>
      <w:r>
        <w:rPr>
          <w:rFonts w:hint="eastAsia" w:ascii="宋体" w:hAnsi="宋体" w:cs="宋体"/>
          <w:sz w:val="24"/>
          <w:szCs w:val="24"/>
          <w:highlight w:val="none"/>
        </w:rPr>
        <w:t>地  址：重庆市大渡口区春晖路中甬优米优米1幢19-21</w:t>
      </w:r>
    </w:p>
    <w:p w14:paraId="5A66B7A3">
      <w:pPr>
        <w:pStyle w:val="3"/>
        <w:numPr>
          <w:ilvl w:val="255"/>
          <w:numId w:val="0"/>
        </w:numPr>
        <w:spacing w:before="0" w:after="0" w:line="360" w:lineRule="auto"/>
        <w:jc w:val="center"/>
        <w:rPr>
          <w:rFonts w:ascii="宋体" w:hAnsi="宋体" w:eastAsia="宋体" w:cs="宋体"/>
          <w:sz w:val="24"/>
        </w:rPr>
      </w:pPr>
      <w:bookmarkStart w:id="30" w:name="_Toc212456862"/>
      <w:bookmarkStart w:id="31" w:name="_Toc3498"/>
      <w:r>
        <w:rPr>
          <w:rFonts w:hint="eastAsia" w:ascii="宋体" w:hAnsi="宋体" w:eastAsia="宋体" w:cs="宋体"/>
          <w:bCs/>
          <w:sz w:val="36"/>
          <w:szCs w:val="36"/>
        </w:rPr>
        <w:t xml:space="preserve">第二篇 </w:t>
      </w:r>
      <w:bookmarkEnd w:id="29"/>
      <w:r>
        <w:rPr>
          <w:rFonts w:hint="eastAsia" w:ascii="宋体" w:hAnsi="宋体" w:eastAsia="宋体" w:cs="宋体"/>
          <w:bCs/>
          <w:sz w:val="36"/>
          <w:szCs w:val="36"/>
        </w:rPr>
        <w:t>项目服务（质量）需求</w:t>
      </w:r>
      <w:bookmarkEnd w:id="30"/>
      <w:bookmarkEnd w:id="31"/>
      <w:bookmarkStart w:id="32" w:name="_Toc11081"/>
      <w:bookmarkStart w:id="33" w:name="_Toc21142"/>
      <w:bookmarkStart w:id="34" w:name="_Toc12789058"/>
    </w:p>
    <w:p w14:paraId="144CA68C">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35" w:name="_Toc4088"/>
      <w:r>
        <w:rPr>
          <w:rFonts w:hint="eastAsia" w:ascii="宋体" w:hAnsi="宋体" w:eastAsia="宋体" w:cs="宋体"/>
          <w:sz w:val="24"/>
        </w:rPr>
        <w:t>一、项目概况</w:t>
      </w:r>
      <w:bookmarkEnd w:id="35"/>
    </w:p>
    <w:p w14:paraId="64B81183">
      <w:pPr>
        <w:spacing w:line="360" w:lineRule="auto"/>
        <w:ind w:firstLine="480" w:firstLineChars="200"/>
        <w:rPr>
          <w:rFonts w:hint="eastAsia" w:ascii="宋体" w:hAnsi="宋体" w:cs="宋体"/>
          <w:bCs/>
          <w:sz w:val="24"/>
        </w:rPr>
      </w:pPr>
      <w:r>
        <w:rPr>
          <w:rFonts w:hint="eastAsia" w:ascii="宋体" w:hAnsi="宋体" w:cs="宋体"/>
          <w:bCs/>
          <w:sz w:val="24"/>
        </w:rPr>
        <w:t>项目区民房改造、公共区域环境整治等</w:t>
      </w:r>
      <w:r>
        <w:rPr>
          <w:rFonts w:hint="eastAsia" w:ascii="宋体" w:hAnsi="宋体" w:cs="宋体"/>
          <w:bCs/>
          <w:sz w:val="24"/>
          <w:lang w:eastAsia="zh-CN"/>
        </w:rPr>
        <w:t>。</w:t>
      </w:r>
      <w:r>
        <w:rPr>
          <w:rFonts w:hint="eastAsia" w:ascii="宋体" w:hAnsi="宋体" w:cs="宋体"/>
          <w:bCs/>
          <w:sz w:val="24"/>
        </w:rPr>
        <w:t>民房改造：屋顶改造4760㎡</w:t>
      </w:r>
      <w:r>
        <w:rPr>
          <w:rFonts w:hint="eastAsia" w:ascii="宋体" w:hAnsi="宋体" w:cs="宋体"/>
          <w:bCs/>
          <w:sz w:val="24"/>
          <w:lang w:eastAsia="zh-CN"/>
        </w:rPr>
        <w:t>，</w:t>
      </w:r>
      <w:r>
        <w:rPr>
          <w:rFonts w:hint="eastAsia" w:ascii="宋体" w:hAnsi="宋体" w:cs="宋体"/>
          <w:bCs/>
          <w:sz w:val="24"/>
        </w:rPr>
        <w:t>民房外檐打造430㎡</w:t>
      </w:r>
      <w:r>
        <w:rPr>
          <w:rFonts w:hint="eastAsia" w:ascii="宋体" w:hAnsi="宋体" w:cs="宋体"/>
          <w:bCs/>
          <w:sz w:val="24"/>
          <w:lang w:eastAsia="zh-CN"/>
        </w:rPr>
        <w:t>，</w:t>
      </w:r>
      <w:r>
        <w:rPr>
          <w:rFonts w:hint="eastAsia" w:ascii="宋体" w:hAnsi="宋体" w:cs="宋体"/>
          <w:bCs/>
          <w:sz w:val="24"/>
        </w:rPr>
        <w:t>墙面改造12400㎡。公共区域环境整治：村落公共活动区域（青砖花台、座椅、活动设施安装、宣传墙、植物种植等）3500㎡，暂估建安费约368.95万元。</w:t>
      </w:r>
    </w:p>
    <w:p w14:paraId="4ED22D12">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36" w:name="_Toc4476"/>
      <w:r>
        <w:rPr>
          <w:rFonts w:hint="eastAsia" w:ascii="宋体" w:hAnsi="宋体" w:eastAsia="宋体" w:cs="宋体"/>
          <w:sz w:val="24"/>
        </w:rPr>
        <w:t>二、</w:t>
      </w:r>
      <w:bookmarkEnd w:id="32"/>
      <w:r>
        <w:rPr>
          <w:rFonts w:hint="eastAsia" w:ascii="宋体" w:hAnsi="宋体" w:eastAsia="宋体" w:cs="宋体"/>
          <w:sz w:val="24"/>
        </w:rPr>
        <w:t>采购范围</w:t>
      </w:r>
      <w:bookmarkEnd w:id="36"/>
    </w:p>
    <w:bookmarkEnd w:id="33"/>
    <w:bookmarkEnd w:id="34"/>
    <w:p w14:paraId="02A3A097">
      <w:pPr>
        <w:pStyle w:val="22"/>
        <w:ind w:firstLine="480" w:firstLineChars="200"/>
        <w:rPr>
          <w:rFonts w:cs="宋体"/>
          <w:bCs/>
        </w:rPr>
      </w:pPr>
      <w:bookmarkStart w:id="37" w:name="_Toc22280"/>
      <w:bookmarkStart w:id="38" w:name="_Toc508636292"/>
      <w:bookmarkStart w:id="39" w:name="_Toc344475120"/>
      <w:bookmarkStart w:id="40" w:name="_Toc495933196"/>
      <w:r>
        <w:rPr>
          <w:rFonts w:hint="eastAsia" w:cs="宋体"/>
          <w:bCs/>
        </w:rPr>
        <w:t>对大渡口区建胜镇民胜村人居环境提升工程施工图范围内所有工程的施工阶段及缺陷责任期的全过程监理。包括施工阶段、竣工验收移交阶段、工程结算、配合工程审计及质量保修期（含缺陷责任期）全过程监理。对施工阶段的“三控制、两管理、一协调”，并履行建设工程安全生产管理的法定职责。即造价控制、进度控制、质量控制、合同管理、信息管理和现场组织协调等内容，同时还要根据</w:t>
      </w:r>
      <w:r>
        <w:rPr>
          <w:rFonts w:hint="eastAsia" w:cs="宋体"/>
          <w:bCs/>
          <w:lang w:eastAsia="zh-CN"/>
        </w:rPr>
        <w:t>法律法规</w:t>
      </w:r>
      <w:r>
        <w:rPr>
          <w:rFonts w:hint="eastAsia" w:cs="宋体"/>
          <w:bCs/>
        </w:rPr>
        <w:t>、建设工程强制性标准，履行建设工程安全生产管理的法定监理职责。工作内容主要包括项目施工范围内及为完成项目建设相关配套工程的施工、施工设计图及变更设计所包含的建安工程施工准备阶段、施工阶段、竣工验收、结算审计及缺陷责任期全过程监理</w:t>
      </w:r>
      <w:r>
        <w:rPr>
          <w:rFonts w:hint="eastAsia" w:cs="宋体"/>
          <w:bCs/>
          <w:lang w:eastAsia="zh-CN"/>
        </w:rPr>
        <w:t>服务</w:t>
      </w:r>
      <w:r>
        <w:rPr>
          <w:rFonts w:hint="eastAsia" w:cs="宋体"/>
          <w:bCs/>
        </w:rPr>
        <w:t>。</w:t>
      </w:r>
    </w:p>
    <w:p w14:paraId="62EF9657">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41" w:name="_Toc10461"/>
      <w:r>
        <w:rPr>
          <w:rFonts w:hint="eastAsia" w:ascii="宋体" w:hAnsi="宋体" w:eastAsia="宋体" w:cs="宋体"/>
          <w:sz w:val="24"/>
        </w:rPr>
        <w:t>三、监理工作要求</w:t>
      </w:r>
      <w:bookmarkEnd w:id="41"/>
    </w:p>
    <w:p w14:paraId="2F846BD8">
      <w:pPr>
        <w:pStyle w:val="22"/>
        <w:ind w:firstLine="480" w:firstLineChars="200"/>
        <w:rPr>
          <w:rFonts w:cs="宋体"/>
          <w:bCs/>
        </w:rPr>
      </w:pPr>
      <w:r>
        <w:rPr>
          <w:rFonts w:hint="eastAsia" w:cs="宋体"/>
          <w:bCs/>
          <w:lang w:eastAsia="zh-CN"/>
        </w:rPr>
        <w:t>1.</w:t>
      </w:r>
      <w:r>
        <w:rPr>
          <w:rFonts w:hint="eastAsia" w:cs="宋体"/>
          <w:bCs/>
        </w:rPr>
        <w:t>质量控制目标：达到强制性质量标准，满足国家现行有关施工质量验收规范要求</w:t>
      </w:r>
      <w:r>
        <w:rPr>
          <w:rFonts w:hint="eastAsia" w:cs="宋体"/>
          <w:bCs/>
          <w:lang w:eastAsia="zh-CN"/>
        </w:rPr>
        <w:t>，确保</w:t>
      </w:r>
      <w:r>
        <w:rPr>
          <w:rFonts w:hint="eastAsia" w:cs="宋体"/>
          <w:bCs/>
        </w:rPr>
        <w:t>验收合格。</w:t>
      </w:r>
    </w:p>
    <w:p w14:paraId="4FF55637">
      <w:pPr>
        <w:pStyle w:val="22"/>
        <w:ind w:firstLine="480" w:firstLineChars="200"/>
        <w:rPr>
          <w:rFonts w:cs="宋体"/>
          <w:bCs/>
        </w:rPr>
      </w:pPr>
      <w:r>
        <w:rPr>
          <w:rFonts w:hint="eastAsia" w:cs="宋体"/>
          <w:bCs/>
          <w:lang w:eastAsia="zh-CN"/>
        </w:rPr>
        <w:t>2.</w:t>
      </w:r>
      <w:r>
        <w:rPr>
          <w:rFonts w:hint="eastAsia" w:cs="宋体"/>
          <w:bCs/>
        </w:rPr>
        <w:t>造价控制目标：控制在概算批复内，无超前支付发生，严格控制工程变更。</w:t>
      </w:r>
    </w:p>
    <w:p w14:paraId="74D4B13F">
      <w:pPr>
        <w:pStyle w:val="22"/>
        <w:ind w:firstLine="480" w:firstLineChars="200"/>
        <w:rPr>
          <w:rFonts w:cs="宋体"/>
          <w:bCs/>
        </w:rPr>
      </w:pPr>
      <w:r>
        <w:rPr>
          <w:rFonts w:hint="eastAsia" w:cs="宋体"/>
          <w:bCs/>
          <w:lang w:eastAsia="zh-CN"/>
        </w:rPr>
        <w:t>3.</w:t>
      </w:r>
      <w:r>
        <w:rPr>
          <w:rFonts w:hint="eastAsia" w:cs="宋体"/>
          <w:bCs/>
        </w:rPr>
        <w:t>进度控制目标：督促施工单位采用合理的施工工艺和工序按期完工。</w:t>
      </w:r>
    </w:p>
    <w:p w14:paraId="5CEB97F9">
      <w:pPr>
        <w:pStyle w:val="22"/>
        <w:ind w:firstLine="480" w:firstLineChars="200"/>
        <w:rPr>
          <w:rFonts w:cs="宋体"/>
          <w:bCs/>
        </w:rPr>
      </w:pPr>
      <w:r>
        <w:rPr>
          <w:rFonts w:hint="eastAsia" w:cs="宋体"/>
          <w:bCs/>
          <w:lang w:eastAsia="zh-CN"/>
        </w:rPr>
        <w:t>4.</w:t>
      </w:r>
      <w:r>
        <w:rPr>
          <w:rFonts w:hint="eastAsia" w:cs="宋体"/>
          <w:bCs/>
        </w:rPr>
        <w:t>合同管理：正确处理项目有关的合同索赔和合同纠纷。</w:t>
      </w:r>
    </w:p>
    <w:p w14:paraId="58B6DDC6">
      <w:pPr>
        <w:pStyle w:val="22"/>
        <w:ind w:firstLine="480" w:firstLineChars="200"/>
        <w:rPr>
          <w:rFonts w:cs="宋体"/>
          <w:bCs/>
        </w:rPr>
      </w:pPr>
      <w:r>
        <w:rPr>
          <w:rFonts w:hint="eastAsia" w:cs="宋体"/>
          <w:bCs/>
          <w:lang w:eastAsia="zh-CN"/>
        </w:rPr>
        <w:t>5.</w:t>
      </w:r>
      <w:r>
        <w:rPr>
          <w:rFonts w:hint="eastAsia" w:cs="宋体"/>
          <w:bCs/>
        </w:rPr>
        <w:t>信息管理：对项目施工阶段的信息进行收集、整理和保管，保证过程中重要环节的可追溯性。</w:t>
      </w:r>
    </w:p>
    <w:p w14:paraId="20F09CF2">
      <w:pPr>
        <w:pStyle w:val="22"/>
        <w:ind w:firstLine="480" w:firstLineChars="200"/>
        <w:rPr>
          <w:rFonts w:cs="宋体"/>
          <w:bCs/>
        </w:rPr>
      </w:pPr>
      <w:r>
        <w:rPr>
          <w:rFonts w:hint="eastAsia" w:cs="宋体"/>
          <w:bCs/>
          <w:lang w:eastAsia="zh-CN"/>
        </w:rPr>
        <w:t>6.</w:t>
      </w:r>
      <w:r>
        <w:rPr>
          <w:rFonts w:hint="eastAsia" w:cs="宋体"/>
          <w:bCs/>
        </w:rPr>
        <w:t>协调管理：对工程建设相关方的关系进行协调。</w:t>
      </w:r>
    </w:p>
    <w:p w14:paraId="36C3D111">
      <w:pPr>
        <w:pStyle w:val="22"/>
        <w:ind w:firstLine="480" w:firstLineChars="200"/>
        <w:rPr>
          <w:rFonts w:cs="宋体"/>
          <w:bCs/>
        </w:rPr>
      </w:pPr>
      <w:r>
        <w:rPr>
          <w:rFonts w:hint="eastAsia" w:cs="宋体"/>
          <w:bCs/>
          <w:lang w:eastAsia="zh-CN"/>
        </w:rPr>
        <w:t>7.</w:t>
      </w:r>
      <w:r>
        <w:rPr>
          <w:rFonts w:hint="eastAsia" w:cs="宋体"/>
          <w:bCs/>
        </w:rPr>
        <w:t>安全生产履职：履行建设工程安全生产管理法定的监理职责。</w:t>
      </w:r>
    </w:p>
    <w:p w14:paraId="3B7DD0C6">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42" w:name="_Toc12129"/>
      <w:r>
        <w:rPr>
          <w:rFonts w:hint="eastAsia" w:ascii="宋体" w:hAnsi="宋体" w:eastAsia="宋体" w:cs="宋体"/>
          <w:sz w:val="24"/>
        </w:rPr>
        <w:t>四、服务质量标准</w:t>
      </w:r>
      <w:bookmarkEnd w:id="42"/>
    </w:p>
    <w:p w14:paraId="7ECBC1C4">
      <w:pPr>
        <w:pStyle w:val="22"/>
        <w:ind w:firstLine="480" w:firstLineChars="200"/>
        <w:rPr>
          <w:rFonts w:cs="宋体"/>
        </w:rPr>
      </w:pPr>
      <w:r>
        <w:rPr>
          <w:rFonts w:hint="eastAsia" w:cs="宋体"/>
          <w:bCs/>
        </w:rPr>
        <w:t>服务质量达到《建设工程监理规范》（GB/T50319—2013）等国家现行有关法规要求。</w:t>
      </w:r>
    </w:p>
    <w:p w14:paraId="7FE985F3">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43" w:name="_Toc5261"/>
      <w:r>
        <w:rPr>
          <w:rFonts w:hint="eastAsia" w:ascii="宋体" w:hAnsi="宋体" w:eastAsia="宋体" w:cs="宋体"/>
          <w:sz w:val="24"/>
        </w:rPr>
        <w:t>五、人员要求</w:t>
      </w:r>
      <w:bookmarkEnd w:id="43"/>
    </w:p>
    <w:p w14:paraId="286F5FAB">
      <w:pPr>
        <w:pStyle w:val="22"/>
        <w:ind w:firstLine="480" w:firstLineChars="200"/>
        <w:rPr>
          <w:rFonts w:cs="宋体"/>
          <w:bCs/>
        </w:rPr>
      </w:pPr>
      <w:r>
        <w:rPr>
          <w:rFonts w:hint="eastAsia" w:cs="宋体"/>
          <w:bCs/>
          <w:lang w:eastAsia="zh-CN"/>
        </w:rPr>
        <w:t>1.</w:t>
      </w:r>
      <w:r>
        <w:rPr>
          <w:rFonts w:hint="eastAsia" w:cs="宋体"/>
          <w:bCs/>
        </w:rPr>
        <w:t>总监理工程师：1人（为本单位在职员工，且具有建设行政主管部门颁发的注册监理工程师执业证书，专业：建筑工程）。</w:t>
      </w:r>
    </w:p>
    <w:p w14:paraId="72DEBCE4">
      <w:pPr>
        <w:pStyle w:val="22"/>
        <w:ind w:firstLine="480" w:firstLineChars="200"/>
        <w:rPr>
          <w:rFonts w:cs="宋体"/>
          <w:bCs/>
        </w:rPr>
      </w:pPr>
      <w:r>
        <w:rPr>
          <w:rFonts w:hint="eastAsia" w:cs="宋体"/>
          <w:bCs/>
        </w:rPr>
        <w:t>[提供拟派总监理工程师有效的监理工程师注册执业证书、身份证、供应商为其缴纳的近三个月的连续养老保险证明材料</w:t>
      </w:r>
      <w:r>
        <w:rPr>
          <w:rFonts w:hint="eastAsia" w:cs="宋体"/>
          <w:bCs/>
          <w:lang w:eastAsia="zh-CN"/>
        </w:rPr>
        <w:t>]</w:t>
      </w:r>
    </w:p>
    <w:p w14:paraId="1B71C060">
      <w:pPr>
        <w:pStyle w:val="22"/>
        <w:ind w:firstLine="480" w:firstLineChars="200"/>
        <w:rPr>
          <w:rFonts w:cs="宋体"/>
          <w:bCs/>
        </w:rPr>
      </w:pPr>
      <w:r>
        <w:rPr>
          <w:rFonts w:hint="eastAsia" w:cs="宋体"/>
          <w:bCs/>
          <w:lang w:eastAsia="zh-CN"/>
        </w:rPr>
        <w:t>2.</w:t>
      </w:r>
      <w:r>
        <w:rPr>
          <w:rFonts w:hint="eastAsia" w:cs="宋体"/>
          <w:bCs/>
        </w:rPr>
        <w:t>专业监理工程师：1人（为本单位在职员工，且具有建设行政主管部门颁发的</w:t>
      </w:r>
      <w:r>
        <w:rPr>
          <w:rFonts w:hint="eastAsia" w:cs="宋体"/>
          <w:bCs/>
          <w:lang w:eastAsia="zh-CN"/>
        </w:rPr>
        <w:t>注册监理工程师执业证书</w:t>
      </w:r>
      <w:r>
        <w:rPr>
          <w:rFonts w:hint="eastAsia" w:cs="宋体"/>
          <w:bCs/>
        </w:rPr>
        <w:t>或重庆市建设工程监理人员职业培训合格证书（岗位类别：监理工程师），专业：建筑工程）。</w:t>
      </w:r>
    </w:p>
    <w:p w14:paraId="3B9DEB73">
      <w:pPr>
        <w:pStyle w:val="22"/>
        <w:ind w:firstLine="480" w:firstLineChars="200"/>
        <w:rPr>
          <w:rFonts w:cs="宋体"/>
          <w:bCs/>
        </w:rPr>
      </w:pPr>
      <w:r>
        <w:rPr>
          <w:rFonts w:hint="eastAsia" w:cs="宋体"/>
          <w:bCs/>
        </w:rPr>
        <w:t>[提供拟派专业监理工程师有效的监理工程师注册执业证书</w:t>
      </w:r>
      <w:r>
        <w:rPr>
          <w:rFonts w:hint="eastAsia" w:cs="宋体"/>
          <w:bCs/>
          <w:lang w:eastAsia="zh-CN"/>
        </w:rPr>
        <w:t>，或</w:t>
      </w:r>
      <w:r>
        <w:rPr>
          <w:rFonts w:hint="eastAsia" w:cs="宋体"/>
          <w:bCs/>
        </w:rPr>
        <w:t>提供重庆市建设工程监理人员职业培训合格证书（提供培训合格证书的，还需提供</w:t>
      </w:r>
      <w:r>
        <w:rPr>
          <w:rFonts w:hint="eastAsia" w:cs="宋体"/>
          <w:bCs/>
          <w:lang w:eastAsia="zh-CN"/>
        </w:rPr>
        <w:t>“工程</w:t>
      </w:r>
      <w:r>
        <w:rPr>
          <w:rFonts w:hint="eastAsia" w:cs="宋体"/>
          <w:bCs/>
        </w:rPr>
        <w:t>监理行业综合信息平台”网页截图（截图至少体现单位名称、人员类别、专业））、身份证、供应商为其缴纳的近三个月的连续养老保险证明材料。]</w:t>
      </w:r>
    </w:p>
    <w:p w14:paraId="554CEB6B">
      <w:pPr>
        <w:pStyle w:val="22"/>
        <w:ind w:firstLine="480" w:firstLineChars="200"/>
        <w:rPr>
          <w:rFonts w:cs="宋体"/>
          <w:bCs/>
        </w:rPr>
      </w:pPr>
      <w:r>
        <w:rPr>
          <w:rFonts w:hint="eastAsia" w:cs="宋体"/>
          <w:bCs/>
        </w:rPr>
        <w:t>特别说明：</w:t>
      </w:r>
    </w:p>
    <w:p w14:paraId="5C79D973">
      <w:pPr>
        <w:pStyle w:val="22"/>
        <w:ind w:firstLine="480" w:firstLineChars="200"/>
        <w:rPr>
          <w:rFonts w:cs="宋体"/>
          <w:bCs/>
        </w:rPr>
      </w:pPr>
      <w:r>
        <w:rPr>
          <w:rFonts w:hint="eastAsia" w:cs="宋体"/>
          <w:bCs/>
        </w:rPr>
        <w:t>1.</w:t>
      </w:r>
      <w:r>
        <w:rPr>
          <w:rFonts w:hint="eastAsia" w:cs="宋体"/>
          <w:bCs/>
          <w:lang w:eastAsia="zh-CN"/>
        </w:rPr>
        <w:t xml:space="preserve"> 以上</w:t>
      </w:r>
      <w:r>
        <w:rPr>
          <w:rFonts w:hint="eastAsia" w:cs="宋体"/>
          <w:bCs/>
        </w:rPr>
        <w:t>所有证照必须年审合格，且在有效期内；证照复印件必须清晰可见，且加盖供应商公章。</w:t>
      </w:r>
    </w:p>
    <w:p w14:paraId="2A081D9E">
      <w:pPr>
        <w:pStyle w:val="22"/>
        <w:ind w:firstLine="480" w:firstLineChars="200"/>
        <w:rPr>
          <w:rFonts w:cs="宋体"/>
          <w:bCs/>
        </w:rPr>
      </w:pPr>
      <w:r>
        <w:rPr>
          <w:rFonts w:hint="eastAsia" w:cs="宋体"/>
          <w:bCs/>
        </w:rPr>
        <w:t>2.</w:t>
      </w:r>
      <w:r>
        <w:rPr>
          <w:rFonts w:hint="eastAsia" w:cs="宋体"/>
          <w:bCs/>
          <w:lang w:eastAsia="zh-CN"/>
        </w:rPr>
        <w:t xml:space="preserve"> 成交</w:t>
      </w:r>
      <w:r>
        <w:rPr>
          <w:rFonts w:hint="eastAsia" w:cs="宋体"/>
          <w:bCs/>
        </w:rPr>
        <w:t>后，拟派人员不得擅自变更，否则采购人有权取消其成交资格。</w:t>
      </w:r>
    </w:p>
    <w:p w14:paraId="5A9656EF">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44" w:name="_Toc7888"/>
      <w:r>
        <w:rPr>
          <w:rFonts w:hint="eastAsia" w:ascii="宋体" w:hAnsi="宋体" w:eastAsia="宋体" w:cs="宋体"/>
          <w:sz w:val="24"/>
        </w:rPr>
        <w:t>六、监理工作内容</w:t>
      </w:r>
      <w:bookmarkEnd w:id="44"/>
    </w:p>
    <w:p w14:paraId="698ED661">
      <w:pPr>
        <w:pStyle w:val="22"/>
        <w:ind w:firstLine="480" w:firstLineChars="200"/>
        <w:rPr>
          <w:rFonts w:cs="宋体"/>
          <w:bCs/>
        </w:rPr>
      </w:pPr>
      <w:r>
        <w:rPr>
          <w:rFonts w:hint="eastAsia" w:cs="宋体"/>
          <w:bCs/>
          <w:lang w:eastAsia="zh-CN"/>
        </w:rPr>
        <w:t>1.</w:t>
      </w:r>
      <w:r>
        <w:rPr>
          <w:rFonts w:hint="eastAsia" w:cs="宋体"/>
          <w:bCs/>
        </w:rPr>
        <w:t xml:space="preserve">协助委托人编写开工报告；  </w:t>
      </w:r>
    </w:p>
    <w:p w14:paraId="3F1364F6">
      <w:pPr>
        <w:pStyle w:val="22"/>
        <w:ind w:firstLine="480" w:firstLineChars="200"/>
        <w:rPr>
          <w:rFonts w:cs="宋体"/>
          <w:bCs/>
        </w:rPr>
      </w:pPr>
      <w:r>
        <w:rPr>
          <w:rFonts w:hint="eastAsia" w:cs="宋体"/>
          <w:bCs/>
          <w:lang w:eastAsia="zh-CN"/>
        </w:rPr>
        <w:t>2.</w:t>
      </w:r>
      <w:r>
        <w:rPr>
          <w:rFonts w:hint="eastAsia" w:cs="宋体"/>
          <w:bCs/>
        </w:rPr>
        <w:t>审查承包人各项施工准备工作，下达开工通知书；</w:t>
      </w:r>
    </w:p>
    <w:p w14:paraId="5DFF09ED">
      <w:pPr>
        <w:pStyle w:val="22"/>
        <w:ind w:firstLine="480" w:firstLineChars="200"/>
        <w:rPr>
          <w:rFonts w:cs="宋体"/>
          <w:bCs/>
        </w:rPr>
      </w:pPr>
      <w:r>
        <w:rPr>
          <w:rFonts w:hint="eastAsia" w:cs="宋体"/>
          <w:bCs/>
          <w:lang w:eastAsia="zh-CN"/>
        </w:rPr>
        <w:t>3.</w:t>
      </w:r>
      <w:r>
        <w:rPr>
          <w:rFonts w:hint="eastAsia" w:cs="宋体"/>
          <w:bCs/>
        </w:rPr>
        <w:t xml:space="preserve">督促承包人施工管理制度和质量保证体系的建立、健全与实施；  </w:t>
      </w:r>
    </w:p>
    <w:p w14:paraId="3EBAEB87">
      <w:pPr>
        <w:pStyle w:val="22"/>
        <w:ind w:firstLine="480" w:firstLineChars="200"/>
        <w:rPr>
          <w:rFonts w:cs="宋体"/>
          <w:bCs/>
        </w:rPr>
      </w:pPr>
      <w:r>
        <w:rPr>
          <w:rFonts w:hint="eastAsia" w:cs="宋体"/>
          <w:bCs/>
          <w:lang w:eastAsia="zh-CN"/>
        </w:rPr>
        <w:t>4.</w:t>
      </w:r>
      <w:r>
        <w:rPr>
          <w:rFonts w:hint="eastAsia" w:cs="宋体"/>
          <w:bCs/>
        </w:rPr>
        <w:t xml:space="preserve">审查承包人提交的施工组织设计、施工服务方案和施工进度计划，并督促实施；  </w:t>
      </w:r>
    </w:p>
    <w:p w14:paraId="4EC5DE56">
      <w:pPr>
        <w:pStyle w:val="22"/>
        <w:ind w:firstLine="480" w:firstLineChars="200"/>
        <w:rPr>
          <w:rFonts w:cs="宋体"/>
          <w:bCs/>
        </w:rPr>
      </w:pPr>
      <w:r>
        <w:rPr>
          <w:rFonts w:hint="eastAsia" w:cs="宋体"/>
          <w:bCs/>
          <w:lang w:eastAsia="zh-CN"/>
        </w:rPr>
        <w:t>5.</w:t>
      </w:r>
      <w:r>
        <w:rPr>
          <w:rFonts w:hint="eastAsia" w:cs="宋体"/>
          <w:bCs/>
        </w:rPr>
        <w:t>组织设计交底</w:t>
      </w:r>
      <w:r>
        <w:rPr>
          <w:rFonts w:hint="eastAsia" w:cs="宋体"/>
          <w:bCs/>
          <w:lang w:eastAsia="zh-CN"/>
        </w:rPr>
        <w:t>、</w:t>
      </w:r>
      <w:r>
        <w:rPr>
          <w:rFonts w:hint="eastAsia" w:cs="宋体"/>
          <w:bCs/>
        </w:rPr>
        <w:t xml:space="preserve">图纸会审，审查设计变更；  </w:t>
      </w:r>
    </w:p>
    <w:p w14:paraId="647743C9">
      <w:pPr>
        <w:pStyle w:val="22"/>
        <w:ind w:firstLine="480" w:firstLineChars="200"/>
        <w:rPr>
          <w:rFonts w:hint="eastAsia" w:cs="宋体"/>
          <w:bCs/>
        </w:rPr>
      </w:pPr>
      <w:r>
        <w:rPr>
          <w:rFonts w:hint="eastAsia" w:cs="宋体"/>
          <w:bCs/>
          <w:lang w:eastAsia="zh-CN"/>
        </w:rPr>
        <w:t>6.</w:t>
      </w:r>
      <w:r>
        <w:rPr>
          <w:rFonts w:hint="eastAsia" w:cs="宋体"/>
          <w:bCs/>
        </w:rPr>
        <w:t>审核承包人提出的分包工程项目及选择分包的单位；</w:t>
      </w:r>
    </w:p>
    <w:p w14:paraId="5E367BEF">
      <w:pPr>
        <w:pStyle w:val="22"/>
        <w:ind w:firstLine="480" w:firstLineChars="200"/>
        <w:rPr>
          <w:rFonts w:cs="宋体"/>
          <w:bCs/>
        </w:rPr>
      </w:pPr>
      <w:r>
        <w:rPr>
          <w:rFonts w:hint="eastAsia" w:cs="宋体"/>
          <w:bCs/>
          <w:lang w:eastAsia="zh-CN"/>
        </w:rPr>
        <w:t>7.</w:t>
      </w:r>
      <w:r>
        <w:rPr>
          <w:rFonts w:hint="eastAsia" w:cs="宋体"/>
          <w:bCs/>
        </w:rPr>
        <w:t>编制投资控制计划，复核已</w:t>
      </w:r>
      <w:r>
        <w:rPr>
          <w:rFonts w:hint="eastAsia" w:cs="宋体"/>
          <w:bCs/>
          <w:lang w:eastAsia="zh-CN"/>
        </w:rPr>
        <w:t>完成</w:t>
      </w:r>
      <w:r>
        <w:rPr>
          <w:rFonts w:hint="eastAsia" w:cs="宋体"/>
          <w:bCs/>
        </w:rPr>
        <w:t>工程量，签署工程中期付款凭证；</w:t>
      </w:r>
    </w:p>
    <w:p w14:paraId="7DB172AD">
      <w:pPr>
        <w:pStyle w:val="22"/>
        <w:ind w:firstLine="480" w:firstLineChars="200"/>
        <w:rPr>
          <w:rFonts w:cs="宋体"/>
          <w:bCs/>
        </w:rPr>
      </w:pPr>
      <w:r>
        <w:rPr>
          <w:rFonts w:hint="eastAsia" w:cs="宋体"/>
          <w:bCs/>
          <w:lang w:eastAsia="zh-CN"/>
        </w:rPr>
        <w:t>8.</w:t>
      </w:r>
      <w:r>
        <w:rPr>
          <w:rFonts w:hint="eastAsia" w:cs="宋体"/>
          <w:bCs/>
        </w:rPr>
        <w:t xml:space="preserve">设计变更经设计咨询单位审核、业主批准后，发布施工工程变更令；  </w:t>
      </w:r>
    </w:p>
    <w:p w14:paraId="549F81FD">
      <w:pPr>
        <w:pStyle w:val="22"/>
        <w:ind w:firstLine="480" w:firstLineChars="200"/>
        <w:rPr>
          <w:rFonts w:cs="宋体"/>
          <w:bCs/>
        </w:rPr>
      </w:pPr>
      <w:r>
        <w:rPr>
          <w:rFonts w:hint="eastAsia" w:cs="宋体"/>
          <w:bCs/>
          <w:lang w:eastAsia="zh-CN"/>
        </w:rPr>
        <w:t>9.</w:t>
      </w:r>
      <w:r>
        <w:rPr>
          <w:rFonts w:hint="eastAsia" w:cs="宋体"/>
          <w:bCs/>
        </w:rPr>
        <w:t xml:space="preserve">审查工程使用的原材料、半成品、成品、构配件和设备的质量，必须实时进行测试和监控；  </w:t>
      </w:r>
    </w:p>
    <w:p w14:paraId="7E5E54FA">
      <w:pPr>
        <w:pStyle w:val="22"/>
        <w:ind w:firstLine="480" w:firstLineChars="200"/>
        <w:rPr>
          <w:rFonts w:cs="宋体"/>
          <w:bCs/>
        </w:rPr>
      </w:pPr>
      <w:r>
        <w:rPr>
          <w:rFonts w:hint="eastAsia" w:cs="宋体"/>
          <w:bCs/>
          <w:lang w:eastAsia="zh-CN"/>
        </w:rPr>
        <w:t>10.</w:t>
      </w:r>
      <w:r>
        <w:rPr>
          <w:rFonts w:hint="eastAsia" w:cs="宋体"/>
          <w:bCs/>
        </w:rPr>
        <w:t>监督承包人严格按技术和设计文件施工，控制工程质量，</w:t>
      </w:r>
      <w:r>
        <w:rPr>
          <w:rFonts w:hint="eastAsia" w:cs="宋体"/>
          <w:bCs/>
          <w:lang w:eastAsia="zh-CN"/>
        </w:rPr>
        <w:t>在重要</w:t>
      </w:r>
      <w:r>
        <w:rPr>
          <w:rFonts w:hint="eastAsia" w:cs="宋体"/>
          <w:bCs/>
        </w:rPr>
        <w:t xml:space="preserve">工程部位督促承包人实施预控措施；  </w:t>
      </w:r>
    </w:p>
    <w:p w14:paraId="29EE8BEC">
      <w:pPr>
        <w:pStyle w:val="22"/>
        <w:ind w:firstLine="480" w:firstLineChars="200"/>
        <w:rPr>
          <w:rFonts w:cs="宋体"/>
          <w:bCs/>
        </w:rPr>
      </w:pPr>
      <w:r>
        <w:rPr>
          <w:rFonts w:hint="eastAsia" w:cs="宋体"/>
          <w:bCs/>
          <w:lang w:eastAsia="zh-CN"/>
        </w:rPr>
        <w:t>11.</w:t>
      </w:r>
      <w:r>
        <w:rPr>
          <w:rFonts w:hint="eastAsia" w:cs="宋体"/>
          <w:bCs/>
        </w:rPr>
        <w:t xml:space="preserve">抽查工程施工质量，对隐蔽工程进行复验签证，组织工程质量事故的分析及处理；  </w:t>
      </w:r>
    </w:p>
    <w:p w14:paraId="2EA3092F">
      <w:pPr>
        <w:pStyle w:val="22"/>
        <w:ind w:firstLine="480" w:firstLineChars="200"/>
        <w:rPr>
          <w:rFonts w:cs="宋体"/>
          <w:bCs/>
        </w:rPr>
      </w:pPr>
      <w:r>
        <w:rPr>
          <w:rFonts w:hint="eastAsia" w:cs="宋体"/>
          <w:bCs/>
          <w:lang w:eastAsia="zh-CN"/>
        </w:rPr>
        <w:t>12.</w:t>
      </w:r>
      <w:r>
        <w:rPr>
          <w:rFonts w:hint="eastAsia" w:cs="宋体"/>
          <w:bCs/>
        </w:rPr>
        <w:t xml:space="preserve">分阶段进行进度控制，及时提出调整意见； </w:t>
      </w:r>
    </w:p>
    <w:p w14:paraId="00D4B456">
      <w:pPr>
        <w:pStyle w:val="22"/>
        <w:ind w:firstLine="480" w:firstLineChars="200"/>
        <w:rPr>
          <w:rFonts w:cs="宋体"/>
          <w:bCs/>
        </w:rPr>
      </w:pPr>
      <w:r>
        <w:rPr>
          <w:rFonts w:hint="eastAsia" w:cs="宋体"/>
          <w:bCs/>
          <w:lang w:eastAsia="zh-CN"/>
        </w:rPr>
        <w:t>13.</w:t>
      </w:r>
      <w:r>
        <w:rPr>
          <w:rFonts w:hint="eastAsia" w:cs="宋体"/>
          <w:bCs/>
        </w:rPr>
        <w:t xml:space="preserve">协助处理合同纠纷和索赔事宜， 协调委托人与承包人之间的争议；  </w:t>
      </w:r>
    </w:p>
    <w:p w14:paraId="4E9006A9">
      <w:pPr>
        <w:pStyle w:val="22"/>
        <w:ind w:firstLine="480" w:firstLineChars="200"/>
        <w:rPr>
          <w:rFonts w:cs="宋体"/>
          <w:bCs/>
        </w:rPr>
      </w:pPr>
      <w:r>
        <w:rPr>
          <w:rFonts w:hint="eastAsia" w:cs="宋体"/>
          <w:bCs/>
        </w:rPr>
        <w:t>14</w:t>
      </w:r>
      <w:r>
        <w:rPr>
          <w:rFonts w:hint="eastAsia" w:cs="宋体"/>
          <w:bCs/>
          <w:lang w:val="en-US" w:eastAsia="zh-CN"/>
        </w:rPr>
        <w:t>.</w:t>
      </w:r>
      <w:r>
        <w:rPr>
          <w:rFonts w:hint="eastAsia" w:cs="宋体"/>
          <w:bCs/>
        </w:rPr>
        <w:t xml:space="preserve">施工阶段监理过程中必须实行旁站监理， 要规范旁站行为，切实提高工程的实效，保证工程质量；  </w:t>
      </w:r>
    </w:p>
    <w:p w14:paraId="3CAE820C">
      <w:pPr>
        <w:pStyle w:val="22"/>
        <w:ind w:firstLine="480" w:firstLineChars="200"/>
        <w:rPr>
          <w:rFonts w:cs="宋体"/>
          <w:bCs/>
        </w:rPr>
      </w:pPr>
      <w:r>
        <w:rPr>
          <w:rFonts w:hint="eastAsia" w:cs="宋体"/>
          <w:bCs/>
        </w:rPr>
        <w:t>15</w:t>
      </w:r>
      <w:r>
        <w:rPr>
          <w:rFonts w:hint="eastAsia" w:cs="宋体"/>
          <w:bCs/>
          <w:lang w:val="en-US" w:eastAsia="zh-CN"/>
        </w:rPr>
        <w:t>.</w:t>
      </w:r>
      <w:r>
        <w:rPr>
          <w:rFonts w:hint="eastAsia" w:cs="宋体"/>
          <w:bCs/>
        </w:rPr>
        <w:t>督促检查安全生产</w:t>
      </w:r>
      <w:r>
        <w:rPr>
          <w:rFonts w:hint="eastAsia" w:cs="宋体"/>
          <w:bCs/>
          <w:lang w:eastAsia="zh-CN"/>
        </w:rPr>
        <w:t>、</w:t>
      </w:r>
      <w:r>
        <w:rPr>
          <w:rFonts w:hint="eastAsia" w:cs="宋体"/>
          <w:bCs/>
        </w:rPr>
        <w:t xml:space="preserve">文明施工；  </w:t>
      </w:r>
    </w:p>
    <w:p w14:paraId="18BD9062">
      <w:pPr>
        <w:pStyle w:val="22"/>
        <w:ind w:firstLine="480" w:firstLineChars="200"/>
        <w:rPr>
          <w:rFonts w:cs="宋体"/>
          <w:bCs/>
        </w:rPr>
      </w:pPr>
      <w:r>
        <w:rPr>
          <w:rFonts w:hint="eastAsia" w:cs="宋体"/>
          <w:bCs/>
        </w:rPr>
        <w:t>16</w:t>
      </w:r>
      <w:r>
        <w:rPr>
          <w:rFonts w:hint="eastAsia" w:cs="宋体"/>
          <w:bCs/>
          <w:lang w:val="en-US" w:eastAsia="zh-CN"/>
        </w:rPr>
        <w:t>.</w:t>
      </w:r>
      <w:r>
        <w:rPr>
          <w:rFonts w:hint="eastAsia" w:cs="宋体"/>
          <w:bCs/>
        </w:rPr>
        <w:t xml:space="preserve">编制监理工作月报、监理工作总结和质检运行报告，报业主和政府有关主管部门；  </w:t>
      </w:r>
    </w:p>
    <w:p w14:paraId="07C6B474">
      <w:pPr>
        <w:pStyle w:val="22"/>
        <w:ind w:firstLine="480" w:firstLineChars="200"/>
        <w:rPr>
          <w:rFonts w:cs="宋体"/>
          <w:bCs/>
        </w:rPr>
      </w:pPr>
      <w:r>
        <w:rPr>
          <w:rFonts w:hint="eastAsia" w:cs="宋体"/>
          <w:bCs/>
        </w:rPr>
        <w:t>17</w:t>
      </w:r>
      <w:r>
        <w:rPr>
          <w:rFonts w:hint="eastAsia" w:cs="宋体"/>
          <w:bCs/>
          <w:lang w:val="en-US" w:eastAsia="zh-CN"/>
        </w:rPr>
        <w:t>.</w:t>
      </w:r>
      <w:r>
        <w:rPr>
          <w:rFonts w:hint="eastAsia" w:cs="宋体"/>
          <w:bCs/>
        </w:rPr>
        <w:t xml:space="preserve">督促承包人整理合同文件及施工技术档案资料；   </w:t>
      </w:r>
    </w:p>
    <w:p w14:paraId="4BDBBDA5">
      <w:pPr>
        <w:pStyle w:val="22"/>
        <w:ind w:firstLine="480" w:firstLineChars="200"/>
        <w:rPr>
          <w:rFonts w:cs="宋体"/>
          <w:bCs/>
        </w:rPr>
      </w:pPr>
      <w:r>
        <w:rPr>
          <w:rFonts w:hint="eastAsia" w:cs="宋体"/>
          <w:bCs/>
        </w:rPr>
        <w:t>18</w:t>
      </w:r>
      <w:r>
        <w:rPr>
          <w:rFonts w:hint="eastAsia" w:cs="宋体"/>
          <w:bCs/>
          <w:lang w:val="en-US" w:eastAsia="zh-CN"/>
        </w:rPr>
        <w:t>.</w:t>
      </w:r>
      <w:r>
        <w:rPr>
          <w:rFonts w:hint="eastAsia" w:cs="宋体"/>
          <w:bCs/>
        </w:rPr>
        <w:t>组织对工程各分部分项验收、转序验收、初验，参与工程</w:t>
      </w:r>
      <w:r>
        <w:rPr>
          <w:rFonts w:hint="eastAsia" w:cs="宋体"/>
          <w:bCs/>
          <w:lang w:eastAsia="zh-CN"/>
        </w:rPr>
        <w:t>收尾</w:t>
      </w:r>
      <w:r>
        <w:rPr>
          <w:rFonts w:hint="eastAsia" w:cs="宋体"/>
          <w:bCs/>
        </w:rPr>
        <w:t>、工程竣工验收，对施工质量提出评价意见；</w:t>
      </w:r>
    </w:p>
    <w:p w14:paraId="41B5D69D">
      <w:pPr>
        <w:pStyle w:val="22"/>
        <w:ind w:firstLine="480" w:firstLineChars="200"/>
        <w:rPr>
          <w:rFonts w:cs="宋体"/>
          <w:bCs/>
        </w:rPr>
      </w:pPr>
      <w:r>
        <w:rPr>
          <w:rFonts w:hint="eastAsia" w:cs="宋体"/>
          <w:bCs/>
          <w:lang w:val="en-US" w:eastAsia="zh-CN"/>
        </w:rPr>
        <w:t>19.</w:t>
      </w:r>
      <w:r>
        <w:rPr>
          <w:rFonts w:hint="eastAsia" w:cs="宋体"/>
          <w:bCs/>
        </w:rPr>
        <w:t xml:space="preserve">审核竣工图纸和其他技术文件资料；  </w:t>
      </w:r>
    </w:p>
    <w:p w14:paraId="5CAAA2B7">
      <w:pPr>
        <w:pStyle w:val="22"/>
        <w:ind w:firstLine="480" w:firstLineChars="200"/>
        <w:rPr>
          <w:rFonts w:cs="宋体"/>
          <w:bCs/>
        </w:rPr>
      </w:pPr>
      <w:r>
        <w:rPr>
          <w:rFonts w:hint="eastAsia" w:cs="宋体"/>
          <w:bCs/>
          <w:lang w:val="en-US" w:eastAsia="zh-CN"/>
        </w:rPr>
        <w:t>20.</w:t>
      </w:r>
      <w:r>
        <w:rPr>
          <w:rFonts w:hint="eastAsia" w:cs="宋体"/>
          <w:bCs/>
        </w:rPr>
        <w:t xml:space="preserve">编制监理工作竣工文件和项目工程最终总结；  </w:t>
      </w:r>
    </w:p>
    <w:p w14:paraId="4106F075">
      <w:pPr>
        <w:pStyle w:val="22"/>
        <w:ind w:firstLine="480" w:firstLineChars="200"/>
        <w:rPr>
          <w:rFonts w:cs="宋体"/>
          <w:bCs/>
        </w:rPr>
      </w:pPr>
      <w:r>
        <w:rPr>
          <w:rFonts w:hint="eastAsia" w:cs="宋体"/>
          <w:bCs/>
        </w:rPr>
        <w:t>21</w:t>
      </w:r>
      <w:r>
        <w:rPr>
          <w:rFonts w:hint="eastAsia" w:cs="宋体"/>
          <w:bCs/>
          <w:lang w:val="en-US" w:eastAsia="zh-CN"/>
        </w:rPr>
        <w:t>.</w:t>
      </w:r>
      <w:r>
        <w:rPr>
          <w:rFonts w:hint="eastAsia" w:cs="宋体"/>
          <w:bCs/>
        </w:rPr>
        <w:t>签发交工验收证书和工程缺陷责任终止证书</w:t>
      </w:r>
      <w:r>
        <w:rPr>
          <w:rFonts w:hint="eastAsia" w:cs="宋体"/>
          <w:bCs/>
          <w:lang w:eastAsia="zh-CN"/>
        </w:rPr>
        <w:t>，</w:t>
      </w:r>
      <w:r>
        <w:rPr>
          <w:rFonts w:hint="eastAsia" w:cs="宋体"/>
          <w:bCs/>
        </w:rPr>
        <w:t xml:space="preserve">配合完成缺陷责任期修复；  </w:t>
      </w:r>
    </w:p>
    <w:p w14:paraId="48BCF6C3">
      <w:pPr>
        <w:pStyle w:val="22"/>
        <w:ind w:firstLine="480" w:firstLineChars="200"/>
        <w:rPr>
          <w:rFonts w:cs="宋体"/>
          <w:bCs/>
        </w:rPr>
      </w:pPr>
      <w:r>
        <w:rPr>
          <w:rFonts w:hint="eastAsia" w:cs="宋体"/>
          <w:bCs/>
        </w:rPr>
        <w:t>22</w:t>
      </w:r>
      <w:r>
        <w:rPr>
          <w:rFonts w:hint="eastAsia" w:cs="宋体"/>
          <w:bCs/>
          <w:lang w:val="en-US" w:eastAsia="zh-CN"/>
        </w:rPr>
        <w:t>.</w:t>
      </w:r>
      <w:r>
        <w:rPr>
          <w:rFonts w:hint="eastAsia" w:cs="宋体"/>
          <w:bCs/>
        </w:rPr>
        <w:t xml:space="preserve">签发最终支付证书；  </w:t>
      </w:r>
    </w:p>
    <w:p w14:paraId="718EE68C">
      <w:pPr>
        <w:pStyle w:val="22"/>
        <w:ind w:firstLine="480" w:firstLineChars="200"/>
        <w:rPr>
          <w:rFonts w:cs="宋体"/>
          <w:bCs/>
        </w:rPr>
      </w:pPr>
      <w:r>
        <w:rPr>
          <w:rFonts w:hint="eastAsia" w:cs="宋体"/>
          <w:bCs/>
        </w:rPr>
        <w:t>23</w:t>
      </w:r>
      <w:r>
        <w:rPr>
          <w:rFonts w:hint="eastAsia" w:cs="宋体"/>
          <w:bCs/>
          <w:lang w:val="en-US" w:eastAsia="zh-CN"/>
        </w:rPr>
        <w:t>.</w:t>
      </w:r>
      <w:r>
        <w:rPr>
          <w:rFonts w:hint="eastAsia" w:cs="宋体"/>
          <w:bCs/>
        </w:rPr>
        <w:t>以及其他监理应完成的工作。</w:t>
      </w:r>
    </w:p>
    <w:p w14:paraId="217F3905">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45" w:name="_Toc9955"/>
      <w:r>
        <w:rPr>
          <w:rFonts w:hint="eastAsia" w:ascii="宋体" w:hAnsi="宋体" w:eastAsia="宋体" w:cs="宋体"/>
          <w:sz w:val="24"/>
        </w:rPr>
        <w:t>七、其他</w:t>
      </w:r>
      <w:bookmarkEnd w:id="45"/>
    </w:p>
    <w:p w14:paraId="14A7305B">
      <w:pPr>
        <w:pStyle w:val="22"/>
        <w:ind w:firstLine="480" w:firstLineChars="200"/>
        <w:rPr>
          <w:rFonts w:cs="宋体"/>
          <w:bCs/>
        </w:rPr>
      </w:pPr>
      <w:r>
        <w:rPr>
          <w:rFonts w:hint="eastAsia" w:cs="宋体"/>
          <w:bCs/>
          <w:lang w:eastAsia="zh-CN"/>
        </w:rPr>
        <w:t>1.</w:t>
      </w:r>
      <w:r>
        <w:rPr>
          <w:rFonts w:hint="eastAsia" w:cs="宋体"/>
          <w:bCs/>
        </w:rPr>
        <w:t>现场踏勘</w:t>
      </w:r>
      <w:r>
        <w:rPr>
          <w:rFonts w:hint="eastAsia" w:cs="宋体"/>
          <w:bCs/>
          <w:lang w:eastAsia="zh-CN"/>
        </w:rPr>
        <w:t>：</w:t>
      </w:r>
      <w:r>
        <w:rPr>
          <w:rFonts w:hint="eastAsia" w:cs="宋体"/>
          <w:bCs/>
        </w:rPr>
        <w:t>本项目不组织集体现场踏勘，各供应商可自行对现场进行踏勘。踏勘现场所发生的所有费用（包含因踏勘现场而造成的死亡、人身伤害、财产损失和产生的其他费用）均由供应商自行承担、充分考虑了本项目可能面临的不确定因素可能导致的风险。供应商一旦成交，成交供应商不得以不完全了解现场情况为借口而提出额外赔偿。</w:t>
      </w:r>
    </w:p>
    <w:p w14:paraId="1B349A6C">
      <w:pPr>
        <w:pStyle w:val="22"/>
        <w:ind w:firstLine="480" w:firstLineChars="200"/>
        <w:rPr>
          <w:rFonts w:cs="宋体"/>
          <w:bCs/>
        </w:rPr>
      </w:pPr>
      <w:r>
        <w:rPr>
          <w:rFonts w:hint="eastAsia" w:cs="宋体"/>
          <w:bCs/>
        </w:rPr>
        <w:t>成交供应商需加强项目实施过程中的安全管理，需对参与人员自身安全</w:t>
      </w:r>
      <w:r>
        <w:rPr>
          <w:rFonts w:hint="eastAsia" w:cs="宋体"/>
          <w:bCs/>
          <w:lang w:eastAsia="zh-CN"/>
        </w:rPr>
        <w:t>、财产</w:t>
      </w:r>
      <w:r>
        <w:rPr>
          <w:rFonts w:hint="eastAsia" w:cs="宋体"/>
          <w:bCs/>
        </w:rPr>
        <w:t>安全自行负责，发生的安全事故由成交供应商自行承担。</w:t>
      </w:r>
    </w:p>
    <w:p w14:paraId="59B9A5F2">
      <w:pPr>
        <w:rPr>
          <w:rFonts w:ascii="宋体" w:hAnsi="宋体" w:cs="宋体"/>
          <w:b/>
          <w:bCs/>
          <w:sz w:val="36"/>
          <w:szCs w:val="36"/>
        </w:rPr>
      </w:pPr>
    </w:p>
    <w:p w14:paraId="443897F8">
      <w:pPr>
        <w:pStyle w:val="3"/>
        <w:spacing w:line="360" w:lineRule="auto"/>
        <w:jc w:val="center"/>
        <w:rPr>
          <w:rFonts w:ascii="宋体" w:hAnsi="宋体" w:eastAsia="宋体" w:cs="宋体"/>
          <w:bCs/>
          <w:sz w:val="36"/>
          <w:szCs w:val="36"/>
        </w:rPr>
      </w:pPr>
      <w:r>
        <w:rPr>
          <w:rFonts w:hint="eastAsia" w:ascii="宋体" w:hAnsi="宋体" w:eastAsia="宋体" w:cs="宋体"/>
          <w:bCs/>
          <w:sz w:val="36"/>
          <w:szCs w:val="36"/>
        </w:rPr>
        <w:t>第三篇 项目商务需求</w:t>
      </w:r>
    </w:p>
    <w:bookmarkEnd w:id="37"/>
    <w:bookmarkEnd w:id="38"/>
    <w:bookmarkEnd w:id="39"/>
    <w:bookmarkEnd w:id="40"/>
    <w:p w14:paraId="638B4D05">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46" w:name="_Toc23947"/>
      <w:bookmarkStart w:id="47" w:name="_Toc171590173"/>
      <w:bookmarkStart w:id="48" w:name="_Toc40784080"/>
      <w:r>
        <w:rPr>
          <w:rFonts w:hint="eastAsia" w:ascii="宋体" w:hAnsi="宋体" w:eastAsia="宋体" w:cs="宋体"/>
          <w:sz w:val="24"/>
        </w:rPr>
        <w:t>一、服务期、地点及实施方式</w:t>
      </w:r>
      <w:bookmarkEnd w:id="46"/>
      <w:bookmarkEnd w:id="47"/>
    </w:p>
    <w:p w14:paraId="56F60804">
      <w:pPr>
        <w:spacing w:line="360" w:lineRule="auto"/>
        <w:ind w:firstLine="480" w:firstLineChars="200"/>
        <w:rPr>
          <w:rFonts w:ascii="宋体" w:hAnsi="宋体" w:cs="宋体"/>
          <w:sz w:val="24"/>
          <w:szCs w:val="24"/>
        </w:rPr>
      </w:pPr>
      <w:r>
        <w:rPr>
          <w:rFonts w:hint="eastAsia" w:ascii="宋体" w:hAnsi="宋体" w:cs="宋体"/>
          <w:sz w:val="24"/>
          <w:szCs w:val="24"/>
        </w:rPr>
        <w:t>（一）服务时间：本工程实际监理期限为工程开工至工程缺陷责任</w:t>
      </w:r>
      <w:r>
        <w:rPr>
          <w:rFonts w:hint="eastAsia" w:ascii="宋体" w:hAnsi="宋体" w:cs="宋体"/>
          <w:sz w:val="24"/>
          <w:szCs w:val="24"/>
          <w:lang w:eastAsia="zh-CN"/>
        </w:rPr>
        <w:t>期满</w:t>
      </w:r>
      <w:r>
        <w:rPr>
          <w:rFonts w:hint="eastAsia" w:ascii="宋体" w:hAnsi="宋体" w:cs="宋体"/>
          <w:sz w:val="24"/>
          <w:szCs w:val="24"/>
        </w:rPr>
        <w:t>。</w:t>
      </w:r>
    </w:p>
    <w:p w14:paraId="18B3BAF0">
      <w:pPr>
        <w:spacing w:line="360" w:lineRule="auto"/>
        <w:ind w:firstLine="480" w:firstLineChars="200"/>
        <w:rPr>
          <w:rFonts w:ascii="宋体" w:hAnsi="宋体" w:cs="宋体"/>
          <w:sz w:val="24"/>
          <w:szCs w:val="24"/>
        </w:rPr>
      </w:pPr>
      <w:r>
        <w:rPr>
          <w:rFonts w:hint="eastAsia" w:ascii="宋体" w:hAnsi="宋体" w:cs="宋体"/>
          <w:sz w:val="24"/>
          <w:szCs w:val="24"/>
        </w:rPr>
        <w:t>（二）服务地点：大渡口区建胜镇民胜村。</w:t>
      </w:r>
    </w:p>
    <w:p w14:paraId="246BA55A">
      <w:pPr>
        <w:spacing w:line="360" w:lineRule="auto"/>
        <w:ind w:firstLine="480" w:firstLineChars="200"/>
        <w:rPr>
          <w:rFonts w:ascii="宋体" w:hAnsi="宋体" w:cs="宋体"/>
          <w:sz w:val="24"/>
          <w:szCs w:val="24"/>
        </w:rPr>
      </w:pPr>
      <w:r>
        <w:rPr>
          <w:rFonts w:hint="eastAsia" w:ascii="宋体" w:hAnsi="宋体" w:cs="宋体"/>
          <w:sz w:val="24"/>
          <w:szCs w:val="24"/>
        </w:rPr>
        <w:t>（三）验收方式：按采购人要求验收。</w:t>
      </w:r>
    </w:p>
    <w:p w14:paraId="6B108AD5">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49" w:name="_Toc17053"/>
      <w:r>
        <w:rPr>
          <w:rFonts w:hint="eastAsia" w:ascii="宋体" w:hAnsi="宋体" w:eastAsia="宋体" w:cs="宋体"/>
          <w:sz w:val="24"/>
        </w:rPr>
        <w:t>二、报价原则</w:t>
      </w:r>
      <w:bookmarkEnd w:id="49"/>
    </w:p>
    <w:bookmarkEnd w:id="48"/>
    <w:p w14:paraId="2312A958">
      <w:pPr>
        <w:spacing w:line="360" w:lineRule="auto"/>
        <w:ind w:firstLine="480" w:firstLineChars="200"/>
        <w:rPr>
          <w:rFonts w:ascii="宋体" w:hAnsi="宋体" w:cs="宋体"/>
          <w:sz w:val="24"/>
          <w:szCs w:val="24"/>
          <w:highlight w:val="none"/>
        </w:rPr>
      </w:pPr>
      <w:bookmarkStart w:id="50" w:name="_Toc344475121"/>
      <w:bookmarkStart w:id="51" w:name="_Toc508636294"/>
      <w:bookmarkStart w:id="52" w:name="_Toc25913"/>
      <w:r>
        <w:rPr>
          <w:rFonts w:hint="eastAsia" w:ascii="宋体" w:hAnsi="宋体" w:cs="宋体"/>
          <w:sz w:val="24"/>
          <w:szCs w:val="24"/>
          <w:highlight w:val="none"/>
        </w:rPr>
        <w:t>（一）报价原则</w:t>
      </w:r>
    </w:p>
    <w:p w14:paraId="4809967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本项目采用人民币报价。</w:t>
      </w:r>
    </w:p>
    <w:p w14:paraId="1CB238A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本项目将设置监理费投标总报价，投标总报价最高限价为：97403.43元。供应商的监理费投标总报价不得超过其最高限价，否则由评审小组作无效响应处理。</w:t>
      </w:r>
    </w:p>
    <w:p w14:paraId="0EFB6BE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注：采购限价参照《</w:t>
      </w:r>
      <w:r>
        <w:rPr>
          <w:rFonts w:hint="eastAsia" w:ascii="宋体" w:hAnsi="宋体" w:cs="宋体"/>
          <w:sz w:val="24"/>
          <w:szCs w:val="24"/>
          <w:highlight w:val="none"/>
          <w:lang w:eastAsia="zh-CN"/>
        </w:rPr>
        <w:t>国家发展改革委</w:t>
      </w:r>
      <w:r>
        <w:rPr>
          <w:rFonts w:hint="eastAsia" w:ascii="宋体" w:hAnsi="宋体" w:cs="宋体"/>
          <w:sz w:val="24"/>
          <w:szCs w:val="24"/>
          <w:highlight w:val="none"/>
        </w:rPr>
        <w:t>、建设部关于印发</w:t>
      </w:r>
      <w:r>
        <w:rPr>
          <w:rFonts w:hint="eastAsia" w:ascii="宋体" w:hAnsi="宋体" w:cs="宋体"/>
          <w:sz w:val="24"/>
          <w:szCs w:val="24"/>
          <w:highlight w:val="none"/>
          <w:lang w:eastAsia="zh-CN"/>
        </w:rPr>
        <w:t>〈</w:t>
      </w:r>
      <w:r>
        <w:rPr>
          <w:rFonts w:hint="eastAsia" w:ascii="宋体" w:hAnsi="宋体" w:cs="宋体"/>
          <w:sz w:val="24"/>
          <w:szCs w:val="24"/>
          <w:highlight w:val="none"/>
        </w:rPr>
        <w:t>建设工程监理与相关服务收费管理规定</w:t>
      </w:r>
      <w:r>
        <w:rPr>
          <w:rFonts w:hint="eastAsia" w:ascii="宋体" w:hAnsi="宋体" w:cs="宋体"/>
          <w:sz w:val="24"/>
          <w:szCs w:val="24"/>
          <w:highlight w:val="none"/>
          <w:lang w:eastAsia="zh-CN"/>
        </w:rPr>
        <w:t>〉的通知》（发改价格〔2007〕670号）</w:t>
      </w:r>
      <w:r>
        <w:rPr>
          <w:rFonts w:hint="eastAsia" w:ascii="宋体" w:hAnsi="宋体" w:cs="宋体"/>
          <w:sz w:val="24"/>
          <w:szCs w:val="24"/>
          <w:highlight w:val="none"/>
        </w:rPr>
        <w:t>规定的标准费额×工程难度系数0.8计算，按暂估建安费约368.95万元作为计费基数。</w:t>
      </w:r>
    </w:p>
    <w:p w14:paraId="0B81E3D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监理费总报价应为完成竞采文件所确定的委托监理的范围和监理业务所需的全部费用（含施工准备阶段、施工阶段及缺陷责任期）。具体包括为实施和完成本项目全部监理工作所需的劳务费、技术服务费、设备的使用和管理、检测和试验费用、办公家具、办公设施、通讯工具、通讯费用、生活用房、生活设施及生活费用、办公家具及设施、交通工具、保险、税费、利润及协调费</w:t>
      </w:r>
      <w:r>
        <w:rPr>
          <w:rFonts w:hint="eastAsia" w:ascii="宋体" w:hAnsi="宋体" w:cs="宋体"/>
          <w:sz w:val="24"/>
          <w:szCs w:val="24"/>
          <w:highlight w:val="none"/>
          <w:lang w:eastAsia="zh-CN"/>
        </w:rPr>
        <w:t>等</w:t>
      </w:r>
      <w:r>
        <w:rPr>
          <w:rFonts w:hint="eastAsia" w:ascii="宋体" w:hAnsi="宋体" w:cs="宋体"/>
          <w:sz w:val="24"/>
          <w:szCs w:val="24"/>
          <w:highlight w:val="none"/>
        </w:rPr>
        <w:t>实施工程监理所产生的一切费用。采购人除此以外不支付</w:t>
      </w:r>
      <w:r>
        <w:rPr>
          <w:rFonts w:hint="eastAsia" w:ascii="宋体" w:hAnsi="宋体" w:cs="宋体"/>
          <w:sz w:val="24"/>
          <w:szCs w:val="24"/>
          <w:highlight w:val="none"/>
          <w:lang w:eastAsia="zh-CN"/>
        </w:rPr>
        <w:t>其他费用</w:t>
      </w:r>
      <w:r>
        <w:rPr>
          <w:rFonts w:hint="eastAsia" w:ascii="宋体" w:hAnsi="宋体" w:cs="宋体"/>
          <w:sz w:val="24"/>
          <w:szCs w:val="24"/>
          <w:highlight w:val="none"/>
        </w:rPr>
        <w:t>，供应商也不得与本项目的承包商（包括但不限于工程承包人、分包人、材料供应商、设备租赁商等）发生任何经济关系。</w:t>
      </w:r>
    </w:p>
    <w:p w14:paraId="76F01C7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供应商的监理报酬包含监理机构按相关规范及要求利用必要的检查、检测手段或委托专业实验单位在监理单位自检的基础上，按比例独立进行平行抽检的相关费用及相应的试验检测费。</w:t>
      </w:r>
    </w:p>
    <w:p w14:paraId="04220E6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（二）现场条件</w:t>
      </w:r>
    </w:p>
    <w:p w14:paraId="43F8AA8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监理单位应根据工程范围内及周边的现有地方路网和现场情况，以及施工期间各路网及交通、航运变化情况，</w:t>
      </w:r>
      <w:r>
        <w:rPr>
          <w:rFonts w:hint="eastAsia" w:ascii="宋体" w:hAnsi="宋体" w:cs="宋体"/>
          <w:sz w:val="24"/>
          <w:szCs w:val="24"/>
          <w:highlight w:val="none"/>
          <w:lang w:eastAsia="zh-CN"/>
        </w:rPr>
        <w:t>结合</w:t>
      </w:r>
      <w:r>
        <w:rPr>
          <w:rFonts w:hint="eastAsia" w:ascii="宋体" w:hAnsi="宋体" w:cs="宋体"/>
          <w:sz w:val="24"/>
          <w:szCs w:val="24"/>
          <w:highlight w:val="none"/>
        </w:rPr>
        <w:t>现场考察情况、地勘资料</w:t>
      </w:r>
      <w:r>
        <w:rPr>
          <w:rFonts w:hint="eastAsia" w:ascii="宋体" w:hAnsi="宋体" w:cs="宋体"/>
          <w:sz w:val="24"/>
          <w:szCs w:val="24"/>
          <w:highlight w:val="none"/>
          <w:lang w:eastAsia="zh-CN"/>
        </w:rPr>
        <w:t>和</w:t>
      </w:r>
      <w:r>
        <w:rPr>
          <w:rFonts w:hint="eastAsia" w:ascii="宋体" w:hAnsi="宋体" w:cs="宋体"/>
          <w:sz w:val="24"/>
          <w:szCs w:val="24"/>
          <w:highlight w:val="none"/>
        </w:rPr>
        <w:t>总体平面布置，对施工单位施工过程中的进场道路和施工便道、栈桥布设、行车干扰及任何</w:t>
      </w:r>
      <w:r>
        <w:rPr>
          <w:rFonts w:hint="eastAsia" w:ascii="宋体" w:hAnsi="宋体" w:cs="宋体"/>
          <w:sz w:val="24"/>
          <w:szCs w:val="24"/>
          <w:highlight w:val="none"/>
          <w:lang w:eastAsia="zh-CN"/>
        </w:rPr>
        <w:t>其他</w:t>
      </w:r>
      <w:r>
        <w:rPr>
          <w:rFonts w:hint="eastAsia" w:ascii="宋体" w:hAnsi="宋体" w:cs="宋体"/>
          <w:sz w:val="24"/>
          <w:szCs w:val="24"/>
          <w:highlight w:val="none"/>
        </w:rPr>
        <w:t>相关情况采用相应的监理方法及措施予以控制、协调，相关费用包含在监理费竞标总报价中。</w:t>
      </w:r>
    </w:p>
    <w:p w14:paraId="603B90B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（三）延期监理费</w:t>
      </w:r>
    </w:p>
    <w:p w14:paraId="3CB15B1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监理费报价</w:t>
      </w:r>
      <w:r>
        <w:rPr>
          <w:rFonts w:hint="eastAsia" w:ascii="宋体" w:hAnsi="宋体" w:cs="宋体"/>
          <w:sz w:val="24"/>
          <w:szCs w:val="24"/>
          <w:highlight w:val="none"/>
          <w:lang w:eastAsia="zh-CN"/>
        </w:rPr>
        <w:t>为</w:t>
      </w:r>
      <w:r>
        <w:rPr>
          <w:rFonts w:hint="eastAsia" w:ascii="宋体" w:hAnsi="宋体" w:cs="宋体"/>
          <w:sz w:val="24"/>
          <w:szCs w:val="24"/>
          <w:highlight w:val="none"/>
        </w:rPr>
        <w:t>完成项目施工准备阶段、施工阶段监理及工程竣工交付使用、竣工结算、缺陷责任期（含配合审计工作）期间的总费用。在施工监理服务合同有效期内</w:t>
      </w:r>
      <w:r>
        <w:rPr>
          <w:rFonts w:hint="eastAsia" w:ascii="宋体" w:hAnsi="宋体" w:cs="宋体"/>
          <w:sz w:val="24"/>
          <w:szCs w:val="24"/>
          <w:highlight w:val="none"/>
          <w:lang w:eastAsia="zh-CN"/>
        </w:rPr>
        <w:t>，无论</w:t>
      </w:r>
      <w:r>
        <w:rPr>
          <w:rFonts w:hint="eastAsia" w:ascii="宋体" w:hAnsi="宋体" w:cs="宋体"/>
          <w:sz w:val="24"/>
          <w:szCs w:val="24"/>
          <w:highlight w:val="none"/>
        </w:rPr>
        <w:t>物价变动、国家或地方政府的法律法规</w:t>
      </w:r>
      <w:r>
        <w:rPr>
          <w:rFonts w:hint="eastAsia" w:ascii="宋体" w:hAnsi="宋体" w:cs="宋体"/>
          <w:sz w:val="24"/>
          <w:szCs w:val="24"/>
          <w:highlight w:val="none"/>
          <w:lang w:eastAsia="zh-CN"/>
        </w:rPr>
        <w:t>如何</w:t>
      </w:r>
      <w:r>
        <w:rPr>
          <w:rFonts w:hint="eastAsia" w:ascii="宋体" w:hAnsi="宋体" w:cs="宋体"/>
          <w:sz w:val="24"/>
          <w:szCs w:val="24"/>
          <w:highlight w:val="none"/>
        </w:rPr>
        <w:t>变动，均不增减监理费。非监理人的原因导致工程延期，监理合同</w:t>
      </w:r>
      <w:r>
        <w:rPr>
          <w:rFonts w:hint="eastAsia" w:ascii="宋体" w:hAnsi="宋体" w:cs="宋体"/>
          <w:sz w:val="24"/>
          <w:szCs w:val="24"/>
          <w:highlight w:val="none"/>
          <w:lang w:eastAsia="zh-CN"/>
        </w:rPr>
        <w:t>应顺延</w:t>
      </w:r>
      <w:r>
        <w:rPr>
          <w:rFonts w:hint="eastAsia" w:ascii="宋体" w:hAnsi="宋体" w:cs="宋体"/>
          <w:sz w:val="24"/>
          <w:szCs w:val="24"/>
          <w:highlight w:val="none"/>
        </w:rPr>
        <w:t>，延期的监理报酬不计取。</w:t>
      </w:r>
    </w:p>
    <w:p w14:paraId="286B9545">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53" w:name="_Toc22327"/>
      <w:r>
        <w:rPr>
          <w:rFonts w:hint="eastAsia" w:ascii="宋体" w:hAnsi="宋体" w:eastAsia="宋体" w:cs="宋体"/>
          <w:sz w:val="24"/>
        </w:rPr>
        <w:t>三、</w:t>
      </w:r>
      <w:bookmarkEnd w:id="50"/>
      <w:r>
        <w:rPr>
          <w:rFonts w:hint="eastAsia" w:ascii="宋体" w:hAnsi="宋体" w:eastAsia="宋体" w:cs="宋体"/>
          <w:sz w:val="24"/>
        </w:rPr>
        <w:t>付款方式</w:t>
      </w:r>
      <w:bookmarkEnd w:id="51"/>
      <w:bookmarkEnd w:id="52"/>
      <w:bookmarkEnd w:id="53"/>
      <w:bookmarkStart w:id="54" w:name="_Toc8897"/>
      <w:bookmarkStart w:id="55" w:name="_Toc23903"/>
      <w:bookmarkStart w:id="56" w:name="_Toc75793511"/>
      <w:bookmarkStart w:id="57" w:name="_Toc106030512"/>
      <w:bookmarkStart w:id="58" w:name="_Toc4370"/>
      <w:bookmarkStart w:id="59" w:name="_Toc1450"/>
      <w:bookmarkStart w:id="60" w:name="_Toc4252"/>
      <w:bookmarkStart w:id="61" w:name="_Toc4774"/>
      <w:bookmarkStart w:id="62" w:name="_Toc18405"/>
      <w:bookmarkStart w:id="63" w:name="_Toc2244"/>
      <w:bookmarkStart w:id="64" w:name="_Toc14177"/>
      <w:bookmarkStart w:id="65" w:name="_Toc3465"/>
      <w:bookmarkStart w:id="66" w:name="_Toc22134"/>
      <w:bookmarkStart w:id="67" w:name="_Toc27382"/>
      <w:bookmarkStart w:id="68" w:name="_Toc15096"/>
      <w:bookmarkStart w:id="69" w:name="_Toc20887"/>
      <w:bookmarkStart w:id="70" w:name="_Toc2821"/>
      <w:bookmarkStart w:id="71" w:name="_Toc9318"/>
    </w:p>
    <w:p w14:paraId="6EAAF079">
      <w:pPr>
        <w:spacing w:line="360" w:lineRule="auto"/>
        <w:ind w:firstLine="480" w:firstLineChars="200"/>
        <w:rPr>
          <w:rFonts w:hint="eastAsia" w:ascii="宋体" w:hAnsi="宋体" w:eastAsia="宋体"/>
          <w:snapToGrid w:val="0"/>
          <w:sz w:val="24"/>
          <w:highlight w:val="none"/>
          <w:lang w:eastAsia="zh-CN"/>
        </w:rPr>
      </w:pPr>
      <w:r>
        <w:rPr>
          <w:rFonts w:hint="eastAsia" w:ascii="宋体" w:hAnsi="宋体"/>
          <w:snapToGrid w:val="0"/>
          <w:sz w:val="24"/>
          <w:highlight w:val="none"/>
        </w:rPr>
        <w:t>(1)完成总工程量的80%后，监理单位完成对施工单位申报工程量及金额的审核，并经甲方确认后30日内支付至合同金额的50%</w:t>
      </w:r>
      <w:r>
        <w:rPr>
          <w:rFonts w:hint="eastAsia" w:ascii="宋体" w:hAnsi="宋体"/>
          <w:snapToGrid w:val="0"/>
          <w:sz w:val="24"/>
          <w:highlight w:val="none"/>
          <w:lang w:eastAsia="zh-CN"/>
        </w:rPr>
        <w:t>；</w:t>
      </w:r>
    </w:p>
    <w:p w14:paraId="16A49B87">
      <w:pPr>
        <w:spacing w:line="360" w:lineRule="auto"/>
        <w:ind w:firstLine="480" w:firstLineChars="200"/>
        <w:rPr>
          <w:rFonts w:hint="eastAsia" w:ascii="宋体" w:hAnsi="宋体"/>
          <w:snapToGrid w:val="0"/>
          <w:sz w:val="24"/>
          <w:highlight w:val="none"/>
        </w:rPr>
      </w:pPr>
      <w:r>
        <w:rPr>
          <w:rFonts w:hint="eastAsia" w:ascii="宋体" w:hAnsi="宋体"/>
          <w:snapToGrid w:val="0"/>
          <w:sz w:val="24"/>
          <w:highlight w:val="none"/>
        </w:rPr>
        <w:t>(2)工程竣工验收合格后30日内，乙方向甲方指定账户转入合同金额的3%作为本项目质保金后，甲方支付至合同金额的100%，待缺陷责任期(24个月)满，甲方按内部付款流程无息退还本项目3%的质保金。</w:t>
      </w:r>
    </w:p>
    <w:p w14:paraId="02BF1EA8">
      <w:pPr>
        <w:spacing w:line="360" w:lineRule="auto"/>
        <w:ind w:firstLine="480" w:firstLineChars="200"/>
        <w:rPr>
          <w:rFonts w:ascii="宋体" w:hAnsi="宋体" w:cs="宋体"/>
          <w:b/>
          <w:bCs/>
          <w:sz w:val="24"/>
          <w:szCs w:val="24"/>
        </w:rPr>
      </w:pPr>
      <w:r>
        <w:rPr>
          <w:rFonts w:hint="eastAsia" w:ascii="宋体" w:hAnsi="宋体" w:cs="宋体"/>
          <w:sz w:val="24"/>
          <w:szCs w:val="24"/>
          <w:highlight w:val="none"/>
        </w:rPr>
        <w:t>采购人付款前，成交供应商应向采购人开具并交付符合采购人</w:t>
      </w:r>
      <w:r>
        <w:rPr>
          <w:rFonts w:hint="eastAsia" w:ascii="宋体" w:hAnsi="宋体" w:cs="宋体"/>
          <w:sz w:val="24"/>
          <w:szCs w:val="24"/>
        </w:rPr>
        <w:t>要求的合法发票，否则采购人有权顺延支付合同款项，由此造成的一切损失由成交供应商自行承担。</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FB20847">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72" w:name="_Toc28972"/>
      <w:r>
        <w:rPr>
          <w:rFonts w:hint="eastAsia" w:ascii="宋体" w:hAnsi="宋体" w:eastAsia="宋体" w:cs="宋体"/>
          <w:sz w:val="24"/>
        </w:rPr>
        <w:t>四、知识产权</w:t>
      </w:r>
      <w:bookmarkEnd w:id="72"/>
    </w:p>
    <w:p w14:paraId="336B078A">
      <w:pPr>
        <w:pStyle w:val="15"/>
        <w:spacing w:line="360" w:lineRule="auto"/>
        <w:ind w:firstLine="480" w:firstLineChars="200"/>
        <w:rPr>
          <w:rFonts w:ascii="宋体" w:hAnsi="宋体" w:cs="宋体"/>
          <w:sz w:val="24"/>
          <w:szCs w:val="24"/>
        </w:rPr>
      </w:pPr>
      <w:r>
        <w:rPr>
          <w:rFonts w:hint="eastAsia" w:ascii="宋体" w:hAnsi="宋体" w:cs="宋体"/>
          <w:sz w:val="24"/>
          <w:szCs w:val="24"/>
          <w:lang w:eastAsia="zh-CN"/>
        </w:rPr>
        <w:t>竞采</w:t>
      </w:r>
      <w:r>
        <w:rPr>
          <w:rFonts w:hint="eastAsia" w:ascii="宋体" w:hAnsi="宋体" w:cs="宋体"/>
          <w:sz w:val="24"/>
          <w:szCs w:val="24"/>
        </w:rPr>
        <w:t>人在中华人民共和国境内使用成交供应商提供的货物及服务时免受第三方提出的侵犯其专利权或其他知识产权的起诉。如果第三方提出侵权指控，成交供应商应承担由此而引起的一切法律责任和费用。</w:t>
      </w:r>
    </w:p>
    <w:p w14:paraId="37EFC0B1">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73" w:name="_Toc28570"/>
      <w:bookmarkStart w:id="74" w:name="_Toc32007"/>
      <w:bookmarkStart w:id="75" w:name="_Toc413"/>
      <w:bookmarkStart w:id="76" w:name="_Toc17737"/>
      <w:bookmarkStart w:id="77" w:name="_Toc209190573"/>
      <w:bookmarkStart w:id="78" w:name="_Toc29300"/>
      <w:r>
        <w:rPr>
          <w:rFonts w:hint="eastAsia" w:ascii="宋体" w:hAnsi="宋体" w:eastAsia="宋体" w:cs="宋体"/>
          <w:sz w:val="24"/>
        </w:rPr>
        <w:t>五、</w:t>
      </w:r>
      <w:bookmarkEnd w:id="73"/>
      <w:bookmarkEnd w:id="74"/>
      <w:bookmarkEnd w:id="75"/>
      <w:bookmarkEnd w:id="76"/>
      <w:bookmarkEnd w:id="77"/>
      <w:r>
        <w:rPr>
          <w:rFonts w:hint="eastAsia" w:ascii="宋体" w:hAnsi="宋体" w:eastAsia="宋体" w:cs="宋体"/>
          <w:sz w:val="24"/>
        </w:rPr>
        <w:t>其他</w:t>
      </w:r>
      <w:bookmarkEnd w:id="78"/>
    </w:p>
    <w:p w14:paraId="45E44F3F">
      <w:pPr>
        <w:pStyle w:val="15"/>
        <w:spacing w:line="360" w:lineRule="auto"/>
        <w:ind w:firstLine="480" w:firstLineChars="200"/>
        <w:rPr>
          <w:rFonts w:ascii="宋体" w:hAnsi="宋体" w:cs="宋体"/>
          <w:sz w:val="24"/>
          <w:szCs w:val="24"/>
        </w:rPr>
      </w:pPr>
      <w:r>
        <w:rPr>
          <w:rFonts w:hint="eastAsia" w:ascii="宋体" w:hAnsi="宋体" w:cs="宋体"/>
          <w:sz w:val="24"/>
          <w:szCs w:val="24"/>
        </w:rPr>
        <w:t>（一）供应商必须在响应文件中对以上条款和服务承诺明确列出，承诺内容必须达到本篇及竞</w:t>
      </w:r>
      <w:r>
        <w:rPr>
          <w:rFonts w:hint="eastAsia" w:ascii="宋体" w:hAnsi="宋体" w:cs="宋体"/>
          <w:sz w:val="24"/>
          <w:szCs w:val="24"/>
          <w:lang w:eastAsia="zh-CN"/>
        </w:rPr>
        <w:t>采</w:t>
      </w:r>
      <w:r>
        <w:rPr>
          <w:rFonts w:hint="eastAsia" w:ascii="宋体" w:hAnsi="宋体" w:cs="宋体"/>
          <w:sz w:val="24"/>
          <w:szCs w:val="24"/>
        </w:rPr>
        <w:t>文件其他条款的要求。</w:t>
      </w:r>
    </w:p>
    <w:p w14:paraId="11BE9CEA">
      <w:pPr>
        <w:pStyle w:val="15"/>
        <w:spacing w:line="360" w:lineRule="auto"/>
        <w:ind w:firstLine="480" w:firstLineChars="200"/>
        <w:rPr>
          <w:rFonts w:ascii="宋体" w:hAnsi="宋体" w:cs="宋体"/>
          <w:sz w:val="24"/>
          <w:szCs w:val="24"/>
        </w:rPr>
      </w:pPr>
      <w:r>
        <w:rPr>
          <w:rFonts w:hint="eastAsia" w:ascii="宋体" w:hAnsi="宋体" w:cs="宋体"/>
          <w:sz w:val="24"/>
          <w:szCs w:val="24"/>
        </w:rPr>
        <w:t>（二）其他未尽事宜由供需双方在服务合同中详细约定。</w:t>
      </w:r>
    </w:p>
    <w:p w14:paraId="199F8DEB">
      <w:pPr>
        <w:spacing w:line="360" w:lineRule="auto"/>
        <w:outlineLvl w:val="1"/>
        <w:rPr>
          <w:rFonts w:ascii="宋体" w:hAnsi="宋体" w:cs="宋体"/>
          <w:b/>
          <w:bCs/>
          <w:sz w:val="36"/>
          <w:szCs w:val="36"/>
        </w:rPr>
      </w:pPr>
      <w:bookmarkStart w:id="79" w:name="_Toc96681791"/>
    </w:p>
    <w:p w14:paraId="33D7D9E7">
      <w:pPr>
        <w:spacing w:line="360" w:lineRule="auto"/>
        <w:ind w:firstLine="482" w:firstLineChars="200"/>
        <w:outlineLvl w:val="1"/>
        <w:rPr>
          <w:rFonts w:ascii="宋体" w:hAnsi="宋体" w:cs="宋体"/>
          <w:b/>
          <w:bCs/>
          <w:sz w:val="24"/>
          <w:szCs w:val="24"/>
        </w:rPr>
      </w:pPr>
    </w:p>
    <w:p w14:paraId="376CA02E">
      <w:pPr>
        <w:rPr>
          <w:rFonts w:ascii="宋体" w:hAnsi="宋体" w:cs="宋体"/>
          <w:b/>
          <w:bCs/>
          <w:sz w:val="36"/>
          <w:szCs w:val="36"/>
        </w:rPr>
      </w:pPr>
      <w:r>
        <w:rPr>
          <w:rFonts w:hint="eastAsia" w:ascii="宋体" w:hAnsi="宋体" w:cs="宋体"/>
          <w:b/>
          <w:bCs/>
          <w:sz w:val="36"/>
          <w:szCs w:val="36"/>
        </w:rPr>
        <w:br w:type="page"/>
      </w:r>
    </w:p>
    <w:p w14:paraId="3FE20434">
      <w:pPr>
        <w:pStyle w:val="3"/>
        <w:spacing w:before="0" w:after="0" w:line="360" w:lineRule="auto"/>
        <w:jc w:val="center"/>
        <w:rPr>
          <w:rFonts w:ascii="宋体" w:hAnsi="宋体" w:eastAsia="宋体" w:cs="宋体"/>
          <w:bCs/>
          <w:sz w:val="24"/>
          <w:szCs w:val="24"/>
        </w:rPr>
      </w:pPr>
      <w:bookmarkStart w:id="80" w:name="_Toc212456863"/>
      <w:bookmarkStart w:id="81" w:name="_Toc15828"/>
      <w:r>
        <w:rPr>
          <w:rFonts w:hint="eastAsia" w:ascii="宋体" w:hAnsi="宋体" w:eastAsia="宋体" w:cs="宋体"/>
          <w:bCs/>
          <w:szCs w:val="32"/>
        </w:rPr>
        <w:t xml:space="preserve">第四篇 </w:t>
      </w:r>
      <w:bookmarkEnd w:id="80"/>
      <w:r>
        <w:rPr>
          <w:rFonts w:hint="eastAsia" w:ascii="宋体" w:hAnsi="宋体" w:eastAsia="宋体" w:cs="宋体"/>
          <w:bCs/>
          <w:szCs w:val="32"/>
        </w:rPr>
        <w:t>网上竞采程序及方法、评审标准、无效响应和采购终止</w:t>
      </w:r>
      <w:bookmarkEnd w:id="81"/>
    </w:p>
    <w:bookmarkEnd w:id="71"/>
    <w:bookmarkEnd w:id="79"/>
    <w:p w14:paraId="1C25EE4F">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82" w:name="_Toc17927"/>
      <w:bookmarkStart w:id="83" w:name="_Toc32355"/>
      <w:bookmarkStart w:id="84" w:name="_Toc30712"/>
      <w:bookmarkStart w:id="85" w:name="_Toc75793519"/>
      <w:bookmarkStart w:id="86" w:name="_Toc65660350"/>
      <w:bookmarkStart w:id="87" w:name="_Toc11926"/>
      <w:bookmarkStart w:id="88" w:name="_Toc11767"/>
      <w:bookmarkStart w:id="89" w:name="_Toc27087"/>
      <w:bookmarkStart w:id="90" w:name="_Toc76462333"/>
      <w:bookmarkStart w:id="91" w:name="_Toc64732012"/>
      <w:bookmarkStart w:id="92" w:name="_Toc2412"/>
      <w:bookmarkStart w:id="93" w:name="_Toc6046"/>
      <w:bookmarkStart w:id="94" w:name="_Toc27932"/>
      <w:bookmarkStart w:id="95" w:name="_Toc17872"/>
      <w:bookmarkStart w:id="96" w:name="_Toc23952"/>
      <w:bookmarkStart w:id="97" w:name="_Toc5167"/>
      <w:bookmarkStart w:id="98" w:name="_Toc9361"/>
      <w:bookmarkStart w:id="99" w:name="_Toc161742523"/>
      <w:bookmarkStart w:id="100" w:name="_Toc106034790"/>
      <w:bookmarkStart w:id="101" w:name="_Toc31247"/>
      <w:bookmarkStart w:id="102" w:name="_Toc342913394"/>
      <w:bookmarkStart w:id="103" w:name="_Toc102227320"/>
      <w:bookmarkStart w:id="104" w:name="_Toc8766"/>
      <w:r>
        <w:rPr>
          <w:rFonts w:hint="eastAsia" w:ascii="宋体" w:hAnsi="宋体" w:eastAsia="宋体" w:cs="宋体"/>
          <w:sz w:val="24"/>
        </w:rPr>
        <w:t>一、网上竞采采购程序及方法</w:t>
      </w:r>
      <w:bookmarkEnd w:id="82"/>
      <w:bookmarkEnd w:id="83"/>
      <w:bookmarkEnd w:id="84"/>
    </w:p>
    <w:p w14:paraId="4FE53F38">
      <w:pPr>
        <w:snapToGrid w:val="0"/>
        <w:spacing w:beforeLines="20" w:line="360" w:lineRule="auto"/>
        <w:ind w:firstLine="480" w:firstLineChars="200"/>
        <w:rPr>
          <w:rFonts w:ascii="宋体" w:hAnsi="宋体" w:cs="宋体"/>
          <w:kern w:val="0"/>
          <w:sz w:val="24"/>
          <w:szCs w:val="24"/>
        </w:rPr>
      </w:pPr>
      <w:r>
        <w:rPr>
          <w:rFonts w:hint="eastAsia" w:ascii="宋体" w:hAnsi="宋体" w:cs="宋体"/>
          <w:kern w:val="0"/>
          <w:sz w:val="24"/>
          <w:szCs w:val="24"/>
        </w:rPr>
        <w:t>（一）按网上竞采文件规定的截止时间进行，由本项目的评审小组对各供应商的响应文件进行评审。</w:t>
      </w:r>
    </w:p>
    <w:p w14:paraId="457C0AD0">
      <w:pPr>
        <w:snapToGrid w:val="0"/>
        <w:spacing w:beforeLines="20" w:line="360" w:lineRule="auto"/>
        <w:ind w:firstLine="480" w:firstLineChars="200"/>
        <w:rPr>
          <w:rFonts w:ascii="宋体" w:hAnsi="宋体" w:cs="宋体"/>
          <w:kern w:val="0"/>
          <w:sz w:val="24"/>
          <w:szCs w:val="24"/>
        </w:rPr>
      </w:pPr>
      <w:r>
        <w:rPr>
          <w:rFonts w:hint="eastAsia" w:ascii="宋体" w:hAnsi="宋体" w:cs="宋体"/>
          <w:kern w:val="0"/>
          <w:sz w:val="24"/>
          <w:szCs w:val="24"/>
        </w:rPr>
        <w:t>（二）评审小组对各供应商的资格条件、响应文件的有效性、完整性和响应程度进行审查。</w:t>
      </w:r>
    </w:p>
    <w:p w14:paraId="10B3CDDE">
      <w:pPr>
        <w:snapToGrid w:val="0"/>
        <w:spacing w:beforeLines="20" w:line="360" w:lineRule="auto"/>
        <w:ind w:firstLine="480" w:firstLineChars="200"/>
        <w:rPr>
          <w:rFonts w:ascii="宋体" w:hAnsi="宋体" w:cs="宋体"/>
          <w:kern w:val="0"/>
          <w:sz w:val="24"/>
          <w:szCs w:val="24"/>
        </w:rPr>
      </w:pPr>
      <w:r>
        <w:rPr>
          <w:rFonts w:hint="eastAsia" w:ascii="宋体" w:hAnsi="宋体" w:cs="宋体"/>
          <w:kern w:val="0"/>
          <w:sz w:val="24"/>
          <w:szCs w:val="24"/>
        </w:rPr>
        <w:t>1.资格性检查。依据法律法规和网上竞采采购文件的规定，对响应文件中的资格证明进行审查，以确定供应商是否具备网上竞采资格。资格性检查资料表如下：</w:t>
      </w:r>
    </w:p>
    <w:tbl>
      <w:tblPr>
        <w:tblStyle w:val="24"/>
        <w:tblW w:w="1019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924"/>
        <w:gridCol w:w="2676"/>
        <w:gridCol w:w="5714"/>
      </w:tblGrid>
      <w:tr w14:paraId="07D3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Borders>
              <w:top w:val="single" w:color="auto" w:sz="4" w:space="0"/>
              <w:left w:val="single" w:color="auto" w:sz="4" w:space="0"/>
              <w:bottom w:val="single" w:color="auto" w:sz="4" w:space="0"/>
              <w:right w:val="single" w:color="auto" w:sz="4" w:space="0"/>
            </w:tcBorders>
            <w:noWrap/>
            <w:vAlign w:val="center"/>
          </w:tcPr>
          <w:p w14:paraId="4A6C962E">
            <w:pPr>
              <w:snapToGrid w:val="0"/>
              <w:spacing w:beforeLines="20"/>
              <w:rPr>
                <w:rFonts w:ascii="宋体" w:hAnsi="宋体" w:cs="宋体"/>
                <w:kern w:val="0"/>
                <w:sz w:val="24"/>
                <w:szCs w:val="24"/>
              </w:rPr>
            </w:pPr>
            <w:r>
              <w:rPr>
                <w:rFonts w:hint="eastAsia" w:ascii="宋体" w:hAnsi="宋体" w:cs="宋体"/>
                <w:kern w:val="0"/>
                <w:sz w:val="24"/>
                <w:szCs w:val="24"/>
              </w:rPr>
              <w:t>序号</w:t>
            </w:r>
          </w:p>
        </w:tc>
        <w:tc>
          <w:tcPr>
            <w:tcW w:w="3600" w:type="dxa"/>
            <w:gridSpan w:val="2"/>
            <w:tcBorders>
              <w:top w:val="single" w:color="auto" w:sz="4" w:space="0"/>
              <w:left w:val="single" w:color="auto" w:sz="4" w:space="0"/>
              <w:bottom w:val="single" w:color="auto" w:sz="4" w:space="0"/>
              <w:right w:val="single" w:color="auto" w:sz="4" w:space="0"/>
            </w:tcBorders>
            <w:noWrap/>
            <w:vAlign w:val="center"/>
          </w:tcPr>
          <w:p w14:paraId="32AF58A0">
            <w:pPr>
              <w:snapToGrid w:val="0"/>
              <w:spacing w:beforeLines="20"/>
              <w:ind w:firstLine="480" w:firstLineChars="200"/>
              <w:rPr>
                <w:rFonts w:ascii="宋体" w:hAnsi="宋体" w:cs="宋体"/>
                <w:kern w:val="0"/>
                <w:sz w:val="24"/>
                <w:szCs w:val="24"/>
              </w:rPr>
            </w:pPr>
            <w:r>
              <w:rPr>
                <w:rFonts w:hint="eastAsia" w:ascii="宋体" w:hAnsi="宋体" w:cs="宋体"/>
                <w:kern w:val="0"/>
                <w:sz w:val="24"/>
                <w:szCs w:val="24"/>
              </w:rPr>
              <w:t>检查因素</w:t>
            </w:r>
          </w:p>
        </w:tc>
        <w:tc>
          <w:tcPr>
            <w:tcW w:w="5714" w:type="dxa"/>
            <w:tcBorders>
              <w:top w:val="single" w:color="auto" w:sz="4" w:space="0"/>
              <w:left w:val="single" w:color="auto" w:sz="4" w:space="0"/>
              <w:bottom w:val="single" w:color="auto" w:sz="4" w:space="0"/>
              <w:right w:val="single" w:color="auto" w:sz="4" w:space="0"/>
            </w:tcBorders>
            <w:noWrap/>
            <w:vAlign w:val="center"/>
          </w:tcPr>
          <w:p w14:paraId="44D81B8F">
            <w:pPr>
              <w:snapToGrid w:val="0"/>
              <w:spacing w:beforeLines="20"/>
              <w:ind w:firstLine="480" w:firstLineChars="200"/>
              <w:rPr>
                <w:rFonts w:ascii="宋体" w:hAnsi="宋体" w:cs="宋体"/>
                <w:kern w:val="0"/>
                <w:sz w:val="24"/>
                <w:szCs w:val="24"/>
              </w:rPr>
            </w:pPr>
            <w:r>
              <w:rPr>
                <w:rFonts w:hint="eastAsia" w:ascii="宋体" w:hAnsi="宋体" w:cs="宋体"/>
                <w:kern w:val="0"/>
                <w:sz w:val="24"/>
                <w:szCs w:val="24"/>
              </w:rPr>
              <w:t>检查内容</w:t>
            </w:r>
          </w:p>
        </w:tc>
      </w:tr>
      <w:tr w14:paraId="0A57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restart"/>
            <w:noWrap/>
            <w:vAlign w:val="center"/>
          </w:tcPr>
          <w:p w14:paraId="6DED3748">
            <w:pPr>
              <w:snapToGrid w:val="0"/>
              <w:spacing w:beforeLines="20"/>
              <w:rPr>
                <w:rFonts w:ascii="宋体" w:hAnsi="宋体" w:cs="宋体"/>
                <w:kern w:val="0"/>
                <w:sz w:val="24"/>
                <w:szCs w:val="24"/>
              </w:rPr>
            </w:pPr>
            <w:r>
              <w:rPr>
                <w:rFonts w:hint="eastAsia" w:ascii="宋体" w:hAnsi="宋体" w:cs="宋体"/>
                <w:kern w:val="0"/>
                <w:sz w:val="24"/>
                <w:szCs w:val="24"/>
              </w:rPr>
              <w:t>（一）</w:t>
            </w:r>
          </w:p>
        </w:tc>
        <w:tc>
          <w:tcPr>
            <w:tcW w:w="924" w:type="dxa"/>
            <w:vMerge w:val="restart"/>
            <w:noWrap/>
            <w:vAlign w:val="center"/>
          </w:tcPr>
          <w:p w14:paraId="1654CCAE">
            <w:pPr>
              <w:snapToGrid w:val="0"/>
              <w:spacing w:beforeLines="20"/>
              <w:ind w:firstLine="480" w:firstLineChars="200"/>
              <w:rPr>
                <w:rFonts w:hint="eastAsia" w:ascii="宋体" w:hAnsi="宋体" w:eastAsia="宋体" w:cs="宋体"/>
                <w:kern w:val="0"/>
                <w:sz w:val="24"/>
                <w:szCs w:val="24"/>
                <w:lang w:val="zh-CN"/>
              </w:rPr>
            </w:pPr>
            <w:r>
              <w:rPr>
                <w:rFonts w:hint="eastAsia" w:ascii="宋体" w:hAnsi="宋体" w:cs="宋体"/>
                <w:kern w:val="0"/>
                <w:sz w:val="24"/>
                <w:szCs w:val="24"/>
                <w:lang w:val="zh-CN"/>
              </w:rPr>
              <w:t>《中华人民共和国政府采购法》第二十二条规定</w:t>
            </w:r>
            <w:r>
              <w:rPr>
                <w:rFonts w:hint="eastAsia" w:ascii="宋体" w:hAnsi="宋体" w:eastAsia="宋体" w:cs="宋体"/>
                <w:kern w:val="0"/>
                <w:sz w:val="24"/>
                <w:szCs w:val="24"/>
                <w:lang w:val="zh-CN"/>
              </w:rPr>
              <w:t>》</w:t>
            </w:r>
          </w:p>
        </w:tc>
        <w:tc>
          <w:tcPr>
            <w:tcW w:w="2676" w:type="dxa"/>
            <w:noWrap/>
            <w:vAlign w:val="center"/>
          </w:tcPr>
          <w:p w14:paraId="61D428AB">
            <w:pPr>
              <w:snapToGrid w:val="0"/>
              <w:spacing w:beforeLines="20"/>
              <w:ind w:firstLine="480" w:firstLineChars="200"/>
              <w:rPr>
                <w:rFonts w:ascii="宋体" w:hAnsi="宋体" w:cs="宋体"/>
                <w:kern w:val="0"/>
                <w:sz w:val="24"/>
                <w:szCs w:val="24"/>
              </w:rPr>
            </w:pPr>
            <w:r>
              <w:rPr>
                <w:rFonts w:hint="eastAsia" w:ascii="宋体" w:hAnsi="宋体" w:cs="宋体"/>
                <w:kern w:val="0"/>
                <w:sz w:val="24"/>
                <w:szCs w:val="24"/>
              </w:rPr>
              <w:t>1.具有独立承担民事责任的能力</w:t>
            </w:r>
          </w:p>
        </w:tc>
        <w:tc>
          <w:tcPr>
            <w:tcW w:w="5714" w:type="dxa"/>
            <w:noWrap/>
            <w:vAlign w:val="center"/>
          </w:tcPr>
          <w:p w14:paraId="7E61F99A">
            <w:pPr>
              <w:snapToGrid w:val="0"/>
              <w:spacing w:beforeLines="20"/>
              <w:ind w:firstLine="480" w:firstLineChars="200"/>
              <w:rPr>
                <w:rFonts w:ascii="宋体" w:hAnsi="宋体" w:cs="宋体"/>
                <w:kern w:val="0"/>
                <w:sz w:val="24"/>
                <w:szCs w:val="24"/>
              </w:rPr>
            </w:pPr>
            <w:r>
              <w:rPr>
                <w:rFonts w:hint="eastAsia" w:ascii="宋体" w:hAnsi="宋体" w:cs="宋体"/>
                <w:kern w:val="0"/>
                <w:sz w:val="24"/>
                <w:szCs w:val="24"/>
              </w:rPr>
              <w:t xml:space="preserve">1.供应商法人营业执照（副本）或事业单位法人证书（副本）或个体工商户营业执照或有效的自然人身份证明或社会团体法人登记证书（提供复印件）。 </w:t>
            </w:r>
          </w:p>
          <w:p w14:paraId="6DBFC573">
            <w:pPr>
              <w:snapToGrid w:val="0"/>
              <w:spacing w:beforeLines="20"/>
              <w:ind w:firstLine="480" w:firstLineChars="200"/>
              <w:rPr>
                <w:rFonts w:ascii="宋体" w:hAnsi="宋体" w:cs="宋体"/>
                <w:kern w:val="0"/>
                <w:sz w:val="24"/>
                <w:szCs w:val="24"/>
              </w:rPr>
            </w:pPr>
            <w:r>
              <w:rPr>
                <w:rFonts w:hint="eastAsia" w:ascii="宋体" w:hAnsi="宋体" w:cs="宋体"/>
                <w:kern w:val="0"/>
                <w:sz w:val="24"/>
                <w:szCs w:val="24"/>
              </w:rPr>
              <w:t>2.供应商法定代表人身份证明和法定代表人授权代表委托书。</w:t>
            </w:r>
          </w:p>
        </w:tc>
      </w:tr>
      <w:tr w14:paraId="5153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continue"/>
            <w:noWrap/>
            <w:vAlign w:val="center"/>
          </w:tcPr>
          <w:p w14:paraId="4F7EDCDE">
            <w:pPr>
              <w:snapToGrid w:val="0"/>
              <w:spacing w:beforeLines="20"/>
              <w:ind w:firstLine="480" w:firstLineChars="200"/>
              <w:rPr>
                <w:rFonts w:ascii="宋体" w:hAnsi="宋体" w:cs="宋体"/>
                <w:kern w:val="0"/>
                <w:sz w:val="24"/>
                <w:szCs w:val="24"/>
              </w:rPr>
            </w:pPr>
          </w:p>
        </w:tc>
        <w:tc>
          <w:tcPr>
            <w:tcW w:w="924" w:type="dxa"/>
            <w:vMerge w:val="continue"/>
            <w:noWrap/>
            <w:vAlign w:val="center"/>
          </w:tcPr>
          <w:p w14:paraId="3375256F">
            <w:pPr>
              <w:snapToGrid w:val="0"/>
              <w:spacing w:beforeLines="20"/>
              <w:ind w:firstLine="480" w:firstLineChars="200"/>
              <w:rPr>
                <w:rFonts w:ascii="宋体" w:hAnsi="宋体" w:cs="宋体"/>
                <w:kern w:val="0"/>
                <w:sz w:val="24"/>
                <w:szCs w:val="24"/>
                <w:lang w:val="zh-CN"/>
              </w:rPr>
            </w:pPr>
          </w:p>
        </w:tc>
        <w:tc>
          <w:tcPr>
            <w:tcW w:w="2676" w:type="dxa"/>
            <w:noWrap/>
            <w:vAlign w:val="center"/>
          </w:tcPr>
          <w:p w14:paraId="02BC5B9A">
            <w:pPr>
              <w:snapToGrid w:val="0"/>
              <w:spacing w:beforeLines="20"/>
              <w:ind w:firstLine="480" w:firstLineChars="200"/>
              <w:rPr>
                <w:rFonts w:ascii="宋体" w:hAnsi="宋体" w:cs="宋体"/>
                <w:kern w:val="0"/>
                <w:sz w:val="24"/>
                <w:szCs w:val="24"/>
              </w:rPr>
            </w:pPr>
            <w:r>
              <w:rPr>
                <w:rFonts w:hint="eastAsia" w:ascii="宋体" w:hAnsi="宋体" w:cs="宋体"/>
                <w:kern w:val="0"/>
                <w:sz w:val="24"/>
                <w:szCs w:val="24"/>
                <w:lang w:val="zh-CN"/>
              </w:rPr>
              <w:t>2.</w:t>
            </w:r>
            <w:r>
              <w:rPr>
                <w:rFonts w:hint="eastAsia" w:ascii="宋体" w:hAnsi="宋体" w:cs="宋体"/>
                <w:kern w:val="0"/>
                <w:sz w:val="24"/>
                <w:szCs w:val="24"/>
              </w:rPr>
              <w:t>具有良好的商业信誉和健全的财务会计制度</w:t>
            </w:r>
          </w:p>
        </w:tc>
        <w:tc>
          <w:tcPr>
            <w:tcW w:w="5714" w:type="dxa"/>
            <w:vMerge w:val="restart"/>
            <w:noWrap/>
            <w:vAlign w:val="center"/>
          </w:tcPr>
          <w:p w14:paraId="6445EEEF">
            <w:pPr>
              <w:snapToGrid w:val="0"/>
              <w:spacing w:beforeLines="20"/>
              <w:ind w:firstLine="480" w:firstLineChars="200"/>
              <w:rPr>
                <w:rFonts w:ascii="宋体" w:hAnsi="宋体" w:cs="宋体"/>
                <w:kern w:val="0"/>
                <w:sz w:val="24"/>
                <w:szCs w:val="24"/>
              </w:rPr>
            </w:pPr>
            <w:r>
              <w:rPr>
                <w:rFonts w:hint="eastAsia" w:ascii="宋体" w:hAnsi="宋体" w:cs="宋体"/>
                <w:kern w:val="0"/>
                <w:sz w:val="24"/>
                <w:szCs w:val="24"/>
              </w:rPr>
              <w:t>供应商提供“基本资格条件承诺函”（格式详见第七篇）</w:t>
            </w:r>
          </w:p>
        </w:tc>
      </w:tr>
      <w:tr w14:paraId="7CE9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continue"/>
            <w:noWrap/>
            <w:vAlign w:val="center"/>
          </w:tcPr>
          <w:p w14:paraId="4A549DB4">
            <w:pPr>
              <w:snapToGrid w:val="0"/>
              <w:spacing w:beforeLines="20"/>
              <w:ind w:firstLine="480" w:firstLineChars="200"/>
              <w:rPr>
                <w:rFonts w:ascii="宋体" w:hAnsi="宋体" w:cs="宋体"/>
                <w:kern w:val="0"/>
                <w:sz w:val="24"/>
                <w:szCs w:val="24"/>
              </w:rPr>
            </w:pPr>
          </w:p>
        </w:tc>
        <w:tc>
          <w:tcPr>
            <w:tcW w:w="924" w:type="dxa"/>
            <w:vMerge w:val="continue"/>
            <w:noWrap/>
            <w:vAlign w:val="center"/>
          </w:tcPr>
          <w:p w14:paraId="31FD15D2">
            <w:pPr>
              <w:snapToGrid w:val="0"/>
              <w:spacing w:beforeLines="20"/>
              <w:ind w:firstLine="480" w:firstLineChars="200"/>
              <w:rPr>
                <w:rFonts w:ascii="宋体" w:hAnsi="宋体" w:cs="宋体"/>
                <w:kern w:val="0"/>
                <w:sz w:val="24"/>
                <w:szCs w:val="24"/>
                <w:lang w:val="zh-CN"/>
              </w:rPr>
            </w:pPr>
          </w:p>
        </w:tc>
        <w:tc>
          <w:tcPr>
            <w:tcW w:w="2676" w:type="dxa"/>
            <w:noWrap/>
            <w:vAlign w:val="center"/>
          </w:tcPr>
          <w:p w14:paraId="4808CEE8">
            <w:pPr>
              <w:snapToGrid w:val="0"/>
              <w:spacing w:beforeLines="20"/>
              <w:ind w:firstLine="480" w:firstLineChars="200"/>
              <w:rPr>
                <w:rFonts w:ascii="宋体" w:hAnsi="宋体" w:cs="宋体"/>
                <w:kern w:val="0"/>
                <w:sz w:val="24"/>
                <w:szCs w:val="24"/>
                <w:lang w:val="zh-CN"/>
              </w:rPr>
            </w:pPr>
            <w:r>
              <w:rPr>
                <w:rFonts w:hint="eastAsia" w:ascii="宋体" w:hAnsi="宋体" w:cs="宋体"/>
                <w:kern w:val="0"/>
                <w:sz w:val="24"/>
                <w:szCs w:val="24"/>
                <w:lang w:val="zh-CN"/>
              </w:rPr>
              <w:t>3.具有履行合同所必需的设备和专业技术能力</w:t>
            </w:r>
          </w:p>
        </w:tc>
        <w:tc>
          <w:tcPr>
            <w:tcW w:w="5714" w:type="dxa"/>
            <w:vMerge w:val="continue"/>
            <w:noWrap/>
            <w:vAlign w:val="center"/>
          </w:tcPr>
          <w:p w14:paraId="62FE779E">
            <w:pPr>
              <w:snapToGrid w:val="0"/>
              <w:spacing w:beforeLines="20"/>
              <w:ind w:firstLine="480" w:firstLineChars="200"/>
              <w:rPr>
                <w:rFonts w:ascii="宋体" w:hAnsi="宋体" w:cs="宋体"/>
                <w:kern w:val="0"/>
                <w:sz w:val="24"/>
                <w:szCs w:val="24"/>
              </w:rPr>
            </w:pPr>
          </w:p>
        </w:tc>
      </w:tr>
      <w:tr w14:paraId="2F66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continue"/>
            <w:noWrap/>
            <w:vAlign w:val="center"/>
          </w:tcPr>
          <w:p w14:paraId="5E6F13DC">
            <w:pPr>
              <w:snapToGrid w:val="0"/>
              <w:spacing w:beforeLines="20"/>
              <w:ind w:firstLine="480" w:firstLineChars="200"/>
              <w:rPr>
                <w:rFonts w:ascii="宋体" w:hAnsi="宋体" w:cs="宋体"/>
                <w:kern w:val="0"/>
                <w:sz w:val="24"/>
                <w:szCs w:val="24"/>
              </w:rPr>
            </w:pPr>
          </w:p>
        </w:tc>
        <w:tc>
          <w:tcPr>
            <w:tcW w:w="924" w:type="dxa"/>
            <w:vMerge w:val="continue"/>
            <w:noWrap/>
            <w:vAlign w:val="center"/>
          </w:tcPr>
          <w:p w14:paraId="02E8A7FB">
            <w:pPr>
              <w:snapToGrid w:val="0"/>
              <w:spacing w:beforeLines="20"/>
              <w:ind w:firstLine="480" w:firstLineChars="200"/>
              <w:rPr>
                <w:rFonts w:ascii="宋体" w:hAnsi="宋体" w:cs="宋体"/>
                <w:kern w:val="0"/>
                <w:sz w:val="24"/>
                <w:szCs w:val="24"/>
                <w:lang w:val="zh-CN"/>
              </w:rPr>
            </w:pPr>
          </w:p>
        </w:tc>
        <w:tc>
          <w:tcPr>
            <w:tcW w:w="2676" w:type="dxa"/>
            <w:noWrap/>
            <w:vAlign w:val="center"/>
          </w:tcPr>
          <w:p w14:paraId="7593DB12">
            <w:pPr>
              <w:snapToGrid w:val="0"/>
              <w:spacing w:beforeLines="20"/>
              <w:ind w:firstLine="480" w:firstLineChars="200"/>
              <w:rPr>
                <w:rFonts w:ascii="宋体" w:hAnsi="宋体" w:cs="宋体"/>
                <w:kern w:val="0"/>
                <w:sz w:val="24"/>
                <w:szCs w:val="24"/>
                <w:lang w:val="zh-CN"/>
              </w:rPr>
            </w:pPr>
            <w:r>
              <w:rPr>
                <w:rFonts w:hint="eastAsia" w:ascii="宋体" w:hAnsi="宋体" w:cs="宋体"/>
                <w:kern w:val="0"/>
                <w:sz w:val="24"/>
                <w:szCs w:val="24"/>
                <w:lang w:val="zh-CN"/>
              </w:rPr>
              <w:t>4.有依法缴纳税收和社会保障金的良好记录</w:t>
            </w:r>
          </w:p>
        </w:tc>
        <w:tc>
          <w:tcPr>
            <w:tcW w:w="5714" w:type="dxa"/>
            <w:vMerge w:val="continue"/>
            <w:noWrap/>
            <w:vAlign w:val="center"/>
          </w:tcPr>
          <w:p w14:paraId="5E80C004">
            <w:pPr>
              <w:snapToGrid w:val="0"/>
              <w:spacing w:beforeLines="20"/>
              <w:ind w:firstLine="480" w:firstLineChars="200"/>
              <w:rPr>
                <w:rFonts w:ascii="宋体" w:hAnsi="宋体" w:cs="宋体"/>
                <w:kern w:val="0"/>
                <w:sz w:val="24"/>
                <w:szCs w:val="24"/>
              </w:rPr>
            </w:pPr>
          </w:p>
        </w:tc>
      </w:tr>
      <w:tr w14:paraId="7602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continue"/>
            <w:noWrap/>
            <w:vAlign w:val="center"/>
          </w:tcPr>
          <w:p w14:paraId="6C6B32A3">
            <w:pPr>
              <w:snapToGrid w:val="0"/>
              <w:spacing w:beforeLines="20"/>
              <w:ind w:firstLine="480" w:firstLineChars="200"/>
              <w:rPr>
                <w:rFonts w:ascii="宋体" w:hAnsi="宋体" w:cs="宋体"/>
                <w:kern w:val="0"/>
                <w:sz w:val="24"/>
                <w:szCs w:val="24"/>
              </w:rPr>
            </w:pPr>
          </w:p>
        </w:tc>
        <w:tc>
          <w:tcPr>
            <w:tcW w:w="924" w:type="dxa"/>
            <w:vMerge w:val="continue"/>
            <w:noWrap/>
            <w:vAlign w:val="center"/>
          </w:tcPr>
          <w:p w14:paraId="5D5737DC">
            <w:pPr>
              <w:snapToGrid w:val="0"/>
              <w:spacing w:beforeLines="20"/>
              <w:ind w:firstLine="480" w:firstLineChars="200"/>
              <w:rPr>
                <w:rFonts w:ascii="宋体" w:hAnsi="宋体" w:cs="宋体"/>
                <w:kern w:val="0"/>
                <w:sz w:val="24"/>
                <w:szCs w:val="24"/>
                <w:lang w:val="zh-CN"/>
              </w:rPr>
            </w:pPr>
          </w:p>
        </w:tc>
        <w:tc>
          <w:tcPr>
            <w:tcW w:w="2676" w:type="dxa"/>
            <w:noWrap/>
            <w:vAlign w:val="center"/>
          </w:tcPr>
          <w:p w14:paraId="6AF32AC9">
            <w:pPr>
              <w:snapToGrid w:val="0"/>
              <w:spacing w:beforeLines="20"/>
              <w:ind w:firstLine="480" w:firstLineChars="200"/>
              <w:rPr>
                <w:rFonts w:ascii="宋体" w:hAnsi="宋体" w:cs="宋体"/>
                <w:kern w:val="0"/>
                <w:sz w:val="24"/>
                <w:szCs w:val="24"/>
                <w:lang w:val="zh-CN"/>
              </w:rPr>
            </w:pPr>
            <w:r>
              <w:rPr>
                <w:rFonts w:hint="eastAsia" w:ascii="宋体" w:hAnsi="宋体" w:cs="宋体"/>
                <w:kern w:val="0"/>
                <w:sz w:val="24"/>
                <w:szCs w:val="24"/>
              </w:rPr>
              <w:t>5.参加政府采购活动前三年内，在经营活动中没有重大违法记录</w:t>
            </w:r>
          </w:p>
        </w:tc>
        <w:tc>
          <w:tcPr>
            <w:tcW w:w="5714" w:type="dxa"/>
            <w:vMerge w:val="continue"/>
            <w:noWrap/>
            <w:vAlign w:val="center"/>
          </w:tcPr>
          <w:p w14:paraId="3C88EEC2">
            <w:pPr>
              <w:snapToGrid w:val="0"/>
              <w:spacing w:beforeLines="20"/>
              <w:ind w:firstLine="480" w:firstLineChars="200"/>
              <w:rPr>
                <w:rFonts w:ascii="宋体" w:hAnsi="宋体" w:cs="宋体"/>
                <w:kern w:val="0"/>
                <w:sz w:val="24"/>
                <w:szCs w:val="24"/>
              </w:rPr>
            </w:pPr>
          </w:p>
        </w:tc>
      </w:tr>
      <w:tr w14:paraId="0EA1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81" w:type="dxa"/>
            <w:vMerge w:val="continue"/>
            <w:noWrap/>
            <w:vAlign w:val="center"/>
          </w:tcPr>
          <w:p w14:paraId="18881F20">
            <w:pPr>
              <w:snapToGrid w:val="0"/>
              <w:spacing w:beforeLines="20"/>
              <w:ind w:firstLine="480" w:firstLineChars="200"/>
              <w:rPr>
                <w:rFonts w:ascii="宋体" w:hAnsi="宋体" w:cs="宋体"/>
                <w:kern w:val="0"/>
                <w:sz w:val="24"/>
                <w:szCs w:val="24"/>
              </w:rPr>
            </w:pPr>
          </w:p>
        </w:tc>
        <w:tc>
          <w:tcPr>
            <w:tcW w:w="924" w:type="dxa"/>
            <w:vMerge w:val="continue"/>
            <w:noWrap/>
            <w:vAlign w:val="center"/>
          </w:tcPr>
          <w:p w14:paraId="462FBFFE">
            <w:pPr>
              <w:snapToGrid w:val="0"/>
              <w:spacing w:beforeLines="20"/>
              <w:ind w:firstLine="480" w:firstLineChars="200"/>
              <w:rPr>
                <w:rFonts w:ascii="宋体" w:hAnsi="宋体" w:cs="宋体"/>
                <w:kern w:val="0"/>
                <w:sz w:val="24"/>
                <w:szCs w:val="24"/>
              </w:rPr>
            </w:pPr>
          </w:p>
        </w:tc>
        <w:tc>
          <w:tcPr>
            <w:tcW w:w="2676" w:type="dxa"/>
            <w:noWrap/>
            <w:vAlign w:val="center"/>
          </w:tcPr>
          <w:p w14:paraId="4D08A9F0">
            <w:pPr>
              <w:snapToGrid w:val="0"/>
              <w:spacing w:beforeLines="20"/>
              <w:ind w:firstLine="480" w:firstLineChars="200"/>
              <w:rPr>
                <w:rFonts w:ascii="宋体" w:hAnsi="宋体" w:cs="宋体"/>
                <w:kern w:val="0"/>
                <w:sz w:val="24"/>
                <w:szCs w:val="24"/>
              </w:rPr>
            </w:pPr>
            <w:r>
              <w:rPr>
                <w:rFonts w:hint="eastAsia" w:ascii="宋体" w:hAnsi="宋体" w:cs="宋体"/>
                <w:kern w:val="0"/>
                <w:sz w:val="24"/>
                <w:szCs w:val="24"/>
              </w:rPr>
              <w:t>6.法律、行政法规规定的其他条件</w:t>
            </w:r>
          </w:p>
        </w:tc>
        <w:tc>
          <w:tcPr>
            <w:tcW w:w="5714" w:type="dxa"/>
            <w:noWrap/>
            <w:vAlign w:val="center"/>
          </w:tcPr>
          <w:p w14:paraId="60ED11C7">
            <w:pPr>
              <w:snapToGrid w:val="0"/>
              <w:spacing w:beforeLines="20"/>
              <w:ind w:firstLine="480" w:firstLineChars="200"/>
              <w:rPr>
                <w:rFonts w:ascii="宋体" w:hAnsi="宋体" w:cs="宋体"/>
                <w:kern w:val="0"/>
                <w:sz w:val="24"/>
                <w:szCs w:val="24"/>
              </w:rPr>
            </w:pPr>
            <w:r>
              <w:rPr>
                <w:rFonts w:hint="eastAsia" w:ascii="宋体" w:hAnsi="宋体" w:cs="宋体"/>
                <w:kern w:val="0"/>
                <w:sz w:val="24"/>
                <w:szCs w:val="24"/>
              </w:rPr>
              <w:t xml:space="preserve">            </w:t>
            </w:r>
          </w:p>
        </w:tc>
      </w:tr>
      <w:tr w14:paraId="55AA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81" w:type="dxa"/>
            <w:vMerge w:val="continue"/>
            <w:noWrap/>
            <w:vAlign w:val="center"/>
          </w:tcPr>
          <w:p w14:paraId="1F56D27D">
            <w:pPr>
              <w:snapToGrid w:val="0"/>
              <w:spacing w:beforeLines="20"/>
              <w:ind w:firstLine="480" w:firstLineChars="200"/>
              <w:rPr>
                <w:rFonts w:ascii="宋体" w:hAnsi="宋体" w:cs="宋体"/>
                <w:kern w:val="0"/>
                <w:sz w:val="24"/>
                <w:szCs w:val="24"/>
              </w:rPr>
            </w:pPr>
          </w:p>
        </w:tc>
        <w:tc>
          <w:tcPr>
            <w:tcW w:w="924" w:type="dxa"/>
            <w:vMerge w:val="continue"/>
            <w:noWrap/>
            <w:vAlign w:val="center"/>
          </w:tcPr>
          <w:p w14:paraId="68AA83FE">
            <w:pPr>
              <w:snapToGrid w:val="0"/>
              <w:spacing w:beforeLines="20"/>
              <w:ind w:firstLine="480" w:firstLineChars="200"/>
              <w:rPr>
                <w:rFonts w:ascii="宋体" w:hAnsi="宋体" w:cs="宋体"/>
                <w:kern w:val="0"/>
                <w:sz w:val="24"/>
                <w:szCs w:val="24"/>
              </w:rPr>
            </w:pPr>
          </w:p>
        </w:tc>
        <w:tc>
          <w:tcPr>
            <w:tcW w:w="2676" w:type="dxa"/>
            <w:noWrap/>
            <w:vAlign w:val="center"/>
          </w:tcPr>
          <w:p w14:paraId="5C1F2EFC">
            <w:pPr>
              <w:snapToGrid w:val="0"/>
              <w:spacing w:beforeLines="20"/>
              <w:ind w:firstLine="480" w:firstLineChars="200"/>
              <w:rPr>
                <w:rFonts w:ascii="宋体" w:hAnsi="宋体" w:cs="宋体"/>
                <w:kern w:val="0"/>
                <w:sz w:val="24"/>
                <w:szCs w:val="24"/>
              </w:rPr>
            </w:pPr>
            <w:r>
              <w:rPr>
                <w:rFonts w:hint="eastAsia" w:ascii="宋体" w:hAnsi="宋体" w:cs="宋体"/>
                <w:kern w:val="0"/>
                <w:sz w:val="24"/>
                <w:szCs w:val="24"/>
              </w:rPr>
              <w:t>7.本项目的特定资格要求</w:t>
            </w:r>
          </w:p>
        </w:tc>
        <w:tc>
          <w:tcPr>
            <w:tcW w:w="5714" w:type="dxa"/>
            <w:noWrap/>
            <w:vAlign w:val="center"/>
          </w:tcPr>
          <w:p w14:paraId="67F62C94">
            <w:pPr>
              <w:snapToGrid w:val="0"/>
              <w:spacing w:beforeLines="20"/>
              <w:ind w:firstLine="480" w:firstLineChars="200"/>
              <w:rPr>
                <w:rFonts w:ascii="宋体" w:hAnsi="宋体" w:cs="宋体"/>
                <w:kern w:val="0"/>
                <w:sz w:val="24"/>
                <w:szCs w:val="24"/>
              </w:rPr>
            </w:pPr>
            <w:r>
              <w:rPr>
                <w:rFonts w:hint="eastAsia" w:ascii="宋体" w:hAnsi="宋体" w:cs="宋体"/>
                <w:kern w:val="0"/>
                <w:sz w:val="24"/>
                <w:szCs w:val="24"/>
              </w:rPr>
              <w:t>按“第一篇三、供应商资格要求（三）本项目的特定资格要求”的要求提交（如果有）。</w:t>
            </w:r>
          </w:p>
        </w:tc>
      </w:tr>
      <w:tr w14:paraId="507D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805" w:type="dxa"/>
            <w:gridSpan w:val="2"/>
            <w:noWrap/>
            <w:vAlign w:val="center"/>
          </w:tcPr>
          <w:p w14:paraId="426B77D5">
            <w:pPr>
              <w:snapToGrid w:val="0"/>
              <w:spacing w:beforeLines="20"/>
              <w:ind w:firstLine="480" w:firstLineChars="200"/>
              <w:rPr>
                <w:rFonts w:ascii="宋体" w:hAnsi="宋体" w:cs="宋体"/>
                <w:kern w:val="0"/>
                <w:sz w:val="24"/>
                <w:szCs w:val="24"/>
              </w:rPr>
            </w:pPr>
            <w:r>
              <w:rPr>
                <w:rFonts w:hint="eastAsia" w:ascii="宋体" w:hAnsi="宋体" w:cs="宋体"/>
                <w:kern w:val="0"/>
                <w:sz w:val="24"/>
                <w:szCs w:val="24"/>
              </w:rPr>
              <w:t>（二）</w:t>
            </w:r>
          </w:p>
        </w:tc>
        <w:tc>
          <w:tcPr>
            <w:tcW w:w="2676" w:type="dxa"/>
            <w:noWrap/>
            <w:vAlign w:val="center"/>
          </w:tcPr>
          <w:p w14:paraId="7F3C63E1">
            <w:pPr>
              <w:snapToGrid w:val="0"/>
              <w:spacing w:beforeLines="20"/>
              <w:ind w:firstLine="480" w:firstLineChars="200"/>
              <w:rPr>
                <w:rFonts w:ascii="宋体" w:hAnsi="宋体" w:cs="宋体"/>
                <w:kern w:val="0"/>
                <w:sz w:val="24"/>
                <w:szCs w:val="24"/>
              </w:rPr>
            </w:pPr>
            <w:r>
              <w:rPr>
                <w:rFonts w:hint="eastAsia" w:ascii="宋体" w:hAnsi="宋体" w:cs="宋体"/>
                <w:sz w:val="24"/>
                <w:szCs w:val="24"/>
              </w:rPr>
              <w:t>落实政府采购政策需满足的资格要求</w:t>
            </w:r>
          </w:p>
        </w:tc>
        <w:tc>
          <w:tcPr>
            <w:tcW w:w="5714" w:type="dxa"/>
            <w:noWrap/>
            <w:vAlign w:val="center"/>
          </w:tcPr>
          <w:p w14:paraId="44B5B0E6">
            <w:pPr>
              <w:snapToGrid w:val="0"/>
              <w:spacing w:beforeLines="20"/>
              <w:ind w:firstLine="480" w:firstLineChars="200"/>
              <w:rPr>
                <w:rFonts w:ascii="宋体" w:hAnsi="宋体" w:cs="宋体"/>
                <w:kern w:val="0"/>
                <w:sz w:val="24"/>
                <w:szCs w:val="24"/>
              </w:rPr>
            </w:pPr>
            <w:r>
              <w:rPr>
                <w:rFonts w:hint="eastAsia" w:ascii="宋体" w:hAnsi="宋体" w:cs="宋体"/>
                <w:kern w:val="0"/>
                <w:sz w:val="24"/>
                <w:szCs w:val="24"/>
              </w:rPr>
              <w:t>按“第一篇三、供应商资格要求（二）本项目的特定资格要求”的要求提交（如果有）。</w:t>
            </w:r>
          </w:p>
        </w:tc>
      </w:tr>
    </w:tbl>
    <w:p w14:paraId="087622CB">
      <w:pPr>
        <w:snapToGrid w:val="0"/>
        <w:spacing w:beforeLines="20" w:line="360" w:lineRule="auto"/>
        <w:ind w:firstLine="480" w:firstLineChars="200"/>
        <w:rPr>
          <w:rFonts w:ascii="宋体" w:hAnsi="宋体" w:cs="宋体"/>
          <w:kern w:val="0"/>
          <w:sz w:val="24"/>
          <w:szCs w:val="24"/>
        </w:rPr>
      </w:pPr>
      <w:r>
        <w:rPr>
          <w:rFonts w:hint="eastAsia" w:ascii="宋体" w:hAnsi="宋体" w:cs="宋体"/>
          <w:kern w:val="0"/>
          <w:sz w:val="24"/>
          <w:szCs w:val="24"/>
        </w:rPr>
        <w:t>注：</w:t>
      </w:r>
    </w:p>
    <w:p w14:paraId="6849B192">
      <w:pPr>
        <w:snapToGrid w:val="0"/>
        <w:spacing w:beforeLines="20" w:line="360" w:lineRule="auto"/>
        <w:ind w:firstLine="480" w:firstLineChars="200"/>
        <w:rPr>
          <w:rFonts w:ascii="宋体" w:hAnsi="宋体" w:cs="宋体"/>
          <w:kern w:val="0"/>
          <w:sz w:val="24"/>
          <w:szCs w:val="24"/>
        </w:rPr>
      </w:pPr>
      <w:r>
        <w:rPr>
          <w:rFonts w:hint="eastAsia" w:ascii="宋体" w:hAnsi="宋体" w:cs="宋体"/>
          <w:kern w:val="0"/>
          <w:sz w:val="24"/>
          <w:szCs w:val="24"/>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w:t>
      </w:r>
      <w:r>
        <w:rPr>
          <w:rFonts w:hint="eastAsia" w:ascii="宋体" w:hAnsi="宋体" w:cs="宋体"/>
          <w:kern w:val="0"/>
          <w:sz w:val="24"/>
          <w:szCs w:val="24"/>
          <w:lang w:eastAsia="zh-CN"/>
        </w:rPr>
        <w:t>〈</w:t>
      </w:r>
      <w:r>
        <w:rPr>
          <w:rFonts w:hint="eastAsia" w:ascii="宋体" w:hAnsi="宋体" w:cs="宋体"/>
          <w:kern w:val="0"/>
          <w:sz w:val="24"/>
          <w:szCs w:val="24"/>
        </w:rPr>
        <w:t>中华人民共和国政府采购法实施条例</w:t>
      </w:r>
      <w:r>
        <w:rPr>
          <w:rFonts w:hint="eastAsia" w:ascii="宋体" w:hAnsi="宋体" w:cs="宋体"/>
          <w:kern w:val="0"/>
          <w:sz w:val="24"/>
          <w:szCs w:val="24"/>
          <w:lang w:eastAsia="zh-CN"/>
        </w:rPr>
        <w:t>〉</w:t>
      </w:r>
      <w:r>
        <w:rPr>
          <w:rFonts w:hint="eastAsia" w:ascii="宋体" w:hAnsi="宋体" w:cs="宋体"/>
          <w:kern w:val="0"/>
          <w:sz w:val="24"/>
          <w:szCs w:val="24"/>
        </w:rPr>
        <w:t>第十九条第一款“较大数额罚款”具体适用问题的意见》（财库〔2022〕3号）执行。供应商可于投标截止日期前通过“信用中国”网站</w:t>
      </w:r>
      <w:r>
        <w:rPr>
          <w:rFonts w:hint="eastAsia" w:ascii="宋体" w:hAnsi="宋体" w:cs="宋体"/>
          <w:kern w:val="0"/>
          <w:sz w:val="24"/>
          <w:szCs w:val="24"/>
          <w:lang w:eastAsia="zh-CN"/>
        </w:rPr>
        <w:t>（</w:t>
      </w:r>
      <w:r>
        <w:rPr>
          <w:rFonts w:hint="eastAsia" w:ascii="宋体" w:hAnsi="宋体" w:cs="宋体"/>
          <w:kern w:val="0"/>
          <w:sz w:val="24"/>
          <w:szCs w:val="24"/>
        </w:rPr>
        <w:t>www.creditchina.gov.cn</w:t>
      </w:r>
      <w:r>
        <w:rPr>
          <w:rFonts w:hint="eastAsia" w:ascii="宋体" w:hAnsi="宋体" w:cs="宋体"/>
          <w:kern w:val="0"/>
          <w:sz w:val="24"/>
          <w:szCs w:val="24"/>
          <w:lang w:eastAsia="zh-CN"/>
        </w:rPr>
        <w:t>）</w:t>
      </w:r>
      <w:r>
        <w:rPr>
          <w:rFonts w:hint="eastAsia" w:ascii="宋体" w:hAnsi="宋体" w:cs="宋体"/>
          <w:kern w:val="0"/>
          <w:sz w:val="24"/>
          <w:szCs w:val="24"/>
        </w:rPr>
        <w:t>、</w:t>
      </w:r>
      <w:r>
        <w:rPr>
          <w:rFonts w:hint="eastAsia" w:ascii="宋体" w:hAnsi="宋体" w:cs="宋体"/>
          <w:kern w:val="0"/>
          <w:sz w:val="24"/>
          <w:szCs w:val="24"/>
          <w:lang w:eastAsia="zh-CN"/>
        </w:rPr>
        <w:t>“中国政府采购网”（</w:t>
      </w:r>
      <w:r>
        <w:rPr>
          <w:rFonts w:hint="eastAsia" w:ascii="宋体" w:hAnsi="宋体" w:cs="宋体"/>
          <w:kern w:val="0"/>
          <w:sz w:val="24"/>
          <w:szCs w:val="24"/>
        </w:rPr>
        <w:t>www.ccgp.gov.cn</w:t>
      </w:r>
      <w:r>
        <w:rPr>
          <w:rFonts w:hint="eastAsia" w:ascii="宋体" w:hAnsi="宋体" w:cs="宋体"/>
          <w:kern w:val="0"/>
          <w:sz w:val="24"/>
          <w:szCs w:val="24"/>
          <w:lang w:eastAsia="zh-CN"/>
        </w:rPr>
        <w:t>）</w:t>
      </w:r>
      <w:r>
        <w:rPr>
          <w:rFonts w:hint="eastAsia" w:ascii="宋体" w:hAnsi="宋体" w:cs="宋体"/>
          <w:kern w:val="0"/>
          <w:sz w:val="24"/>
          <w:szCs w:val="24"/>
        </w:rPr>
        <w:t>等渠道查询信用记录。</w:t>
      </w:r>
    </w:p>
    <w:p w14:paraId="300B83B2">
      <w:pPr>
        <w:snapToGrid w:val="0"/>
        <w:spacing w:beforeLines="20" w:line="360" w:lineRule="auto"/>
        <w:ind w:firstLine="480" w:firstLineChars="200"/>
        <w:rPr>
          <w:rFonts w:ascii="宋体" w:hAnsi="宋体" w:cs="宋体"/>
          <w:kern w:val="0"/>
          <w:sz w:val="24"/>
          <w:szCs w:val="24"/>
        </w:rPr>
      </w:pPr>
      <w:r>
        <w:rPr>
          <w:rFonts w:hint="eastAsia" w:ascii="宋体" w:hAnsi="宋体" w:cs="宋体"/>
          <w:kern w:val="0"/>
          <w:sz w:val="24"/>
          <w:szCs w:val="24"/>
        </w:rPr>
        <w:t>2.符合性检查。依据网上竞采采购文件的规定，从响应文件的有效性、完整性和对网上竞采文件的响应程度进行审查，以确定是否对网上竞采文件的实质性要求作出响应。符合性检查资料表如下：</w:t>
      </w:r>
    </w:p>
    <w:tbl>
      <w:tblPr>
        <w:tblStyle w:val="24"/>
        <w:tblW w:w="0" w:type="auto"/>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00"/>
        <w:gridCol w:w="2161"/>
        <w:gridCol w:w="5292"/>
      </w:tblGrid>
      <w:tr w14:paraId="316E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1" w:type="dxa"/>
            <w:noWrap/>
            <w:vAlign w:val="center"/>
          </w:tcPr>
          <w:p w14:paraId="5128F838">
            <w:pPr>
              <w:spacing w:line="360" w:lineRule="auto"/>
              <w:jc w:val="center"/>
              <w:rPr>
                <w:rFonts w:ascii="宋体" w:hAnsi="宋体" w:cs="宋体"/>
                <w:b/>
                <w:kern w:val="0"/>
                <w:sz w:val="21"/>
                <w:szCs w:val="21"/>
              </w:rPr>
            </w:pPr>
            <w:r>
              <w:rPr>
                <w:rFonts w:hint="eastAsia" w:ascii="宋体" w:hAnsi="宋体" w:cs="宋体"/>
                <w:b/>
                <w:kern w:val="0"/>
                <w:sz w:val="21"/>
                <w:szCs w:val="21"/>
              </w:rPr>
              <w:t>序号</w:t>
            </w:r>
          </w:p>
        </w:tc>
        <w:tc>
          <w:tcPr>
            <w:tcW w:w="3661" w:type="dxa"/>
            <w:gridSpan w:val="2"/>
            <w:noWrap/>
            <w:vAlign w:val="center"/>
          </w:tcPr>
          <w:p w14:paraId="6FDA434B">
            <w:pPr>
              <w:spacing w:line="360" w:lineRule="auto"/>
              <w:jc w:val="center"/>
              <w:rPr>
                <w:rFonts w:ascii="宋体" w:hAnsi="宋体" w:cs="宋体"/>
                <w:b/>
                <w:kern w:val="0"/>
                <w:sz w:val="21"/>
                <w:szCs w:val="21"/>
              </w:rPr>
            </w:pPr>
            <w:r>
              <w:rPr>
                <w:rFonts w:hint="eastAsia" w:ascii="宋体" w:hAnsi="宋体" w:cs="宋体"/>
                <w:b/>
                <w:kern w:val="0"/>
                <w:sz w:val="21"/>
                <w:szCs w:val="21"/>
              </w:rPr>
              <w:t>评审因素</w:t>
            </w:r>
          </w:p>
        </w:tc>
        <w:tc>
          <w:tcPr>
            <w:tcW w:w="5292" w:type="dxa"/>
            <w:noWrap/>
            <w:vAlign w:val="center"/>
          </w:tcPr>
          <w:p w14:paraId="4CED80B6">
            <w:pPr>
              <w:spacing w:line="360" w:lineRule="auto"/>
              <w:jc w:val="center"/>
              <w:rPr>
                <w:rFonts w:ascii="宋体" w:hAnsi="宋体" w:cs="宋体"/>
                <w:b/>
                <w:kern w:val="0"/>
                <w:sz w:val="21"/>
                <w:szCs w:val="21"/>
              </w:rPr>
            </w:pPr>
            <w:r>
              <w:rPr>
                <w:rFonts w:hint="eastAsia" w:ascii="宋体" w:hAnsi="宋体" w:cs="宋体"/>
                <w:b/>
                <w:kern w:val="0"/>
                <w:sz w:val="21"/>
                <w:szCs w:val="21"/>
              </w:rPr>
              <w:t>评审标准</w:t>
            </w:r>
          </w:p>
        </w:tc>
      </w:tr>
      <w:tr w14:paraId="6566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61" w:type="dxa"/>
            <w:vMerge w:val="restart"/>
            <w:noWrap/>
            <w:vAlign w:val="center"/>
          </w:tcPr>
          <w:p w14:paraId="7DC6082F">
            <w:pPr>
              <w:spacing w:line="360" w:lineRule="auto"/>
              <w:jc w:val="center"/>
              <w:rPr>
                <w:rFonts w:ascii="宋体" w:hAnsi="宋体" w:cs="宋体"/>
                <w:kern w:val="0"/>
                <w:sz w:val="21"/>
                <w:szCs w:val="21"/>
              </w:rPr>
            </w:pPr>
            <w:r>
              <w:rPr>
                <w:rFonts w:hint="eastAsia" w:ascii="宋体" w:hAnsi="宋体" w:cs="宋体"/>
                <w:kern w:val="0"/>
                <w:sz w:val="21"/>
                <w:szCs w:val="21"/>
              </w:rPr>
              <w:t>1</w:t>
            </w:r>
          </w:p>
        </w:tc>
        <w:tc>
          <w:tcPr>
            <w:tcW w:w="1500" w:type="dxa"/>
            <w:vMerge w:val="restart"/>
            <w:noWrap/>
            <w:vAlign w:val="center"/>
          </w:tcPr>
          <w:p w14:paraId="764CFED1">
            <w:pPr>
              <w:spacing w:line="360" w:lineRule="auto"/>
              <w:rPr>
                <w:rFonts w:ascii="宋体" w:hAnsi="宋体" w:cs="宋体"/>
                <w:kern w:val="0"/>
                <w:sz w:val="21"/>
                <w:szCs w:val="21"/>
              </w:rPr>
            </w:pPr>
            <w:r>
              <w:rPr>
                <w:rFonts w:hint="eastAsia" w:ascii="宋体" w:hAnsi="宋体" w:cs="宋体"/>
                <w:kern w:val="0"/>
                <w:sz w:val="21"/>
                <w:szCs w:val="21"/>
              </w:rPr>
              <w:t>有效性审查</w:t>
            </w:r>
          </w:p>
        </w:tc>
        <w:tc>
          <w:tcPr>
            <w:tcW w:w="2161" w:type="dxa"/>
            <w:noWrap/>
            <w:vAlign w:val="center"/>
          </w:tcPr>
          <w:p w14:paraId="337F354D">
            <w:pPr>
              <w:spacing w:line="360" w:lineRule="auto"/>
              <w:rPr>
                <w:rFonts w:ascii="宋体" w:hAnsi="宋体" w:cs="宋体"/>
                <w:kern w:val="0"/>
                <w:sz w:val="21"/>
                <w:szCs w:val="21"/>
              </w:rPr>
            </w:pPr>
            <w:r>
              <w:rPr>
                <w:rFonts w:hint="eastAsia" w:ascii="宋体" w:hAnsi="宋体" w:cs="宋体"/>
                <w:sz w:val="21"/>
                <w:szCs w:val="21"/>
              </w:rPr>
              <w:t>响应文件签署或盖章</w:t>
            </w:r>
          </w:p>
        </w:tc>
        <w:tc>
          <w:tcPr>
            <w:tcW w:w="5292" w:type="dxa"/>
            <w:noWrap/>
            <w:vAlign w:val="center"/>
          </w:tcPr>
          <w:p w14:paraId="7BB30EC8">
            <w:pPr>
              <w:spacing w:line="360" w:lineRule="auto"/>
              <w:rPr>
                <w:rFonts w:ascii="宋体" w:hAnsi="宋体" w:cs="宋体"/>
                <w:kern w:val="0"/>
                <w:sz w:val="21"/>
                <w:szCs w:val="21"/>
              </w:rPr>
            </w:pPr>
            <w:r>
              <w:rPr>
                <w:rFonts w:hint="eastAsia" w:ascii="宋体" w:hAnsi="宋体" w:cs="宋体"/>
                <w:sz w:val="21"/>
                <w:szCs w:val="21"/>
              </w:rPr>
              <w:t>按电子竞采文件“第六篇响应文件编制要求”要求签署或盖章。</w:t>
            </w:r>
          </w:p>
        </w:tc>
      </w:tr>
      <w:tr w14:paraId="0669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61" w:type="dxa"/>
            <w:vMerge w:val="continue"/>
            <w:noWrap/>
            <w:vAlign w:val="center"/>
          </w:tcPr>
          <w:p w14:paraId="4AEA672C">
            <w:pPr>
              <w:spacing w:line="360" w:lineRule="auto"/>
              <w:jc w:val="center"/>
              <w:rPr>
                <w:rFonts w:ascii="宋体" w:hAnsi="宋体" w:cs="宋体"/>
                <w:kern w:val="0"/>
                <w:sz w:val="21"/>
                <w:szCs w:val="21"/>
              </w:rPr>
            </w:pPr>
          </w:p>
        </w:tc>
        <w:tc>
          <w:tcPr>
            <w:tcW w:w="1500" w:type="dxa"/>
            <w:vMerge w:val="continue"/>
            <w:noWrap/>
            <w:vAlign w:val="center"/>
          </w:tcPr>
          <w:p w14:paraId="1918C87A">
            <w:pPr>
              <w:spacing w:line="360" w:lineRule="auto"/>
              <w:rPr>
                <w:rFonts w:ascii="宋体" w:hAnsi="宋体" w:cs="宋体"/>
                <w:kern w:val="0"/>
                <w:sz w:val="21"/>
                <w:szCs w:val="21"/>
              </w:rPr>
            </w:pPr>
          </w:p>
        </w:tc>
        <w:tc>
          <w:tcPr>
            <w:tcW w:w="2161" w:type="dxa"/>
            <w:noWrap/>
            <w:vAlign w:val="center"/>
          </w:tcPr>
          <w:p w14:paraId="1228E64B">
            <w:pPr>
              <w:spacing w:line="360" w:lineRule="auto"/>
              <w:rPr>
                <w:rFonts w:ascii="宋体" w:hAnsi="宋体" w:cs="宋体"/>
                <w:sz w:val="21"/>
                <w:szCs w:val="21"/>
              </w:rPr>
            </w:pPr>
            <w:r>
              <w:rPr>
                <w:rFonts w:hint="eastAsia" w:ascii="宋体" w:hAnsi="宋体" w:cs="宋体"/>
                <w:sz w:val="21"/>
                <w:szCs w:val="21"/>
              </w:rPr>
              <w:t>法定代表人身份证明及授权委托书</w:t>
            </w:r>
          </w:p>
        </w:tc>
        <w:tc>
          <w:tcPr>
            <w:tcW w:w="5292" w:type="dxa"/>
            <w:noWrap/>
            <w:vAlign w:val="center"/>
          </w:tcPr>
          <w:p w14:paraId="0E673083">
            <w:pPr>
              <w:spacing w:line="360" w:lineRule="auto"/>
              <w:rPr>
                <w:rFonts w:ascii="宋体" w:hAnsi="宋体" w:cs="宋体"/>
                <w:sz w:val="21"/>
                <w:szCs w:val="21"/>
              </w:rPr>
            </w:pPr>
            <w:r>
              <w:rPr>
                <w:rFonts w:hint="eastAsia" w:ascii="宋体" w:hAnsi="宋体" w:cs="宋体"/>
                <w:sz w:val="21"/>
                <w:szCs w:val="21"/>
              </w:rPr>
              <w:t>法定代表人身份证明及授权委托书有效，符合电子竞采文件规定的格式，签署或盖章齐全。</w:t>
            </w:r>
          </w:p>
        </w:tc>
      </w:tr>
      <w:tr w14:paraId="208A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61" w:type="dxa"/>
            <w:vMerge w:val="continue"/>
            <w:noWrap/>
            <w:vAlign w:val="center"/>
          </w:tcPr>
          <w:p w14:paraId="68B2C0F8">
            <w:pPr>
              <w:spacing w:line="360" w:lineRule="auto"/>
              <w:jc w:val="center"/>
              <w:rPr>
                <w:rFonts w:ascii="宋体" w:hAnsi="宋体" w:cs="宋体"/>
                <w:kern w:val="0"/>
                <w:sz w:val="21"/>
                <w:szCs w:val="21"/>
              </w:rPr>
            </w:pPr>
          </w:p>
        </w:tc>
        <w:tc>
          <w:tcPr>
            <w:tcW w:w="1500" w:type="dxa"/>
            <w:vMerge w:val="continue"/>
            <w:noWrap/>
            <w:vAlign w:val="center"/>
          </w:tcPr>
          <w:p w14:paraId="0771D1CF">
            <w:pPr>
              <w:spacing w:line="360" w:lineRule="auto"/>
              <w:rPr>
                <w:rFonts w:ascii="宋体" w:hAnsi="宋体" w:cs="宋体"/>
                <w:kern w:val="0"/>
                <w:sz w:val="21"/>
                <w:szCs w:val="21"/>
              </w:rPr>
            </w:pPr>
          </w:p>
        </w:tc>
        <w:tc>
          <w:tcPr>
            <w:tcW w:w="2161" w:type="dxa"/>
            <w:noWrap/>
            <w:vAlign w:val="center"/>
          </w:tcPr>
          <w:p w14:paraId="66A4CBD6">
            <w:pPr>
              <w:spacing w:line="360" w:lineRule="auto"/>
              <w:rPr>
                <w:rFonts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方案</w:t>
            </w:r>
          </w:p>
        </w:tc>
        <w:tc>
          <w:tcPr>
            <w:tcW w:w="5292" w:type="dxa"/>
            <w:noWrap/>
            <w:vAlign w:val="center"/>
          </w:tcPr>
          <w:p w14:paraId="07B3E00A">
            <w:pPr>
              <w:spacing w:line="360" w:lineRule="auto"/>
              <w:rPr>
                <w:rFonts w:ascii="宋体" w:hAnsi="宋体" w:cs="宋体"/>
                <w:kern w:val="0"/>
                <w:sz w:val="21"/>
                <w:szCs w:val="21"/>
              </w:rPr>
            </w:pPr>
            <w:r>
              <w:rPr>
                <w:rFonts w:hint="eastAsia" w:ascii="宋体" w:hAnsi="宋体" w:cs="宋体"/>
                <w:sz w:val="21"/>
                <w:szCs w:val="21"/>
                <w:lang w:val="zh-CN"/>
              </w:rPr>
              <w:t>每个包只能有一个</w:t>
            </w:r>
            <w:r>
              <w:rPr>
                <w:rFonts w:hint="eastAsia" w:ascii="宋体" w:hAnsi="宋体" w:cs="宋体"/>
                <w:sz w:val="21"/>
                <w:szCs w:val="21"/>
              </w:rPr>
              <w:t>响应</w:t>
            </w:r>
            <w:r>
              <w:rPr>
                <w:rFonts w:hint="eastAsia" w:ascii="宋体" w:hAnsi="宋体" w:cs="宋体"/>
                <w:sz w:val="21"/>
                <w:szCs w:val="21"/>
                <w:lang w:val="zh-CN"/>
              </w:rPr>
              <w:t>方案。</w:t>
            </w:r>
          </w:p>
        </w:tc>
      </w:tr>
      <w:tr w14:paraId="4018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61" w:type="dxa"/>
            <w:vMerge w:val="continue"/>
            <w:noWrap/>
            <w:vAlign w:val="center"/>
          </w:tcPr>
          <w:p w14:paraId="39285443">
            <w:pPr>
              <w:spacing w:line="360" w:lineRule="auto"/>
              <w:jc w:val="center"/>
              <w:rPr>
                <w:rFonts w:ascii="宋体" w:hAnsi="宋体" w:cs="宋体"/>
                <w:kern w:val="0"/>
                <w:sz w:val="21"/>
                <w:szCs w:val="21"/>
              </w:rPr>
            </w:pPr>
          </w:p>
        </w:tc>
        <w:tc>
          <w:tcPr>
            <w:tcW w:w="1500" w:type="dxa"/>
            <w:vMerge w:val="continue"/>
            <w:noWrap/>
            <w:vAlign w:val="center"/>
          </w:tcPr>
          <w:p w14:paraId="6976A292">
            <w:pPr>
              <w:spacing w:line="360" w:lineRule="auto"/>
              <w:rPr>
                <w:rFonts w:ascii="宋体" w:hAnsi="宋体" w:cs="宋体"/>
                <w:kern w:val="0"/>
                <w:sz w:val="21"/>
                <w:szCs w:val="21"/>
              </w:rPr>
            </w:pPr>
          </w:p>
        </w:tc>
        <w:tc>
          <w:tcPr>
            <w:tcW w:w="2161" w:type="dxa"/>
            <w:noWrap/>
            <w:vAlign w:val="center"/>
          </w:tcPr>
          <w:p w14:paraId="3647A961">
            <w:pPr>
              <w:spacing w:line="360" w:lineRule="auto"/>
              <w:rPr>
                <w:rFonts w:ascii="宋体" w:hAnsi="宋体" w:cs="宋体"/>
                <w:sz w:val="21"/>
                <w:szCs w:val="21"/>
                <w:lang w:val="zh-CN"/>
              </w:rPr>
            </w:pPr>
            <w:r>
              <w:rPr>
                <w:rFonts w:hint="eastAsia" w:ascii="宋体" w:hAnsi="宋体" w:cs="宋体"/>
                <w:sz w:val="21"/>
                <w:szCs w:val="21"/>
              </w:rPr>
              <w:t>报价唯一</w:t>
            </w:r>
          </w:p>
        </w:tc>
        <w:tc>
          <w:tcPr>
            <w:tcW w:w="5292" w:type="dxa"/>
            <w:noWrap/>
            <w:vAlign w:val="center"/>
          </w:tcPr>
          <w:p w14:paraId="3455CA11">
            <w:pPr>
              <w:spacing w:line="360" w:lineRule="auto"/>
              <w:rPr>
                <w:rFonts w:ascii="宋体" w:hAnsi="宋体" w:cs="宋体"/>
                <w:kern w:val="0"/>
                <w:sz w:val="21"/>
                <w:szCs w:val="21"/>
              </w:rPr>
            </w:pPr>
            <w:r>
              <w:rPr>
                <w:rFonts w:hint="eastAsia" w:ascii="宋体" w:hAnsi="宋体" w:cs="宋体"/>
                <w:sz w:val="21"/>
                <w:szCs w:val="21"/>
              </w:rPr>
              <w:t>只能有一个有效报价，不得提交选择性报价。</w:t>
            </w:r>
          </w:p>
        </w:tc>
      </w:tr>
      <w:tr w14:paraId="2ADC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61" w:type="dxa"/>
            <w:noWrap/>
            <w:vAlign w:val="center"/>
          </w:tcPr>
          <w:p w14:paraId="243DBB58">
            <w:pPr>
              <w:spacing w:line="360" w:lineRule="auto"/>
              <w:jc w:val="center"/>
              <w:rPr>
                <w:rFonts w:ascii="宋体" w:hAnsi="宋体" w:cs="宋体"/>
                <w:kern w:val="0"/>
                <w:sz w:val="21"/>
                <w:szCs w:val="21"/>
              </w:rPr>
            </w:pPr>
            <w:r>
              <w:rPr>
                <w:rFonts w:hint="eastAsia" w:ascii="宋体" w:hAnsi="宋体" w:cs="宋体"/>
                <w:kern w:val="0"/>
                <w:sz w:val="21"/>
                <w:szCs w:val="21"/>
              </w:rPr>
              <w:t>2</w:t>
            </w:r>
          </w:p>
        </w:tc>
        <w:tc>
          <w:tcPr>
            <w:tcW w:w="1500" w:type="dxa"/>
            <w:noWrap/>
            <w:vAlign w:val="center"/>
          </w:tcPr>
          <w:p w14:paraId="2047A8E8">
            <w:pPr>
              <w:spacing w:line="360" w:lineRule="auto"/>
              <w:rPr>
                <w:rFonts w:ascii="宋体" w:hAnsi="宋体" w:cs="宋体"/>
                <w:kern w:val="0"/>
                <w:sz w:val="21"/>
                <w:szCs w:val="21"/>
              </w:rPr>
            </w:pPr>
            <w:r>
              <w:rPr>
                <w:rFonts w:hint="eastAsia" w:ascii="宋体" w:hAnsi="宋体" w:cs="宋体"/>
                <w:kern w:val="0"/>
                <w:sz w:val="21"/>
                <w:szCs w:val="21"/>
              </w:rPr>
              <w:t>完整性审查</w:t>
            </w:r>
          </w:p>
        </w:tc>
        <w:tc>
          <w:tcPr>
            <w:tcW w:w="2161" w:type="dxa"/>
            <w:noWrap/>
            <w:vAlign w:val="center"/>
          </w:tcPr>
          <w:p w14:paraId="7936DA2D">
            <w:pPr>
              <w:spacing w:line="360" w:lineRule="auto"/>
              <w:rPr>
                <w:rFonts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文件份数</w:t>
            </w:r>
          </w:p>
        </w:tc>
        <w:tc>
          <w:tcPr>
            <w:tcW w:w="5292" w:type="dxa"/>
            <w:noWrap/>
            <w:vAlign w:val="center"/>
          </w:tcPr>
          <w:p w14:paraId="3F0C790A">
            <w:pPr>
              <w:spacing w:line="360" w:lineRule="auto"/>
              <w:rPr>
                <w:rFonts w:ascii="宋体" w:hAnsi="宋体" w:cs="宋体"/>
                <w:kern w:val="0"/>
                <w:sz w:val="21"/>
                <w:szCs w:val="21"/>
              </w:rPr>
            </w:pPr>
            <w:r>
              <w:rPr>
                <w:rFonts w:hint="eastAsia" w:ascii="宋体" w:hAnsi="宋体" w:cs="宋体"/>
                <w:sz w:val="21"/>
                <w:szCs w:val="21"/>
              </w:rPr>
              <w:t>符合竞采文件要求。</w:t>
            </w:r>
          </w:p>
        </w:tc>
      </w:tr>
      <w:tr w14:paraId="1E0A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1" w:type="dxa"/>
            <w:vMerge w:val="restart"/>
            <w:noWrap/>
            <w:vAlign w:val="center"/>
          </w:tcPr>
          <w:p w14:paraId="5362FBE0">
            <w:pPr>
              <w:spacing w:line="360" w:lineRule="auto"/>
              <w:jc w:val="center"/>
              <w:rPr>
                <w:rFonts w:ascii="宋体" w:hAnsi="宋体" w:cs="宋体"/>
                <w:kern w:val="0"/>
                <w:sz w:val="21"/>
                <w:szCs w:val="21"/>
              </w:rPr>
            </w:pPr>
            <w:r>
              <w:rPr>
                <w:rFonts w:hint="eastAsia" w:ascii="宋体" w:hAnsi="宋体" w:cs="宋体"/>
                <w:kern w:val="0"/>
                <w:sz w:val="21"/>
                <w:szCs w:val="21"/>
              </w:rPr>
              <w:t>3</w:t>
            </w:r>
          </w:p>
        </w:tc>
        <w:tc>
          <w:tcPr>
            <w:tcW w:w="1500" w:type="dxa"/>
            <w:vMerge w:val="restart"/>
            <w:noWrap/>
            <w:vAlign w:val="center"/>
          </w:tcPr>
          <w:p w14:paraId="489BD835">
            <w:pPr>
              <w:spacing w:line="360" w:lineRule="auto"/>
              <w:rPr>
                <w:rFonts w:ascii="宋体" w:hAnsi="宋体" w:cs="宋体"/>
                <w:sz w:val="21"/>
                <w:szCs w:val="21"/>
                <w:lang w:val="zh-CN"/>
              </w:rPr>
            </w:pPr>
            <w:r>
              <w:rPr>
                <w:rFonts w:hint="eastAsia" w:ascii="宋体" w:hAnsi="宋体" w:cs="宋体"/>
                <w:kern w:val="0"/>
                <w:sz w:val="21"/>
                <w:szCs w:val="21"/>
              </w:rPr>
              <w:t>响应程度审查</w:t>
            </w:r>
          </w:p>
        </w:tc>
        <w:tc>
          <w:tcPr>
            <w:tcW w:w="2161" w:type="dxa"/>
            <w:noWrap/>
            <w:vAlign w:val="center"/>
          </w:tcPr>
          <w:p w14:paraId="3EB97F86">
            <w:pPr>
              <w:spacing w:line="360" w:lineRule="auto"/>
              <w:rPr>
                <w:rFonts w:ascii="宋体" w:hAnsi="宋体" w:cs="宋体"/>
                <w:kern w:val="0"/>
                <w:sz w:val="21"/>
                <w:szCs w:val="21"/>
              </w:rPr>
            </w:pPr>
            <w:r>
              <w:rPr>
                <w:rFonts w:hint="eastAsia" w:ascii="宋体" w:hAnsi="宋体" w:cs="宋体"/>
                <w:kern w:val="0"/>
                <w:sz w:val="21"/>
                <w:szCs w:val="21"/>
              </w:rPr>
              <w:t>实质性响应</w:t>
            </w:r>
          </w:p>
        </w:tc>
        <w:tc>
          <w:tcPr>
            <w:tcW w:w="5292" w:type="dxa"/>
            <w:noWrap/>
            <w:vAlign w:val="center"/>
          </w:tcPr>
          <w:p w14:paraId="25C5A127">
            <w:pPr>
              <w:spacing w:line="360" w:lineRule="auto"/>
              <w:rPr>
                <w:rFonts w:ascii="宋体" w:hAnsi="宋体" w:cs="宋体"/>
                <w:kern w:val="0"/>
                <w:sz w:val="21"/>
                <w:szCs w:val="21"/>
              </w:rPr>
            </w:pPr>
            <w:r>
              <w:rPr>
                <w:rFonts w:hint="eastAsia" w:ascii="宋体" w:hAnsi="宋体" w:cs="宋体"/>
                <w:kern w:val="0"/>
                <w:sz w:val="21"/>
                <w:szCs w:val="21"/>
              </w:rPr>
              <w:t>竞采文件第二篇、第三篇所有内容。</w:t>
            </w:r>
          </w:p>
        </w:tc>
      </w:tr>
      <w:tr w14:paraId="6433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61" w:type="dxa"/>
            <w:vMerge w:val="continue"/>
            <w:noWrap/>
            <w:vAlign w:val="center"/>
          </w:tcPr>
          <w:p w14:paraId="6E0E003B">
            <w:pPr>
              <w:spacing w:line="360" w:lineRule="auto"/>
              <w:jc w:val="center"/>
              <w:rPr>
                <w:rFonts w:ascii="宋体" w:hAnsi="宋体" w:cs="宋体"/>
                <w:kern w:val="0"/>
                <w:sz w:val="21"/>
                <w:szCs w:val="21"/>
              </w:rPr>
            </w:pPr>
          </w:p>
        </w:tc>
        <w:tc>
          <w:tcPr>
            <w:tcW w:w="1500" w:type="dxa"/>
            <w:vMerge w:val="continue"/>
            <w:noWrap/>
            <w:vAlign w:val="center"/>
          </w:tcPr>
          <w:p w14:paraId="19BABBCB">
            <w:pPr>
              <w:spacing w:line="360" w:lineRule="auto"/>
              <w:rPr>
                <w:rFonts w:ascii="宋体" w:hAnsi="宋体" w:cs="宋体"/>
                <w:sz w:val="21"/>
                <w:szCs w:val="21"/>
                <w:lang w:val="zh-CN"/>
              </w:rPr>
            </w:pPr>
          </w:p>
        </w:tc>
        <w:tc>
          <w:tcPr>
            <w:tcW w:w="2161" w:type="dxa"/>
            <w:noWrap/>
            <w:vAlign w:val="center"/>
          </w:tcPr>
          <w:p w14:paraId="1BE9BB70">
            <w:pPr>
              <w:spacing w:line="360" w:lineRule="auto"/>
              <w:rPr>
                <w:rFonts w:ascii="宋体" w:hAnsi="宋体" w:cs="宋体"/>
                <w:kern w:val="0"/>
                <w:sz w:val="21"/>
                <w:szCs w:val="21"/>
              </w:rPr>
            </w:pPr>
            <w:r>
              <w:rPr>
                <w:rFonts w:hint="eastAsia" w:ascii="宋体" w:hAnsi="宋体" w:cs="宋体"/>
                <w:kern w:val="0"/>
                <w:sz w:val="21"/>
                <w:szCs w:val="21"/>
              </w:rPr>
              <w:t>网上竞采有效期</w:t>
            </w:r>
          </w:p>
        </w:tc>
        <w:tc>
          <w:tcPr>
            <w:tcW w:w="5292" w:type="dxa"/>
            <w:noWrap/>
            <w:vAlign w:val="center"/>
          </w:tcPr>
          <w:p w14:paraId="7C522CD3">
            <w:pPr>
              <w:spacing w:line="360" w:lineRule="auto"/>
              <w:rPr>
                <w:rFonts w:ascii="宋体" w:hAnsi="宋体" w:cs="宋体"/>
                <w:kern w:val="0"/>
                <w:sz w:val="21"/>
                <w:szCs w:val="21"/>
              </w:rPr>
            </w:pPr>
            <w:r>
              <w:rPr>
                <w:rFonts w:hint="eastAsia" w:ascii="宋体" w:hAnsi="宋体" w:cs="宋体"/>
                <w:kern w:val="0"/>
                <w:sz w:val="21"/>
                <w:szCs w:val="21"/>
              </w:rPr>
              <w:t>响应文件及有关承诺文件有效期为提交响应文件截止时间起90天。</w:t>
            </w:r>
          </w:p>
        </w:tc>
      </w:tr>
    </w:tbl>
    <w:p w14:paraId="017E1C6B">
      <w:pPr>
        <w:pStyle w:val="15"/>
        <w:spacing w:beforeLines="20" w:line="360" w:lineRule="auto"/>
        <w:ind w:firstLine="480" w:firstLineChars="200"/>
        <w:rPr>
          <w:rFonts w:ascii="宋体" w:hAnsi="宋体" w:cs="宋体"/>
          <w:sz w:val="24"/>
          <w:szCs w:val="24"/>
        </w:rPr>
      </w:pPr>
      <w:r>
        <w:rPr>
          <w:rFonts w:hint="eastAsia" w:ascii="宋体" w:hAnsi="宋体" w:cs="宋体"/>
          <w:sz w:val="24"/>
          <w:szCs w:val="24"/>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CF468B">
      <w:pPr>
        <w:pStyle w:val="15"/>
        <w:spacing w:beforeLines="20" w:line="360" w:lineRule="auto"/>
        <w:ind w:firstLine="480" w:firstLineChars="200"/>
        <w:rPr>
          <w:rFonts w:ascii="宋体" w:hAnsi="宋体" w:cs="宋体"/>
          <w:sz w:val="24"/>
          <w:szCs w:val="24"/>
        </w:rPr>
      </w:pPr>
      <w:r>
        <w:rPr>
          <w:rFonts w:hint="eastAsia" w:ascii="宋体" w:hAnsi="宋体" w:cs="宋体"/>
          <w:sz w:val="24"/>
          <w:szCs w:val="24"/>
        </w:rPr>
        <w:t>（四）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7F82130">
      <w:pPr>
        <w:spacing w:beforeLines="20" w:line="360" w:lineRule="auto"/>
        <w:ind w:firstLine="480" w:firstLineChars="200"/>
        <w:rPr>
          <w:rFonts w:ascii="宋体" w:hAnsi="宋体" w:cs="宋体"/>
          <w:b/>
          <w:szCs w:val="28"/>
        </w:rPr>
      </w:pPr>
      <w:r>
        <w:rPr>
          <w:rFonts w:hint="eastAsia" w:ascii="宋体" w:hAnsi="宋体" w:cs="宋体"/>
          <w:sz w:val="24"/>
          <w:szCs w:val="24"/>
        </w:rPr>
        <w:t>（五）评审的依据为电子竞采文件和响应文件（含有效的补充文件）。评审小组判断响应文件对电子竞采文件的响应情况，仅基于响应文件本身而不靠外部证据。</w:t>
      </w:r>
    </w:p>
    <w:p w14:paraId="5F357EF8">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105" w:name="_Toc11063"/>
      <w:r>
        <w:rPr>
          <w:rFonts w:hint="eastAsia" w:ascii="宋体" w:hAnsi="宋体" w:eastAsia="宋体" w:cs="宋体"/>
          <w:sz w:val="24"/>
        </w:rPr>
        <w:t>二、评审方法</w:t>
      </w:r>
      <w:bookmarkEnd w:id="85"/>
      <w:bookmarkEnd w:id="105"/>
    </w:p>
    <w:p w14:paraId="5DFE7F50">
      <w:pPr>
        <w:pStyle w:val="15"/>
        <w:spacing w:line="360" w:lineRule="auto"/>
        <w:ind w:firstLine="480" w:firstLineChars="200"/>
        <w:rPr>
          <w:rFonts w:ascii="宋体" w:hAnsi="宋体" w:cs="宋体"/>
          <w:sz w:val="24"/>
          <w:szCs w:val="24"/>
        </w:rPr>
      </w:pPr>
      <w:r>
        <w:rPr>
          <w:rFonts w:hint="eastAsia" w:ascii="宋体" w:hAnsi="宋体" w:cs="宋体"/>
          <w:sz w:val="24"/>
          <w:szCs w:val="24"/>
        </w:rPr>
        <w:t>（一）综合评分法。</w:t>
      </w:r>
    </w:p>
    <w:p w14:paraId="648E5635">
      <w:pPr>
        <w:pStyle w:val="15"/>
        <w:spacing w:line="360" w:lineRule="auto"/>
        <w:ind w:firstLine="480" w:firstLineChars="200"/>
        <w:rPr>
          <w:rFonts w:ascii="宋体" w:hAnsi="宋体" w:cs="宋体"/>
          <w:sz w:val="24"/>
          <w:szCs w:val="24"/>
        </w:rPr>
      </w:pPr>
      <w:r>
        <w:rPr>
          <w:rFonts w:hint="eastAsia" w:ascii="宋体" w:hAnsi="宋体" w:cs="宋体"/>
          <w:sz w:val="24"/>
          <w:szCs w:val="24"/>
        </w:rPr>
        <w:t>综合评分法，是指响应文件满足电子竞采文件全部实质性要求且按照评审因素的量化指标评审得分最高的供应商为成交候选供应商的评审方法。供应商总得分为价格、技术、商务等评定因素分别按照相应权重值计算分项得分后相加，满分为100分。</w:t>
      </w:r>
    </w:p>
    <w:p w14:paraId="5D0F0542">
      <w:pPr>
        <w:pStyle w:val="15"/>
        <w:spacing w:line="360" w:lineRule="auto"/>
        <w:ind w:firstLine="480" w:firstLineChars="200"/>
        <w:rPr>
          <w:rFonts w:ascii="宋体" w:hAnsi="宋体" w:cs="宋体"/>
          <w:sz w:val="24"/>
          <w:szCs w:val="24"/>
        </w:rPr>
      </w:pPr>
      <w:r>
        <w:rPr>
          <w:rFonts w:hint="eastAsia" w:ascii="宋体" w:hAnsi="宋体" w:cs="宋体"/>
          <w:sz w:val="24"/>
          <w:szCs w:val="24"/>
        </w:rPr>
        <w:t>评审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按照报价由低到高的顺序排列推荐；若评审得分和报价均相同，按照服务指标优劣顺序排列推荐；若以上都相同的，按商务条款的优劣顺序排列推荐。</w:t>
      </w:r>
    </w:p>
    <w:p w14:paraId="103852E9">
      <w:pPr>
        <w:pStyle w:val="15"/>
        <w:spacing w:line="360" w:lineRule="auto"/>
        <w:ind w:firstLine="480" w:firstLineChars="200"/>
        <w:rPr>
          <w:rFonts w:ascii="宋体" w:hAnsi="宋体" w:cs="宋体"/>
          <w:sz w:val="24"/>
          <w:szCs w:val="24"/>
        </w:rPr>
      </w:pPr>
      <w:r>
        <w:rPr>
          <w:rFonts w:hint="eastAsia" w:ascii="宋体" w:hAnsi="宋体" w:cs="宋体"/>
          <w:sz w:val="24"/>
          <w:szCs w:val="24"/>
        </w:rPr>
        <w:t>（二）成交价格=成交供应商的报价。</w:t>
      </w:r>
    </w:p>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14:paraId="07E7A61E">
      <w:pPr>
        <w:pStyle w:val="15"/>
        <w:spacing w:line="360" w:lineRule="auto"/>
        <w:ind w:firstLine="480" w:firstLineChars="200"/>
        <w:rPr>
          <w:rFonts w:ascii="宋体" w:hAnsi="宋体" w:cs="宋体"/>
          <w:sz w:val="24"/>
          <w:szCs w:val="24"/>
        </w:rPr>
      </w:pPr>
      <w:bookmarkStart w:id="106" w:name="_Toc14239"/>
      <w:r>
        <w:rPr>
          <w:rFonts w:hint="eastAsia" w:ascii="宋体" w:hAnsi="宋体" w:cs="宋体"/>
          <w:sz w:val="24"/>
          <w:szCs w:val="24"/>
        </w:rPr>
        <w:t>（三）评审标准</w:t>
      </w:r>
      <w:bookmarkEnd w:id="106"/>
    </w:p>
    <w:tbl>
      <w:tblPr>
        <w:tblStyle w:val="24"/>
        <w:tblW w:w="10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179"/>
        <w:gridCol w:w="1018"/>
        <w:gridCol w:w="5477"/>
        <w:gridCol w:w="1785"/>
      </w:tblGrid>
      <w:tr w14:paraId="18B5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51" w:type="dxa"/>
            <w:noWrap/>
            <w:vAlign w:val="center"/>
          </w:tcPr>
          <w:p w14:paraId="4E77E98A">
            <w:pPr>
              <w:jc w:val="center"/>
              <w:rPr>
                <w:rFonts w:ascii="宋体" w:hAnsi="宋体" w:cs="宋体"/>
                <w:sz w:val="21"/>
                <w:szCs w:val="21"/>
              </w:rPr>
            </w:pPr>
            <w:bookmarkStart w:id="107" w:name="_Toc495592657"/>
            <w:r>
              <w:rPr>
                <w:rFonts w:hint="eastAsia" w:ascii="宋体" w:hAnsi="宋体" w:cs="宋体"/>
                <w:sz w:val="21"/>
                <w:szCs w:val="21"/>
              </w:rPr>
              <w:t>序号</w:t>
            </w:r>
          </w:p>
        </w:tc>
        <w:tc>
          <w:tcPr>
            <w:tcW w:w="1179" w:type="dxa"/>
            <w:noWrap/>
            <w:vAlign w:val="center"/>
          </w:tcPr>
          <w:p w14:paraId="20C6B951">
            <w:pPr>
              <w:jc w:val="center"/>
              <w:rPr>
                <w:rFonts w:ascii="宋体" w:hAnsi="宋体" w:cs="宋体"/>
                <w:sz w:val="21"/>
                <w:szCs w:val="21"/>
              </w:rPr>
            </w:pPr>
            <w:r>
              <w:rPr>
                <w:rFonts w:hint="eastAsia" w:ascii="宋体" w:hAnsi="宋体" w:cs="宋体"/>
                <w:sz w:val="21"/>
                <w:szCs w:val="21"/>
              </w:rPr>
              <w:t>评分因素</w:t>
            </w:r>
          </w:p>
          <w:p w14:paraId="50900981">
            <w:pPr>
              <w:jc w:val="center"/>
              <w:rPr>
                <w:rFonts w:ascii="宋体" w:hAnsi="宋体" w:cs="宋体"/>
                <w:sz w:val="21"/>
                <w:szCs w:val="21"/>
              </w:rPr>
            </w:pPr>
            <w:r>
              <w:rPr>
                <w:rFonts w:hint="eastAsia" w:ascii="宋体" w:hAnsi="宋体" w:cs="宋体"/>
                <w:sz w:val="21"/>
                <w:szCs w:val="21"/>
              </w:rPr>
              <w:t>及权重</w:t>
            </w:r>
          </w:p>
        </w:tc>
        <w:tc>
          <w:tcPr>
            <w:tcW w:w="1018" w:type="dxa"/>
            <w:noWrap/>
            <w:vAlign w:val="center"/>
          </w:tcPr>
          <w:p w14:paraId="64EAB8DF">
            <w:pPr>
              <w:jc w:val="center"/>
              <w:rPr>
                <w:rFonts w:ascii="宋体" w:hAnsi="宋体" w:cs="宋体"/>
                <w:sz w:val="21"/>
                <w:szCs w:val="21"/>
              </w:rPr>
            </w:pPr>
            <w:r>
              <w:rPr>
                <w:rFonts w:hint="eastAsia" w:ascii="宋体" w:hAnsi="宋体" w:cs="宋体"/>
                <w:sz w:val="21"/>
                <w:szCs w:val="21"/>
              </w:rPr>
              <w:t>分值</w:t>
            </w:r>
          </w:p>
        </w:tc>
        <w:tc>
          <w:tcPr>
            <w:tcW w:w="5477" w:type="dxa"/>
            <w:noWrap/>
            <w:vAlign w:val="center"/>
          </w:tcPr>
          <w:p w14:paraId="71807252">
            <w:pPr>
              <w:jc w:val="center"/>
              <w:rPr>
                <w:rFonts w:ascii="宋体" w:hAnsi="宋体" w:cs="宋体"/>
                <w:sz w:val="21"/>
                <w:szCs w:val="21"/>
              </w:rPr>
            </w:pPr>
            <w:r>
              <w:rPr>
                <w:rFonts w:hint="eastAsia" w:ascii="宋体" w:hAnsi="宋体" w:cs="宋体"/>
                <w:sz w:val="21"/>
                <w:szCs w:val="21"/>
              </w:rPr>
              <w:t>评分标准</w:t>
            </w:r>
          </w:p>
        </w:tc>
        <w:tc>
          <w:tcPr>
            <w:tcW w:w="1785" w:type="dxa"/>
            <w:noWrap/>
            <w:vAlign w:val="center"/>
          </w:tcPr>
          <w:p w14:paraId="74387F1C">
            <w:pPr>
              <w:jc w:val="center"/>
              <w:rPr>
                <w:rFonts w:ascii="宋体" w:hAnsi="宋体" w:cs="宋体"/>
                <w:sz w:val="21"/>
                <w:szCs w:val="21"/>
              </w:rPr>
            </w:pPr>
            <w:r>
              <w:rPr>
                <w:rFonts w:hint="eastAsia" w:ascii="宋体" w:hAnsi="宋体" w:cs="宋体"/>
                <w:sz w:val="21"/>
                <w:szCs w:val="21"/>
              </w:rPr>
              <w:t>说明</w:t>
            </w:r>
          </w:p>
        </w:tc>
      </w:tr>
      <w:tr w14:paraId="0B21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551" w:type="dxa"/>
            <w:noWrap/>
            <w:vAlign w:val="center"/>
          </w:tcPr>
          <w:p w14:paraId="3D231B5A">
            <w:pPr>
              <w:jc w:val="center"/>
              <w:rPr>
                <w:rFonts w:ascii="宋体" w:hAnsi="宋体" w:cs="宋体"/>
                <w:sz w:val="21"/>
                <w:szCs w:val="21"/>
                <w:highlight w:val="none"/>
              </w:rPr>
            </w:pPr>
            <w:r>
              <w:rPr>
                <w:rFonts w:hint="eastAsia" w:ascii="宋体" w:hAnsi="宋体" w:cs="宋体"/>
                <w:sz w:val="21"/>
                <w:szCs w:val="21"/>
                <w:highlight w:val="none"/>
              </w:rPr>
              <w:t>1</w:t>
            </w:r>
          </w:p>
        </w:tc>
        <w:tc>
          <w:tcPr>
            <w:tcW w:w="1179" w:type="dxa"/>
            <w:noWrap/>
            <w:vAlign w:val="center"/>
          </w:tcPr>
          <w:p w14:paraId="3C23E838">
            <w:pPr>
              <w:jc w:val="center"/>
              <w:rPr>
                <w:rFonts w:ascii="宋体" w:hAnsi="宋体" w:cs="宋体"/>
                <w:sz w:val="21"/>
                <w:szCs w:val="21"/>
                <w:highlight w:val="none"/>
              </w:rPr>
            </w:pPr>
            <w:r>
              <w:rPr>
                <w:rFonts w:hint="eastAsia" w:ascii="宋体" w:hAnsi="宋体" w:cs="宋体"/>
                <w:sz w:val="21"/>
                <w:szCs w:val="21"/>
                <w:highlight w:val="none"/>
              </w:rPr>
              <w:t>竞采报价（30%）</w:t>
            </w:r>
          </w:p>
        </w:tc>
        <w:tc>
          <w:tcPr>
            <w:tcW w:w="1018" w:type="dxa"/>
            <w:noWrap/>
            <w:vAlign w:val="center"/>
          </w:tcPr>
          <w:p w14:paraId="2A16703B">
            <w:pPr>
              <w:jc w:val="center"/>
              <w:rPr>
                <w:rFonts w:ascii="宋体" w:hAnsi="宋体" w:cs="宋体"/>
                <w:sz w:val="21"/>
                <w:szCs w:val="21"/>
                <w:highlight w:val="none"/>
              </w:rPr>
            </w:pPr>
            <w:r>
              <w:rPr>
                <w:rFonts w:hint="eastAsia" w:ascii="宋体" w:hAnsi="宋体" w:cs="宋体"/>
                <w:sz w:val="21"/>
                <w:szCs w:val="21"/>
                <w:highlight w:val="none"/>
              </w:rPr>
              <w:t>30分</w:t>
            </w:r>
          </w:p>
        </w:tc>
        <w:tc>
          <w:tcPr>
            <w:tcW w:w="5477" w:type="dxa"/>
            <w:noWrap/>
            <w:vAlign w:val="center"/>
          </w:tcPr>
          <w:p w14:paraId="751B3D02">
            <w:pPr>
              <w:ind w:firstLine="420" w:firstLineChars="200"/>
              <w:rPr>
                <w:rFonts w:ascii="宋体" w:hAnsi="宋体" w:cs="宋体"/>
                <w:sz w:val="21"/>
                <w:szCs w:val="21"/>
                <w:highlight w:val="none"/>
              </w:rPr>
            </w:pPr>
            <w:r>
              <w:rPr>
                <w:rFonts w:hint="eastAsia" w:ascii="宋体" w:hAnsi="宋体" w:cs="宋体"/>
                <w:sz w:val="21"/>
                <w:szCs w:val="21"/>
                <w:highlight w:val="none"/>
              </w:rPr>
              <w:t>满足资格性、符合性要求且报价最低的供应商的价格为评标基准价，按照下列公式计算每个供应商的报价得分。</w:t>
            </w:r>
          </w:p>
          <w:p w14:paraId="3D7C9A85">
            <w:pPr>
              <w:ind w:firstLine="420" w:firstLineChars="200"/>
              <w:rPr>
                <w:rFonts w:ascii="宋体" w:hAnsi="宋体" w:cs="宋体"/>
                <w:sz w:val="21"/>
                <w:szCs w:val="21"/>
                <w:highlight w:val="none"/>
              </w:rPr>
            </w:pPr>
            <w:r>
              <w:rPr>
                <w:rFonts w:hint="eastAsia" w:ascii="宋体" w:hAnsi="宋体" w:cs="宋体"/>
                <w:sz w:val="21"/>
                <w:szCs w:val="21"/>
                <w:highlight w:val="none"/>
              </w:rPr>
              <w:t>竞采报价得分=（评标基准价/竞采报价）×价格权值×100。</w:t>
            </w:r>
          </w:p>
        </w:tc>
        <w:tc>
          <w:tcPr>
            <w:tcW w:w="1785" w:type="dxa"/>
            <w:noWrap/>
            <w:vAlign w:val="center"/>
          </w:tcPr>
          <w:p w14:paraId="15DA0FAE">
            <w:pPr>
              <w:ind w:firstLine="420" w:firstLineChars="200"/>
              <w:rPr>
                <w:rFonts w:ascii="宋体" w:hAnsi="宋体" w:cs="宋体"/>
                <w:sz w:val="21"/>
                <w:szCs w:val="21"/>
                <w:highlight w:val="none"/>
              </w:rPr>
            </w:pPr>
            <w:r>
              <w:rPr>
                <w:rFonts w:hint="eastAsia" w:ascii="宋体" w:hAnsi="宋体" w:cs="宋体"/>
                <w:sz w:val="21"/>
                <w:szCs w:val="21"/>
                <w:highlight w:val="none"/>
              </w:rPr>
              <w:t>高于本次采购限价为无效报价。</w:t>
            </w:r>
          </w:p>
        </w:tc>
      </w:tr>
      <w:tr w14:paraId="14CA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51" w:type="dxa"/>
            <w:vMerge w:val="restart"/>
            <w:noWrap/>
            <w:vAlign w:val="center"/>
          </w:tcPr>
          <w:p w14:paraId="08E07257">
            <w:pPr>
              <w:jc w:val="center"/>
              <w:rPr>
                <w:rFonts w:ascii="宋体" w:hAnsi="宋体" w:cs="宋体"/>
                <w:sz w:val="21"/>
                <w:szCs w:val="21"/>
                <w:highlight w:val="none"/>
              </w:rPr>
            </w:pPr>
            <w:r>
              <w:rPr>
                <w:rFonts w:hint="eastAsia" w:ascii="宋体" w:hAnsi="宋体" w:cs="宋体"/>
                <w:sz w:val="21"/>
                <w:szCs w:val="21"/>
                <w:highlight w:val="none"/>
              </w:rPr>
              <w:t>2</w:t>
            </w:r>
          </w:p>
        </w:tc>
        <w:tc>
          <w:tcPr>
            <w:tcW w:w="1179" w:type="dxa"/>
            <w:vMerge w:val="restart"/>
            <w:noWrap/>
            <w:vAlign w:val="center"/>
          </w:tcPr>
          <w:p w14:paraId="26A8C42B">
            <w:pPr>
              <w:rPr>
                <w:rFonts w:ascii="宋体" w:hAnsi="宋体" w:cs="宋体"/>
                <w:sz w:val="21"/>
                <w:szCs w:val="21"/>
                <w:highlight w:val="none"/>
              </w:rPr>
            </w:pPr>
            <w:r>
              <w:rPr>
                <w:rFonts w:hint="eastAsia" w:ascii="宋体" w:hAnsi="宋体" w:cs="宋体"/>
                <w:sz w:val="21"/>
                <w:szCs w:val="21"/>
                <w:highlight w:val="none"/>
              </w:rPr>
              <w:t>服务部分（60%）</w:t>
            </w:r>
          </w:p>
        </w:tc>
        <w:tc>
          <w:tcPr>
            <w:tcW w:w="1018" w:type="dxa"/>
            <w:noWrap/>
            <w:vAlign w:val="center"/>
          </w:tcPr>
          <w:p w14:paraId="14517583">
            <w:pPr>
              <w:rPr>
                <w:rFonts w:ascii="宋体" w:hAnsi="宋体" w:cs="宋体"/>
                <w:sz w:val="21"/>
                <w:szCs w:val="21"/>
                <w:highlight w:val="none"/>
              </w:rPr>
            </w:pPr>
            <w:r>
              <w:rPr>
                <w:rFonts w:hint="eastAsia" w:ascii="宋体" w:hAnsi="宋体" w:cs="宋体"/>
                <w:sz w:val="21"/>
                <w:szCs w:val="21"/>
                <w:highlight w:val="none"/>
              </w:rPr>
              <w:t>监理服务方案</w:t>
            </w:r>
          </w:p>
          <w:p w14:paraId="4A7281EC">
            <w:pPr>
              <w:rPr>
                <w:rFonts w:ascii="宋体" w:hAnsi="宋体" w:cs="宋体"/>
                <w:sz w:val="21"/>
                <w:szCs w:val="21"/>
                <w:highlight w:val="none"/>
              </w:rPr>
            </w:pPr>
            <w:r>
              <w:rPr>
                <w:rFonts w:hint="eastAsia" w:ascii="宋体" w:hAnsi="宋体" w:cs="宋体"/>
                <w:sz w:val="21"/>
                <w:szCs w:val="21"/>
                <w:highlight w:val="none"/>
              </w:rPr>
              <w:t>（15分）</w:t>
            </w:r>
          </w:p>
        </w:tc>
        <w:tc>
          <w:tcPr>
            <w:tcW w:w="5477" w:type="dxa"/>
            <w:noWrap/>
            <w:vAlign w:val="center"/>
          </w:tcPr>
          <w:p w14:paraId="4069DD2F">
            <w:pPr>
              <w:ind w:firstLine="420" w:firstLineChars="200"/>
              <w:rPr>
                <w:rFonts w:ascii="宋体" w:hAnsi="宋体" w:cs="宋体"/>
                <w:sz w:val="21"/>
                <w:szCs w:val="21"/>
                <w:highlight w:val="none"/>
              </w:rPr>
            </w:pPr>
            <w:r>
              <w:rPr>
                <w:rFonts w:hint="eastAsia" w:ascii="宋体" w:hAnsi="宋体" w:cs="宋体"/>
                <w:sz w:val="21"/>
                <w:szCs w:val="21"/>
                <w:highlight w:val="none"/>
              </w:rPr>
              <w:t>供应商根据对本项目的理解，提供“监理服务方案”，方案内容包括但不限于：①监理范围、监理内容；②监理依据、监理工作目标；③监理工作程序、方法和制度；④</w:t>
            </w:r>
            <w:r>
              <w:rPr>
                <w:rFonts w:hint="eastAsia" w:ascii="宋体" w:hAnsi="宋体" w:cs="宋体"/>
                <w:sz w:val="21"/>
                <w:szCs w:val="21"/>
                <w:highlight w:val="none"/>
                <w:lang w:eastAsia="zh-CN"/>
              </w:rPr>
              <w:t>从监理</w:t>
            </w:r>
            <w:r>
              <w:rPr>
                <w:rFonts w:hint="eastAsia" w:ascii="宋体" w:hAnsi="宋体" w:cs="宋体"/>
                <w:sz w:val="21"/>
                <w:szCs w:val="21"/>
                <w:highlight w:val="none"/>
              </w:rPr>
              <w:t>工作重点、难点分析及合理化建议等方面进行比较。</w:t>
            </w:r>
          </w:p>
          <w:p w14:paraId="3FFB6B6A">
            <w:pPr>
              <w:ind w:firstLine="420" w:firstLineChars="200"/>
              <w:rPr>
                <w:rFonts w:ascii="宋体" w:hAnsi="宋体" w:cs="宋体"/>
                <w:sz w:val="21"/>
                <w:szCs w:val="21"/>
                <w:highlight w:val="none"/>
              </w:rPr>
            </w:pPr>
            <w:r>
              <w:rPr>
                <w:rFonts w:hint="eastAsia" w:ascii="宋体" w:hAnsi="宋体" w:cs="宋体"/>
                <w:sz w:val="21"/>
                <w:szCs w:val="21"/>
                <w:highlight w:val="none"/>
              </w:rPr>
              <w:t>方案内容不存在瑕疵，得15分；</w:t>
            </w:r>
          </w:p>
          <w:p w14:paraId="11E39BA2">
            <w:pPr>
              <w:ind w:firstLine="420" w:firstLineChars="200"/>
              <w:rPr>
                <w:rFonts w:ascii="宋体" w:hAnsi="宋体" w:cs="宋体"/>
                <w:sz w:val="21"/>
                <w:szCs w:val="21"/>
                <w:highlight w:val="none"/>
              </w:rPr>
            </w:pPr>
            <w:r>
              <w:rPr>
                <w:rFonts w:hint="eastAsia" w:ascii="宋体" w:hAnsi="宋体" w:cs="宋体"/>
                <w:sz w:val="21"/>
                <w:szCs w:val="21"/>
                <w:highlight w:val="none"/>
              </w:rPr>
              <w:t>内容存在1处瑕疵，得10分；</w:t>
            </w:r>
          </w:p>
          <w:p w14:paraId="6DDE4838">
            <w:pPr>
              <w:ind w:firstLine="420" w:firstLineChars="200"/>
              <w:rPr>
                <w:rFonts w:ascii="宋体" w:hAnsi="宋体" w:cs="宋体"/>
                <w:sz w:val="21"/>
                <w:szCs w:val="21"/>
                <w:highlight w:val="none"/>
              </w:rPr>
            </w:pPr>
            <w:r>
              <w:rPr>
                <w:rFonts w:hint="eastAsia" w:ascii="宋体" w:hAnsi="宋体" w:cs="宋体"/>
                <w:sz w:val="21"/>
                <w:szCs w:val="21"/>
                <w:highlight w:val="none"/>
              </w:rPr>
              <w:t>内容存在2处瑕疵，得5分；</w:t>
            </w:r>
          </w:p>
          <w:p w14:paraId="5358B12E">
            <w:pPr>
              <w:ind w:firstLine="420" w:firstLineChars="200"/>
              <w:rPr>
                <w:rFonts w:ascii="宋体" w:hAnsi="宋体" w:cs="宋体"/>
                <w:sz w:val="21"/>
                <w:szCs w:val="21"/>
                <w:highlight w:val="none"/>
              </w:rPr>
            </w:pPr>
            <w:r>
              <w:rPr>
                <w:rFonts w:hint="eastAsia" w:ascii="宋体" w:hAnsi="宋体" w:cs="宋体"/>
                <w:sz w:val="21"/>
                <w:szCs w:val="21"/>
                <w:highlight w:val="none"/>
              </w:rPr>
              <w:t>内容存在3处及以上瑕疵，得1分</w:t>
            </w:r>
            <w:r>
              <w:rPr>
                <w:rFonts w:hint="eastAsia" w:ascii="宋体" w:hAnsi="宋体" w:cs="宋体"/>
                <w:sz w:val="21"/>
                <w:szCs w:val="21"/>
                <w:highlight w:val="none"/>
                <w:lang w:eastAsia="zh-CN"/>
              </w:rPr>
              <w:t>。</w:t>
            </w:r>
          </w:p>
          <w:p w14:paraId="2E6E1A7F">
            <w:pPr>
              <w:ind w:firstLine="420" w:firstLineChars="200"/>
              <w:rPr>
                <w:rFonts w:ascii="宋体" w:hAnsi="宋体" w:cs="宋体"/>
                <w:sz w:val="21"/>
                <w:szCs w:val="21"/>
                <w:highlight w:val="none"/>
              </w:rPr>
            </w:pPr>
            <w:r>
              <w:rPr>
                <w:rFonts w:hint="eastAsia" w:ascii="宋体" w:hAnsi="宋体" w:cs="宋体"/>
                <w:sz w:val="21"/>
                <w:szCs w:val="21"/>
                <w:highlight w:val="none"/>
              </w:rPr>
              <w:t>章节缺失或不提供得0分。</w:t>
            </w:r>
          </w:p>
        </w:tc>
        <w:tc>
          <w:tcPr>
            <w:tcW w:w="1785" w:type="dxa"/>
            <w:vMerge w:val="restart"/>
            <w:noWrap/>
            <w:vAlign w:val="center"/>
          </w:tcPr>
          <w:p w14:paraId="2F280AFD">
            <w:pPr>
              <w:rPr>
                <w:rFonts w:ascii="宋体" w:hAnsi="宋体" w:cs="宋体"/>
                <w:sz w:val="21"/>
                <w:szCs w:val="21"/>
                <w:highlight w:val="none"/>
              </w:rPr>
            </w:pPr>
          </w:p>
          <w:p w14:paraId="65B2FC5A">
            <w:pPr>
              <w:rPr>
                <w:rFonts w:ascii="宋体" w:hAnsi="宋体" w:cs="宋体"/>
                <w:sz w:val="21"/>
                <w:szCs w:val="21"/>
                <w:highlight w:val="none"/>
              </w:rPr>
            </w:pPr>
          </w:p>
          <w:p w14:paraId="10E11AE2">
            <w:pPr>
              <w:rPr>
                <w:rFonts w:ascii="宋体" w:hAnsi="宋体" w:cs="宋体"/>
                <w:sz w:val="21"/>
                <w:szCs w:val="21"/>
                <w:highlight w:val="none"/>
                <w:lang w:val="zh-TW"/>
              </w:rPr>
            </w:pPr>
            <w:r>
              <w:rPr>
                <w:rFonts w:hint="eastAsia" w:ascii="宋体" w:hAnsi="宋体" w:cs="宋体"/>
                <w:sz w:val="21"/>
                <w:szCs w:val="21"/>
                <w:highlight w:val="none"/>
                <w:lang w:val="zh-TW"/>
              </w:rPr>
              <w:t>方案所称的瑕疵是指：</w:t>
            </w:r>
          </w:p>
          <w:p w14:paraId="06B86151">
            <w:pPr>
              <w:rPr>
                <w:rFonts w:ascii="宋体" w:hAnsi="宋体" w:cs="宋体"/>
                <w:sz w:val="21"/>
                <w:szCs w:val="21"/>
                <w:highlight w:val="none"/>
                <w:lang w:val="zh-TW"/>
              </w:rPr>
            </w:pPr>
            <w:r>
              <w:rPr>
                <w:rFonts w:hint="eastAsia" w:ascii="宋体" w:hAnsi="宋体" w:cs="宋体"/>
                <w:sz w:val="21"/>
                <w:szCs w:val="21"/>
                <w:highlight w:val="none"/>
                <w:lang w:val="zh-TW"/>
              </w:rPr>
              <w:t>1.要素欠缺、仅有标题而无实质意义叙述内容、内容表述不完整、缺少关键分析点；</w:t>
            </w:r>
          </w:p>
          <w:p w14:paraId="23437EF2">
            <w:pPr>
              <w:rPr>
                <w:rFonts w:ascii="宋体" w:hAnsi="宋体" w:cs="宋体"/>
                <w:sz w:val="21"/>
                <w:szCs w:val="21"/>
                <w:highlight w:val="none"/>
                <w:lang w:val="zh-TW"/>
              </w:rPr>
            </w:pPr>
            <w:r>
              <w:rPr>
                <w:rFonts w:hint="eastAsia" w:ascii="宋体" w:hAnsi="宋体" w:cs="宋体"/>
                <w:sz w:val="21"/>
                <w:szCs w:val="21"/>
                <w:highlight w:val="none"/>
                <w:lang w:val="zh-TW"/>
              </w:rPr>
              <w:t>2.缺乏科学合理性，存在逻辑漏洞、常识错误；</w:t>
            </w:r>
          </w:p>
          <w:p w14:paraId="20BD3989">
            <w:pPr>
              <w:rPr>
                <w:rFonts w:ascii="宋体" w:hAnsi="宋体" w:cs="宋体"/>
                <w:sz w:val="21"/>
                <w:szCs w:val="21"/>
                <w:highlight w:val="none"/>
                <w:lang w:val="zh-TW"/>
              </w:rPr>
            </w:pPr>
            <w:r>
              <w:rPr>
                <w:rFonts w:hint="eastAsia" w:ascii="宋体" w:hAnsi="宋体" w:cs="宋体"/>
                <w:sz w:val="21"/>
                <w:szCs w:val="21"/>
                <w:highlight w:val="none"/>
                <w:lang w:val="zh-TW"/>
              </w:rPr>
              <w:t>3.内容表述前后矛盾、无连贯性；</w:t>
            </w:r>
          </w:p>
          <w:p w14:paraId="2BEA3C49">
            <w:pPr>
              <w:rPr>
                <w:rFonts w:ascii="宋体" w:hAnsi="宋体" w:cs="宋体"/>
                <w:sz w:val="21"/>
                <w:szCs w:val="21"/>
                <w:highlight w:val="none"/>
                <w:lang w:val="zh-TW"/>
              </w:rPr>
            </w:pPr>
            <w:r>
              <w:rPr>
                <w:rFonts w:hint="eastAsia" w:ascii="宋体" w:hAnsi="宋体" w:cs="宋体"/>
                <w:sz w:val="21"/>
                <w:szCs w:val="21"/>
                <w:highlight w:val="none"/>
                <w:lang w:val="zh-TW"/>
              </w:rPr>
              <w:t>4.方案不适用本项目特性、非专门针对本项目制定、方案相关内容不利于项目目标实现；</w:t>
            </w:r>
          </w:p>
          <w:p w14:paraId="0854A1BB">
            <w:pPr>
              <w:rPr>
                <w:rFonts w:ascii="宋体" w:hAnsi="宋体" w:cs="宋体"/>
                <w:sz w:val="21"/>
                <w:szCs w:val="21"/>
                <w:highlight w:val="none"/>
                <w:lang w:val="zh-TW"/>
              </w:rPr>
            </w:pPr>
            <w:r>
              <w:rPr>
                <w:rFonts w:hint="eastAsia" w:ascii="宋体" w:hAnsi="宋体" w:cs="宋体"/>
                <w:sz w:val="21"/>
                <w:szCs w:val="21"/>
                <w:highlight w:val="none"/>
                <w:lang w:val="zh-TW"/>
              </w:rPr>
              <w:t>5.方案内容中包含其他项目名称，或出现与本项目不相关的其他内容；</w:t>
            </w:r>
          </w:p>
          <w:p w14:paraId="6696340D">
            <w:pPr>
              <w:rPr>
                <w:rFonts w:ascii="宋体" w:hAnsi="宋体" w:cs="宋体"/>
                <w:sz w:val="21"/>
                <w:szCs w:val="21"/>
                <w:highlight w:val="none"/>
                <w:lang w:val="zh-TW"/>
              </w:rPr>
            </w:pPr>
            <w:r>
              <w:rPr>
                <w:rFonts w:hint="eastAsia" w:ascii="宋体" w:hAnsi="宋体" w:cs="宋体"/>
                <w:sz w:val="21"/>
                <w:szCs w:val="21"/>
                <w:highlight w:val="none"/>
                <w:lang w:val="zh-TW"/>
              </w:rPr>
              <w:t>6.内容空泛，无具体方法或内容；</w:t>
            </w:r>
          </w:p>
          <w:p w14:paraId="2E15DC49">
            <w:pPr>
              <w:rPr>
                <w:rFonts w:ascii="宋体" w:hAnsi="宋体" w:cs="宋体"/>
                <w:sz w:val="21"/>
                <w:szCs w:val="21"/>
                <w:highlight w:val="none"/>
              </w:rPr>
            </w:pPr>
            <w:r>
              <w:rPr>
                <w:rFonts w:hint="eastAsia" w:ascii="宋体" w:hAnsi="宋体" w:cs="宋体"/>
                <w:sz w:val="21"/>
                <w:szCs w:val="21"/>
                <w:highlight w:val="none"/>
                <w:lang w:val="zh-TW"/>
              </w:rPr>
              <w:t>7.现有条件下不可能实现的情形。</w:t>
            </w:r>
          </w:p>
        </w:tc>
      </w:tr>
      <w:tr w14:paraId="237C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51" w:type="dxa"/>
            <w:vMerge w:val="continue"/>
            <w:noWrap/>
            <w:vAlign w:val="center"/>
          </w:tcPr>
          <w:p w14:paraId="45311434">
            <w:pPr>
              <w:jc w:val="center"/>
              <w:rPr>
                <w:rFonts w:ascii="宋体" w:hAnsi="宋体" w:cs="宋体"/>
                <w:sz w:val="21"/>
                <w:szCs w:val="21"/>
                <w:highlight w:val="none"/>
              </w:rPr>
            </w:pPr>
          </w:p>
        </w:tc>
        <w:tc>
          <w:tcPr>
            <w:tcW w:w="1179" w:type="dxa"/>
            <w:vMerge w:val="continue"/>
            <w:noWrap/>
            <w:vAlign w:val="center"/>
          </w:tcPr>
          <w:p w14:paraId="3C8C7FB4">
            <w:pPr>
              <w:rPr>
                <w:rFonts w:ascii="宋体" w:hAnsi="宋体" w:cs="宋体"/>
                <w:sz w:val="21"/>
                <w:szCs w:val="21"/>
                <w:highlight w:val="none"/>
              </w:rPr>
            </w:pPr>
          </w:p>
        </w:tc>
        <w:tc>
          <w:tcPr>
            <w:tcW w:w="1018" w:type="dxa"/>
            <w:noWrap/>
            <w:vAlign w:val="center"/>
          </w:tcPr>
          <w:p w14:paraId="09E472D9">
            <w:pPr>
              <w:rPr>
                <w:rFonts w:ascii="宋体" w:hAnsi="宋体" w:cs="宋体"/>
                <w:sz w:val="21"/>
                <w:szCs w:val="21"/>
                <w:highlight w:val="none"/>
              </w:rPr>
            </w:pPr>
            <w:r>
              <w:rPr>
                <w:rFonts w:hint="eastAsia" w:ascii="宋体" w:hAnsi="宋体" w:cs="宋体"/>
                <w:sz w:val="21"/>
                <w:szCs w:val="21"/>
                <w:highlight w:val="none"/>
              </w:rPr>
              <w:t>服务保障措施方案</w:t>
            </w:r>
          </w:p>
          <w:p w14:paraId="48E0ADD8">
            <w:pPr>
              <w:rPr>
                <w:rFonts w:ascii="宋体" w:hAnsi="宋体" w:cs="宋体"/>
                <w:sz w:val="21"/>
                <w:szCs w:val="21"/>
                <w:highlight w:val="none"/>
              </w:rPr>
            </w:pPr>
            <w:r>
              <w:rPr>
                <w:rFonts w:hint="eastAsia" w:ascii="宋体" w:hAnsi="宋体" w:cs="宋体"/>
                <w:sz w:val="21"/>
                <w:szCs w:val="21"/>
                <w:highlight w:val="none"/>
              </w:rPr>
              <w:t>（15分）</w:t>
            </w:r>
          </w:p>
        </w:tc>
        <w:tc>
          <w:tcPr>
            <w:tcW w:w="5477" w:type="dxa"/>
            <w:noWrap/>
            <w:vAlign w:val="center"/>
          </w:tcPr>
          <w:p w14:paraId="58B0BBDD">
            <w:pPr>
              <w:ind w:firstLine="420" w:firstLineChars="200"/>
              <w:rPr>
                <w:rFonts w:ascii="宋体" w:hAnsi="宋体" w:cs="宋体"/>
                <w:sz w:val="21"/>
                <w:szCs w:val="21"/>
                <w:highlight w:val="none"/>
                <w:lang w:val="zh-CN"/>
              </w:rPr>
            </w:pPr>
            <w:r>
              <w:rPr>
                <w:rFonts w:hint="eastAsia" w:ascii="宋体" w:hAnsi="宋体" w:cs="宋体"/>
                <w:sz w:val="21"/>
                <w:szCs w:val="21"/>
                <w:highlight w:val="none"/>
              </w:rPr>
              <w:t>供应商根据对本项目的理解，提供“服务保障措施方案”，方案内容包括但不限于：①质量、进度、造价、安全、环保监理措施；</w:t>
            </w:r>
            <w:r>
              <w:rPr>
                <w:rFonts w:hint="eastAsia" w:ascii="宋体" w:hAnsi="宋体" w:cs="宋体"/>
                <w:sz w:val="21"/>
                <w:szCs w:val="21"/>
                <w:highlight w:val="none"/>
                <w:lang w:val="zh-CN"/>
              </w:rPr>
              <w:t>②监理组织协调内容及措施</w:t>
            </w:r>
            <w:r>
              <w:rPr>
                <w:rFonts w:hint="eastAsia" w:ascii="宋体" w:hAnsi="宋体" w:cs="宋体"/>
                <w:sz w:val="21"/>
                <w:szCs w:val="21"/>
                <w:highlight w:val="none"/>
              </w:rPr>
              <w:t>；③合同、信息管理方案；④</w:t>
            </w:r>
            <w:r>
              <w:rPr>
                <w:rFonts w:hint="eastAsia" w:ascii="宋体" w:hAnsi="宋体" w:cs="宋体"/>
                <w:sz w:val="21"/>
                <w:szCs w:val="21"/>
                <w:highlight w:val="none"/>
                <w:lang w:eastAsia="zh-CN"/>
              </w:rPr>
              <w:t>从服务</w:t>
            </w:r>
            <w:r>
              <w:rPr>
                <w:rFonts w:hint="eastAsia" w:ascii="宋体" w:hAnsi="宋体" w:cs="宋体"/>
                <w:sz w:val="21"/>
                <w:szCs w:val="21"/>
                <w:highlight w:val="none"/>
              </w:rPr>
              <w:t>承诺</w:t>
            </w:r>
            <w:r>
              <w:rPr>
                <w:rFonts w:hint="eastAsia" w:ascii="宋体" w:hAnsi="宋体" w:cs="宋体"/>
                <w:sz w:val="21"/>
                <w:szCs w:val="21"/>
                <w:highlight w:val="none"/>
                <w:lang w:val="zh-CN"/>
              </w:rPr>
              <w:t>等方面进行评审。</w:t>
            </w:r>
          </w:p>
          <w:p w14:paraId="0086F53B">
            <w:pPr>
              <w:ind w:firstLine="420" w:firstLineChars="200"/>
              <w:rPr>
                <w:rFonts w:ascii="宋体" w:hAnsi="宋体" w:cs="宋体"/>
                <w:sz w:val="21"/>
                <w:szCs w:val="21"/>
                <w:highlight w:val="none"/>
              </w:rPr>
            </w:pPr>
            <w:r>
              <w:rPr>
                <w:rFonts w:hint="eastAsia" w:ascii="宋体" w:hAnsi="宋体" w:cs="宋体"/>
                <w:sz w:val="21"/>
                <w:szCs w:val="21"/>
                <w:highlight w:val="none"/>
              </w:rPr>
              <w:t>方案内容不存在瑕疵，得15分；</w:t>
            </w:r>
          </w:p>
          <w:p w14:paraId="38776E9F">
            <w:pPr>
              <w:ind w:firstLine="420" w:firstLineChars="200"/>
              <w:rPr>
                <w:rFonts w:ascii="宋体" w:hAnsi="宋体" w:cs="宋体"/>
                <w:sz w:val="21"/>
                <w:szCs w:val="21"/>
                <w:highlight w:val="none"/>
              </w:rPr>
            </w:pPr>
            <w:r>
              <w:rPr>
                <w:rFonts w:hint="eastAsia" w:ascii="宋体" w:hAnsi="宋体" w:cs="宋体"/>
                <w:sz w:val="21"/>
                <w:szCs w:val="21"/>
                <w:highlight w:val="none"/>
              </w:rPr>
              <w:t>内容存在1处瑕疵，得10分；</w:t>
            </w:r>
          </w:p>
          <w:p w14:paraId="6162E762">
            <w:pPr>
              <w:ind w:firstLine="420" w:firstLineChars="200"/>
              <w:rPr>
                <w:rFonts w:ascii="宋体" w:hAnsi="宋体" w:cs="宋体"/>
                <w:sz w:val="21"/>
                <w:szCs w:val="21"/>
                <w:highlight w:val="none"/>
              </w:rPr>
            </w:pPr>
            <w:r>
              <w:rPr>
                <w:rFonts w:hint="eastAsia" w:ascii="宋体" w:hAnsi="宋体" w:cs="宋体"/>
                <w:sz w:val="21"/>
                <w:szCs w:val="21"/>
                <w:highlight w:val="none"/>
              </w:rPr>
              <w:t>内容存在2处瑕疵，得5分；</w:t>
            </w:r>
          </w:p>
          <w:p w14:paraId="47BDCD99">
            <w:pPr>
              <w:ind w:firstLine="420" w:firstLineChars="200"/>
              <w:rPr>
                <w:rFonts w:ascii="宋体" w:hAnsi="宋体" w:cs="宋体"/>
                <w:sz w:val="21"/>
                <w:szCs w:val="21"/>
                <w:highlight w:val="none"/>
              </w:rPr>
            </w:pPr>
            <w:r>
              <w:rPr>
                <w:rFonts w:hint="eastAsia" w:ascii="宋体" w:hAnsi="宋体" w:cs="宋体"/>
                <w:sz w:val="21"/>
                <w:szCs w:val="21"/>
                <w:highlight w:val="none"/>
              </w:rPr>
              <w:t>内容存在3处及以上瑕疵，得1分</w:t>
            </w:r>
            <w:r>
              <w:rPr>
                <w:rFonts w:hint="eastAsia" w:ascii="宋体" w:hAnsi="宋体" w:cs="宋体"/>
                <w:sz w:val="21"/>
                <w:szCs w:val="21"/>
                <w:highlight w:val="none"/>
                <w:lang w:eastAsia="zh-CN"/>
              </w:rPr>
              <w:t>。</w:t>
            </w:r>
          </w:p>
          <w:p w14:paraId="51FE42FF">
            <w:pPr>
              <w:ind w:firstLine="420" w:firstLineChars="200"/>
              <w:rPr>
                <w:rFonts w:ascii="宋体" w:hAnsi="宋体" w:cs="宋体"/>
                <w:sz w:val="21"/>
                <w:szCs w:val="21"/>
                <w:highlight w:val="none"/>
              </w:rPr>
            </w:pPr>
            <w:r>
              <w:rPr>
                <w:rFonts w:hint="eastAsia" w:ascii="宋体" w:hAnsi="宋体" w:cs="宋体"/>
                <w:sz w:val="21"/>
                <w:szCs w:val="21"/>
                <w:highlight w:val="none"/>
              </w:rPr>
              <w:t>章节缺失或不提供得0分。</w:t>
            </w:r>
          </w:p>
        </w:tc>
        <w:tc>
          <w:tcPr>
            <w:tcW w:w="1785" w:type="dxa"/>
            <w:vMerge w:val="continue"/>
            <w:noWrap/>
            <w:vAlign w:val="center"/>
          </w:tcPr>
          <w:p w14:paraId="24C7ECC4">
            <w:pPr>
              <w:rPr>
                <w:rFonts w:ascii="宋体" w:hAnsi="宋体" w:cs="宋体"/>
                <w:sz w:val="21"/>
                <w:szCs w:val="21"/>
                <w:highlight w:val="none"/>
              </w:rPr>
            </w:pPr>
          </w:p>
        </w:tc>
      </w:tr>
      <w:tr w14:paraId="5DE7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1" w:type="dxa"/>
            <w:vMerge w:val="continue"/>
            <w:noWrap/>
            <w:vAlign w:val="center"/>
          </w:tcPr>
          <w:p w14:paraId="4EBD4C8F">
            <w:pPr>
              <w:jc w:val="center"/>
              <w:rPr>
                <w:rFonts w:ascii="宋体" w:hAnsi="宋体" w:cs="宋体"/>
                <w:sz w:val="21"/>
                <w:szCs w:val="21"/>
                <w:highlight w:val="none"/>
              </w:rPr>
            </w:pPr>
          </w:p>
        </w:tc>
        <w:tc>
          <w:tcPr>
            <w:tcW w:w="1179" w:type="dxa"/>
            <w:vMerge w:val="continue"/>
            <w:noWrap/>
            <w:vAlign w:val="center"/>
          </w:tcPr>
          <w:p w14:paraId="192C64DE">
            <w:pPr>
              <w:rPr>
                <w:rFonts w:ascii="宋体" w:hAnsi="宋体" w:cs="宋体"/>
                <w:sz w:val="21"/>
                <w:szCs w:val="21"/>
                <w:highlight w:val="none"/>
              </w:rPr>
            </w:pPr>
          </w:p>
        </w:tc>
        <w:tc>
          <w:tcPr>
            <w:tcW w:w="1018" w:type="dxa"/>
            <w:noWrap/>
            <w:vAlign w:val="center"/>
          </w:tcPr>
          <w:p w14:paraId="377597DF">
            <w:pPr>
              <w:rPr>
                <w:rFonts w:ascii="宋体" w:hAnsi="宋体" w:cs="宋体"/>
                <w:sz w:val="21"/>
                <w:szCs w:val="21"/>
                <w:highlight w:val="none"/>
              </w:rPr>
            </w:pPr>
            <w:r>
              <w:rPr>
                <w:rFonts w:hint="eastAsia" w:ascii="宋体" w:hAnsi="宋体" w:cs="宋体"/>
                <w:sz w:val="21"/>
                <w:szCs w:val="21"/>
                <w:highlight w:val="none"/>
              </w:rPr>
              <w:t>人员配备及管理方案</w:t>
            </w:r>
            <w:r>
              <w:rPr>
                <w:rFonts w:hint="eastAsia" w:ascii="宋体" w:hAnsi="宋体" w:cs="宋体"/>
                <w:sz w:val="21"/>
                <w:szCs w:val="21"/>
                <w:highlight w:val="none"/>
                <w:lang w:val="zh-TW"/>
              </w:rPr>
              <w:t>（</w:t>
            </w:r>
            <w:r>
              <w:rPr>
                <w:rFonts w:hint="eastAsia" w:ascii="宋体" w:hAnsi="宋体" w:cs="宋体"/>
                <w:sz w:val="21"/>
                <w:szCs w:val="21"/>
                <w:highlight w:val="none"/>
              </w:rPr>
              <w:t>15分</w:t>
            </w:r>
            <w:r>
              <w:rPr>
                <w:rFonts w:hint="eastAsia" w:ascii="宋体" w:hAnsi="宋体" w:cs="宋体"/>
                <w:sz w:val="21"/>
                <w:szCs w:val="21"/>
                <w:highlight w:val="none"/>
                <w:lang w:val="zh-TW"/>
              </w:rPr>
              <w:t>）</w:t>
            </w:r>
          </w:p>
        </w:tc>
        <w:tc>
          <w:tcPr>
            <w:tcW w:w="5477" w:type="dxa"/>
            <w:noWrap/>
            <w:vAlign w:val="center"/>
          </w:tcPr>
          <w:p w14:paraId="20E9C3FE">
            <w:pPr>
              <w:ind w:firstLine="420" w:firstLineChars="200"/>
              <w:rPr>
                <w:rFonts w:ascii="宋体" w:hAnsi="宋体" w:cs="宋体"/>
                <w:sz w:val="21"/>
                <w:szCs w:val="21"/>
                <w:highlight w:val="none"/>
              </w:rPr>
            </w:pPr>
            <w:r>
              <w:rPr>
                <w:rFonts w:hint="eastAsia" w:ascii="宋体" w:hAnsi="宋体" w:cs="宋体"/>
                <w:sz w:val="21"/>
                <w:szCs w:val="21"/>
                <w:highlight w:val="none"/>
              </w:rPr>
              <w:t>供应商根据对本项目的理解，提供“人员配备及管理方案”</w:t>
            </w:r>
            <w:r>
              <w:rPr>
                <w:rFonts w:hint="eastAsia" w:ascii="宋体" w:hAnsi="宋体" w:cs="宋体"/>
                <w:sz w:val="21"/>
                <w:szCs w:val="21"/>
                <w:highlight w:val="none"/>
                <w:lang w:eastAsia="zh-CN"/>
              </w:rPr>
              <w:t>，方案</w:t>
            </w:r>
            <w:r>
              <w:rPr>
                <w:rFonts w:hint="eastAsia" w:ascii="宋体" w:hAnsi="宋体" w:cs="宋体"/>
                <w:sz w:val="21"/>
                <w:szCs w:val="21"/>
                <w:highlight w:val="none"/>
              </w:rPr>
              <w:t>内容包括但不限于：①人员组织架构；②人员岗位分工；③监理机构设置和岗位职责等方面进行评审。</w:t>
            </w:r>
          </w:p>
          <w:p w14:paraId="2B03FBF6">
            <w:pPr>
              <w:ind w:firstLine="420" w:firstLineChars="200"/>
              <w:rPr>
                <w:rFonts w:ascii="宋体" w:hAnsi="宋体" w:cs="宋体"/>
                <w:sz w:val="21"/>
                <w:szCs w:val="21"/>
                <w:highlight w:val="none"/>
              </w:rPr>
            </w:pPr>
            <w:r>
              <w:rPr>
                <w:rFonts w:hint="eastAsia" w:ascii="宋体" w:hAnsi="宋体" w:cs="宋体"/>
                <w:sz w:val="21"/>
                <w:szCs w:val="21"/>
                <w:highlight w:val="none"/>
              </w:rPr>
              <w:t>方案内容不存在瑕疵，得15分；</w:t>
            </w:r>
          </w:p>
          <w:p w14:paraId="399B672B">
            <w:pPr>
              <w:ind w:firstLine="420" w:firstLineChars="200"/>
              <w:rPr>
                <w:rFonts w:ascii="宋体" w:hAnsi="宋体" w:cs="宋体"/>
                <w:sz w:val="21"/>
                <w:szCs w:val="21"/>
                <w:highlight w:val="none"/>
              </w:rPr>
            </w:pPr>
            <w:r>
              <w:rPr>
                <w:rFonts w:hint="eastAsia" w:ascii="宋体" w:hAnsi="宋体" w:cs="宋体"/>
                <w:sz w:val="21"/>
                <w:szCs w:val="21"/>
                <w:highlight w:val="none"/>
              </w:rPr>
              <w:t>内容存在1处瑕疵，得10分；</w:t>
            </w:r>
          </w:p>
          <w:p w14:paraId="6E29D072">
            <w:pPr>
              <w:ind w:firstLine="420" w:firstLineChars="200"/>
              <w:rPr>
                <w:rFonts w:ascii="宋体" w:hAnsi="宋体" w:cs="宋体"/>
                <w:sz w:val="21"/>
                <w:szCs w:val="21"/>
                <w:highlight w:val="none"/>
              </w:rPr>
            </w:pPr>
            <w:r>
              <w:rPr>
                <w:rFonts w:hint="eastAsia" w:ascii="宋体" w:hAnsi="宋体" w:cs="宋体"/>
                <w:sz w:val="21"/>
                <w:szCs w:val="21"/>
                <w:highlight w:val="none"/>
              </w:rPr>
              <w:t>内容存在2处瑕疵，得5分；</w:t>
            </w:r>
          </w:p>
          <w:p w14:paraId="39D7E7E6">
            <w:pPr>
              <w:ind w:firstLine="420" w:firstLineChars="200"/>
              <w:rPr>
                <w:rFonts w:ascii="宋体" w:hAnsi="宋体" w:cs="宋体"/>
                <w:sz w:val="21"/>
                <w:szCs w:val="21"/>
                <w:highlight w:val="none"/>
              </w:rPr>
            </w:pPr>
            <w:r>
              <w:rPr>
                <w:rFonts w:hint="eastAsia" w:ascii="宋体" w:hAnsi="宋体" w:cs="宋体"/>
                <w:sz w:val="21"/>
                <w:szCs w:val="21"/>
                <w:highlight w:val="none"/>
              </w:rPr>
              <w:t>内容存在3处及以上瑕疵，得1分</w:t>
            </w:r>
            <w:r>
              <w:rPr>
                <w:rFonts w:hint="eastAsia" w:ascii="宋体" w:hAnsi="宋体" w:cs="宋体"/>
                <w:sz w:val="21"/>
                <w:szCs w:val="21"/>
                <w:highlight w:val="none"/>
                <w:lang w:eastAsia="zh-CN"/>
              </w:rPr>
              <w:t>。</w:t>
            </w:r>
          </w:p>
          <w:p w14:paraId="2F858242">
            <w:pPr>
              <w:ind w:firstLine="420" w:firstLineChars="200"/>
              <w:rPr>
                <w:rFonts w:ascii="宋体" w:hAnsi="宋体" w:cs="宋体"/>
                <w:sz w:val="21"/>
                <w:szCs w:val="21"/>
                <w:highlight w:val="none"/>
              </w:rPr>
            </w:pPr>
            <w:r>
              <w:rPr>
                <w:rFonts w:hint="eastAsia" w:ascii="宋体" w:hAnsi="宋体" w:cs="宋体"/>
                <w:sz w:val="21"/>
                <w:szCs w:val="21"/>
                <w:highlight w:val="none"/>
              </w:rPr>
              <w:t>章节缺失或不提供得0分。</w:t>
            </w:r>
          </w:p>
        </w:tc>
        <w:tc>
          <w:tcPr>
            <w:tcW w:w="1785" w:type="dxa"/>
            <w:vMerge w:val="continue"/>
            <w:noWrap/>
            <w:vAlign w:val="center"/>
          </w:tcPr>
          <w:p w14:paraId="490663DE">
            <w:pPr>
              <w:rPr>
                <w:rFonts w:ascii="宋体" w:hAnsi="宋体" w:cs="宋体"/>
                <w:sz w:val="21"/>
                <w:szCs w:val="21"/>
                <w:highlight w:val="none"/>
              </w:rPr>
            </w:pPr>
          </w:p>
        </w:tc>
      </w:tr>
      <w:tr w14:paraId="51F5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1" w:type="dxa"/>
            <w:vMerge w:val="continue"/>
            <w:noWrap/>
            <w:vAlign w:val="center"/>
          </w:tcPr>
          <w:p w14:paraId="28B2829C">
            <w:pPr>
              <w:jc w:val="center"/>
              <w:rPr>
                <w:rFonts w:ascii="宋体" w:hAnsi="宋体" w:cs="宋体"/>
                <w:sz w:val="21"/>
                <w:szCs w:val="21"/>
                <w:highlight w:val="none"/>
              </w:rPr>
            </w:pPr>
          </w:p>
        </w:tc>
        <w:tc>
          <w:tcPr>
            <w:tcW w:w="1179" w:type="dxa"/>
            <w:vMerge w:val="continue"/>
            <w:noWrap/>
            <w:vAlign w:val="center"/>
          </w:tcPr>
          <w:p w14:paraId="05DBC03E">
            <w:pPr>
              <w:rPr>
                <w:rFonts w:ascii="宋体" w:hAnsi="宋体" w:cs="宋体"/>
                <w:sz w:val="21"/>
                <w:szCs w:val="21"/>
                <w:highlight w:val="none"/>
              </w:rPr>
            </w:pPr>
          </w:p>
        </w:tc>
        <w:tc>
          <w:tcPr>
            <w:tcW w:w="1018" w:type="dxa"/>
            <w:noWrap/>
            <w:vAlign w:val="center"/>
          </w:tcPr>
          <w:p w14:paraId="0D19AE28">
            <w:pPr>
              <w:rPr>
                <w:rFonts w:ascii="宋体" w:hAnsi="宋体" w:cs="宋体"/>
                <w:sz w:val="21"/>
                <w:szCs w:val="21"/>
                <w:highlight w:val="none"/>
              </w:rPr>
            </w:pPr>
            <w:r>
              <w:rPr>
                <w:rFonts w:hint="eastAsia" w:ascii="宋体" w:hAnsi="宋体" w:cs="宋体"/>
                <w:sz w:val="21"/>
                <w:szCs w:val="21"/>
                <w:highlight w:val="none"/>
                <w:lang w:val="zh-TW"/>
              </w:rPr>
              <w:t>进度控制方案（</w:t>
            </w:r>
            <w:r>
              <w:rPr>
                <w:rFonts w:hint="eastAsia" w:ascii="宋体" w:hAnsi="宋体" w:cs="宋体"/>
                <w:sz w:val="21"/>
                <w:szCs w:val="21"/>
                <w:highlight w:val="none"/>
              </w:rPr>
              <w:t>15分</w:t>
            </w:r>
            <w:r>
              <w:rPr>
                <w:rFonts w:hint="eastAsia" w:ascii="宋体" w:hAnsi="宋体" w:cs="宋体"/>
                <w:sz w:val="21"/>
                <w:szCs w:val="21"/>
                <w:highlight w:val="none"/>
                <w:lang w:val="zh-TW"/>
              </w:rPr>
              <w:t>）</w:t>
            </w:r>
          </w:p>
        </w:tc>
        <w:tc>
          <w:tcPr>
            <w:tcW w:w="5477" w:type="dxa"/>
            <w:noWrap/>
            <w:vAlign w:val="center"/>
          </w:tcPr>
          <w:p w14:paraId="6A11D6E2">
            <w:pPr>
              <w:ind w:firstLine="420" w:firstLineChars="200"/>
              <w:rPr>
                <w:rFonts w:ascii="宋体" w:hAnsi="宋体" w:cs="宋体"/>
                <w:sz w:val="21"/>
                <w:szCs w:val="21"/>
                <w:highlight w:val="none"/>
              </w:rPr>
            </w:pPr>
            <w:r>
              <w:rPr>
                <w:rFonts w:hint="eastAsia" w:ascii="宋体" w:hAnsi="宋体" w:cs="宋体"/>
                <w:sz w:val="21"/>
                <w:szCs w:val="21"/>
                <w:highlight w:val="none"/>
              </w:rPr>
              <w:t>供应商根据对本项目的理解，提供</w:t>
            </w:r>
            <w:r>
              <w:rPr>
                <w:rFonts w:hint="eastAsia" w:ascii="宋体" w:hAnsi="宋体" w:cs="宋体"/>
                <w:sz w:val="21"/>
                <w:szCs w:val="21"/>
                <w:highlight w:val="none"/>
                <w:lang w:val="zh-TW"/>
              </w:rPr>
              <w:t>“进度控制方案”</w:t>
            </w:r>
            <w:r>
              <w:rPr>
                <w:rFonts w:hint="eastAsia" w:ascii="宋体" w:hAnsi="宋体" w:cs="宋体"/>
                <w:sz w:val="21"/>
                <w:szCs w:val="21"/>
                <w:highlight w:val="none"/>
                <w:lang w:val="zh-TW" w:eastAsia="zh-CN"/>
              </w:rPr>
              <w:t>，方案</w:t>
            </w:r>
            <w:r>
              <w:rPr>
                <w:rFonts w:hint="eastAsia" w:ascii="宋体" w:hAnsi="宋体" w:cs="宋体"/>
                <w:sz w:val="21"/>
                <w:szCs w:val="21"/>
                <w:highlight w:val="none"/>
              </w:rPr>
              <w:t>内</w:t>
            </w:r>
            <w:r>
              <w:rPr>
                <w:rFonts w:hint="eastAsia" w:ascii="宋体" w:hAnsi="宋体" w:cs="宋体"/>
                <w:sz w:val="21"/>
                <w:szCs w:val="21"/>
                <w:highlight w:val="none"/>
                <w:lang w:val="zh-TW"/>
              </w:rPr>
              <w:t>容</w:t>
            </w:r>
            <w:r>
              <w:rPr>
                <w:rFonts w:hint="eastAsia" w:ascii="宋体" w:hAnsi="宋体" w:cs="宋体"/>
                <w:sz w:val="21"/>
                <w:szCs w:val="21"/>
                <w:highlight w:val="none"/>
              </w:rPr>
              <w:t>包括但不限于：①</w:t>
            </w:r>
            <w:r>
              <w:rPr>
                <w:rFonts w:hint="eastAsia" w:ascii="宋体" w:hAnsi="宋体" w:cs="宋体"/>
                <w:sz w:val="21"/>
                <w:szCs w:val="21"/>
                <w:highlight w:val="none"/>
                <w:lang w:val="zh-TW"/>
              </w:rPr>
              <w:t>进度控制目标</w:t>
            </w:r>
            <w:r>
              <w:rPr>
                <w:rFonts w:hint="eastAsia" w:ascii="宋体" w:hAnsi="宋体" w:cs="宋体"/>
                <w:sz w:val="21"/>
                <w:szCs w:val="21"/>
                <w:highlight w:val="none"/>
              </w:rPr>
              <w:t>；②</w:t>
            </w:r>
            <w:r>
              <w:rPr>
                <w:rFonts w:hint="eastAsia" w:ascii="宋体" w:hAnsi="宋体" w:cs="宋体"/>
                <w:sz w:val="21"/>
                <w:szCs w:val="21"/>
                <w:highlight w:val="none"/>
                <w:lang w:val="zh-TW"/>
              </w:rPr>
              <w:t>进度控制重难点分析</w:t>
            </w:r>
            <w:r>
              <w:rPr>
                <w:rFonts w:hint="eastAsia" w:ascii="宋体" w:hAnsi="宋体" w:cs="宋体"/>
                <w:sz w:val="21"/>
                <w:szCs w:val="21"/>
                <w:highlight w:val="none"/>
              </w:rPr>
              <w:t>；③</w:t>
            </w:r>
            <w:r>
              <w:rPr>
                <w:rFonts w:hint="eastAsia" w:ascii="宋体" w:hAnsi="宋体" w:cs="宋体"/>
                <w:sz w:val="21"/>
                <w:szCs w:val="21"/>
                <w:highlight w:val="none"/>
                <w:lang w:val="zh-TW"/>
              </w:rPr>
              <w:t>进度控制实施措施</w:t>
            </w:r>
            <w:r>
              <w:rPr>
                <w:rFonts w:hint="eastAsia" w:ascii="宋体" w:hAnsi="宋体" w:cs="宋体"/>
                <w:sz w:val="21"/>
                <w:szCs w:val="21"/>
                <w:highlight w:val="none"/>
              </w:rPr>
              <w:t>等方面进行评审。</w:t>
            </w:r>
          </w:p>
          <w:p w14:paraId="32A10944">
            <w:pPr>
              <w:ind w:firstLine="420" w:firstLineChars="200"/>
              <w:rPr>
                <w:rFonts w:ascii="宋体" w:hAnsi="宋体" w:cs="宋体"/>
                <w:sz w:val="21"/>
                <w:szCs w:val="21"/>
                <w:highlight w:val="none"/>
              </w:rPr>
            </w:pPr>
            <w:r>
              <w:rPr>
                <w:rFonts w:hint="eastAsia" w:ascii="宋体" w:hAnsi="宋体" w:cs="宋体"/>
                <w:sz w:val="21"/>
                <w:szCs w:val="21"/>
                <w:highlight w:val="none"/>
              </w:rPr>
              <w:t>方案内容不存在瑕疵，得15分；</w:t>
            </w:r>
          </w:p>
          <w:p w14:paraId="4A343EF2">
            <w:pPr>
              <w:ind w:firstLine="420" w:firstLineChars="200"/>
              <w:rPr>
                <w:rFonts w:ascii="宋体" w:hAnsi="宋体" w:cs="宋体"/>
                <w:sz w:val="21"/>
                <w:szCs w:val="21"/>
                <w:highlight w:val="none"/>
              </w:rPr>
            </w:pPr>
            <w:r>
              <w:rPr>
                <w:rFonts w:hint="eastAsia" w:ascii="宋体" w:hAnsi="宋体" w:cs="宋体"/>
                <w:sz w:val="21"/>
                <w:szCs w:val="21"/>
                <w:highlight w:val="none"/>
              </w:rPr>
              <w:t>内容存在1处瑕疵，得10分；</w:t>
            </w:r>
          </w:p>
          <w:p w14:paraId="056C262D">
            <w:pPr>
              <w:ind w:firstLine="420" w:firstLineChars="200"/>
              <w:rPr>
                <w:rFonts w:ascii="宋体" w:hAnsi="宋体" w:cs="宋体"/>
                <w:sz w:val="21"/>
                <w:szCs w:val="21"/>
                <w:highlight w:val="none"/>
              </w:rPr>
            </w:pPr>
            <w:r>
              <w:rPr>
                <w:rFonts w:hint="eastAsia" w:ascii="宋体" w:hAnsi="宋体" w:cs="宋体"/>
                <w:sz w:val="21"/>
                <w:szCs w:val="21"/>
                <w:highlight w:val="none"/>
              </w:rPr>
              <w:t>内容存在2处瑕疵，得5分；</w:t>
            </w:r>
          </w:p>
          <w:p w14:paraId="1613767B">
            <w:pPr>
              <w:ind w:firstLine="420" w:firstLineChars="200"/>
              <w:rPr>
                <w:rFonts w:ascii="宋体" w:hAnsi="宋体" w:cs="宋体"/>
                <w:sz w:val="21"/>
                <w:szCs w:val="21"/>
                <w:highlight w:val="none"/>
              </w:rPr>
            </w:pPr>
            <w:r>
              <w:rPr>
                <w:rFonts w:hint="eastAsia" w:ascii="宋体" w:hAnsi="宋体" w:cs="宋体"/>
                <w:sz w:val="21"/>
                <w:szCs w:val="21"/>
                <w:highlight w:val="none"/>
              </w:rPr>
              <w:t>内容存在3处及以上瑕疵，得1分</w:t>
            </w:r>
            <w:r>
              <w:rPr>
                <w:rFonts w:hint="eastAsia" w:ascii="宋体" w:hAnsi="宋体" w:cs="宋体"/>
                <w:sz w:val="21"/>
                <w:szCs w:val="21"/>
                <w:highlight w:val="none"/>
                <w:lang w:eastAsia="zh-CN"/>
              </w:rPr>
              <w:t>。</w:t>
            </w:r>
          </w:p>
          <w:p w14:paraId="190CAD80">
            <w:pPr>
              <w:ind w:firstLine="420" w:firstLineChars="200"/>
              <w:rPr>
                <w:rFonts w:ascii="宋体" w:hAnsi="宋体" w:cs="宋体"/>
                <w:sz w:val="21"/>
                <w:szCs w:val="21"/>
                <w:highlight w:val="none"/>
              </w:rPr>
            </w:pPr>
            <w:r>
              <w:rPr>
                <w:rFonts w:hint="eastAsia" w:ascii="宋体" w:hAnsi="宋体" w:cs="宋体"/>
                <w:sz w:val="21"/>
                <w:szCs w:val="21"/>
                <w:highlight w:val="none"/>
              </w:rPr>
              <w:t>章节缺失或不提供得0分。</w:t>
            </w:r>
          </w:p>
        </w:tc>
        <w:tc>
          <w:tcPr>
            <w:tcW w:w="1785" w:type="dxa"/>
            <w:vMerge w:val="continue"/>
            <w:noWrap/>
            <w:vAlign w:val="center"/>
          </w:tcPr>
          <w:p w14:paraId="1EC9A3DC">
            <w:pPr>
              <w:rPr>
                <w:rFonts w:ascii="宋体" w:hAnsi="宋体" w:cs="宋体"/>
                <w:sz w:val="21"/>
                <w:szCs w:val="21"/>
                <w:highlight w:val="none"/>
              </w:rPr>
            </w:pPr>
          </w:p>
        </w:tc>
      </w:tr>
      <w:tr w14:paraId="1374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51" w:type="dxa"/>
            <w:noWrap/>
            <w:vAlign w:val="center"/>
          </w:tcPr>
          <w:p w14:paraId="3A34EE80">
            <w:pPr>
              <w:ind w:firstLine="28"/>
              <w:jc w:val="center"/>
              <w:rPr>
                <w:rFonts w:ascii="宋体" w:hAnsi="宋体" w:cs="宋体"/>
                <w:sz w:val="21"/>
                <w:szCs w:val="21"/>
                <w:highlight w:val="none"/>
              </w:rPr>
            </w:pPr>
            <w:r>
              <w:rPr>
                <w:rFonts w:hint="eastAsia" w:ascii="宋体" w:hAnsi="宋体" w:cs="宋体"/>
                <w:sz w:val="24"/>
                <w:szCs w:val="24"/>
                <w:highlight w:val="none"/>
              </w:rPr>
              <w:t>3</w:t>
            </w:r>
          </w:p>
        </w:tc>
        <w:tc>
          <w:tcPr>
            <w:tcW w:w="1179" w:type="dxa"/>
            <w:noWrap/>
            <w:vAlign w:val="center"/>
          </w:tcPr>
          <w:p w14:paraId="05CA58B9">
            <w:pPr>
              <w:rPr>
                <w:rFonts w:ascii="宋体" w:hAnsi="宋体" w:cs="宋体"/>
                <w:sz w:val="21"/>
                <w:szCs w:val="21"/>
                <w:highlight w:val="none"/>
              </w:rPr>
            </w:pPr>
            <w:r>
              <w:rPr>
                <w:rFonts w:hint="eastAsia" w:ascii="宋体" w:hAnsi="宋体" w:cs="宋体"/>
                <w:sz w:val="21"/>
                <w:szCs w:val="21"/>
                <w:highlight w:val="none"/>
              </w:rPr>
              <w:t>商务部分（10%）</w:t>
            </w:r>
          </w:p>
        </w:tc>
        <w:tc>
          <w:tcPr>
            <w:tcW w:w="1018" w:type="dxa"/>
            <w:noWrap/>
            <w:vAlign w:val="center"/>
          </w:tcPr>
          <w:p w14:paraId="3A7FC26B">
            <w:pPr>
              <w:rPr>
                <w:rFonts w:ascii="宋体" w:hAnsi="宋体" w:cs="宋体"/>
                <w:sz w:val="21"/>
                <w:szCs w:val="21"/>
                <w:highlight w:val="none"/>
              </w:rPr>
            </w:pPr>
            <w:r>
              <w:rPr>
                <w:rFonts w:hint="eastAsia" w:ascii="宋体" w:hAnsi="宋体" w:cs="宋体"/>
                <w:sz w:val="21"/>
                <w:szCs w:val="21"/>
                <w:highlight w:val="none"/>
              </w:rPr>
              <w:t>业绩（10分）</w:t>
            </w:r>
          </w:p>
        </w:tc>
        <w:tc>
          <w:tcPr>
            <w:tcW w:w="5477" w:type="dxa"/>
            <w:noWrap/>
            <w:vAlign w:val="center"/>
          </w:tcPr>
          <w:p w14:paraId="383D192C">
            <w:pPr>
              <w:ind w:firstLine="420" w:firstLineChars="200"/>
              <w:rPr>
                <w:rFonts w:ascii="宋体" w:hAnsi="宋体" w:cs="宋体"/>
                <w:sz w:val="21"/>
                <w:szCs w:val="21"/>
                <w:highlight w:val="none"/>
              </w:rPr>
            </w:pPr>
            <w:r>
              <w:rPr>
                <w:rFonts w:hint="eastAsia" w:ascii="宋体" w:hAnsi="宋体" w:cs="宋体"/>
                <w:sz w:val="21"/>
                <w:szCs w:val="21"/>
                <w:highlight w:val="none"/>
              </w:rPr>
              <w:t>供应商在2023年1月1日起至投标截止日止（以合同签订时间为准）每承担1个类似本项目监理服务业绩的，得5分，本项最多得10分。</w:t>
            </w:r>
          </w:p>
        </w:tc>
        <w:tc>
          <w:tcPr>
            <w:tcW w:w="1785" w:type="dxa"/>
            <w:noWrap/>
            <w:vAlign w:val="center"/>
          </w:tcPr>
          <w:p w14:paraId="44828B3C">
            <w:pPr>
              <w:ind w:firstLine="420" w:firstLineChars="200"/>
              <w:rPr>
                <w:rFonts w:ascii="宋体" w:hAnsi="宋体" w:cs="宋体"/>
                <w:sz w:val="21"/>
                <w:szCs w:val="21"/>
                <w:highlight w:val="none"/>
              </w:rPr>
            </w:pPr>
            <w:r>
              <w:rPr>
                <w:rFonts w:hint="eastAsia" w:ascii="宋体" w:hAnsi="宋体" w:cs="宋体"/>
                <w:sz w:val="21"/>
                <w:szCs w:val="21"/>
                <w:highlight w:val="none"/>
              </w:rPr>
              <w:t xml:space="preserve">供应商须提供业绩的合同协议书，并加盖供应商公章。 </w:t>
            </w:r>
          </w:p>
        </w:tc>
      </w:tr>
      <w:bookmarkEnd w:id="107"/>
    </w:tbl>
    <w:p w14:paraId="646E0AF5">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108" w:name="_Toc27414"/>
      <w:bookmarkStart w:id="109" w:name="_Toc16992"/>
      <w:bookmarkStart w:id="110" w:name="_Toc13822"/>
      <w:bookmarkStart w:id="111" w:name="_Toc20083"/>
      <w:r>
        <w:rPr>
          <w:rFonts w:hint="eastAsia" w:ascii="宋体" w:hAnsi="宋体" w:eastAsia="宋体" w:cs="宋体"/>
          <w:sz w:val="24"/>
        </w:rPr>
        <w:t>三、无效</w:t>
      </w:r>
      <w:bookmarkEnd w:id="108"/>
      <w:bookmarkEnd w:id="109"/>
      <w:bookmarkEnd w:id="110"/>
      <w:r>
        <w:rPr>
          <w:rFonts w:hint="eastAsia" w:ascii="宋体" w:hAnsi="宋体" w:eastAsia="宋体" w:cs="宋体"/>
          <w:sz w:val="24"/>
        </w:rPr>
        <w:t>响应</w:t>
      </w:r>
      <w:bookmarkEnd w:id="111"/>
    </w:p>
    <w:p w14:paraId="67254F39">
      <w:pPr>
        <w:snapToGrid w:val="0"/>
        <w:spacing w:line="400" w:lineRule="exact"/>
        <w:ind w:firstLine="480" w:firstLineChars="200"/>
        <w:rPr>
          <w:rFonts w:ascii="宋体" w:hAnsi="宋体" w:cs="宋体"/>
          <w:sz w:val="24"/>
          <w:szCs w:val="24"/>
          <w:highlight w:val="none"/>
        </w:rPr>
      </w:pPr>
      <w:bookmarkStart w:id="112" w:name="_Toc13488"/>
      <w:bookmarkStart w:id="113" w:name="_Toc106034793"/>
      <w:bookmarkStart w:id="114" w:name="_Toc65660353"/>
      <w:bookmarkStart w:id="115" w:name="_Toc28422"/>
      <w:bookmarkStart w:id="116" w:name="_Toc9262"/>
      <w:bookmarkStart w:id="117" w:name="_Toc19421"/>
      <w:bookmarkStart w:id="118" w:name="_Toc29298"/>
      <w:bookmarkStart w:id="119" w:name="_Toc22716"/>
      <w:bookmarkStart w:id="120" w:name="_Toc9089"/>
      <w:bookmarkStart w:id="121" w:name="_Toc15513"/>
      <w:r>
        <w:rPr>
          <w:rFonts w:hint="eastAsia" w:ascii="宋体" w:hAnsi="宋体" w:cs="宋体"/>
          <w:sz w:val="24"/>
          <w:szCs w:val="24"/>
          <w:highlight w:val="none"/>
        </w:rPr>
        <w:t>供应商发生</w:t>
      </w:r>
      <w:r>
        <w:rPr>
          <w:rFonts w:hint="eastAsia" w:ascii="宋体" w:hAnsi="宋体" w:cs="宋体"/>
          <w:sz w:val="24"/>
          <w:szCs w:val="24"/>
          <w:highlight w:val="none"/>
          <w:lang w:eastAsia="zh-CN"/>
        </w:rPr>
        <w:t>以下</w:t>
      </w:r>
      <w:r>
        <w:rPr>
          <w:rFonts w:hint="eastAsia" w:ascii="宋体" w:hAnsi="宋体" w:cs="宋体"/>
          <w:sz w:val="24"/>
          <w:szCs w:val="24"/>
          <w:highlight w:val="none"/>
        </w:rPr>
        <w:t>情况之一者，视为无效响应，其响应文件将被拒绝：</w:t>
      </w:r>
    </w:p>
    <w:p w14:paraId="4540EB8A">
      <w:pPr>
        <w:numPr>
          <w:ilvl w:val="0"/>
          <w:numId w:val="1"/>
        </w:num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供应商不符合规定的资格条件的；</w:t>
      </w:r>
    </w:p>
    <w:p w14:paraId="2DC90E2A">
      <w:pPr>
        <w:numPr>
          <w:ilvl w:val="0"/>
          <w:numId w:val="1"/>
        </w:num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未按竞采文件要求报名的；</w:t>
      </w:r>
    </w:p>
    <w:p w14:paraId="1AB9D489">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（三）供应商的法定代表人（或其授权代表</w:t>
      </w:r>
      <w:r>
        <w:rPr>
          <w:rFonts w:hint="eastAsia" w:ascii="宋体" w:hAnsi="宋体" w:cs="宋体"/>
          <w:sz w:val="24"/>
          <w:szCs w:val="24"/>
          <w:highlight w:val="none"/>
          <w:lang w:eastAsia="zh-CN"/>
        </w:rPr>
        <w:t>）</w:t>
      </w:r>
      <w:r>
        <w:rPr>
          <w:rFonts w:hint="eastAsia" w:ascii="宋体" w:hAnsi="宋体" w:cs="宋体"/>
          <w:sz w:val="24"/>
          <w:szCs w:val="24"/>
          <w:highlight w:val="none"/>
        </w:rPr>
        <w:t>未参加网上竞</w:t>
      </w:r>
      <w:r>
        <w:rPr>
          <w:rFonts w:hint="eastAsia" w:ascii="宋体" w:hAnsi="宋体" w:cs="宋体"/>
          <w:sz w:val="24"/>
          <w:szCs w:val="24"/>
          <w:highlight w:val="none"/>
          <w:lang w:eastAsia="zh-CN"/>
        </w:rPr>
        <w:t>采</w:t>
      </w:r>
      <w:r>
        <w:rPr>
          <w:rFonts w:hint="eastAsia" w:ascii="宋体" w:hAnsi="宋体" w:cs="宋体"/>
          <w:sz w:val="24"/>
          <w:szCs w:val="24"/>
          <w:highlight w:val="none"/>
        </w:rPr>
        <w:t>；</w:t>
      </w:r>
    </w:p>
    <w:p w14:paraId="63776EB7">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（四）供应商所提交的响应文件</w:t>
      </w:r>
      <w:r>
        <w:rPr>
          <w:rFonts w:hint="eastAsia" w:ascii="宋体" w:hAnsi="宋体" w:cs="宋体"/>
          <w:sz w:val="24"/>
          <w:szCs w:val="24"/>
          <w:highlight w:val="none"/>
          <w:lang w:eastAsia="zh-CN"/>
        </w:rPr>
        <w:t>未</w:t>
      </w:r>
      <w:r>
        <w:rPr>
          <w:rFonts w:hint="eastAsia" w:ascii="宋体" w:hAnsi="宋体" w:cs="宋体"/>
          <w:sz w:val="24"/>
          <w:szCs w:val="24"/>
          <w:highlight w:val="none"/>
        </w:rPr>
        <w:t>按</w:t>
      </w:r>
      <w:r>
        <w:rPr>
          <w:rFonts w:hint="eastAsia" w:ascii="宋体" w:hAnsi="宋体" w:cs="宋体"/>
          <w:sz w:val="24"/>
          <w:szCs w:val="24"/>
          <w:highlight w:val="none"/>
          <w:lang w:eastAsia="zh-CN"/>
        </w:rPr>
        <w:t>《</w:t>
      </w:r>
      <w:r>
        <w:rPr>
          <w:rFonts w:hint="eastAsia" w:ascii="宋体" w:hAnsi="宋体" w:cs="宋体"/>
          <w:sz w:val="24"/>
          <w:szCs w:val="24"/>
          <w:highlight w:val="none"/>
        </w:rPr>
        <w:t>第七篇</w:t>
      </w:r>
      <w:r>
        <w:rPr>
          <w:rFonts w:hint="eastAsia" w:ascii="宋体" w:hAnsi="宋体" w:cs="宋体"/>
          <w:sz w:val="24"/>
          <w:szCs w:val="24"/>
          <w:highlight w:val="none"/>
          <w:lang w:eastAsia="zh-CN"/>
        </w:rPr>
        <w:t xml:space="preserve"> 响应</w:t>
      </w:r>
      <w:r>
        <w:rPr>
          <w:rFonts w:hint="eastAsia" w:ascii="宋体" w:hAnsi="宋体" w:cs="宋体"/>
          <w:sz w:val="24"/>
          <w:szCs w:val="24"/>
          <w:highlight w:val="none"/>
        </w:rPr>
        <w:t>文件编制要求</w:t>
      </w:r>
      <w:r>
        <w:rPr>
          <w:rFonts w:hint="eastAsia" w:ascii="宋体" w:hAnsi="宋体" w:cs="宋体"/>
          <w:sz w:val="24"/>
          <w:szCs w:val="24"/>
          <w:highlight w:val="none"/>
          <w:lang w:eastAsia="zh-CN"/>
        </w:rPr>
        <w:t>》</w:t>
      </w:r>
      <w:r>
        <w:rPr>
          <w:rFonts w:hint="eastAsia" w:ascii="宋体" w:hAnsi="宋体" w:cs="宋体"/>
          <w:sz w:val="24"/>
          <w:szCs w:val="24"/>
          <w:highlight w:val="none"/>
        </w:rPr>
        <w:t>要求签署或盖章；</w:t>
      </w:r>
    </w:p>
    <w:p w14:paraId="2C2EB682">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（五）供应商的最后报价超过采购预算或最高限价的；</w:t>
      </w:r>
    </w:p>
    <w:p w14:paraId="496E0666">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（六）法定代表人为同一个人的两个及两个以上法人，母公司、全资子公司及其控股公司，在同一包采购中同时参与竞采；</w:t>
      </w:r>
    </w:p>
    <w:p w14:paraId="611590F8">
      <w:pPr>
        <w:snapToGrid w:val="0"/>
        <w:spacing w:line="400" w:lineRule="exact"/>
        <w:ind w:firstLine="480" w:firstLineChars="200"/>
        <w:rPr>
          <w:rFonts w:ascii="宋体" w:hAnsi="宋体" w:cs="宋体"/>
          <w:sz w:val="24"/>
          <w:szCs w:val="24"/>
        </w:rPr>
      </w:pPr>
      <w:r>
        <w:rPr>
          <w:rFonts w:hint="eastAsia" w:ascii="宋体" w:hAnsi="宋体" w:cs="宋体"/>
          <w:sz w:val="24"/>
          <w:szCs w:val="24"/>
          <w:highlight w:val="none"/>
        </w:rPr>
        <w:t>（七）单位负责人为同一人或者存在直接控股、管理关系的不同供应商，参加同一合同项下的政府采购活动</w:t>
      </w:r>
      <w:r>
        <w:rPr>
          <w:rFonts w:hint="eastAsia" w:ascii="宋体" w:hAnsi="宋体" w:cs="宋体"/>
          <w:sz w:val="24"/>
          <w:szCs w:val="24"/>
          <w:highlight w:val="none"/>
          <w:lang w:eastAsia="zh-CN"/>
        </w:rPr>
        <w:t>。</w:t>
      </w:r>
    </w:p>
    <w:p w14:paraId="1FF5F968">
      <w:pPr>
        <w:snapToGrid w:val="0"/>
        <w:spacing w:line="400" w:lineRule="exact"/>
        <w:ind w:firstLine="480" w:firstLineChars="200"/>
        <w:rPr>
          <w:rFonts w:ascii="宋体" w:hAnsi="宋体" w:cs="宋体"/>
          <w:sz w:val="24"/>
          <w:szCs w:val="24"/>
        </w:rPr>
      </w:pPr>
      <w:r>
        <w:rPr>
          <w:rFonts w:hint="eastAsia" w:ascii="宋体" w:hAnsi="宋体" w:cs="宋体"/>
          <w:sz w:val="24"/>
          <w:szCs w:val="24"/>
        </w:rPr>
        <w:t>（八）供应商竞采有效期不满足网上竞采文件要求</w:t>
      </w:r>
      <w:r>
        <w:rPr>
          <w:rFonts w:hint="eastAsia" w:ascii="宋体" w:hAnsi="宋体" w:cs="宋体"/>
          <w:sz w:val="24"/>
          <w:szCs w:val="24"/>
          <w:lang w:eastAsia="zh-CN"/>
        </w:rPr>
        <w:t>。</w:t>
      </w:r>
    </w:p>
    <w:p w14:paraId="41908AA5">
      <w:pPr>
        <w:snapToGrid w:val="0"/>
        <w:spacing w:line="400" w:lineRule="exact"/>
        <w:ind w:firstLine="480" w:firstLineChars="200"/>
        <w:rPr>
          <w:rFonts w:ascii="宋体" w:hAnsi="宋体" w:cs="宋体"/>
          <w:sz w:val="24"/>
          <w:szCs w:val="24"/>
        </w:rPr>
      </w:pPr>
      <w:r>
        <w:rPr>
          <w:rFonts w:hint="eastAsia" w:ascii="宋体" w:hAnsi="宋体" w:cs="宋体"/>
          <w:sz w:val="24"/>
          <w:szCs w:val="24"/>
        </w:rPr>
        <w:t>（九）供应商响应文件内容有与国家现行法律法规相违背的内容，或附有采购人无法接受的条件；</w:t>
      </w:r>
    </w:p>
    <w:p w14:paraId="15939DDD">
      <w:pPr>
        <w:snapToGrid w:val="0"/>
        <w:spacing w:line="400" w:lineRule="exact"/>
        <w:ind w:firstLine="480" w:firstLineChars="200"/>
        <w:rPr>
          <w:rFonts w:ascii="宋体" w:hAnsi="宋体" w:cs="宋体"/>
          <w:sz w:val="24"/>
          <w:szCs w:val="24"/>
        </w:rPr>
      </w:pPr>
      <w:r>
        <w:rPr>
          <w:rFonts w:hint="eastAsia" w:ascii="宋体" w:hAnsi="宋体" w:cs="宋体"/>
          <w:sz w:val="24"/>
          <w:szCs w:val="24"/>
        </w:rPr>
        <w:t>（十）</w:t>
      </w:r>
      <w:r>
        <w:rPr>
          <w:rFonts w:hint="eastAsia" w:ascii="宋体" w:hAnsi="宋体" w:cs="宋体"/>
          <w:sz w:val="24"/>
          <w:szCs w:val="24"/>
          <w:lang w:eastAsia="zh-CN"/>
        </w:rPr>
        <w:t>法律法规</w:t>
      </w:r>
      <w:r>
        <w:rPr>
          <w:rFonts w:hint="eastAsia" w:ascii="宋体" w:hAnsi="宋体" w:cs="宋体"/>
          <w:sz w:val="24"/>
          <w:szCs w:val="24"/>
        </w:rPr>
        <w:t>和网上竞采文件规定的其他无效情形。</w:t>
      </w:r>
    </w:p>
    <w:p w14:paraId="6AC2B357">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122" w:name="_Toc27042"/>
      <w:r>
        <w:rPr>
          <w:rFonts w:hint="eastAsia" w:ascii="宋体" w:hAnsi="宋体" w:eastAsia="宋体" w:cs="宋体"/>
          <w:sz w:val="24"/>
        </w:rPr>
        <w:t>四、采购终止</w:t>
      </w:r>
      <w:bookmarkEnd w:id="112"/>
      <w:bookmarkEnd w:id="113"/>
      <w:bookmarkEnd w:id="114"/>
      <w:bookmarkEnd w:id="115"/>
      <w:bookmarkEnd w:id="116"/>
      <w:bookmarkEnd w:id="117"/>
      <w:bookmarkEnd w:id="118"/>
      <w:bookmarkEnd w:id="119"/>
      <w:bookmarkEnd w:id="120"/>
      <w:bookmarkEnd w:id="121"/>
      <w:bookmarkEnd w:id="122"/>
    </w:p>
    <w:bookmarkEnd w:id="102"/>
    <w:bookmarkEnd w:id="103"/>
    <w:bookmarkEnd w:id="104"/>
    <w:p w14:paraId="03E10926">
      <w:pPr>
        <w:snapToGrid w:val="0"/>
        <w:spacing w:line="400" w:lineRule="exact"/>
        <w:ind w:firstLine="480" w:firstLineChars="200"/>
        <w:rPr>
          <w:rFonts w:ascii="宋体" w:hAnsi="宋体" w:cs="宋体"/>
          <w:sz w:val="24"/>
          <w:szCs w:val="24"/>
        </w:rPr>
      </w:pPr>
      <w:bookmarkStart w:id="123" w:name="_Toc3179"/>
      <w:bookmarkStart w:id="124" w:name="_Toc102227313"/>
      <w:r>
        <w:rPr>
          <w:rFonts w:hint="eastAsia" w:ascii="宋体" w:hAnsi="宋体" w:cs="宋体"/>
          <w:sz w:val="24"/>
          <w:szCs w:val="24"/>
        </w:rPr>
        <w:t>出现下列情形之一的，采购人或者</w:t>
      </w:r>
      <w:r>
        <w:rPr>
          <w:rFonts w:hint="eastAsia" w:ascii="宋体" w:hAnsi="宋体" w:cs="宋体"/>
          <w:sz w:val="24"/>
          <w:szCs w:val="24"/>
          <w:lang w:eastAsia="zh-CN"/>
        </w:rPr>
        <w:t>采购</w:t>
      </w:r>
      <w:r>
        <w:rPr>
          <w:rFonts w:hint="eastAsia" w:ascii="宋体" w:hAnsi="宋体" w:cs="宋体"/>
          <w:sz w:val="24"/>
          <w:szCs w:val="24"/>
        </w:rPr>
        <w:t>代理机构应当终止网上竞采采购活动，发布项目终止公告并说明原因，重新开展采购活动：</w:t>
      </w:r>
    </w:p>
    <w:p w14:paraId="5C210AC4">
      <w:pPr>
        <w:snapToGrid w:val="0"/>
        <w:spacing w:line="400" w:lineRule="exact"/>
        <w:ind w:firstLine="480" w:firstLineChars="200"/>
        <w:rPr>
          <w:rFonts w:ascii="宋体" w:hAnsi="宋体" w:cs="宋体"/>
          <w:sz w:val="24"/>
          <w:szCs w:val="24"/>
        </w:rPr>
      </w:pPr>
      <w:r>
        <w:rPr>
          <w:rFonts w:hint="eastAsia" w:ascii="宋体" w:hAnsi="宋体" w:cs="宋体"/>
          <w:sz w:val="24"/>
          <w:szCs w:val="24"/>
        </w:rPr>
        <w:t>（一）因情况变化，不再符合规定的网上竞采采购方式适用情形的；</w:t>
      </w:r>
    </w:p>
    <w:p w14:paraId="632EF634">
      <w:pPr>
        <w:snapToGrid w:val="0"/>
        <w:spacing w:line="400" w:lineRule="exact"/>
        <w:ind w:firstLine="480" w:firstLineChars="200"/>
        <w:rPr>
          <w:rFonts w:ascii="宋体" w:hAnsi="宋体" w:cs="宋体"/>
          <w:sz w:val="24"/>
          <w:szCs w:val="24"/>
        </w:rPr>
      </w:pPr>
      <w:r>
        <w:rPr>
          <w:rFonts w:hint="eastAsia" w:ascii="宋体" w:hAnsi="宋体" w:cs="宋体"/>
          <w:sz w:val="24"/>
          <w:szCs w:val="24"/>
        </w:rPr>
        <w:t>（二）出现影响采购公正的违法、违规行为的；</w:t>
      </w:r>
    </w:p>
    <w:p w14:paraId="4379E7AF">
      <w:pPr>
        <w:snapToGrid w:val="0"/>
        <w:spacing w:line="400" w:lineRule="exact"/>
        <w:ind w:firstLine="480" w:firstLineChars="200"/>
        <w:rPr>
          <w:rFonts w:ascii="宋体" w:hAnsi="宋体" w:cs="宋体"/>
          <w:sz w:val="24"/>
          <w:szCs w:val="24"/>
        </w:rPr>
        <w:sectPr>
          <w:footerReference r:id="rId9" w:type="default"/>
          <w:pgSz w:w="11907" w:h="16840"/>
          <w:pgMar w:top="1134" w:right="1134" w:bottom="1134" w:left="1134" w:header="283" w:footer="992" w:gutter="0"/>
          <w:pgNumType w:fmt="numberInDash"/>
          <w:cols w:space="720" w:num="1"/>
          <w:docGrid w:linePitch="381" w:charSpace="0"/>
        </w:sectPr>
      </w:pPr>
      <w:r>
        <w:rPr>
          <w:rFonts w:hint="eastAsia" w:ascii="宋体" w:hAnsi="宋体" w:cs="宋体"/>
          <w:sz w:val="24"/>
          <w:szCs w:val="24"/>
        </w:rPr>
        <w:t xml:space="preserve">（三）在采购过程中符合要求的供应商或者报价未超过采购预算的供应商不足3家的。 </w:t>
      </w:r>
    </w:p>
    <w:p w14:paraId="24DE1B3A">
      <w:pPr>
        <w:pStyle w:val="3"/>
        <w:pageBreakBefore/>
        <w:spacing w:before="0" w:after="0" w:line="360" w:lineRule="auto"/>
        <w:jc w:val="center"/>
        <w:rPr>
          <w:rFonts w:ascii="宋体" w:hAnsi="宋体" w:eastAsia="宋体" w:cs="宋体"/>
          <w:szCs w:val="32"/>
        </w:rPr>
      </w:pPr>
      <w:bookmarkStart w:id="125" w:name="_Toc19154"/>
      <w:bookmarkStart w:id="126" w:name="_Toc20139"/>
      <w:bookmarkStart w:id="127" w:name="_Toc76462337"/>
      <w:bookmarkStart w:id="128" w:name="_Toc23198"/>
      <w:bookmarkStart w:id="129" w:name="_Toc161742527"/>
      <w:bookmarkStart w:id="130" w:name="_Toc21021"/>
      <w:r>
        <w:rPr>
          <w:rFonts w:hint="eastAsia" w:ascii="宋体" w:hAnsi="宋体" w:eastAsia="宋体" w:cs="宋体"/>
          <w:szCs w:val="32"/>
        </w:rPr>
        <w:t>第五篇 供应商须知</w:t>
      </w:r>
      <w:bookmarkEnd w:id="125"/>
      <w:bookmarkEnd w:id="126"/>
      <w:bookmarkEnd w:id="127"/>
      <w:bookmarkEnd w:id="128"/>
      <w:bookmarkEnd w:id="129"/>
      <w:bookmarkEnd w:id="130"/>
    </w:p>
    <w:p w14:paraId="00F8C2DD">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131" w:name="_Toc161742528"/>
      <w:bookmarkStart w:id="132" w:name="_Toc25238"/>
      <w:bookmarkStart w:id="133" w:name="_Toc13122"/>
      <w:bookmarkStart w:id="134" w:name="_Toc76462338"/>
      <w:bookmarkStart w:id="135" w:name="_Toc342913389"/>
      <w:bookmarkStart w:id="136" w:name="_Toc22234"/>
      <w:bookmarkStart w:id="137" w:name="_Toc3202"/>
      <w:r>
        <w:rPr>
          <w:rFonts w:hint="eastAsia" w:ascii="宋体" w:hAnsi="宋体" w:eastAsia="宋体" w:cs="宋体"/>
          <w:sz w:val="24"/>
        </w:rPr>
        <w:t>一、网上竞采费用</w:t>
      </w:r>
      <w:bookmarkEnd w:id="131"/>
      <w:bookmarkEnd w:id="132"/>
      <w:bookmarkEnd w:id="133"/>
      <w:bookmarkEnd w:id="134"/>
      <w:bookmarkEnd w:id="135"/>
      <w:bookmarkEnd w:id="136"/>
      <w:bookmarkEnd w:id="137"/>
    </w:p>
    <w:p w14:paraId="759CDF44">
      <w:pPr>
        <w:pStyle w:val="34"/>
        <w:spacing w:line="360" w:lineRule="auto"/>
        <w:ind w:firstLine="480" w:firstLineChars="200"/>
        <w:rPr>
          <w:rFonts w:hAnsi="宋体" w:cs="宋体"/>
          <w:sz w:val="24"/>
          <w:szCs w:val="24"/>
        </w:rPr>
      </w:pPr>
      <w:r>
        <w:rPr>
          <w:rFonts w:hint="eastAsia" w:hAnsi="宋体" w:cs="宋体"/>
          <w:sz w:val="24"/>
          <w:szCs w:val="24"/>
        </w:rPr>
        <w:t>参与网上竞采的供应商应承担其编制响应文件与递交响应文件所涉及的一切费用，不论网上竞采结果如何，采购人和采购代理机构在任何情况下无义务也无责任承担这些费用。</w:t>
      </w:r>
    </w:p>
    <w:p w14:paraId="0754AFE9">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138" w:name="_Toc17152"/>
      <w:bookmarkStart w:id="139" w:name="_Toc76462339"/>
      <w:bookmarkStart w:id="140" w:name="_Toc342913391"/>
      <w:bookmarkStart w:id="141" w:name="_Toc13430"/>
      <w:bookmarkStart w:id="142" w:name="_Toc5268"/>
      <w:bookmarkStart w:id="143" w:name="_Toc161742529"/>
      <w:bookmarkStart w:id="144" w:name="_Toc17973"/>
      <w:r>
        <w:rPr>
          <w:rFonts w:hint="eastAsia" w:ascii="宋体" w:hAnsi="宋体" w:eastAsia="宋体" w:cs="宋体"/>
          <w:sz w:val="24"/>
        </w:rPr>
        <w:t>二、网上竞采文件</w:t>
      </w:r>
      <w:bookmarkEnd w:id="138"/>
      <w:bookmarkEnd w:id="139"/>
      <w:bookmarkEnd w:id="140"/>
      <w:bookmarkEnd w:id="141"/>
      <w:bookmarkEnd w:id="142"/>
      <w:bookmarkEnd w:id="143"/>
      <w:bookmarkEnd w:id="144"/>
    </w:p>
    <w:p w14:paraId="129A463B">
      <w:pPr>
        <w:snapToGrid w:val="0"/>
        <w:spacing w:line="360" w:lineRule="auto"/>
        <w:ind w:firstLine="480" w:firstLineChars="200"/>
        <w:rPr>
          <w:rFonts w:ascii="宋体" w:hAnsi="宋体" w:cs="宋体"/>
          <w:sz w:val="24"/>
          <w:szCs w:val="24"/>
        </w:rPr>
      </w:pPr>
      <w:r>
        <w:rPr>
          <w:rFonts w:hint="eastAsia" w:ascii="宋体" w:hAnsi="宋体" w:cs="宋体"/>
          <w:sz w:val="24"/>
          <w:szCs w:val="24"/>
        </w:rPr>
        <w:t>（一）网上竞采文件由采购邀请书、项目服务需求、供应商须知、项目商务需求、网上竞采程序及方法、评审标准、无效响应和采购</w:t>
      </w:r>
      <w:r>
        <w:rPr>
          <w:rFonts w:hint="eastAsia" w:ascii="宋体" w:hAnsi="宋体" w:cs="宋体"/>
          <w:sz w:val="24"/>
          <w:szCs w:val="24"/>
          <w:lang w:eastAsia="zh-CN"/>
        </w:rPr>
        <w:t>终止</w:t>
      </w:r>
      <w:r>
        <w:rPr>
          <w:rFonts w:hint="eastAsia" w:ascii="宋体" w:hAnsi="宋体" w:cs="宋体"/>
          <w:b/>
          <w:sz w:val="24"/>
          <w:szCs w:val="24"/>
        </w:rPr>
        <w:t>、</w:t>
      </w:r>
      <w:r>
        <w:rPr>
          <w:rFonts w:hint="eastAsia" w:ascii="宋体" w:hAnsi="宋体" w:cs="宋体"/>
          <w:sz w:val="24"/>
          <w:szCs w:val="24"/>
        </w:rPr>
        <w:t>政府采购合同</w:t>
      </w:r>
      <w:r>
        <w:rPr>
          <w:rFonts w:hint="eastAsia" w:ascii="宋体" w:hAnsi="宋体" w:cs="宋体"/>
          <w:b/>
          <w:sz w:val="24"/>
          <w:szCs w:val="24"/>
        </w:rPr>
        <w:t>、</w:t>
      </w:r>
      <w:r>
        <w:rPr>
          <w:rFonts w:hint="eastAsia" w:ascii="宋体" w:hAnsi="宋体" w:cs="宋体"/>
          <w:sz w:val="24"/>
          <w:szCs w:val="24"/>
        </w:rPr>
        <w:t>响应文件编制要求</w:t>
      </w:r>
      <w:r>
        <w:rPr>
          <w:rFonts w:hint="eastAsia" w:ascii="宋体" w:hAnsi="宋体" w:cs="宋体"/>
          <w:sz w:val="24"/>
          <w:szCs w:val="24"/>
          <w:lang w:eastAsia="zh-CN"/>
        </w:rPr>
        <w:t>等九</w:t>
      </w:r>
      <w:r>
        <w:rPr>
          <w:rFonts w:hint="eastAsia" w:ascii="宋体" w:hAnsi="宋体" w:cs="宋体"/>
          <w:sz w:val="24"/>
          <w:szCs w:val="24"/>
        </w:rPr>
        <w:t>部分组成。</w:t>
      </w:r>
    </w:p>
    <w:p w14:paraId="03830EC5">
      <w:pPr>
        <w:snapToGrid w:val="0"/>
        <w:spacing w:line="360" w:lineRule="auto"/>
        <w:ind w:firstLine="480" w:firstLineChars="200"/>
        <w:rPr>
          <w:rFonts w:ascii="宋体" w:hAnsi="宋体" w:cs="宋体"/>
          <w:sz w:val="24"/>
          <w:szCs w:val="24"/>
        </w:rPr>
      </w:pPr>
      <w:r>
        <w:rPr>
          <w:rFonts w:hint="eastAsia" w:ascii="宋体" w:hAnsi="宋体" w:cs="宋体"/>
          <w:sz w:val="24"/>
          <w:szCs w:val="24"/>
        </w:rPr>
        <w:t>（二）采购人（或采购代理机构）所作的一切有效的书面通知、修改及补充，都是网上竞采文件不可分割的部分。</w:t>
      </w:r>
    </w:p>
    <w:p w14:paraId="446C2758">
      <w:pPr>
        <w:snapToGrid w:val="0"/>
        <w:spacing w:line="360" w:lineRule="auto"/>
        <w:ind w:firstLine="480" w:firstLineChars="200"/>
        <w:rPr>
          <w:rFonts w:ascii="宋体" w:hAnsi="宋体" w:cs="宋体"/>
          <w:sz w:val="24"/>
          <w:szCs w:val="24"/>
        </w:rPr>
      </w:pPr>
      <w:r>
        <w:rPr>
          <w:rFonts w:hint="eastAsia" w:ascii="宋体" w:hAnsi="宋体" w:cs="宋体"/>
          <w:sz w:val="24"/>
          <w:szCs w:val="24"/>
        </w:rPr>
        <w:t>（三）网上竞采文件的解释</w:t>
      </w:r>
    </w:p>
    <w:p w14:paraId="038FC113">
      <w:pPr>
        <w:spacing w:line="360" w:lineRule="auto"/>
        <w:ind w:firstLine="480" w:firstLineChars="200"/>
        <w:rPr>
          <w:rFonts w:ascii="宋体" w:hAnsi="宋体" w:cs="宋体"/>
          <w:sz w:val="24"/>
          <w:szCs w:val="24"/>
        </w:rPr>
      </w:pPr>
      <w:r>
        <w:rPr>
          <w:rFonts w:hint="eastAsia" w:ascii="宋体" w:hAnsi="宋体" w:cs="宋体"/>
          <w:sz w:val="24"/>
          <w:szCs w:val="24"/>
        </w:rPr>
        <w:t>供应商如对网上竞采文件有疑问，必须以书面形式在提交响应文件截止时间3个工作日前向采购人（或采购代理机构）要求澄清</w:t>
      </w:r>
      <w:r>
        <w:rPr>
          <w:rFonts w:hint="eastAsia" w:ascii="宋体" w:hAnsi="宋体" w:cs="宋体"/>
          <w:sz w:val="24"/>
          <w:szCs w:val="24"/>
          <w:lang w:eastAsia="zh-CN"/>
        </w:rPr>
        <w:t>；</w:t>
      </w:r>
      <w:r>
        <w:rPr>
          <w:rFonts w:hint="eastAsia" w:ascii="宋体" w:hAnsi="宋体" w:cs="宋体"/>
          <w:sz w:val="24"/>
          <w:szCs w:val="24"/>
        </w:rPr>
        <w:t>采购人（或采购代理机构）可视具体情况做出处理或答复。如供应商未提出疑问，视为完全理解并同意本网上竞采文件。一经进入网上竞采程序，即视为供应商已详细阅读全部文件资料，完全理解网上竞采文件所有条款内容</w:t>
      </w:r>
      <w:r>
        <w:rPr>
          <w:rFonts w:hint="eastAsia" w:ascii="宋体" w:hAnsi="宋体" w:cs="宋体"/>
          <w:sz w:val="24"/>
          <w:szCs w:val="24"/>
          <w:lang w:eastAsia="zh-CN"/>
        </w:rPr>
        <w:t>，并</w:t>
      </w:r>
      <w:r>
        <w:rPr>
          <w:rFonts w:hint="eastAsia" w:ascii="宋体" w:hAnsi="宋体" w:cs="宋体"/>
          <w:sz w:val="24"/>
          <w:szCs w:val="24"/>
        </w:rPr>
        <w:t>同意放弃对这方面有不明白及误解的权利。</w:t>
      </w:r>
      <w:bookmarkStart w:id="145" w:name="_Toc318159349"/>
      <w:bookmarkStart w:id="146" w:name="_Toc318159160"/>
      <w:bookmarkStart w:id="147" w:name="_Toc318159780"/>
      <w:bookmarkStart w:id="148" w:name="_Toc318166429"/>
    </w:p>
    <w:p w14:paraId="48198CFA">
      <w:pPr>
        <w:spacing w:line="360" w:lineRule="auto"/>
        <w:ind w:firstLine="480" w:firstLineChars="200"/>
        <w:rPr>
          <w:rFonts w:ascii="宋体" w:hAnsi="宋体" w:cs="宋体"/>
          <w:sz w:val="24"/>
          <w:szCs w:val="24"/>
        </w:rPr>
      </w:pPr>
      <w:r>
        <w:rPr>
          <w:rFonts w:hint="eastAsia" w:ascii="宋体" w:hAnsi="宋体" w:cs="宋体"/>
          <w:sz w:val="24"/>
          <w:szCs w:val="24"/>
        </w:rPr>
        <w:t>（四）评审的依据为网上竞采文件和响应文件（含有效的书面承诺）。竞采小组判断响应文件对网上竞采文件的响应，仅基于响应文件本身而不靠外部证据。</w:t>
      </w:r>
    </w:p>
    <w:bookmarkEnd w:id="145"/>
    <w:bookmarkEnd w:id="146"/>
    <w:bookmarkEnd w:id="147"/>
    <w:bookmarkEnd w:id="148"/>
    <w:p w14:paraId="35C9F593">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149" w:name="_Toc9005"/>
      <w:bookmarkStart w:id="150" w:name="_Toc102227318"/>
      <w:bookmarkStart w:id="151" w:name="_Toc342913392"/>
      <w:bookmarkStart w:id="152" w:name="_Toc23907"/>
      <w:bookmarkStart w:id="153" w:name="_Toc27379"/>
      <w:bookmarkStart w:id="154" w:name="_Toc76462340"/>
      <w:bookmarkStart w:id="155" w:name="_Toc22813"/>
      <w:bookmarkStart w:id="156" w:name="_Toc161742530"/>
      <w:bookmarkStart w:id="157" w:name="_Toc179714297"/>
      <w:r>
        <w:rPr>
          <w:rFonts w:hint="eastAsia" w:ascii="宋体" w:hAnsi="宋体" w:eastAsia="宋体" w:cs="宋体"/>
          <w:sz w:val="24"/>
        </w:rPr>
        <w:t>三、网上竞采要求</w:t>
      </w:r>
      <w:bookmarkEnd w:id="149"/>
      <w:bookmarkEnd w:id="150"/>
      <w:bookmarkEnd w:id="151"/>
      <w:bookmarkEnd w:id="152"/>
      <w:bookmarkEnd w:id="153"/>
      <w:bookmarkEnd w:id="154"/>
      <w:bookmarkEnd w:id="155"/>
      <w:bookmarkEnd w:id="156"/>
      <w:bookmarkEnd w:id="157"/>
    </w:p>
    <w:p w14:paraId="438ED4C9">
      <w:pPr>
        <w:spacing w:line="360" w:lineRule="auto"/>
        <w:ind w:firstLine="480" w:firstLineChars="200"/>
        <w:rPr>
          <w:rFonts w:ascii="宋体" w:hAnsi="宋体" w:cs="宋体"/>
          <w:sz w:val="24"/>
          <w:szCs w:val="24"/>
        </w:rPr>
      </w:pPr>
      <w:r>
        <w:rPr>
          <w:rFonts w:hint="eastAsia" w:ascii="宋体" w:hAnsi="宋体" w:cs="宋体"/>
          <w:sz w:val="24"/>
          <w:szCs w:val="24"/>
        </w:rPr>
        <w:t>（一）响应文件</w:t>
      </w:r>
    </w:p>
    <w:p w14:paraId="056DC360">
      <w:pPr>
        <w:spacing w:line="360" w:lineRule="auto"/>
        <w:ind w:firstLine="480" w:firstLineChars="200"/>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供应商应当按照网上竞采文件的要求编制响应文件，并对网上竞采文件提出的要求和条件作出实质性响应，响应文件应编制完整的页码</w:t>
      </w:r>
      <w:r>
        <w:rPr>
          <w:rFonts w:hint="eastAsia" w:ascii="宋体" w:hAnsi="宋体" w:cs="宋体"/>
          <w:sz w:val="24"/>
          <w:szCs w:val="24"/>
          <w:lang w:eastAsia="zh-CN"/>
        </w:rPr>
        <w:t>和</w:t>
      </w:r>
      <w:r>
        <w:rPr>
          <w:rFonts w:hint="eastAsia" w:ascii="宋体" w:hAnsi="宋体" w:cs="宋体"/>
          <w:sz w:val="24"/>
          <w:szCs w:val="24"/>
        </w:rPr>
        <w:t>目录。按照采购文件要求制作的响应文件电子版上传至行采家</w:t>
      </w:r>
      <w:r>
        <w:rPr>
          <w:rFonts w:hint="eastAsia" w:ascii="宋体" w:hAnsi="宋体" w:cs="宋体"/>
          <w:sz w:val="24"/>
          <w:szCs w:val="24"/>
          <w:lang w:val="en-US" w:eastAsia="zh-CN"/>
        </w:rPr>
        <w:t>-</w:t>
      </w:r>
      <w:r>
        <w:rPr>
          <w:rFonts w:hint="eastAsia" w:ascii="宋体" w:hAnsi="宋体" w:cs="宋体"/>
          <w:sz w:val="24"/>
          <w:szCs w:val="24"/>
        </w:rPr>
        <w:t>电子竞采（www.gec123.com/）。</w:t>
      </w:r>
    </w:p>
    <w:p w14:paraId="1982FB05">
      <w:pPr>
        <w:spacing w:line="360" w:lineRule="auto"/>
        <w:ind w:firstLine="480" w:firstLineChars="200"/>
        <w:rPr>
          <w:rFonts w:ascii="宋体" w:hAnsi="宋体" w:cs="宋体"/>
          <w:sz w:val="24"/>
          <w:szCs w:val="24"/>
        </w:rPr>
      </w:pPr>
      <w:r>
        <w:rPr>
          <w:rFonts w:hint="eastAsia" w:ascii="宋体" w:hAnsi="宋体" w:cs="宋体"/>
          <w:sz w:val="24"/>
          <w:szCs w:val="24"/>
        </w:rPr>
        <w:t>2.响应文件组成</w:t>
      </w:r>
    </w:p>
    <w:p w14:paraId="7DBA574E">
      <w:pPr>
        <w:spacing w:line="360" w:lineRule="auto"/>
        <w:ind w:firstLine="480" w:firstLineChars="200"/>
        <w:rPr>
          <w:rFonts w:ascii="宋体" w:hAnsi="宋体" w:cs="宋体"/>
          <w:sz w:val="24"/>
          <w:szCs w:val="24"/>
        </w:rPr>
      </w:pPr>
      <w:r>
        <w:rPr>
          <w:rFonts w:hint="eastAsia" w:ascii="宋体" w:hAnsi="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619E926">
      <w:pPr>
        <w:spacing w:line="360" w:lineRule="auto"/>
        <w:ind w:firstLine="480" w:firstLineChars="200"/>
        <w:rPr>
          <w:rFonts w:ascii="宋体" w:hAnsi="宋体" w:cs="宋体"/>
          <w:sz w:val="24"/>
          <w:szCs w:val="24"/>
        </w:rPr>
      </w:pPr>
      <w:r>
        <w:rPr>
          <w:rFonts w:hint="eastAsia" w:ascii="宋体" w:hAnsi="宋体" w:cs="宋体"/>
          <w:sz w:val="24"/>
          <w:szCs w:val="24"/>
        </w:rPr>
        <w:t>（二）本项目不接受联合体参与竞采。</w:t>
      </w:r>
    </w:p>
    <w:p w14:paraId="54C95586">
      <w:pPr>
        <w:spacing w:line="360" w:lineRule="auto"/>
        <w:ind w:firstLine="480" w:firstLineChars="200"/>
        <w:rPr>
          <w:rFonts w:ascii="宋体" w:hAnsi="宋体" w:cs="宋体"/>
          <w:sz w:val="24"/>
          <w:szCs w:val="24"/>
        </w:rPr>
      </w:pPr>
      <w:r>
        <w:rPr>
          <w:rFonts w:hint="eastAsia" w:ascii="宋体" w:hAnsi="宋体" w:cs="宋体"/>
          <w:sz w:val="24"/>
          <w:szCs w:val="24"/>
        </w:rPr>
        <w:t>（三）网上竞采有效期：响应文件及有关承诺文件有效期为提交响应文件截止时间起90天。</w:t>
      </w:r>
    </w:p>
    <w:p w14:paraId="42B6E0E9">
      <w:pPr>
        <w:spacing w:line="360" w:lineRule="auto"/>
        <w:ind w:firstLine="480" w:firstLineChars="200"/>
        <w:rPr>
          <w:rFonts w:ascii="宋体" w:hAnsi="宋体" w:cs="宋体"/>
          <w:sz w:val="24"/>
          <w:szCs w:val="24"/>
        </w:rPr>
      </w:pPr>
      <w:r>
        <w:rPr>
          <w:rFonts w:hint="eastAsia" w:ascii="宋体" w:hAnsi="宋体" w:cs="宋体"/>
          <w:sz w:val="24"/>
          <w:szCs w:val="24"/>
        </w:rPr>
        <w:t>（四）修正错误</w:t>
      </w:r>
    </w:p>
    <w:p w14:paraId="7267ECA9">
      <w:pPr>
        <w:spacing w:line="360" w:lineRule="auto"/>
        <w:ind w:firstLine="480" w:firstLineChars="200"/>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若供应商所递交的响应文件报价中的价格出现大写金额和小写金额不一致的错误，以大写金额修正为准。</w:t>
      </w:r>
    </w:p>
    <w:p w14:paraId="0E3362C0">
      <w:pPr>
        <w:spacing w:line="360" w:lineRule="auto"/>
        <w:ind w:firstLine="480" w:firstLineChars="200"/>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若供应商所上传的响应文件中报价函价格与行采家</w:t>
      </w:r>
      <w:r>
        <w:rPr>
          <w:rFonts w:hint="eastAsia" w:ascii="宋体" w:hAnsi="宋体" w:cs="宋体"/>
          <w:sz w:val="24"/>
          <w:szCs w:val="24"/>
          <w:lang w:val="en-US" w:eastAsia="zh-CN"/>
        </w:rPr>
        <w:t>-</w:t>
      </w:r>
      <w:r>
        <w:rPr>
          <w:rFonts w:hint="eastAsia" w:ascii="宋体" w:hAnsi="宋体" w:cs="宋体"/>
          <w:sz w:val="24"/>
          <w:szCs w:val="24"/>
        </w:rPr>
        <w:t>电子竞采（www.gec123.com/）所填报的价格不一致，以行采家</w:t>
      </w:r>
      <w:r>
        <w:rPr>
          <w:rFonts w:hint="eastAsia" w:ascii="宋体" w:hAnsi="宋体" w:cs="宋体"/>
          <w:sz w:val="24"/>
          <w:szCs w:val="24"/>
          <w:lang w:val="en-US" w:eastAsia="zh-CN"/>
        </w:rPr>
        <w:t>-</w:t>
      </w:r>
      <w:r>
        <w:rPr>
          <w:rFonts w:hint="eastAsia" w:ascii="宋体" w:hAnsi="宋体" w:cs="宋体"/>
          <w:sz w:val="24"/>
          <w:szCs w:val="24"/>
        </w:rPr>
        <w:t>电子竞采（www.gec123.com/）报价为准。</w:t>
      </w:r>
    </w:p>
    <w:p w14:paraId="15FF5196">
      <w:pPr>
        <w:snapToGrid w:val="0"/>
        <w:spacing w:line="360" w:lineRule="auto"/>
        <w:ind w:firstLine="480" w:firstLineChars="200"/>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评审小组按上述修正错误的原则及方法修正供应商的报价，供应商须默认上述修正方式，修正后的报价对供应商具有约束作用。如果供应商不接受修正后的价格，将失去成为成交供应商的资格。</w:t>
      </w:r>
    </w:p>
    <w:p w14:paraId="25374D0A">
      <w:pPr>
        <w:snapToGrid w:val="0"/>
        <w:spacing w:line="360" w:lineRule="auto"/>
        <w:ind w:firstLine="480" w:firstLineChars="200"/>
        <w:rPr>
          <w:rFonts w:ascii="宋体" w:hAnsi="宋体" w:cs="宋体"/>
          <w:sz w:val="24"/>
          <w:szCs w:val="24"/>
        </w:rPr>
      </w:pPr>
      <w:r>
        <w:rPr>
          <w:rFonts w:hint="eastAsia" w:ascii="宋体" w:hAnsi="宋体" w:cs="宋体"/>
          <w:sz w:val="24"/>
          <w:szCs w:val="24"/>
        </w:rPr>
        <w:t>（五）提交响应文件的份数和签署</w:t>
      </w:r>
    </w:p>
    <w:p w14:paraId="0529EF2B">
      <w:pPr>
        <w:snapToGrid w:val="0"/>
        <w:spacing w:before="48" w:beforeLines="20" w:line="360" w:lineRule="auto"/>
        <w:ind w:firstLine="480" w:firstLineChars="200"/>
        <w:rPr>
          <w:rFonts w:hint="eastAsia" w:ascii="宋体" w:hAnsi="宋体" w:cs="宋体"/>
          <w:b w:val="0"/>
          <w:bCs/>
          <w:color w:val="auto"/>
          <w:sz w:val="24"/>
          <w:szCs w:val="24"/>
          <w:highlight w:val="none"/>
        </w:rPr>
      </w:pPr>
      <w:bookmarkStart w:id="158" w:name="_Toc16640"/>
      <w:bookmarkStart w:id="159" w:name="_Toc6231"/>
      <w:bookmarkStart w:id="160" w:name="_Toc76462341"/>
      <w:bookmarkStart w:id="161" w:name="_Toc161742531"/>
      <w:bookmarkStart w:id="162" w:name="_Toc4840"/>
      <w:bookmarkStart w:id="163" w:name="_Toc3639"/>
      <w:r>
        <w:rPr>
          <w:rFonts w:hint="eastAsia" w:ascii="宋体" w:hAnsi="宋体" w:cs="宋体"/>
          <w:b w:val="0"/>
          <w:bCs/>
          <w:color w:val="auto"/>
          <w:sz w:val="24"/>
          <w:szCs w:val="24"/>
          <w:highlight w:val="none"/>
        </w:rPr>
        <w:t>1. 供应商线上报名、报价时需上传盖章后完整的响应文件电子文档一份。</w:t>
      </w:r>
    </w:p>
    <w:p w14:paraId="2FF2DFC7">
      <w:pPr>
        <w:snapToGrid w:val="0"/>
        <w:spacing w:before="48" w:beforeLines="20"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2. 采购人将以线上递交的应文件作为评判依据。</w:t>
      </w:r>
    </w:p>
    <w:p w14:paraId="51E5543A">
      <w:pPr>
        <w:snapToGrid w:val="0"/>
        <w:spacing w:before="48" w:beforeLines="20"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3.电报、电话、传真、线下形式的响应文件概不接受。</w:t>
      </w:r>
    </w:p>
    <w:p w14:paraId="24E48D83">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r>
        <w:rPr>
          <w:rFonts w:hint="eastAsia" w:ascii="宋体" w:hAnsi="宋体" w:eastAsia="宋体" w:cs="宋体"/>
          <w:sz w:val="24"/>
        </w:rPr>
        <w:t>四、成交供应商的确认和变更</w:t>
      </w:r>
      <w:bookmarkEnd w:id="158"/>
      <w:bookmarkEnd w:id="159"/>
      <w:bookmarkEnd w:id="160"/>
      <w:bookmarkEnd w:id="161"/>
      <w:bookmarkEnd w:id="162"/>
      <w:bookmarkEnd w:id="163"/>
    </w:p>
    <w:p w14:paraId="513CC170">
      <w:pPr>
        <w:snapToGrid w:val="0"/>
        <w:spacing w:line="360" w:lineRule="auto"/>
        <w:ind w:firstLine="480" w:firstLineChars="200"/>
        <w:outlineLvl w:val="2"/>
        <w:rPr>
          <w:rFonts w:ascii="宋体" w:hAnsi="宋体" w:cs="宋体"/>
          <w:sz w:val="24"/>
          <w:szCs w:val="24"/>
        </w:rPr>
      </w:pPr>
      <w:bookmarkStart w:id="164" w:name="_Toc1177"/>
      <w:r>
        <w:rPr>
          <w:rFonts w:hint="eastAsia" w:ascii="宋体" w:hAnsi="宋体" w:cs="宋体"/>
          <w:sz w:val="24"/>
          <w:szCs w:val="24"/>
        </w:rPr>
        <w:t>（一）成交供应商的确认</w:t>
      </w:r>
      <w:bookmarkEnd w:id="164"/>
    </w:p>
    <w:p w14:paraId="41AA6F98">
      <w:pPr>
        <w:snapToGrid w:val="0"/>
        <w:spacing w:line="360" w:lineRule="auto"/>
        <w:ind w:firstLine="480" w:firstLineChars="200"/>
        <w:outlineLvl w:val="2"/>
        <w:rPr>
          <w:rFonts w:ascii="宋体" w:hAnsi="宋体" w:cs="宋体"/>
          <w:sz w:val="24"/>
          <w:szCs w:val="24"/>
        </w:rPr>
      </w:pPr>
      <w:bookmarkStart w:id="165" w:name="_Toc6716"/>
      <w:r>
        <w:rPr>
          <w:rFonts w:hint="eastAsia" w:ascii="宋体" w:hAnsi="宋体" w:cs="宋体"/>
          <w:sz w:val="24"/>
          <w:szCs w:val="24"/>
        </w:rPr>
        <w:t>采购人从评审报告提出的成交候选供应商中，按照得分排序由高到低的原则确定成交供应商。</w:t>
      </w:r>
      <w:bookmarkEnd w:id="165"/>
    </w:p>
    <w:p w14:paraId="2799D10B">
      <w:pPr>
        <w:snapToGrid w:val="0"/>
        <w:spacing w:line="360" w:lineRule="auto"/>
        <w:ind w:firstLine="480" w:firstLineChars="200"/>
        <w:outlineLvl w:val="2"/>
        <w:rPr>
          <w:rFonts w:ascii="宋体" w:hAnsi="宋体" w:cs="宋体"/>
          <w:sz w:val="24"/>
          <w:szCs w:val="24"/>
        </w:rPr>
      </w:pPr>
      <w:bookmarkStart w:id="166" w:name="_Toc25337"/>
      <w:r>
        <w:rPr>
          <w:rFonts w:hint="eastAsia" w:ascii="宋体" w:hAnsi="宋体" w:cs="宋体"/>
          <w:sz w:val="24"/>
          <w:szCs w:val="24"/>
        </w:rPr>
        <w:t>（二）成交供应商的变更</w:t>
      </w:r>
      <w:bookmarkEnd w:id="166"/>
    </w:p>
    <w:p w14:paraId="2BEE8B37">
      <w:pPr>
        <w:spacing w:line="360" w:lineRule="auto"/>
        <w:ind w:firstLine="480" w:firstLineChars="200"/>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成交供应商因不可抗力或者自身原因不能履行合同的，采购人可以按照评标报告推荐的成交候选供应商顺序，确定排名下一位的候选人为成交供应商，也可以重新开展竞采。</w:t>
      </w:r>
    </w:p>
    <w:p w14:paraId="7991EC72">
      <w:pPr>
        <w:spacing w:line="360" w:lineRule="auto"/>
        <w:ind w:firstLine="480" w:firstLineChars="200"/>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成交供应商无充分理由放弃成交的，采购人将会把相关情况报财政部门，由财政局进行处理，平台也会按照平台规则对供应商进行相应处理。</w:t>
      </w:r>
      <w:bookmarkStart w:id="167" w:name="_Toc76462342"/>
    </w:p>
    <w:p w14:paraId="46B52E20">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168" w:name="_Toc9560"/>
      <w:bookmarkStart w:id="169" w:name="_Toc161742532"/>
      <w:bookmarkStart w:id="170" w:name="_Toc11010"/>
      <w:bookmarkStart w:id="171" w:name="_Toc27117"/>
      <w:bookmarkStart w:id="172" w:name="_Toc3508"/>
      <w:r>
        <w:rPr>
          <w:rFonts w:hint="eastAsia" w:ascii="宋体" w:hAnsi="宋体" w:eastAsia="宋体" w:cs="宋体"/>
          <w:sz w:val="24"/>
        </w:rPr>
        <w:t>五、成交通知</w:t>
      </w:r>
      <w:bookmarkEnd w:id="167"/>
      <w:bookmarkEnd w:id="168"/>
      <w:bookmarkEnd w:id="169"/>
      <w:bookmarkEnd w:id="170"/>
      <w:bookmarkEnd w:id="171"/>
      <w:bookmarkEnd w:id="172"/>
    </w:p>
    <w:p w14:paraId="6CED95CD">
      <w:pPr>
        <w:spacing w:line="360" w:lineRule="auto"/>
        <w:ind w:firstLine="480" w:firstLineChars="200"/>
        <w:rPr>
          <w:rFonts w:ascii="宋体" w:hAnsi="宋体" w:cs="宋体"/>
          <w:sz w:val="24"/>
          <w:szCs w:val="24"/>
        </w:rPr>
      </w:pPr>
      <w:r>
        <w:rPr>
          <w:rFonts w:hint="eastAsia" w:ascii="宋体" w:hAnsi="宋体" w:cs="宋体"/>
          <w:sz w:val="24"/>
          <w:szCs w:val="24"/>
        </w:rPr>
        <w:t>（一）成交供应商确定后，采购代理机构将在</w:t>
      </w:r>
      <w:r>
        <w:rPr>
          <w:rFonts w:hint="eastAsia" w:ascii="宋体" w:hAnsi="宋体" w:cs="宋体"/>
          <w:sz w:val="24"/>
        </w:rPr>
        <w:t>行采家·电子竞采（www.gec123.com/）</w:t>
      </w:r>
      <w:r>
        <w:rPr>
          <w:rFonts w:hint="eastAsia" w:ascii="宋体" w:hAnsi="宋体" w:cs="宋体"/>
          <w:sz w:val="24"/>
          <w:szCs w:val="24"/>
        </w:rPr>
        <w:t>平台上发布成交结果公示。</w:t>
      </w:r>
    </w:p>
    <w:p w14:paraId="69271FF5">
      <w:pPr>
        <w:spacing w:line="360" w:lineRule="auto"/>
        <w:ind w:firstLine="480" w:firstLineChars="200"/>
        <w:rPr>
          <w:rFonts w:ascii="宋体" w:hAnsi="宋体" w:cs="宋体"/>
          <w:sz w:val="24"/>
          <w:szCs w:val="24"/>
        </w:rPr>
      </w:pPr>
      <w:r>
        <w:rPr>
          <w:rFonts w:hint="eastAsia" w:ascii="宋体" w:hAnsi="宋体" w:cs="宋体"/>
          <w:sz w:val="24"/>
          <w:szCs w:val="24"/>
        </w:rPr>
        <w:t>（二）结果公告发出同时，采购代理机构将以书面形式发出《成交通知书》。《成交通知书》一经发出即发生法律效力。</w:t>
      </w:r>
    </w:p>
    <w:p w14:paraId="48565BDA">
      <w:pPr>
        <w:spacing w:line="360" w:lineRule="auto"/>
        <w:ind w:firstLine="480" w:firstLineChars="200"/>
        <w:rPr>
          <w:rFonts w:ascii="宋体" w:hAnsi="宋体" w:cs="宋体"/>
          <w:sz w:val="24"/>
          <w:szCs w:val="24"/>
        </w:rPr>
      </w:pPr>
      <w:r>
        <w:rPr>
          <w:rFonts w:hint="eastAsia" w:ascii="宋体" w:hAnsi="宋体" w:cs="宋体"/>
          <w:sz w:val="24"/>
          <w:szCs w:val="24"/>
        </w:rPr>
        <w:t>（三）《成交通知书》将作为签订合同的依据。</w:t>
      </w:r>
    </w:p>
    <w:p w14:paraId="2E467684">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173" w:name="_Toc76462343"/>
      <w:bookmarkStart w:id="174" w:name="_Toc161742533"/>
      <w:bookmarkStart w:id="175" w:name="_Toc1658"/>
      <w:bookmarkStart w:id="176" w:name="_Toc32010"/>
      <w:bookmarkStart w:id="177" w:name="_Toc26144"/>
      <w:bookmarkStart w:id="178" w:name="_Toc28318"/>
      <w:r>
        <w:rPr>
          <w:rFonts w:hint="eastAsia" w:ascii="宋体" w:hAnsi="宋体" w:eastAsia="宋体" w:cs="宋体"/>
          <w:sz w:val="24"/>
        </w:rPr>
        <w:t>六、关于质疑和投诉</w:t>
      </w:r>
      <w:bookmarkEnd w:id="173"/>
      <w:bookmarkEnd w:id="174"/>
      <w:bookmarkEnd w:id="175"/>
      <w:bookmarkEnd w:id="176"/>
      <w:bookmarkEnd w:id="177"/>
      <w:bookmarkEnd w:id="178"/>
    </w:p>
    <w:p w14:paraId="289B719E">
      <w:pPr>
        <w:spacing w:line="360" w:lineRule="auto"/>
        <w:ind w:firstLine="480" w:firstLineChars="200"/>
        <w:outlineLvl w:val="2"/>
        <w:rPr>
          <w:rFonts w:ascii="宋体" w:hAnsi="宋体" w:cs="宋体"/>
          <w:sz w:val="24"/>
          <w:szCs w:val="24"/>
        </w:rPr>
      </w:pPr>
      <w:bookmarkStart w:id="179" w:name="_Toc2390"/>
      <w:r>
        <w:rPr>
          <w:rFonts w:hint="eastAsia" w:ascii="宋体" w:hAnsi="宋体" w:cs="宋体"/>
          <w:sz w:val="24"/>
          <w:szCs w:val="24"/>
        </w:rPr>
        <w:t>（一）质疑</w:t>
      </w:r>
      <w:bookmarkEnd w:id="179"/>
    </w:p>
    <w:p w14:paraId="199ED884">
      <w:pPr>
        <w:spacing w:line="360" w:lineRule="auto"/>
        <w:ind w:firstLine="480" w:firstLineChars="200"/>
        <w:rPr>
          <w:rFonts w:ascii="宋体" w:hAnsi="宋体" w:cs="宋体"/>
          <w:sz w:val="24"/>
          <w:szCs w:val="24"/>
        </w:rPr>
      </w:pPr>
      <w:r>
        <w:rPr>
          <w:rFonts w:hint="eastAsia" w:ascii="宋体" w:hAnsi="宋体" w:cs="宋体"/>
          <w:sz w:val="24"/>
          <w:szCs w:val="24"/>
        </w:rPr>
        <w:t>供应商认为采购文件、采购过程和成交结果使自己的权益受到损害的，可向采购人或采购代理机构以书面形式</w:t>
      </w:r>
      <w:r>
        <w:rPr>
          <w:rFonts w:hint="eastAsia" w:ascii="宋体" w:hAnsi="宋体" w:cs="宋体"/>
          <w:sz w:val="24"/>
          <w:szCs w:val="24"/>
          <w:lang w:eastAsia="zh-CN"/>
        </w:rPr>
        <w:t>质疑</w:t>
      </w:r>
      <w:r>
        <w:rPr>
          <w:rFonts w:hint="eastAsia" w:ascii="宋体" w:hAnsi="宋体" w:cs="宋体"/>
          <w:sz w:val="24"/>
          <w:szCs w:val="24"/>
        </w:rPr>
        <w:t>。</w:t>
      </w:r>
    </w:p>
    <w:p w14:paraId="336B4369">
      <w:pPr>
        <w:spacing w:line="360" w:lineRule="auto"/>
        <w:ind w:firstLine="480" w:firstLineChars="200"/>
        <w:rPr>
          <w:rFonts w:ascii="宋体" w:hAnsi="宋体" w:cs="宋体"/>
          <w:sz w:val="24"/>
          <w:szCs w:val="24"/>
        </w:rPr>
      </w:pPr>
      <w:r>
        <w:rPr>
          <w:rFonts w:hint="eastAsia" w:ascii="宋体" w:hAnsi="宋体" w:cs="宋体"/>
          <w:sz w:val="24"/>
          <w:szCs w:val="24"/>
        </w:rPr>
        <w:t xml:space="preserve">提出质疑的应当是参与所质疑项目采购活动的供应商。 </w:t>
      </w:r>
    </w:p>
    <w:p w14:paraId="5BFDF7EF">
      <w:pPr>
        <w:spacing w:line="360" w:lineRule="auto"/>
        <w:ind w:right="12" w:firstLine="480"/>
        <w:outlineLvl w:val="2"/>
        <w:rPr>
          <w:rFonts w:ascii="宋体" w:hAnsi="宋体" w:cs="宋体"/>
          <w:sz w:val="24"/>
        </w:rPr>
      </w:pPr>
      <w:bookmarkStart w:id="180" w:name="_Toc7799"/>
      <w:r>
        <w:rPr>
          <w:rFonts w:hint="eastAsia" w:ascii="宋体" w:hAnsi="宋体" w:cs="宋体"/>
          <w:sz w:val="24"/>
        </w:rPr>
        <w:t>1.质疑时限、内容</w:t>
      </w:r>
      <w:bookmarkEnd w:id="180"/>
    </w:p>
    <w:p w14:paraId="486044D7">
      <w:pPr>
        <w:spacing w:line="360" w:lineRule="auto"/>
        <w:ind w:right="12" w:firstLine="480"/>
        <w:rPr>
          <w:rFonts w:ascii="宋体" w:hAnsi="宋体" w:cs="宋体"/>
          <w:sz w:val="24"/>
        </w:rPr>
      </w:pPr>
      <w:r>
        <w:rPr>
          <w:rFonts w:hint="eastAsia" w:ascii="宋体" w:hAnsi="宋体" w:cs="宋体"/>
          <w:sz w:val="24"/>
        </w:rPr>
        <w:t>供应商认为采购文件、采购过程、成交结果使自己的权益受到损害的，可以在知道或者应知其权益受到损害之日起7个工作日内，以书面形式向采购人、采购代理机构提出质疑。</w:t>
      </w:r>
    </w:p>
    <w:p w14:paraId="466B1FE8">
      <w:pPr>
        <w:spacing w:line="360" w:lineRule="auto"/>
        <w:ind w:right="12" w:firstLine="480"/>
        <w:rPr>
          <w:rFonts w:ascii="宋体" w:hAnsi="宋体" w:cs="宋体"/>
          <w:sz w:val="24"/>
        </w:rPr>
      </w:pPr>
      <w:r>
        <w:rPr>
          <w:rFonts w:hint="eastAsia" w:ascii="宋体" w:hAnsi="宋体" w:cs="宋体"/>
          <w:sz w:val="24"/>
        </w:rPr>
        <w:t>1.2</w:t>
      </w:r>
      <w:r>
        <w:rPr>
          <w:rFonts w:hint="eastAsia" w:ascii="宋体" w:hAnsi="宋体" w:cs="宋体"/>
          <w:sz w:val="24"/>
          <w:lang w:eastAsia="zh-CN"/>
        </w:rPr>
        <w:t xml:space="preserve"> 供应商</w:t>
      </w:r>
      <w:r>
        <w:rPr>
          <w:rFonts w:hint="eastAsia" w:ascii="宋体" w:hAnsi="宋体" w:cs="宋体"/>
          <w:sz w:val="24"/>
        </w:rPr>
        <w:t>提出质疑应当提交质疑函和必要的证明材料，质疑函应当包括下列内容：</w:t>
      </w:r>
    </w:p>
    <w:p w14:paraId="5AC485AD">
      <w:pPr>
        <w:spacing w:line="360" w:lineRule="auto"/>
        <w:ind w:right="12" w:firstLine="480"/>
        <w:rPr>
          <w:rFonts w:ascii="宋体" w:hAnsi="宋体" w:cs="宋体"/>
          <w:sz w:val="24"/>
        </w:rPr>
      </w:pPr>
      <w:r>
        <w:rPr>
          <w:rFonts w:hint="eastAsia" w:ascii="宋体" w:hAnsi="宋体" w:cs="宋体"/>
          <w:sz w:val="24"/>
        </w:rPr>
        <w:t>1.2.1</w:t>
      </w:r>
      <w:r>
        <w:rPr>
          <w:rFonts w:hint="eastAsia" w:ascii="宋体" w:hAnsi="宋体" w:cs="宋体"/>
          <w:sz w:val="24"/>
          <w:lang w:eastAsia="zh-CN"/>
        </w:rPr>
        <w:t xml:space="preserve"> 供应商</w:t>
      </w:r>
      <w:r>
        <w:rPr>
          <w:rFonts w:hint="eastAsia" w:ascii="宋体" w:hAnsi="宋体" w:cs="宋体"/>
          <w:sz w:val="24"/>
        </w:rPr>
        <w:t>的姓名或者名称、地址、邮编、联系人及联系电话；</w:t>
      </w:r>
    </w:p>
    <w:p w14:paraId="10CEF472">
      <w:pPr>
        <w:spacing w:line="360" w:lineRule="auto"/>
        <w:ind w:right="12" w:firstLine="480"/>
        <w:rPr>
          <w:rFonts w:ascii="宋体" w:hAnsi="宋体" w:cs="宋体"/>
          <w:sz w:val="24"/>
        </w:rPr>
      </w:pPr>
      <w:r>
        <w:rPr>
          <w:rFonts w:hint="eastAsia" w:ascii="宋体" w:hAnsi="宋体" w:cs="宋体"/>
          <w:sz w:val="24"/>
        </w:rPr>
        <w:t>1.2.2</w:t>
      </w:r>
      <w:r>
        <w:rPr>
          <w:rFonts w:hint="eastAsia" w:ascii="宋体" w:hAnsi="宋体" w:cs="宋体"/>
          <w:sz w:val="24"/>
          <w:lang w:eastAsia="zh-CN"/>
        </w:rPr>
        <w:t xml:space="preserve"> 质疑</w:t>
      </w:r>
      <w:r>
        <w:rPr>
          <w:rFonts w:hint="eastAsia" w:ascii="宋体" w:hAnsi="宋体" w:cs="宋体"/>
          <w:sz w:val="24"/>
        </w:rPr>
        <w:t>项目的名称、项目号以及采购执行编号；</w:t>
      </w:r>
    </w:p>
    <w:p w14:paraId="7187C57C">
      <w:pPr>
        <w:spacing w:line="360" w:lineRule="auto"/>
        <w:ind w:right="12" w:firstLine="480"/>
        <w:rPr>
          <w:rFonts w:ascii="宋体" w:hAnsi="宋体" w:cs="宋体"/>
          <w:sz w:val="24"/>
        </w:rPr>
      </w:pPr>
      <w:r>
        <w:rPr>
          <w:rFonts w:hint="eastAsia" w:ascii="宋体" w:hAnsi="宋体" w:cs="宋体"/>
          <w:sz w:val="24"/>
        </w:rPr>
        <w:t>1.2.3</w:t>
      </w:r>
      <w:r>
        <w:rPr>
          <w:rFonts w:hint="eastAsia" w:ascii="宋体" w:hAnsi="宋体" w:cs="宋体"/>
          <w:sz w:val="24"/>
          <w:lang w:eastAsia="zh-CN"/>
        </w:rPr>
        <w:t xml:space="preserve"> 具体</w:t>
      </w:r>
      <w:r>
        <w:rPr>
          <w:rFonts w:hint="eastAsia" w:ascii="宋体" w:hAnsi="宋体" w:cs="宋体"/>
          <w:sz w:val="24"/>
        </w:rPr>
        <w:t>、明确的质疑事项和与质疑事项相关的请求；</w:t>
      </w:r>
    </w:p>
    <w:p w14:paraId="31813FA7">
      <w:pPr>
        <w:spacing w:line="360" w:lineRule="auto"/>
        <w:ind w:right="12" w:firstLine="480"/>
        <w:rPr>
          <w:rFonts w:ascii="宋体" w:hAnsi="宋体" w:cs="宋体"/>
          <w:sz w:val="24"/>
        </w:rPr>
      </w:pPr>
      <w:r>
        <w:rPr>
          <w:rFonts w:hint="eastAsia" w:ascii="宋体" w:hAnsi="宋体" w:cs="宋体"/>
          <w:sz w:val="24"/>
        </w:rPr>
        <w:t>1.2.4</w:t>
      </w:r>
      <w:r>
        <w:rPr>
          <w:rFonts w:hint="eastAsia" w:ascii="宋体" w:hAnsi="宋体" w:cs="宋体"/>
          <w:sz w:val="24"/>
          <w:lang w:eastAsia="zh-CN"/>
        </w:rPr>
        <w:t xml:space="preserve"> 事实</w:t>
      </w:r>
      <w:r>
        <w:rPr>
          <w:rFonts w:hint="eastAsia" w:ascii="宋体" w:hAnsi="宋体" w:cs="宋体"/>
          <w:sz w:val="24"/>
        </w:rPr>
        <w:t>依据；</w:t>
      </w:r>
    </w:p>
    <w:p w14:paraId="0E5D9728">
      <w:pPr>
        <w:spacing w:line="360" w:lineRule="auto"/>
        <w:ind w:right="12" w:firstLine="480"/>
        <w:rPr>
          <w:rFonts w:ascii="宋体" w:hAnsi="宋体" w:cs="宋体"/>
          <w:sz w:val="24"/>
        </w:rPr>
      </w:pPr>
      <w:r>
        <w:rPr>
          <w:rFonts w:hint="eastAsia" w:ascii="宋体" w:hAnsi="宋体" w:cs="宋体"/>
          <w:sz w:val="24"/>
        </w:rPr>
        <w:t>1.2.5</w:t>
      </w:r>
      <w:r>
        <w:rPr>
          <w:rFonts w:hint="eastAsia" w:ascii="宋体" w:hAnsi="宋体" w:cs="宋体"/>
          <w:sz w:val="24"/>
          <w:lang w:eastAsia="zh-CN"/>
        </w:rPr>
        <w:t xml:space="preserve"> 必要</w:t>
      </w:r>
      <w:r>
        <w:rPr>
          <w:rFonts w:hint="eastAsia" w:ascii="宋体" w:hAnsi="宋体" w:cs="宋体"/>
          <w:sz w:val="24"/>
        </w:rPr>
        <w:t>的法律依据；</w:t>
      </w:r>
    </w:p>
    <w:p w14:paraId="34926C66">
      <w:pPr>
        <w:spacing w:line="360" w:lineRule="auto"/>
        <w:ind w:right="12" w:firstLine="480"/>
        <w:rPr>
          <w:rFonts w:ascii="宋体" w:hAnsi="宋体" w:cs="宋体"/>
          <w:sz w:val="24"/>
        </w:rPr>
      </w:pPr>
      <w:r>
        <w:rPr>
          <w:rFonts w:hint="eastAsia" w:ascii="宋体" w:hAnsi="宋体" w:cs="宋体"/>
          <w:sz w:val="24"/>
        </w:rPr>
        <w:t>1.2.6</w:t>
      </w:r>
      <w:r>
        <w:rPr>
          <w:rFonts w:hint="eastAsia" w:ascii="宋体" w:hAnsi="宋体" w:cs="宋体"/>
          <w:sz w:val="24"/>
          <w:lang w:eastAsia="zh-CN"/>
        </w:rPr>
        <w:t xml:space="preserve"> 提出</w:t>
      </w:r>
      <w:r>
        <w:rPr>
          <w:rFonts w:hint="eastAsia" w:ascii="宋体" w:hAnsi="宋体" w:cs="宋体"/>
          <w:sz w:val="24"/>
        </w:rPr>
        <w:t>质疑的日期；</w:t>
      </w:r>
    </w:p>
    <w:p w14:paraId="1979E035">
      <w:pPr>
        <w:spacing w:line="360" w:lineRule="auto"/>
        <w:ind w:right="12" w:firstLine="480"/>
        <w:rPr>
          <w:rFonts w:ascii="宋体" w:hAnsi="宋体" w:cs="宋体"/>
          <w:sz w:val="24"/>
        </w:rPr>
      </w:pPr>
      <w:r>
        <w:rPr>
          <w:rFonts w:hint="eastAsia" w:ascii="宋体" w:hAnsi="宋体" w:cs="宋体"/>
          <w:sz w:val="24"/>
        </w:rPr>
        <w:t>1.2.7</w:t>
      </w:r>
      <w:r>
        <w:rPr>
          <w:rFonts w:hint="eastAsia" w:ascii="宋体" w:hAnsi="宋体" w:cs="宋体"/>
          <w:sz w:val="24"/>
          <w:lang w:eastAsia="zh-CN"/>
        </w:rPr>
        <w:t xml:space="preserve"> 营业执照</w:t>
      </w:r>
      <w:r>
        <w:rPr>
          <w:rFonts w:hint="eastAsia" w:ascii="宋体" w:hAnsi="宋体" w:cs="宋体"/>
          <w:sz w:val="24"/>
        </w:rPr>
        <w:t>（或事业单位法人证书，或个体工商户营业执照或有效的自然人身份证明）复印件；</w:t>
      </w:r>
    </w:p>
    <w:p w14:paraId="37CA3940">
      <w:pPr>
        <w:spacing w:line="360" w:lineRule="auto"/>
        <w:ind w:right="12" w:firstLine="480"/>
        <w:rPr>
          <w:rFonts w:ascii="宋体" w:hAnsi="宋体" w:cs="宋体"/>
          <w:sz w:val="24"/>
        </w:rPr>
      </w:pPr>
      <w:r>
        <w:rPr>
          <w:rFonts w:hint="eastAsia" w:ascii="宋体" w:hAnsi="宋体" w:cs="宋体"/>
          <w:sz w:val="24"/>
        </w:rPr>
        <w:t>1.2.8</w:t>
      </w:r>
      <w:r>
        <w:rPr>
          <w:rFonts w:hint="eastAsia" w:ascii="宋体" w:hAnsi="宋体" w:cs="宋体"/>
          <w:sz w:val="24"/>
          <w:lang w:eastAsia="zh-CN"/>
        </w:rPr>
        <w:t xml:space="preserve"> 法定代表</w:t>
      </w:r>
      <w:r>
        <w:rPr>
          <w:rFonts w:hint="eastAsia" w:ascii="宋体" w:hAnsi="宋体" w:cs="宋体"/>
          <w:sz w:val="24"/>
        </w:rPr>
        <w:t>人授权委托书原件、法定代表人身份证复印件和其授权代表的身份证复印件（供应商为自然人的提供自然人身份证复印件）；</w:t>
      </w:r>
    </w:p>
    <w:p w14:paraId="13996550">
      <w:pPr>
        <w:spacing w:line="360" w:lineRule="auto"/>
        <w:ind w:right="12" w:firstLine="480"/>
        <w:rPr>
          <w:rFonts w:ascii="宋体" w:hAnsi="宋体" w:cs="宋体"/>
          <w:sz w:val="24"/>
        </w:rPr>
      </w:pPr>
      <w:r>
        <w:rPr>
          <w:rFonts w:hint="eastAsia" w:ascii="宋体" w:hAnsi="宋体" w:cs="宋体"/>
          <w:sz w:val="24"/>
        </w:rPr>
        <w:t>1.3</w:t>
      </w:r>
      <w:r>
        <w:rPr>
          <w:rFonts w:hint="eastAsia" w:ascii="宋体" w:hAnsi="宋体" w:cs="宋体"/>
          <w:sz w:val="24"/>
          <w:lang w:eastAsia="zh-CN"/>
        </w:rPr>
        <w:t xml:space="preserve"> 供应商</w:t>
      </w:r>
      <w:r>
        <w:rPr>
          <w:rFonts w:hint="eastAsia" w:ascii="宋体" w:hAnsi="宋体" w:cs="宋体"/>
          <w:sz w:val="24"/>
        </w:rPr>
        <w:t>为自然人的，质疑函应当由本人签字；供应商为法人或者其他组织的，质疑函应当由法定代表人、主要负责人，或者其授权代表签字或者盖章，并加盖公章。</w:t>
      </w:r>
    </w:p>
    <w:p w14:paraId="7041E997">
      <w:pPr>
        <w:spacing w:line="360" w:lineRule="auto"/>
        <w:ind w:right="12" w:firstLine="480"/>
        <w:outlineLvl w:val="2"/>
        <w:rPr>
          <w:rFonts w:ascii="宋体" w:hAnsi="宋体" w:cs="宋体"/>
          <w:sz w:val="24"/>
        </w:rPr>
      </w:pPr>
      <w:bookmarkStart w:id="181" w:name="_Toc11623"/>
      <w:r>
        <w:rPr>
          <w:rFonts w:hint="eastAsia" w:ascii="宋体" w:hAnsi="宋体" w:cs="宋体"/>
          <w:sz w:val="24"/>
        </w:rPr>
        <w:t>2.</w:t>
      </w:r>
      <w:r>
        <w:rPr>
          <w:rFonts w:hint="eastAsia" w:ascii="宋体" w:hAnsi="宋体" w:cs="宋体"/>
          <w:sz w:val="24"/>
          <w:lang w:eastAsia="zh-CN"/>
        </w:rPr>
        <w:t xml:space="preserve"> 质疑</w:t>
      </w:r>
      <w:r>
        <w:rPr>
          <w:rFonts w:hint="eastAsia" w:ascii="宋体" w:hAnsi="宋体" w:cs="宋体"/>
          <w:sz w:val="24"/>
        </w:rPr>
        <w:t>答复</w:t>
      </w:r>
      <w:bookmarkEnd w:id="181"/>
    </w:p>
    <w:p w14:paraId="62CB3ADA">
      <w:pPr>
        <w:spacing w:line="360" w:lineRule="auto"/>
        <w:ind w:right="12" w:firstLine="480"/>
        <w:rPr>
          <w:rFonts w:ascii="宋体" w:hAnsi="宋体" w:cs="宋体"/>
          <w:sz w:val="24"/>
        </w:rPr>
      </w:pPr>
      <w:r>
        <w:rPr>
          <w:rFonts w:hint="eastAsia" w:ascii="宋体" w:hAnsi="宋体" w:cs="宋体"/>
          <w:sz w:val="24"/>
        </w:rPr>
        <w:t>采购人、采购代理机构应当在收到供应商的书面质疑后七个工作日内作出答复，并以书面形式通知质疑供应商和其他有关供应商。</w:t>
      </w:r>
    </w:p>
    <w:p w14:paraId="2137F5DA">
      <w:pPr>
        <w:spacing w:line="360" w:lineRule="auto"/>
        <w:ind w:right="12" w:firstLine="480"/>
        <w:outlineLvl w:val="2"/>
        <w:rPr>
          <w:rFonts w:ascii="宋体" w:hAnsi="宋体" w:cs="宋体"/>
          <w:sz w:val="24"/>
        </w:rPr>
      </w:pPr>
      <w:bookmarkStart w:id="182" w:name="_Toc23311"/>
      <w:r>
        <w:rPr>
          <w:rFonts w:hint="eastAsia" w:ascii="宋体" w:hAnsi="宋体" w:cs="宋体"/>
          <w:sz w:val="24"/>
        </w:rPr>
        <w:t>3.</w:t>
      </w:r>
      <w:r>
        <w:rPr>
          <w:rFonts w:hint="eastAsia" w:ascii="宋体" w:hAnsi="宋体" w:cs="宋体"/>
          <w:sz w:val="24"/>
          <w:lang w:eastAsia="zh-CN"/>
        </w:rPr>
        <w:t xml:space="preserve"> 其他</w:t>
      </w:r>
      <w:bookmarkEnd w:id="182"/>
    </w:p>
    <w:p w14:paraId="70E0080D">
      <w:pPr>
        <w:spacing w:line="360" w:lineRule="auto"/>
        <w:ind w:right="12" w:firstLine="480"/>
        <w:rPr>
          <w:rFonts w:ascii="宋体" w:hAnsi="宋体" w:cs="宋体"/>
          <w:sz w:val="24"/>
        </w:rPr>
      </w:pPr>
      <w:r>
        <w:rPr>
          <w:rFonts w:hint="eastAsia" w:ascii="宋体" w:hAnsi="宋体" w:cs="宋体"/>
          <w:sz w:val="24"/>
        </w:rPr>
        <w:t>3.1</w:t>
      </w:r>
      <w:r>
        <w:rPr>
          <w:rFonts w:hint="eastAsia" w:ascii="宋体" w:hAnsi="宋体" w:cs="宋体"/>
          <w:sz w:val="24"/>
          <w:lang w:eastAsia="zh-CN"/>
        </w:rPr>
        <w:t xml:space="preserve"> 供应商</w:t>
      </w:r>
      <w:r>
        <w:rPr>
          <w:rFonts w:hint="eastAsia" w:ascii="宋体" w:hAnsi="宋体" w:cs="宋体"/>
          <w:sz w:val="24"/>
        </w:rPr>
        <w:t>应按照《政府采购质疑和投诉办法》（财政部令第94号）及相关法律法规要求，在法定质疑期内一次性提出针对同一采购程序环节的质疑。</w:t>
      </w:r>
    </w:p>
    <w:p w14:paraId="5DB72EDE">
      <w:pPr>
        <w:spacing w:line="360" w:lineRule="auto"/>
        <w:ind w:right="12" w:firstLine="480"/>
        <w:rPr>
          <w:rFonts w:ascii="宋体" w:hAnsi="宋体" w:cs="宋体"/>
          <w:sz w:val="24"/>
        </w:rPr>
      </w:pPr>
      <w:r>
        <w:rPr>
          <w:rFonts w:hint="eastAsia" w:ascii="宋体" w:hAnsi="宋体" w:cs="宋体"/>
          <w:sz w:val="24"/>
        </w:rPr>
        <w:t>3.2</w:t>
      </w:r>
      <w:r>
        <w:rPr>
          <w:rFonts w:hint="eastAsia" w:ascii="宋体" w:hAnsi="宋体" w:cs="宋体"/>
          <w:sz w:val="24"/>
          <w:lang w:eastAsia="zh-CN"/>
        </w:rPr>
        <w:t xml:space="preserve"> 质疑</w:t>
      </w:r>
      <w:r>
        <w:rPr>
          <w:rFonts w:hint="eastAsia" w:ascii="宋体" w:hAnsi="宋体" w:cs="宋体"/>
          <w:sz w:val="24"/>
        </w:rPr>
        <w:t>函范本可在财政部门户网站和中国政府采购网下载。</w:t>
      </w:r>
    </w:p>
    <w:p w14:paraId="4BB9A827">
      <w:pPr>
        <w:spacing w:line="360" w:lineRule="auto"/>
        <w:ind w:right="12" w:firstLine="480"/>
        <w:outlineLvl w:val="2"/>
        <w:rPr>
          <w:rFonts w:ascii="宋体" w:hAnsi="宋体" w:cs="宋体"/>
          <w:sz w:val="24"/>
        </w:rPr>
      </w:pPr>
      <w:bookmarkStart w:id="183" w:name="_Toc12894"/>
      <w:r>
        <w:rPr>
          <w:rFonts w:hint="eastAsia" w:ascii="宋体" w:hAnsi="宋体" w:cs="宋体"/>
          <w:sz w:val="24"/>
        </w:rPr>
        <w:t>（二）投诉</w:t>
      </w:r>
      <w:bookmarkEnd w:id="183"/>
    </w:p>
    <w:p w14:paraId="2B55A71A">
      <w:pPr>
        <w:spacing w:line="360" w:lineRule="auto"/>
        <w:ind w:right="12" w:firstLine="480"/>
        <w:rPr>
          <w:rFonts w:ascii="宋体" w:hAnsi="宋体" w:cs="宋体"/>
          <w:sz w:val="24"/>
        </w:rPr>
      </w:pPr>
      <w:r>
        <w:rPr>
          <w:rFonts w:hint="eastAsia" w:ascii="宋体" w:hAnsi="宋体" w:cs="宋体"/>
          <w:sz w:val="24"/>
        </w:rPr>
        <w:t>1.</w:t>
      </w:r>
      <w:r>
        <w:rPr>
          <w:rFonts w:hint="eastAsia" w:ascii="宋体" w:hAnsi="宋体" w:cs="宋体"/>
          <w:sz w:val="24"/>
          <w:lang w:eastAsia="zh-CN"/>
        </w:rPr>
        <w:t xml:space="preserve"> 供应商</w:t>
      </w:r>
      <w:r>
        <w:rPr>
          <w:rFonts w:hint="eastAsia" w:ascii="宋体" w:hAnsi="宋体" w:cs="宋体"/>
          <w:sz w:val="24"/>
        </w:rPr>
        <w:t>对采购人、采购代理机构的答复不满意，或者采购人、采购代理机构未在规定时间内作出答复的，可以在答复期满后15个工作日内按照相关法律法规向财政部门提起投诉。</w:t>
      </w:r>
    </w:p>
    <w:p w14:paraId="60950B85">
      <w:pPr>
        <w:spacing w:line="360" w:lineRule="auto"/>
        <w:ind w:right="12" w:firstLine="480"/>
        <w:rPr>
          <w:rFonts w:ascii="宋体" w:hAnsi="宋体" w:cs="宋体"/>
          <w:sz w:val="24"/>
        </w:rPr>
      </w:pPr>
      <w:r>
        <w:rPr>
          <w:rFonts w:hint="eastAsia" w:ascii="宋体" w:hAnsi="宋体" w:cs="宋体"/>
          <w:sz w:val="24"/>
        </w:rPr>
        <w:t>2.</w:t>
      </w:r>
      <w:r>
        <w:rPr>
          <w:rFonts w:hint="eastAsia" w:ascii="宋体" w:hAnsi="宋体" w:cs="宋体"/>
          <w:sz w:val="24"/>
          <w:lang w:eastAsia="zh-CN"/>
        </w:rPr>
        <w:t xml:space="preserve"> 供应商</w:t>
      </w:r>
      <w:r>
        <w:rPr>
          <w:rFonts w:hint="eastAsia" w:ascii="宋体" w:hAnsi="宋体" w:cs="宋体"/>
          <w:sz w:val="24"/>
        </w:rPr>
        <w:t>应按照《政府采购质疑和投诉办法》（财政部令第94号）及相关法律法规要求递交投诉书和必要的证明材料。投诉书范本可在财政部门户网站和中国政府采购网下载。</w:t>
      </w:r>
    </w:p>
    <w:p w14:paraId="04BFEE6B">
      <w:pPr>
        <w:spacing w:line="360" w:lineRule="auto"/>
        <w:ind w:right="12" w:firstLine="480"/>
        <w:rPr>
          <w:rFonts w:ascii="宋体" w:hAnsi="宋体" w:cs="宋体"/>
          <w:sz w:val="24"/>
        </w:rPr>
      </w:pPr>
      <w:r>
        <w:rPr>
          <w:rFonts w:hint="eastAsia" w:ascii="宋体" w:hAnsi="宋体" w:cs="宋体"/>
          <w:sz w:val="24"/>
        </w:rPr>
        <w:t>3.</w:t>
      </w:r>
      <w:r>
        <w:rPr>
          <w:rFonts w:hint="eastAsia" w:ascii="宋体" w:hAnsi="宋体" w:cs="宋体"/>
          <w:sz w:val="24"/>
          <w:lang w:eastAsia="zh-CN"/>
        </w:rPr>
        <w:t xml:space="preserve"> 投诉</w:t>
      </w:r>
      <w:r>
        <w:rPr>
          <w:rFonts w:hint="eastAsia" w:ascii="宋体" w:hAnsi="宋体" w:cs="宋体"/>
          <w:sz w:val="24"/>
        </w:rPr>
        <w:t>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宋体" w:hAnsi="宋体" w:cs="宋体"/>
          <w:sz w:val="24"/>
          <w:lang w:eastAsia="zh-CN"/>
        </w:rPr>
        <w:t>中国台湾地区</w:t>
      </w:r>
      <w:r>
        <w:rPr>
          <w:rFonts w:hint="eastAsia" w:ascii="宋体" w:hAnsi="宋体" w:cs="宋体"/>
          <w:sz w:val="24"/>
        </w:rPr>
        <w:t>内形成的证据，应当履行相关的证明手续。</w:t>
      </w:r>
    </w:p>
    <w:p w14:paraId="03C36898">
      <w:pPr>
        <w:spacing w:line="360" w:lineRule="auto"/>
        <w:ind w:firstLine="480" w:firstLineChars="200"/>
        <w:rPr>
          <w:rFonts w:ascii="宋体" w:hAnsi="宋体" w:cs="宋体"/>
          <w:sz w:val="24"/>
          <w:szCs w:val="24"/>
        </w:rPr>
      </w:pPr>
      <w:r>
        <w:rPr>
          <w:rFonts w:hint="eastAsia" w:ascii="宋体" w:hAnsi="宋体" w:cs="宋体"/>
          <w:sz w:val="24"/>
        </w:rPr>
        <w:t>4.</w:t>
      </w:r>
      <w:r>
        <w:rPr>
          <w:rFonts w:hint="eastAsia" w:ascii="宋体" w:hAnsi="宋体" w:cs="宋体"/>
          <w:sz w:val="24"/>
          <w:lang w:eastAsia="zh-CN"/>
        </w:rPr>
        <w:t xml:space="preserve"> 在</w:t>
      </w:r>
      <w:r>
        <w:rPr>
          <w:rFonts w:hint="eastAsia" w:ascii="宋体" w:hAnsi="宋体" w:cs="宋体"/>
          <w:sz w:val="24"/>
        </w:rPr>
        <w:t>确定受理投诉后，财政部门自受理投诉之日起30个工作日内（需要检验、检测、鉴定、专家评审以及需要投诉人补正材料的，所需时间不计算在投诉处理期限内）对投诉事项</w:t>
      </w:r>
      <w:r>
        <w:rPr>
          <w:rFonts w:hint="eastAsia" w:ascii="宋体" w:hAnsi="宋体" w:cs="宋体"/>
          <w:sz w:val="24"/>
          <w:lang w:eastAsia="zh-CN"/>
        </w:rPr>
        <w:t>作出</w:t>
      </w:r>
      <w:r>
        <w:rPr>
          <w:rFonts w:hint="eastAsia" w:ascii="宋体" w:hAnsi="宋体" w:cs="宋体"/>
          <w:sz w:val="24"/>
        </w:rPr>
        <w:t>处理决定。</w:t>
      </w:r>
    </w:p>
    <w:p w14:paraId="70DD269E">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184" w:name="_Toc4322"/>
      <w:bookmarkStart w:id="185" w:name="_Toc31641"/>
      <w:bookmarkStart w:id="186" w:name="_Toc21011"/>
      <w:bookmarkStart w:id="187" w:name="_Toc31882"/>
      <w:bookmarkStart w:id="188" w:name="_Toc76462344"/>
      <w:bookmarkStart w:id="189" w:name="_Toc161742534"/>
      <w:r>
        <w:rPr>
          <w:rFonts w:hint="eastAsia" w:ascii="宋体" w:hAnsi="宋体" w:eastAsia="宋体" w:cs="宋体"/>
          <w:sz w:val="24"/>
        </w:rPr>
        <w:t>七、采购代理服务费</w:t>
      </w:r>
      <w:bookmarkEnd w:id="184"/>
      <w:bookmarkEnd w:id="185"/>
      <w:bookmarkEnd w:id="186"/>
      <w:bookmarkEnd w:id="187"/>
      <w:bookmarkEnd w:id="188"/>
      <w:bookmarkEnd w:id="189"/>
    </w:p>
    <w:p w14:paraId="3FF856C6">
      <w:pPr>
        <w:spacing w:line="360" w:lineRule="auto"/>
        <w:ind w:firstLine="480" w:firstLineChars="200"/>
        <w:rPr>
          <w:rFonts w:ascii="宋体" w:hAnsi="宋体" w:cs="宋体"/>
          <w:sz w:val="24"/>
          <w:szCs w:val="24"/>
        </w:rPr>
      </w:pPr>
      <w:bookmarkStart w:id="190" w:name="_Toc76462345"/>
      <w:bookmarkStart w:id="191" w:name="_Toc6276"/>
      <w:bookmarkStart w:id="192" w:name="_Toc161742535"/>
      <w:bookmarkStart w:id="193" w:name="_Toc5266"/>
      <w:bookmarkStart w:id="194" w:name="_Toc4160"/>
      <w:r>
        <w:rPr>
          <w:rFonts w:hint="eastAsia" w:ascii="宋体" w:hAnsi="宋体" w:cs="宋体"/>
          <w:sz w:val="24"/>
          <w:szCs w:val="24"/>
        </w:rPr>
        <w:t>参照《招标代理服务收费有关问题的通知》</w:t>
      </w:r>
      <w:r>
        <w:rPr>
          <w:rFonts w:hint="eastAsia" w:ascii="宋体" w:hAnsi="宋体" w:cs="宋体"/>
          <w:sz w:val="24"/>
          <w:szCs w:val="24"/>
          <w:lang w:eastAsia="zh-CN"/>
        </w:rPr>
        <w:t>（</w:t>
      </w:r>
      <w:r>
        <w:rPr>
          <w:rFonts w:hint="eastAsia" w:ascii="宋体" w:hAnsi="宋体" w:cs="宋体"/>
          <w:sz w:val="24"/>
          <w:szCs w:val="24"/>
        </w:rPr>
        <w:t>发改办价格</w:t>
      </w:r>
      <w:r>
        <w:rPr>
          <w:rFonts w:hint="eastAsia" w:ascii="宋体" w:hAnsi="宋体" w:cs="宋体"/>
          <w:sz w:val="24"/>
          <w:szCs w:val="24"/>
          <w:lang w:eastAsia="zh-CN"/>
        </w:rPr>
        <w:t>〔2003〕857号）</w:t>
      </w:r>
      <w:r>
        <w:rPr>
          <w:rFonts w:hint="eastAsia" w:ascii="宋体" w:hAnsi="宋体" w:cs="宋体"/>
          <w:sz w:val="24"/>
          <w:szCs w:val="24"/>
        </w:rPr>
        <w:t>、《招标代理服务收费管理暂行办法》</w:t>
      </w:r>
      <w:r>
        <w:rPr>
          <w:rFonts w:hint="eastAsia" w:ascii="宋体" w:hAnsi="宋体" w:cs="宋体"/>
          <w:sz w:val="24"/>
          <w:szCs w:val="24"/>
          <w:lang w:eastAsia="zh-CN"/>
        </w:rPr>
        <w:t>（</w:t>
      </w:r>
      <w:r>
        <w:rPr>
          <w:rFonts w:hint="eastAsia" w:ascii="宋体" w:hAnsi="宋体" w:cs="宋体"/>
          <w:sz w:val="24"/>
          <w:szCs w:val="24"/>
        </w:rPr>
        <w:t>计价格</w:t>
      </w:r>
      <w:r>
        <w:rPr>
          <w:rFonts w:hint="eastAsia" w:ascii="宋体" w:hAnsi="宋体" w:cs="宋体"/>
          <w:sz w:val="24"/>
          <w:szCs w:val="24"/>
          <w:lang w:eastAsia="zh-CN"/>
        </w:rPr>
        <w:t>〔2002〕1980号）</w:t>
      </w:r>
      <w:r>
        <w:rPr>
          <w:rFonts w:hint="eastAsia" w:ascii="宋体" w:hAnsi="宋体" w:cs="宋体"/>
          <w:sz w:val="24"/>
          <w:szCs w:val="24"/>
        </w:rPr>
        <w:t>收取采购代理服务费，不足4000.00元的按最低4000.00</w:t>
      </w:r>
      <w:r>
        <w:rPr>
          <w:rFonts w:hint="eastAsia" w:ascii="宋体" w:hAnsi="宋体" w:cs="宋体"/>
          <w:sz w:val="24"/>
          <w:szCs w:val="24"/>
          <w:lang w:eastAsia="zh-CN"/>
        </w:rPr>
        <w:t>元</w:t>
      </w:r>
      <w:r>
        <w:rPr>
          <w:rFonts w:hint="eastAsia" w:ascii="宋体" w:hAnsi="宋体" w:cs="宋体"/>
          <w:sz w:val="24"/>
          <w:szCs w:val="24"/>
        </w:rPr>
        <w:t>计取；由成交供应商在领取成交通知书前支付。</w:t>
      </w:r>
    </w:p>
    <w:p w14:paraId="4CF30B47">
      <w:pPr>
        <w:pStyle w:val="3"/>
        <w:keepNext/>
        <w:keepLines/>
        <w:pageBreakBefore w:val="0"/>
        <w:widowControl w:val="0"/>
        <w:kinsoku/>
        <w:wordWrap/>
        <w:overflowPunct/>
        <w:topLinePunct w:val="0"/>
        <w:autoSpaceDE/>
        <w:autoSpaceDN/>
        <w:bidi w:val="0"/>
        <w:adjustRightInd w:val="0"/>
        <w:snapToGrid w:val="0"/>
        <w:spacing w:before="100" w:after="100" w:line="360" w:lineRule="auto"/>
        <w:ind w:firstLine="482" w:firstLineChars="200"/>
        <w:textAlignment w:val="auto"/>
        <w:rPr>
          <w:rFonts w:hint="eastAsia" w:ascii="宋体" w:hAnsi="宋体" w:eastAsia="宋体" w:cs="宋体"/>
          <w:sz w:val="24"/>
        </w:rPr>
      </w:pPr>
      <w:bookmarkStart w:id="195" w:name="_Toc6890"/>
      <w:r>
        <w:rPr>
          <w:rFonts w:hint="eastAsia" w:ascii="宋体" w:hAnsi="宋体" w:eastAsia="宋体" w:cs="宋体"/>
          <w:sz w:val="24"/>
        </w:rPr>
        <w:t>八、</w:t>
      </w:r>
      <w:bookmarkEnd w:id="190"/>
      <w:bookmarkStart w:id="196" w:name="_Toc102227322"/>
      <w:bookmarkStart w:id="197" w:name="_Toc76462346"/>
      <w:bookmarkStart w:id="198" w:name="_Toc342913396"/>
      <w:r>
        <w:rPr>
          <w:rFonts w:hint="eastAsia" w:ascii="宋体" w:hAnsi="宋体" w:eastAsia="宋体" w:cs="宋体"/>
          <w:sz w:val="24"/>
        </w:rPr>
        <w:t>签订</w:t>
      </w:r>
      <w:bookmarkEnd w:id="196"/>
      <w:r>
        <w:rPr>
          <w:rFonts w:hint="eastAsia" w:ascii="宋体" w:hAnsi="宋体" w:eastAsia="宋体" w:cs="宋体"/>
          <w:sz w:val="24"/>
        </w:rPr>
        <w:t>合同</w:t>
      </w:r>
      <w:bookmarkEnd w:id="191"/>
      <w:bookmarkEnd w:id="192"/>
      <w:bookmarkEnd w:id="193"/>
      <w:bookmarkEnd w:id="194"/>
      <w:bookmarkEnd w:id="195"/>
      <w:bookmarkEnd w:id="197"/>
      <w:bookmarkEnd w:id="198"/>
    </w:p>
    <w:p w14:paraId="12687BC8">
      <w:pPr>
        <w:spacing w:line="360" w:lineRule="auto"/>
        <w:ind w:firstLine="360" w:firstLineChars="150"/>
        <w:rPr>
          <w:rFonts w:ascii="宋体" w:hAnsi="宋体" w:cs="宋体"/>
          <w:sz w:val="24"/>
          <w:szCs w:val="24"/>
        </w:rPr>
      </w:pPr>
      <w:r>
        <w:rPr>
          <w:rFonts w:hint="eastAsia" w:ascii="宋体" w:hAnsi="宋体" w:cs="宋体"/>
          <w:sz w:val="24"/>
          <w:szCs w:val="24"/>
        </w:rPr>
        <w:t>（一）</w:t>
      </w:r>
      <w:r>
        <w:rPr>
          <w:rFonts w:hint="eastAsia" w:ascii="宋体" w:hAnsi="宋体" w:cs="宋体"/>
          <w:sz w:val="24"/>
        </w:rPr>
        <w:t>采购人原则上应在成交通</w:t>
      </w:r>
      <w:r>
        <w:rPr>
          <w:rFonts w:hint="eastAsia" w:ascii="宋体" w:hAnsi="宋体" w:cs="宋体"/>
          <w:sz w:val="24"/>
          <w:highlight w:val="none"/>
        </w:rPr>
        <w:t>知书发出之日起十日内，按照网上竞采文件和成交供应商响应文件的约定，与成交供应商签订书面合同。所签订的合同</w:t>
      </w:r>
      <w:r>
        <w:rPr>
          <w:rFonts w:hint="eastAsia" w:ascii="宋体" w:hAnsi="宋体" w:cs="宋体"/>
          <w:sz w:val="24"/>
        </w:rPr>
        <w:t>不得对网上竞采文件和供应商的响应文件作实质性修改。</w:t>
      </w:r>
      <w:r>
        <w:rPr>
          <w:rFonts w:hint="eastAsia" w:ascii="宋体" w:hAnsi="宋体" w:cs="宋体"/>
          <w:sz w:val="24"/>
          <w:szCs w:val="24"/>
        </w:rPr>
        <w:t>其他未尽事宜由采购人和成交供应商在采购合同中详细约定。</w:t>
      </w:r>
    </w:p>
    <w:p w14:paraId="25986CBD">
      <w:pPr>
        <w:spacing w:line="360" w:lineRule="auto"/>
        <w:ind w:firstLine="360" w:firstLineChars="150"/>
        <w:rPr>
          <w:rFonts w:ascii="宋体" w:hAnsi="宋体" w:cs="宋体"/>
          <w:sz w:val="24"/>
          <w:szCs w:val="24"/>
        </w:rPr>
      </w:pPr>
      <w:r>
        <w:rPr>
          <w:rFonts w:hint="eastAsia" w:ascii="宋体" w:hAnsi="宋体" w:cs="宋体"/>
          <w:sz w:val="24"/>
          <w:szCs w:val="24"/>
        </w:rPr>
        <w:t>（二）网上竞采文件、供应商的响应文件及澄清文件等，均为签订采购合同的依据。</w:t>
      </w:r>
    </w:p>
    <w:p w14:paraId="4ED297C3">
      <w:pPr>
        <w:spacing w:line="360" w:lineRule="auto"/>
        <w:ind w:firstLine="360" w:firstLineChars="150"/>
        <w:rPr>
          <w:rFonts w:ascii="宋体" w:hAnsi="宋体" w:cs="宋体"/>
          <w:sz w:val="24"/>
          <w:szCs w:val="24"/>
        </w:rPr>
      </w:pPr>
      <w:r>
        <w:rPr>
          <w:rFonts w:hint="eastAsia" w:ascii="宋体" w:hAnsi="宋体" w:cs="宋体"/>
          <w:sz w:val="24"/>
          <w:szCs w:val="24"/>
        </w:rPr>
        <w:t>（三）合同生效条款由供需双方约定，法律、行政法规规定应当办理批准、登记等手续后生效的合同，依照其规定。</w:t>
      </w:r>
    </w:p>
    <w:bookmarkEnd w:id="123"/>
    <w:bookmarkEnd w:id="124"/>
    <w:p w14:paraId="33804335">
      <w:pPr>
        <w:pStyle w:val="10"/>
        <w:rPr>
          <w:rFonts w:ascii="宋体" w:hAnsi="宋体" w:cs="宋体"/>
        </w:rPr>
      </w:pPr>
      <w:bookmarkStart w:id="199" w:name="_Toc15060"/>
      <w:bookmarkStart w:id="200" w:name="_Toc95394204"/>
      <w:bookmarkStart w:id="201" w:name="_Toc17238"/>
      <w:bookmarkStart w:id="202" w:name="_Toc28397"/>
    </w:p>
    <w:p w14:paraId="28E5EFC8">
      <w:pPr>
        <w:rPr>
          <w:rFonts w:ascii="宋体" w:hAnsi="宋体" w:cs="宋体"/>
        </w:rPr>
      </w:pPr>
    </w:p>
    <w:p w14:paraId="3908E85A">
      <w:pPr>
        <w:rPr>
          <w:rFonts w:ascii="宋体" w:hAnsi="宋体" w:cs="宋体"/>
        </w:rPr>
      </w:pPr>
    </w:p>
    <w:p w14:paraId="4AD7F1EE">
      <w:pPr>
        <w:rPr>
          <w:rFonts w:ascii="宋体" w:hAnsi="宋体" w:cs="宋体"/>
        </w:rPr>
      </w:pPr>
    </w:p>
    <w:p w14:paraId="1C5B4B75">
      <w:pPr>
        <w:rPr>
          <w:rFonts w:ascii="宋体" w:hAnsi="宋体" w:cs="宋体"/>
        </w:rPr>
      </w:pPr>
    </w:p>
    <w:p w14:paraId="73FB130B">
      <w:pPr>
        <w:rPr>
          <w:rFonts w:ascii="宋体" w:hAnsi="宋体" w:cs="宋体"/>
        </w:rPr>
      </w:pPr>
      <w:bookmarkStart w:id="425" w:name="_GoBack"/>
      <w:bookmarkEnd w:id="425"/>
    </w:p>
    <w:p w14:paraId="0842F386">
      <w:pPr>
        <w:rPr>
          <w:rFonts w:ascii="宋体" w:hAnsi="宋体" w:cs="宋体"/>
        </w:rPr>
      </w:pPr>
    </w:p>
    <w:p w14:paraId="79B2C994">
      <w:pPr>
        <w:pStyle w:val="3"/>
        <w:spacing w:before="0" w:after="0" w:line="360" w:lineRule="auto"/>
        <w:jc w:val="center"/>
        <w:rPr>
          <w:rFonts w:ascii="宋体" w:hAnsi="宋体" w:eastAsia="宋体" w:cs="宋体"/>
          <w:bCs/>
          <w:sz w:val="36"/>
          <w:szCs w:val="36"/>
        </w:rPr>
      </w:pPr>
      <w:bookmarkStart w:id="203" w:name="_Toc212456865"/>
      <w:bookmarkStart w:id="204" w:name="_Toc16784"/>
      <w:r>
        <w:rPr>
          <w:rFonts w:hint="eastAsia" w:ascii="宋体" w:hAnsi="宋体" w:eastAsia="宋体" w:cs="宋体"/>
          <w:bCs/>
          <w:sz w:val="36"/>
          <w:szCs w:val="36"/>
        </w:rPr>
        <w:t xml:space="preserve">第六篇 </w:t>
      </w:r>
      <w:bookmarkEnd w:id="199"/>
      <w:bookmarkEnd w:id="200"/>
      <w:r>
        <w:rPr>
          <w:rFonts w:hint="eastAsia" w:ascii="宋体" w:hAnsi="宋体" w:eastAsia="宋体" w:cs="宋体"/>
          <w:bCs/>
          <w:sz w:val="36"/>
          <w:szCs w:val="36"/>
        </w:rPr>
        <w:t>采购合同格式</w:t>
      </w:r>
      <w:bookmarkEnd w:id="201"/>
      <w:bookmarkEnd w:id="203"/>
      <w:bookmarkEnd w:id="204"/>
    </w:p>
    <w:p w14:paraId="4C8BE1D4">
      <w:pPr>
        <w:spacing w:line="360" w:lineRule="auto"/>
        <w:rPr>
          <w:rFonts w:ascii="宋体" w:hAnsi="宋体" w:cs="宋体"/>
          <w:b/>
          <w:sz w:val="32"/>
          <w:szCs w:val="32"/>
        </w:rPr>
      </w:pPr>
      <w:bookmarkStart w:id="205" w:name="_Toc531820304"/>
      <w:bookmarkStart w:id="206" w:name="_Toc1214"/>
      <w:bookmarkStart w:id="207" w:name="_Toc536778389"/>
      <w:bookmarkStart w:id="208" w:name="_Toc19283"/>
      <w:bookmarkStart w:id="209" w:name="_Toc76462349"/>
    </w:p>
    <w:p w14:paraId="7CB1D76A">
      <w:pPr>
        <w:spacing w:line="360" w:lineRule="auto"/>
        <w:rPr>
          <w:rFonts w:ascii="宋体" w:hAnsi="宋体" w:cs="宋体"/>
          <w:b/>
          <w:bCs/>
          <w:sz w:val="30"/>
          <w:szCs w:val="30"/>
        </w:rPr>
      </w:pPr>
      <w:r>
        <w:rPr>
          <w:rFonts w:hint="eastAsia" w:ascii="宋体" w:hAnsi="宋体" w:cs="宋体"/>
          <w:b/>
          <w:sz w:val="32"/>
          <w:szCs w:val="32"/>
          <w:lang w:eastAsia="zh-CN"/>
        </w:rPr>
        <w:t>(GF-</w:t>
      </w:r>
      <w:r>
        <w:rPr>
          <w:rFonts w:hint="eastAsia" w:ascii="宋体" w:hAnsi="宋体" w:cs="宋体"/>
          <w:b/>
          <w:sz w:val="32"/>
          <w:szCs w:val="32"/>
        </w:rPr>
        <w:t>2012</w:t>
      </w:r>
      <w:r>
        <w:rPr>
          <w:rFonts w:hint="eastAsia" w:ascii="宋体" w:hAnsi="宋体" w:cs="宋体"/>
          <w:b/>
          <w:sz w:val="32"/>
          <w:szCs w:val="32"/>
          <w:lang w:eastAsia="zh-CN"/>
        </w:rPr>
        <w:t>-</w:t>
      </w:r>
      <w:r>
        <w:rPr>
          <w:rFonts w:hint="eastAsia" w:ascii="宋体" w:hAnsi="宋体" w:cs="宋体"/>
          <w:b/>
          <w:sz w:val="32"/>
          <w:szCs w:val="32"/>
        </w:rPr>
        <w:t>0202</w:t>
      </w:r>
      <w:r>
        <w:rPr>
          <w:rFonts w:hint="eastAsia" w:ascii="宋体" w:hAnsi="宋体" w:cs="宋体"/>
          <w:b/>
          <w:sz w:val="32"/>
          <w:szCs w:val="32"/>
          <w:lang w:eastAsia="zh-CN"/>
        </w:rPr>
        <w:t>)</w:t>
      </w:r>
    </w:p>
    <w:p w14:paraId="60F00AF4">
      <w:pPr>
        <w:spacing w:line="360" w:lineRule="auto"/>
        <w:jc w:val="center"/>
        <w:rPr>
          <w:rFonts w:ascii="宋体" w:hAnsi="宋体" w:cs="宋体"/>
          <w:b/>
          <w:bCs/>
          <w:sz w:val="48"/>
          <w:szCs w:val="48"/>
        </w:rPr>
      </w:pPr>
    </w:p>
    <w:p w14:paraId="5C018D15">
      <w:pPr>
        <w:spacing w:line="360" w:lineRule="auto"/>
        <w:jc w:val="center"/>
        <w:rPr>
          <w:rFonts w:ascii="宋体" w:hAnsi="宋体" w:cs="宋体"/>
          <w:b/>
          <w:bCs/>
          <w:sz w:val="48"/>
          <w:szCs w:val="48"/>
        </w:rPr>
      </w:pPr>
    </w:p>
    <w:p w14:paraId="390E24DE">
      <w:pPr>
        <w:spacing w:line="360" w:lineRule="auto"/>
        <w:jc w:val="center"/>
        <w:rPr>
          <w:rFonts w:ascii="宋体" w:hAnsi="宋体" w:cs="宋体"/>
          <w:b/>
          <w:bCs/>
          <w:sz w:val="52"/>
          <w:szCs w:val="52"/>
        </w:rPr>
      </w:pPr>
      <w:r>
        <w:rPr>
          <w:rFonts w:hint="eastAsia" w:ascii="宋体" w:hAnsi="宋体" w:cs="宋体"/>
          <w:b/>
          <w:bCs/>
          <w:sz w:val="52"/>
          <w:szCs w:val="52"/>
        </w:rPr>
        <w:t>建设工程监理合同</w:t>
      </w:r>
    </w:p>
    <w:p w14:paraId="402E4F58">
      <w:pPr>
        <w:spacing w:line="360" w:lineRule="auto"/>
        <w:jc w:val="center"/>
        <w:rPr>
          <w:rFonts w:ascii="宋体" w:hAnsi="宋体" w:cs="宋体"/>
          <w:bCs/>
          <w:sz w:val="48"/>
          <w:szCs w:val="48"/>
        </w:rPr>
      </w:pPr>
    </w:p>
    <w:p w14:paraId="2F53F080">
      <w:pPr>
        <w:spacing w:line="360" w:lineRule="auto"/>
        <w:jc w:val="center"/>
        <w:rPr>
          <w:rFonts w:ascii="宋体" w:hAnsi="宋体" w:cs="宋体"/>
          <w:b/>
          <w:bCs/>
          <w:sz w:val="24"/>
        </w:rPr>
      </w:pPr>
    </w:p>
    <w:p w14:paraId="6547A3CF">
      <w:pPr>
        <w:spacing w:line="360" w:lineRule="auto"/>
        <w:jc w:val="center"/>
        <w:rPr>
          <w:rFonts w:ascii="宋体" w:hAnsi="宋体" w:cs="宋体"/>
          <w:b/>
          <w:bCs/>
          <w:sz w:val="24"/>
        </w:rPr>
      </w:pPr>
    </w:p>
    <w:p w14:paraId="44E9A992">
      <w:pPr>
        <w:spacing w:line="360" w:lineRule="auto"/>
        <w:jc w:val="center"/>
        <w:rPr>
          <w:rFonts w:ascii="宋体" w:hAnsi="宋体" w:cs="宋体"/>
          <w:b/>
          <w:bCs/>
          <w:sz w:val="24"/>
        </w:rPr>
      </w:pPr>
    </w:p>
    <w:p w14:paraId="08707F9A">
      <w:pPr>
        <w:spacing w:line="360" w:lineRule="auto"/>
        <w:jc w:val="center"/>
        <w:rPr>
          <w:rFonts w:ascii="宋体" w:hAnsi="宋体" w:cs="宋体"/>
          <w:b/>
          <w:bCs/>
          <w:sz w:val="24"/>
        </w:rPr>
      </w:pPr>
    </w:p>
    <w:p w14:paraId="1E12A20B">
      <w:pPr>
        <w:spacing w:line="360" w:lineRule="auto"/>
        <w:jc w:val="center"/>
        <w:rPr>
          <w:rFonts w:ascii="宋体" w:hAnsi="宋体" w:cs="宋体"/>
          <w:b/>
          <w:bCs/>
          <w:sz w:val="24"/>
        </w:rPr>
      </w:pPr>
    </w:p>
    <w:p w14:paraId="2AB7C4AC">
      <w:pPr>
        <w:spacing w:line="360" w:lineRule="auto"/>
        <w:jc w:val="center"/>
        <w:rPr>
          <w:rFonts w:ascii="宋体" w:hAnsi="宋体" w:cs="宋体"/>
          <w:b/>
          <w:bCs/>
          <w:sz w:val="24"/>
        </w:rPr>
      </w:pPr>
    </w:p>
    <w:p w14:paraId="6BD5B5F0">
      <w:pPr>
        <w:spacing w:line="360" w:lineRule="auto"/>
        <w:rPr>
          <w:rFonts w:ascii="宋体" w:hAnsi="宋体" w:cs="宋体"/>
          <w:b/>
          <w:bCs/>
          <w:sz w:val="24"/>
        </w:rPr>
      </w:pPr>
    </w:p>
    <w:p w14:paraId="6666552D">
      <w:pPr>
        <w:spacing w:line="360" w:lineRule="auto"/>
        <w:rPr>
          <w:rFonts w:ascii="宋体" w:hAnsi="宋体" w:cs="宋体"/>
          <w:b/>
          <w:bCs/>
          <w:sz w:val="24"/>
        </w:rPr>
      </w:pPr>
    </w:p>
    <w:p w14:paraId="2B8C52DE">
      <w:pPr>
        <w:spacing w:line="360" w:lineRule="auto"/>
        <w:rPr>
          <w:rFonts w:ascii="宋体" w:hAnsi="宋体" w:cs="宋体"/>
          <w:b/>
          <w:bCs/>
          <w:sz w:val="24"/>
        </w:rPr>
      </w:pPr>
    </w:p>
    <w:p w14:paraId="2297F302">
      <w:pPr>
        <w:spacing w:line="360" w:lineRule="auto"/>
        <w:jc w:val="center"/>
        <w:rPr>
          <w:rFonts w:ascii="宋体" w:hAnsi="宋体" w:cs="宋体"/>
          <w:b/>
        </w:rPr>
      </w:pPr>
      <w:r>
        <w:rPr>
          <w:rFonts w:hint="eastAsia" w:ascii="宋体" w:hAnsi="宋体" w:cs="宋体"/>
          <w:b/>
          <w:bCs/>
          <w:sz w:val="32"/>
          <w:szCs w:val="32"/>
        </w:rPr>
        <w:t>住房和城乡建设部</w:t>
      </w:r>
    </w:p>
    <w:p w14:paraId="314C19AB">
      <w:pPr>
        <w:spacing w:line="360" w:lineRule="auto"/>
        <w:jc w:val="center"/>
        <w:rPr>
          <w:rFonts w:ascii="宋体" w:hAnsi="宋体" w:cs="宋体"/>
          <w:b/>
          <w:sz w:val="32"/>
          <w:szCs w:val="32"/>
        </w:rPr>
      </w:pPr>
      <w:r>
        <w:rPr>
          <w:rFonts w:hint="eastAsia" w:ascii="宋体" w:hAnsi="宋体" w:cs="宋体"/>
          <w:b/>
        </w:rPr>
        <w:t xml:space="preserve">                                            </w:t>
      </w:r>
      <w:r>
        <w:rPr>
          <w:rFonts w:hint="eastAsia" w:ascii="宋体" w:hAnsi="宋体" w:cs="宋体"/>
          <w:b/>
          <w:sz w:val="32"/>
          <w:szCs w:val="32"/>
        </w:rPr>
        <w:t>制定</w:t>
      </w:r>
    </w:p>
    <w:p w14:paraId="53920E7D">
      <w:pPr>
        <w:spacing w:line="360" w:lineRule="auto"/>
        <w:jc w:val="center"/>
        <w:rPr>
          <w:rFonts w:ascii="宋体" w:hAnsi="宋体" w:cs="宋体"/>
          <w:b/>
        </w:rPr>
      </w:pPr>
      <w:r>
        <w:rPr>
          <w:rFonts w:hint="eastAsia" w:ascii="宋体" w:hAnsi="宋体" w:cs="宋体"/>
          <w:b/>
          <w:bCs/>
          <w:sz w:val="32"/>
          <w:szCs w:val="32"/>
        </w:rPr>
        <w:t>国家工商行政管理总局</w:t>
      </w:r>
    </w:p>
    <w:p w14:paraId="2A4C3D09">
      <w:pPr>
        <w:pStyle w:val="3"/>
        <w:spacing w:before="0" w:afterLines="100" w:line="594" w:lineRule="exact"/>
        <w:ind w:firstLine="215"/>
        <w:jc w:val="center"/>
        <w:rPr>
          <w:rFonts w:ascii="宋体" w:hAnsi="宋体" w:eastAsia="宋体" w:cs="宋体"/>
          <w:szCs w:val="32"/>
        </w:rPr>
      </w:pPr>
      <w:r>
        <w:rPr>
          <w:rFonts w:hint="eastAsia" w:ascii="宋体" w:hAnsi="宋体" w:eastAsia="宋体" w:cs="宋体"/>
          <w:szCs w:val="32"/>
        </w:rPr>
        <w:br w:type="page"/>
      </w:r>
      <w:bookmarkStart w:id="210" w:name="_Toc7932"/>
      <w:r>
        <w:rPr>
          <w:rFonts w:hint="eastAsia" w:ascii="宋体" w:hAnsi="宋体" w:eastAsia="宋体" w:cs="宋体"/>
          <w:szCs w:val="32"/>
        </w:rPr>
        <w:t>第一节 合同协议书</w:t>
      </w:r>
      <w:bookmarkEnd w:id="205"/>
      <w:bookmarkEnd w:id="206"/>
      <w:bookmarkEnd w:id="207"/>
      <w:bookmarkEnd w:id="208"/>
      <w:bookmarkEnd w:id="210"/>
    </w:p>
    <w:p w14:paraId="440DEF91">
      <w:pPr>
        <w:adjustRightInd w:val="0"/>
        <w:snapToGrid w:val="0"/>
        <w:spacing w:line="594" w:lineRule="exact"/>
        <w:ind w:firstLine="480" w:firstLineChars="200"/>
        <w:rPr>
          <w:rFonts w:ascii="宋体" w:hAnsi="宋体" w:cs="宋体"/>
          <w:sz w:val="24"/>
          <w:szCs w:val="24"/>
        </w:rPr>
      </w:pPr>
      <w:r>
        <w:rPr>
          <w:rFonts w:hint="eastAsia" w:ascii="宋体" w:hAnsi="宋体" w:cs="宋体"/>
          <w:sz w:val="24"/>
          <w:szCs w:val="24"/>
          <w:u w:val="single"/>
        </w:rPr>
        <w:t>重庆市大渡口区建胜镇人民政府</w:t>
      </w:r>
      <w:r>
        <w:rPr>
          <w:rFonts w:hint="eastAsia" w:ascii="宋体" w:hAnsi="宋体" w:cs="宋体"/>
          <w:sz w:val="24"/>
          <w:szCs w:val="24"/>
        </w:rPr>
        <w:t>（委托人名称，以下简称“委托人”）为实施</w:t>
      </w:r>
      <w:r>
        <w:rPr>
          <w:rFonts w:hint="eastAsia" w:ascii="宋体" w:hAnsi="宋体" w:cs="宋体"/>
          <w:sz w:val="24"/>
          <w:szCs w:val="24"/>
          <w:u w:val="single"/>
        </w:rPr>
        <w:t>大渡口区建胜镇民胜村人居环境提升工程监理服务</w:t>
      </w:r>
      <w:r>
        <w:rPr>
          <w:rFonts w:hint="eastAsia" w:ascii="宋体" w:hAnsi="宋体" w:cs="宋体"/>
          <w:sz w:val="24"/>
          <w:szCs w:val="24"/>
        </w:rPr>
        <w:t>（项目名称），已接受</w:t>
      </w:r>
      <w:r>
        <w:rPr>
          <w:rFonts w:hint="eastAsia" w:ascii="宋体" w:hAnsi="宋体" w:cs="宋体"/>
          <w:sz w:val="24"/>
          <w:szCs w:val="24"/>
          <w:u w:val="single"/>
        </w:rPr>
        <w:t xml:space="preserve">        </w:t>
      </w:r>
      <w:r>
        <w:rPr>
          <w:rFonts w:hint="eastAsia" w:ascii="宋体" w:hAnsi="宋体" w:cs="宋体"/>
          <w:sz w:val="24"/>
          <w:szCs w:val="24"/>
        </w:rPr>
        <w:t>（监理人名称，以下简称“监理人”）对该项目监理投标。委托人和监理人共同达成如下协议。</w:t>
      </w:r>
    </w:p>
    <w:p w14:paraId="646872F9">
      <w:pPr>
        <w:spacing w:line="594" w:lineRule="exact"/>
        <w:ind w:firstLine="480" w:firstLineChars="200"/>
        <w:rPr>
          <w:rFonts w:ascii="宋体" w:hAnsi="宋体" w:cs="宋体"/>
          <w:sz w:val="24"/>
          <w:szCs w:val="24"/>
        </w:rPr>
      </w:pPr>
      <w:r>
        <w:rPr>
          <w:rFonts w:hint="eastAsia" w:ascii="宋体" w:hAnsi="宋体" w:cs="宋体"/>
          <w:sz w:val="24"/>
          <w:szCs w:val="24"/>
        </w:rPr>
        <w:t>1.项目概况</w:t>
      </w:r>
    </w:p>
    <w:p w14:paraId="4710500A">
      <w:pPr>
        <w:spacing w:line="594" w:lineRule="exact"/>
        <w:ind w:firstLine="480" w:firstLineChars="200"/>
        <w:rPr>
          <w:rFonts w:ascii="宋体" w:hAnsi="宋体" w:cs="宋体"/>
          <w:sz w:val="24"/>
          <w:szCs w:val="24"/>
        </w:rPr>
      </w:pPr>
      <w:r>
        <w:rPr>
          <w:rFonts w:hint="eastAsia" w:ascii="宋体" w:hAnsi="宋体" w:cs="宋体"/>
          <w:sz w:val="24"/>
          <w:szCs w:val="24"/>
        </w:rPr>
        <w:t>（1）项目名称：</w:t>
      </w:r>
      <w:r>
        <w:rPr>
          <w:rFonts w:hint="eastAsia" w:ascii="宋体" w:hAnsi="宋体" w:cs="宋体"/>
          <w:sz w:val="24"/>
          <w:szCs w:val="24"/>
          <w:u w:val="single"/>
        </w:rPr>
        <w:t>大渡口区建胜镇民胜村人居环境提升工程监理服务</w:t>
      </w:r>
      <w:r>
        <w:rPr>
          <w:rFonts w:hint="eastAsia" w:ascii="宋体" w:hAnsi="宋体" w:cs="宋体"/>
          <w:sz w:val="24"/>
          <w:szCs w:val="24"/>
        </w:rPr>
        <w:t>；</w:t>
      </w:r>
    </w:p>
    <w:p w14:paraId="6967E4E4">
      <w:pPr>
        <w:spacing w:line="594" w:lineRule="exact"/>
        <w:ind w:firstLine="480" w:firstLineChars="200"/>
        <w:rPr>
          <w:rFonts w:ascii="宋体" w:hAnsi="宋体" w:cs="宋体"/>
          <w:sz w:val="24"/>
          <w:szCs w:val="24"/>
        </w:rPr>
      </w:pPr>
      <w:r>
        <w:rPr>
          <w:rFonts w:hint="eastAsia" w:ascii="宋体" w:hAnsi="宋体" w:cs="宋体"/>
          <w:sz w:val="24"/>
          <w:szCs w:val="24"/>
        </w:rPr>
        <w:t>（2）建设地点：</w:t>
      </w:r>
      <w:r>
        <w:rPr>
          <w:rFonts w:hint="eastAsia" w:ascii="宋体" w:hAnsi="宋体" w:cs="宋体"/>
          <w:sz w:val="24"/>
          <w:szCs w:val="24"/>
          <w:u w:val="single"/>
        </w:rPr>
        <w:t>重庆市大渡口区建胜镇民胜村</w:t>
      </w:r>
      <w:r>
        <w:rPr>
          <w:rFonts w:hint="eastAsia" w:ascii="宋体" w:hAnsi="宋体" w:cs="宋体"/>
          <w:sz w:val="24"/>
          <w:szCs w:val="24"/>
        </w:rPr>
        <w:t>；</w:t>
      </w:r>
    </w:p>
    <w:p w14:paraId="2BFEC0C3">
      <w:pPr>
        <w:spacing w:line="594" w:lineRule="exact"/>
        <w:ind w:firstLine="480" w:firstLineChars="200"/>
        <w:rPr>
          <w:rFonts w:ascii="宋体" w:hAnsi="宋体" w:cs="宋体"/>
          <w:sz w:val="24"/>
          <w:szCs w:val="24"/>
          <w:u w:val="single"/>
        </w:rPr>
      </w:pPr>
      <w:r>
        <w:rPr>
          <w:rFonts w:hint="eastAsia" w:ascii="宋体" w:hAnsi="宋体" w:cs="宋体"/>
          <w:sz w:val="24"/>
          <w:szCs w:val="24"/>
        </w:rPr>
        <w:t>（3）项目内容：</w:t>
      </w:r>
      <w:r>
        <w:rPr>
          <w:rFonts w:hint="eastAsia" w:ascii="宋体" w:hAnsi="宋体" w:cs="宋体"/>
          <w:sz w:val="24"/>
          <w:szCs w:val="24"/>
          <w:u w:val="single"/>
        </w:rPr>
        <w:t>工程主要建设内容为</w:t>
      </w:r>
      <w:r>
        <w:rPr>
          <w:rFonts w:hint="eastAsia" w:ascii="宋体" w:hAnsi="宋体" w:cs="宋体"/>
          <w:sz w:val="24"/>
          <w:szCs w:val="24"/>
          <w:u w:val="single"/>
          <w:lang w:eastAsia="zh-CN"/>
        </w:rPr>
        <w:t>：</w:t>
      </w:r>
      <w:r>
        <w:rPr>
          <w:rFonts w:hint="eastAsia" w:ascii="宋体" w:hAnsi="宋体" w:cs="宋体"/>
          <w:sz w:val="24"/>
          <w:szCs w:val="24"/>
          <w:u w:val="single"/>
        </w:rPr>
        <w:t>项目区民房改造、公共区域环境整治等，民房改造：屋顶改造4760㎡、民房外檐打造430㎡、墙面改造12400㎡。公共区域环境整治：村落公共活动区域（青砖花台、座椅、活动设施安装、宣传墙、植物种植等）3500㎡。</w:t>
      </w:r>
    </w:p>
    <w:p w14:paraId="2DA95DFD">
      <w:pPr>
        <w:spacing w:line="594" w:lineRule="exact"/>
        <w:ind w:firstLine="480" w:firstLineChars="200"/>
        <w:rPr>
          <w:rFonts w:ascii="宋体" w:hAnsi="宋体" w:cs="宋体"/>
          <w:sz w:val="24"/>
          <w:szCs w:val="24"/>
        </w:rPr>
      </w:pPr>
      <w:r>
        <w:rPr>
          <w:rFonts w:hint="eastAsia" w:ascii="宋体" w:hAnsi="宋体" w:cs="宋体"/>
          <w:sz w:val="24"/>
          <w:szCs w:val="24"/>
        </w:rPr>
        <w:t>（4）项目建筑安装工程费估算金额或施工合同估算金额：</w:t>
      </w:r>
      <w:r>
        <w:rPr>
          <w:rFonts w:hint="eastAsia" w:ascii="宋体" w:hAnsi="宋体" w:cs="宋体"/>
          <w:snapToGrid w:val="0"/>
          <w:color w:val="0000FF"/>
          <w:kern w:val="0"/>
          <w:szCs w:val="21"/>
          <w:u w:val="single"/>
        </w:rPr>
        <w:t xml:space="preserve">       </w:t>
      </w:r>
      <w:r>
        <w:rPr>
          <w:rFonts w:hint="eastAsia" w:ascii="宋体" w:hAnsi="宋体" w:cs="宋体"/>
          <w:sz w:val="24"/>
          <w:szCs w:val="24"/>
          <w:u w:val="single"/>
        </w:rPr>
        <w:t xml:space="preserve">万元 </w:t>
      </w:r>
    </w:p>
    <w:p w14:paraId="1F58544C">
      <w:pPr>
        <w:spacing w:line="594" w:lineRule="exact"/>
        <w:ind w:firstLine="480" w:firstLineChars="200"/>
        <w:rPr>
          <w:rFonts w:ascii="宋体" w:hAnsi="宋体" w:cs="宋体"/>
          <w:sz w:val="24"/>
          <w:szCs w:val="24"/>
        </w:rPr>
      </w:pPr>
      <w:r>
        <w:rPr>
          <w:rFonts w:hint="eastAsia" w:ascii="宋体" w:hAnsi="宋体" w:cs="宋体"/>
          <w:sz w:val="24"/>
          <w:szCs w:val="24"/>
        </w:rPr>
        <w:t>2.本合同由下列文件构成：</w:t>
      </w:r>
    </w:p>
    <w:p w14:paraId="74C24E83">
      <w:pPr>
        <w:spacing w:line="594" w:lineRule="exact"/>
        <w:ind w:firstLine="480" w:firstLineChars="200"/>
        <w:rPr>
          <w:rFonts w:ascii="宋体" w:hAnsi="宋体" w:cs="宋体"/>
          <w:sz w:val="24"/>
          <w:szCs w:val="24"/>
        </w:rPr>
      </w:pPr>
      <w:r>
        <w:rPr>
          <w:rFonts w:hint="eastAsia" w:ascii="宋体" w:hAnsi="宋体" w:cs="宋体"/>
          <w:sz w:val="24"/>
          <w:szCs w:val="24"/>
        </w:rPr>
        <w:t>（1）合同协议书；</w:t>
      </w:r>
    </w:p>
    <w:p w14:paraId="0FA1C1F3">
      <w:pPr>
        <w:spacing w:line="594" w:lineRule="exact"/>
        <w:ind w:firstLine="480" w:firstLineChars="200"/>
        <w:rPr>
          <w:rFonts w:ascii="宋体" w:hAnsi="宋体" w:cs="宋体"/>
          <w:sz w:val="24"/>
          <w:szCs w:val="24"/>
        </w:rPr>
      </w:pPr>
      <w:r>
        <w:rPr>
          <w:rFonts w:hint="eastAsia" w:ascii="宋体" w:hAnsi="宋体" w:cs="宋体"/>
          <w:sz w:val="24"/>
          <w:szCs w:val="24"/>
        </w:rPr>
        <w:t>（2）成交通知书；</w:t>
      </w:r>
    </w:p>
    <w:p w14:paraId="52A999C7">
      <w:pPr>
        <w:spacing w:line="594" w:lineRule="exact"/>
        <w:ind w:firstLine="480" w:firstLineChars="200"/>
        <w:rPr>
          <w:rFonts w:ascii="宋体" w:hAnsi="宋体" w:cs="宋体"/>
          <w:sz w:val="24"/>
          <w:szCs w:val="24"/>
        </w:rPr>
      </w:pPr>
      <w:r>
        <w:rPr>
          <w:rFonts w:hint="eastAsia" w:ascii="宋体" w:hAnsi="宋体" w:cs="宋体"/>
          <w:sz w:val="24"/>
          <w:szCs w:val="24"/>
        </w:rPr>
        <w:t>（3）报价函；</w:t>
      </w:r>
    </w:p>
    <w:p w14:paraId="07FE30D8">
      <w:pPr>
        <w:spacing w:line="594" w:lineRule="exact"/>
        <w:ind w:firstLine="480" w:firstLineChars="200"/>
        <w:rPr>
          <w:rFonts w:ascii="宋体" w:hAnsi="宋体" w:cs="宋体"/>
          <w:sz w:val="24"/>
          <w:szCs w:val="24"/>
        </w:rPr>
      </w:pPr>
      <w:r>
        <w:rPr>
          <w:rFonts w:hint="eastAsia" w:ascii="宋体" w:hAnsi="宋体" w:cs="宋体"/>
          <w:sz w:val="24"/>
          <w:szCs w:val="24"/>
        </w:rPr>
        <w:t>（4）专用合同条款及其附件；</w:t>
      </w:r>
    </w:p>
    <w:p w14:paraId="26B2999B">
      <w:pPr>
        <w:spacing w:line="594" w:lineRule="exact"/>
        <w:ind w:firstLine="480" w:firstLineChars="200"/>
        <w:rPr>
          <w:rFonts w:ascii="宋体" w:hAnsi="宋体" w:cs="宋体"/>
          <w:sz w:val="24"/>
          <w:szCs w:val="24"/>
        </w:rPr>
      </w:pPr>
      <w:r>
        <w:rPr>
          <w:rFonts w:hint="eastAsia" w:ascii="宋体" w:hAnsi="宋体" w:cs="宋体"/>
          <w:sz w:val="24"/>
          <w:szCs w:val="24"/>
        </w:rPr>
        <w:t>（5）通用合同条款；</w:t>
      </w:r>
    </w:p>
    <w:p w14:paraId="0C1C01DA">
      <w:pPr>
        <w:spacing w:line="594" w:lineRule="exact"/>
        <w:ind w:firstLine="480" w:firstLineChars="200"/>
        <w:rPr>
          <w:rFonts w:ascii="宋体" w:hAnsi="宋体" w:cs="宋体"/>
          <w:sz w:val="24"/>
          <w:szCs w:val="24"/>
        </w:rPr>
      </w:pPr>
      <w:r>
        <w:rPr>
          <w:rFonts w:hint="eastAsia" w:ascii="宋体" w:hAnsi="宋体" w:cs="宋体"/>
          <w:sz w:val="24"/>
          <w:szCs w:val="24"/>
        </w:rPr>
        <w:t>（6）响应文件，包含但不限于监理报酬清单、监理大纲；</w:t>
      </w:r>
    </w:p>
    <w:p w14:paraId="2840D22A">
      <w:pPr>
        <w:spacing w:line="594" w:lineRule="exact"/>
        <w:ind w:firstLine="480" w:firstLineChars="200"/>
        <w:rPr>
          <w:rFonts w:ascii="宋体" w:hAnsi="宋体" w:cs="宋体"/>
          <w:sz w:val="24"/>
          <w:szCs w:val="24"/>
        </w:rPr>
      </w:pPr>
      <w:r>
        <w:rPr>
          <w:rFonts w:hint="eastAsia" w:ascii="宋体" w:hAnsi="宋体" w:cs="宋体"/>
          <w:sz w:val="24"/>
          <w:szCs w:val="24"/>
        </w:rPr>
        <w:t>（7）竞</w:t>
      </w:r>
      <w:r>
        <w:rPr>
          <w:rFonts w:hint="eastAsia" w:ascii="宋体" w:hAnsi="宋体" w:cs="宋体"/>
          <w:sz w:val="24"/>
          <w:szCs w:val="24"/>
          <w:lang w:eastAsia="zh-CN"/>
        </w:rPr>
        <w:t>采</w:t>
      </w:r>
      <w:r>
        <w:rPr>
          <w:rFonts w:hint="eastAsia" w:ascii="宋体" w:hAnsi="宋体" w:cs="宋体"/>
          <w:sz w:val="24"/>
          <w:szCs w:val="24"/>
        </w:rPr>
        <w:t>文件及答疑补遗文件或任务书，包含但不限于委托人要求；</w:t>
      </w:r>
    </w:p>
    <w:p w14:paraId="20971DD7">
      <w:pPr>
        <w:spacing w:line="594" w:lineRule="exact"/>
        <w:ind w:firstLine="480" w:firstLineChars="200"/>
        <w:rPr>
          <w:rFonts w:ascii="宋体" w:hAnsi="宋体" w:cs="宋体"/>
          <w:sz w:val="24"/>
          <w:szCs w:val="24"/>
        </w:rPr>
      </w:pPr>
      <w:r>
        <w:rPr>
          <w:rFonts w:hint="eastAsia" w:ascii="宋体" w:hAnsi="宋体" w:cs="宋体"/>
          <w:sz w:val="24"/>
          <w:szCs w:val="24"/>
        </w:rPr>
        <w:t>（8）其他合同文件。</w:t>
      </w:r>
    </w:p>
    <w:p w14:paraId="50296A15">
      <w:pPr>
        <w:spacing w:line="594" w:lineRule="exact"/>
        <w:ind w:firstLine="480" w:firstLineChars="200"/>
        <w:rPr>
          <w:rFonts w:ascii="宋体" w:hAnsi="宋体" w:cs="宋体"/>
          <w:sz w:val="24"/>
          <w:szCs w:val="24"/>
        </w:rPr>
      </w:pPr>
      <w:r>
        <w:rPr>
          <w:rFonts w:hint="eastAsia" w:ascii="宋体" w:hAnsi="宋体" w:cs="宋体"/>
          <w:sz w:val="24"/>
          <w:szCs w:val="24"/>
        </w:rPr>
        <w:t>上述合同文件互相补充和解释。</w:t>
      </w:r>
    </w:p>
    <w:p w14:paraId="22E2911F">
      <w:pPr>
        <w:numPr>
          <w:ilvl w:val="0"/>
          <w:numId w:val="2"/>
        </w:numPr>
        <w:spacing w:line="594" w:lineRule="exact"/>
        <w:ind w:firstLine="480" w:firstLineChars="200"/>
        <w:rPr>
          <w:rFonts w:ascii="宋体" w:hAnsi="宋体" w:cs="宋体"/>
          <w:bCs/>
          <w:sz w:val="24"/>
          <w:szCs w:val="24"/>
        </w:rPr>
      </w:pPr>
      <w:r>
        <w:rPr>
          <w:rFonts w:hint="eastAsia" w:ascii="宋体" w:hAnsi="宋体" w:cs="宋体"/>
          <w:bCs/>
          <w:sz w:val="24"/>
          <w:szCs w:val="24"/>
        </w:rPr>
        <w:t>签约合同价：人民币（大写）</w:t>
      </w:r>
      <w:r>
        <w:rPr>
          <w:rFonts w:hint="eastAsia" w:ascii="宋体" w:hAnsi="宋体" w:cs="宋体"/>
          <w:bCs/>
          <w:sz w:val="24"/>
          <w:szCs w:val="24"/>
          <w:u w:val="single"/>
        </w:rPr>
        <w:t xml:space="preserve">       （小写：    元）</w:t>
      </w:r>
      <w:r>
        <w:rPr>
          <w:rFonts w:hint="eastAsia" w:ascii="宋体" w:hAnsi="宋体" w:cs="宋体"/>
          <w:bCs/>
          <w:sz w:val="24"/>
          <w:szCs w:val="24"/>
        </w:rPr>
        <w:t>。</w:t>
      </w:r>
    </w:p>
    <w:p w14:paraId="42E2F48D">
      <w:pPr>
        <w:spacing w:line="594" w:lineRule="exact"/>
        <w:ind w:firstLine="480" w:firstLineChars="200"/>
        <w:rPr>
          <w:rFonts w:ascii="宋体" w:hAnsi="宋体" w:cs="宋体"/>
          <w:sz w:val="24"/>
          <w:szCs w:val="24"/>
        </w:rPr>
      </w:pPr>
      <w:r>
        <w:rPr>
          <w:rFonts w:hint="eastAsia" w:ascii="宋体" w:hAnsi="宋体" w:cs="宋体"/>
          <w:sz w:val="24"/>
          <w:szCs w:val="24"/>
        </w:rPr>
        <w:t>服务费为完成本次采购确定的监理范围和监理工作内容所需的全部费用，包括但不限于施工阶段（含协助施工准备）、工程缺陷责任期阶段等服务的工作人员的工资、劳保、医疗、福利、津贴、保险、差旅费、治疗费，监理机构的管理费、税金、利润，</w:t>
      </w:r>
      <w:r>
        <w:rPr>
          <w:rFonts w:hint="eastAsia" w:ascii="宋体" w:hAnsi="宋体" w:cs="宋体"/>
          <w:sz w:val="24"/>
          <w:szCs w:val="24"/>
          <w:lang w:eastAsia="zh-CN"/>
        </w:rPr>
        <w:t>以及</w:t>
      </w:r>
      <w:r>
        <w:rPr>
          <w:rFonts w:hint="eastAsia" w:ascii="宋体" w:hAnsi="宋体" w:cs="宋体"/>
          <w:sz w:val="24"/>
          <w:szCs w:val="24"/>
        </w:rPr>
        <w:t>检测设备、检测试验费、办公用品、交通工具、通讯设备等全部费用。甲方除此以外不支付</w:t>
      </w:r>
      <w:r>
        <w:rPr>
          <w:rFonts w:hint="eastAsia" w:ascii="宋体" w:hAnsi="宋体" w:cs="宋体"/>
          <w:sz w:val="24"/>
          <w:szCs w:val="24"/>
          <w:lang w:eastAsia="zh-CN"/>
        </w:rPr>
        <w:t>其他费用</w:t>
      </w:r>
      <w:r>
        <w:rPr>
          <w:rFonts w:hint="eastAsia" w:ascii="宋体" w:hAnsi="宋体" w:cs="宋体"/>
          <w:sz w:val="24"/>
          <w:szCs w:val="24"/>
        </w:rPr>
        <w:t>，乙方也不得与本项目的承包商发生任何经济关系。</w:t>
      </w:r>
    </w:p>
    <w:p w14:paraId="0F750AF9">
      <w:pPr>
        <w:spacing w:line="594" w:lineRule="exact"/>
        <w:ind w:firstLine="480" w:firstLineChars="200"/>
        <w:rPr>
          <w:rFonts w:ascii="宋体" w:hAnsi="宋体" w:cs="宋体"/>
          <w:sz w:val="24"/>
          <w:szCs w:val="24"/>
        </w:rPr>
      </w:pPr>
      <w:r>
        <w:rPr>
          <w:rFonts w:hint="eastAsia" w:ascii="宋体" w:hAnsi="宋体" w:cs="宋体"/>
          <w:sz w:val="24"/>
          <w:szCs w:val="24"/>
        </w:rPr>
        <w:t>4.总监理工程师：</w:t>
      </w:r>
      <w:r>
        <w:rPr>
          <w:rFonts w:hint="eastAsia" w:ascii="宋体" w:hAnsi="宋体" w:cs="宋体"/>
          <w:sz w:val="24"/>
          <w:szCs w:val="24"/>
          <w:u w:val="single"/>
        </w:rPr>
        <w:t xml:space="preserve">     </w:t>
      </w:r>
      <w:r>
        <w:rPr>
          <w:rFonts w:hint="eastAsia" w:ascii="宋体" w:hAnsi="宋体" w:cs="宋体"/>
          <w:sz w:val="24"/>
          <w:szCs w:val="24"/>
        </w:rPr>
        <w:t>；国家注册监理工程师注册证书编号：</w:t>
      </w:r>
      <w:r>
        <w:rPr>
          <w:rFonts w:hint="eastAsia" w:ascii="宋体" w:hAnsi="宋体" w:cs="宋体"/>
          <w:bCs/>
          <w:sz w:val="24"/>
          <w:szCs w:val="24"/>
          <w:u w:val="single"/>
        </w:rPr>
        <w:t xml:space="preserve">      </w:t>
      </w:r>
      <w:r>
        <w:rPr>
          <w:rFonts w:hint="eastAsia" w:ascii="宋体" w:hAnsi="宋体" w:cs="宋体"/>
          <w:sz w:val="24"/>
          <w:szCs w:val="24"/>
        </w:rPr>
        <w:t>；</w:t>
      </w:r>
    </w:p>
    <w:p w14:paraId="63874974">
      <w:pPr>
        <w:spacing w:line="594" w:lineRule="exact"/>
        <w:ind w:firstLine="480" w:firstLineChars="200"/>
        <w:rPr>
          <w:rFonts w:ascii="宋体" w:hAnsi="宋体" w:cs="宋体"/>
          <w:sz w:val="24"/>
          <w:szCs w:val="24"/>
        </w:rPr>
      </w:pPr>
      <w:r>
        <w:rPr>
          <w:rFonts w:hint="eastAsia" w:ascii="宋体" w:hAnsi="宋体" w:cs="宋体"/>
          <w:sz w:val="24"/>
          <w:szCs w:val="24"/>
        </w:rPr>
        <w:t>5.监理工作质量</w:t>
      </w:r>
      <w:r>
        <w:rPr>
          <w:rFonts w:hint="eastAsia" w:ascii="宋体" w:hAnsi="宋体" w:cs="宋体"/>
          <w:sz w:val="24"/>
          <w:szCs w:val="24"/>
          <w:lang w:eastAsia="zh-CN"/>
        </w:rPr>
        <w:t>符合</w:t>
      </w:r>
      <w:r>
        <w:rPr>
          <w:rFonts w:hint="eastAsia" w:ascii="宋体" w:hAnsi="宋体" w:cs="宋体"/>
          <w:sz w:val="24"/>
          <w:szCs w:val="24"/>
        </w:rPr>
        <w:t>标准和要求：</w:t>
      </w:r>
      <w:r>
        <w:rPr>
          <w:rFonts w:hint="eastAsia" w:ascii="宋体" w:hAnsi="宋体" w:cs="宋体"/>
          <w:bCs/>
          <w:sz w:val="24"/>
          <w:szCs w:val="24"/>
          <w:u w:val="single"/>
        </w:rPr>
        <w:t xml:space="preserve"> 达到强制性质量标准，满足国家和重庆市现行有关施工质量验收规范要求并验收合格</w:t>
      </w:r>
      <w:r>
        <w:rPr>
          <w:rFonts w:hint="eastAsia" w:ascii="宋体" w:hAnsi="宋体" w:cs="宋体"/>
          <w:bCs/>
          <w:sz w:val="24"/>
          <w:szCs w:val="24"/>
          <w:u w:val="single"/>
          <w:lang w:eastAsia="zh-CN"/>
        </w:rPr>
        <w:t>。</w:t>
      </w:r>
    </w:p>
    <w:p w14:paraId="6BECA7D9">
      <w:pPr>
        <w:spacing w:line="594" w:lineRule="exact"/>
        <w:ind w:firstLine="480" w:firstLineChars="200"/>
        <w:rPr>
          <w:rFonts w:ascii="宋体" w:hAnsi="宋体" w:cs="宋体"/>
          <w:sz w:val="24"/>
          <w:szCs w:val="24"/>
        </w:rPr>
      </w:pPr>
      <w:r>
        <w:rPr>
          <w:rFonts w:hint="eastAsia" w:ascii="宋体" w:hAnsi="宋体" w:cs="宋体"/>
          <w:sz w:val="24"/>
          <w:szCs w:val="24"/>
        </w:rPr>
        <w:t>6.监理人承诺按合同约定承担工程的监理工作。</w:t>
      </w:r>
    </w:p>
    <w:p w14:paraId="1103A352">
      <w:pPr>
        <w:spacing w:line="594" w:lineRule="exact"/>
        <w:ind w:firstLine="480" w:firstLineChars="200"/>
        <w:rPr>
          <w:rFonts w:ascii="宋体" w:hAnsi="宋体" w:cs="宋体"/>
          <w:sz w:val="24"/>
          <w:szCs w:val="24"/>
        </w:rPr>
      </w:pPr>
      <w:r>
        <w:rPr>
          <w:rFonts w:hint="eastAsia" w:ascii="宋体" w:hAnsi="宋体" w:cs="宋体"/>
          <w:sz w:val="24"/>
          <w:szCs w:val="24"/>
        </w:rPr>
        <w:t>7.委托人承诺按合同约定的条件、时间和方式向监理人支付合同价款。</w:t>
      </w:r>
    </w:p>
    <w:p w14:paraId="10985E86">
      <w:pPr>
        <w:spacing w:line="594" w:lineRule="exact"/>
        <w:ind w:firstLine="480" w:firstLineChars="200"/>
        <w:jc w:val="left"/>
        <w:rPr>
          <w:rFonts w:ascii="宋体" w:hAnsi="宋体" w:cs="宋体"/>
          <w:sz w:val="24"/>
          <w:szCs w:val="24"/>
        </w:rPr>
      </w:pPr>
      <w:r>
        <w:rPr>
          <w:rFonts w:hint="eastAsia" w:ascii="宋体" w:hAnsi="宋体" w:cs="宋体"/>
          <w:sz w:val="24"/>
          <w:szCs w:val="24"/>
        </w:rPr>
        <w:t>8.监理人计划开始监理日期：</w:t>
      </w:r>
      <w:r>
        <w:rPr>
          <w:rFonts w:hint="eastAsia" w:ascii="宋体" w:hAnsi="宋体" w:cs="宋体"/>
          <w:bCs/>
          <w:sz w:val="24"/>
          <w:szCs w:val="24"/>
          <w:u w:val="single"/>
        </w:rPr>
        <w:t>从合同签订之日起</w:t>
      </w:r>
      <w:r>
        <w:rPr>
          <w:rFonts w:hint="eastAsia" w:ascii="宋体" w:hAnsi="宋体" w:cs="宋体"/>
          <w:sz w:val="24"/>
          <w:szCs w:val="24"/>
        </w:rPr>
        <w:t>，实际日期</w:t>
      </w:r>
      <w:r>
        <w:rPr>
          <w:rFonts w:hint="eastAsia" w:ascii="宋体" w:hAnsi="宋体" w:cs="宋体"/>
          <w:sz w:val="24"/>
          <w:szCs w:val="24"/>
          <w:lang w:eastAsia="zh-CN"/>
        </w:rPr>
        <w:t>以</w:t>
      </w:r>
      <w:r>
        <w:rPr>
          <w:rFonts w:hint="eastAsia" w:ascii="宋体" w:hAnsi="宋体" w:cs="宋体"/>
          <w:sz w:val="24"/>
          <w:szCs w:val="24"/>
        </w:rPr>
        <w:t>委托人在开始监理通知中载明的开始监理日期为准。监理服务期限为</w:t>
      </w:r>
      <w:r>
        <w:rPr>
          <w:rFonts w:hint="eastAsia" w:ascii="宋体" w:hAnsi="宋体" w:cs="宋体"/>
          <w:bCs/>
          <w:sz w:val="24"/>
          <w:szCs w:val="24"/>
          <w:u w:val="single"/>
        </w:rPr>
        <w:t>从监理合同签订之日起至缺陷责任</w:t>
      </w:r>
      <w:r>
        <w:rPr>
          <w:rFonts w:hint="eastAsia" w:ascii="宋体" w:hAnsi="宋体" w:cs="宋体"/>
          <w:bCs/>
          <w:sz w:val="24"/>
          <w:szCs w:val="24"/>
          <w:u w:val="single"/>
          <w:lang w:eastAsia="zh-CN"/>
        </w:rPr>
        <w:t>期满</w:t>
      </w:r>
      <w:r>
        <w:rPr>
          <w:rFonts w:hint="eastAsia" w:ascii="宋体" w:hAnsi="宋体" w:cs="宋体"/>
          <w:bCs/>
          <w:sz w:val="24"/>
          <w:szCs w:val="24"/>
          <w:u w:val="single"/>
        </w:rPr>
        <w:t>，其中：计划施工工期180日历天，缺陷责任期24个月</w:t>
      </w:r>
      <w:r>
        <w:rPr>
          <w:rFonts w:hint="eastAsia" w:ascii="宋体" w:hAnsi="宋体" w:cs="宋体"/>
          <w:sz w:val="24"/>
          <w:szCs w:val="24"/>
        </w:rPr>
        <w:t>。</w:t>
      </w:r>
    </w:p>
    <w:p w14:paraId="5BDA7245">
      <w:pPr>
        <w:spacing w:line="594" w:lineRule="exact"/>
        <w:ind w:firstLine="480" w:firstLineChars="200"/>
        <w:rPr>
          <w:rFonts w:ascii="宋体" w:hAnsi="宋体" w:cs="宋体"/>
          <w:sz w:val="24"/>
          <w:szCs w:val="24"/>
        </w:rPr>
      </w:pPr>
      <w:r>
        <w:rPr>
          <w:rFonts w:hint="eastAsia" w:ascii="宋体" w:hAnsi="宋体" w:cs="宋体"/>
          <w:sz w:val="24"/>
          <w:szCs w:val="24"/>
        </w:rPr>
        <w:t>9.本合同协议书一式</w:t>
      </w:r>
      <w:r>
        <w:rPr>
          <w:rFonts w:hint="eastAsia" w:ascii="宋体" w:hAnsi="宋体" w:cs="宋体"/>
          <w:sz w:val="24"/>
          <w:szCs w:val="24"/>
          <w:u w:val="single"/>
        </w:rPr>
        <w:t xml:space="preserve"> 陆 </w:t>
      </w:r>
      <w:r>
        <w:rPr>
          <w:rFonts w:hint="eastAsia" w:ascii="宋体" w:hAnsi="宋体" w:cs="宋体"/>
          <w:sz w:val="24"/>
          <w:szCs w:val="24"/>
        </w:rPr>
        <w:t>份，委托人执</w:t>
      </w:r>
      <w:r>
        <w:rPr>
          <w:rFonts w:hint="eastAsia" w:ascii="宋体" w:hAnsi="宋体" w:cs="宋体"/>
          <w:sz w:val="24"/>
          <w:szCs w:val="24"/>
          <w:u w:val="single"/>
        </w:rPr>
        <w:t xml:space="preserve"> 肆 </w:t>
      </w:r>
      <w:r>
        <w:rPr>
          <w:rFonts w:hint="eastAsia" w:ascii="宋体" w:hAnsi="宋体" w:cs="宋体"/>
          <w:sz w:val="24"/>
          <w:szCs w:val="24"/>
        </w:rPr>
        <w:t>份，监理人执</w:t>
      </w:r>
      <w:r>
        <w:rPr>
          <w:rFonts w:hint="eastAsia" w:ascii="宋体" w:hAnsi="宋体" w:cs="宋体"/>
          <w:sz w:val="24"/>
          <w:szCs w:val="24"/>
          <w:u w:val="single"/>
        </w:rPr>
        <w:t xml:space="preserve"> 贰 </w:t>
      </w:r>
      <w:r>
        <w:rPr>
          <w:rFonts w:hint="eastAsia" w:ascii="宋体" w:hAnsi="宋体" w:cs="宋体"/>
          <w:sz w:val="24"/>
          <w:szCs w:val="24"/>
        </w:rPr>
        <w:t>份。</w:t>
      </w:r>
    </w:p>
    <w:p w14:paraId="15918AD9">
      <w:pPr>
        <w:spacing w:line="594" w:lineRule="exact"/>
        <w:ind w:firstLine="480" w:firstLineChars="200"/>
        <w:rPr>
          <w:rFonts w:ascii="宋体" w:hAnsi="宋体" w:cs="宋体"/>
          <w:sz w:val="24"/>
          <w:szCs w:val="24"/>
        </w:rPr>
      </w:pPr>
      <w:r>
        <w:rPr>
          <w:rFonts w:hint="eastAsia" w:ascii="宋体" w:hAnsi="宋体" w:cs="宋体"/>
          <w:sz w:val="24"/>
          <w:szCs w:val="24"/>
        </w:rPr>
        <w:t>10.合同未尽事宜，双方另行签订补充协议。补充协议是合同的组成部分。</w:t>
      </w:r>
    </w:p>
    <w:p w14:paraId="12A35435">
      <w:pPr>
        <w:pStyle w:val="10"/>
        <w:rPr>
          <w:rFonts w:ascii="宋体" w:hAnsi="宋体" w:cs="宋体"/>
        </w:rPr>
      </w:pPr>
    </w:p>
    <w:p w14:paraId="050C8AC1">
      <w:pPr>
        <w:rPr>
          <w:rFonts w:ascii="宋体" w:hAnsi="宋体" w:cs="宋体"/>
          <w:sz w:val="24"/>
          <w:szCs w:val="24"/>
        </w:rPr>
      </w:pPr>
    </w:p>
    <w:p w14:paraId="3DA7432A">
      <w:pPr>
        <w:pStyle w:val="10"/>
        <w:rPr>
          <w:rFonts w:ascii="宋体" w:hAnsi="宋体" w:cs="宋体"/>
        </w:rPr>
      </w:pPr>
    </w:p>
    <w:p w14:paraId="23D8C524">
      <w:pPr>
        <w:rPr>
          <w:rFonts w:ascii="宋体" w:hAnsi="宋体" w:cs="宋体"/>
          <w:sz w:val="24"/>
          <w:szCs w:val="24"/>
        </w:rPr>
      </w:pPr>
    </w:p>
    <w:p w14:paraId="63AEC32B">
      <w:pPr>
        <w:pStyle w:val="10"/>
        <w:rPr>
          <w:rFonts w:ascii="宋体" w:hAnsi="宋体" w:cs="宋体"/>
        </w:rPr>
      </w:pPr>
    </w:p>
    <w:p w14:paraId="47E1D868">
      <w:pPr>
        <w:rPr>
          <w:rFonts w:ascii="宋体" w:hAnsi="宋体" w:cs="宋体"/>
          <w:sz w:val="24"/>
          <w:szCs w:val="24"/>
        </w:rPr>
      </w:pPr>
    </w:p>
    <w:p w14:paraId="2BD6DDBE">
      <w:pPr>
        <w:pStyle w:val="10"/>
        <w:rPr>
          <w:rFonts w:ascii="宋体" w:hAnsi="宋体" w:cs="宋体"/>
        </w:rPr>
      </w:pPr>
    </w:p>
    <w:p w14:paraId="538F6BE2">
      <w:pPr>
        <w:rPr>
          <w:rFonts w:ascii="宋体" w:hAnsi="宋体" w:cs="宋体"/>
          <w:sz w:val="24"/>
          <w:szCs w:val="24"/>
        </w:rPr>
      </w:pPr>
    </w:p>
    <w:p w14:paraId="3878DDC3">
      <w:pPr>
        <w:rPr>
          <w:rFonts w:ascii="宋体" w:hAnsi="宋体" w:cs="宋体"/>
          <w:sz w:val="24"/>
          <w:szCs w:val="24"/>
        </w:rPr>
      </w:pPr>
    </w:p>
    <w:p w14:paraId="62F8DD06">
      <w:pPr>
        <w:rPr>
          <w:rFonts w:ascii="宋体" w:hAnsi="宋体" w:cs="宋体"/>
          <w:sz w:val="24"/>
          <w:szCs w:val="24"/>
        </w:rPr>
      </w:pPr>
    </w:p>
    <w:p w14:paraId="36717401">
      <w:pPr>
        <w:rPr>
          <w:rFonts w:ascii="宋体" w:hAnsi="宋体" w:cs="宋体"/>
          <w:sz w:val="24"/>
          <w:szCs w:val="24"/>
        </w:rPr>
      </w:pPr>
    </w:p>
    <w:p w14:paraId="489267F7">
      <w:pPr>
        <w:rPr>
          <w:rFonts w:ascii="宋体" w:hAnsi="宋体" w:cs="宋体"/>
          <w:sz w:val="24"/>
          <w:szCs w:val="24"/>
        </w:rPr>
      </w:pPr>
    </w:p>
    <w:p w14:paraId="7FF6A200">
      <w:pPr>
        <w:rPr>
          <w:rFonts w:ascii="宋体" w:hAnsi="宋体" w:cs="宋体"/>
          <w:sz w:val="24"/>
          <w:szCs w:val="24"/>
        </w:rPr>
      </w:pPr>
    </w:p>
    <w:p w14:paraId="36C71168">
      <w:pPr>
        <w:rPr>
          <w:rFonts w:ascii="宋体" w:hAnsi="宋体" w:cs="宋体"/>
          <w:sz w:val="24"/>
          <w:szCs w:val="24"/>
        </w:rPr>
      </w:pPr>
    </w:p>
    <w:p w14:paraId="2F92D18E">
      <w:pPr>
        <w:pStyle w:val="10"/>
        <w:rPr>
          <w:rFonts w:ascii="宋体" w:hAnsi="宋体" w:cs="宋体"/>
        </w:rPr>
      </w:pPr>
    </w:p>
    <w:p w14:paraId="490C6673">
      <w:pPr>
        <w:spacing w:line="594" w:lineRule="exact"/>
        <w:ind w:firstLine="480" w:firstLineChars="200"/>
        <w:jc w:val="center"/>
        <w:rPr>
          <w:rFonts w:hint="eastAsia" w:ascii="宋体" w:hAnsi="宋体" w:cs="宋体"/>
          <w:sz w:val="24"/>
          <w:szCs w:val="24"/>
        </w:rPr>
      </w:pPr>
      <w:r>
        <w:rPr>
          <w:rFonts w:hint="eastAsia" w:ascii="宋体" w:hAnsi="宋体" w:cs="宋体"/>
          <w:sz w:val="24"/>
          <w:szCs w:val="24"/>
        </w:rPr>
        <w:t>（此页无正文</w:t>
      </w:r>
      <w:r>
        <w:rPr>
          <w:rFonts w:hint="eastAsia" w:ascii="宋体" w:hAnsi="宋体" w:cs="宋体"/>
          <w:sz w:val="24"/>
          <w:szCs w:val="24"/>
          <w:lang w:eastAsia="zh-CN"/>
        </w:rPr>
        <w:t>，为签署页</w:t>
      </w:r>
      <w:r>
        <w:rPr>
          <w:rFonts w:hint="eastAsia" w:ascii="宋体" w:hAnsi="宋体" w:cs="宋体"/>
          <w:sz w:val="24"/>
          <w:szCs w:val="24"/>
        </w:rPr>
        <w:t>）</w:t>
      </w:r>
    </w:p>
    <w:p w14:paraId="3F956727">
      <w:pPr>
        <w:rPr>
          <w:rFonts w:ascii="方正仿宋_GBK" w:hAnsi="方正仿宋_GBK" w:eastAsia="方正仿宋_GBK" w:cs="方正仿宋_GBK"/>
          <w:sz w:val="32"/>
          <w:szCs w:val="32"/>
        </w:rPr>
      </w:pPr>
    </w:p>
    <w:p w14:paraId="4D27D2BE">
      <w:pPr>
        <w:spacing w:line="594" w:lineRule="exact"/>
        <w:rPr>
          <w:rFonts w:ascii="宋体" w:hAnsi="宋体" w:cs="宋体"/>
          <w:sz w:val="24"/>
          <w:szCs w:val="24"/>
        </w:rPr>
      </w:pPr>
      <w:r>
        <w:rPr>
          <w:rFonts w:hint="eastAsia" w:ascii="宋体" w:hAnsi="宋体" w:cs="宋体"/>
          <w:sz w:val="24"/>
          <w:szCs w:val="24"/>
        </w:rPr>
        <w:t>委托人：重庆市大渡口区建胜镇人民政府     监理人：</w:t>
      </w:r>
    </w:p>
    <w:p w14:paraId="518A27D7">
      <w:pPr>
        <w:spacing w:line="594" w:lineRule="exact"/>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rPr>
        <w:t xml:space="preserve">                             法定代表人：</w:t>
      </w:r>
    </w:p>
    <w:p w14:paraId="751DF7DD">
      <w:pPr>
        <w:spacing w:line="594" w:lineRule="exact"/>
        <w:rPr>
          <w:rFonts w:ascii="宋体" w:hAnsi="宋体" w:cs="宋体"/>
          <w:sz w:val="24"/>
          <w:szCs w:val="24"/>
        </w:rPr>
      </w:pPr>
      <w:r>
        <w:rPr>
          <w:rFonts w:hint="eastAsia" w:ascii="宋体" w:hAnsi="宋体" w:cs="宋体"/>
          <w:sz w:val="24"/>
          <w:szCs w:val="24"/>
        </w:rPr>
        <w:t>或委托代理人：                           或委托代理人：</w:t>
      </w:r>
    </w:p>
    <w:p w14:paraId="2778C607">
      <w:pPr>
        <w:spacing w:line="594" w:lineRule="exact"/>
        <w:rPr>
          <w:rFonts w:ascii="宋体" w:hAnsi="宋体" w:cs="宋体"/>
          <w:sz w:val="24"/>
          <w:szCs w:val="24"/>
        </w:rPr>
      </w:pPr>
      <w:r>
        <w:rPr>
          <w:rFonts w:hint="eastAsia" w:ascii="宋体" w:hAnsi="宋体" w:cs="宋体"/>
          <w:sz w:val="24"/>
          <w:szCs w:val="24"/>
        </w:rPr>
        <w:t>合同经办人：                             合同经办人：</w:t>
      </w:r>
    </w:p>
    <w:p w14:paraId="7EB2701B">
      <w:pPr>
        <w:spacing w:line="594" w:lineRule="exact"/>
        <w:rPr>
          <w:rFonts w:ascii="宋体" w:hAnsi="宋体" w:cs="宋体"/>
          <w:sz w:val="24"/>
          <w:szCs w:val="24"/>
        </w:rPr>
      </w:pPr>
      <w:r>
        <w:rPr>
          <w:rFonts w:hint="eastAsia" w:ascii="宋体" w:hAnsi="宋体" w:cs="宋体"/>
          <w:sz w:val="24"/>
          <w:szCs w:val="24"/>
        </w:rPr>
        <w:t xml:space="preserve">联系方式：                               联系方式：  </w:t>
      </w:r>
    </w:p>
    <w:p w14:paraId="74AD33F4">
      <w:pPr>
        <w:spacing w:line="594" w:lineRule="exact"/>
        <w:ind w:left="5040" w:hanging="5040" w:hangingChars="2100"/>
        <w:rPr>
          <w:rFonts w:ascii="宋体" w:hAnsi="宋体" w:cs="宋体"/>
          <w:sz w:val="24"/>
          <w:szCs w:val="24"/>
        </w:rPr>
      </w:pPr>
      <w:r>
        <w:rPr>
          <w:rFonts w:hint="eastAsia" w:ascii="宋体" w:hAnsi="宋体" w:cs="宋体"/>
          <w:sz w:val="24"/>
          <w:szCs w:val="24"/>
        </w:rPr>
        <w:t xml:space="preserve">地址：                                   地址：                           </w:t>
      </w:r>
    </w:p>
    <w:p w14:paraId="362BEDDE">
      <w:pPr>
        <w:spacing w:line="594" w:lineRule="exact"/>
        <w:ind w:left="5280" w:hanging="5280" w:hangingChars="2200"/>
        <w:rPr>
          <w:rFonts w:ascii="宋体" w:hAnsi="宋体" w:cs="宋体"/>
          <w:sz w:val="24"/>
          <w:szCs w:val="24"/>
        </w:rPr>
      </w:pPr>
      <w:r>
        <w:rPr>
          <w:rFonts w:hint="eastAsia" w:ascii="宋体" w:hAnsi="宋体" w:cs="宋体"/>
          <w:sz w:val="24"/>
          <w:szCs w:val="24"/>
        </w:rPr>
        <w:t xml:space="preserve">                                         开户行：</w:t>
      </w:r>
    </w:p>
    <w:p w14:paraId="21C330B8">
      <w:pPr>
        <w:spacing w:line="594" w:lineRule="exact"/>
        <w:rPr>
          <w:rFonts w:ascii="宋体" w:hAnsi="宋体" w:cs="宋体"/>
          <w:sz w:val="24"/>
          <w:szCs w:val="24"/>
        </w:rPr>
      </w:pPr>
      <w:r>
        <w:rPr>
          <w:rFonts w:hint="eastAsia" w:ascii="宋体" w:hAnsi="宋体" w:cs="宋体"/>
          <w:sz w:val="24"/>
          <w:szCs w:val="24"/>
        </w:rPr>
        <w:t xml:space="preserve">                                         账号：</w:t>
      </w:r>
    </w:p>
    <w:p w14:paraId="1EEB1652">
      <w:pPr>
        <w:spacing w:line="594" w:lineRule="exact"/>
        <w:ind w:right="960"/>
        <w:rPr>
          <w:rFonts w:ascii="宋体" w:hAnsi="宋体" w:cs="宋体"/>
          <w:sz w:val="24"/>
          <w:szCs w:val="24"/>
        </w:rPr>
      </w:pPr>
    </w:p>
    <w:p w14:paraId="72A0FDF1">
      <w:pPr>
        <w:spacing w:line="594" w:lineRule="exact"/>
        <w:ind w:right="960" w:firstLine="480" w:firstLineChars="200"/>
        <w:jc w:val="right"/>
        <w:rPr>
          <w:rFonts w:ascii="宋体" w:hAnsi="宋体" w:cs="宋体"/>
          <w:sz w:val="24"/>
          <w:szCs w:val="24"/>
        </w:rPr>
      </w:pPr>
      <w:r>
        <w:rPr>
          <w:rFonts w:hint="eastAsia" w:ascii="宋体" w:hAnsi="宋体" w:cs="宋体"/>
          <w:sz w:val="24"/>
          <w:szCs w:val="24"/>
        </w:rPr>
        <w:t>签约时间：2026年  月   日</w:t>
      </w:r>
    </w:p>
    <w:p w14:paraId="72B9227C">
      <w:pPr>
        <w:spacing w:afterLines="100" w:line="594" w:lineRule="exact"/>
        <w:jc w:val="center"/>
        <w:rPr>
          <w:rFonts w:ascii="宋体" w:hAnsi="宋体" w:cs="宋体"/>
          <w:sz w:val="32"/>
          <w:szCs w:val="32"/>
        </w:rPr>
      </w:pPr>
      <w:r>
        <w:rPr>
          <w:rFonts w:hint="eastAsia" w:ascii="宋体" w:hAnsi="宋体" w:cs="宋体"/>
        </w:rPr>
        <w:br w:type="page"/>
      </w:r>
      <w:bookmarkStart w:id="211" w:name="_Toc536778390"/>
      <w:bookmarkStart w:id="212" w:name="_Toc16417"/>
      <w:bookmarkStart w:id="213" w:name="_Toc531820305"/>
      <w:bookmarkStart w:id="214" w:name="_Toc20790"/>
      <w:r>
        <w:rPr>
          <w:rFonts w:hint="eastAsia" w:ascii="宋体" w:hAnsi="宋体" w:cs="宋体"/>
          <w:b/>
          <w:sz w:val="32"/>
          <w:szCs w:val="32"/>
        </w:rPr>
        <w:t>第二节 通用合同条款</w:t>
      </w:r>
      <w:bookmarkEnd w:id="211"/>
      <w:bookmarkEnd w:id="212"/>
      <w:bookmarkEnd w:id="213"/>
      <w:bookmarkEnd w:id="214"/>
    </w:p>
    <w:p w14:paraId="08763937">
      <w:pPr>
        <w:pStyle w:val="4"/>
        <w:spacing w:before="0" w:after="0" w:line="360" w:lineRule="auto"/>
        <w:ind w:firstLine="138"/>
        <w:rPr>
          <w:rFonts w:ascii="宋体" w:hAnsi="宋体" w:cs="宋体"/>
          <w:sz w:val="24"/>
          <w:szCs w:val="24"/>
        </w:rPr>
      </w:pPr>
      <w:bookmarkStart w:id="215" w:name="_Toc20108"/>
      <w:bookmarkStart w:id="216" w:name="_Toc536778391"/>
      <w:bookmarkStart w:id="217" w:name="_Toc531820306"/>
      <w:bookmarkStart w:id="218" w:name="_Toc28883"/>
      <w:bookmarkStart w:id="219" w:name="_Toc30053"/>
      <w:r>
        <w:rPr>
          <w:rFonts w:hint="eastAsia" w:ascii="宋体" w:hAnsi="宋体" w:cs="宋体"/>
          <w:sz w:val="24"/>
          <w:szCs w:val="24"/>
        </w:rPr>
        <w:t>1.一般约定</w:t>
      </w:r>
      <w:bookmarkEnd w:id="215"/>
      <w:bookmarkEnd w:id="216"/>
      <w:bookmarkEnd w:id="217"/>
      <w:bookmarkEnd w:id="218"/>
      <w:bookmarkEnd w:id="219"/>
    </w:p>
    <w:p w14:paraId="363FC4C1">
      <w:pPr>
        <w:spacing w:line="360" w:lineRule="auto"/>
        <w:ind w:firstLine="482" w:firstLineChars="200"/>
        <w:rPr>
          <w:rFonts w:ascii="宋体" w:hAnsi="宋体" w:cs="宋体"/>
          <w:b/>
          <w:sz w:val="24"/>
          <w:szCs w:val="24"/>
        </w:rPr>
      </w:pPr>
      <w:r>
        <w:rPr>
          <w:rFonts w:hint="eastAsia" w:ascii="宋体" w:hAnsi="宋体" w:cs="宋体"/>
          <w:b/>
          <w:sz w:val="24"/>
          <w:szCs w:val="24"/>
        </w:rPr>
        <w:t>1.1 词语定义</w:t>
      </w:r>
    </w:p>
    <w:p w14:paraId="24DB4055">
      <w:pPr>
        <w:spacing w:line="360" w:lineRule="auto"/>
        <w:ind w:firstLine="480" w:firstLineChars="200"/>
        <w:rPr>
          <w:rFonts w:ascii="宋体" w:hAnsi="宋体" w:cs="宋体"/>
          <w:sz w:val="24"/>
          <w:szCs w:val="24"/>
        </w:rPr>
      </w:pPr>
      <w:r>
        <w:rPr>
          <w:rFonts w:hint="eastAsia" w:ascii="宋体" w:hAnsi="宋体" w:cs="宋体"/>
          <w:sz w:val="24"/>
          <w:szCs w:val="24"/>
        </w:rPr>
        <w:t>通用合同条款、专用合同条款中的下列词语应具有本款所赋予的含义。</w:t>
      </w:r>
    </w:p>
    <w:p w14:paraId="63E5E213">
      <w:pPr>
        <w:spacing w:line="360" w:lineRule="auto"/>
        <w:ind w:firstLine="480" w:firstLineChars="200"/>
        <w:rPr>
          <w:rFonts w:ascii="宋体" w:hAnsi="宋体" w:cs="宋体"/>
          <w:sz w:val="24"/>
          <w:szCs w:val="24"/>
        </w:rPr>
      </w:pPr>
      <w:r>
        <w:rPr>
          <w:rFonts w:hint="eastAsia" w:ascii="宋体" w:hAnsi="宋体" w:cs="宋体"/>
          <w:sz w:val="24"/>
          <w:szCs w:val="24"/>
        </w:rPr>
        <w:t>1.1.1 合同</w:t>
      </w:r>
    </w:p>
    <w:p w14:paraId="0F1E858F">
      <w:pPr>
        <w:spacing w:line="360" w:lineRule="auto"/>
        <w:ind w:firstLine="480" w:firstLineChars="200"/>
        <w:rPr>
          <w:rFonts w:ascii="宋体" w:hAnsi="宋体" w:cs="宋体"/>
          <w:sz w:val="24"/>
          <w:szCs w:val="24"/>
        </w:rPr>
      </w:pPr>
      <w:r>
        <w:rPr>
          <w:rFonts w:hint="eastAsia" w:ascii="宋体" w:hAnsi="宋体" w:cs="宋体"/>
          <w:sz w:val="24"/>
          <w:szCs w:val="24"/>
        </w:rPr>
        <w:t>1.1.1.1 合同文件（或称合同）：指合同协议书、中标通知书、投标函和投标函附录、专用合同条款、通用合同条款、委托人要求、监理报酬清单、监理大纲</w:t>
      </w:r>
      <w:r>
        <w:rPr>
          <w:rFonts w:hint="eastAsia" w:ascii="宋体" w:hAnsi="宋体" w:cs="宋体"/>
          <w:sz w:val="24"/>
          <w:szCs w:val="24"/>
          <w:lang w:eastAsia="zh-CN"/>
        </w:rPr>
        <w:t>，</w:t>
      </w:r>
      <w:r>
        <w:rPr>
          <w:rFonts w:hint="eastAsia" w:ascii="宋体" w:hAnsi="宋体" w:cs="宋体"/>
          <w:sz w:val="24"/>
          <w:szCs w:val="24"/>
        </w:rPr>
        <w:t>以及其他构成合同组成部分的文件。</w:t>
      </w:r>
    </w:p>
    <w:p w14:paraId="09644456">
      <w:pPr>
        <w:spacing w:line="360" w:lineRule="auto"/>
        <w:ind w:firstLine="480" w:firstLineChars="200"/>
        <w:rPr>
          <w:rFonts w:ascii="宋体" w:hAnsi="宋体" w:cs="宋体"/>
          <w:sz w:val="24"/>
          <w:szCs w:val="24"/>
        </w:rPr>
      </w:pPr>
      <w:r>
        <w:rPr>
          <w:rFonts w:hint="eastAsia" w:ascii="宋体" w:hAnsi="宋体" w:cs="宋体"/>
          <w:sz w:val="24"/>
          <w:szCs w:val="24"/>
        </w:rPr>
        <w:t>1.1.1.2 合同协议书：指委托人和监理人共同签署的合同协议书。</w:t>
      </w:r>
    </w:p>
    <w:p w14:paraId="689F4D02">
      <w:pPr>
        <w:spacing w:line="360" w:lineRule="auto"/>
        <w:ind w:firstLine="480" w:firstLineChars="200"/>
        <w:rPr>
          <w:rFonts w:ascii="宋体" w:hAnsi="宋体" w:cs="宋体"/>
          <w:sz w:val="24"/>
          <w:szCs w:val="24"/>
        </w:rPr>
      </w:pPr>
      <w:r>
        <w:rPr>
          <w:rFonts w:hint="eastAsia" w:ascii="宋体" w:hAnsi="宋体" w:cs="宋体"/>
          <w:sz w:val="24"/>
          <w:szCs w:val="24"/>
        </w:rPr>
        <w:t>1.1.1.3 中标通知书：指委托人通知监理人中标的函件。</w:t>
      </w:r>
    </w:p>
    <w:p w14:paraId="063C8DF0">
      <w:pPr>
        <w:spacing w:line="360" w:lineRule="auto"/>
        <w:ind w:firstLine="480" w:firstLineChars="200"/>
        <w:rPr>
          <w:rFonts w:ascii="宋体" w:hAnsi="宋体" w:cs="宋体"/>
          <w:sz w:val="24"/>
          <w:szCs w:val="24"/>
        </w:rPr>
      </w:pPr>
      <w:r>
        <w:rPr>
          <w:rFonts w:hint="eastAsia" w:ascii="宋体" w:hAnsi="宋体" w:cs="宋体"/>
          <w:sz w:val="24"/>
          <w:szCs w:val="24"/>
        </w:rPr>
        <w:t>1.1.1.4 投标函：指由监理人填写并签署的，名为“投标函”的函件。</w:t>
      </w:r>
    </w:p>
    <w:p w14:paraId="16C2D8F0">
      <w:pPr>
        <w:spacing w:line="360" w:lineRule="auto"/>
        <w:ind w:firstLine="480" w:firstLineChars="200"/>
        <w:rPr>
          <w:rFonts w:ascii="宋体" w:hAnsi="宋体" w:cs="宋体"/>
          <w:sz w:val="24"/>
          <w:szCs w:val="24"/>
        </w:rPr>
      </w:pPr>
      <w:r>
        <w:rPr>
          <w:rFonts w:hint="eastAsia" w:ascii="宋体" w:hAnsi="宋体" w:cs="宋体"/>
          <w:sz w:val="24"/>
          <w:szCs w:val="24"/>
        </w:rPr>
        <w:t>1.1.1.5 投标函附录：指由监理人填写并签署的</w:t>
      </w:r>
      <w:r>
        <w:rPr>
          <w:rFonts w:hint="eastAsia" w:ascii="宋体" w:hAnsi="宋体" w:cs="宋体"/>
          <w:sz w:val="24"/>
          <w:szCs w:val="24"/>
          <w:lang w:eastAsia="zh-CN"/>
        </w:rPr>
        <w:t>，</w:t>
      </w:r>
      <w:r>
        <w:rPr>
          <w:rFonts w:hint="eastAsia" w:ascii="宋体" w:hAnsi="宋体" w:cs="宋体"/>
          <w:sz w:val="24"/>
          <w:szCs w:val="24"/>
        </w:rPr>
        <w:t>附在投标函后，名为“投标函附录”的函件。</w:t>
      </w:r>
    </w:p>
    <w:p w14:paraId="3111E3E9">
      <w:pPr>
        <w:spacing w:line="360" w:lineRule="auto"/>
        <w:ind w:firstLine="480" w:firstLineChars="200"/>
        <w:rPr>
          <w:rFonts w:ascii="宋体" w:hAnsi="宋体" w:cs="宋体"/>
          <w:sz w:val="24"/>
          <w:szCs w:val="24"/>
        </w:rPr>
      </w:pPr>
      <w:r>
        <w:rPr>
          <w:rFonts w:hint="eastAsia" w:ascii="宋体" w:hAnsi="宋体" w:cs="宋体"/>
          <w:sz w:val="24"/>
          <w:szCs w:val="24"/>
        </w:rPr>
        <w:t>1.1.1.6 委托人要求：指合同文件中名为“委托人要求”的文件。</w:t>
      </w:r>
    </w:p>
    <w:p w14:paraId="09B95477">
      <w:pPr>
        <w:spacing w:line="360" w:lineRule="auto"/>
        <w:ind w:firstLine="480" w:firstLineChars="200"/>
        <w:rPr>
          <w:rFonts w:ascii="宋体" w:hAnsi="宋体" w:cs="宋体"/>
          <w:sz w:val="24"/>
          <w:szCs w:val="24"/>
        </w:rPr>
      </w:pPr>
      <w:r>
        <w:rPr>
          <w:rFonts w:hint="eastAsia" w:ascii="宋体" w:hAnsi="宋体" w:cs="宋体"/>
          <w:sz w:val="24"/>
          <w:szCs w:val="24"/>
        </w:rPr>
        <w:t>1.1.1.7 监理大纲：指监理人在投标文件中的监理大纲。</w:t>
      </w:r>
    </w:p>
    <w:p w14:paraId="78C368DA">
      <w:pPr>
        <w:spacing w:line="360" w:lineRule="auto"/>
        <w:ind w:firstLine="480" w:firstLineChars="200"/>
        <w:rPr>
          <w:rFonts w:ascii="宋体" w:hAnsi="宋体" w:cs="宋体"/>
          <w:sz w:val="24"/>
          <w:szCs w:val="24"/>
        </w:rPr>
      </w:pPr>
      <w:r>
        <w:rPr>
          <w:rFonts w:hint="eastAsia" w:ascii="宋体" w:hAnsi="宋体" w:cs="宋体"/>
          <w:sz w:val="24"/>
          <w:szCs w:val="24"/>
        </w:rPr>
        <w:t>1.1.1.8 监理报酬清单：指监理人投标文件中的监理报酬清单。</w:t>
      </w:r>
    </w:p>
    <w:p w14:paraId="27866B6D">
      <w:pPr>
        <w:spacing w:line="360" w:lineRule="auto"/>
        <w:ind w:firstLine="480" w:firstLineChars="200"/>
        <w:rPr>
          <w:rFonts w:ascii="宋体" w:hAnsi="宋体" w:cs="宋体"/>
          <w:sz w:val="24"/>
          <w:szCs w:val="24"/>
        </w:rPr>
      </w:pPr>
      <w:r>
        <w:rPr>
          <w:rFonts w:hint="eastAsia" w:ascii="宋体" w:hAnsi="宋体" w:cs="宋体"/>
          <w:sz w:val="24"/>
          <w:szCs w:val="24"/>
        </w:rPr>
        <w:t>1.1.1.9 其他合同文件：指经合同双方当事人确认构成合同文件的其他文件。</w:t>
      </w:r>
    </w:p>
    <w:p w14:paraId="4918393E">
      <w:pPr>
        <w:spacing w:line="360" w:lineRule="auto"/>
        <w:ind w:firstLine="480" w:firstLineChars="200"/>
        <w:rPr>
          <w:rFonts w:ascii="宋体" w:hAnsi="宋体" w:cs="宋体"/>
          <w:sz w:val="24"/>
          <w:szCs w:val="24"/>
        </w:rPr>
      </w:pPr>
      <w:r>
        <w:rPr>
          <w:rFonts w:hint="eastAsia" w:ascii="宋体" w:hAnsi="宋体" w:cs="宋体"/>
          <w:sz w:val="24"/>
          <w:szCs w:val="24"/>
        </w:rPr>
        <w:t>1.1.2 合同当事人和人员</w:t>
      </w:r>
    </w:p>
    <w:p w14:paraId="5FDC98D8">
      <w:pPr>
        <w:spacing w:line="360" w:lineRule="auto"/>
        <w:ind w:firstLine="480" w:firstLineChars="200"/>
        <w:rPr>
          <w:rFonts w:ascii="宋体" w:hAnsi="宋体" w:cs="宋体"/>
          <w:sz w:val="24"/>
          <w:szCs w:val="24"/>
        </w:rPr>
      </w:pPr>
      <w:r>
        <w:rPr>
          <w:rFonts w:hint="eastAsia" w:ascii="宋体" w:hAnsi="宋体" w:cs="宋体"/>
          <w:sz w:val="24"/>
          <w:szCs w:val="24"/>
        </w:rPr>
        <w:t>1.1.2.1 合同当事人：指委托人</w:t>
      </w:r>
      <w:r>
        <w:rPr>
          <w:rFonts w:hint="eastAsia" w:ascii="宋体" w:hAnsi="宋体" w:cs="宋体"/>
          <w:sz w:val="24"/>
          <w:szCs w:val="24"/>
          <w:lang w:eastAsia="zh-CN"/>
        </w:rPr>
        <w:t>和</w:t>
      </w:r>
      <w:r>
        <w:rPr>
          <w:rFonts w:hint="eastAsia" w:ascii="宋体" w:hAnsi="宋体" w:cs="宋体"/>
          <w:sz w:val="24"/>
          <w:szCs w:val="24"/>
        </w:rPr>
        <w:t>监理人。</w:t>
      </w:r>
    </w:p>
    <w:p w14:paraId="720F5B54">
      <w:pPr>
        <w:spacing w:line="360" w:lineRule="auto"/>
        <w:ind w:firstLine="480" w:firstLineChars="200"/>
        <w:rPr>
          <w:rFonts w:ascii="宋体" w:hAnsi="宋体" w:cs="宋体"/>
          <w:sz w:val="24"/>
          <w:szCs w:val="24"/>
        </w:rPr>
      </w:pPr>
      <w:r>
        <w:rPr>
          <w:rFonts w:hint="eastAsia" w:ascii="宋体" w:hAnsi="宋体" w:cs="宋体"/>
          <w:sz w:val="24"/>
          <w:szCs w:val="24"/>
        </w:rPr>
        <w:t>1.1.2.2 委托人：指与监理人签订合同协议书的当事人，及其合法继承人。</w:t>
      </w:r>
    </w:p>
    <w:p w14:paraId="75E2A23A">
      <w:pPr>
        <w:spacing w:line="360" w:lineRule="auto"/>
        <w:ind w:firstLine="480" w:firstLineChars="200"/>
        <w:rPr>
          <w:rFonts w:ascii="宋体" w:hAnsi="宋体" w:cs="宋体"/>
          <w:sz w:val="24"/>
          <w:szCs w:val="24"/>
        </w:rPr>
      </w:pPr>
      <w:r>
        <w:rPr>
          <w:rFonts w:hint="eastAsia" w:ascii="宋体" w:hAnsi="宋体" w:cs="宋体"/>
          <w:sz w:val="24"/>
          <w:szCs w:val="24"/>
        </w:rPr>
        <w:t>1.1.2.3 监理人：指与委托人签订合同协议书的当事人，及其合法继承人。</w:t>
      </w:r>
    </w:p>
    <w:p w14:paraId="343FC28E">
      <w:pPr>
        <w:spacing w:line="360" w:lineRule="auto"/>
        <w:ind w:firstLine="480" w:firstLineChars="200"/>
        <w:rPr>
          <w:rFonts w:ascii="宋体" w:hAnsi="宋体" w:cs="宋体"/>
          <w:sz w:val="24"/>
          <w:szCs w:val="24"/>
        </w:rPr>
      </w:pPr>
      <w:r>
        <w:rPr>
          <w:rFonts w:hint="eastAsia" w:ascii="宋体" w:hAnsi="宋体" w:cs="宋体"/>
          <w:sz w:val="24"/>
          <w:szCs w:val="24"/>
        </w:rPr>
        <w:t>1.1.2.4 委托人代表：指由委托人任命，并在授权范围和期限内代表委托人行使权利和履行义务的全权负责人。</w:t>
      </w:r>
    </w:p>
    <w:p w14:paraId="6C06E7D0">
      <w:pPr>
        <w:spacing w:line="360" w:lineRule="auto"/>
        <w:ind w:firstLine="480" w:firstLineChars="200"/>
        <w:rPr>
          <w:rFonts w:ascii="宋体" w:hAnsi="宋体" w:cs="宋体"/>
          <w:sz w:val="24"/>
          <w:szCs w:val="24"/>
        </w:rPr>
      </w:pPr>
      <w:r>
        <w:rPr>
          <w:rFonts w:hint="eastAsia" w:ascii="宋体" w:hAnsi="宋体" w:cs="宋体"/>
          <w:sz w:val="24"/>
          <w:szCs w:val="24"/>
        </w:rPr>
        <w:t>1.1.2.5 总监理工程师：指由监理人任命，代表监理人行使权利和履行义务的全权负责人。</w:t>
      </w:r>
    </w:p>
    <w:p w14:paraId="0D8879B6">
      <w:pPr>
        <w:spacing w:line="360" w:lineRule="auto"/>
        <w:ind w:firstLine="480" w:firstLineChars="200"/>
        <w:rPr>
          <w:rFonts w:ascii="宋体" w:hAnsi="宋体" w:cs="宋体"/>
          <w:sz w:val="24"/>
          <w:szCs w:val="24"/>
        </w:rPr>
      </w:pPr>
      <w:r>
        <w:rPr>
          <w:rFonts w:hint="eastAsia" w:ascii="宋体" w:hAnsi="宋体" w:cs="宋体"/>
          <w:sz w:val="24"/>
          <w:szCs w:val="24"/>
        </w:rPr>
        <w:t>1.1.2.6 承包人：指在本工程监理范围内，与委托人签订勘察、设计、施工承包合同的当事人。</w:t>
      </w:r>
    </w:p>
    <w:p w14:paraId="62044B07">
      <w:pPr>
        <w:spacing w:line="360" w:lineRule="auto"/>
        <w:ind w:firstLine="480" w:firstLineChars="200"/>
        <w:rPr>
          <w:rFonts w:ascii="宋体" w:hAnsi="宋体" w:cs="宋体"/>
          <w:sz w:val="24"/>
          <w:szCs w:val="24"/>
        </w:rPr>
      </w:pPr>
      <w:r>
        <w:rPr>
          <w:rFonts w:hint="eastAsia" w:ascii="宋体" w:hAnsi="宋体" w:cs="宋体"/>
          <w:sz w:val="24"/>
          <w:szCs w:val="24"/>
        </w:rPr>
        <w:t>1.1.3 工程和监理</w:t>
      </w:r>
    </w:p>
    <w:p w14:paraId="406E96DF">
      <w:pPr>
        <w:spacing w:line="360" w:lineRule="auto"/>
        <w:ind w:firstLine="480" w:firstLineChars="200"/>
        <w:rPr>
          <w:rFonts w:ascii="宋体" w:hAnsi="宋体" w:cs="宋体"/>
          <w:sz w:val="24"/>
          <w:szCs w:val="24"/>
        </w:rPr>
      </w:pPr>
      <w:r>
        <w:rPr>
          <w:rFonts w:hint="eastAsia" w:ascii="宋体" w:hAnsi="宋体" w:cs="宋体"/>
          <w:sz w:val="24"/>
          <w:szCs w:val="24"/>
        </w:rPr>
        <w:t>1.1.3.1 工程：指永久工程和（或）临时工程。</w:t>
      </w:r>
    </w:p>
    <w:p w14:paraId="570EFCEC">
      <w:pPr>
        <w:spacing w:line="360" w:lineRule="auto"/>
        <w:ind w:firstLine="480" w:firstLineChars="200"/>
        <w:rPr>
          <w:rFonts w:ascii="宋体" w:hAnsi="宋体" w:cs="宋体"/>
          <w:sz w:val="24"/>
          <w:szCs w:val="24"/>
        </w:rPr>
      </w:pPr>
      <w:r>
        <w:rPr>
          <w:rFonts w:hint="eastAsia" w:ascii="宋体" w:hAnsi="宋体" w:cs="宋体"/>
          <w:sz w:val="24"/>
          <w:szCs w:val="24"/>
        </w:rPr>
        <w:t>1.1.3.2 监理服务：指监理人接受委托人的委托，依照法律、规范标准和监理合同等，对建设工程勘察、设计或施工等阶段进行质量控制、进度控制、投资控制、合同管理、信息管理、组织协调和安全监理、环保监理的服务活动。</w:t>
      </w:r>
    </w:p>
    <w:p w14:paraId="26259689">
      <w:pPr>
        <w:spacing w:line="360" w:lineRule="auto"/>
        <w:ind w:firstLine="480" w:firstLineChars="200"/>
        <w:rPr>
          <w:rFonts w:ascii="宋体" w:hAnsi="宋体" w:cs="宋体"/>
          <w:sz w:val="24"/>
          <w:szCs w:val="24"/>
        </w:rPr>
      </w:pPr>
      <w:r>
        <w:rPr>
          <w:rFonts w:hint="eastAsia" w:ascii="宋体" w:hAnsi="宋体" w:cs="宋体"/>
          <w:sz w:val="24"/>
          <w:szCs w:val="24"/>
        </w:rPr>
        <w:t>1.1.3.3 监理资料：</w:t>
      </w:r>
      <w:r>
        <w:rPr>
          <w:rFonts w:hint="eastAsia" w:ascii="宋体" w:hAnsi="宋体" w:cs="宋体"/>
          <w:sz w:val="24"/>
          <w:szCs w:val="24"/>
          <w:lang w:eastAsia="zh-CN"/>
        </w:rPr>
        <w:t>指</w:t>
      </w:r>
      <w:r>
        <w:rPr>
          <w:rFonts w:hint="eastAsia" w:ascii="宋体" w:hAnsi="宋体" w:cs="宋体"/>
          <w:sz w:val="24"/>
          <w:szCs w:val="24"/>
        </w:rPr>
        <w:t>委托人按合同约定向监理人提供的，用于完成监理范围与内容所需要的资料。</w:t>
      </w:r>
    </w:p>
    <w:p w14:paraId="488E5AB5">
      <w:pPr>
        <w:spacing w:line="360" w:lineRule="auto"/>
        <w:ind w:firstLine="480" w:firstLineChars="200"/>
        <w:rPr>
          <w:rFonts w:ascii="宋体" w:hAnsi="宋体" w:cs="宋体"/>
          <w:sz w:val="24"/>
          <w:szCs w:val="24"/>
        </w:rPr>
      </w:pPr>
      <w:r>
        <w:rPr>
          <w:rFonts w:hint="eastAsia" w:ascii="宋体" w:hAnsi="宋体" w:cs="宋体"/>
          <w:sz w:val="24"/>
          <w:szCs w:val="24"/>
        </w:rPr>
        <w:t>1.1.3.4 监理文件：指监理人按合同约定向委托人提交的监理大纲、监理规划、监理实施细则、监理日志、监理报告、工程质量评估报告、事故处理文件、监理工作总结和其他文件等，包括阶段性文件和最终文件，且应当采用合同中双方约定的格式和载体。</w:t>
      </w:r>
    </w:p>
    <w:p w14:paraId="2986A9F2">
      <w:pPr>
        <w:spacing w:line="360" w:lineRule="auto"/>
        <w:ind w:firstLine="480" w:firstLineChars="200"/>
        <w:rPr>
          <w:rFonts w:ascii="宋体" w:hAnsi="宋体" w:cs="宋体"/>
          <w:sz w:val="24"/>
          <w:szCs w:val="24"/>
        </w:rPr>
      </w:pPr>
      <w:r>
        <w:rPr>
          <w:rFonts w:hint="eastAsia" w:ascii="宋体" w:hAnsi="宋体" w:cs="宋体"/>
          <w:sz w:val="24"/>
          <w:szCs w:val="24"/>
        </w:rPr>
        <w:t>1.1.4 日期</w:t>
      </w:r>
    </w:p>
    <w:p w14:paraId="0D87354E">
      <w:pPr>
        <w:spacing w:line="360" w:lineRule="auto"/>
        <w:ind w:firstLine="480" w:firstLineChars="200"/>
        <w:rPr>
          <w:rFonts w:ascii="宋体" w:hAnsi="宋体" w:cs="宋体"/>
          <w:sz w:val="24"/>
          <w:szCs w:val="24"/>
        </w:rPr>
      </w:pPr>
      <w:r>
        <w:rPr>
          <w:rFonts w:hint="eastAsia" w:ascii="宋体" w:hAnsi="宋体" w:cs="宋体"/>
          <w:sz w:val="24"/>
          <w:szCs w:val="24"/>
        </w:rPr>
        <w:t>1.1.4.1 开始监理通知：指委托人按第 6.1 款</w:t>
      </w:r>
      <w:r>
        <w:rPr>
          <w:rFonts w:hint="eastAsia" w:ascii="宋体" w:hAnsi="宋体" w:cs="宋体"/>
          <w:sz w:val="24"/>
          <w:szCs w:val="24"/>
          <w:lang w:eastAsia="zh-CN"/>
        </w:rPr>
        <w:t>发出的，通知</w:t>
      </w:r>
      <w:r>
        <w:rPr>
          <w:rFonts w:hint="eastAsia" w:ascii="宋体" w:hAnsi="宋体" w:cs="宋体"/>
          <w:sz w:val="24"/>
          <w:szCs w:val="24"/>
        </w:rPr>
        <w:t>监理人开始监理的函件。</w:t>
      </w:r>
    </w:p>
    <w:p w14:paraId="65CB0AE9">
      <w:pPr>
        <w:spacing w:line="360" w:lineRule="auto"/>
        <w:ind w:firstLine="480" w:firstLineChars="200"/>
        <w:rPr>
          <w:rFonts w:ascii="宋体" w:hAnsi="宋体" w:cs="宋体"/>
          <w:sz w:val="24"/>
          <w:szCs w:val="24"/>
        </w:rPr>
      </w:pPr>
      <w:r>
        <w:rPr>
          <w:rFonts w:hint="eastAsia" w:ascii="宋体" w:hAnsi="宋体" w:cs="宋体"/>
          <w:sz w:val="24"/>
          <w:szCs w:val="24"/>
        </w:rPr>
        <w:t>1.1.4.2 开始监理日期：指委托人按第 6.1 款发出的开始监理通知中写明的开始监理日期。</w:t>
      </w:r>
    </w:p>
    <w:p w14:paraId="2DADF2B2">
      <w:pPr>
        <w:spacing w:line="360" w:lineRule="auto"/>
        <w:ind w:firstLine="480" w:firstLineChars="200"/>
        <w:rPr>
          <w:rFonts w:ascii="宋体" w:hAnsi="宋体" w:cs="宋体"/>
          <w:sz w:val="24"/>
          <w:szCs w:val="24"/>
        </w:rPr>
      </w:pPr>
      <w:r>
        <w:rPr>
          <w:rFonts w:hint="eastAsia" w:ascii="宋体" w:hAnsi="宋体" w:cs="宋体"/>
          <w:sz w:val="24"/>
          <w:szCs w:val="24"/>
        </w:rPr>
        <w:t>1.1.4.3 监理服务期限：指监理人在投标函中承诺的完成合同监理服务所需的期限，包括按第 6.2 款和第 6.3.2 项约定所作的调整。</w:t>
      </w:r>
    </w:p>
    <w:p w14:paraId="69F7ACE0">
      <w:pPr>
        <w:spacing w:line="360" w:lineRule="auto"/>
        <w:ind w:firstLine="480" w:firstLineChars="200"/>
        <w:rPr>
          <w:rFonts w:ascii="宋体" w:hAnsi="宋体" w:cs="宋体"/>
          <w:sz w:val="24"/>
          <w:szCs w:val="24"/>
        </w:rPr>
      </w:pPr>
      <w:r>
        <w:rPr>
          <w:rFonts w:hint="eastAsia" w:ascii="宋体" w:hAnsi="宋体" w:cs="宋体"/>
          <w:sz w:val="24"/>
          <w:szCs w:val="24"/>
        </w:rPr>
        <w:t>1.1.4.4 完成监理日期：指第 1.1.4.3 目约定监理服务期限届满时的日期。</w:t>
      </w:r>
    </w:p>
    <w:p w14:paraId="323A24B5">
      <w:pPr>
        <w:spacing w:line="360" w:lineRule="auto"/>
        <w:ind w:firstLine="480" w:firstLineChars="200"/>
        <w:rPr>
          <w:rFonts w:ascii="宋体" w:hAnsi="宋体" w:cs="宋体"/>
          <w:sz w:val="24"/>
          <w:szCs w:val="24"/>
        </w:rPr>
      </w:pPr>
      <w:r>
        <w:rPr>
          <w:rFonts w:hint="eastAsia" w:ascii="宋体" w:hAnsi="宋体" w:cs="宋体"/>
          <w:sz w:val="24"/>
          <w:szCs w:val="24"/>
        </w:rPr>
        <w:t>1.1.4.5 基准日：指投标截止时间前 28 天的日期。</w:t>
      </w:r>
    </w:p>
    <w:p w14:paraId="7503190C">
      <w:pPr>
        <w:spacing w:line="360" w:lineRule="auto"/>
        <w:ind w:firstLine="480" w:firstLineChars="200"/>
        <w:rPr>
          <w:rFonts w:ascii="宋体" w:hAnsi="宋体" w:cs="宋体"/>
          <w:sz w:val="24"/>
          <w:szCs w:val="24"/>
        </w:rPr>
      </w:pPr>
      <w:r>
        <w:rPr>
          <w:rFonts w:hint="eastAsia" w:ascii="宋体" w:hAnsi="宋体" w:cs="宋体"/>
          <w:sz w:val="24"/>
          <w:szCs w:val="24"/>
        </w:rPr>
        <w:t>1.1.4.6 天：除特别指明外，指日历天。合同中按天计算时间的，开始当天不计入，从次日开始计算。期限最后一天的截止时间为当天 24</w:t>
      </w:r>
      <w:r>
        <w:rPr>
          <w:rFonts w:hint="eastAsia" w:ascii="宋体" w:hAnsi="宋体" w:cs="宋体"/>
          <w:sz w:val="24"/>
          <w:szCs w:val="24"/>
          <w:lang w:eastAsia="zh-CN"/>
        </w:rPr>
        <w:t>:</w:t>
      </w:r>
      <w:r>
        <w:rPr>
          <w:rFonts w:hint="eastAsia" w:ascii="宋体" w:hAnsi="宋体" w:cs="宋体"/>
          <w:sz w:val="24"/>
          <w:szCs w:val="24"/>
        </w:rPr>
        <w:t>00。</w:t>
      </w:r>
    </w:p>
    <w:p w14:paraId="7F44546F">
      <w:pPr>
        <w:spacing w:line="360" w:lineRule="auto"/>
        <w:ind w:firstLine="480" w:firstLineChars="200"/>
        <w:rPr>
          <w:rFonts w:ascii="宋体" w:hAnsi="宋体" w:cs="宋体"/>
          <w:sz w:val="24"/>
          <w:szCs w:val="24"/>
        </w:rPr>
      </w:pPr>
      <w:r>
        <w:rPr>
          <w:rFonts w:hint="eastAsia" w:ascii="宋体" w:hAnsi="宋体" w:cs="宋体"/>
          <w:sz w:val="24"/>
          <w:szCs w:val="24"/>
        </w:rPr>
        <w:t>1.1.5 合同价格和费用</w:t>
      </w:r>
    </w:p>
    <w:p w14:paraId="2C20BA93">
      <w:pPr>
        <w:spacing w:line="360" w:lineRule="auto"/>
        <w:ind w:firstLine="480" w:firstLineChars="200"/>
        <w:rPr>
          <w:rFonts w:ascii="宋体" w:hAnsi="宋体" w:cs="宋体"/>
          <w:sz w:val="24"/>
          <w:szCs w:val="24"/>
        </w:rPr>
      </w:pPr>
      <w:r>
        <w:rPr>
          <w:rFonts w:hint="eastAsia" w:ascii="宋体" w:hAnsi="宋体" w:cs="宋体"/>
          <w:sz w:val="24"/>
          <w:szCs w:val="24"/>
        </w:rPr>
        <w:t>1.1.5.1 签约合同价：指签订合同时合同协议书中写明的监理报酬总金额。</w:t>
      </w:r>
    </w:p>
    <w:p w14:paraId="56BBE738">
      <w:pPr>
        <w:spacing w:line="360" w:lineRule="auto"/>
        <w:ind w:firstLine="480" w:firstLineChars="200"/>
        <w:rPr>
          <w:rFonts w:ascii="宋体" w:hAnsi="宋体" w:cs="宋体"/>
          <w:sz w:val="24"/>
          <w:szCs w:val="24"/>
        </w:rPr>
      </w:pPr>
      <w:r>
        <w:rPr>
          <w:rFonts w:hint="eastAsia" w:ascii="宋体" w:hAnsi="宋体" w:cs="宋体"/>
          <w:sz w:val="24"/>
          <w:szCs w:val="24"/>
        </w:rPr>
        <w:t>1.1.5.2 合同价格：指监理人按合同约定完成了全部监理工作后，委托人应付给监理人的金额，包括在履行合同过程中按合同约定进行的变更和调整。</w:t>
      </w:r>
    </w:p>
    <w:p w14:paraId="75FDAF1B">
      <w:pPr>
        <w:spacing w:line="360" w:lineRule="auto"/>
        <w:ind w:firstLine="480" w:firstLineChars="200"/>
        <w:rPr>
          <w:rFonts w:ascii="宋体" w:hAnsi="宋体" w:cs="宋体"/>
          <w:sz w:val="24"/>
          <w:szCs w:val="24"/>
        </w:rPr>
      </w:pPr>
      <w:r>
        <w:rPr>
          <w:rFonts w:hint="eastAsia" w:ascii="宋体" w:hAnsi="宋体" w:cs="宋体"/>
          <w:sz w:val="24"/>
          <w:szCs w:val="24"/>
        </w:rPr>
        <w:t>1.1.5.3 费用：指为履行合同所发生的或将要发生的所有合理开支，包括管理费和应分摊的其他费用，但不包括利润。</w:t>
      </w:r>
    </w:p>
    <w:p w14:paraId="33D9C5AD">
      <w:pPr>
        <w:spacing w:line="360" w:lineRule="auto"/>
        <w:ind w:firstLine="480" w:firstLineChars="200"/>
        <w:rPr>
          <w:rFonts w:ascii="宋体" w:hAnsi="宋体" w:cs="宋体"/>
          <w:sz w:val="24"/>
          <w:szCs w:val="24"/>
        </w:rPr>
      </w:pPr>
      <w:r>
        <w:rPr>
          <w:rFonts w:hint="eastAsia" w:ascii="宋体" w:hAnsi="宋体" w:cs="宋体"/>
          <w:sz w:val="24"/>
          <w:szCs w:val="24"/>
        </w:rPr>
        <w:t>1.1.6 其他</w:t>
      </w:r>
    </w:p>
    <w:p w14:paraId="0AAA82E2">
      <w:pPr>
        <w:spacing w:line="360" w:lineRule="auto"/>
        <w:ind w:firstLine="480" w:firstLineChars="200"/>
        <w:rPr>
          <w:rFonts w:ascii="宋体" w:hAnsi="宋体" w:cs="宋体"/>
          <w:sz w:val="24"/>
          <w:szCs w:val="24"/>
        </w:rPr>
      </w:pPr>
      <w:r>
        <w:rPr>
          <w:rFonts w:hint="eastAsia" w:ascii="宋体" w:hAnsi="宋体" w:cs="宋体"/>
          <w:sz w:val="24"/>
          <w:szCs w:val="24"/>
        </w:rPr>
        <w:t>1.1.6.1 书面形式：指合同文件、信件和数据电文（包括电报、电传、传真、电子数据交换和电子邮件）等可以有形地表现所载内容的形式。</w:t>
      </w:r>
    </w:p>
    <w:p w14:paraId="46ACAD69">
      <w:pPr>
        <w:spacing w:line="360" w:lineRule="auto"/>
        <w:ind w:firstLine="482" w:firstLineChars="200"/>
        <w:rPr>
          <w:rFonts w:ascii="宋体" w:hAnsi="宋体" w:cs="宋体"/>
          <w:b/>
          <w:sz w:val="24"/>
          <w:szCs w:val="24"/>
        </w:rPr>
      </w:pPr>
      <w:r>
        <w:rPr>
          <w:rFonts w:hint="eastAsia" w:ascii="宋体" w:hAnsi="宋体" w:cs="宋体"/>
          <w:b/>
          <w:sz w:val="24"/>
          <w:szCs w:val="24"/>
        </w:rPr>
        <w:t>1.2 语言文字</w:t>
      </w:r>
    </w:p>
    <w:p w14:paraId="55DEDD4A">
      <w:pPr>
        <w:spacing w:line="360" w:lineRule="auto"/>
        <w:ind w:firstLine="480" w:firstLineChars="200"/>
        <w:rPr>
          <w:rFonts w:ascii="宋体" w:hAnsi="宋体" w:cs="宋体"/>
          <w:sz w:val="24"/>
          <w:szCs w:val="24"/>
        </w:rPr>
      </w:pPr>
      <w:r>
        <w:rPr>
          <w:rFonts w:hint="eastAsia" w:ascii="宋体" w:hAnsi="宋体" w:cs="宋体"/>
          <w:sz w:val="24"/>
          <w:szCs w:val="24"/>
        </w:rPr>
        <w:t>合同使用的语言文字为中文。专用术语使用外文的，应附有中文注释。</w:t>
      </w:r>
    </w:p>
    <w:p w14:paraId="221CF7CC">
      <w:pPr>
        <w:spacing w:line="360" w:lineRule="auto"/>
        <w:ind w:firstLine="482" w:firstLineChars="200"/>
        <w:rPr>
          <w:rFonts w:ascii="宋体" w:hAnsi="宋体" w:cs="宋体"/>
          <w:b/>
          <w:sz w:val="24"/>
          <w:szCs w:val="24"/>
        </w:rPr>
      </w:pPr>
      <w:r>
        <w:rPr>
          <w:rFonts w:hint="eastAsia" w:ascii="宋体" w:hAnsi="宋体" w:cs="宋体"/>
          <w:b/>
          <w:sz w:val="24"/>
          <w:szCs w:val="24"/>
        </w:rPr>
        <w:t>1.3 适用法律</w:t>
      </w:r>
    </w:p>
    <w:p w14:paraId="579A783A">
      <w:pPr>
        <w:spacing w:line="360" w:lineRule="auto"/>
        <w:ind w:firstLine="480" w:firstLineChars="200"/>
        <w:rPr>
          <w:rFonts w:ascii="宋体" w:hAnsi="宋体" w:cs="宋体"/>
          <w:sz w:val="24"/>
          <w:szCs w:val="24"/>
        </w:rPr>
      </w:pPr>
      <w:r>
        <w:rPr>
          <w:rFonts w:hint="eastAsia" w:ascii="宋体" w:hAnsi="宋体" w:cs="宋体"/>
          <w:sz w:val="24"/>
          <w:szCs w:val="24"/>
        </w:rPr>
        <w:t>适用于合同的法律包括中华人民共和国法律、行政法规、部门规章，以及工程所在地的</w:t>
      </w:r>
      <w:r>
        <w:rPr>
          <w:rFonts w:hint="eastAsia" w:ascii="宋体" w:hAnsi="宋体" w:cs="宋体"/>
          <w:sz w:val="24"/>
          <w:szCs w:val="24"/>
          <w:lang w:eastAsia="zh-CN"/>
        </w:rPr>
        <w:t>地方性法规</w:t>
      </w:r>
      <w:r>
        <w:rPr>
          <w:rFonts w:hint="eastAsia" w:ascii="宋体" w:hAnsi="宋体" w:cs="宋体"/>
          <w:sz w:val="24"/>
          <w:szCs w:val="24"/>
        </w:rPr>
        <w:t>、自治条例、单行条例和地方政府规章。</w:t>
      </w:r>
    </w:p>
    <w:p w14:paraId="6AE21875">
      <w:pPr>
        <w:spacing w:line="360" w:lineRule="auto"/>
        <w:ind w:firstLine="480" w:firstLineChars="200"/>
        <w:rPr>
          <w:rFonts w:ascii="宋体" w:hAnsi="宋体" w:cs="宋体"/>
          <w:sz w:val="24"/>
          <w:szCs w:val="24"/>
        </w:rPr>
      </w:pPr>
      <w:r>
        <w:rPr>
          <w:rFonts w:hint="eastAsia" w:ascii="宋体" w:hAnsi="宋体" w:cs="宋体"/>
          <w:sz w:val="24"/>
          <w:szCs w:val="24"/>
        </w:rPr>
        <w:t>本合同适用的其他规范性文件，可在专用合同条款中约定。</w:t>
      </w:r>
    </w:p>
    <w:p w14:paraId="6612DC44">
      <w:pPr>
        <w:spacing w:line="360" w:lineRule="auto"/>
        <w:ind w:firstLine="482" w:firstLineChars="200"/>
        <w:rPr>
          <w:rFonts w:ascii="宋体" w:hAnsi="宋体" w:cs="宋体"/>
          <w:b/>
          <w:sz w:val="24"/>
          <w:szCs w:val="24"/>
        </w:rPr>
      </w:pPr>
      <w:r>
        <w:rPr>
          <w:rFonts w:hint="eastAsia" w:ascii="宋体" w:hAnsi="宋体" w:cs="宋体"/>
          <w:b/>
          <w:sz w:val="24"/>
          <w:szCs w:val="24"/>
        </w:rPr>
        <w:t>1.4 合同文件的优先顺序</w:t>
      </w:r>
    </w:p>
    <w:p w14:paraId="0337260F">
      <w:pPr>
        <w:spacing w:line="360" w:lineRule="auto"/>
        <w:ind w:firstLine="480" w:firstLineChars="200"/>
        <w:rPr>
          <w:rFonts w:ascii="宋体" w:hAnsi="宋体" w:cs="宋体"/>
          <w:sz w:val="24"/>
          <w:szCs w:val="24"/>
        </w:rPr>
      </w:pPr>
      <w:r>
        <w:rPr>
          <w:rFonts w:hint="eastAsia" w:ascii="宋体" w:hAnsi="宋体" w:cs="宋体"/>
          <w:sz w:val="24"/>
          <w:szCs w:val="24"/>
        </w:rPr>
        <w:t>组成合同的各项文件应互相解释，互为说明。除专用合同条款另有约定外，解释合同文件的优先顺序如下：</w:t>
      </w:r>
    </w:p>
    <w:p w14:paraId="7B00A7A0">
      <w:pPr>
        <w:spacing w:line="360" w:lineRule="auto"/>
        <w:ind w:firstLine="480" w:firstLineChars="200"/>
        <w:rPr>
          <w:rFonts w:ascii="宋体" w:hAnsi="宋体" w:cs="宋体"/>
          <w:sz w:val="24"/>
          <w:szCs w:val="24"/>
        </w:rPr>
      </w:pPr>
      <w:r>
        <w:rPr>
          <w:rFonts w:hint="eastAsia" w:ascii="宋体" w:hAnsi="宋体" w:cs="宋体"/>
          <w:sz w:val="24"/>
          <w:szCs w:val="24"/>
        </w:rPr>
        <w:t>（1）合同协议书；</w:t>
      </w:r>
    </w:p>
    <w:p w14:paraId="66071CE3">
      <w:pPr>
        <w:spacing w:line="360" w:lineRule="auto"/>
        <w:ind w:firstLine="480" w:firstLineChars="200"/>
        <w:rPr>
          <w:rFonts w:ascii="宋体" w:hAnsi="宋体" w:cs="宋体"/>
          <w:sz w:val="24"/>
          <w:szCs w:val="24"/>
        </w:rPr>
      </w:pPr>
      <w:r>
        <w:rPr>
          <w:rFonts w:hint="eastAsia" w:ascii="宋体" w:hAnsi="宋体" w:cs="宋体"/>
          <w:sz w:val="24"/>
          <w:szCs w:val="24"/>
        </w:rPr>
        <w:t>（2）中标通知书；</w:t>
      </w:r>
    </w:p>
    <w:p w14:paraId="2E0F9D58">
      <w:pPr>
        <w:spacing w:line="360" w:lineRule="auto"/>
        <w:ind w:firstLine="480" w:firstLineChars="200"/>
        <w:rPr>
          <w:rFonts w:ascii="宋体" w:hAnsi="宋体" w:cs="宋体"/>
          <w:sz w:val="24"/>
          <w:szCs w:val="24"/>
        </w:rPr>
      </w:pPr>
      <w:r>
        <w:rPr>
          <w:rFonts w:hint="eastAsia" w:ascii="宋体" w:hAnsi="宋体" w:cs="宋体"/>
          <w:sz w:val="24"/>
          <w:szCs w:val="24"/>
        </w:rPr>
        <w:t>（3）投标函及投标函附录；</w:t>
      </w:r>
    </w:p>
    <w:p w14:paraId="7DE69AB1">
      <w:pPr>
        <w:spacing w:line="360" w:lineRule="auto"/>
        <w:ind w:firstLine="480" w:firstLineChars="200"/>
        <w:rPr>
          <w:rFonts w:ascii="宋体" w:hAnsi="宋体" w:cs="宋体"/>
          <w:sz w:val="24"/>
          <w:szCs w:val="24"/>
        </w:rPr>
      </w:pPr>
      <w:r>
        <w:rPr>
          <w:rFonts w:hint="eastAsia" w:ascii="宋体" w:hAnsi="宋体" w:cs="宋体"/>
          <w:sz w:val="24"/>
          <w:szCs w:val="24"/>
        </w:rPr>
        <w:t>（4）专用合同条款；</w:t>
      </w:r>
    </w:p>
    <w:p w14:paraId="08ECB501">
      <w:pPr>
        <w:spacing w:line="360" w:lineRule="auto"/>
        <w:ind w:firstLine="480" w:firstLineChars="200"/>
        <w:rPr>
          <w:rFonts w:ascii="宋体" w:hAnsi="宋体" w:cs="宋体"/>
          <w:sz w:val="24"/>
          <w:szCs w:val="24"/>
        </w:rPr>
      </w:pPr>
      <w:r>
        <w:rPr>
          <w:rFonts w:hint="eastAsia" w:ascii="宋体" w:hAnsi="宋体" w:cs="宋体"/>
          <w:sz w:val="24"/>
          <w:szCs w:val="24"/>
        </w:rPr>
        <w:t>（5）通用合同条款；</w:t>
      </w:r>
    </w:p>
    <w:p w14:paraId="1F7A327C">
      <w:pPr>
        <w:spacing w:line="360" w:lineRule="auto"/>
        <w:ind w:firstLine="480" w:firstLineChars="200"/>
        <w:rPr>
          <w:rFonts w:ascii="宋体" w:hAnsi="宋体" w:cs="宋体"/>
          <w:sz w:val="24"/>
          <w:szCs w:val="24"/>
        </w:rPr>
      </w:pPr>
      <w:r>
        <w:rPr>
          <w:rFonts w:hint="eastAsia" w:ascii="宋体" w:hAnsi="宋体" w:cs="宋体"/>
          <w:sz w:val="24"/>
          <w:szCs w:val="24"/>
        </w:rPr>
        <w:t>（6）委托人要求；</w:t>
      </w:r>
    </w:p>
    <w:p w14:paraId="6DA7BA9F">
      <w:pPr>
        <w:spacing w:line="360" w:lineRule="auto"/>
        <w:ind w:firstLine="480" w:firstLineChars="200"/>
        <w:rPr>
          <w:rFonts w:ascii="宋体" w:hAnsi="宋体" w:cs="宋体"/>
          <w:sz w:val="24"/>
          <w:szCs w:val="24"/>
        </w:rPr>
      </w:pPr>
      <w:r>
        <w:rPr>
          <w:rFonts w:hint="eastAsia" w:ascii="宋体" w:hAnsi="宋体" w:cs="宋体"/>
          <w:sz w:val="24"/>
          <w:szCs w:val="24"/>
        </w:rPr>
        <w:t>（7）监理报酬清单；</w:t>
      </w:r>
    </w:p>
    <w:p w14:paraId="04B818F8">
      <w:pPr>
        <w:spacing w:line="360" w:lineRule="auto"/>
        <w:ind w:firstLine="480" w:firstLineChars="200"/>
        <w:rPr>
          <w:rFonts w:ascii="宋体" w:hAnsi="宋体" w:cs="宋体"/>
          <w:sz w:val="24"/>
          <w:szCs w:val="24"/>
        </w:rPr>
      </w:pPr>
      <w:r>
        <w:rPr>
          <w:rFonts w:hint="eastAsia" w:ascii="宋体" w:hAnsi="宋体" w:cs="宋体"/>
          <w:sz w:val="24"/>
          <w:szCs w:val="24"/>
        </w:rPr>
        <w:t>（8）监理大纲；</w:t>
      </w:r>
    </w:p>
    <w:p w14:paraId="2EC20374">
      <w:pPr>
        <w:spacing w:line="360" w:lineRule="auto"/>
        <w:ind w:firstLine="480" w:firstLineChars="200"/>
        <w:rPr>
          <w:rFonts w:ascii="宋体" w:hAnsi="宋体" w:cs="宋体"/>
          <w:sz w:val="24"/>
          <w:szCs w:val="24"/>
        </w:rPr>
      </w:pPr>
      <w:r>
        <w:rPr>
          <w:rFonts w:hint="eastAsia" w:ascii="宋体" w:hAnsi="宋体" w:cs="宋体"/>
          <w:sz w:val="24"/>
          <w:szCs w:val="24"/>
        </w:rPr>
        <w:t>（9）其他合同文件。</w:t>
      </w:r>
    </w:p>
    <w:p w14:paraId="7803FCFC">
      <w:pPr>
        <w:spacing w:line="360" w:lineRule="auto"/>
        <w:ind w:firstLine="482" w:firstLineChars="200"/>
        <w:rPr>
          <w:rFonts w:ascii="宋体" w:hAnsi="宋体" w:cs="宋体"/>
          <w:b/>
          <w:sz w:val="24"/>
          <w:szCs w:val="24"/>
        </w:rPr>
      </w:pPr>
      <w:r>
        <w:rPr>
          <w:rFonts w:hint="eastAsia" w:ascii="宋体" w:hAnsi="宋体" w:cs="宋体"/>
          <w:b/>
          <w:sz w:val="24"/>
          <w:szCs w:val="24"/>
        </w:rPr>
        <w:t>1.5 合同协议书</w:t>
      </w:r>
    </w:p>
    <w:p w14:paraId="0C4A83F9">
      <w:pPr>
        <w:spacing w:line="360" w:lineRule="auto"/>
        <w:ind w:firstLine="480" w:firstLineChars="200"/>
        <w:rPr>
          <w:rFonts w:ascii="宋体" w:hAnsi="宋体" w:cs="宋体"/>
          <w:sz w:val="24"/>
          <w:szCs w:val="24"/>
        </w:rPr>
      </w:pPr>
      <w:r>
        <w:rPr>
          <w:rFonts w:hint="eastAsia" w:ascii="宋体" w:hAnsi="宋体" w:cs="宋体"/>
          <w:sz w:val="24"/>
          <w:szCs w:val="24"/>
        </w:rPr>
        <w:t>监理人按中标通知书规定的时间与委托人签订合同协议书。除法律另有规定或合同另有约定外，委托人和监理人的法定代表人或其委托代理人在合同协议书上签名</w:t>
      </w:r>
      <w:r>
        <w:rPr>
          <w:rFonts w:hint="eastAsia" w:ascii="宋体" w:hAnsi="宋体" w:cs="宋体"/>
          <w:sz w:val="24"/>
          <w:szCs w:val="24"/>
          <w:lang w:eastAsia="zh-CN"/>
        </w:rPr>
        <w:t>并加</w:t>
      </w:r>
      <w:r>
        <w:rPr>
          <w:rFonts w:hint="eastAsia" w:ascii="宋体" w:hAnsi="宋体" w:cs="宋体"/>
          <w:sz w:val="24"/>
          <w:szCs w:val="24"/>
        </w:rPr>
        <w:t>盖单位法人章后，合同生效。</w:t>
      </w:r>
    </w:p>
    <w:p w14:paraId="0039B193">
      <w:pPr>
        <w:spacing w:line="360" w:lineRule="auto"/>
        <w:ind w:firstLine="482" w:firstLineChars="200"/>
        <w:rPr>
          <w:rFonts w:ascii="宋体" w:hAnsi="宋体" w:cs="宋体"/>
          <w:b/>
          <w:sz w:val="24"/>
          <w:szCs w:val="24"/>
        </w:rPr>
      </w:pPr>
      <w:r>
        <w:rPr>
          <w:rFonts w:hint="eastAsia" w:ascii="宋体" w:hAnsi="宋体" w:cs="宋体"/>
          <w:b/>
          <w:sz w:val="24"/>
          <w:szCs w:val="24"/>
        </w:rPr>
        <w:t>1.6 文件的提供和照管</w:t>
      </w:r>
    </w:p>
    <w:p w14:paraId="0C028285">
      <w:pPr>
        <w:spacing w:line="360" w:lineRule="auto"/>
        <w:ind w:firstLine="480" w:firstLineChars="200"/>
        <w:rPr>
          <w:rFonts w:ascii="宋体" w:hAnsi="宋体" w:cs="宋体"/>
          <w:sz w:val="24"/>
          <w:szCs w:val="24"/>
        </w:rPr>
      </w:pPr>
      <w:r>
        <w:rPr>
          <w:rFonts w:hint="eastAsia" w:ascii="宋体" w:hAnsi="宋体" w:cs="宋体"/>
          <w:sz w:val="24"/>
          <w:szCs w:val="24"/>
        </w:rPr>
        <w:t>1.6.1 监理文件的提供</w:t>
      </w:r>
    </w:p>
    <w:p w14:paraId="3DDB1475">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除专用合同条款另有约定外，监理人应在合理的期限内按照合同约定的数量向委托人提供监理文件。合同约定监理文件应经委托人批复的，委托人应当在合同约定的期限内批复或提出修改意见。</w:t>
      </w:r>
    </w:p>
    <w:p w14:paraId="4F8EC1AF">
      <w:pPr>
        <w:spacing w:line="360" w:lineRule="auto"/>
        <w:ind w:firstLine="480" w:firstLineChars="200"/>
        <w:rPr>
          <w:rFonts w:ascii="宋体" w:hAnsi="宋体" w:cs="宋体"/>
          <w:sz w:val="24"/>
          <w:szCs w:val="24"/>
        </w:rPr>
      </w:pPr>
      <w:r>
        <w:rPr>
          <w:rFonts w:hint="eastAsia" w:ascii="宋体" w:hAnsi="宋体" w:cs="宋体"/>
          <w:sz w:val="24"/>
          <w:szCs w:val="24"/>
        </w:rPr>
        <w:t>1.6.2 委托人提供的文件</w:t>
      </w:r>
    </w:p>
    <w:p w14:paraId="219E89AB">
      <w:pPr>
        <w:spacing w:line="360" w:lineRule="auto"/>
        <w:ind w:firstLine="480" w:firstLineChars="200"/>
        <w:rPr>
          <w:rFonts w:ascii="宋体" w:hAnsi="宋体" w:cs="宋体"/>
          <w:sz w:val="24"/>
          <w:szCs w:val="24"/>
        </w:rPr>
      </w:pPr>
      <w:r>
        <w:rPr>
          <w:rFonts w:hint="eastAsia" w:ascii="宋体" w:hAnsi="宋体" w:cs="宋体"/>
          <w:sz w:val="24"/>
          <w:szCs w:val="24"/>
        </w:rPr>
        <w:t>按专用合同条款约定由委托人提供的文件，包括规范标准、承包合同、勘察文件、设计文件等，委托人应按约定的数量和期限交给监理人。由于委托人未按时提供文件造成监理服务期限延误的，按第 6.2 款约定执行。</w:t>
      </w:r>
    </w:p>
    <w:p w14:paraId="0D520325">
      <w:pPr>
        <w:spacing w:line="360" w:lineRule="auto"/>
        <w:ind w:firstLine="480" w:firstLineChars="200"/>
        <w:rPr>
          <w:rFonts w:ascii="宋体" w:hAnsi="宋体" w:cs="宋体"/>
          <w:sz w:val="24"/>
          <w:szCs w:val="24"/>
        </w:rPr>
      </w:pPr>
      <w:r>
        <w:rPr>
          <w:rFonts w:hint="eastAsia" w:ascii="宋体" w:hAnsi="宋体" w:cs="宋体"/>
          <w:sz w:val="24"/>
          <w:szCs w:val="24"/>
        </w:rPr>
        <w:t>1.6.3 文件错误的通知</w:t>
      </w:r>
    </w:p>
    <w:p w14:paraId="5E8AA5D9">
      <w:pPr>
        <w:spacing w:line="360" w:lineRule="auto"/>
        <w:ind w:firstLine="480" w:firstLineChars="200"/>
        <w:rPr>
          <w:rFonts w:ascii="宋体" w:hAnsi="宋体" w:cs="宋体"/>
          <w:sz w:val="24"/>
          <w:szCs w:val="24"/>
        </w:rPr>
      </w:pPr>
      <w:r>
        <w:rPr>
          <w:rFonts w:hint="eastAsia" w:ascii="宋体" w:hAnsi="宋体" w:cs="宋体"/>
          <w:sz w:val="24"/>
          <w:szCs w:val="24"/>
        </w:rPr>
        <w:t>任何一方当事人发现文件中存在的明显错误或疏忽，均应及时通知对方当事人，并应立即采取适当的措施防止损失扩大。</w:t>
      </w:r>
    </w:p>
    <w:p w14:paraId="3997FE84">
      <w:pPr>
        <w:spacing w:line="360" w:lineRule="auto"/>
        <w:ind w:firstLine="480" w:firstLineChars="200"/>
        <w:rPr>
          <w:rFonts w:ascii="宋体" w:hAnsi="宋体" w:cs="宋体"/>
          <w:sz w:val="24"/>
          <w:szCs w:val="24"/>
        </w:rPr>
      </w:pPr>
      <w:r>
        <w:rPr>
          <w:rFonts w:hint="eastAsia" w:ascii="宋体" w:hAnsi="宋体" w:cs="宋体"/>
          <w:sz w:val="24"/>
          <w:szCs w:val="24"/>
        </w:rPr>
        <w:t>1.6.4 文件的照管</w:t>
      </w:r>
    </w:p>
    <w:p w14:paraId="68C8435C">
      <w:pPr>
        <w:spacing w:line="360" w:lineRule="auto"/>
        <w:ind w:firstLine="480" w:firstLineChars="200"/>
        <w:rPr>
          <w:rFonts w:ascii="宋体" w:hAnsi="宋体" w:cs="宋体"/>
          <w:sz w:val="24"/>
          <w:szCs w:val="24"/>
        </w:rPr>
      </w:pPr>
      <w:r>
        <w:rPr>
          <w:rFonts w:hint="eastAsia" w:ascii="宋体" w:hAnsi="宋体" w:cs="宋体"/>
          <w:sz w:val="24"/>
          <w:szCs w:val="24"/>
        </w:rPr>
        <w:t>监理人应在现场保留一份合同文件、监理文件、委托人要求</w:t>
      </w:r>
      <w:r>
        <w:rPr>
          <w:rFonts w:hint="eastAsia" w:ascii="宋体" w:hAnsi="宋体" w:cs="宋体"/>
          <w:sz w:val="24"/>
          <w:szCs w:val="24"/>
          <w:lang w:eastAsia="zh-CN"/>
        </w:rPr>
        <w:t>中</w:t>
      </w:r>
      <w:r>
        <w:rPr>
          <w:rFonts w:hint="eastAsia" w:ascii="宋体" w:hAnsi="宋体" w:cs="宋体"/>
          <w:sz w:val="24"/>
          <w:szCs w:val="24"/>
        </w:rPr>
        <w:t>所列文件</w:t>
      </w:r>
      <w:r>
        <w:rPr>
          <w:rFonts w:hint="eastAsia" w:ascii="宋体" w:hAnsi="宋体" w:cs="宋体"/>
          <w:sz w:val="24"/>
          <w:szCs w:val="24"/>
          <w:lang w:eastAsia="zh-CN"/>
        </w:rPr>
        <w:t>，以及</w:t>
      </w:r>
      <w:r>
        <w:rPr>
          <w:rFonts w:hint="eastAsia" w:ascii="宋体" w:hAnsi="宋体" w:cs="宋体"/>
          <w:sz w:val="24"/>
          <w:szCs w:val="24"/>
        </w:rPr>
        <w:t>其他根据合同收发的往来信函，以备委托人和行政管理部门查阅使用。</w:t>
      </w:r>
    </w:p>
    <w:p w14:paraId="308DDB65">
      <w:pPr>
        <w:spacing w:line="360" w:lineRule="auto"/>
        <w:ind w:firstLine="482" w:firstLineChars="200"/>
        <w:rPr>
          <w:rFonts w:ascii="宋体" w:hAnsi="宋体" w:cs="宋体"/>
          <w:b/>
          <w:sz w:val="24"/>
          <w:szCs w:val="24"/>
        </w:rPr>
      </w:pPr>
      <w:r>
        <w:rPr>
          <w:rFonts w:hint="eastAsia" w:ascii="宋体" w:hAnsi="宋体" w:cs="宋体"/>
          <w:b/>
          <w:sz w:val="24"/>
          <w:szCs w:val="24"/>
        </w:rPr>
        <w:t>1.7 联络</w:t>
      </w:r>
    </w:p>
    <w:p w14:paraId="36682613">
      <w:pPr>
        <w:spacing w:line="360" w:lineRule="auto"/>
        <w:ind w:firstLine="480" w:firstLineChars="200"/>
        <w:rPr>
          <w:rFonts w:ascii="宋体" w:hAnsi="宋体" w:cs="宋体"/>
          <w:sz w:val="24"/>
          <w:szCs w:val="24"/>
        </w:rPr>
      </w:pPr>
      <w:r>
        <w:rPr>
          <w:rFonts w:hint="eastAsia" w:ascii="宋体" w:hAnsi="宋体" w:cs="宋体"/>
          <w:sz w:val="24"/>
          <w:szCs w:val="24"/>
        </w:rPr>
        <w:t>1.7.1 与合同有关的通知、批准、证明、证书、指示、要求、请求、同意、意见、确定和决定等，均应采用书面形式。</w:t>
      </w:r>
    </w:p>
    <w:p w14:paraId="317191BB">
      <w:pPr>
        <w:spacing w:line="360" w:lineRule="auto"/>
        <w:ind w:firstLine="480" w:firstLineChars="200"/>
        <w:rPr>
          <w:rFonts w:ascii="宋体" w:hAnsi="宋体" w:cs="宋体"/>
          <w:sz w:val="24"/>
          <w:szCs w:val="24"/>
        </w:rPr>
      </w:pPr>
      <w:r>
        <w:rPr>
          <w:rFonts w:hint="eastAsia" w:ascii="宋体" w:hAnsi="宋体" w:cs="宋体"/>
          <w:sz w:val="24"/>
          <w:szCs w:val="24"/>
        </w:rPr>
        <w:t>1.7.2 上述通知、批准、证明、证书、指示、要求、请求、同意、意见、确定和决定等来往函件，均应在合同约定的期限内送达指定的地点和指定的接收人，并办理签收手续。</w:t>
      </w:r>
    </w:p>
    <w:p w14:paraId="3D05F4F8">
      <w:pPr>
        <w:spacing w:line="360" w:lineRule="auto"/>
        <w:ind w:firstLine="482" w:firstLineChars="200"/>
        <w:rPr>
          <w:rFonts w:ascii="宋体" w:hAnsi="宋体" w:cs="宋体"/>
          <w:b/>
          <w:sz w:val="24"/>
          <w:szCs w:val="24"/>
        </w:rPr>
      </w:pPr>
      <w:r>
        <w:rPr>
          <w:rFonts w:hint="eastAsia" w:ascii="宋体" w:hAnsi="宋体" w:cs="宋体"/>
          <w:b/>
          <w:sz w:val="24"/>
          <w:szCs w:val="24"/>
        </w:rPr>
        <w:t>1.8 转让</w:t>
      </w:r>
    </w:p>
    <w:p w14:paraId="727C55B5">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除专用合同条款另有约定外，未经对方当事人同意，一方当事人不得将合同权利全部或部分转让给第三人，也不得全部或部分转移合同义务。</w:t>
      </w:r>
    </w:p>
    <w:p w14:paraId="1489727A">
      <w:pPr>
        <w:spacing w:line="360" w:lineRule="auto"/>
        <w:ind w:firstLine="482" w:firstLineChars="200"/>
        <w:rPr>
          <w:rFonts w:ascii="宋体" w:hAnsi="宋体" w:cs="宋体"/>
          <w:b/>
          <w:sz w:val="24"/>
          <w:szCs w:val="24"/>
        </w:rPr>
      </w:pPr>
      <w:r>
        <w:rPr>
          <w:rFonts w:hint="eastAsia" w:ascii="宋体" w:hAnsi="宋体" w:cs="宋体"/>
          <w:b/>
          <w:sz w:val="24"/>
          <w:szCs w:val="24"/>
        </w:rPr>
        <w:t>1.9 严禁贿赂</w:t>
      </w:r>
    </w:p>
    <w:p w14:paraId="2021AE7B">
      <w:pPr>
        <w:spacing w:line="360" w:lineRule="auto"/>
        <w:ind w:firstLine="480" w:firstLineChars="200"/>
        <w:rPr>
          <w:rFonts w:ascii="宋体" w:hAnsi="宋体" w:cs="宋体"/>
          <w:sz w:val="24"/>
          <w:szCs w:val="24"/>
        </w:rPr>
      </w:pPr>
      <w:r>
        <w:rPr>
          <w:rFonts w:hint="eastAsia" w:ascii="宋体" w:hAnsi="宋体" w:cs="宋体"/>
          <w:sz w:val="24"/>
          <w:szCs w:val="24"/>
        </w:rPr>
        <w:t>合同双方当事人不得以贿赂或变相贿赂的方式，谋取不当利益或损害对方权益。因贿赂造成对方当事人损失的，行为人应当赔偿损失，并承担相应的法律责任。</w:t>
      </w:r>
    </w:p>
    <w:p w14:paraId="0AAD3955">
      <w:pPr>
        <w:spacing w:line="360" w:lineRule="auto"/>
        <w:ind w:firstLine="482" w:firstLineChars="200"/>
        <w:rPr>
          <w:rFonts w:ascii="宋体" w:hAnsi="宋体" w:cs="宋体"/>
          <w:b/>
          <w:sz w:val="24"/>
          <w:szCs w:val="24"/>
        </w:rPr>
      </w:pPr>
      <w:r>
        <w:rPr>
          <w:rFonts w:hint="eastAsia" w:ascii="宋体" w:hAnsi="宋体" w:cs="宋体"/>
          <w:b/>
          <w:sz w:val="24"/>
          <w:szCs w:val="24"/>
        </w:rPr>
        <w:t>1.10 知识产权</w:t>
      </w:r>
    </w:p>
    <w:p w14:paraId="6E816290">
      <w:pPr>
        <w:spacing w:line="360" w:lineRule="auto"/>
        <w:ind w:firstLine="480" w:firstLineChars="200"/>
        <w:rPr>
          <w:rFonts w:ascii="宋体" w:hAnsi="宋体" w:cs="宋体"/>
          <w:sz w:val="24"/>
          <w:szCs w:val="24"/>
        </w:rPr>
      </w:pPr>
      <w:r>
        <w:rPr>
          <w:rFonts w:hint="eastAsia" w:ascii="宋体" w:hAnsi="宋体" w:cs="宋体"/>
          <w:sz w:val="24"/>
          <w:szCs w:val="24"/>
        </w:rPr>
        <w:t>1.10.1 除专用合同条款另有约定外，监理人完成的监理工作成果，除署名权以外的著作权和其他知识产权均归委托人享有。</w:t>
      </w:r>
    </w:p>
    <w:p w14:paraId="11E53EAD">
      <w:pPr>
        <w:spacing w:line="360" w:lineRule="auto"/>
        <w:ind w:firstLine="480" w:firstLineChars="200"/>
        <w:rPr>
          <w:rFonts w:ascii="宋体" w:hAnsi="宋体" w:cs="宋体"/>
          <w:sz w:val="24"/>
          <w:szCs w:val="24"/>
        </w:rPr>
      </w:pPr>
      <w:r>
        <w:rPr>
          <w:rFonts w:hint="eastAsia" w:ascii="宋体" w:hAnsi="宋体" w:cs="宋体"/>
          <w:sz w:val="24"/>
          <w:szCs w:val="24"/>
        </w:rPr>
        <w:t>1.10.2 监理人从事监理活动时不得侵犯他人的知识产权。因侵犯专利权或其他知识产权所引起的责任，由监理人自行承担。因委托人提供的监理资料导致侵权的，由委托人承担责任。</w:t>
      </w:r>
    </w:p>
    <w:p w14:paraId="63F80290">
      <w:pPr>
        <w:spacing w:line="360" w:lineRule="auto"/>
        <w:ind w:firstLine="480" w:firstLineChars="200"/>
        <w:rPr>
          <w:rFonts w:ascii="宋体" w:hAnsi="宋体" w:cs="宋体"/>
          <w:sz w:val="24"/>
          <w:szCs w:val="24"/>
        </w:rPr>
      </w:pPr>
      <w:r>
        <w:rPr>
          <w:rFonts w:hint="eastAsia" w:ascii="宋体" w:hAnsi="宋体" w:cs="宋体"/>
          <w:sz w:val="24"/>
          <w:szCs w:val="24"/>
        </w:rPr>
        <w:t>1.10.3 监理人在投标文件中采用专利技术、专有技术的，相应的使用费视为已包含在投标报价之中。</w:t>
      </w:r>
    </w:p>
    <w:p w14:paraId="719CDFD4">
      <w:pPr>
        <w:spacing w:line="360" w:lineRule="auto"/>
        <w:ind w:firstLine="482" w:firstLineChars="200"/>
        <w:rPr>
          <w:rFonts w:ascii="宋体" w:hAnsi="宋体" w:cs="宋体"/>
          <w:b/>
          <w:sz w:val="24"/>
          <w:szCs w:val="24"/>
        </w:rPr>
      </w:pPr>
      <w:r>
        <w:rPr>
          <w:rFonts w:hint="eastAsia" w:ascii="宋体" w:hAnsi="宋体" w:cs="宋体"/>
          <w:b/>
          <w:sz w:val="24"/>
          <w:szCs w:val="24"/>
        </w:rPr>
        <w:t>1.11 文件及信息的保密</w:t>
      </w:r>
    </w:p>
    <w:p w14:paraId="5D2C96D5">
      <w:pPr>
        <w:spacing w:line="360" w:lineRule="auto"/>
        <w:ind w:firstLine="480" w:firstLineChars="200"/>
        <w:rPr>
          <w:rFonts w:ascii="宋体" w:hAnsi="宋体" w:cs="宋体"/>
          <w:sz w:val="24"/>
          <w:szCs w:val="24"/>
        </w:rPr>
      </w:pPr>
      <w:r>
        <w:rPr>
          <w:rFonts w:hint="eastAsia" w:ascii="宋体" w:hAnsi="宋体" w:cs="宋体"/>
          <w:sz w:val="24"/>
          <w:szCs w:val="24"/>
        </w:rPr>
        <w:t>未经对方同意，任何一方当事人不得将有关文件、技术秘密、需要保密的资料和信息泄露给他人或公开发表与引用。</w:t>
      </w:r>
    </w:p>
    <w:p w14:paraId="398ECBB9">
      <w:pPr>
        <w:spacing w:line="360" w:lineRule="auto"/>
        <w:ind w:firstLine="482" w:firstLineChars="200"/>
        <w:rPr>
          <w:rFonts w:ascii="宋体" w:hAnsi="宋体" w:cs="宋体"/>
          <w:b/>
          <w:sz w:val="24"/>
          <w:szCs w:val="24"/>
        </w:rPr>
      </w:pPr>
      <w:r>
        <w:rPr>
          <w:rFonts w:hint="eastAsia" w:ascii="宋体" w:hAnsi="宋体" w:cs="宋体"/>
          <w:b/>
          <w:sz w:val="24"/>
          <w:szCs w:val="24"/>
        </w:rPr>
        <w:t>1.12 委托人要求</w:t>
      </w:r>
    </w:p>
    <w:p w14:paraId="55A0B81D">
      <w:pPr>
        <w:spacing w:line="360" w:lineRule="auto"/>
        <w:ind w:firstLine="480" w:firstLineChars="200"/>
        <w:rPr>
          <w:rFonts w:ascii="宋体" w:hAnsi="宋体" w:cs="宋体"/>
          <w:sz w:val="24"/>
          <w:szCs w:val="24"/>
        </w:rPr>
      </w:pPr>
      <w:r>
        <w:rPr>
          <w:rFonts w:hint="eastAsia" w:ascii="宋体" w:hAnsi="宋体" w:cs="宋体"/>
          <w:sz w:val="24"/>
          <w:szCs w:val="24"/>
        </w:rPr>
        <w:t>1.12.1 监理人应认真阅读、复核委托人要求，发现错误的，应及时书面通知委托人。无论是否存在错误，委托人均有权修改委托人要求，并在修改后 3 日内通知监理人。除专用合同条款另有约定外，由此导致监理人费用增加和</w:t>
      </w:r>
      <w:r>
        <w:rPr>
          <w:rFonts w:hint="eastAsia" w:ascii="宋体" w:hAnsi="宋体" w:cs="宋体"/>
          <w:sz w:val="24"/>
          <w:szCs w:val="24"/>
          <w:lang w:eastAsia="zh-CN"/>
        </w:rPr>
        <w:t>（</w:t>
      </w:r>
      <w:r>
        <w:rPr>
          <w:rFonts w:hint="eastAsia" w:ascii="宋体" w:hAnsi="宋体" w:cs="宋体"/>
          <w:sz w:val="24"/>
          <w:szCs w:val="24"/>
        </w:rPr>
        <w:t>或</w:t>
      </w:r>
      <w:r>
        <w:rPr>
          <w:rFonts w:hint="eastAsia" w:ascii="宋体" w:hAnsi="宋体" w:cs="宋体"/>
          <w:sz w:val="24"/>
          <w:szCs w:val="24"/>
          <w:lang w:eastAsia="zh-CN"/>
        </w:rPr>
        <w:t>）</w:t>
      </w:r>
      <w:r>
        <w:rPr>
          <w:rFonts w:hint="eastAsia" w:ascii="宋体" w:hAnsi="宋体" w:cs="宋体"/>
          <w:sz w:val="24"/>
          <w:szCs w:val="24"/>
        </w:rPr>
        <w:t>周期延误的，委托人应当相应地增加费用和</w:t>
      </w:r>
      <w:r>
        <w:rPr>
          <w:rFonts w:hint="eastAsia" w:ascii="宋体" w:hAnsi="宋体" w:cs="宋体"/>
          <w:sz w:val="24"/>
          <w:szCs w:val="24"/>
          <w:lang w:eastAsia="zh-CN"/>
        </w:rPr>
        <w:t>（</w:t>
      </w:r>
      <w:r>
        <w:rPr>
          <w:rFonts w:hint="eastAsia" w:ascii="宋体" w:hAnsi="宋体" w:cs="宋体"/>
          <w:sz w:val="24"/>
          <w:szCs w:val="24"/>
        </w:rPr>
        <w:t>或</w:t>
      </w:r>
      <w:r>
        <w:rPr>
          <w:rFonts w:hint="eastAsia" w:ascii="宋体" w:hAnsi="宋体" w:cs="宋体"/>
          <w:sz w:val="24"/>
          <w:szCs w:val="24"/>
          <w:lang w:eastAsia="zh-CN"/>
        </w:rPr>
        <w:t>）</w:t>
      </w:r>
      <w:r>
        <w:rPr>
          <w:rFonts w:hint="eastAsia" w:ascii="宋体" w:hAnsi="宋体" w:cs="宋体"/>
          <w:sz w:val="24"/>
          <w:szCs w:val="24"/>
        </w:rPr>
        <w:t>延长周期。</w:t>
      </w:r>
    </w:p>
    <w:p w14:paraId="7680AC44">
      <w:pPr>
        <w:spacing w:line="360" w:lineRule="auto"/>
        <w:ind w:firstLine="480" w:firstLineChars="200"/>
        <w:rPr>
          <w:rFonts w:ascii="宋体" w:hAnsi="宋体" w:cs="宋体"/>
          <w:sz w:val="24"/>
          <w:szCs w:val="24"/>
        </w:rPr>
      </w:pPr>
      <w:r>
        <w:rPr>
          <w:rFonts w:hint="eastAsia" w:ascii="宋体" w:hAnsi="宋体" w:cs="宋体"/>
          <w:sz w:val="24"/>
          <w:szCs w:val="24"/>
        </w:rPr>
        <w:t>1.12.2 如果委托人要求违反法律规定，监理人应在发现后及时书面通知委托人，要求其改正。委托人收到通知书后不予改正或不予答复的，监理人有权拒绝履行合同义务，直至解除合同；由此引起的监理人的全部损失由委托人承担。</w:t>
      </w:r>
    </w:p>
    <w:p w14:paraId="4D7E263D">
      <w:pPr>
        <w:spacing w:line="360" w:lineRule="auto"/>
        <w:ind w:firstLine="480" w:firstLineChars="200"/>
        <w:rPr>
          <w:rFonts w:ascii="宋体" w:hAnsi="宋体" w:cs="宋体"/>
          <w:sz w:val="24"/>
          <w:szCs w:val="24"/>
        </w:rPr>
      </w:pPr>
      <w:r>
        <w:rPr>
          <w:rFonts w:hint="eastAsia" w:ascii="宋体" w:hAnsi="宋体" w:cs="宋体"/>
          <w:sz w:val="24"/>
          <w:szCs w:val="24"/>
        </w:rPr>
        <w:t>1.12.3 委托人要求采用国外规范和标准进行监理时，应由委托人负责提供该规范和标准的外国文本和中文译本，提供的时间、份数和其他要求在专用合同条款中约定。</w:t>
      </w:r>
    </w:p>
    <w:p w14:paraId="382C6B38">
      <w:pPr>
        <w:pStyle w:val="4"/>
        <w:spacing w:before="0" w:after="0" w:line="360" w:lineRule="auto"/>
        <w:ind w:firstLine="138"/>
        <w:rPr>
          <w:rFonts w:ascii="宋体" w:hAnsi="宋体" w:cs="宋体"/>
          <w:sz w:val="24"/>
          <w:szCs w:val="24"/>
        </w:rPr>
      </w:pPr>
      <w:bookmarkStart w:id="220" w:name="_Toc536778392"/>
      <w:bookmarkStart w:id="221" w:name="_Toc16964"/>
      <w:bookmarkStart w:id="222" w:name="_Toc27740"/>
      <w:bookmarkStart w:id="223" w:name="_Toc29837"/>
      <w:bookmarkStart w:id="224" w:name="_Toc531820307"/>
      <w:r>
        <w:rPr>
          <w:rFonts w:hint="eastAsia" w:ascii="宋体" w:hAnsi="宋体" w:cs="宋体"/>
          <w:sz w:val="24"/>
          <w:szCs w:val="24"/>
        </w:rPr>
        <w:t>2.委托人义务</w:t>
      </w:r>
      <w:bookmarkEnd w:id="220"/>
      <w:bookmarkEnd w:id="221"/>
      <w:bookmarkEnd w:id="222"/>
      <w:bookmarkEnd w:id="223"/>
      <w:bookmarkEnd w:id="224"/>
    </w:p>
    <w:p w14:paraId="4C1B60FF">
      <w:pPr>
        <w:spacing w:line="360" w:lineRule="auto"/>
        <w:ind w:firstLine="482" w:firstLineChars="200"/>
        <w:rPr>
          <w:rFonts w:ascii="宋体" w:hAnsi="宋体" w:cs="宋体"/>
          <w:b/>
          <w:sz w:val="24"/>
          <w:szCs w:val="24"/>
        </w:rPr>
      </w:pPr>
      <w:r>
        <w:rPr>
          <w:rFonts w:hint="eastAsia" w:ascii="宋体" w:hAnsi="宋体" w:cs="宋体"/>
          <w:b/>
          <w:sz w:val="24"/>
          <w:szCs w:val="24"/>
        </w:rPr>
        <w:t>2.1 遵守法律</w:t>
      </w:r>
    </w:p>
    <w:p w14:paraId="69074E12">
      <w:pPr>
        <w:spacing w:line="360" w:lineRule="auto"/>
        <w:ind w:firstLine="480" w:firstLineChars="200"/>
        <w:rPr>
          <w:rFonts w:ascii="宋体" w:hAnsi="宋体" w:cs="宋体"/>
          <w:sz w:val="24"/>
          <w:szCs w:val="24"/>
        </w:rPr>
      </w:pPr>
      <w:r>
        <w:rPr>
          <w:rFonts w:hint="eastAsia" w:ascii="宋体" w:hAnsi="宋体" w:cs="宋体"/>
          <w:sz w:val="24"/>
          <w:szCs w:val="24"/>
        </w:rPr>
        <w:t>委托人在履行合同过程中应遵守法律，并保证监理人免于承担因委托人违反法律而引起的任何责任。</w:t>
      </w:r>
    </w:p>
    <w:p w14:paraId="3C29D703">
      <w:pPr>
        <w:spacing w:line="360" w:lineRule="auto"/>
        <w:ind w:firstLine="482" w:firstLineChars="200"/>
        <w:rPr>
          <w:rFonts w:ascii="宋体" w:hAnsi="宋体" w:cs="宋体"/>
          <w:b/>
          <w:sz w:val="24"/>
          <w:szCs w:val="24"/>
        </w:rPr>
      </w:pPr>
      <w:r>
        <w:rPr>
          <w:rFonts w:hint="eastAsia" w:ascii="宋体" w:hAnsi="宋体" w:cs="宋体"/>
          <w:b/>
          <w:sz w:val="24"/>
          <w:szCs w:val="24"/>
        </w:rPr>
        <w:t>2.2 发出开始监理通知</w:t>
      </w:r>
    </w:p>
    <w:p w14:paraId="3A103AB6">
      <w:pPr>
        <w:spacing w:line="360" w:lineRule="auto"/>
        <w:ind w:firstLine="480" w:firstLineChars="200"/>
        <w:rPr>
          <w:rFonts w:ascii="宋体" w:hAnsi="宋体" w:cs="宋体"/>
          <w:sz w:val="24"/>
          <w:szCs w:val="24"/>
        </w:rPr>
      </w:pPr>
      <w:r>
        <w:rPr>
          <w:rFonts w:hint="eastAsia" w:ascii="宋体" w:hAnsi="宋体" w:cs="宋体"/>
          <w:sz w:val="24"/>
          <w:szCs w:val="24"/>
        </w:rPr>
        <w:t>委托人应按第 6.1 款的约定向监理人发出开始监理通知。</w:t>
      </w:r>
    </w:p>
    <w:p w14:paraId="0FF8D481">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除专用合同条款另有约定外，委托人应为监理人的现场人员在施工期间提供办公房间、办公桌椅、互联网接口、冷暖设施、生活设施、进出现场交通服务和其他便利条件。</w:t>
      </w:r>
    </w:p>
    <w:p w14:paraId="181A39A0">
      <w:pPr>
        <w:spacing w:line="360" w:lineRule="auto"/>
        <w:ind w:firstLine="482" w:firstLineChars="200"/>
        <w:rPr>
          <w:rFonts w:ascii="宋体" w:hAnsi="宋体" w:cs="宋体"/>
          <w:b/>
          <w:sz w:val="24"/>
          <w:szCs w:val="24"/>
        </w:rPr>
      </w:pPr>
      <w:r>
        <w:rPr>
          <w:rFonts w:hint="eastAsia" w:ascii="宋体" w:hAnsi="宋体" w:cs="宋体"/>
          <w:b/>
          <w:sz w:val="24"/>
          <w:szCs w:val="24"/>
        </w:rPr>
        <w:t>2.3 办理证件和批件</w:t>
      </w:r>
    </w:p>
    <w:p w14:paraId="10F9EE98">
      <w:pPr>
        <w:spacing w:line="360" w:lineRule="auto"/>
        <w:ind w:firstLine="480" w:firstLineChars="200"/>
        <w:rPr>
          <w:rFonts w:ascii="宋体" w:hAnsi="宋体" w:cs="宋体"/>
          <w:sz w:val="24"/>
          <w:szCs w:val="24"/>
        </w:rPr>
      </w:pPr>
      <w:r>
        <w:rPr>
          <w:rFonts w:hint="eastAsia" w:ascii="宋体" w:hAnsi="宋体" w:cs="宋体"/>
          <w:sz w:val="24"/>
          <w:szCs w:val="24"/>
        </w:rPr>
        <w:t>法律规定和（或）合同约定由委托人负责办理的工程建设项目必须履行的各类审批、核准或备案手续，委托人应当按时办理，监理人应给予必要的协助。</w:t>
      </w:r>
    </w:p>
    <w:p w14:paraId="70AA7A01">
      <w:pPr>
        <w:spacing w:line="360" w:lineRule="auto"/>
        <w:ind w:firstLine="480" w:firstLineChars="200"/>
        <w:rPr>
          <w:rFonts w:ascii="宋体" w:hAnsi="宋体" w:cs="宋体"/>
          <w:sz w:val="24"/>
          <w:szCs w:val="24"/>
        </w:rPr>
      </w:pPr>
      <w:r>
        <w:rPr>
          <w:rFonts w:hint="eastAsia" w:ascii="宋体" w:hAnsi="宋体" w:cs="宋体"/>
          <w:sz w:val="24"/>
          <w:szCs w:val="24"/>
        </w:rPr>
        <w:t>法律规定和（或）合同约定由监理人负责办理的监理所需的证件和批件，委托人应给予必要的协助。</w:t>
      </w:r>
    </w:p>
    <w:p w14:paraId="0A6C2A7F">
      <w:pPr>
        <w:spacing w:line="360" w:lineRule="auto"/>
        <w:ind w:firstLine="482" w:firstLineChars="200"/>
        <w:rPr>
          <w:rFonts w:ascii="宋体" w:hAnsi="宋体" w:cs="宋体"/>
          <w:b/>
          <w:sz w:val="24"/>
          <w:szCs w:val="24"/>
        </w:rPr>
      </w:pPr>
      <w:r>
        <w:rPr>
          <w:rFonts w:hint="eastAsia" w:ascii="宋体" w:hAnsi="宋体" w:cs="宋体"/>
          <w:b/>
          <w:sz w:val="24"/>
          <w:szCs w:val="24"/>
        </w:rPr>
        <w:t>2.4 支付合同价款</w:t>
      </w:r>
    </w:p>
    <w:p w14:paraId="2C06AE0E">
      <w:pPr>
        <w:spacing w:line="360" w:lineRule="auto"/>
        <w:ind w:firstLine="480" w:firstLineChars="200"/>
        <w:rPr>
          <w:rFonts w:ascii="宋体" w:hAnsi="宋体" w:cs="宋体"/>
          <w:sz w:val="24"/>
          <w:szCs w:val="24"/>
        </w:rPr>
      </w:pPr>
      <w:r>
        <w:rPr>
          <w:rFonts w:hint="eastAsia" w:ascii="宋体" w:hAnsi="宋体" w:cs="宋体"/>
          <w:sz w:val="24"/>
          <w:szCs w:val="24"/>
        </w:rPr>
        <w:t>委托人应按合同约定向监理人及时支付合同价款。</w:t>
      </w:r>
    </w:p>
    <w:p w14:paraId="3A33761A">
      <w:pPr>
        <w:spacing w:line="360" w:lineRule="auto"/>
        <w:ind w:firstLine="482" w:firstLineChars="200"/>
        <w:rPr>
          <w:rFonts w:ascii="宋体" w:hAnsi="宋体" w:cs="宋体"/>
          <w:b/>
          <w:sz w:val="24"/>
          <w:szCs w:val="24"/>
        </w:rPr>
      </w:pPr>
      <w:r>
        <w:rPr>
          <w:rFonts w:hint="eastAsia" w:ascii="宋体" w:hAnsi="宋体" w:cs="宋体"/>
          <w:b/>
          <w:sz w:val="24"/>
          <w:szCs w:val="24"/>
        </w:rPr>
        <w:t>2.5 提供监理资料</w:t>
      </w:r>
    </w:p>
    <w:p w14:paraId="67D9F556">
      <w:pPr>
        <w:spacing w:line="360" w:lineRule="auto"/>
        <w:ind w:firstLine="480" w:firstLineChars="200"/>
        <w:rPr>
          <w:rFonts w:ascii="宋体" w:hAnsi="宋体" w:cs="宋体"/>
          <w:sz w:val="24"/>
          <w:szCs w:val="24"/>
        </w:rPr>
      </w:pPr>
      <w:r>
        <w:rPr>
          <w:rFonts w:hint="eastAsia" w:ascii="宋体" w:hAnsi="宋体" w:cs="宋体"/>
          <w:sz w:val="24"/>
          <w:szCs w:val="24"/>
        </w:rPr>
        <w:t>委托人应按第 1.6.2 项的约定向监理人提供监理资料。</w:t>
      </w:r>
    </w:p>
    <w:p w14:paraId="7F655819">
      <w:pPr>
        <w:spacing w:line="360" w:lineRule="auto"/>
        <w:ind w:firstLine="482" w:firstLineChars="200"/>
        <w:rPr>
          <w:rFonts w:ascii="宋体" w:hAnsi="宋体" w:cs="宋体"/>
          <w:b/>
          <w:sz w:val="24"/>
          <w:szCs w:val="24"/>
        </w:rPr>
      </w:pPr>
      <w:r>
        <w:rPr>
          <w:rFonts w:hint="eastAsia" w:ascii="宋体" w:hAnsi="宋体" w:cs="宋体"/>
          <w:b/>
          <w:sz w:val="24"/>
          <w:szCs w:val="24"/>
        </w:rPr>
        <w:t>2.6 其他义务</w:t>
      </w:r>
    </w:p>
    <w:p w14:paraId="5C125A1C">
      <w:pPr>
        <w:spacing w:line="360" w:lineRule="auto"/>
        <w:ind w:firstLine="480" w:firstLineChars="200"/>
        <w:rPr>
          <w:rFonts w:ascii="宋体" w:hAnsi="宋体" w:cs="宋体"/>
          <w:sz w:val="24"/>
          <w:szCs w:val="24"/>
        </w:rPr>
      </w:pPr>
      <w:r>
        <w:rPr>
          <w:rFonts w:hint="eastAsia" w:ascii="宋体" w:hAnsi="宋体" w:cs="宋体"/>
          <w:sz w:val="24"/>
          <w:szCs w:val="24"/>
        </w:rPr>
        <w:t>委托人应履行合同约定的其他义务。</w:t>
      </w:r>
    </w:p>
    <w:p w14:paraId="27DCC65F">
      <w:pPr>
        <w:pStyle w:val="4"/>
        <w:spacing w:before="0" w:after="0" w:line="360" w:lineRule="auto"/>
        <w:ind w:firstLine="138"/>
        <w:rPr>
          <w:rFonts w:ascii="宋体" w:hAnsi="宋体" w:cs="宋体"/>
          <w:sz w:val="24"/>
          <w:szCs w:val="24"/>
        </w:rPr>
      </w:pPr>
      <w:bookmarkStart w:id="225" w:name="_Toc32747"/>
      <w:bookmarkStart w:id="226" w:name="_Toc27858"/>
      <w:bookmarkStart w:id="227" w:name="_Toc536778393"/>
      <w:bookmarkStart w:id="228" w:name="_Toc531820308"/>
      <w:bookmarkStart w:id="229" w:name="_Toc24596"/>
      <w:r>
        <w:rPr>
          <w:rFonts w:hint="eastAsia" w:ascii="宋体" w:hAnsi="宋体" w:cs="宋体"/>
          <w:sz w:val="24"/>
          <w:szCs w:val="24"/>
        </w:rPr>
        <w:t>3.委托人管理</w:t>
      </w:r>
      <w:bookmarkEnd w:id="225"/>
      <w:bookmarkEnd w:id="226"/>
      <w:bookmarkEnd w:id="227"/>
      <w:bookmarkEnd w:id="228"/>
      <w:bookmarkEnd w:id="229"/>
    </w:p>
    <w:p w14:paraId="33069D0B">
      <w:pPr>
        <w:spacing w:line="360" w:lineRule="auto"/>
        <w:ind w:firstLine="482" w:firstLineChars="200"/>
        <w:rPr>
          <w:rFonts w:ascii="宋体" w:hAnsi="宋体" w:cs="宋体"/>
          <w:b/>
          <w:sz w:val="24"/>
          <w:szCs w:val="24"/>
        </w:rPr>
      </w:pPr>
      <w:r>
        <w:rPr>
          <w:rFonts w:hint="eastAsia" w:ascii="宋体" w:hAnsi="宋体" w:cs="宋体"/>
          <w:b/>
          <w:sz w:val="24"/>
          <w:szCs w:val="24"/>
        </w:rPr>
        <w:t>3.1 委托人代表</w:t>
      </w:r>
    </w:p>
    <w:p w14:paraId="2BC9E8C4">
      <w:pPr>
        <w:spacing w:line="360" w:lineRule="auto"/>
        <w:ind w:firstLine="480" w:firstLineChars="200"/>
        <w:rPr>
          <w:rFonts w:ascii="宋体" w:hAnsi="宋体" w:cs="宋体"/>
          <w:sz w:val="24"/>
          <w:szCs w:val="24"/>
        </w:rPr>
      </w:pPr>
      <w:r>
        <w:rPr>
          <w:rFonts w:hint="eastAsia" w:ascii="宋体" w:hAnsi="宋体" w:cs="宋体"/>
          <w:sz w:val="24"/>
          <w:szCs w:val="24"/>
        </w:rPr>
        <w:t>3.1.1 除专用合同条款另有约定外，委托人应在合同签订后 14 天内，将委托人代表的姓名、职务、联系方式、授权范围和授权期限书面通知监理人，由委托人代表在其授权范围和授权期限内，代表委托人行使权利、履行义务和处理合同履行中的具体事宜。委托人代表在授权范围内的行为由委托人承担法律责任。</w:t>
      </w:r>
    </w:p>
    <w:p w14:paraId="4BC78D5D">
      <w:pPr>
        <w:spacing w:line="360" w:lineRule="auto"/>
        <w:ind w:firstLine="480" w:firstLineChars="200"/>
        <w:rPr>
          <w:rFonts w:ascii="宋体" w:hAnsi="宋体" w:cs="宋体"/>
          <w:sz w:val="24"/>
          <w:szCs w:val="24"/>
        </w:rPr>
      </w:pPr>
      <w:r>
        <w:rPr>
          <w:rFonts w:hint="eastAsia" w:ascii="宋体" w:hAnsi="宋体" w:cs="宋体"/>
          <w:sz w:val="24"/>
          <w:szCs w:val="24"/>
        </w:rPr>
        <w:t>3.1.2 委托人代表违反法律法规、违背职业道德守则或者不按合同约定履行职责及义务，导致合同无法继续正常履行的，监理人有权通知委托人更换委托人代表。委托人收到通知后 7 天内，应当核实完毕并将处理结果通知监理人。</w:t>
      </w:r>
    </w:p>
    <w:p w14:paraId="49065640">
      <w:pPr>
        <w:spacing w:line="360" w:lineRule="auto"/>
        <w:ind w:firstLine="480" w:firstLineChars="200"/>
        <w:rPr>
          <w:rFonts w:ascii="宋体" w:hAnsi="宋体" w:cs="宋体"/>
          <w:sz w:val="24"/>
          <w:szCs w:val="24"/>
        </w:rPr>
      </w:pPr>
      <w:r>
        <w:rPr>
          <w:rFonts w:hint="eastAsia" w:ascii="宋体" w:hAnsi="宋体" w:cs="宋体"/>
          <w:sz w:val="24"/>
          <w:szCs w:val="24"/>
        </w:rPr>
        <w:t>3.1.3 委托人更换委托人代表的，应提前 14 天将更换人员的姓名、职务、联系方式、授权范围和授权期限书面通知监理人。委托人代表超过 2 天不能履行职责的，应委派代表代行其职责，并通知监理人。</w:t>
      </w:r>
    </w:p>
    <w:p w14:paraId="4CE6C2A6">
      <w:pPr>
        <w:spacing w:line="360" w:lineRule="auto"/>
        <w:ind w:firstLine="482" w:firstLineChars="200"/>
        <w:rPr>
          <w:rFonts w:ascii="宋体" w:hAnsi="宋体" w:cs="宋体"/>
          <w:b/>
          <w:sz w:val="24"/>
          <w:szCs w:val="24"/>
        </w:rPr>
      </w:pPr>
      <w:r>
        <w:rPr>
          <w:rFonts w:hint="eastAsia" w:ascii="宋体" w:hAnsi="宋体" w:cs="宋体"/>
          <w:b/>
          <w:sz w:val="24"/>
          <w:szCs w:val="24"/>
        </w:rPr>
        <w:t>3.2 委托人的指示</w:t>
      </w:r>
    </w:p>
    <w:p w14:paraId="5B96CA9F">
      <w:pPr>
        <w:spacing w:line="360" w:lineRule="auto"/>
        <w:ind w:firstLine="480" w:firstLineChars="200"/>
        <w:rPr>
          <w:rFonts w:ascii="宋体" w:hAnsi="宋体" w:cs="宋体"/>
          <w:sz w:val="24"/>
          <w:szCs w:val="24"/>
        </w:rPr>
      </w:pPr>
      <w:r>
        <w:rPr>
          <w:rFonts w:hint="eastAsia" w:ascii="宋体" w:hAnsi="宋体" w:cs="宋体"/>
          <w:sz w:val="24"/>
          <w:szCs w:val="24"/>
        </w:rPr>
        <w:t>3.2.1 委托人应按合同约定向监理人发出指示，委托人的指示应盖有委托人单位章，并由委托人代表签名确认。</w:t>
      </w:r>
    </w:p>
    <w:p w14:paraId="4EFA1859">
      <w:pPr>
        <w:spacing w:line="360" w:lineRule="auto"/>
        <w:ind w:firstLine="480" w:firstLineChars="200"/>
        <w:rPr>
          <w:rFonts w:ascii="宋体" w:hAnsi="宋体" w:cs="宋体"/>
          <w:sz w:val="24"/>
          <w:szCs w:val="24"/>
        </w:rPr>
      </w:pPr>
      <w:r>
        <w:rPr>
          <w:rFonts w:hint="eastAsia" w:ascii="宋体" w:hAnsi="宋体" w:cs="宋体"/>
          <w:sz w:val="24"/>
          <w:szCs w:val="24"/>
        </w:rPr>
        <w:t>3.2.2 监理人收到委托人作出的指示后应遵照执行。指示构成变更的，应按第 8 条执行。</w:t>
      </w:r>
    </w:p>
    <w:p w14:paraId="58FDDFA1">
      <w:pPr>
        <w:spacing w:line="360" w:lineRule="auto"/>
        <w:ind w:firstLine="480" w:firstLineChars="200"/>
        <w:rPr>
          <w:rFonts w:ascii="宋体" w:hAnsi="宋体" w:cs="宋体"/>
          <w:sz w:val="24"/>
          <w:szCs w:val="24"/>
        </w:rPr>
      </w:pPr>
      <w:r>
        <w:rPr>
          <w:rFonts w:hint="eastAsia" w:ascii="宋体" w:hAnsi="宋体" w:cs="宋体"/>
          <w:sz w:val="24"/>
          <w:szCs w:val="24"/>
        </w:rPr>
        <w:t>3.2.3 在紧急情况下，委托人代表或其授权人员可以当场签发临时书面指示，监理人应遵照执行。委托人代表应在临时书面指示发出后 24 小时内发出书面确认函，逾期未发出书面确认函的，该临时书面指示应被视为委托人的正式指示。</w:t>
      </w:r>
    </w:p>
    <w:p w14:paraId="3D30B5E8">
      <w:pPr>
        <w:spacing w:line="360" w:lineRule="auto"/>
        <w:ind w:firstLine="480" w:firstLineChars="200"/>
        <w:rPr>
          <w:rFonts w:ascii="宋体" w:hAnsi="宋体" w:cs="宋体"/>
          <w:sz w:val="24"/>
          <w:szCs w:val="24"/>
        </w:rPr>
      </w:pPr>
      <w:r>
        <w:rPr>
          <w:rFonts w:hint="eastAsia" w:ascii="宋体" w:hAnsi="宋体" w:cs="宋体"/>
          <w:sz w:val="24"/>
          <w:szCs w:val="24"/>
        </w:rPr>
        <w:t>3.2.4 由于委托人未能按合同约定发出指示、指示延误或指示错误而导致监理人费用增加和（或）周期延误的，委托人应承担由此增加的费用和（或）周期延误。</w:t>
      </w:r>
    </w:p>
    <w:p w14:paraId="55C0362C">
      <w:pPr>
        <w:spacing w:line="360" w:lineRule="auto"/>
        <w:ind w:firstLine="482" w:firstLineChars="200"/>
        <w:rPr>
          <w:rFonts w:ascii="宋体" w:hAnsi="宋体" w:cs="宋体"/>
          <w:b/>
          <w:sz w:val="24"/>
          <w:szCs w:val="24"/>
        </w:rPr>
      </w:pPr>
      <w:r>
        <w:rPr>
          <w:rFonts w:hint="eastAsia" w:ascii="宋体" w:hAnsi="宋体" w:cs="宋体"/>
          <w:b/>
          <w:sz w:val="24"/>
          <w:szCs w:val="24"/>
        </w:rPr>
        <w:t>3.3 决定或答复</w:t>
      </w:r>
    </w:p>
    <w:p w14:paraId="59F33660">
      <w:pPr>
        <w:spacing w:line="360" w:lineRule="auto"/>
        <w:ind w:firstLine="480" w:firstLineChars="200"/>
        <w:rPr>
          <w:rFonts w:ascii="宋体" w:hAnsi="宋体" w:cs="宋体"/>
          <w:sz w:val="24"/>
          <w:szCs w:val="24"/>
        </w:rPr>
      </w:pPr>
      <w:r>
        <w:rPr>
          <w:rFonts w:hint="eastAsia" w:ascii="宋体" w:hAnsi="宋体" w:cs="宋体"/>
          <w:sz w:val="24"/>
          <w:szCs w:val="24"/>
        </w:rPr>
        <w:t>3.3.1 委托人在法律允许的范围内有权对监理人的监理工作和/或监理文件作出处理决定，监理人应按照委托人的决定执行，涉及监理服务期限或监理报酬等问题按第 8 条的约定处理。</w:t>
      </w:r>
    </w:p>
    <w:p w14:paraId="592CBE86">
      <w:pPr>
        <w:spacing w:line="360" w:lineRule="auto"/>
        <w:ind w:firstLine="480" w:firstLineChars="200"/>
        <w:rPr>
          <w:rFonts w:ascii="宋体" w:hAnsi="宋体" w:cs="宋体"/>
          <w:sz w:val="24"/>
          <w:szCs w:val="24"/>
        </w:rPr>
      </w:pPr>
      <w:r>
        <w:rPr>
          <w:rFonts w:hint="eastAsia" w:ascii="宋体" w:hAnsi="宋体" w:cs="宋体"/>
          <w:sz w:val="24"/>
          <w:szCs w:val="24"/>
        </w:rPr>
        <w:t>3.3.2 委托人应在专用合同条款约定的时间</w:t>
      </w:r>
      <w:r>
        <w:rPr>
          <w:rFonts w:hint="eastAsia" w:ascii="宋体" w:hAnsi="宋体" w:cs="宋体"/>
          <w:sz w:val="24"/>
          <w:szCs w:val="24"/>
          <w:lang w:eastAsia="zh-CN"/>
        </w:rPr>
        <w:t>内</w:t>
      </w:r>
      <w:r>
        <w:rPr>
          <w:rFonts w:hint="eastAsia" w:ascii="宋体" w:hAnsi="宋体" w:cs="宋体"/>
          <w:sz w:val="24"/>
          <w:szCs w:val="24"/>
        </w:rPr>
        <w:t>，对监理人书面提出的事项作出书面答复；逾期没有</w:t>
      </w:r>
      <w:r>
        <w:rPr>
          <w:rFonts w:hint="eastAsia" w:ascii="宋体" w:hAnsi="宋体" w:cs="宋体"/>
          <w:sz w:val="24"/>
          <w:szCs w:val="24"/>
          <w:lang w:eastAsia="zh-CN"/>
        </w:rPr>
        <w:t>作出</w:t>
      </w:r>
      <w:r>
        <w:rPr>
          <w:rFonts w:hint="eastAsia" w:ascii="宋体" w:hAnsi="宋体" w:cs="宋体"/>
          <w:sz w:val="24"/>
          <w:szCs w:val="24"/>
        </w:rPr>
        <w:t>答复的，视为已获得委托人的批准。</w:t>
      </w:r>
    </w:p>
    <w:p w14:paraId="7F63CB12">
      <w:pPr>
        <w:pStyle w:val="4"/>
        <w:spacing w:before="0" w:after="0" w:line="360" w:lineRule="auto"/>
        <w:ind w:firstLine="138"/>
        <w:rPr>
          <w:rFonts w:ascii="宋体" w:hAnsi="宋体" w:cs="宋体"/>
          <w:sz w:val="24"/>
          <w:szCs w:val="24"/>
        </w:rPr>
      </w:pPr>
      <w:bookmarkStart w:id="230" w:name="_Toc29716"/>
      <w:bookmarkStart w:id="231" w:name="_Toc21346"/>
      <w:bookmarkStart w:id="232" w:name="_Toc531820309"/>
      <w:bookmarkStart w:id="233" w:name="_Toc536778394"/>
      <w:bookmarkStart w:id="234" w:name="_Toc12703"/>
      <w:r>
        <w:rPr>
          <w:rFonts w:hint="eastAsia" w:ascii="宋体" w:hAnsi="宋体" w:cs="宋体"/>
          <w:sz w:val="24"/>
          <w:szCs w:val="24"/>
        </w:rPr>
        <w:t>4.监理人义务</w:t>
      </w:r>
      <w:bookmarkEnd w:id="230"/>
      <w:bookmarkEnd w:id="231"/>
      <w:bookmarkEnd w:id="232"/>
      <w:bookmarkEnd w:id="233"/>
      <w:bookmarkEnd w:id="234"/>
    </w:p>
    <w:p w14:paraId="2D547829">
      <w:pPr>
        <w:spacing w:line="360" w:lineRule="auto"/>
        <w:ind w:firstLine="482" w:firstLineChars="200"/>
        <w:rPr>
          <w:rFonts w:ascii="宋体" w:hAnsi="宋体" w:cs="宋体"/>
          <w:b/>
          <w:sz w:val="24"/>
          <w:szCs w:val="24"/>
        </w:rPr>
      </w:pPr>
      <w:r>
        <w:rPr>
          <w:rFonts w:hint="eastAsia" w:ascii="宋体" w:hAnsi="宋体" w:cs="宋体"/>
          <w:b/>
          <w:sz w:val="24"/>
          <w:szCs w:val="24"/>
        </w:rPr>
        <w:t>4.1 监理人的一般义务</w:t>
      </w:r>
    </w:p>
    <w:p w14:paraId="374DA652">
      <w:pPr>
        <w:spacing w:line="360" w:lineRule="auto"/>
        <w:ind w:firstLine="480" w:firstLineChars="200"/>
        <w:rPr>
          <w:rFonts w:ascii="宋体" w:hAnsi="宋体" w:cs="宋体"/>
          <w:sz w:val="24"/>
          <w:szCs w:val="24"/>
        </w:rPr>
      </w:pPr>
      <w:r>
        <w:rPr>
          <w:rFonts w:hint="eastAsia" w:ascii="宋体" w:hAnsi="宋体" w:cs="宋体"/>
          <w:sz w:val="24"/>
          <w:szCs w:val="24"/>
        </w:rPr>
        <w:t>4.1.1 遵守法律</w:t>
      </w:r>
    </w:p>
    <w:p w14:paraId="1C851174">
      <w:pPr>
        <w:spacing w:line="360" w:lineRule="auto"/>
        <w:ind w:firstLine="480" w:firstLineChars="200"/>
        <w:rPr>
          <w:rFonts w:ascii="宋体" w:hAnsi="宋体" w:cs="宋体"/>
          <w:sz w:val="24"/>
          <w:szCs w:val="24"/>
        </w:rPr>
      </w:pPr>
      <w:r>
        <w:rPr>
          <w:rFonts w:hint="eastAsia" w:ascii="宋体" w:hAnsi="宋体" w:cs="宋体"/>
          <w:sz w:val="24"/>
          <w:szCs w:val="24"/>
        </w:rPr>
        <w:t>监理人在履行合同过程中应遵守法律，并保证委托人免于承担因监理人违反法律而引起的任何责任。</w:t>
      </w:r>
    </w:p>
    <w:p w14:paraId="74EEC6F9">
      <w:pPr>
        <w:spacing w:line="360" w:lineRule="auto"/>
        <w:ind w:firstLine="480" w:firstLineChars="200"/>
        <w:rPr>
          <w:rFonts w:ascii="宋体" w:hAnsi="宋体" w:cs="宋体"/>
          <w:sz w:val="24"/>
          <w:szCs w:val="24"/>
        </w:rPr>
      </w:pPr>
      <w:r>
        <w:rPr>
          <w:rFonts w:hint="eastAsia" w:ascii="宋体" w:hAnsi="宋体" w:cs="宋体"/>
          <w:sz w:val="24"/>
          <w:szCs w:val="24"/>
        </w:rPr>
        <w:t>4.1.2 依法纳税</w:t>
      </w:r>
    </w:p>
    <w:p w14:paraId="4EEE1FEE">
      <w:pPr>
        <w:spacing w:line="360" w:lineRule="auto"/>
        <w:ind w:firstLine="480" w:firstLineChars="200"/>
        <w:rPr>
          <w:rFonts w:ascii="宋体" w:hAnsi="宋体" w:cs="宋体"/>
          <w:sz w:val="24"/>
          <w:szCs w:val="24"/>
        </w:rPr>
      </w:pPr>
      <w:r>
        <w:rPr>
          <w:rFonts w:hint="eastAsia" w:ascii="宋体" w:hAnsi="宋体" w:cs="宋体"/>
          <w:sz w:val="24"/>
          <w:szCs w:val="24"/>
        </w:rPr>
        <w:t>监理人应按有关法律规定纳税，应缴纳的税金（含增值税）包括在合同价格之中。</w:t>
      </w:r>
    </w:p>
    <w:p w14:paraId="1BB1C212">
      <w:pPr>
        <w:spacing w:line="360" w:lineRule="auto"/>
        <w:ind w:firstLine="480" w:firstLineChars="200"/>
        <w:rPr>
          <w:rFonts w:ascii="宋体" w:hAnsi="宋体" w:cs="宋体"/>
          <w:sz w:val="24"/>
          <w:szCs w:val="24"/>
        </w:rPr>
      </w:pPr>
      <w:r>
        <w:rPr>
          <w:rFonts w:hint="eastAsia" w:ascii="宋体" w:hAnsi="宋体" w:cs="宋体"/>
          <w:sz w:val="24"/>
          <w:szCs w:val="24"/>
        </w:rPr>
        <w:t>4.1.3 完成全部监理工作</w:t>
      </w:r>
    </w:p>
    <w:p w14:paraId="54DBF53C">
      <w:pPr>
        <w:spacing w:line="360" w:lineRule="auto"/>
        <w:ind w:firstLine="480" w:firstLineChars="200"/>
        <w:rPr>
          <w:rFonts w:ascii="宋体" w:hAnsi="宋体" w:cs="宋体"/>
          <w:sz w:val="24"/>
          <w:szCs w:val="24"/>
        </w:rPr>
      </w:pPr>
      <w:r>
        <w:rPr>
          <w:rFonts w:hint="eastAsia" w:ascii="宋体" w:hAnsi="宋体" w:cs="宋体"/>
          <w:sz w:val="24"/>
          <w:szCs w:val="24"/>
        </w:rPr>
        <w:t>监理人应按合同约定以及委托人要求，完成合同约定的全部工作，并对工作中的任何缺陷进行整改，使其满足合同约定的目的。</w:t>
      </w:r>
    </w:p>
    <w:p w14:paraId="11A97CFB">
      <w:pPr>
        <w:spacing w:line="360" w:lineRule="auto"/>
        <w:ind w:firstLine="480" w:firstLineChars="200"/>
        <w:rPr>
          <w:rFonts w:ascii="宋体" w:hAnsi="宋体" w:cs="宋体"/>
          <w:sz w:val="24"/>
          <w:szCs w:val="24"/>
        </w:rPr>
      </w:pPr>
      <w:r>
        <w:rPr>
          <w:rFonts w:hint="eastAsia" w:ascii="宋体" w:hAnsi="宋体" w:cs="宋体"/>
          <w:sz w:val="24"/>
          <w:szCs w:val="24"/>
        </w:rPr>
        <w:t>4.1.4 其他义务</w:t>
      </w:r>
    </w:p>
    <w:p w14:paraId="7204A4B0">
      <w:pPr>
        <w:spacing w:line="360" w:lineRule="auto"/>
        <w:ind w:firstLine="480" w:firstLineChars="200"/>
        <w:rPr>
          <w:rFonts w:ascii="宋体" w:hAnsi="宋体" w:cs="宋体"/>
          <w:sz w:val="24"/>
          <w:szCs w:val="24"/>
        </w:rPr>
      </w:pPr>
      <w:r>
        <w:rPr>
          <w:rFonts w:hint="eastAsia" w:ascii="宋体" w:hAnsi="宋体" w:cs="宋体"/>
          <w:sz w:val="24"/>
          <w:szCs w:val="24"/>
        </w:rPr>
        <w:t>监理人应履行合同约定的其他义务。</w:t>
      </w:r>
    </w:p>
    <w:p w14:paraId="593BFD8E">
      <w:pPr>
        <w:spacing w:line="360" w:lineRule="auto"/>
        <w:ind w:firstLine="482" w:firstLineChars="200"/>
        <w:rPr>
          <w:rFonts w:ascii="宋体" w:hAnsi="宋体" w:cs="宋体"/>
          <w:b/>
          <w:sz w:val="24"/>
          <w:szCs w:val="24"/>
        </w:rPr>
      </w:pPr>
      <w:r>
        <w:rPr>
          <w:rFonts w:hint="eastAsia" w:ascii="宋体" w:hAnsi="宋体" w:cs="宋体"/>
          <w:b/>
          <w:sz w:val="24"/>
          <w:szCs w:val="24"/>
        </w:rPr>
        <w:t>4.2 履约保证金</w:t>
      </w:r>
    </w:p>
    <w:p w14:paraId="26F26007">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除专用合同条款另有约定外，履约保证金自合同生效之日起生效，在委托人签发竣工验收证书之日起 28 日后失效</w:t>
      </w:r>
      <w:r>
        <w:rPr>
          <w:rFonts w:hint="eastAsia" w:ascii="宋体" w:hAnsi="宋体" w:cs="宋体"/>
          <w:sz w:val="24"/>
          <w:szCs w:val="24"/>
          <w:lang w:eastAsia="zh-CN"/>
        </w:rPr>
        <w:t>。此句无错误，</w:t>
      </w:r>
      <w:r>
        <w:rPr>
          <w:rFonts w:hint="eastAsia" w:ascii="宋体" w:hAnsi="宋体" w:cs="宋体"/>
          <w:sz w:val="24"/>
          <w:szCs w:val="24"/>
        </w:rPr>
        <w:t>如果监理人不履行合同约定的义务或其履行不符合合同的约定，委托人有权扣划相应金额的履约保证金。</w:t>
      </w:r>
    </w:p>
    <w:p w14:paraId="7654CD54">
      <w:pPr>
        <w:spacing w:line="360" w:lineRule="auto"/>
        <w:ind w:firstLine="482" w:firstLineChars="200"/>
        <w:rPr>
          <w:rFonts w:ascii="宋体" w:hAnsi="宋体" w:cs="宋体"/>
          <w:b/>
          <w:sz w:val="24"/>
          <w:szCs w:val="24"/>
        </w:rPr>
      </w:pPr>
      <w:r>
        <w:rPr>
          <w:rFonts w:hint="eastAsia" w:ascii="宋体" w:hAnsi="宋体" w:cs="宋体"/>
          <w:b/>
          <w:sz w:val="24"/>
          <w:szCs w:val="24"/>
        </w:rPr>
        <w:t>4.3 联合体</w:t>
      </w:r>
    </w:p>
    <w:p w14:paraId="0522A292">
      <w:pPr>
        <w:spacing w:line="360" w:lineRule="auto"/>
        <w:ind w:firstLine="480" w:firstLineChars="200"/>
        <w:rPr>
          <w:rFonts w:ascii="宋体" w:hAnsi="宋体" w:cs="宋体"/>
          <w:sz w:val="24"/>
          <w:szCs w:val="24"/>
        </w:rPr>
      </w:pPr>
      <w:r>
        <w:rPr>
          <w:rFonts w:hint="eastAsia" w:ascii="宋体" w:hAnsi="宋体" w:cs="宋体"/>
          <w:sz w:val="24"/>
          <w:szCs w:val="24"/>
        </w:rPr>
        <w:t>4.3.1 联合体各方应共同与委托人签订合同。联合体各方应为履行合同承担连带责任。</w:t>
      </w:r>
    </w:p>
    <w:p w14:paraId="63D68CFE">
      <w:pPr>
        <w:spacing w:line="360" w:lineRule="auto"/>
        <w:ind w:firstLine="480" w:firstLineChars="200"/>
        <w:rPr>
          <w:rFonts w:ascii="宋体" w:hAnsi="宋体" w:cs="宋体"/>
          <w:sz w:val="24"/>
          <w:szCs w:val="24"/>
        </w:rPr>
      </w:pPr>
      <w:r>
        <w:rPr>
          <w:rFonts w:hint="eastAsia" w:ascii="宋体" w:hAnsi="宋体" w:cs="宋体"/>
          <w:sz w:val="24"/>
          <w:szCs w:val="24"/>
        </w:rPr>
        <w:t>4.3.2 联合体协议经委托人确认后作为合同附件。在履行合同过程中，未经委托人同意，不得修改联合体协议。</w:t>
      </w:r>
    </w:p>
    <w:p w14:paraId="589FA8CE">
      <w:pPr>
        <w:spacing w:line="360" w:lineRule="auto"/>
        <w:ind w:firstLine="480" w:firstLineChars="200"/>
        <w:rPr>
          <w:rFonts w:ascii="宋体" w:hAnsi="宋体" w:cs="宋体"/>
          <w:sz w:val="24"/>
          <w:szCs w:val="24"/>
        </w:rPr>
      </w:pPr>
      <w:r>
        <w:rPr>
          <w:rFonts w:hint="eastAsia" w:ascii="宋体" w:hAnsi="宋体" w:cs="宋体"/>
          <w:sz w:val="24"/>
          <w:szCs w:val="24"/>
        </w:rPr>
        <w:t>4.3.3 联合体牵头人或联合体授权的代表负责与委托人联系，并接受指示，负责组织联合体各成员全面履行合同。</w:t>
      </w:r>
    </w:p>
    <w:p w14:paraId="7D14001D">
      <w:pPr>
        <w:spacing w:line="360" w:lineRule="auto"/>
        <w:ind w:firstLine="482" w:firstLineChars="200"/>
        <w:rPr>
          <w:rFonts w:ascii="宋体" w:hAnsi="宋体" w:cs="宋体"/>
          <w:b/>
          <w:sz w:val="24"/>
          <w:szCs w:val="24"/>
        </w:rPr>
      </w:pPr>
      <w:r>
        <w:rPr>
          <w:rFonts w:hint="eastAsia" w:ascii="宋体" w:hAnsi="宋体" w:cs="宋体"/>
          <w:b/>
          <w:sz w:val="24"/>
          <w:szCs w:val="24"/>
        </w:rPr>
        <w:t>4.4 总监理工程师</w:t>
      </w:r>
    </w:p>
    <w:p w14:paraId="43F29FE4">
      <w:pPr>
        <w:spacing w:line="360" w:lineRule="auto"/>
        <w:ind w:firstLine="480" w:firstLineChars="200"/>
        <w:rPr>
          <w:rFonts w:ascii="宋体" w:hAnsi="宋体" w:cs="宋体"/>
          <w:sz w:val="24"/>
          <w:szCs w:val="24"/>
        </w:rPr>
      </w:pPr>
      <w:r>
        <w:rPr>
          <w:rFonts w:hint="eastAsia" w:ascii="宋体" w:hAnsi="宋体" w:cs="宋体"/>
          <w:sz w:val="24"/>
          <w:szCs w:val="24"/>
        </w:rPr>
        <w:t>4.4.1 监理人应按合同协议书的约定指派总监理工程师，并在约定的期限内到职。监理人更换总监理工程师应事先征得委托人同意，并应在更换14天前将拟更换的总监理工程师的姓名和详细资料提交委托人。总监理工程师2天内不能履行职责的，应事先征得委托人同意，并委派代表代行其职责。</w:t>
      </w:r>
    </w:p>
    <w:p w14:paraId="03676CDA">
      <w:pPr>
        <w:spacing w:line="360" w:lineRule="auto"/>
        <w:ind w:firstLine="480" w:firstLineChars="200"/>
        <w:rPr>
          <w:rFonts w:ascii="宋体" w:hAnsi="宋体" w:cs="宋体"/>
          <w:sz w:val="24"/>
          <w:szCs w:val="24"/>
        </w:rPr>
      </w:pPr>
      <w:r>
        <w:rPr>
          <w:rFonts w:hint="eastAsia" w:ascii="宋体" w:hAnsi="宋体" w:cs="宋体"/>
          <w:sz w:val="24"/>
          <w:szCs w:val="24"/>
        </w:rPr>
        <w:t>4.4.2 总监理工程师应按合同约定以及委托人要求，负责组织合同工作的实施。在情况紧急且无法与委托人取得联系时，可采取保证工程和人员生命财产安全的紧急措施</w:t>
      </w:r>
      <w:r>
        <w:rPr>
          <w:rFonts w:hint="eastAsia" w:ascii="宋体" w:hAnsi="宋体" w:cs="宋体"/>
          <w:sz w:val="24"/>
          <w:szCs w:val="24"/>
          <w:lang w:eastAsia="zh-CN"/>
        </w:rPr>
        <w:t>。</w:t>
      </w:r>
      <w:r>
        <w:rPr>
          <w:rFonts w:hint="eastAsia" w:ascii="宋体" w:hAnsi="宋体" w:cs="宋体"/>
          <w:sz w:val="24"/>
          <w:szCs w:val="24"/>
        </w:rPr>
        <w:t>并在采取措施后 24 小时内向委托人提交书面报告。</w:t>
      </w:r>
    </w:p>
    <w:p w14:paraId="114F88B8">
      <w:pPr>
        <w:spacing w:line="360" w:lineRule="auto"/>
        <w:ind w:firstLine="480" w:firstLineChars="200"/>
        <w:rPr>
          <w:rFonts w:ascii="宋体" w:hAnsi="宋体" w:cs="宋体"/>
          <w:sz w:val="24"/>
          <w:szCs w:val="24"/>
        </w:rPr>
      </w:pPr>
      <w:r>
        <w:rPr>
          <w:rFonts w:hint="eastAsia" w:ascii="宋体" w:hAnsi="宋体" w:cs="宋体"/>
          <w:sz w:val="24"/>
          <w:szCs w:val="24"/>
        </w:rPr>
        <w:t>4.4.3 监理人为履行合同发出的一切函件均应盖有监理人单位章或由监理人授权的项目机构章，并由监理人的总监理工程师签名确认。</w:t>
      </w:r>
    </w:p>
    <w:p w14:paraId="34872E83">
      <w:pPr>
        <w:spacing w:line="360" w:lineRule="auto"/>
        <w:ind w:firstLine="480" w:firstLineChars="200"/>
        <w:rPr>
          <w:rFonts w:ascii="宋体" w:hAnsi="宋体" w:cs="宋体"/>
          <w:sz w:val="24"/>
          <w:szCs w:val="24"/>
        </w:rPr>
      </w:pPr>
      <w:r>
        <w:rPr>
          <w:rFonts w:hint="eastAsia" w:ascii="宋体" w:hAnsi="宋体" w:cs="宋体"/>
          <w:sz w:val="24"/>
          <w:szCs w:val="24"/>
        </w:rPr>
        <w:t>4.4.4 按照专用合同条款</w:t>
      </w:r>
      <w:r>
        <w:rPr>
          <w:rFonts w:hint="eastAsia" w:ascii="宋体" w:hAnsi="宋体" w:cs="宋体"/>
          <w:sz w:val="24"/>
          <w:szCs w:val="24"/>
          <w:lang w:eastAsia="zh-CN"/>
        </w:rPr>
        <w:t>的约定</w:t>
      </w:r>
      <w:r>
        <w:rPr>
          <w:rFonts w:hint="eastAsia" w:ascii="宋体" w:hAnsi="宋体" w:cs="宋体"/>
          <w:sz w:val="24"/>
          <w:szCs w:val="24"/>
        </w:rPr>
        <w:t>，总监理工程师可以授权其下属人员履行其某项职责，但事先应将这些人员的姓名和授权范围书面通知委托人和承包人。</w:t>
      </w:r>
    </w:p>
    <w:p w14:paraId="50D7E9DF">
      <w:pPr>
        <w:spacing w:line="360" w:lineRule="auto"/>
        <w:ind w:firstLine="482" w:firstLineChars="200"/>
        <w:rPr>
          <w:rFonts w:ascii="宋体" w:hAnsi="宋体" w:cs="宋体"/>
          <w:b/>
          <w:sz w:val="24"/>
          <w:szCs w:val="24"/>
        </w:rPr>
      </w:pPr>
      <w:r>
        <w:rPr>
          <w:rFonts w:hint="eastAsia" w:ascii="宋体" w:hAnsi="宋体" w:cs="宋体"/>
          <w:b/>
          <w:sz w:val="24"/>
          <w:szCs w:val="24"/>
        </w:rPr>
        <w:t>4.5 监理人员的管理</w:t>
      </w:r>
    </w:p>
    <w:p w14:paraId="1C6176A0">
      <w:pPr>
        <w:spacing w:line="360" w:lineRule="auto"/>
        <w:ind w:firstLine="480" w:firstLineChars="200"/>
        <w:rPr>
          <w:rFonts w:ascii="宋体" w:hAnsi="宋体" w:cs="宋体"/>
          <w:sz w:val="24"/>
          <w:szCs w:val="24"/>
        </w:rPr>
      </w:pPr>
      <w:r>
        <w:rPr>
          <w:rFonts w:hint="eastAsia" w:ascii="宋体" w:hAnsi="宋体" w:cs="宋体"/>
          <w:sz w:val="24"/>
          <w:szCs w:val="24"/>
        </w:rPr>
        <w:t>4.5.1 监理人应在接到开始监理通知之日起 7 天内，向委托人提交监理项目机构以及人员安排的报告</w:t>
      </w:r>
      <w:r>
        <w:rPr>
          <w:rFonts w:hint="eastAsia" w:ascii="宋体" w:hAnsi="宋体" w:cs="宋体"/>
          <w:sz w:val="24"/>
          <w:szCs w:val="24"/>
          <w:lang w:eastAsia="zh-CN"/>
        </w:rPr>
        <w:t>。</w:t>
      </w:r>
      <w:r>
        <w:rPr>
          <w:rFonts w:hint="eastAsia" w:ascii="宋体" w:hAnsi="宋体" w:cs="宋体"/>
          <w:sz w:val="24"/>
          <w:szCs w:val="24"/>
        </w:rPr>
        <w:t>其内容应包括项目机构设置、主要监理人员和作业人员的名单及资格条件。主要监理人员应相对稳定，更换主要监理人员的，应取得委托人的同意，并向委托人提交继任人员的资格、管理经验等资料。总监理工程师的更换，应按照本章第 4.4.1 项规定执行。</w:t>
      </w:r>
    </w:p>
    <w:p w14:paraId="47840700">
      <w:pPr>
        <w:spacing w:line="360" w:lineRule="auto"/>
        <w:ind w:firstLine="480" w:firstLineChars="200"/>
        <w:rPr>
          <w:rFonts w:ascii="宋体" w:hAnsi="宋体" w:cs="宋体"/>
          <w:sz w:val="24"/>
          <w:szCs w:val="24"/>
        </w:rPr>
      </w:pPr>
      <w:r>
        <w:rPr>
          <w:rFonts w:hint="eastAsia" w:ascii="宋体" w:hAnsi="宋体" w:cs="宋体"/>
          <w:sz w:val="24"/>
          <w:szCs w:val="24"/>
        </w:rPr>
        <w:t>4.5.2 除专用合同条款另有约定外，主要监理人员包括总监理工程师、专业监理工程师等；其他人员包括各专业的监理员、资料员等。</w:t>
      </w:r>
    </w:p>
    <w:p w14:paraId="56ED2E9A">
      <w:pPr>
        <w:spacing w:line="360" w:lineRule="auto"/>
        <w:ind w:firstLine="480" w:firstLineChars="200"/>
        <w:rPr>
          <w:rFonts w:ascii="宋体" w:hAnsi="宋体" w:cs="宋体"/>
          <w:sz w:val="24"/>
          <w:szCs w:val="24"/>
        </w:rPr>
      </w:pPr>
      <w:r>
        <w:rPr>
          <w:rFonts w:hint="eastAsia" w:ascii="宋体" w:hAnsi="宋体" w:cs="宋体"/>
          <w:sz w:val="24"/>
          <w:szCs w:val="24"/>
        </w:rPr>
        <w:t>4.5.3 监理人应保证其主要监理人员在合同期限内的任何时候，都能按时参加委托人组织的工作会议。</w:t>
      </w:r>
    </w:p>
    <w:p w14:paraId="324FAB56">
      <w:pPr>
        <w:spacing w:line="360" w:lineRule="auto"/>
        <w:ind w:firstLine="480" w:firstLineChars="200"/>
        <w:rPr>
          <w:rFonts w:ascii="宋体" w:hAnsi="宋体" w:cs="宋体"/>
          <w:sz w:val="24"/>
          <w:szCs w:val="24"/>
        </w:rPr>
      </w:pPr>
      <w:r>
        <w:rPr>
          <w:rFonts w:hint="eastAsia" w:ascii="宋体" w:hAnsi="宋体" w:cs="宋体"/>
          <w:sz w:val="24"/>
          <w:szCs w:val="24"/>
        </w:rPr>
        <w:t>4.5.4 国家规定应当持证上岗的工作人员均应持有相应的资格证明，委托人有权随时检查。委托人认为有必要时，可以进行现场考核。</w:t>
      </w:r>
    </w:p>
    <w:p w14:paraId="29B88789">
      <w:pPr>
        <w:spacing w:line="360" w:lineRule="auto"/>
        <w:ind w:firstLine="482" w:firstLineChars="200"/>
        <w:rPr>
          <w:rFonts w:ascii="宋体" w:hAnsi="宋体" w:cs="宋体"/>
          <w:b/>
          <w:sz w:val="24"/>
          <w:szCs w:val="24"/>
        </w:rPr>
      </w:pPr>
      <w:r>
        <w:rPr>
          <w:rFonts w:hint="eastAsia" w:ascii="宋体" w:hAnsi="宋体" w:cs="宋体"/>
          <w:b/>
          <w:sz w:val="24"/>
          <w:szCs w:val="24"/>
        </w:rPr>
        <w:t>4.6 撤换总监理工程师和其他人员</w:t>
      </w:r>
    </w:p>
    <w:p w14:paraId="54B21242">
      <w:pPr>
        <w:spacing w:line="360" w:lineRule="auto"/>
        <w:ind w:firstLine="480" w:firstLineChars="200"/>
        <w:rPr>
          <w:rFonts w:ascii="宋体" w:hAnsi="宋体" w:cs="宋体"/>
          <w:sz w:val="24"/>
          <w:szCs w:val="24"/>
        </w:rPr>
      </w:pPr>
      <w:r>
        <w:rPr>
          <w:rFonts w:hint="eastAsia" w:ascii="宋体" w:hAnsi="宋体" w:cs="宋体"/>
          <w:sz w:val="24"/>
          <w:szCs w:val="24"/>
        </w:rPr>
        <w:t>监理人应对其总监理工程师和其他人员进行有效管理。委托人要求撤换不能胜任本职工作、行为不端或玩忽职守的总监理工程师和其他人员的，监理人应予以撤换。</w:t>
      </w:r>
    </w:p>
    <w:p w14:paraId="247B1F04">
      <w:pPr>
        <w:spacing w:line="360" w:lineRule="auto"/>
        <w:ind w:firstLine="482" w:firstLineChars="200"/>
        <w:rPr>
          <w:rFonts w:ascii="宋体" w:hAnsi="宋体" w:cs="宋体"/>
          <w:b/>
          <w:sz w:val="24"/>
          <w:szCs w:val="24"/>
        </w:rPr>
      </w:pPr>
      <w:r>
        <w:rPr>
          <w:rFonts w:hint="eastAsia" w:ascii="宋体" w:hAnsi="宋体" w:cs="宋体"/>
          <w:b/>
          <w:sz w:val="24"/>
          <w:szCs w:val="24"/>
        </w:rPr>
        <w:t>4.7 保障人员的合法权益</w:t>
      </w:r>
    </w:p>
    <w:p w14:paraId="5E446B63">
      <w:pPr>
        <w:spacing w:line="360" w:lineRule="auto"/>
        <w:ind w:firstLine="480" w:firstLineChars="200"/>
        <w:rPr>
          <w:rFonts w:ascii="宋体" w:hAnsi="宋体" w:cs="宋体"/>
          <w:sz w:val="24"/>
          <w:szCs w:val="24"/>
        </w:rPr>
      </w:pPr>
      <w:r>
        <w:rPr>
          <w:rFonts w:hint="eastAsia" w:ascii="宋体" w:hAnsi="宋体" w:cs="宋体"/>
          <w:sz w:val="24"/>
          <w:szCs w:val="24"/>
        </w:rPr>
        <w:t>4.7.1 监理人应与其</w:t>
      </w:r>
      <w:r>
        <w:rPr>
          <w:rFonts w:hint="eastAsia" w:ascii="宋体" w:hAnsi="宋体" w:cs="宋体"/>
          <w:sz w:val="24"/>
          <w:szCs w:val="24"/>
          <w:lang w:eastAsia="zh-CN"/>
        </w:rPr>
        <w:t>雇佣</w:t>
      </w:r>
      <w:r>
        <w:rPr>
          <w:rFonts w:hint="eastAsia" w:ascii="宋体" w:hAnsi="宋体" w:cs="宋体"/>
          <w:sz w:val="24"/>
          <w:szCs w:val="24"/>
        </w:rPr>
        <w:t>的人员签订劳动合同，并按时发放工资。</w:t>
      </w:r>
    </w:p>
    <w:p w14:paraId="1AA6FDDC">
      <w:pPr>
        <w:spacing w:line="360" w:lineRule="auto"/>
        <w:ind w:firstLine="480" w:firstLineChars="200"/>
        <w:rPr>
          <w:rFonts w:ascii="宋体" w:hAnsi="宋体" w:cs="宋体"/>
          <w:sz w:val="24"/>
          <w:szCs w:val="24"/>
        </w:rPr>
      </w:pPr>
      <w:r>
        <w:rPr>
          <w:rFonts w:hint="eastAsia" w:ascii="宋体" w:hAnsi="宋体" w:cs="宋体"/>
          <w:sz w:val="24"/>
          <w:szCs w:val="24"/>
        </w:rPr>
        <w:t>4.7.2 监理人应按劳动法的规定安排工作时间，保证其雇佣人员享有休息和休假的权利。因监理需要占用休假日或延长工作时间的，</w:t>
      </w:r>
      <w:r>
        <w:rPr>
          <w:rFonts w:hint="eastAsia" w:ascii="宋体" w:hAnsi="宋体" w:cs="宋体"/>
          <w:sz w:val="24"/>
          <w:szCs w:val="24"/>
          <w:lang w:eastAsia="zh-CN"/>
        </w:rPr>
        <w:t>不应</w:t>
      </w:r>
      <w:r>
        <w:rPr>
          <w:rFonts w:hint="eastAsia" w:ascii="宋体" w:hAnsi="宋体" w:cs="宋体"/>
          <w:sz w:val="24"/>
          <w:szCs w:val="24"/>
        </w:rPr>
        <w:t>超过法律规定的限度，并按法律规定给予补休或付酬。</w:t>
      </w:r>
    </w:p>
    <w:p w14:paraId="50C41D1B">
      <w:pPr>
        <w:spacing w:line="360" w:lineRule="auto"/>
        <w:ind w:firstLine="480" w:firstLineChars="200"/>
        <w:rPr>
          <w:rFonts w:ascii="宋体" w:hAnsi="宋体" w:cs="宋体"/>
          <w:sz w:val="24"/>
          <w:szCs w:val="24"/>
        </w:rPr>
      </w:pPr>
      <w:r>
        <w:rPr>
          <w:rFonts w:hint="eastAsia" w:ascii="宋体" w:hAnsi="宋体" w:cs="宋体"/>
          <w:sz w:val="24"/>
          <w:szCs w:val="24"/>
        </w:rPr>
        <w:t>4.7.3 监理人应按有关法律规定和合同约定，为其雇佣人员办理保险。</w:t>
      </w:r>
    </w:p>
    <w:p w14:paraId="3C07B2A8">
      <w:pPr>
        <w:spacing w:line="360" w:lineRule="auto"/>
        <w:ind w:firstLine="482" w:firstLineChars="200"/>
        <w:rPr>
          <w:rFonts w:ascii="宋体" w:hAnsi="宋体" w:cs="宋体"/>
          <w:b/>
          <w:sz w:val="24"/>
          <w:szCs w:val="24"/>
        </w:rPr>
      </w:pPr>
      <w:r>
        <w:rPr>
          <w:rFonts w:hint="eastAsia" w:ascii="宋体" w:hAnsi="宋体" w:cs="宋体"/>
          <w:b/>
          <w:sz w:val="24"/>
          <w:szCs w:val="24"/>
        </w:rPr>
        <w:t>4.8 合同价款应专款专用</w:t>
      </w:r>
    </w:p>
    <w:p w14:paraId="19CF674A">
      <w:pPr>
        <w:spacing w:line="360" w:lineRule="auto"/>
        <w:ind w:firstLine="480" w:firstLineChars="200"/>
        <w:rPr>
          <w:rFonts w:ascii="宋体" w:hAnsi="宋体" w:cs="宋体"/>
          <w:sz w:val="24"/>
          <w:szCs w:val="24"/>
        </w:rPr>
      </w:pPr>
      <w:r>
        <w:rPr>
          <w:rFonts w:hint="eastAsia" w:ascii="宋体" w:hAnsi="宋体" w:cs="宋体"/>
          <w:sz w:val="24"/>
          <w:szCs w:val="24"/>
        </w:rPr>
        <w:t>委托人按合同约定支付给监理人的各项价款，应专用于合同监理工作。</w:t>
      </w:r>
    </w:p>
    <w:p w14:paraId="2E371568">
      <w:pPr>
        <w:pStyle w:val="4"/>
        <w:spacing w:before="0" w:after="0" w:line="360" w:lineRule="auto"/>
        <w:ind w:firstLine="138"/>
        <w:rPr>
          <w:rFonts w:ascii="宋体" w:hAnsi="宋体" w:cs="宋体"/>
          <w:sz w:val="24"/>
          <w:szCs w:val="24"/>
        </w:rPr>
      </w:pPr>
      <w:bookmarkStart w:id="235" w:name="_Toc536778395"/>
      <w:bookmarkStart w:id="236" w:name="_Toc531820310"/>
      <w:bookmarkStart w:id="237" w:name="_Toc22484"/>
      <w:bookmarkStart w:id="238" w:name="_Toc28473"/>
      <w:bookmarkStart w:id="239" w:name="_Toc23097"/>
      <w:r>
        <w:rPr>
          <w:rFonts w:hint="eastAsia" w:ascii="宋体" w:hAnsi="宋体" w:cs="宋体"/>
          <w:sz w:val="24"/>
          <w:szCs w:val="24"/>
        </w:rPr>
        <w:t>5.监理要求</w:t>
      </w:r>
      <w:bookmarkEnd w:id="235"/>
      <w:bookmarkEnd w:id="236"/>
      <w:bookmarkEnd w:id="237"/>
      <w:bookmarkEnd w:id="238"/>
      <w:bookmarkEnd w:id="239"/>
    </w:p>
    <w:p w14:paraId="11479185">
      <w:pPr>
        <w:spacing w:line="360" w:lineRule="auto"/>
        <w:ind w:firstLine="482" w:firstLineChars="200"/>
        <w:rPr>
          <w:rFonts w:ascii="宋体" w:hAnsi="宋体" w:cs="宋体"/>
          <w:b/>
          <w:sz w:val="24"/>
          <w:szCs w:val="24"/>
        </w:rPr>
      </w:pPr>
      <w:r>
        <w:rPr>
          <w:rFonts w:hint="eastAsia" w:ascii="宋体" w:hAnsi="宋体" w:cs="宋体"/>
          <w:b/>
          <w:sz w:val="24"/>
          <w:szCs w:val="24"/>
        </w:rPr>
        <w:t>5.1 监理范围</w:t>
      </w:r>
    </w:p>
    <w:p w14:paraId="28A8453D">
      <w:pPr>
        <w:spacing w:line="360" w:lineRule="auto"/>
        <w:ind w:firstLine="480" w:firstLineChars="200"/>
        <w:rPr>
          <w:rFonts w:ascii="宋体" w:hAnsi="宋体" w:cs="宋体"/>
          <w:sz w:val="24"/>
          <w:szCs w:val="24"/>
        </w:rPr>
      </w:pPr>
      <w:r>
        <w:rPr>
          <w:rFonts w:hint="eastAsia" w:ascii="宋体" w:hAnsi="宋体" w:cs="宋体"/>
          <w:sz w:val="24"/>
          <w:szCs w:val="24"/>
        </w:rPr>
        <w:t>5.1.1 本合同的监理范围包括工程范围、阶段范围和工作范围，具体监理范围应当根据三者之间的关联内容进行确定。</w:t>
      </w:r>
    </w:p>
    <w:p w14:paraId="5ED5CC01">
      <w:pPr>
        <w:spacing w:line="360" w:lineRule="auto"/>
        <w:ind w:firstLine="480" w:firstLineChars="200"/>
        <w:rPr>
          <w:rFonts w:ascii="宋体" w:hAnsi="宋体" w:cs="宋体"/>
          <w:sz w:val="24"/>
          <w:szCs w:val="24"/>
        </w:rPr>
      </w:pPr>
      <w:r>
        <w:rPr>
          <w:rFonts w:hint="eastAsia" w:ascii="宋体" w:hAnsi="宋体" w:cs="宋体"/>
          <w:sz w:val="24"/>
          <w:szCs w:val="24"/>
        </w:rPr>
        <w:t>5.1.2 工程范围指所监理工程的建设内容，具体范围在专用合同条款中约定。</w:t>
      </w:r>
    </w:p>
    <w:p w14:paraId="7C3676A1">
      <w:pPr>
        <w:spacing w:line="360" w:lineRule="auto"/>
        <w:ind w:firstLine="480" w:firstLineChars="200"/>
        <w:rPr>
          <w:rFonts w:ascii="宋体" w:hAnsi="宋体" w:cs="宋体"/>
          <w:sz w:val="24"/>
          <w:szCs w:val="24"/>
        </w:rPr>
      </w:pPr>
      <w:r>
        <w:rPr>
          <w:rFonts w:hint="eastAsia" w:ascii="宋体" w:hAnsi="宋体" w:cs="宋体"/>
          <w:sz w:val="24"/>
          <w:szCs w:val="24"/>
        </w:rPr>
        <w:t>5.1.3 阶段范围指工程建设程序中的勘察阶段、设计阶段、施工阶段、缺陷责任期及保修阶段中的一个或者多个阶段，具体范围在专用合同条款中约定。</w:t>
      </w:r>
    </w:p>
    <w:p w14:paraId="211870E3">
      <w:pPr>
        <w:spacing w:line="360" w:lineRule="auto"/>
        <w:ind w:firstLine="480" w:firstLineChars="200"/>
        <w:rPr>
          <w:rFonts w:ascii="宋体" w:hAnsi="宋体" w:cs="宋体"/>
          <w:sz w:val="24"/>
          <w:szCs w:val="24"/>
        </w:rPr>
      </w:pPr>
      <w:r>
        <w:rPr>
          <w:rFonts w:hint="eastAsia" w:ascii="宋体" w:hAnsi="宋体" w:cs="宋体"/>
          <w:sz w:val="24"/>
          <w:szCs w:val="24"/>
        </w:rPr>
        <w:t>5.1.4 工作范围指监理工作中的质量控制、进度控制、投资控制、合同管理、信息管理、组织协调和安全监理、环保监理中的一项或者多项工作，具体范围在专用合同条款中约定。</w:t>
      </w:r>
    </w:p>
    <w:p w14:paraId="1433292D">
      <w:pPr>
        <w:spacing w:line="360" w:lineRule="auto"/>
        <w:ind w:firstLine="482" w:firstLineChars="200"/>
        <w:rPr>
          <w:rFonts w:ascii="宋体" w:hAnsi="宋体" w:cs="宋体"/>
          <w:b/>
          <w:sz w:val="24"/>
          <w:szCs w:val="24"/>
        </w:rPr>
      </w:pPr>
      <w:r>
        <w:rPr>
          <w:rFonts w:hint="eastAsia" w:ascii="宋体" w:hAnsi="宋体" w:cs="宋体"/>
          <w:b/>
          <w:sz w:val="24"/>
          <w:szCs w:val="24"/>
        </w:rPr>
        <w:t>5.2 监理依据</w:t>
      </w:r>
    </w:p>
    <w:p w14:paraId="7C5978BA">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除专用合同条款另有约定外，本工程的监理依据如下：</w:t>
      </w:r>
    </w:p>
    <w:p w14:paraId="776C3752">
      <w:pPr>
        <w:spacing w:line="360" w:lineRule="auto"/>
        <w:ind w:firstLine="480" w:firstLineChars="200"/>
        <w:rPr>
          <w:rFonts w:ascii="宋体" w:hAnsi="宋体" w:cs="宋体"/>
          <w:sz w:val="24"/>
          <w:szCs w:val="24"/>
        </w:rPr>
      </w:pPr>
      <w:r>
        <w:rPr>
          <w:rFonts w:hint="eastAsia" w:ascii="宋体" w:hAnsi="宋体" w:cs="宋体"/>
          <w:sz w:val="24"/>
          <w:szCs w:val="24"/>
        </w:rPr>
        <w:t>（1）适用的法律、行政法规及部门规章；</w:t>
      </w:r>
    </w:p>
    <w:p w14:paraId="66127D64">
      <w:pPr>
        <w:spacing w:line="360" w:lineRule="auto"/>
        <w:ind w:firstLine="480" w:firstLineChars="200"/>
        <w:rPr>
          <w:rFonts w:ascii="宋体" w:hAnsi="宋体" w:cs="宋体"/>
          <w:sz w:val="24"/>
          <w:szCs w:val="24"/>
        </w:rPr>
      </w:pPr>
      <w:r>
        <w:rPr>
          <w:rFonts w:hint="eastAsia" w:ascii="宋体" w:hAnsi="宋体" w:cs="宋体"/>
          <w:sz w:val="24"/>
          <w:szCs w:val="24"/>
        </w:rPr>
        <w:t>（2）与工程有关的规范、标准、规程；</w:t>
      </w:r>
    </w:p>
    <w:p w14:paraId="40361B1C">
      <w:pPr>
        <w:spacing w:line="360" w:lineRule="auto"/>
        <w:ind w:firstLine="480" w:firstLineChars="200"/>
        <w:rPr>
          <w:rFonts w:ascii="宋体" w:hAnsi="宋体" w:cs="宋体"/>
          <w:sz w:val="24"/>
          <w:szCs w:val="24"/>
        </w:rPr>
      </w:pPr>
      <w:r>
        <w:rPr>
          <w:rFonts w:hint="eastAsia" w:ascii="宋体" w:hAnsi="宋体" w:cs="宋体"/>
          <w:sz w:val="24"/>
          <w:szCs w:val="24"/>
        </w:rPr>
        <w:t>（3）工程勘察文件、设计文件及其他文件；</w:t>
      </w:r>
    </w:p>
    <w:p w14:paraId="23242DC4">
      <w:pPr>
        <w:spacing w:line="360" w:lineRule="auto"/>
        <w:ind w:firstLine="480" w:firstLineChars="200"/>
        <w:rPr>
          <w:rFonts w:ascii="宋体" w:hAnsi="宋体" w:cs="宋体"/>
          <w:sz w:val="24"/>
          <w:szCs w:val="24"/>
        </w:rPr>
      </w:pPr>
      <w:r>
        <w:rPr>
          <w:rFonts w:hint="eastAsia" w:ascii="宋体" w:hAnsi="宋体" w:cs="宋体"/>
          <w:sz w:val="24"/>
          <w:szCs w:val="24"/>
        </w:rPr>
        <w:t>（4）本工程监理的委托合同及补充合同；</w:t>
      </w:r>
    </w:p>
    <w:p w14:paraId="0DFC371F">
      <w:pPr>
        <w:spacing w:line="360" w:lineRule="auto"/>
        <w:ind w:firstLine="480" w:firstLineChars="200"/>
        <w:rPr>
          <w:rFonts w:ascii="宋体" w:hAnsi="宋体" w:cs="宋体"/>
          <w:sz w:val="24"/>
          <w:szCs w:val="24"/>
        </w:rPr>
      </w:pPr>
      <w:r>
        <w:rPr>
          <w:rFonts w:hint="eastAsia" w:ascii="宋体" w:hAnsi="宋体" w:cs="宋体"/>
          <w:sz w:val="24"/>
          <w:szCs w:val="24"/>
        </w:rPr>
        <w:t>（5）委托人签订的勘察、设计和施工承包合同；</w:t>
      </w:r>
    </w:p>
    <w:p w14:paraId="5FEFE22F">
      <w:pPr>
        <w:spacing w:line="360" w:lineRule="auto"/>
        <w:ind w:firstLine="480" w:firstLineChars="200"/>
        <w:rPr>
          <w:rFonts w:ascii="宋体" w:hAnsi="宋体" w:cs="宋体"/>
          <w:sz w:val="24"/>
          <w:szCs w:val="24"/>
        </w:rPr>
      </w:pPr>
      <w:r>
        <w:rPr>
          <w:rFonts w:hint="eastAsia" w:ascii="宋体" w:hAnsi="宋体" w:cs="宋体"/>
          <w:sz w:val="24"/>
          <w:szCs w:val="24"/>
        </w:rPr>
        <w:t>（6）合同履行中与监理服务有关的来往函件；</w:t>
      </w:r>
    </w:p>
    <w:p w14:paraId="646A63E3">
      <w:pPr>
        <w:spacing w:line="360" w:lineRule="auto"/>
        <w:ind w:firstLine="480" w:firstLineChars="200"/>
        <w:rPr>
          <w:rFonts w:ascii="宋体" w:hAnsi="宋体" w:cs="宋体"/>
          <w:sz w:val="24"/>
          <w:szCs w:val="24"/>
        </w:rPr>
      </w:pPr>
      <w:r>
        <w:rPr>
          <w:rFonts w:hint="eastAsia" w:ascii="宋体" w:hAnsi="宋体" w:cs="宋体"/>
          <w:sz w:val="24"/>
          <w:szCs w:val="24"/>
        </w:rPr>
        <w:t>（7）其他监理依据。</w:t>
      </w:r>
    </w:p>
    <w:p w14:paraId="1D75B454">
      <w:pPr>
        <w:spacing w:line="360" w:lineRule="auto"/>
        <w:ind w:firstLine="482" w:firstLineChars="200"/>
        <w:rPr>
          <w:rFonts w:ascii="宋体" w:hAnsi="宋体" w:cs="宋体"/>
          <w:b/>
          <w:sz w:val="24"/>
          <w:szCs w:val="24"/>
        </w:rPr>
      </w:pPr>
      <w:r>
        <w:rPr>
          <w:rFonts w:hint="eastAsia" w:ascii="宋体" w:hAnsi="宋体" w:cs="宋体"/>
          <w:b/>
          <w:sz w:val="24"/>
          <w:szCs w:val="24"/>
        </w:rPr>
        <w:t>5.3 监理内容</w:t>
      </w:r>
    </w:p>
    <w:p w14:paraId="2CED9109">
      <w:pPr>
        <w:spacing w:line="360" w:lineRule="auto"/>
        <w:ind w:firstLine="480" w:firstLineChars="200"/>
        <w:rPr>
          <w:rFonts w:ascii="宋体" w:hAnsi="宋体" w:cs="宋体"/>
          <w:sz w:val="24"/>
          <w:szCs w:val="24"/>
        </w:rPr>
      </w:pPr>
      <w:r>
        <w:rPr>
          <w:rFonts w:hint="eastAsia" w:ascii="宋体" w:hAnsi="宋体" w:cs="宋体"/>
          <w:sz w:val="24"/>
          <w:szCs w:val="24"/>
        </w:rPr>
        <w:t>除专用条件另有约定外，监理工作内容包括：</w:t>
      </w:r>
    </w:p>
    <w:p w14:paraId="58D757FD">
      <w:pPr>
        <w:spacing w:line="360" w:lineRule="auto"/>
        <w:ind w:firstLine="480" w:firstLineChars="200"/>
        <w:rPr>
          <w:rFonts w:ascii="宋体" w:hAnsi="宋体" w:cs="宋体"/>
          <w:sz w:val="24"/>
          <w:szCs w:val="24"/>
        </w:rPr>
      </w:pPr>
      <w:r>
        <w:rPr>
          <w:rFonts w:hint="eastAsia" w:ascii="宋体" w:hAnsi="宋体" w:cs="宋体"/>
          <w:sz w:val="24"/>
          <w:szCs w:val="24"/>
        </w:rPr>
        <w:t>（1）收到工程设计文件后编制监理规划，并在第一次工地会议 7 天前报委托人。根据有关规定和监理工作需要，编制监理实施细则；</w:t>
      </w:r>
    </w:p>
    <w:p w14:paraId="359CB1E8">
      <w:pPr>
        <w:spacing w:line="360" w:lineRule="auto"/>
        <w:ind w:firstLine="480" w:firstLineChars="200"/>
        <w:rPr>
          <w:rFonts w:ascii="宋体" w:hAnsi="宋体" w:cs="宋体"/>
          <w:sz w:val="24"/>
          <w:szCs w:val="24"/>
        </w:rPr>
      </w:pPr>
      <w:r>
        <w:rPr>
          <w:rFonts w:hint="eastAsia" w:ascii="宋体" w:hAnsi="宋体" w:cs="宋体"/>
          <w:sz w:val="24"/>
          <w:szCs w:val="24"/>
        </w:rPr>
        <w:t>（2）熟悉工程设计文件，并参加由委托人主持的图纸会审和设计交底会议；</w:t>
      </w:r>
    </w:p>
    <w:p w14:paraId="7E9A5E08">
      <w:pPr>
        <w:spacing w:line="360" w:lineRule="auto"/>
        <w:ind w:firstLine="480" w:firstLineChars="200"/>
        <w:rPr>
          <w:rFonts w:ascii="宋体" w:hAnsi="宋体" w:cs="宋体"/>
          <w:sz w:val="24"/>
          <w:szCs w:val="24"/>
        </w:rPr>
      </w:pPr>
      <w:r>
        <w:rPr>
          <w:rFonts w:hint="eastAsia" w:ascii="宋体" w:hAnsi="宋体" w:cs="宋体"/>
          <w:sz w:val="24"/>
          <w:szCs w:val="24"/>
        </w:rPr>
        <w:t>（3）参加由委托人主持的第一次工地会议；主持监理例会并根据工程需要主持或参加专题会议；</w:t>
      </w:r>
    </w:p>
    <w:p w14:paraId="1C3ACD61">
      <w:pPr>
        <w:spacing w:line="360" w:lineRule="auto"/>
        <w:ind w:firstLine="480" w:firstLineChars="200"/>
        <w:rPr>
          <w:rFonts w:ascii="宋体" w:hAnsi="宋体" w:cs="宋体"/>
          <w:sz w:val="24"/>
          <w:szCs w:val="24"/>
        </w:rPr>
      </w:pPr>
      <w:r>
        <w:rPr>
          <w:rFonts w:hint="eastAsia" w:ascii="宋体" w:hAnsi="宋体" w:cs="宋体"/>
          <w:sz w:val="24"/>
          <w:szCs w:val="24"/>
        </w:rPr>
        <w:t>（4）审查施工承包人提交的施工组织设计，重点审查其中的质量安全技术措施、专项施工方案与工程建设强制性标准的符合性；</w:t>
      </w:r>
    </w:p>
    <w:p w14:paraId="6D7E44CA">
      <w:pPr>
        <w:spacing w:line="360" w:lineRule="auto"/>
        <w:ind w:firstLine="480" w:firstLineChars="200"/>
        <w:rPr>
          <w:rFonts w:ascii="宋体" w:hAnsi="宋体" w:cs="宋体"/>
          <w:sz w:val="24"/>
          <w:szCs w:val="24"/>
        </w:rPr>
      </w:pPr>
      <w:r>
        <w:rPr>
          <w:rFonts w:hint="eastAsia" w:ascii="宋体" w:hAnsi="宋体" w:cs="宋体"/>
          <w:sz w:val="24"/>
          <w:szCs w:val="24"/>
        </w:rPr>
        <w:t>（5）检查施工承包人工程质量、安全生产管理制度及组织机构和人员资格；</w:t>
      </w:r>
    </w:p>
    <w:p w14:paraId="2BBDB831">
      <w:pPr>
        <w:spacing w:line="360" w:lineRule="auto"/>
        <w:ind w:firstLine="480" w:firstLineChars="200"/>
        <w:rPr>
          <w:rFonts w:ascii="宋体" w:hAnsi="宋体" w:cs="宋体"/>
          <w:sz w:val="24"/>
          <w:szCs w:val="24"/>
        </w:rPr>
      </w:pPr>
      <w:r>
        <w:rPr>
          <w:rFonts w:hint="eastAsia" w:ascii="宋体" w:hAnsi="宋体" w:cs="宋体"/>
          <w:sz w:val="24"/>
          <w:szCs w:val="24"/>
        </w:rPr>
        <w:t>（6）检查施工承包人专职安全生产管理人员的配备情况；</w:t>
      </w:r>
    </w:p>
    <w:p w14:paraId="1B2CC253">
      <w:pPr>
        <w:spacing w:line="360" w:lineRule="auto"/>
        <w:ind w:firstLine="480" w:firstLineChars="200"/>
        <w:rPr>
          <w:rFonts w:ascii="宋体" w:hAnsi="宋体" w:cs="宋体"/>
          <w:sz w:val="24"/>
          <w:szCs w:val="24"/>
        </w:rPr>
      </w:pPr>
      <w:r>
        <w:rPr>
          <w:rFonts w:hint="eastAsia" w:ascii="宋体" w:hAnsi="宋体" w:cs="宋体"/>
          <w:sz w:val="24"/>
          <w:szCs w:val="24"/>
        </w:rPr>
        <w:t>（7）审查施工承包人提交的施工进度计划，核查承包人对施工进度计划的调整；</w:t>
      </w:r>
    </w:p>
    <w:p w14:paraId="46F1DF16">
      <w:pPr>
        <w:spacing w:line="360" w:lineRule="auto"/>
        <w:ind w:firstLine="480" w:firstLineChars="200"/>
        <w:rPr>
          <w:rFonts w:ascii="宋体" w:hAnsi="宋体" w:cs="宋体"/>
          <w:sz w:val="24"/>
          <w:szCs w:val="24"/>
        </w:rPr>
      </w:pPr>
      <w:r>
        <w:rPr>
          <w:rFonts w:hint="eastAsia" w:ascii="宋体" w:hAnsi="宋体" w:cs="宋体"/>
          <w:sz w:val="24"/>
          <w:szCs w:val="24"/>
        </w:rPr>
        <w:t>（8）检查施工承包人的试验室；</w:t>
      </w:r>
    </w:p>
    <w:p w14:paraId="0DEBAE75">
      <w:pPr>
        <w:spacing w:line="360" w:lineRule="auto"/>
        <w:ind w:firstLine="480" w:firstLineChars="200"/>
        <w:rPr>
          <w:rFonts w:ascii="宋体" w:hAnsi="宋体" w:cs="宋体"/>
          <w:sz w:val="24"/>
          <w:szCs w:val="24"/>
        </w:rPr>
      </w:pPr>
      <w:r>
        <w:rPr>
          <w:rFonts w:hint="eastAsia" w:ascii="宋体" w:hAnsi="宋体" w:cs="宋体"/>
          <w:sz w:val="24"/>
          <w:szCs w:val="24"/>
        </w:rPr>
        <w:t>（9）审核施工分包人资质条件；</w:t>
      </w:r>
    </w:p>
    <w:p w14:paraId="633DC8D6">
      <w:pPr>
        <w:spacing w:line="360" w:lineRule="auto"/>
        <w:ind w:firstLine="480" w:firstLineChars="200"/>
        <w:rPr>
          <w:rFonts w:ascii="宋体" w:hAnsi="宋体" w:cs="宋体"/>
          <w:sz w:val="24"/>
          <w:szCs w:val="24"/>
        </w:rPr>
      </w:pPr>
      <w:r>
        <w:rPr>
          <w:rFonts w:hint="eastAsia" w:ascii="宋体" w:hAnsi="宋体" w:cs="宋体"/>
          <w:sz w:val="24"/>
          <w:szCs w:val="24"/>
        </w:rPr>
        <w:t>（10）查验施工承包人的施工测量放线成果；</w:t>
      </w:r>
    </w:p>
    <w:p w14:paraId="7C0902ED">
      <w:pPr>
        <w:spacing w:line="360" w:lineRule="auto"/>
        <w:ind w:firstLine="480" w:firstLineChars="200"/>
        <w:rPr>
          <w:rFonts w:ascii="宋体" w:hAnsi="宋体" w:cs="宋体"/>
          <w:sz w:val="24"/>
          <w:szCs w:val="24"/>
        </w:rPr>
      </w:pPr>
      <w:r>
        <w:rPr>
          <w:rFonts w:hint="eastAsia" w:ascii="宋体" w:hAnsi="宋体" w:cs="宋体"/>
          <w:sz w:val="24"/>
          <w:szCs w:val="24"/>
        </w:rPr>
        <w:t>（11）审查工程开工条件，对条件具备的签发开工令；</w:t>
      </w:r>
    </w:p>
    <w:p w14:paraId="10B657F9">
      <w:pPr>
        <w:spacing w:line="360" w:lineRule="auto"/>
        <w:ind w:firstLine="480" w:firstLineChars="200"/>
        <w:rPr>
          <w:rFonts w:ascii="宋体" w:hAnsi="宋体" w:cs="宋体"/>
          <w:sz w:val="24"/>
          <w:szCs w:val="24"/>
        </w:rPr>
      </w:pPr>
      <w:r>
        <w:rPr>
          <w:rFonts w:hint="eastAsia" w:ascii="宋体" w:hAnsi="宋体" w:cs="宋体"/>
          <w:sz w:val="24"/>
          <w:szCs w:val="24"/>
        </w:rPr>
        <w:t>（12）审查施工承包人报送的工程材料、构配件、设备质量证明文件的有效性和符合性，并按规定对用于工程的材料采取平行检验或见证取样方式进行抽检；</w:t>
      </w:r>
    </w:p>
    <w:p w14:paraId="4AE55C28">
      <w:pPr>
        <w:spacing w:line="360" w:lineRule="auto"/>
        <w:ind w:firstLine="480" w:firstLineChars="200"/>
        <w:rPr>
          <w:rFonts w:ascii="宋体" w:hAnsi="宋体" w:cs="宋体"/>
          <w:sz w:val="24"/>
          <w:szCs w:val="24"/>
        </w:rPr>
      </w:pPr>
      <w:r>
        <w:rPr>
          <w:rFonts w:hint="eastAsia" w:ascii="宋体" w:hAnsi="宋体" w:cs="宋体"/>
          <w:sz w:val="24"/>
          <w:szCs w:val="24"/>
        </w:rPr>
        <w:t>（13）审核施工承包人提交的工程款支付申请，签发或出具工程款支付证书，并报委托人审核、批准；</w:t>
      </w:r>
    </w:p>
    <w:p w14:paraId="2E75FCED">
      <w:pPr>
        <w:spacing w:line="360" w:lineRule="auto"/>
        <w:ind w:firstLine="480" w:firstLineChars="200"/>
        <w:rPr>
          <w:rFonts w:ascii="宋体" w:hAnsi="宋体" w:cs="宋体"/>
          <w:sz w:val="24"/>
          <w:szCs w:val="24"/>
        </w:rPr>
      </w:pPr>
      <w:r>
        <w:rPr>
          <w:rFonts w:hint="eastAsia" w:ascii="宋体" w:hAnsi="宋体" w:cs="宋体"/>
          <w:sz w:val="24"/>
          <w:szCs w:val="24"/>
        </w:rPr>
        <w:t>（14）在巡视、旁站和检验过程中，发现工程质量、施工安全存在事故隐患的，要求施工承包人整改并报委托人；</w:t>
      </w:r>
    </w:p>
    <w:p w14:paraId="2DC2AF28">
      <w:pPr>
        <w:spacing w:line="360" w:lineRule="auto"/>
        <w:ind w:firstLine="480" w:firstLineChars="200"/>
        <w:rPr>
          <w:rFonts w:ascii="宋体" w:hAnsi="宋体" w:cs="宋体"/>
          <w:sz w:val="24"/>
          <w:szCs w:val="24"/>
        </w:rPr>
      </w:pPr>
      <w:r>
        <w:rPr>
          <w:rFonts w:hint="eastAsia" w:ascii="宋体" w:hAnsi="宋体" w:cs="宋体"/>
          <w:sz w:val="24"/>
          <w:szCs w:val="24"/>
        </w:rPr>
        <w:t>（15）经委托人同意，签发工程暂停令和复工令；</w:t>
      </w:r>
    </w:p>
    <w:p w14:paraId="35D97851">
      <w:pPr>
        <w:spacing w:line="360" w:lineRule="auto"/>
        <w:ind w:firstLine="480" w:firstLineChars="200"/>
        <w:rPr>
          <w:rFonts w:ascii="宋体" w:hAnsi="宋体" w:cs="宋体"/>
          <w:sz w:val="24"/>
          <w:szCs w:val="24"/>
        </w:rPr>
      </w:pPr>
      <w:r>
        <w:rPr>
          <w:rFonts w:hint="eastAsia" w:ascii="宋体" w:hAnsi="宋体" w:cs="宋体"/>
          <w:sz w:val="24"/>
          <w:szCs w:val="24"/>
        </w:rPr>
        <w:t>（16）审查施工承包人提交的采用新材料、新工艺、新技术、新设备的论证材料及相关验收标准；</w:t>
      </w:r>
    </w:p>
    <w:p w14:paraId="45167FBA">
      <w:pPr>
        <w:spacing w:line="360" w:lineRule="auto"/>
        <w:ind w:firstLine="480" w:firstLineChars="200"/>
        <w:rPr>
          <w:rFonts w:ascii="宋体" w:hAnsi="宋体" w:cs="宋体"/>
          <w:sz w:val="24"/>
          <w:szCs w:val="24"/>
        </w:rPr>
      </w:pPr>
      <w:r>
        <w:rPr>
          <w:rFonts w:hint="eastAsia" w:ascii="宋体" w:hAnsi="宋体" w:cs="宋体"/>
          <w:sz w:val="24"/>
          <w:szCs w:val="24"/>
        </w:rPr>
        <w:t>（17）验收隐蔽工程、分部分项工程；</w:t>
      </w:r>
    </w:p>
    <w:p w14:paraId="633FB32F">
      <w:pPr>
        <w:spacing w:line="360" w:lineRule="auto"/>
        <w:ind w:firstLine="480" w:firstLineChars="200"/>
        <w:rPr>
          <w:rFonts w:ascii="宋体" w:hAnsi="宋体" w:cs="宋体"/>
          <w:sz w:val="24"/>
          <w:szCs w:val="24"/>
        </w:rPr>
      </w:pPr>
      <w:r>
        <w:rPr>
          <w:rFonts w:hint="eastAsia" w:ascii="宋体" w:hAnsi="宋体" w:cs="宋体"/>
          <w:sz w:val="24"/>
          <w:szCs w:val="24"/>
        </w:rPr>
        <w:t>（18）审查施工承包人提交的工程变更申请，协调处理施工进度调整、费用索赔、合同争议等事项；</w:t>
      </w:r>
    </w:p>
    <w:p w14:paraId="3DE0D5A1">
      <w:pPr>
        <w:spacing w:line="360" w:lineRule="auto"/>
        <w:ind w:firstLine="480" w:firstLineChars="200"/>
        <w:rPr>
          <w:rFonts w:ascii="宋体" w:hAnsi="宋体" w:cs="宋体"/>
          <w:sz w:val="24"/>
          <w:szCs w:val="24"/>
        </w:rPr>
      </w:pPr>
      <w:r>
        <w:rPr>
          <w:rFonts w:hint="eastAsia" w:ascii="宋体" w:hAnsi="宋体" w:cs="宋体"/>
          <w:sz w:val="24"/>
          <w:szCs w:val="24"/>
        </w:rPr>
        <w:t>（19）审查施工承包人提交的竣工验收申请，编写工程质量评估报告；</w:t>
      </w:r>
    </w:p>
    <w:p w14:paraId="5A2F6E25">
      <w:pPr>
        <w:spacing w:line="360" w:lineRule="auto"/>
        <w:ind w:firstLine="480" w:firstLineChars="200"/>
        <w:rPr>
          <w:rFonts w:ascii="宋体" w:hAnsi="宋体" w:cs="宋体"/>
          <w:sz w:val="24"/>
          <w:szCs w:val="24"/>
        </w:rPr>
      </w:pPr>
      <w:r>
        <w:rPr>
          <w:rFonts w:hint="eastAsia" w:ascii="宋体" w:hAnsi="宋体" w:cs="宋体"/>
          <w:sz w:val="24"/>
          <w:szCs w:val="24"/>
        </w:rPr>
        <w:t>（20）参加工程竣工验收，签署竣工验收意见；</w:t>
      </w:r>
    </w:p>
    <w:p w14:paraId="1A0B8070">
      <w:pPr>
        <w:spacing w:line="360" w:lineRule="auto"/>
        <w:ind w:firstLine="480" w:firstLineChars="200"/>
        <w:rPr>
          <w:rFonts w:ascii="宋体" w:hAnsi="宋体" w:cs="宋体"/>
          <w:sz w:val="24"/>
          <w:szCs w:val="24"/>
        </w:rPr>
      </w:pPr>
      <w:r>
        <w:rPr>
          <w:rFonts w:hint="eastAsia" w:ascii="宋体" w:hAnsi="宋体" w:cs="宋体"/>
          <w:sz w:val="24"/>
          <w:szCs w:val="24"/>
        </w:rPr>
        <w:t>（21）审查施工承包人提交的竣工结算申请并报委托人；</w:t>
      </w:r>
    </w:p>
    <w:p w14:paraId="11D4E72B">
      <w:pPr>
        <w:spacing w:line="360" w:lineRule="auto"/>
        <w:ind w:firstLine="480" w:firstLineChars="200"/>
        <w:rPr>
          <w:rFonts w:ascii="宋体" w:hAnsi="宋体" w:cs="宋体"/>
          <w:sz w:val="24"/>
          <w:szCs w:val="24"/>
        </w:rPr>
      </w:pPr>
      <w:r>
        <w:rPr>
          <w:rFonts w:hint="eastAsia" w:ascii="宋体" w:hAnsi="宋体" w:cs="宋体"/>
          <w:sz w:val="24"/>
          <w:szCs w:val="24"/>
        </w:rPr>
        <w:t>（22）编制、整理工程监理归档文件并报委托人。</w:t>
      </w:r>
    </w:p>
    <w:p w14:paraId="58508C96">
      <w:pPr>
        <w:spacing w:line="360" w:lineRule="auto"/>
        <w:ind w:firstLine="482" w:firstLineChars="200"/>
        <w:rPr>
          <w:rFonts w:ascii="宋体" w:hAnsi="宋体" w:cs="宋体"/>
          <w:b/>
          <w:sz w:val="24"/>
          <w:szCs w:val="24"/>
        </w:rPr>
      </w:pPr>
      <w:r>
        <w:rPr>
          <w:rFonts w:hint="eastAsia" w:ascii="宋体" w:hAnsi="宋体" w:cs="宋体"/>
          <w:b/>
          <w:sz w:val="24"/>
          <w:szCs w:val="24"/>
        </w:rPr>
        <w:t>5.4 监理文件要求</w:t>
      </w:r>
    </w:p>
    <w:p w14:paraId="23AAE178">
      <w:pPr>
        <w:spacing w:line="360" w:lineRule="auto"/>
        <w:ind w:firstLine="480" w:firstLineChars="200"/>
        <w:rPr>
          <w:rFonts w:ascii="宋体" w:hAnsi="宋体" w:cs="宋体"/>
          <w:sz w:val="24"/>
          <w:szCs w:val="24"/>
        </w:rPr>
      </w:pPr>
      <w:r>
        <w:rPr>
          <w:rFonts w:hint="eastAsia" w:ascii="宋体" w:hAnsi="宋体" w:cs="宋体"/>
          <w:sz w:val="24"/>
          <w:szCs w:val="24"/>
        </w:rPr>
        <w:t>5.4.1 监理文件的编制应符合法律、规</w:t>
      </w:r>
      <w:r>
        <w:rPr>
          <w:rFonts w:hint="eastAsia" w:ascii="宋体" w:hAnsi="宋体" w:cs="宋体"/>
          <w:sz w:val="24"/>
          <w:szCs w:val="24"/>
          <w:lang w:eastAsia="zh-CN"/>
        </w:rPr>
        <w:t>范和</w:t>
      </w:r>
      <w:r>
        <w:rPr>
          <w:rFonts w:hint="eastAsia" w:ascii="宋体" w:hAnsi="宋体" w:cs="宋体"/>
          <w:sz w:val="24"/>
          <w:szCs w:val="24"/>
        </w:rPr>
        <w:t>标准的强制性规定和委托人要求，相关的监理依据应当完整准确，文件内容和相应数据应当真实可靠。</w:t>
      </w:r>
    </w:p>
    <w:p w14:paraId="59F30D80">
      <w:pPr>
        <w:spacing w:line="360" w:lineRule="auto"/>
        <w:ind w:firstLine="480" w:firstLineChars="200"/>
        <w:rPr>
          <w:rFonts w:ascii="宋体" w:hAnsi="宋体" w:cs="宋体"/>
          <w:sz w:val="24"/>
          <w:szCs w:val="24"/>
        </w:rPr>
      </w:pPr>
      <w:r>
        <w:rPr>
          <w:rFonts w:hint="eastAsia" w:ascii="宋体" w:hAnsi="宋体" w:cs="宋体"/>
          <w:sz w:val="24"/>
          <w:szCs w:val="24"/>
        </w:rPr>
        <w:t>5.4.2 监理文件的深度应满足本阶段相应监理工作的规定要求，满足委托人的下步工作需要，并应符合国家和行业现行规定。</w:t>
      </w:r>
    </w:p>
    <w:p w14:paraId="58F85792">
      <w:pPr>
        <w:spacing w:line="360" w:lineRule="auto"/>
        <w:ind w:firstLine="480" w:firstLineChars="200"/>
        <w:rPr>
          <w:rFonts w:ascii="宋体" w:hAnsi="宋体" w:cs="宋体"/>
          <w:sz w:val="24"/>
          <w:szCs w:val="24"/>
        </w:rPr>
      </w:pPr>
      <w:r>
        <w:rPr>
          <w:rFonts w:hint="eastAsia" w:ascii="宋体" w:hAnsi="宋体" w:cs="宋体"/>
          <w:sz w:val="24"/>
          <w:szCs w:val="24"/>
        </w:rPr>
        <w:t>5.4.3 本工程监理文件的具体类别、编制要求、编制内容、提交时间和份数等，在专用合同条款中约定。</w:t>
      </w:r>
    </w:p>
    <w:p w14:paraId="4A8B9902">
      <w:pPr>
        <w:pStyle w:val="4"/>
        <w:spacing w:before="0" w:after="0" w:line="360" w:lineRule="auto"/>
        <w:ind w:firstLine="138"/>
        <w:rPr>
          <w:rFonts w:ascii="宋体" w:hAnsi="宋体" w:cs="宋体"/>
          <w:sz w:val="24"/>
          <w:szCs w:val="24"/>
        </w:rPr>
      </w:pPr>
      <w:bookmarkStart w:id="240" w:name="_Toc29156"/>
      <w:bookmarkStart w:id="241" w:name="_Toc13358"/>
      <w:bookmarkStart w:id="242" w:name="_Toc16892"/>
      <w:bookmarkStart w:id="243" w:name="_Toc531820311"/>
      <w:bookmarkStart w:id="244" w:name="_Toc536778396"/>
      <w:r>
        <w:rPr>
          <w:rFonts w:hint="eastAsia" w:ascii="宋体" w:hAnsi="宋体" w:cs="宋体"/>
          <w:sz w:val="24"/>
          <w:szCs w:val="24"/>
        </w:rPr>
        <w:t>6.</w:t>
      </w:r>
      <w:r>
        <w:rPr>
          <w:rFonts w:hint="eastAsia" w:ascii="宋体" w:hAnsi="宋体" w:cs="宋体"/>
          <w:sz w:val="24"/>
          <w:szCs w:val="24"/>
          <w:lang w:eastAsia="zh-CN"/>
        </w:rPr>
        <w:t xml:space="preserve"> 开始</w:t>
      </w:r>
      <w:r>
        <w:rPr>
          <w:rFonts w:hint="eastAsia" w:ascii="宋体" w:hAnsi="宋体" w:cs="宋体"/>
          <w:sz w:val="24"/>
          <w:szCs w:val="24"/>
        </w:rPr>
        <w:t>监理</w:t>
      </w:r>
      <w:r>
        <w:rPr>
          <w:rFonts w:hint="eastAsia" w:ascii="宋体" w:hAnsi="宋体" w:cs="宋体"/>
          <w:sz w:val="24"/>
          <w:szCs w:val="24"/>
          <w:lang w:eastAsia="zh-CN"/>
        </w:rPr>
        <w:t>与</w:t>
      </w:r>
      <w:r>
        <w:rPr>
          <w:rFonts w:hint="eastAsia" w:ascii="宋体" w:hAnsi="宋体" w:cs="宋体"/>
          <w:sz w:val="24"/>
          <w:szCs w:val="24"/>
        </w:rPr>
        <w:t>完成监理</w:t>
      </w:r>
      <w:bookmarkEnd w:id="240"/>
      <w:bookmarkEnd w:id="241"/>
      <w:bookmarkEnd w:id="242"/>
      <w:bookmarkEnd w:id="243"/>
      <w:bookmarkEnd w:id="244"/>
    </w:p>
    <w:p w14:paraId="1D2263E0">
      <w:pPr>
        <w:spacing w:line="360" w:lineRule="auto"/>
        <w:ind w:firstLine="482" w:firstLineChars="200"/>
        <w:rPr>
          <w:rFonts w:ascii="宋体" w:hAnsi="宋体" w:cs="宋体"/>
          <w:b/>
          <w:sz w:val="24"/>
          <w:szCs w:val="24"/>
        </w:rPr>
      </w:pPr>
      <w:r>
        <w:rPr>
          <w:rFonts w:hint="eastAsia" w:ascii="宋体" w:hAnsi="宋体" w:cs="宋体"/>
          <w:b/>
          <w:sz w:val="24"/>
          <w:szCs w:val="24"/>
        </w:rPr>
        <w:t>6.1 开始</w:t>
      </w:r>
      <w:r>
        <w:rPr>
          <w:rFonts w:hint="eastAsia" w:ascii="宋体" w:hAnsi="宋体" w:cs="宋体"/>
          <w:b/>
          <w:sz w:val="24"/>
          <w:szCs w:val="24"/>
          <w:lang w:eastAsia="zh-CN"/>
        </w:rPr>
        <w:t>监理。</w:t>
      </w:r>
    </w:p>
    <w:p w14:paraId="2DB3B40B">
      <w:pPr>
        <w:spacing w:line="360" w:lineRule="auto"/>
        <w:ind w:firstLine="480" w:firstLineChars="200"/>
        <w:rPr>
          <w:rFonts w:ascii="宋体" w:hAnsi="宋体" w:cs="宋体"/>
          <w:sz w:val="24"/>
          <w:szCs w:val="24"/>
        </w:rPr>
      </w:pPr>
      <w:r>
        <w:rPr>
          <w:rFonts w:hint="eastAsia" w:ascii="宋体" w:hAnsi="宋体" w:cs="宋体"/>
          <w:sz w:val="24"/>
          <w:szCs w:val="24"/>
        </w:rPr>
        <w:t>6.1.1 符合专用合同条款约定的开始监理条件的，委托人应提前 7 天向监理人发出开始监理通知。监理服务期限自开始监理通知中载明的开始监理日期起计算。</w:t>
      </w:r>
    </w:p>
    <w:p w14:paraId="798F668A">
      <w:pPr>
        <w:spacing w:line="360" w:lineRule="auto"/>
        <w:ind w:firstLine="480" w:firstLineChars="200"/>
        <w:rPr>
          <w:rFonts w:ascii="宋体" w:hAnsi="宋体" w:cs="宋体"/>
          <w:sz w:val="24"/>
          <w:szCs w:val="24"/>
        </w:rPr>
      </w:pPr>
      <w:r>
        <w:rPr>
          <w:rFonts w:hint="eastAsia" w:ascii="宋体" w:hAnsi="宋体" w:cs="宋体"/>
          <w:sz w:val="24"/>
          <w:szCs w:val="24"/>
        </w:rPr>
        <w:t>6.1.2 除专用合同条款另有约定外，因委托人原因造成合同签订之日起 90 天内未能发出开始监理通知的，监理人有权提出价格调整要求，或者解除合同。委托人应当承担由此增加的费用和（或）周期延误。</w:t>
      </w:r>
    </w:p>
    <w:p w14:paraId="6C1923F2">
      <w:pPr>
        <w:spacing w:line="360" w:lineRule="auto"/>
        <w:ind w:firstLine="482" w:firstLineChars="200"/>
        <w:rPr>
          <w:rFonts w:ascii="宋体" w:hAnsi="宋体" w:cs="宋体"/>
          <w:b/>
          <w:sz w:val="24"/>
          <w:szCs w:val="24"/>
        </w:rPr>
      </w:pPr>
      <w:r>
        <w:rPr>
          <w:rFonts w:hint="eastAsia" w:ascii="宋体" w:hAnsi="宋体" w:cs="宋体"/>
          <w:b/>
          <w:sz w:val="24"/>
          <w:szCs w:val="24"/>
        </w:rPr>
        <w:t>6.2 监理周期延误</w:t>
      </w:r>
    </w:p>
    <w:p w14:paraId="31605C1E">
      <w:pPr>
        <w:spacing w:line="360" w:lineRule="auto"/>
        <w:ind w:firstLine="480" w:firstLineChars="200"/>
        <w:rPr>
          <w:rFonts w:ascii="宋体" w:hAnsi="宋体" w:cs="宋体"/>
          <w:sz w:val="24"/>
          <w:szCs w:val="24"/>
        </w:rPr>
      </w:pPr>
      <w:r>
        <w:rPr>
          <w:rFonts w:hint="eastAsia" w:ascii="宋体" w:hAnsi="宋体" w:cs="宋体"/>
          <w:sz w:val="24"/>
          <w:szCs w:val="24"/>
        </w:rPr>
        <w:t>在履行合同过程中，由于下列原因造成监理服务期限延误的，委托人应当延长监理服务期限并增加监理报酬，具体方法在专用合同条款中约定。</w:t>
      </w:r>
    </w:p>
    <w:p w14:paraId="24B262B4">
      <w:pPr>
        <w:spacing w:line="360" w:lineRule="auto"/>
        <w:ind w:firstLine="480" w:firstLineChars="200"/>
        <w:rPr>
          <w:rFonts w:ascii="宋体" w:hAnsi="宋体" w:cs="宋体"/>
          <w:sz w:val="24"/>
          <w:szCs w:val="24"/>
        </w:rPr>
      </w:pPr>
      <w:r>
        <w:rPr>
          <w:rFonts w:hint="eastAsia" w:ascii="宋体" w:hAnsi="宋体" w:cs="宋体"/>
          <w:sz w:val="24"/>
          <w:szCs w:val="24"/>
        </w:rPr>
        <w:t>（1）合同变更；</w:t>
      </w:r>
    </w:p>
    <w:p w14:paraId="7B8D49C1">
      <w:pPr>
        <w:spacing w:line="360" w:lineRule="auto"/>
        <w:ind w:firstLine="480" w:firstLineChars="200"/>
        <w:rPr>
          <w:rFonts w:ascii="宋体" w:hAnsi="宋体" w:cs="宋体"/>
          <w:sz w:val="24"/>
          <w:szCs w:val="24"/>
        </w:rPr>
      </w:pPr>
      <w:r>
        <w:rPr>
          <w:rFonts w:hint="eastAsia" w:ascii="宋体" w:hAnsi="宋体" w:cs="宋体"/>
          <w:sz w:val="24"/>
          <w:szCs w:val="24"/>
        </w:rPr>
        <w:t>（2）因委托人原因导致的监理工作暂停；</w:t>
      </w:r>
    </w:p>
    <w:p w14:paraId="52D1D1B6">
      <w:pPr>
        <w:spacing w:line="360" w:lineRule="auto"/>
        <w:ind w:firstLine="480" w:firstLineChars="200"/>
        <w:rPr>
          <w:rFonts w:ascii="宋体" w:hAnsi="宋体" w:cs="宋体"/>
          <w:sz w:val="24"/>
          <w:szCs w:val="24"/>
        </w:rPr>
      </w:pPr>
      <w:r>
        <w:rPr>
          <w:rFonts w:hint="eastAsia" w:ascii="宋体" w:hAnsi="宋体" w:cs="宋体"/>
          <w:sz w:val="24"/>
          <w:szCs w:val="24"/>
        </w:rPr>
        <w:t>（3）未按合同约定及时支付监理报酬；</w:t>
      </w:r>
    </w:p>
    <w:p w14:paraId="18D908C1">
      <w:pPr>
        <w:spacing w:line="360" w:lineRule="auto"/>
        <w:ind w:firstLine="480" w:firstLineChars="200"/>
        <w:rPr>
          <w:rFonts w:ascii="宋体" w:hAnsi="宋体" w:cs="宋体"/>
          <w:sz w:val="24"/>
          <w:szCs w:val="24"/>
        </w:rPr>
      </w:pPr>
      <w:r>
        <w:rPr>
          <w:rFonts w:hint="eastAsia" w:ascii="宋体" w:hAnsi="宋体" w:cs="宋体"/>
          <w:sz w:val="24"/>
          <w:szCs w:val="24"/>
        </w:rPr>
        <w:t>（4）未及时履行合同约定的相关义务；</w:t>
      </w:r>
    </w:p>
    <w:p w14:paraId="5B2FC3D3">
      <w:pPr>
        <w:spacing w:line="360" w:lineRule="auto"/>
        <w:ind w:firstLine="480" w:firstLineChars="200"/>
        <w:rPr>
          <w:rFonts w:ascii="宋体" w:hAnsi="宋体" w:cs="宋体"/>
          <w:sz w:val="24"/>
          <w:szCs w:val="24"/>
        </w:rPr>
      </w:pPr>
      <w:r>
        <w:rPr>
          <w:rFonts w:hint="eastAsia" w:ascii="宋体" w:hAnsi="宋体" w:cs="宋体"/>
          <w:sz w:val="24"/>
          <w:szCs w:val="24"/>
        </w:rPr>
        <w:t>（5）由于承包人延误、行政管理造成的监理服务期延误；</w:t>
      </w:r>
    </w:p>
    <w:p w14:paraId="64F5F16D">
      <w:pPr>
        <w:spacing w:line="360" w:lineRule="auto"/>
        <w:ind w:firstLine="480" w:firstLineChars="200"/>
        <w:rPr>
          <w:rFonts w:ascii="宋体" w:hAnsi="宋体" w:cs="宋体"/>
          <w:sz w:val="24"/>
          <w:szCs w:val="24"/>
        </w:rPr>
      </w:pPr>
      <w:r>
        <w:rPr>
          <w:rFonts w:hint="eastAsia" w:ascii="宋体" w:hAnsi="宋体" w:cs="宋体"/>
          <w:sz w:val="24"/>
          <w:szCs w:val="24"/>
        </w:rPr>
        <w:t>（6）造成监理服务期限延误的其他原因。</w:t>
      </w:r>
    </w:p>
    <w:p w14:paraId="7904E4ED">
      <w:pPr>
        <w:spacing w:line="360" w:lineRule="auto"/>
        <w:ind w:firstLine="482" w:firstLineChars="200"/>
        <w:rPr>
          <w:rFonts w:ascii="宋体" w:hAnsi="宋体" w:cs="宋体"/>
          <w:b/>
          <w:sz w:val="24"/>
          <w:szCs w:val="24"/>
        </w:rPr>
      </w:pPr>
      <w:r>
        <w:rPr>
          <w:rFonts w:hint="eastAsia" w:ascii="宋体" w:hAnsi="宋体" w:cs="宋体"/>
          <w:b/>
          <w:sz w:val="24"/>
          <w:szCs w:val="24"/>
        </w:rPr>
        <w:t>6.3 完成</w:t>
      </w:r>
      <w:r>
        <w:rPr>
          <w:rFonts w:hint="eastAsia" w:ascii="宋体" w:hAnsi="宋体" w:cs="宋体"/>
          <w:b/>
          <w:sz w:val="24"/>
          <w:szCs w:val="24"/>
          <w:lang w:eastAsia="zh-CN"/>
        </w:rPr>
        <w:t>监理。</w:t>
      </w:r>
    </w:p>
    <w:p w14:paraId="26996E46">
      <w:pPr>
        <w:spacing w:line="360" w:lineRule="auto"/>
        <w:ind w:firstLine="480" w:firstLineChars="200"/>
        <w:rPr>
          <w:rFonts w:ascii="宋体" w:hAnsi="宋体" w:cs="宋体"/>
          <w:sz w:val="24"/>
          <w:szCs w:val="24"/>
        </w:rPr>
      </w:pPr>
      <w:r>
        <w:rPr>
          <w:rFonts w:hint="eastAsia" w:ascii="宋体" w:hAnsi="宋体" w:cs="宋体"/>
          <w:sz w:val="24"/>
          <w:szCs w:val="24"/>
        </w:rPr>
        <w:t>6.3.1 监理人应当根据法律、规范</w:t>
      </w:r>
      <w:r>
        <w:rPr>
          <w:rFonts w:hint="eastAsia" w:ascii="宋体" w:hAnsi="宋体" w:cs="宋体"/>
          <w:sz w:val="24"/>
          <w:szCs w:val="24"/>
          <w:lang w:eastAsia="zh-CN"/>
        </w:rPr>
        <w:t>、标准</w:t>
      </w:r>
      <w:r>
        <w:rPr>
          <w:rFonts w:hint="eastAsia" w:ascii="宋体" w:hAnsi="宋体" w:cs="宋体"/>
          <w:sz w:val="24"/>
          <w:szCs w:val="24"/>
        </w:rPr>
        <w:t>、合同约定和委托人要求实施和完成监理，并编制和移交监理文件。</w:t>
      </w:r>
    </w:p>
    <w:p w14:paraId="4A3BA83A">
      <w:pPr>
        <w:spacing w:line="360" w:lineRule="auto"/>
        <w:ind w:firstLine="480" w:firstLineChars="200"/>
        <w:rPr>
          <w:rFonts w:ascii="宋体" w:hAnsi="宋体" w:cs="宋体"/>
          <w:sz w:val="24"/>
          <w:szCs w:val="24"/>
        </w:rPr>
      </w:pPr>
      <w:r>
        <w:rPr>
          <w:rFonts w:hint="eastAsia" w:ascii="宋体" w:hAnsi="宋体" w:cs="宋体"/>
          <w:sz w:val="24"/>
          <w:szCs w:val="24"/>
        </w:rPr>
        <w:t>6.3.2 根据委托人要求或者基于专业能力判断，监理人认为能够提前完成监理的，可向委托人递交一份提前完成监理建议书，包括实施方案、提前时间、监理报酬变动等内容。除专用合同条款另有约定</w:t>
      </w:r>
      <w:r>
        <w:rPr>
          <w:rFonts w:hint="eastAsia" w:ascii="宋体" w:hAnsi="宋体" w:cs="宋体"/>
          <w:sz w:val="24"/>
          <w:szCs w:val="24"/>
          <w:lang w:eastAsia="zh-CN"/>
        </w:rPr>
        <w:t>外</w:t>
      </w:r>
      <w:r>
        <w:rPr>
          <w:rFonts w:hint="eastAsia" w:ascii="宋体" w:hAnsi="宋体" w:cs="宋体"/>
          <w:sz w:val="24"/>
          <w:szCs w:val="24"/>
        </w:rPr>
        <w:t>，委托人接受建议书的，不因提前完成监理而减少监理报酬；增加监理报酬的，所</w:t>
      </w:r>
      <w:r>
        <w:rPr>
          <w:rFonts w:hint="eastAsia" w:ascii="宋体" w:hAnsi="宋体" w:cs="宋体"/>
          <w:sz w:val="24"/>
          <w:szCs w:val="24"/>
          <w:lang w:eastAsia="zh-CN"/>
        </w:rPr>
        <w:t>增加</w:t>
      </w:r>
      <w:r>
        <w:rPr>
          <w:rFonts w:hint="eastAsia" w:ascii="宋体" w:hAnsi="宋体" w:cs="宋体"/>
          <w:sz w:val="24"/>
          <w:szCs w:val="24"/>
        </w:rPr>
        <w:t>费用由委托人承担。</w:t>
      </w:r>
    </w:p>
    <w:p w14:paraId="062FED6F">
      <w:pPr>
        <w:spacing w:line="360" w:lineRule="auto"/>
        <w:ind w:firstLine="480" w:firstLineChars="200"/>
        <w:rPr>
          <w:rFonts w:ascii="宋体" w:hAnsi="宋体" w:cs="宋体"/>
          <w:sz w:val="24"/>
          <w:szCs w:val="24"/>
        </w:rPr>
      </w:pPr>
      <w:r>
        <w:rPr>
          <w:rFonts w:hint="eastAsia" w:ascii="宋体" w:hAnsi="宋体" w:cs="宋体"/>
          <w:sz w:val="24"/>
          <w:szCs w:val="24"/>
        </w:rPr>
        <w:t>6.3.3 缺陷修复监理指缺陷责任期间，监理人对承包人修复质量缺陷进行的监理。缺陷修复监理的责任由监理人</w:t>
      </w:r>
      <w:r>
        <w:rPr>
          <w:rFonts w:hint="eastAsia" w:ascii="宋体" w:hAnsi="宋体" w:cs="宋体"/>
          <w:sz w:val="24"/>
          <w:szCs w:val="24"/>
          <w:lang w:eastAsia="zh-CN"/>
        </w:rPr>
        <w:t>承担</w:t>
      </w:r>
      <w:r>
        <w:rPr>
          <w:rFonts w:hint="eastAsia" w:ascii="宋体" w:hAnsi="宋体" w:cs="宋体"/>
          <w:sz w:val="24"/>
          <w:szCs w:val="24"/>
        </w:rPr>
        <w:t>。</w:t>
      </w:r>
    </w:p>
    <w:p w14:paraId="3D83999D">
      <w:pPr>
        <w:spacing w:line="360" w:lineRule="auto"/>
        <w:ind w:firstLine="480" w:firstLineChars="200"/>
        <w:rPr>
          <w:rFonts w:ascii="宋体" w:hAnsi="宋体" w:cs="宋体"/>
          <w:sz w:val="24"/>
          <w:szCs w:val="24"/>
        </w:rPr>
      </w:pPr>
      <w:r>
        <w:rPr>
          <w:rFonts w:hint="eastAsia" w:ascii="宋体" w:hAnsi="宋体" w:cs="宋体"/>
          <w:sz w:val="24"/>
          <w:szCs w:val="24"/>
        </w:rPr>
        <w:t>6.3.4 委托人应当及时接收监理人提交的监理文件。如无正当理由</w:t>
      </w:r>
      <w:r>
        <w:rPr>
          <w:rFonts w:hint="eastAsia" w:ascii="宋体" w:hAnsi="宋体" w:cs="宋体"/>
          <w:sz w:val="24"/>
          <w:szCs w:val="24"/>
          <w:lang w:eastAsia="zh-CN"/>
        </w:rPr>
        <w:t>拒收</w:t>
      </w:r>
      <w:r>
        <w:rPr>
          <w:rFonts w:hint="eastAsia" w:ascii="宋体" w:hAnsi="宋体" w:cs="宋体"/>
          <w:sz w:val="24"/>
          <w:szCs w:val="24"/>
        </w:rPr>
        <w:t>，视为委托人已经接收监理文件。接收监理文件时，委托人应向监理人出具文件签收凭证，凭证内容包括文件名称、文件内容、文件形式、份数、提交和接收日期、提交人与接收人的亲笔签名等。</w:t>
      </w:r>
    </w:p>
    <w:p w14:paraId="3FFFC049">
      <w:pPr>
        <w:spacing w:line="360" w:lineRule="auto"/>
        <w:ind w:firstLine="480" w:firstLineChars="200"/>
        <w:rPr>
          <w:rFonts w:ascii="宋体" w:hAnsi="宋体" w:cs="宋体"/>
          <w:sz w:val="24"/>
          <w:szCs w:val="24"/>
        </w:rPr>
      </w:pPr>
      <w:r>
        <w:rPr>
          <w:rFonts w:hint="eastAsia" w:ascii="宋体" w:hAnsi="宋体" w:cs="宋体"/>
          <w:sz w:val="24"/>
          <w:szCs w:val="24"/>
        </w:rPr>
        <w:t>6.3.5 除专用合同条款另有约定外，监理文件包括纸质文件和电子文件两种形式，两者若有不</w:t>
      </w:r>
      <w:r>
        <w:rPr>
          <w:rFonts w:hint="eastAsia" w:ascii="宋体" w:hAnsi="宋体" w:cs="宋体"/>
          <w:sz w:val="24"/>
          <w:szCs w:val="24"/>
          <w:lang w:eastAsia="zh-CN"/>
        </w:rPr>
        <w:t>一致</w:t>
      </w:r>
      <w:r>
        <w:rPr>
          <w:rFonts w:hint="eastAsia" w:ascii="宋体" w:hAnsi="宋体" w:cs="宋体"/>
          <w:sz w:val="24"/>
          <w:szCs w:val="24"/>
        </w:rPr>
        <w:t>，应以纸质文件为准。纸质文件应当加盖单位法人章和总监理工程师的注册执业印章，具体份数、</w:t>
      </w:r>
      <w:r>
        <w:rPr>
          <w:rFonts w:hint="eastAsia" w:ascii="宋体" w:hAnsi="宋体" w:cs="宋体"/>
          <w:sz w:val="24"/>
          <w:szCs w:val="24"/>
          <w:lang w:eastAsia="zh-CN"/>
        </w:rPr>
        <w:t>幅面</w:t>
      </w:r>
      <w:r>
        <w:rPr>
          <w:rFonts w:hint="eastAsia" w:ascii="宋体" w:hAnsi="宋体" w:cs="宋体"/>
          <w:sz w:val="24"/>
          <w:szCs w:val="24"/>
        </w:rPr>
        <w:t>、装订格式等要求，应在专用合同条款中约定；电子文件应使用光盘和 U 盘分别</w:t>
      </w:r>
      <w:r>
        <w:rPr>
          <w:rFonts w:hint="eastAsia" w:ascii="宋体" w:hAnsi="宋体" w:cs="宋体"/>
          <w:sz w:val="24"/>
          <w:szCs w:val="24"/>
          <w:lang w:eastAsia="zh-CN"/>
        </w:rPr>
        <w:t>存储</w:t>
      </w:r>
      <w:r>
        <w:rPr>
          <w:rFonts w:hint="eastAsia" w:ascii="宋体" w:hAnsi="宋体" w:cs="宋体"/>
          <w:sz w:val="24"/>
          <w:szCs w:val="24"/>
        </w:rPr>
        <w:t>。</w:t>
      </w:r>
    </w:p>
    <w:p w14:paraId="38572417">
      <w:pPr>
        <w:pStyle w:val="4"/>
        <w:spacing w:before="0" w:after="0" w:line="360" w:lineRule="auto"/>
        <w:ind w:firstLine="138"/>
        <w:rPr>
          <w:rFonts w:ascii="宋体" w:hAnsi="宋体" w:cs="宋体"/>
          <w:sz w:val="24"/>
          <w:szCs w:val="24"/>
        </w:rPr>
      </w:pPr>
      <w:bookmarkStart w:id="245" w:name="_Toc536778397"/>
      <w:bookmarkStart w:id="246" w:name="_Toc9751"/>
      <w:bookmarkStart w:id="247" w:name="_Toc21076"/>
      <w:bookmarkStart w:id="248" w:name="_Toc19029"/>
      <w:bookmarkStart w:id="249" w:name="_Toc531820312"/>
      <w:r>
        <w:rPr>
          <w:rFonts w:hint="eastAsia" w:ascii="宋体" w:hAnsi="宋体" w:cs="宋体"/>
          <w:sz w:val="24"/>
          <w:szCs w:val="24"/>
        </w:rPr>
        <w:t>7.</w:t>
      </w:r>
      <w:r>
        <w:rPr>
          <w:rFonts w:hint="eastAsia" w:ascii="宋体" w:hAnsi="宋体" w:cs="宋体"/>
          <w:sz w:val="24"/>
          <w:szCs w:val="24"/>
          <w:lang w:eastAsia="zh-CN"/>
        </w:rPr>
        <w:t xml:space="preserve"> 监理</w:t>
      </w:r>
      <w:r>
        <w:rPr>
          <w:rFonts w:hint="eastAsia" w:ascii="宋体" w:hAnsi="宋体" w:cs="宋体"/>
          <w:sz w:val="24"/>
          <w:szCs w:val="24"/>
        </w:rPr>
        <w:t>责任与</w:t>
      </w:r>
      <w:r>
        <w:rPr>
          <w:rFonts w:hint="eastAsia" w:ascii="宋体" w:hAnsi="宋体" w:cs="宋体"/>
          <w:sz w:val="24"/>
          <w:szCs w:val="24"/>
          <w:lang w:eastAsia="zh-CN"/>
        </w:rPr>
        <w:t>保险。</w:t>
      </w:r>
      <w:bookmarkEnd w:id="245"/>
      <w:bookmarkEnd w:id="246"/>
      <w:bookmarkEnd w:id="247"/>
      <w:bookmarkEnd w:id="248"/>
      <w:bookmarkEnd w:id="249"/>
    </w:p>
    <w:p w14:paraId="1B303242">
      <w:pPr>
        <w:spacing w:line="360" w:lineRule="auto"/>
        <w:ind w:firstLine="482" w:firstLineChars="200"/>
        <w:rPr>
          <w:rFonts w:ascii="宋体" w:hAnsi="宋体" w:cs="宋体"/>
          <w:b/>
          <w:sz w:val="24"/>
          <w:szCs w:val="24"/>
        </w:rPr>
      </w:pPr>
      <w:r>
        <w:rPr>
          <w:rFonts w:hint="eastAsia" w:ascii="宋体" w:hAnsi="宋体" w:cs="宋体"/>
          <w:b/>
          <w:sz w:val="24"/>
          <w:szCs w:val="24"/>
        </w:rPr>
        <w:t>7.1 监理责任</w:t>
      </w:r>
      <w:r>
        <w:rPr>
          <w:rFonts w:hint="eastAsia" w:ascii="宋体" w:hAnsi="宋体" w:cs="宋体"/>
          <w:b/>
          <w:sz w:val="24"/>
          <w:szCs w:val="24"/>
          <w:lang w:eastAsia="zh-CN"/>
        </w:rPr>
        <w:t>主体。</w:t>
      </w:r>
    </w:p>
    <w:p w14:paraId="32F0E834">
      <w:pPr>
        <w:spacing w:line="360" w:lineRule="auto"/>
        <w:ind w:firstLine="480" w:firstLineChars="200"/>
        <w:rPr>
          <w:rFonts w:ascii="宋体" w:hAnsi="宋体" w:cs="宋体"/>
          <w:sz w:val="24"/>
          <w:szCs w:val="24"/>
        </w:rPr>
      </w:pPr>
      <w:r>
        <w:rPr>
          <w:rFonts w:hint="eastAsia" w:ascii="宋体" w:hAnsi="宋体" w:cs="宋体"/>
          <w:sz w:val="24"/>
          <w:szCs w:val="24"/>
        </w:rPr>
        <w:t>7.1.1 监理人应运用一切合理的专业技术、知识</w:t>
      </w:r>
      <w:r>
        <w:rPr>
          <w:rFonts w:hint="eastAsia" w:ascii="宋体" w:hAnsi="宋体" w:cs="宋体"/>
          <w:sz w:val="24"/>
          <w:szCs w:val="24"/>
          <w:lang w:eastAsia="zh-CN"/>
        </w:rPr>
        <w:t>、技能</w:t>
      </w:r>
      <w:r>
        <w:rPr>
          <w:rFonts w:hint="eastAsia" w:ascii="宋体" w:hAnsi="宋体" w:cs="宋体"/>
          <w:sz w:val="24"/>
          <w:szCs w:val="24"/>
        </w:rPr>
        <w:t>和项目经验，按照职业道德准则和行业公认标准尽其全部职责，勤勉、谨慎、公正地履行其在本合同项下的责任和义务。</w:t>
      </w:r>
    </w:p>
    <w:p w14:paraId="6614AD23">
      <w:pPr>
        <w:spacing w:line="360" w:lineRule="auto"/>
        <w:ind w:firstLine="480" w:firstLineChars="200"/>
        <w:rPr>
          <w:rFonts w:ascii="宋体" w:hAnsi="宋体" w:cs="宋体"/>
          <w:sz w:val="24"/>
          <w:szCs w:val="24"/>
        </w:rPr>
      </w:pPr>
      <w:r>
        <w:rPr>
          <w:rFonts w:hint="eastAsia" w:ascii="宋体" w:hAnsi="宋体" w:cs="宋体"/>
          <w:sz w:val="24"/>
          <w:szCs w:val="24"/>
        </w:rPr>
        <w:t>7.1.2 监理责任</w:t>
      </w:r>
      <w:r>
        <w:rPr>
          <w:rFonts w:hint="eastAsia" w:ascii="宋体" w:hAnsi="宋体" w:cs="宋体"/>
          <w:sz w:val="24"/>
          <w:szCs w:val="24"/>
          <w:lang w:eastAsia="zh-CN"/>
        </w:rPr>
        <w:t>实行</w:t>
      </w:r>
      <w:r>
        <w:rPr>
          <w:rFonts w:hint="eastAsia" w:ascii="宋体" w:hAnsi="宋体" w:cs="宋体"/>
          <w:sz w:val="24"/>
          <w:szCs w:val="24"/>
        </w:rPr>
        <w:t>监理单位项目负责人终身责任制。总监理工程师应当按照法律法规、有关技术标准、设计文件和工程承包合同进行监理，对施工质量承担监理责任。</w:t>
      </w:r>
    </w:p>
    <w:p w14:paraId="6B6D28BE">
      <w:pPr>
        <w:spacing w:line="360" w:lineRule="auto"/>
        <w:ind w:firstLine="480" w:firstLineChars="200"/>
        <w:rPr>
          <w:rFonts w:ascii="宋体" w:hAnsi="宋体" w:cs="宋体"/>
          <w:sz w:val="24"/>
          <w:szCs w:val="24"/>
        </w:rPr>
      </w:pPr>
      <w:r>
        <w:rPr>
          <w:rFonts w:hint="eastAsia" w:ascii="宋体" w:hAnsi="宋体" w:cs="宋体"/>
          <w:sz w:val="24"/>
          <w:szCs w:val="24"/>
        </w:rPr>
        <w:t>7.1.3 总监理工程师应当在办理工程质量监督手续前签署工程质量终身责任承诺书，连同法定代表人出具的授权书，报工程质量监督机构备案。</w:t>
      </w:r>
    </w:p>
    <w:p w14:paraId="2CB68042">
      <w:pPr>
        <w:spacing w:line="360" w:lineRule="auto"/>
        <w:ind w:firstLine="482" w:firstLineChars="200"/>
        <w:rPr>
          <w:rFonts w:ascii="宋体" w:hAnsi="宋体" w:cs="宋体"/>
          <w:b/>
          <w:sz w:val="24"/>
          <w:szCs w:val="24"/>
        </w:rPr>
      </w:pPr>
      <w:r>
        <w:rPr>
          <w:rFonts w:hint="eastAsia" w:ascii="宋体" w:hAnsi="宋体" w:cs="宋体"/>
          <w:b/>
          <w:sz w:val="24"/>
          <w:szCs w:val="24"/>
        </w:rPr>
        <w:t>7.2 监理</w:t>
      </w:r>
      <w:r>
        <w:rPr>
          <w:rFonts w:hint="eastAsia" w:ascii="宋体" w:hAnsi="宋体" w:cs="宋体"/>
          <w:b/>
          <w:sz w:val="24"/>
          <w:szCs w:val="24"/>
          <w:lang w:eastAsia="zh-CN"/>
        </w:rPr>
        <w:t>责任保险。</w:t>
      </w:r>
    </w:p>
    <w:p w14:paraId="7E6E93C4">
      <w:pPr>
        <w:spacing w:line="360" w:lineRule="auto"/>
        <w:ind w:firstLine="480" w:firstLineChars="200"/>
        <w:rPr>
          <w:rFonts w:ascii="宋体" w:hAnsi="宋体" w:cs="宋体"/>
          <w:sz w:val="24"/>
          <w:szCs w:val="24"/>
        </w:rPr>
      </w:pPr>
      <w:r>
        <w:rPr>
          <w:rFonts w:hint="eastAsia" w:ascii="宋体" w:hAnsi="宋体" w:cs="宋体"/>
          <w:sz w:val="24"/>
          <w:szCs w:val="24"/>
        </w:rPr>
        <w:t>除专用合同条款另有约定外，建议监理人根据工程情况对监理责任进行保险，并在合同履行期间保持足额、有效。</w:t>
      </w:r>
    </w:p>
    <w:p w14:paraId="6DF76A3E">
      <w:pPr>
        <w:pStyle w:val="4"/>
        <w:spacing w:before="0" w:after="0" w:line="360" w:lineRule="auto"/>
        <w:ind w:firstLine="138"/>
        <w:rPr>
          <w:rFonts w:ascii="宋体" w:hAnsi="宋体" w:cs="宋体"/>
          <w:sz w:val="24"/>
          <w:szCs w:val="24"/>
        </w:rPr>
      </w:pPr>
      <w:bookmarkStart w:id="250" w:name="_Toc3455"/>
      <w:bookmarkStart w:id="251" w:name="_Toc531820313"/>
      <w:bookmarkStart w:id="252" w:name="_Toc18695"/>
      <w:bookmarkStart w:id="253" w:name="_Toc536778398"/>
      <w:bookmarkStart w:id="254" w:name="_Toc18394"/>
      <w:r>
        <w:rPr>
          <w:rFonts w:hint="eastAsia" w:ascii="宋体" w:hAnsi="宋体" w:cs="宋体"/>
          <w:sz w:val="24"/>
          <w:szCs w:val="24"/>
        </w:rPr>
        <w:t>8.合同变更</w:t>
      </w:r>
      <w:bookmarkEnd w:id="250"/>
      <w:bookmarkEnd w:id="251"/>
      <w:bookmarkEnd w:id="252"/>
      <w:bookmarkEnd w:id="253"/>
      <w:bookmarkEnd w:id="254"/>
    </w:p>
    <w:p w14:paraId="40389CC2">
      <w:pPr>
        <w:spacing w:line="360" w:lineRule="auto"/>
        <w:ind w:firstLine="482" w:firstLineChars="200"/>
        <w:rPr>
          <w:rFonts w:ascii="宋体" w:hAnsi="宋体" w:cs="宋体"/>
          <w:b/>
          <w:sz w:val="24"/>
          <w:szCs w:val="24"/>
        </w:rPr>
      </w:pPr>
      <w:r>
        <w:rPr>
          <w:rFonts w:hint="eastAsia" w:ascii="宋体" w:hAnsi="宋体" w:cs="宋体"/>
          <w:b/>
          <w:sz w:val="24"/>
          <w:szCs w:val="24"/>
        </w:rPr>
        <w:t>8.1 变更情形</w:t>
      </w:r>
    </w:p>
    <w:p w14:paraId="76D5DFDB">
      <w:pPr>
        <w:spacing w:line="360" w:lineRule="auto"/>
        <w:ind w:firstLine="480" w:firstLineChars="200"/>
        <w:rPr>
          <w:rFonts w:ascii="宋体" w:hAnsi="宋体" w:cs="宋体"/>
          <w:sz w:val="24"/>
          <w:szCs w:val="24"/>
        </w:rPr>
      </w:pPr>
      <w:r>
        <w:rPr>
          <w:rFonts w:hint="eastAsia" w:ascii="宋体" w:hAnsi="宋体" w:cs="宋体"/>
          <w:sz w:val="24"/>
          <w:szCs w:val="24"/>
        </w:rPr>
        <w:t>8.1.1 合同履行中发生下述情形时，合同一方均可向对方提出变更请求，经双方协商一致后进行变更，监理服务期限和监理报酬的调整方法在专用合同条款中约定。</w:t>
      </w:r>
    </w:p>
    <w:p w14:paraId="3E4D58D9">
      <w:pPr>
        <w:spacing w:line="360" w:lineRule="auto"/>
        <w:ind w:firstLine="480" w:firstLineChars="200"/>
        <w:rPr>
          <w:rFonts w:ascii="宋体" w:hAnsi="宋体" w:cs="宋体"/>
          <w:sz w:val="24"/>
          <w:szCs w:val="24"/>
        </w:rPr>
      </w:pPr>
      <w:r>
        <w:rPr>
          <w:rFonts w:hint="eastAsia" w:ascii="宋体" w:hAnsi="宋体" w:cs="宋体"/>
          <w:sz w:val="24"/>
          <w:szCs w:val="24"/>
        </w:rPr>
        <w:t>（1）监理范围发生变化；</w:t>
      </w:r>
    </w:p>
    <w:p w14:paraId="5C8F2C3C">
      <w:pPr>
        <w:spacing w:line="360" w:lineRule="auto"/>
        <w:ind w:firstLine="480" w:firstLineChars="200"/>
        <w:rPr>
          <w:rFonts w:ascii="宋体" w:hAnsi="宋体" w:cs="宋体"/>
          <w:sz w:val="24"/>
          <w:szCs w:val="24"/>
        </w:rPr>
      </w:pPr>
      <w:r>
        <w:rPr>
          <w:rFonts w:hint="eastAsia" w:ascii="宋体" w:hAnsi="宋体" w:cs="宋体"/>
          <w:sz w:val="24"/>
          <w:szCs w:val="24"/>
        </w:rPr>
        <w:t>（2）除不可抗力外，非监理人的原因引起的周期延误；</w:t>
      </w:r>
    </w:p>
    <w:p w14:paraId="0E1F0393">
      <w:pPr>
        <w:spacing w:line="360" w:lineRule="auto"/>
        <w:ind w:firstLine="480" w:firstLineChars="200"/>
        <w:rPr>
          <w:rFonts w:ascii="宋体" w:hAnsi="宋体" w:cs="宋体"/>
          <w:sz w:val="24"/>
          <w:szCs w:val="24"/>
        </w:rPr>
      </w:pPr>
      <w:r>
        <w:rPr>
          <w:rFonts w:hint="eastAsia" w:ascii="宋体" w:hAnsi="宋体" w:cs="宋体"/>
          <w:sz w:val="24"/>
          <w:szCs w:val="24"/>
        </w:rPr>
        <w:t>（3）非监理人的原因，对工程同一部分重复进行监理；</w:t>
      </w:r>
    </w:p>
    <w:p w14:paraId="18620B47">
      <w:pPr>
        <w:spacing w:line="360" w:lineRule="auto"/>
        <w:ind w:firstLine="480" w:firstLineChars="200"/>
        <w:rPr>
          <w:rFonts w:ascii="宋体" w:hAnsi="宋体" w:cs="宋体"/>
          <w:sz w:val="24"/>
          <w:szCs w:val="24"/>
        </w:rPr>
      </w:pPr>
      <w:r>
        <w:rPr>
          <w:rFonts w:hint="eastAsia" w:ascii="宋体" w:hAnsi="宋体" w:cs="宋体"/>
          <w:sz w:val="24"/>
          <w:szCs w:val="24"/>
        </w:rPr>
        <w:t>（4）非监理人的原因，对工程暂停监理及恢复监理。</w:t>
      </w:r>
    </w:p>
    <w:p w14:paraId="0A0E72BF">
      <w:pPr>
        <w:spacing w:line="360" w:lineRule="auto"/>
        <w:ind w:firstLine="480" w:firstLineChars="200"/>
        <w:rPr>
          <w:rFonts w:ascii="宋体" w:hAnsi="宋体" w:cs="宋体"/>
          <w:sz w:val="24"/>
          <w:szCs w:val="24"/>
        </w:rPr>
      </w:pPr>
      <w:r>
        <w:rPr>
          <w:rFonts w:hint="eastAsia" w:ascii="宋体" w:hAnsi="宋体" w:cs="宋体"/>
          <w:sz w:val="24"/>
          <w:szCs w:val="24"/>
        </w:rPr>
        <w:t>8.1.2 基准日后，因颁布新的或修订原有</w:t>
      </w:r>
      <w:r>
        <w:rPr>
          <w:rFonts w:hint="eastAsia" w:ascii="宋体" w:hAnsi="宋体" w:cs="宋体"/>
          <w:sz w:val="24"/>
          <w:szCs w:val="24"/>
          <w:lang w:eastAsia="zh-CN"/>
        </w:rPr>
        <w:t>法律法规</w:t>
      </w:r>
      <w:r>
        <w:rPr>
          <w:rFonts w:hint="eastAsia" w:ascii="宋体" w:hAnsi="宋体" w:cs="宋体"/>
          <w:sz w:val="24"/>
          <w:szCs w:val="24"/>
        </w:rPr>
        <w:t>、规范和标准等引发合同变更情形的，按照上述约定进行调整。</w:t>
      </w:r>
    </w:p>
    <w:p w14:paraId="62689B4F">
      <w:pPr>
        <w:spacing w:line="360" w:lineRule="auto"/>
        <w:ind w:firstLine="482" w:firstLineChars="200"/>
        <w:rPr>
          <w:rFonts w:ascii="宋体" w:hAnsi="宋体" w:cs="宋体"/>
          <w:b/>
          <w:sz w:val="24"/>
          <w:szCs w:val="24"/>
        </w:rPr>
      </w:pPr>
      <w:r>
        <w:rPr>
          <w:rFonts w:hint="eastAsia" w:ascii="宋体" w:hAnsi="宋体" w:cs="宋体"/>
          <w:b/>
          <w:sz w:val="24"/>
          <w:szCs w:val="24"/>
        </w:rPr>
        <w:t>8.2 合理化建议</w:t>
      </w:r>
    </w:p>
    <w:p w14:paraId="12C08D7A">
      <w:pPr>
        <w:spacing w:line="360" w:lineRule="auto"/>
        <w:ind w:firstLine="480" w:firstLineChars="200"/>
        <w:rPr>
          <w:rFonts w:ascii="宋体" w:hAnsi="宋体" w:cs="宋体"/>
          <w:sz w:val="24"/>
          <w:szCs w:val="24"/>
        </w:rPr>
      </w:pPr>
      <w:r>
        <w:rPr>
          <w:rFonts w:hint="eastAsia" w:ascii="宋体" w:hAnsi="宋体" w:cs="宋体"/>
          <w:sz w:val="24"/>
          <w:szCs w:val="24"/>
        </w:rPr>
        <w:t>8.2.1 合同履行中，监理人可对委托人要求提出合理化建议。合理化建议应以书面形式提交委托人，被委托人采纳并构成变更的，执行第 8.1 款约定。</w:t>
      </w:r>
    </w:p>
    <w:p w14:paraId="643725BB">
      <w:pPr>
        <w:spacing w:line="360" w:lineRule="auto"/>
        <w:ind w:firstLine="480" w:firstLineChars="200"/>
        <w:rPr>
          <w:rFonts w:ascii="宋体" w:hAnsi="宋体" w:cs="宋体"/>
          <w:sz w:val="24"/>
          <w:szCs w:val="24"/>
        </w:rPr>
      </w:pPr>
      <w:r>
        <w:rPr>
          <w:rFonts w:hint="eastAsia" w:ascii="宋体" w:hAnsi="宋体" w:cs="宋体"/>
          <w:sz w:val="24"/>
          <w:szCs w:val="24"/>
        </w:rPr>
        <w:t>8.2.2 监理人提出的合理化建议降低了工程投资、缩短了施工期限或者提高了工程经济效益的，委托人应按专用合同条款中的约定给予奖励。</w:t>
      </w:r>
    </w:p>
    <w:p w14:paraId="58DBA871">
      <w:pPr>
        <w:pStyle w:val="4"/>
        <w:spacing w:before="0" w:after="0" w:line="360" w:lineRule="auto"/>
        <w:ind w:firstLine="138"/>
        <w:rPr>
          <w:rFonts w:ascii="宋体" w:hAnsi="宋体" w:cs="宋体"/>
          <w:sz w:val="24"/>
          <w:szCs w:val="24"/>
        </w:rPr>
      </w:pPr>
      <w:bookmarkStart w:id="255" w:name="_Toc15181"/>
      <w:bookmarkStart w:id="256" w:name="_Toc531820314"/>
      <w:bookmarkStart w:id="257" w:name="_Toc536778399"/>
      <w:bookmarkStart w:id="258" w:name="_Toc21776"/>
      <w:r>
        <w:rPr>
          <w:rFonts w:hint="eastAsia" w:ascii="宋体" w:hAnsi="宋体" w:cs="宋体"/>
          <w:sz w:val="24"/>
          <w:szCs w:val="24"/>
        </w:rPr>
        <w:t>9.合同价格与支付</w:t>
      </w:r>
      <w:bookmarkEnd w:id="255"/>
      <w:bookmarkEnd w:id="256"/>
      <w:bookmarkEnd w:id="257"/>
      <w:bookmarkEnd w:id="258"/>
    </w:p>
    <w:p w14:paraId="04C384CC">
      <w:pPr>
        <w:spacing w:line="360" w:lineRule="auto"/>
        <w:ind w:firstLine="482" w:firstLineChars="200"/>
        <w:rPr>
          <w:rFonts w:ascii="宋体" w:hAnsi="宋体" w:cs="宋体"/>
          <w:b/>
          <w:sz w:val="24"/>
          <w:szCs w:val="24"/>
        </w:rPr>
      </w:pPr>
      <w:r>
        <w:rPr>
          <w:rFonts w:hint="eastAsia" w:ascii="宋体" w:hAnsi="宋体" w:cs="宋体"/>
          <w:b/>
          <w:sz w:val="24"/>
          <w:szCs w:val="24"/>
        </w:rPr>
        <w:t>9.1 合同价格</w:t>
      </w:r>
    </w:p>
    <w:p w14:paraId="263BB9CB">
      <w:pPr>
        <w:spacing w:line="360" w:lineRule="auto"/>
        <w:ind w:firstLine="480" w:firstLineChars="200"/>
        <w:rPr>
          <w:rFonts w:ascii="宋体" w:hAnsi="宋体" w:cs="宋体"/>
          <w:sz w:val="24"/>
          <w:szCs w:val="24"/>
        </w:rPr>
      </w:pPr>
      <w:r>
        <w:rPr>
          <w:rFonts w:hint="eastAsia" w:ascii="宋体" w:hAnsi="宋体" w:cs="宋体"/>
          <w:sz w:val="24"/>
          <w:szCs w:val="24"/>
        </w:rPr>
        <w:t>9.1.1 本合同的价款确定方式、调整方式和风险范围划分，在专用合同条款中约定。</w:t>
      </w:r>
    </w:p>
    <w:p w14:paraId="57CA1368">
      <w:pPr>
        <w:spacing w:line="360" w:lineRule="auto"/>
        <w:ind w:firstLine="480" w:firstLineChars="200"/>
        <w:rPr>
          <w:rFonts w:ascii="宋体" w:hAnsi="宋体" w:cs="宋体"/>
          <w:sz w:val="24"/>
          <w:szCs w:val="24"/>
        </w:rPr>
      </w:pPr>
      <w:r>
        <w:rPr>
          <w:rFonts w:hint="eastAsia" w:ascii="宋体" w:hAnsi="宋体" w:cs="宋体"/>
          <w:sz w:val="24"/>
          <w:szCs w:val="24"/>
        </w:rPr>
        <w:t>9.1.2 除专用合同条款另有约定外，合同价格应当包括收集资料、踏勘现场、制订纲要、实施监理、编制监理文件等全部费用和国家规定的增值税税金。</w:t>
      </w:r>
    </w:p>
    <w:p w14:paraId="550671EC">
      <w:pPr>
        <w:spacing w:line="360" w:lineRule="auto"/>
        <w:ind w:firstLine="480" w:firstLineChars="200"/>
        <w:rPr>
          <w:rFonts w:ascii="宋体" w:hAnsi="宋体" w:cs="宋体"/>
          <w:sz w:val="24"/>
          <w:szCs w:val="24"/>
        </w:rPr>
      </w:pPr>
      <w:r>
        <w:rPr>
          <w:rFonts w:hint="eastAsia" w:ascii="宋体" w:hAnsi="宋体" w:cs="宋体"/>
          <w:sz w:val="24"/>
          <w:szCs w:val="24"/>
        </w:rPr>
        <w:t>9.1.3 委托人要求监理人进行外出考察、试验检测、专项咨询或专家评审时，相应费用不含在合同价格之中，由委托人另行支付。</w:t>
      </w:r>
    </w:p>
    <w:p w14:paraId="2F808170">
      <w:pPr>
        <w:spacing w:line="360" w:lineRule="auto"/>
        <w:ind w:firstLine="482" w:firstLineChars="200"/>
        <w:rPr>
          <w:rFonts w:ascii="宋体" w:hAnsi="宋体" w:cs="宋体"/>
          <w:b/>
          <w:sz w:val="24"/>
          <w:szCs w:val="24"/>
        </w:rPr>
      </w:pPr>
      <w:r>
        <w:rPr>
          <w:rFonts w:hint="eastAsia" w:ascii="宋体" w:hAnsi="宋体" w:cs="宋体"/>
          <w:b/>
          <w:sz w:val="24"/>
          <w:szCs w:val="24"/>
        </w:rPr>
        <w:t>9.2 预付款</w:t>
      </w:r>
    </w:p>
    <w:p w14:paraId="377A1352">
      <w:pPr>
        <w:spacing w:line="360" w:lineRule="auto"/>
        <w:ind w:firstLine="480" w:firstLineChars="200"/>
        <w:rPr>
          <w:rFonts w:ascii="宋体" w:hAnsi="宋体" w:cs="宋体"/>
          <w:sz w:val="24"/>
          <w:szCs w:val="24"/>
        </w:rPr>
      </w:pPr>
      <w:r>
        <w:rPr>
          <w:rFonts w:hint="eastAsia" w:ascii="宋体" w:hAnsi="宋体" w:cs="宋体"/>
          <w:sz w:val="24"/>
          <w:szCs w:val="24"/>
        </w:rPr>
        <w:t>9.2.1 预付款应专用于本工程的监理。预付款的额度、支付方式及抵扣方式在专用合同条款中约定。</w:t>
      </w:r>
    </w:p>
    <w:p w14:paraId="566F1C15">
      <w:pPr>
        <w:spacing w:line="360" w:lineRule="auto"/>
        <w:ind w:firstLine="480" w:firstLineChars="200"/>
        <w:rPr>
          <w:rFonts w:ascii="宋体" w:hAnsi="宋体" w:cs="宋体"/>
          <w:sz w:val="24"/>
          <w:szCs w:val="24"/>
        </w:rPr>
      </w:pPr>
      <w:r>
        <w:rPr>
          <w:rFonts w:hint="eastAsia" w:ascii="宋体" w:hAnsi="宋体" w:cs="宋体"/>
          <w:sz w:val="24"/>
          <w:szCs w:val="24"/>
        </w:rPr>
        <w:t>9.2.2 委托人应在收到预付款支付申请后 28 天内，将预付款支付给监理人；监理人应当提供等额的增值税发票。</w:t>
      </w:r>
    </w:p>
    <w:p w14:paraId="258A6880">
      <w:pPr>
        <w:spacing w:line="360" w:lineRule="auto"/>
        <w:ind w:firstLine="482" w:firstLineChars="200"/>
        <w:rPr>
          <w:rFonts w:ascii="宋体" w:hAnsi="宋体" w:cs="宋体"/>
          <w:b/>
          <w:sz w:val="24"/>
          <w:szCs w:val="24"/>
        </w:rPr>
      </w:pPr>
      <w:r>
        <w:rPr>
          <w:rFonts w:hint="eastAsia" w:ascii="宋体" w:hAnsi="宋体" w:cs="宋体"/>
          <w:b/>
          <w:sz w:val="24"/>
          <w:szCs w:val="24"/>
        </w:rPr>
        <w:t>9.3 中期支付</w:t>
      </w:r>
    </w:p>
    <w:p w14:paraId="7D53C882">
      <w:pPr>
        <w:spacing w:line="360" w:lineRule="auto"/>
        <w:ind w:firstLine="480" w:firstLineChars="200"/>
        <w:rPr>
          <w:rFonts w:ascii="宋体" w:hAnsi="宋体" w:cs="宋体"/>
          <w:sz w:val="24"/>
          <w:szCs w:val="24"/>
        </w:rPr>
      </w:pPr>
      <w:r>
        <w:rPr>
          <w:rFonts w:hint="eastAsia" w:ascii="宋体" w:hAnsi="宋体" w:cs="宋体"/>
          <w:sz w:val="24"/>
          <w:szCs w:val="24"/>
        </w:rPr>
        <w:t>9.3.1 监理人应按委托人批准或专用合同条款约定的格式及份数，向委托人提交中期支付申请，并附相应的支持性证明文件。</w:t>
      </w:r>
    </w:p>
    <w:p w14:paraId="765E3298">
      <w:pPr>
        <w:spacing w:line="360" w:lineRule="auto"/>
        <w:ind w:firstLine="480" w:firstLineChars="200"/>
        <w:rPr>
          <w:rFonts w:ascii="宋体" w:hAnsi="宋体" w:cs="宋体"/>
          <w:sz w:val="24"/>
          <w:szCs w:val="24"/>
        </w:rPr>
      </w:pPr>
      <w:r>
        <w:rPr>
          <w:rFonts w:hint="eastAsia" w:ascii="宋体" w:hAnsi="宋体" w:cs="宋体"/>
          <w:sz w:val="24"/>
          <w:szCs w:val="24"/>
        </w:rPr>
        <w:t>9.3.2 委托人应在收到中期支付申请后的 28 天内，将应付款项支付给监理人；监理人应当提供等额的增值税发票。委托人未能在前述时间内完成审批或不予答复的，视为委托人同意中期支付申请。委托人不按期支付的，按专用合同条款的约定支付逾期付款违约金。</w:t>
      </w:r>
    </w:p>
    <w:p w14:paraId="23087156">
      <w:pPr>
        <w:spacing w:line="360" w:lineRule="auto"/>
        <w:ind w:firstLine="480" w:firstLineChars="200"/>
        <w:rPr>
          <w:rFonts w:ascii="宋体" w:hAnsi="宋体" w:cs="宋体"/>
          <w:sz w:val="24"/>
          <w:szCs w:val="24"/>
        </w:rPr>
      </w:pPr>
      <w:r>
        <w:rPr>
          <w:rFonts w:hint="eastAsia" w:ascii="宋体" w:hAnsi="宋体" w:cs="宋体"/>
          <w:sz w:val="24"/>
          <w:szCs w:val="24"/>
        </w:rPr>
        <w:t>9.3.3 中期支付涉及政府投资资金的，按照国库集中支付等国家相关规定和专用合同条款的约定执行。</w:t>
      </w:r>
    </w:p>
    <w:p w14:paraId="45011FC6">
      <w:pPr>
        <w:spacing w:line="360" w:lineRule="auto"/>
        <w:ind w:firstLine="482" w:firstLineChars="200"/>
        <w:rPr>
          <w:rFonts w:ascii="宋体" w:hAnsi="宋体" w:cs="宋体"/>
          <w:b/>
          <w:sz w:val="24"/>
          <w:szCs w:val="24"/>
        </w:rPr>
      </w:pPr>
      <w:r>
        <w:rPr>
          <w:rFonts w:hint="eastAsia" w:ascii="宋体" w:hAnsi="宋体" w:cs="宋体"/>
          <w:b/>
          <w:sz w:val="24"/>
          <w:szCs w:val="24"/>
        </w:rPr>
        <w:t>9.4 费用结算</w:t>
      </w:r>
    </w:p>
    <w:p w14:paraId="5C1AACFA">
      <w:pPr>
        <w:spacing w:line="360" w:lineRule="auto"/>
        <w:ind w:firstLine="480" w:firstLineChars="200"/>
        <w:rPr>
          <w:rFonts w:ascii="宋体" w:hAnsi="宋体" w:cs="宋体"/>
          <w:sz w:val="24"/>
          <w:szCs w:val="24"/>
        </w:rPr>
      </w:pPr>
      <w:r>
        <w:rPr>
          <w:rFonts w:hint="eastAsia" w:ascii="宋体" w:hAnsi="宋体" w:cs="宋体"/>
          <w:sz w:val="24"/>
          <w:szCs w:val="24"/>
        </w:rPr>
        <w:t>9.4.1 合同工作完成后，监理人可按专用合同条款约定的份数和期限，向委托人提交监理费用结算申请，并提供相关证明材料。</w:t>
      </w:r>
    </w:p>
    <w:p w14:paraId="2F20936F">
      <w:pPr>
        <w:spacing w:line="360" w:lineRule="auto"/>
        <w:ind w:firstLine="480" w:firstLineChars="200"/>
        <w:rPr>
          <w:rFonts w:ascii="宋体" w:hAnsi="宋体" w:cs="宋体"/>
          <w:sz w:val="24"/>
          <w:szCs w:val="24"/>
        </w:rPr>
      </w:pPr>
      <w:r>
        <w:rPr>
          <w:rFonts w:hint="eastAsia" w:ascii="宋体" w:hAnsi="宋体" w:cs="宋体"/>
          <w:sz w:val="24"/>
          <w:szCs w:val="24"/>
        </w:rPr>
        <w:t>9.4.2 委托人应在收到费用结算申请后的 28 天内，将应付款项支付给监理人；监理人应当提供等额的增值税发票。委托人未能在前述时间内完成审批或不予答复的，视为委托人同意费用结算申请。委托人不按期支付的，按专用合同条款的约定支付逾期付款违约金。</w:t>
      </w:r>
    </w:p>
    <w:p w14:paraId="78CC1F01">
      <w:pPr>
        <w:spacing w:line="360" w:lineRule="auto"/>
        <w:ind w:firstLine="480" w:firstLineChars="200"/>
        <w:rPr>
          <w:rFonts w:ascii="宋体" w:hAnsi="宋体" w:cs="宋体"/>
          <w:sz w:val="24"/>
          <w:szCs w:val="24"/>
        </w:rPr>
      </w:pPr>
      <w:r>
        <w:rPr>
          <w:rFonts w:hint="eastAsia" w:ascii="宋体" w:hAnsi="宋体" w:cs="宋体"/>
          <w:sz w:val="24"/>
          <w:szCs w:val="24"/>
        </w:rPr>
        <w:t>9.4.3 委托人对费用结算申请内容有异议的，有权要求监理人进行修正和提供补充资料，由监理人重新提交。监理人对此有异议的，按第 12 条的约定执行。</w:t>
      </w:r>
    </w:p>
    <w:p w14:paraId="470F576E">
      <w:pPr>
        <w:spacing w:line="360" w:lineRule="auto"/>
        <w:ind w:firstLine="480" w:firstLineChars="200"/>
        <w:rPr>
          <w:rFonts w:ascii="宋体" w:hAnsi="宋体" w:cs="宋体"/>
          <w:sz w:val="24"/>
          <w:szCs w:val="24"/>
        </w:rPr>
      </w:pPr>
      <w:r>
        <w:rPr>
          <w:rFonts w:hint="eastAsia" w:ascii="宋体" w:hAnsi="宋体" w:cs="宋体"/>
          <w:sz w:val="24"/>
          <w:szCs w:val="24"/>
        </w:rPr>
        <w:t>9.4.4 最终结清付款涉及政府投资资金的，按第 9.3.3 项的约定执行。</w:t>
      </w:r>
    </w:p>
    <w:p w14:paraId="64FF9829">
      <w:pPr>
        <w:pStyle w:val="4"/>
        <w:spacing w:before="0" w:after="0" w:line="360" w:lineRule="auto"/>
        <w:ind w:firstLine="138"/>
        <w:rPr>
          <w:rFonts w:ascii="宋体" w:hAnsi="宋体" w:cs="宋体"/>
          <w:sz w:val="24"/>
          <w:szCs w:val="24"/>
        </w:rPr>
      </w:pPr>
      <w:bookmarkStart w:id="259" w:name="_Toc531820315"/>
      <w:bookmarkStart w:id="260" w:name="_Toc19922"/>
      <w:bookmarkStart w:id="261" w:name="_Toc13375"/>
      <w:bookmarkStart w:id="262" w:name="_Toc9563"/>
      <w:bookmarkStart w:id="263" w:name="_Toc536778400"/>
      <w:r>
        <w:rPr>
          <w:rFonts w:hint="eastAsia" w:ascii="宋体" w:hAnsi="宋体" w:cs="宋体"/>
          <w:sz w:val="24"/>
          <w:szCs w:val="24"/>
        </w:rPr>
        <w:t>10.不可抗力</w:t>
      </w:r>
      <w:bookmarkEnd w:id="259"/>
      <w:bookmarkEnd w:id="260"/>
      <w:bookmarkEnd w:id="261"/>
      <w:bookmarkEnd w:id="262"/>
      <w:bookmarkEnd w:id="263"/>
    </w:p>
    <w:p w14:paraId="00C86B2B">
      <w:pPr>
        <w:spacing w:line="360" w:lineRule="auto"/>
        <w:ind w:firstLine="482" w:firstLineChars="200"/>
        <w:rPr>
          <w:rFonts w:ascii="宋体" w:hAnsi="宋体" w:cs="宋体"/>
          <w:b/>
          <w:sz w:val="24"/>
          <w:szCs w:val="24"/>
        </w:rPr>
      </w:pPr>
      <w:r>
        <w:rPr>
          <w:rFonts w:hint="eastAsia" w:ascii="宋体" w:hAnsi="宋体" w:cs="宋体"/>
          <w:b/>
          <w:sz w:val="24"/>
          <w:szCs w:val="24"/>
        </w:rPr>
        <w:t>10.1 不可抗力的确认</w:t>
      </w:r>
    </w:p>
    <w:p w14:paraId="73F056A1">
      <w:pPr>
        <w:spacing w:line="360" w:lineRule="auto"/>
        <w:ind w:firstLine="480" w:firstLineChars="200"/>
        <w:rPr>
          <w:rFonts w:ascii="宋体" w:hAnsi="宋体" w:cs="宋体"/>
          <w:sz w:val="24"/>
          <w:szCs w:val="24"/>
        </w:rPr>
      </w:pPr>
      <w:r>
        <w:rPr>
          <w:rFonts w:hint="eastAsia" w:ascii="宋体" w:hAnsi="宋体" w:cs="宋体"/>
          <w:sz w:val="24"/>
          <w:szCs w:val="24"/>
        </w:rPr>
        <w:t>10.1.1 不可抗力是指监理人和委托人在订立合同时不可预见，在履行合同过程中不可避免发生并不能克服的自然灾害和社会性突发事件，如地震、海啸、瘟疫、水灾、骚乱、暴动、战争和专用合同条款约定的其他情形。</w:t>
      </w:r>
    </w:p>
    <w:p w14:paraId="4D7B1406">
      <w:pPr>
        <w:spacing w:line="360" w:lineRule="auto"/>
        <w:ind w:firstLine="480" w:firstLineChars="200"/>
        <w:rPr>
          <w:rFonts w:ascii="宋体" w:hAnsi="宋体" w:cs="宋体"/>
          <w:sz w:val="24"/>
          <w:szCs w:val="24"/>
        </w:rPr>
      </w:pPr>
      <w:r>
        <w:rPr>
          <w:rFonts w:hint="eastAsia" w:ascii="宋体" w:hAnsi="宋体" w:cs="宋体"/>
          <w:sz w:val="24"/>
          <w:szCs w:val="24"/>
        </w:rPr>
        <w:t>10.1.2 不可抗力发生后，委托人和监理人应及时认真统计所造成的损失，收集不可抗力造成损失的证据。合同双方对是否属于不可抗力或其损失的意见不一致的，由合同双方协商确定。</w:t>
      </w:r>
    </w:p>
    <w:p w14:paraId="3843DADC">
      <w:pPr>
        <w:spacing w:line="360" w:lineRule="auto"/>
        <w:ind w:firstLine="482" w:firstLineChars="200"/>
        <w:rPr>
          <w:rFonts w:ascii="宋体" w:hAnsi="宋体" w:cs="宋体"/>
          <w:b/>
          <w:sz w:val="24"/>
          <w:szCs w:val="24"/>
        </w:rPr>
      </w:pPr>
      <w:r>
        <w:rPr>
          <w:rFonts w:hint="eastAsia" w:ascii="宋体" w:hAnsi="宋体" w:cs="宋体"/>
          <w:b/>
          <w:sz w:val="24"/>
          <w:szCs w:val="24"/>
        </w:rPr>
        <w:t>10.2 不可抗力的通知</w:t>
      </w:r>
    </w:p>
    <w:p w14:paraId="13121D2F">
      <w:pPr>
        <w:spacing w:line="360" w:lineRule="auto"/>
        <w:ind w:firstLine="480" w:firstLineChars="200"/>
        <w:rPr>
          <w:rFonts w:ascii="宋体" w:hAnsi="宋体" w:cs="宋体"/>
          <w:sz w:val="24"/>
          <w:szCs w:val="24"/>
        </w:rPr>
      </w:pPr>
      <w:r>
        <w:rPr>
          <w:rFonts w:hint="eastAsia" w:ascii="宋体" w:hAnsi="宋体" w:cs="宋体"/>
          <w:sz w:val="24"/>
          <w:szCs w:val="24"/>
        </w:rPr>
        <w:t>10.2.1 合同一方当事人遇到不可抗力事件，使其履行合同义务受到阻碍时，应立即通知合同另一方当事人，书面说明不可抗力和受阻碍的详细情况，并提供必要的证明。10.2.2 如不可抗力持续发生，合同一方当事人应及时向合同另一方当事人提交中间报告，说明不可抗力和履行合同受阻的情况，并于不可抗力事件结束后 28 天内提交最终报告及有关资料。</w:t>
      </w:r>
    </w:p>
    <w:p w14:paraId="40BA7BB0">
      <w:pPr>
        <w:spacing w:line="360" w:lineRule="auto"/>
        <w:ind w:firstLine="482" w:firstLineChars="200"/>
        <w:rPr>
          <w:rFonts w:ascii="宋体" w:hAnsi="宋体" w:cs="宋体"/>
          <w:b/>
          <w:sz w:val="24"/>
          <w:szCs w:val="24"/>
        </w:rPr>
      </w:pPr>
      <w:r>
        <w:rPr>
          <w:rFonts w:hint="eastAsia" w:ascii="宋体" w:hAnsi="宋体" w:cs="宋体"/>
          <w:b/>
          <w:sz w:val="24"/>
          <w:szCs w:val="24"/>
        </w:rPr>
        <w:t>10.3 不可抗力后果及其处理</w:t>
      </w:r>
    </w:p>
    <w:p w14:paraId="4AD5D95C">
      <w:pPr>
        <w:spacing w:line="360" w:lineRule="auto"/>
        <w:ind w:firstLine="480" w:firstLineChars="200"/>
        <w:rPr>
          <w:rFonts w:ascii="宋体" w:hAnsi="宋体" w:cs="宋体"/>
          <w:sz w:val="24"/>
          <w:szCs w:val="24"/>
        </w:rPr>
      </w:pPr>
      <w:r>
        <w:rPr>
          <w:rFonts w:hint="eastAsia" w:ascii="宋体" w:hAnsi="宋体" w:cs="宋体"/>
          <w:sz w:val="24"/>
          <w:szCs w:val="24"/>
        </w:rPr>
        <w:t>10.3.1 不可抗力引起的后果及其损失，应由合同当事人依据法律规定各自承担。不可抗力发生前已完成的监理工作，应当按照合同约定进行支付。</w:t>
      </w:r>
    </w:p>
    <w:p w14:paraId="3583CD0C">
      <w:pPr>
        <w:spacing w:line="360" w:lineRule="auto"/>
        <w:ind w:firstLine="480" w:firstLineChars="200"/>
        <w:rPr>
          <w:rFonts w:ascii="宋体" w:hAnsi="宋体" w:cs="宋体"/>
          <w:sz w:val="24"/>
          <w:szCs w:val="24"/>
        </w:rPr>
      </w:pPr>
      <w:r>
        <w:rPr>
          <w:rFonts w:hint="eastAsia" w:ascii="宋体" w:hAnsi="宋体" w:cs="宋体"/>
          <w:sz w:val="24"/>
          <w:szCs w:val="24"/>
        </w:rPr>
        <w:t>10.3.2 不可抗力发生后，合同当事人应当采取有效措施避免损失进一步扩大，如未采取有效措施致使损失扩大的，应当自行承担扩大部分的损失。</w:t>
      </w:r>
    </w:p>
    <w:p w14:paraId="7E72D07F">
      <w:pPr>
        <w:spacing w:line="360" w:lineRule="auto"/>
        <w:ind w:firstLine="480" w:firstLineChars="200"/>
        <w:rPr>
          <w:rFonts w:ascii="宋体" w:hAnsi="宋体" w:cs="宋体"/>
          <w:sz w:val="24"/>
          <w:szCs w:val="24"/>
        </w:rPr>
      </w:pPr>
      <w:r>
        <w:rPr>
          <w:rFonts w:hint="eastAsia" w:ascii="宋体" w:hAnsi="宋体" w:cs="宋体"/>
          <w:sz w:val="24"/>
          <w:szCs w:val="24"/>
        </w:rPr>
        <w:t>10.3.3 因一方当事人迟延履行合同义务，致使迟延履行期间遭遇不可抗力的，应由该当事人承担全部损失。</w:t>
      </w:r>
    </w:p>
    <w:p w14:paraId="49A31F86">
      <w:pPr>
        <w:pStyle w:val="4"/>
        <w:spacing w:before="0" w:after="0" w:line="360" w:lineRule="auto"/>
        <w:ind w:firstLine="138"/>
        <w:rPr>
          <w:rFonts w:ascii="宋体" w:hAnsi="宋体" w:cs="宋体"/>
          <w:sz w:val="24"/>
          <w:szCs w:val="24"/>
        </w:rPr>
      </w:pPr>
      <w:bookmarkStart w:id="264" w:name="_Toc531820316"/>
      <w:bookmarkStart w:id="265" w:name="_Toc21718"/>
      <w:bookmarkStart w:id="266" w:name="_Toc536778401"/>
      <w:bookmarkStart w:id="267" w:name="_Toc11995"/>
      <w:bookmarkStart w:id="268" w:name="_Toc28915"/>
      <w:r>
        <w:rPr>
          <w:rFonts w:hint="eastAsia" w:ascii="宋体" w:hAnsi="宋体" w:cs="宋体"/>
          <w:sz w:val="24"/>
          <w:szCs w:val="24"/>
        </w:rPr>
        <w:t>11.违约</w:t>
      </w:r>
      <w:bookmarkEnd w:id="264"/>
      <w:bookmarkEnd w:id="265"/>
      <w:bookmarkEnd w:id="266"/>
      <w:bookmarkEnd w:id="267"/>
      <w:bookmarkEnd w:id="268"/>
    </w:p>
    <w:p w14:paraId="683332D2">
      <w:pPr>
        <w:spacing w:line="360" w:lineRule="auto"/>
        <w:ind w:firstLine="482" w:firstLineChars="200"/>
        <w:rPr>
          <w:rFonts w:ascii="宋体" w:hAnsi="宋体" w:cs="宋体"/>
          <w:b/>
          <w:sz w:val="24"/>
          <w:szCs w:val="24"/>
        </w:rPr>
      </w:pPr>
      <w:r>
        <w:rPr>
          <w:rFonts w:hint="eastAsia" w:ascii="宋体" w:hAnsi="宋体" w:cs="宋体"/>
          <w:b/>
          <w:sz w:val="24"/>
          <w:szCs w:val="24"/>
        </w:rPr>
        <w:t>11.1 监理人违约</w:t>
      </w:r>
    </w:p>
    <w:p w14:paraId="3E9C7EEA">
      <w:pPr>
        <w:spacing w:line="360" w:lineRule="auto"/>
        <w:ind w:firstLine="480" w:firstLineChars="200"/>
        <w:rPr>
          <w:rFonts w:ascii="宋体" w:hAnsi="宋体" w:cs="宋体"/>
          <w:sz w:val="24"/>
          <w:szCs w:val="24"/>
        </w:rPr>
      </w:pPr>
      <w:r>
        <w:rPr>
          <w:rFonts w:hint="eastAsia" w:ascii="宋体" w:hAnsi="宋体" w:cs="宋体"/>
          <w:sz w:val="24"/>
          <w:szCs w:val="24"/>
        </w:rPr>
        <w:t>11.1.1 合同履行中发生下列情况之一的，属监理人违约：</w:t>
      </w:r>
    </w:p>
    <w:p w14:paraId="39DA3511">
      <w:pPr>
        <w:spacing w:line="360" w:lineRule="auto"/>
        <w:ind w:firstLine="480" w:firstLineChars="200"/>
        <w:rPr>
          <w:rFonts w:ascii="宋体" w:hAnsi="宋体" w:cs="宋体"/>
          <w:sz w:val="24"/>
          <w:szCs w:val="24"/>
        </w:rPr>
      </w:pPr>
      <w:r>
        <w:rPr>
          <w:rFonts w:hint="eastAsia" w:ascii="宋体" w:hAnsi="宋体" w:cs="宋体"/>
          <w:sz w:val="24"/>
          <w:szCs w:val="24"/>
        </w:rPr>
        <w:t>（1）监理文件不符合规范标准以及合同约定；</w:t>
      </w:r>
    </w:p>
    <w:p w14:paraId="320B3CF2">
      <w:pPr>
        <w:spacing w:line="360" w:lineRule="auto"/>
        <w:ind w:firstLine="480" w:firstLineChars="200"/>
        <w:rPr>
          <w:rFonts w:ascii="宋体" w:hAnsi="宋体" w:cs="宋体"/>
          <w:sz w:val="24"/>
          <w:szCs w:val="24"/>
        </w:rPr>
      </w:pPr>
      <w:r>
        <w:rPr>
          <w:rFonts w:hint="eastAsia" w:ascii="宋体" w:hAnsi="宋体" w:cs="宋体"/>
          <w:sz w:val="24"/>
          <w:szCs w:val="24"/>
        </w:rPr>
        <w:t>（2）监理人转让监理工作；</w:t>
      </w:r>
    </w:p>
    <w:p w14:paraId="2AAAC0B3">
      <w:pPr>
        <w:spacing w:line="360" w:lineRule="auto"/>
        <w:ind w:firstLine="480" w:firstLineChars="200"/>
        <w:rPr>
          <w:rFonts w:ascii="宋体" w:hAnsi="宋体" w:cs="宋体"/>
          <w:sz w:val="24"/>
          <w:szCs w:val="24"/>
        </w:rPr>
      </w:pPr>
      <w:r>
        <w:rPr>
          <w:rFonts w:hint="eastAsia" w:ascii="宋体" w:hAnsi="宋体" w:cs="宋体"/>
          <w:sz w:val="24"/>
          <w:szCs w:val="24"/>
        </w:rPr>
        <w:t>（3）监理人未按合同约定实施监理并造成工程损失；</w:t>
      </w:r>
    </w:p>
    <w:p w14:paraId="4EC393E0">
      <w:pPr>
        <w:spacing w:line="360" w:lineRule="auto"/>
        <w:ind w:firstLine="480" w:firstLineChars="200"/>
        <w:rPr>
          <w:rFonts w:ascii="宋体" w:hAnsi="宋体" w:cs="宋体"/>
          <w:sz w:val="24"/>
          <w:szCs w:val="24"/>
        </w:rPr>
      </w:pPr>
      <w:r>
        <w:rPr>
          <w:rFonts w:hint="eastAsia" w:ascii="宋体" w:hAnsi="宋体" w:cs="宋体"/>
          <w:sz w:val="24"/>
          <w:szCs w:val="24"/>
        </w:rPr>
        <w:t>（4）监理人无法履行或停止履行合同；</w:t>
      </w:r>
    </w:p>
    <w:p w14:paraId="5983271D">
      <w:pPr>
        <w:spacing w:line="360" w:lineRule="auto"/>
        <w:ind w:firstLine="480" w:firstLineChars="200"/>
        <w:rPr>
          <w:rFonts w:ascii="宋体" w:hAnsi="宋体" w:cs="宋体"/>
          <w:sz w:val="24"/>
          <w:szCs w:val="24"/>
        </w:rPr>
      </w:pPr>
      <w:r>
        <w:rPr>
          <w:rFonts w:hint="eastAsia" w:ascii="宋体" w:hAnsi="宋体" w:cs="宋体"/>
          <w:sz w:val="24"/>
          <w:szCs w:val="24"/>
        </w:rPr>
        <w:t>（5）监理人不履行合同约定的其他义务。</w:t>
      </w:r>
    </w:p>
    <w:p w14:paraId="3F70FB1C">
      <w:pPr>
        <w:spacing w:line="360" w:lineRule="auto"/>
        <w:ind w:firstLine="480" w:firstLineChars="200"/>
        <w:rPr>
          <w:rFonts w:ascii="宋体" w:hAnsi="宋体" w:cs="宋体"/>
          <w:sz w:val="24"/>
          <w:szCs w:val="24"/>
        </w:rPr>
      </w:pPr>
      <w:r>
        <w:rPr>
          <w:rFonts w:hint="eastAsia" w:ascii="宋体" w:hAnsi="宋体" w:cs="宋体"/>
          <w:sz w:val="24"/>
          <w:szCs w:val="24"/>
        </w:rPr>
        <w:t>11.1.2 监理人发生违约情况时，委托人可向监理人发出整改通知，要求其在限定期限内纠正；逾期仍不纠正的，委托人有权解除合同并向监理人发出解除合同通知。监理人应当承担由于违约所造成的费用增加、周期延误和委托人损失等。</w:t>
      </w:r>
    </w:p>
    <w:p w14:paraId="01E58A00">
      <w:pPr>
        <w:spacing w:line="360" w:lineRule="auto"/>
        <w:ind w:firstLine="482" w:firstLineChars="200"/>
        <w:rPr>
          <w:rFonts w:ascii="宋体" w:hAnsi="宋体" w:cs="宋体"/>
          <w:b/>
          <w:sz w:val="24"/>
          <w:szCs w:val="24"/>
        </w:rPr>
      </w:pPr>
      <w:r>
        <w:rPr>
          <w:rFonts w:hint="eastAsia" w:ascii="宋体" w:hAnsi="宋体" w:cs="宋体"/>
          <w:b/>
          <w:sz w:val="24"/>
          <w:szCs w:val="24"/>
        </w:rPr>
        <w:t>11.2 委托人违约</w:t>
      </w:r>
    </w:p>
    <w:p w14:paraId="4F6F4B7F">
      <w:pPr>
        <w:spacing w:line="360" w:lineRule="auto"/>
        <w:ind w:firstLine="480" w:firstLineChars="200"/>
        <w:rPr>
          <w:rFonts w:ascii="宋体" w:hAnsi="宋体" w:cs="宋体"/>
          <w:sz w:val="24"/>
          <w:szCs w:val="24"/>
        </w:rPr>
      </w:pPr>
      <w:r>
        <w:rPr>
          <w:rFonts w:hint="eastAsia" w:ascii="宋体" w:hAnsi="宋体" w:cs="宋体"/>
          <w:sz w:val="24"/>
          <w:szCs w:val="24"/>
        </w:rPr>
        <w:t>11.2.1 合同履行中发生下列情况之一的，属委托人违约：</w:t>
      </w:r>
    </w:p>
    <w:p w14:paraId="44EE39A5">
      <w:pPr>
        <w:spacing w:line="360" w:lineRule="auto"/>
        <w:ind w:firstLine="480" w:firstLineChars="200"/>
        <w:rPr>
          <w:rFonts w:ascii="宋体" w:hAnsi="宋体" w:cs="宋体"/>
          <w:sz w:val="24"/>
          <w:szCs w:val="24"/>
        </w:rPr>
      </w:pPr>
      <w:r>
        <w:rPr>
          <w:rFonts w:hint="eastAsia" w:ascii="宋体" w:hAnsi="宋体" w:cs="宋体"/>
          <w:sz w:val="24"/>
          <w:szCs w:val="24"/>
        </w:rPr>
        <w:t>（1）委托人未按合同约定支付监理报酬；</w:t>
      </w:r>
    </w:p>
    <w:p w14:paraId="73041B04">
      <w:pPr>
        <w:spacing w:line="360" w:lineRule="auto"/>
        <w:ind w:firstLine="480" w:firstLineChars="200"/>
        <w:rPr>
          <w:rFonts w:ascii="宋体" w:hAnsi="宋体" w:cs="宋体"/>
          <w:sz w:val="24"/>
          <w:szCs w:val="24"/>
        </w:rPr>
      </w:pPr>
      <w:r>
        <w:rPr>
          <w:rFonts w:hint="eastAsia" w:ascii="宋体" w:hAnsi="宋体" w:cs="宋体"/>
          <w:sz w:val="24"/>
          <w:szCs w:val="24"/>
        </w:rPr>
        <w:t>（2）委托人原因造成监理停止；</w:t>
      </w:r>
    </w:p>
    <w:p w14:paraId="5F4050DC">
      <w:pPr>
        <w:spacing w:line="360" w:lineRule="auto"/>
        <w:ind w:firstLine="480" w:firstLineChars="200"/>
        <w:rPr>
          <w:rFonts w:ascii="宋体" w:hAnsi="宋体" w:cs="宋体"/>
          <w:sz w:val="24"/>
          <w:szCs w:val="24"/>
        </w:rPr>
      </w:pPr>
      <w:r>
        <w:rPr>
          <w:rFonts w:hint="eastAsia" w:ascii="宋体" w:hAnsi="宋体" w:cs="宋体"/>
          <w:sz w:val="24"/>
          <w:szCs w:val="24"/>
        </w:rPr>
        <w:t>（3）委托人无法履行或停止履行合同；</w:t>
      </w:r>
    </w:p>
    <w:p w14:paraId="62294002">
      <w:pPr>
        <w:spacing w:line="360" w:lineRule="auto"/>
        <w:ind w:firstLine="480" w:firstLineChars="200"/>
        <w:rPr>
          <w:rFonts w:ascii="宋体" w:hAnsi="宋体" w:cs="宋体"/>
          <w:sz w:val="24"/>
          <w:szCs w:val="24"/>
        </w:rPr>
      </w:pPr>
      <w:r>
        <w:rPr>
          <w:rFonts w:hint="eastAsia" w:ascii="宋体" w:hAnsi="宋体" w:cs="宋体"/>
          <w:sz w:val="24"/>
          <w:szCs w:val="24"/>
        </w:rPr>
        <w:t>（4）委托人不履行合同约定的其他义务。</w:t>
      </w:r>
    </w:p>
    <w:p w14:paraId="194CC7AF">
      <w:pPr>
        <w:spacing w:line="360" w:lineRule="auto"/>
        <w:ind w:firstLine="480" w:firstLineChars="200"/>
        <w:rPr>
          <w:rFonts w:ascii="宋体" w:hAnsi="宋体" w:cs="宋体"/>
          <w:sz w:val="24"/>
          <w:szCs w:val="24"/>
        </w:rPr>
      </w:pPr>
      <w:r>
        <w:rPr>
          <w:rFonts w:hint="eastAsia" w:ascii="宋体" w:hAnsi="宋体" w:cs="宋体"/>
          <w:sz w:val="24"/>
          <w:szCs w:val="24"/>
        </w:rPr>
        <w:t>11.2.2 委托人发生违约情况时，监理人可向委托人发出暂停监理通知，要求其在限定期限内纠正；逾期仍不纠正的，监理人有权解除合同并向委托人发出解除合同通知。委托人应当承担由于违约所造成的费用增加、周期延误和监理人损失等。</w:t>
      </w:r>
    </w:p>
    <w:p w14:paraId="5370CF95">
      <w:pPr>
        <w:spacing w:line="360" w:lineRule="auto"/>
        <w:ind w:firstLine="482" w:firstLineChars="200"/>
        <w:rPr>
          <w:rFonts w:ascii="宋体" w:hAnsi="宋体" w:cs="宋体"/>
          <w:b/>
          <w:sz w:val="24"/>
          <w:szCs w:val="24"/>
        </w:rPr>
      </w:pPr>
      <w:r>
        <w:rPr>
          <w:rFonts w:hint="eastAsia" w:ascii="宋体" w:hAnsi="宋体" w:cs="宋体"/>
          <w:b/>
          <w:sz w:val="24"/>
          <w:szCs w:val="24"/>
        </w:rPr>
        <w:t>11.3 第三人造成的违约</w:t>
      </w:r>
    </w:p>
    <w:p w14:paraId="01FBB44E">
      <w:pPr>
        <w:spacing w:line="360" w:lineRule="auto"/>
        <w:ind w:firstLine="480" w:firstLineChars="200"/>
        <w:rPr>
          <w:rFonts w:ascii="宋体" w:hAnsi="宋体" w:cs="宋体"/>
          <w:sz w:val="24"/>
          <w:szCs w:val="24"/>
        </w:rPr>
      </w:pPr>
      <w:r>
        <w:rPr>
          <w:rFonts w:hint="eastAsia" w:ascii="宋体" w:hAnsi="宋体" w:cs="宋体"/>
          <w:sz w:val="24"/>
          <w:szCs w:val="24"/>
        </w:rPr>
        <w:t>在履行合同过程中，一方当事人因第三人的原因造成违约的，应当向对方当事人承担违约责任。一方当事人和第三人之间的纠纷，依照法律规定或者按照约定解决。</w:t>
      </w:r>
    </w:p>
    <w:p w14:paraId="23C2E12F">
      <w:pPr>
        <w:pStyle w:val="4"/>
        <w:spacing w:before="0" w:after="0" w:line="360" w:lineRule="auto"/>
        <w:ind w:firstLine="138"/>
        <w:rPr>
          <w:rFonts w:ascii="宋体" w:hAnsi="宋体" w:cs="宋体"/>
          <w:sz w:val="24"/>
          <w:szCs w:val="24"/>
        </w:rPr>
      </w:pPr>
      <w:bookmarkStart w:id="269" w:name="_Toc1142"/>
      <w:bookmarkStart w:id="270" w:name="_Toc536778402"/>
      <w:bookmarkStart w:id="271" w:name="_Toc531820317"/>
      <w:bookmarkStart w:id="272" w:name="_Toc13445"/>
      <w:bookmarkStart w:id="273" w:name="_Toc20612"/>
      <w:r>
        <w:rPr>
          <w:rFonts w:hint="eastAsia" w:ascii="宋体" w:hAnsi="宋体" w:cs="宋体"/>
          <w:sz w:val="24"/>
          <w:szCs w:val="24"/>
        </w:rPr>
        <w:t>12.争议的解决</w:t>
      </w:r>
      <w:bookmarkEnd w:id="269"/>
      <w:bookmarkEnd w:id="270"/>
      <w:bookmarkEnd w:id="271"/>
      <w:bookmarkEnd w:id="272"/>
      <w:bookmarkEnd w:id="273"/>
    </w:p>
    <w:p w14:paraId="323ACEB4">
      <w:pPr>
        <w:spacing w:line="360" w:lineRule="auto"/>
        <w:ind w:firstLine="480" w:firstLineChars="200"/>
        <w:rPr>
          <w:rFonts w:ascii="宋体" w:hAnsi="宋体" w:cs="宋体"/>
          <w:sz w:val="24"/>
          <w:szCs w:val="24"/>
        </w:rPr>
      </w:pPr>
      <w:r>
        <w:rPr>
          <w:rFonts w:hint="eastAsia" w:ascii="宋体" w:hAnsi="宋体" w:cs="宋体"/>
          <w:sz w:val="24"/>
          <w:szCs w:val="24"/>
        </w:rPr>
        <w:t>委托人和监理人在履行合同</w:t>
      </w:r>
      <w:r>
        <w:rPr>
          <w:rFonts w:hint="eastAsia" w:ascii="宋体" w:hAnsi="宋体" w:cs="宋体"/>
          <w:sz w:val="24"/>
          <w:szCs w:val="24"/>
          <w:lang w:eastAsia="zh-CN"/>
        </w:rPr>
        <w:t>过程中</w:t>
      </w:r>
      <w:r>
        <w:rPr>
          <w:rFonts w:hint="eastAsia" w:ascii="宋体" w:hAnsi="宋体" w:cs="宋体"/>
          <w:sz w:val="24"/>
          <w:szCs w:val="24"/>
        </w:rPr>
        <w:t>发生争议的，可以友好协商解决。合同当事人友好协商解决不成的，可在专用合同条款中约定下列一种方式解决：</w:t>
      </w:r>
    </w:p>
    <w:p w14:paraId="4D418E44">
      <w:pPr>
        <w:spacing w:line="360" w:lineRule="auto"/>
        <w:ind w:firstLine="480" w:firstLineChars="200"/>
        <w:rPr>
          <w:rFonts w:ascii="宋体" w:hAnsi="宋体" w:cs="宋体"/>
          <w:sz w:val="24"/>
          <w:szCs w:val="24"/>
        </w:rPr>
      </w:pPr>
      <w:r>
        <w:rPr>
          <w:rFonts w:hint="eastAsia" w:ascii="宋体" w:hAnsi="宋体" w:cs="宋体"/>
          <w:sz w:val="24"/>
          <w:szCs w:val="24"/>
        </w:rPr>
        <w:t>（1）向约定的仲裁委员会申请仲裁；</w:t>
      </w:r>
    </w:p>
    <w:p w14:paraId="5188CE59">
      <w:pPr>
        <w:spacing w:line="360" w:lineRule="auto"/>
        <w:ind w:firstLine="480" w:firstLineChars="200"/>
        <w:rPr>
          <w:rFonts w:ascii="宋体" w:hAnsi="宋体" w:cs="宋体"/>
          <w:sz w:val="24"/>
          <w:szCs w:val="24"/>
        </w:rPr>
      </w:pPr>
      <w:r>
        <w:rPr>
          <w:rFonts w:hint="eastAsia" w:ascii="宋体" w:hAnsi="宋体" w:cs="宋体"/>
          <w:sz w:val="24"/>
          <w:szCs w:val="24"/>
        </w:rPr>
        <w:t>（2）向有管辖权的人民法院提起诉讼。</w:t>
      </w:r>
    </w:p>
    <w:p w14:paraId="4EE95858">
      <w:pPr>
        <w:spacing w:afterLines="100"/>
        <w:jc w:val="center"/>
        <w:rPr>
          <w:rFonts w:ascii="宋体" w:hAnsi="宋体" w:cs="宋体"/>
          <w:sz w:val="32"/>
          <w:szCs w:val="32"/>
        </w:rPr>
      </w:pPr>
      <w:r>
        <w:rPr>
          <w:rFonts w:hint="eastAsia" w:ascii="宋体" w:hAnsi="宋体" w:cs="宋体"/>
          <w:sz w:val="24"/>
          <w:szCs w:val="24"/>
        </w:rPr>
        <w:br w:type="page"/>
      </w:r>
      <w:bookmarkStart w:id="274" w:name="_Toc536778403"/>
      <w:bookmarkStart w:id="275" w:name="_Toc531820318"/>
      <w:bookmarkStart w:id="276" w:name="_Toc26100"/>
      <w:bookmarkStart w:id="277" w:name="_Toc24065"/>
      <w:r>
        <w:rPr>
          <w:rFonts w:hint="eastAsia" w:ascii="宋体" w:hAnsi="宋体" w:cs="宋体"/>
          <w:b/>
          <w:bCs/>
          <w:sz w:val="32"/>
          <w:szCs w:val="32"/>
        </w:rPr>
        <w:t>第三节 专用合同条款</w:t>
      </w:r>
      <w:bookmarkEnd w:id="274"/>
      <w:bookmarkEnd w:id="275"/>
      <w:bookmarkEnd w:id="276"/>
      <w:bookmarkEnd w:id="277"/>
    </w:p>
    <w:bookmarkEnd w:id="209"/>
    <w:p w14:paraId="19E93785">
      <w:pPr>
        <w:pStyle w:val="4"/>
        <w:spacing w:before="0" w:after="0" w:line="360" w:lineRule="auto"/>
        <w:ind w:firstLine="138"/>
        <w:rPr>
          <w:rFonts w:ascii="宋体" w:hAnsi="宋体" w:cs="宋体"/>
          <w:sz w:val="24"/>
          <w:szCs w:val="24"/>
        </w:rPr>
      </w:pPr>
      <w:bookmarkStart w:id="278" w:name="_Toc536778404"/>
      <w:bookmarkStart w:id="279" w:name="_Toc531820319"/>
      <w:bookmarkStart w:id="280" w:name="_Toc10575"/>
      <w:bookmarkStart w:id="281" w:name="_Toc9212"/>
      <w:bookmarkStart w:id="282" w:name="_Toc5154"/>
      <w:r>
        <w:rPr>
          <w:rFonts w:hint="eastAsia" w:ascii="宋体" w:hAnsi="宋体" w:cs="宋体"/>
          <w:sz w:val="24"/>
          <w:szCs w:val="24"/>
        </w:rPr>
        <w:t>1.一般约定</w:t>
      </w:r>
      <w:bookmarkEnd w:id="278"/>
      <w:bookmarkEnd w:id="279"/>
      <w:bookmarkEnd w:id="280"/>
      <w:bookmarkEnd w:id="281"/>
      <w:bookmarkEnd w:id="282"/>
    </w:p>
    <w:p w14:paraId="6EA610AE">
      <w:pPr>
        <w:spacing w:line="360" w:lineRule="auto"/>
        <w:ind w:firstLine="482" w:firstLineChars="200"/>
        <w:rPr>
          <w:rFonts w:ascii="宋体" w:hAnsi="宋体" w:cs="宋体"/>
          <w:b/>
          <w:sz w:val="24"/>
          <w:szCs w:val="24"/>
        </w:rPr>
      </w:pPr>
      <w:r>
        <w:rPr>
          <w:rFonts w:hint="eastAsia" w:ascii="宋体" w:hAnsi="宋体" w:cs="宋体"/>
          <w:b/>
          <w:sz w:val="24"/>
          <w:szCs w:val="24"/>
        </w:rPr>
        <w:t>1.1 词语定义</w:t>
      </w:r>
    </w:p>
    <w:p w14:paraId="58C91A8C">
      <w:pPr>
        <w:spacing w:line="360" w:lineRule="auto"/>
        <w:ind w:firstLine="480" w:firstLineChars="200"/>
        <w:rPr>
          <w:rFonts w:ascii="宋体" w:hAnsi="宋体" w:cs="宋体"/>
          <w:sz w:val="24"/>
          <w:szCs w:val="24"/>
        </w:rPr>
      </w:pPr>
      <w:r>
        <w:rPr>
          <w:rFonts w:hint="eastAsia" w:ascii="宋体" w:hAnsi="宋体" w:cs="宋体"/>
          <w:sz w:val="24"/>
          <w:szCs w:val="24"/>
        </w:rPr>
        <w:t>1.1.1 合同</w:t>
      </w:r>
    </w:p>
    <w:p w14:paraId="5FEFDA65">
      <w:pPr>
        <w:spacing w:line="360" w:lineRule="auto"/>
        <w:ind w:firstLine="480" w:firstLineChars="200"/>
        <w:rPr>
          <w:rFonts w:ascii="宋体" w:hAnsi="宋体" w:cs="宋体"/>
          <w:sz w:val="24"/>
          <w:szCs w:val="24"/>
        </w:rPr>
      </w:pPr>
      <w:r>
        <w:rPr>
          <w:rFonts w:hint="eastAsia" w:ascii="宋体" w:hAnsi="宋体" w:cs="宋体"/>
          <w:sz w:val="24"/>
          <w:szCs w:val="24"/>
        </w:rPr>
        <w:t>本项补充1.1.1.10～1.1.1.11目：</w:t>
      </w:r>
    </w:p>
    <w:p w14:paraId="3065A42A">
      <w:pPr>
        <w:spacing w:line="360" w:lineRule="auto"/>
        <w:ind w:firstLine="480" w:firstLineChars="200"/>
        <w:rPr>
          <w:rFonts w:ascii="宋体" w:hAnsi="宋体" w:cs="宋体"/>
          <w:sz w:val="24"/>
          <w:szCs w:val="24"/>
        </w:rPr>
      </w:pPr>
      <w:r>
        <w:rPr>
          <w:rFonts w:hint="eastAsia" w:ascii="宋体" w:hAnsi="宋体" w:cs="宋体"/>
          <w:sz w:val="24"/>
          <w:szCs w:val="24"/>
        </w:rPr>
        <w:t>1.1.1.10</w:t>
      </w:r>
      <w:r>
        <w:rPr>
          <w:rFonts w:hint="eastAsia" w:ascii="宋体" w:hAnsi="宋体" w:cs="宋体"/>
          <w:sz w:val="24"/>
          <w:szCs w:val="24"/>
          <w:lang w:eastAsia="zh-CN"/>
        </w:rPr>
        <w:t xml:space="preserve"> 公章</w:t>
      </w:r>
      <w:r>
        <w:rPr>
          <w:rFonts w:hint="eastAsia" w:ascii="宋体" w:hAnsi="宋体" w:cs="宋体"/>
          <w:sz w:val="24"/>
          <w:szCs w:val="24"/>
        </w:rPr>
        <w:t>：专指法定单位名称章。</w:t>
      </w:r>
    </w:p>
    <w:p w14:paraId="3F7D4BED">
      <w:pPr>
        <w:spacing w:line="360" w:lineRule="auto"/>
        <w:ind w:firstLine="480" w:firstLineChars="200"/>
        <w:rPr>
          <w:rFonts w:ascii="宋体" w:hAnsi="宋体" w:cs="宋体"/>
          <w:sz w:val="24"/>
          <w:szCs w:val="24"/>
        </w:rPr>
      </w:pPr>
      <w:r>
        <w:rPr>
          <w:rFonts w:hint="eastAsia" w:ascii="宋体" w:hAnsi="宋体" w:cs="宋体"/>
          <w:sz w:val="24"/>
          <w:szCs w:val="24"/>
        </w:rPr>
        <w:t>1.1.1.11</w:t>
      </w:r>
      <w:r>
        <w:rPr>
          <w:rFonts w:hint="eastAsia" w:ascii="宋体" w:hAnsi="宋体" w:cs="宋体"/>
          <w:sz w:val="24"/>
          <w:szCs w:val="24"/>
          <w:lang w:eastAsia="zh-CN"/>
        </w:rPr>
        <w:t xml:space="preserve"> 到</w:t>
      </w:r>
      <w:r>
        <w:rPr>
          <w:rFonts w:hint="eastAsia" w:ascii="宋体" w:hAnsi="宋体" w:cs="宋体"/>
          <w:sz w:val="24"/>
          <w:szCs w:val="24"/>
        </w:rPr>
        <w:t>岗：指监理人按照到岗履职承诺安排满足办理建管手续相关要求的项目监理人员实际到施工现场就职履约的行为。</w:t>
      </w:r>
    </w:p>
    <w:p w14:paraId="400DD9CA">
      <w:pPr>
        <w:spacing w:line="360" w:lineRule="auto"/>
        <w:ind w:firstLine="480" w:firstLineChars="200"/>
        <w:rPr>
          <w:rFonts w:ascii="宋体" w:hAnsi="宋体" w:cs="宋体"/>
          <w:sz w:val="24"/>
          <w:szCs w:val="24"/>
        </w:rPr>
      </w:pPr>
      <w:r>
        <w:rPr>
          <w:rFonts w:hint="eastAsia" w:ascii="宋体" w:hAnsi="宋体" w:cs="宋体"/>
          <w:sz w:val="24"/>
          <w:szCs w:val="24"/>
        </w:rPr>
        <w:t>1.1.2 合同当事人和人员</w:t>
      </w:r>
    </w:p>
    <w:p w14:paraId="3D9AB0CC">
      <w:pPr>
        <w:spacing w:line="360" w:lineRule="auto"/>
        <w:ind w:firstLine="480" w:firstLineChars="200"/>
        <w:rPr>
          <w:rFonts w:ascii="宋体" w:hAnsi="宋体" w:cs="宋体"/>
          <w:sz w:val="24"/>
          <w:szCs w:val="24"/>
        </w:rPr>
      </w:pPr>
      <w:r>
        <w:rPr>
          <w:rFonts w:hint="eastAsia" w:ascii="宋体" w:hAnsi="宋体" w:cs="宋体"/>
          <w:sz w:val="24"/>
          <w:szCs w:val="24"/>
        </w:rPr>
        <w:t>本项补充1.1.2.7～1.1.2.8目：</w:t>
      </w:r>
    </w:p>
    <w:p w14:paraId="2EE632F6">
      <w:pPr>
        <w:spacing w:line="360" w:lineRule="auto"/>
        <w:ind w:firstLine="480" w:firstLineChars="200"/>
        <w:rPr>
          <w:rFonts w:ascii="宋体" w:hAnsi="宋体" w:cs="宋体"/>
          <w:sz w:val="24"/>
          <w:szCs w:val="24"/>
        </w:rPr>
      </w:pPr>
      <w:r>
        <w:rPr>
          <w:rFonts w:hint="eastAsia" w:ascii="宋体" w:hAnsi="宋体" w:cs="宋体"/>
          <w:sz w:val="24"/>
          <w:szCs w:val="24"/>
        </w:rPr>
        <w:t>1.1.2.7 项目监理机构：</w:t>
      </w:r>
      <w:r>
        <w:rPr>
          <w:rFonts w:hint="eastAsia" w:ascii="宋体" w:hAnsi="宋体" w:cs="宋体"/>
          <w:sz w:val="24"/>
          <w:szCs w:val="24"/>
          <w:u w:val="single"/>
        </w:rPr>
        <w:t>指监理人派驻工程负责履行本合同的组织机构</w:t>
      </w:r>
      <w:r>
        <w:rPr>
          <w:rFonts w:hint="eastAsia" w:ascii="宋体" w:hAnsi="宋体" w:cs="宋体"/>
          <w:sz w:val="24"/>
          <w:szCs w:val="24"/>
        </w:rPr>
        <w:t>。</w:t>
      </w:r>
    </w:p>
    <w:p w14:paraId="360EE8EA">
      <w:pPr>
        <w:spacing w:line="360" w:lineRule="auto"/>
        <w:ind w:firstLine="480" w:firstLineChars="200"/>
        <w:rPr>
          <w:rFonts w:ascii="宋体" w:hAnsi="宋体" w:cs="宋体"/>
          <w:sz w:val="24"/>
          <w:szCs w:val="24"/>
        </w:rPr>
      </w:pPr>
      <w:r>
        <w:rPr>
          <w:rFonts w:hint="eastAsia" w:ascii="宋体" w:hAnsi="宋体" w:cs="宋体"/>
          <w:sz w:val="24"/>
          <w:szCs w:val="24"/>
        </w:rPr>
        <w:t>1.1.2.8</w:t>
      </w:r>
      <w:r>
        <w:rPr>
          <w:rFonts w:hint="eastAsia" w:ascii="宋体" w:hAnsi="宋体" w:cs="宋体"/>
          <w:sz w:val="24"/>
          <w:szCs w:val="24"/>
          <w:lang w:eastAsia="zh-CN"/>
        </w:rPr>
        <w:t xml:space="preserve"> 第三方</w:t>
      </w:r>
      <w:r>
        <w:rPr>
          <w:rFonts w:hint="eastAsia" w:ascii="宋体" w:hAnsi="宋体" w:cs="宋体"/>
          <w:sz w:val="24"/>
          <w:szCs w:val="24"/>
        </w:rPr>
        <w:t>：</w:t>
      </w:r>
      <w:r>
        <w:rPr>
          <w:rFonts w:hint="eastAsia" w:ascii="宋体" w:hAnsi="宋体" w:cs="宋体"/>
          <w:sz w:val="24"/>
          <w:szCs w:val="24"/>
          <w:u w:val="single"/>
        </w:rPr>
        <w:t>指除委托人、监理人之外，与本工程建设有关的其他当事人（包括承包人）</w:t>
      </w:r>
      <w:r>
        <w:rPr>
          <w:rFonts w:hint="eastAsia" w:ascii="宋体" w:hAnsi="宋体" w:cs="宋体"/>
          <w:sz w:val="24"/>
          <w:szCs w:val="24"/>
        </w:rPr>
        <w:t>。</w:t>
      </w:r>
    </w:p>
    <w:p w14:paraId="1E6CB1D7">
      <w:pPr>
        <w:spacing w:line="360" w:lineRule="auto"/>
        <w:ind w:firstLine="480" w:firstLineChars="200"/>
        <w:rPr>
          <w:rFonts w:ascii="宋体" w:hAnsi="宋体" w:cs="宋体"/>
          <w:sz w:val="24"/>
          <w:szCs w:val="24"/>
        </w:rPr>
      </w:pPr>
      <w:r>
        <w:rPr>
          <w:rFonts w:hint="eastAsia" w:ascii="宋体" w:hAnsi="宋体" w:cs="宋体"/>
          <w:sz w:val="24"/>
          <w:szCs w:val="24"/>
        </w:rPr>
        <w:t>1.1.3 工程和监理</w:t>
      </w:r>
    </w:p>
    <w:p w14:paraId="1586BDF9">
      <w:pPr>
        <w:spacing w:line="360" w:lineRule="auto"/>
        <w:ind w:firstLine="480" w:firstLineChars="200"/>
        <w:rPr>
          <w:rFonts w:ascii="宋体" w:hAnsi="宋体" w:cs="宋体"/>
          <w:sz w:val="24"/>
          <w:szCs w:val="24"/>
        </w:rPr>
      </w:pPr>
      <w:r>
        <w:rPr>
          <w:rFonts w:hint="eastAsia" w:ascii="宋体" w:hAnsi="宋体" w:cs="宋体"/>
          <w:sz w:val="24"/>
          <w:szCs w:val="24"/>
        </w:rPr>
        <w:t>1.1.3.2 监理服务：</w:t>
      </w:r>
      <w:r>
        <w:rPr>
          <w:rFonts w:hint="eastAsia" w:ascii="宋体" w:hAnsi="宋体" w:cs="宋体"/>
          <w:sz w:val="24"/>
          <w:szCs w:val="24"/>
          <w:u w:val="single"/>
        </w:rPr>
        <w:t>指监理人受委托人的委托，依照法律法规、工程建设标准、勘察设计文件及与本工程建设相关的各类合同，对施工阶段进行质量控制、进度控制、造价控制、合同管理、信息管理，对工程建设相关方的关系进行协调，履行建设工程安全生产管理法定的监理职责</w:t>
      </w:r>
      <w:r>
        <w:rPr>
          <w:rFonts w:hint="eastAsia" w:ascii="宋体" w:hAnsi="宋体" w:cs="宋体"/>
          <w:sz w:val="24"/>
          <w:szCs w:val="24"/>
          <w:u w:val="single"/>
          <w:lang w:eastAsia="zh-CN"/>
        </w:rPr>
        <w:t>，以</w:t>
      </w:r>
      <w:r>
        <w:rPr>
          <w:rFonts w:hint="eastAsia" w:ascii="宋体" w:hAnsi="宋体" w:cs="宋体"/>
          <w:sz w:val="24"/>
          <w:szCs w:val="24"/>
          <w:u w:val="single"/>
        </w:rPr>
        <w:t>及提供其他相关服务的活动</w:t>
      </w:r>
      <w:r>
        <w:rPr>
          <w:rFonts w:hint="eastAsia" w:ascii="宋体" w:hAnsi="宋体" w:cs="宋体"/>
          <w:sz w:val="24"/>
          <w:szCs w:val="24"/>
        </w:rPr>
        <w:t>。</w:t>
      </w:r>
    </w:p>
    <w:p w14:paraId="3BEA8C0A">
      <w:pPr>
        <w:spacing w:line="360" w:lineRule="auto"/>
        <w:ind w:firstLine="482" w:firstLineChars="200"/>
        <w:rPr>
          <w:rFonts w:ascii="宋体" w:hAnsi="宋体" w:cs="宋体"/>
          <w:b/>
          <w:sz w:val="24"/>
          <w:szCs w:val="24"/>
        </w:rPr>
      </w:pPr>
      <w:r>
        <w:rPr>
          <w:rFonts w:hint="eastAsia" w:ascii="宋体" w:hAnsi="宋体" w:cs="宋体"/>
          <w:b/>
          <w:sz w:val="24"/>
          <w:szCs w:val="24"/>
        </w:rPr>
        <w:t>1.4合同文件的优先顺序</w:t>
      </w:r>
    </w:p>
    <w:p w14:paraId="22819063">
      <w:pPr>
        <w:spacing w:line="360" w:lineRule="auto"/>
        <w:ind w:firstLine="480" w:firstLineChars="200"/>
        <w:rPr>
          <w:rFonts w:ascii="宋体" w:hAnsi="宋体" w:cs="宋体"/>
          <w:sz w:val="24"/>
          <w:szCs w:val="24"/>
        </w:rPr>
      </w:pPr>
      <w:r>
        <w:rPr>
          <w:rFonts w:hint="eastAsia" w:ascii="宋体" w:hAnsi="宋体" w:cs="宋体"/>
          <w:sz w:val="24"/>
          <w:szCs w:val="24"/>
        </w:rPr>
        <w:t>约定本合同文件的解释顺序为：</w:t>
      </w:r>
    </w:p>
    <w:p w14:paraId="4756D78E">
      <w:pPr>
        <w:spacing w:line="360" w:lineRule="auto"/>
        <w:ind w:firstLine="480" w:firstLineChars="200"/>
        <w:rPr>
          <w:rFonts w:ascii="宋体" w:hAnsi="宋体" w:cs="宋体"/>
          <w:sz w:val="24"/>
          <w:szCs w:val="24"/>
        </w:rPr>
      </w:pPr>
      <w:r>
        <w:rPr>
          <w:rFonts w:hint="eastAsia" w:ascii="宋体" w:hAnsi="宋体" w:cs="宋体"/>
          <w:sz w:val="24"/>
          <w:szCs w:val="24"/>
        </w:rPr>
        <w:t>（1）合同协议书；</w:t>
      </w:r>
    </w:p>
    <w:p w14:paraId="3CF68971">
      <w:pPr>
        <w:spacing w:line="360" w:lineRule="auto"/>
        <w:ind w:firstLine="480" w:firstLineChars="200"/>
        <w:rPr>
          <w:rFonts w:ascii="宋体" w:hAnsi="宋体" w:cs="宋体"/>
          <w:sz w:val="24"/>
          <w:szCs w:val="24"/>
        </w:rPr>
      </w:pPr>
      <w:r>
        <w:rPr>
          <w:rFonts w:hint="eastAsia" w:ascii="宋体" w:hAnsi="宋体" w:cs="宋体"/>
          <w:sz w:val="24"/>
          <w:szCs w:val="24"/>
        </w:rPr>
        <w:t>（2）成交通知书；</w:t>
      </w:r>
    </w:p>
    <w:p w14:paraId="753A61F4">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竞采报价</w:t>
      </w:r>
      <w:r>
        <w:rPr>
          <w:rFonts w:hint="eastAsia" w:ascii="宋体" w:hAnsi="宋体" w:cs="宋体"/>
          <w:sz w:val="24"/>
          <w:szCs w:val="24"/>
        </w:rPr>
        <w:t>；</w:t>
      </w:r>
    </w:p>
    <w:p w14:paraId="2BBD01FE">
      <w:pPr>
        <w:spacing w:line="360" w:lineRule="auto"/>
        <w:ind w:firstLine="480" w:firstLineChars="200"/>
        <w:rPr>
          <w:rFonts w:ascii="宋体" w:hAnsi="宋体" w:cs="宋体"/>
          <w:sz w:val="24"/>
          <w:szCs w:val="24"/>
        </w:rPr>
      </w:pPr>
      <w:r>
        <w:rPr>
          <w:rFonts w:hint="eastAsia" w:ascii="宋体" w:hAnsi="宋体" w:cs="宋体"/>
          <w:sz w:val="24"/>
          <w:szCs w:val="24"/>
        </w:rPr>
        <w:t>（4）专用合同条款及其附件；</w:t>
      </w:r>
    </w:p>
    <w:p w14:paraId="741A5213">
      <w:pPr>
        <w:spacing w:line="360" w:lineRule="auto"/>
        <w:ind w:firstLine="480" w:firstLineChars="200"/>
        <w:rPr>
          <w:rFonts w:ascii="宋体" w:hAnsi="宋体" w:cs="宋体"/>
          <w:sz w:val="24"/>
          <w:szCs w:val="24"/>
        </w:rPr>
      </w:pPr>
      <w:r>
        <w:rPr>
          <w:rFonts w:hint="eastAsia" w:ascii="宋体" w:hAnsi="宋体" w:cs="宋体"/>
          <w:sz w:val="24"/>
          <w:szCs w:val="24"/>
        </w:rPr>
        <w:t>（5）通用合同条款；</w:t>
      </w:r>
    </w:p>
    <w:p w14:paraId="24B6D7DF">
      <w:pPr>
        <w:spacing w:line="360" w:lineRule="auto"/>
        <w:ind w:firstLine="480" w:firstLineChars="200"/>
        <w:rPr>
          <w:rFonts w:ascii="宋体" w:hAnsi="宋体" w:cs="宋体"/>
          <w:sz w:val="24"/>
          <w:szCs w:val="24"/>
        </w:rPr>
      </w:pPr>
      <w:r>
        <w:rPr>
          <w:rFonts w:hint="eastAsia" w:ascii="宋体" w:hAnsi="宋体" w:cs="宋体"/>
          <w:sz w:val="24"/>
          <w:szCs w:val="24"/>
        </w:rPr>
        <w:t>（6）响应文件</w:t>
      </w:r>
      <w:r>
        <w:rPr>
          <w:rFonts w:hint="eastAsia" w:ascii="宋体" w:hAnsi="宋体" w:cs="宋体"/>
          <w:sz w:val="24"/>
          <w:szCs w:val="24"/>
          <w:lang w:eastAsia="zh-CN"/>
        </w:rPr>
        <w:t>，。包括</w:t>
      </w:r>
      <w:r>
        <w:rPr>
          <w:rFonts w:hint="eastAsia" w:ascii="宋体" w:hAnsi="宋体" w:cs="宋体"/>
          <w:sz w:val="24"/>
          <w:szCs w:val="24"/>
        </w:rPr>
        <w:t>但不限于监理报酬清单、监理大纲；</w:t>
      </w:r>
    </w:p>
    <w:p w14:paraId="1B8C6311">
      <w:pPr>
        <w:spacing w:line="360" w:lineRule="auto"/>
        <w:ind w:firstLine="480" w:firstLineChars="200"/>
        <w:rPr>
          <w:rFonts w:ascii="宋体" w:hAnsi="宋体" w:cs="宋体"/>
          <w:sz w:val="24"/>
          <w:szCs w:val="24"/>
        </w:rPr>
      </w:pPr>
      <w:r>
        <w:rPr>
          <w:rFonts w:hint="eastAsia" w:ascii="宋体" w:hAnsi="宋体" w:cs="宋体"/>
          <w:sz w:val="24"/>
          <w:szCs w:val="24"/>
        </w:rPr>
        <w:t>（7）竞</w:t>
      </w:r>
      <w:r>
        <w:rPr>
          <w:rFonts w:hint="eastAsia" w:ascii="宋体" w:hAnsi="宋体" w:cs="宋体"/>
          <w:sz w:val="24"/>
          <w:szCs w:val="24"/>
          <w:lang w:eastAsia="zh-CN"/>
        </w:rPr>
        <w:t>采文件</w:t>
      </w:r>
      <w:r>
        <w:rPr>
          <w:rFonts w:hint="eastAsia" w:ascii="宋体" w:hAnsi="宋体" w:cs="宋体"/>
          <w:sz w:val="24"/>
          <w:szCs w:val="24"/>
        </w:rPr>
        <w:t>文件及答疑补遗文件或任务书</w:t>
      </w:r>
      <w:r>
        <w:rPr>
          <w:rFonts w:hint="eastAsia" w:ascii="宋体" w:hAnsi="宋体" w:cs="宋体"/>
          <w:sz w:val="24"/>
          <w:szCs w:val="24"/>
          <w:lang w:eastAsia="zh-CN"/>
        </w:rPr>
        <w:t>。包括</w:t>
      </w:r>
      <w:r>
        <w:rPr>
          <w:rFonts w:hint="eastAsia" w:ascii="宋体" w:hAnsi="宋体" w:cs="宋体"/>
          <w:sz w:val="24"/>
          <w:szCs w:val="24"/>
        </w:rPr>
        <w:t>但不限于委托人要求；</w:t>
      </w:r>
    </w:p>
    <w:p w14:paraId="50A649A8">
      <w:pPr>
        <w:spacing w:line="360" w:lineRule="auto"/>
        <w:ind w:firstLine="480" w:firstLineChars="200"/>
        <w:rPr>
          <w:rFonts w:ascii="宋体" w:hAnsi="宋体" w:cs="宋体"/>
          <w:sz w:val="24"/>
          <w:szCs w:val="24"/>
        </w:rPr>
      </w:pPr>
      <w:r>
        <w:rPr>
          <w:rFonts w:hint="eastAsia" w:ascii="宋体" w:hAnsi="宋体" w:cs="宋体"/>
          <w:sz w:val="24"/>
          <w:szCs w:val="24"/>
        </w:rPr>
        <w:t>（8）其他合同文件</w:t>
      </w:r>
      <w:r>
        <w:rPr>
          <w:rFonts w:hint="eastAsia" w:ascii="宋体" w:hAnsi="宋体" w:cs="宋体"/>
          <w:sz w:val="24"/>
          <w:szCs w:val="24"/>
          <w:lang w:eastAsia="zh-CN"/>
        </w:rPr>
        <w:t>，。</w:t>
      </w:r>
    </w:p>
    <w:p w14:paraId="502CDFF9">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上述各项合同文件包括合同当事人就该项合同文件所做出的补充和修改，属于同一类内容的文件，应以最新签署的为准。</w:t>
      </w:r>
    </w:p>
    <w:p w14:paraId="5041B3E7">
      <w:pPr>
        <w:spacing w:line="360" w:lineRule="auto"/>
        <w:ind w:firstLine="482" w:firstLineChars="200"/>
        <w:rPr>
          <w:rFonts w:ascii="宋体" w:hAnsi="宋体" w:cs="宋体"/>
          <w:b/>
          <w:sz w:val="24"/>
          <w:szCs w:val="24"/>
        </w:rPr>
      </w:pPr>
      <w:r>
        <w:rPr>
          <w:rFonts w:hint="eastAsia" w:ascii="宋体" w:hAnsi="宋体" w:cs="宋体"/>
          <w:b/>
          <w:sz w:val="24"/>
          <w:szCs w:val="24"/>
        </w:rPr>
        <w:t>1.5 合同协议书</w:t>
      </w:r>
    </w:p>
    <w:p w14:paraId="1C6FB68A">
      <w:pPr>
        <w:spacing w:line="360" w:lineRule="auto"/>
        <w:ind w:firstLine="480" w:firstLineChars="200"/>
        <w:rPr>
          <w:rFonts w:ascii="宋体" w:hAnsi="宋体" w:cs="宋体"/>
          <w:sz w:val="24"/>
          <w:szCs w:val="24"/>
        </w:rPr>
      </w:pPr>
      <w:r>
        <w:rPr>
          <w:rFonts w:hint="eastAsia" w:ascii="宋体" w:hAnsi="宋体" w:cs="宋体"/>
          <w:sz w:val="24"/>
          <w:szCs w:val="24"/>
        </w:rPr>
        <w:t>合同生效条件为：</w:t>
      </w:r>
      <w:r>
        <w:rPr>
          <w:rFonts w:hint="eastAsia" w:ascii="宋体" w:hAnsi="宋体" w:cs="宋体"/>
          <w:sz w:val="24"/>
          <w:szCs w:val="24"/>
          <w:u w:val="single"/>
        </w:rPr>
        <w:t>委托人和监理人的法定代表人或其委托代理人在合同协议书上签名</w:t>
      </w:r>
      <w:r>
        <w:rPr>
          <w:rFonts w:hint="eastAsia" w:ascii="宋体" w:hAnsi="宋体" w:cs="宋体"/>
          <w:sz w:val="24"/>
          <w:szCs w:val="24"/>
          <w:u w:val="single"/>
          <w:lang w:eastAsia="zh-CN"/>
        </w:rPr>
        <w:t>并加</w:t>
      </w:r>
      <w:r>
        <w:rPr>
          <w:rFonts w:hint="eastAsia" w:ascii="宋体" w:hAnsi="宋体" w:cs="宋体"/>
          <w:sz w:val="24"/>
          <w:szCs w:val="24"/>
          <w:u w:val="single"/>
        </w:rPr>
        <w:t>盖单位法人章后，合同生效</w:t>
      </w:r>
      <w:r>
        <w:rPr>
          <w:rFonts w:hint="eastAsia" w:ascii="宋体" w:hAnsi="宋体" w:cs="宋体"/>
          <w:sz w:val="24"/>
          <w:szCs w:val="24"/>
        </w:rPr>
        <w:t>。</w:t>
      </w:r>
    </w:p>
    <w:p w14:paraId="75333902">
      <w:pPr>
        <w:spacing w:line="360" w:lineRule="auto"/>
        <w:ind w:firstLine="482" w:firstLineChars="200"/>
        <w:rPr>
          <w:rFonts w:ascii="宋体" w:hAnsi="宋体" w:cs="宋体"/>
          <w:b/>
          <w:sz w:val="24"/>
          <w:szCs w:val="24"/>
        </w:rPr>
      </w:pPr>
      <w:r>
        <w:rPr>
          <w:rFonts w:hint="eastAsia" w:ascii="宋体" w:hAnsi="宋体" w:cs="宋体"/>
          <w:b/>
          <w:sz w:val="24"/>
          <w:szCs w:val="24"/>
        </w:rPr>
        <w:t>1.6 文件的提供和照管</w:t>
      </w:r>
    </w:p>
    <w:p w14:paraId="5BCBAE2B">
      <w:pPr>
        <w:spacing w:line="360" w:lineRule="auto"/>
        <w:ind w:firstLine="480" w:firstLineChars="200"/>
        <w:rPr>
          <w:rFonts w:ascii="宋体" w:hAnsi="宋体" w:cs="宋体"/>
          <w:sz w:val="24"/>
          <w:szCs w:val="24"/>
        </w:rPr>
      </w:pPr>
      <w:r>
        <w:rPr>
          <w:rFonts w:hint="eastAsia" w:ascii="宋体" w:hAnsi="宋体" w:cs="宋体"/>
          <w:sz w:val="24"/>
          <w:szCs w:val="24"/>
        </w:rPr>
        <w:t>1.6.1 监理文件的提供</w:t>
      </w:r>
    </w:p>
    <w:p w14:paraId="027DE106">
      <w:pPr>
        <w:spacing w:line="360" w:lineRule="auto"/>
        <w:ind w:firstLine="480" w:firstLineChars="200"/>
        <w:rPr>
          <w:rFonts w:ascii="宋体" w:hAnsi="宋体" w:cs="宋体"/>
          <w:sz w:val="24"/>
          <w:szCs w:val="24"/>
        </w:rPr>
      </w:pPr>
      <w:r>
        <w:rPr>
          <w:rFonts w:hint="eastAsia" w:ascii="宋体" w:hAnsi="宋体" w:cs="宋体"/>
          <w:sz w:val="24"/>
          <w:szCs w:val="24"/>
        </w:rPr>
        <w:t>监理人应在合理的期限内按照国家、行业现行标准、规范、规定及承包合同约定向委托人提供监理文件。监理人应提交文件的期限和份数：</w:t>
      </w:r>
    </w:p>
    <w:p w14:paraId="637B6358">
      <w:pPr>
        <w:spacing w:line="360" w:lineRule="auto"/>
        <w:ind w:firstLine="480" w:firstLineChars="200"/>
        <w:rPr>
          <w:rFonts w:ascii="宋体" w:hAnsi="宋体" w:cs="宋体"/>
          <w:sz w:val="24"/>
          <w:szCs w:val="24"/>
        </w:rPr>
      </w:pPr>
      <w:r>
        <w:rPr>
          <w:rFonts w:hint="eastAsia" w:ascii="宋体" w:hAnsi="宋体" w:cs="宋体"/>
          <w:sz w:val="24"/>
          <w:szCs w:val="24"/>
        </w:rPr>
        <w:t>（1）监理规划在第一次工地会议前报</w:t>
      </w:r>
      <w:r>
        <w:rPr>
          <w:rFonts w:hint="eastAsia" w:ascii="宋体" w:hAnsi="宋体" w:cs="宋体"/>
          <w:sz w:val="24"/>
          <w:szCs w:val="24"/>
          <w:u w:val="single"/>
        </w:rPr>
        <w:t xml:space="preserve"> 1 </w:t>
      </w:r>
      <w:r>
        <w:rPr>
          <w:rFonts w:hint="eastAsia" w:ascii="宋体" w:hAnsi="宋体" w:cs="宋体"/>
          <w:sz w:val="24"/>
          <w:szCs w:val="24"/>
        </w:rPr>
        <w:t>份；</w:t>
      </w:r>
    </w:p>
    <w:p w14:paraId="11615CA1">
      <w:pPr>
        <w:spacing w:line="360" w:lineRule="auto"/>
        <w:ind w:firstLine="480" w:firstLineChars="200"/>
        <w:rPr>
          <w:rFonts w:ascii="宋体" w:hAnsi="宋体" w:cs="宋体"/>
          <w:sz w:val="24"/>
          <w:szCs w:val="24"/>
        </w:rPr>
      </w:pPr>
      <w:r>
        <w:rPr>
          <w:rFonts w:hint="eastAsia" w:ascii="宋体" w:hAnsi="宋体" w:cs="宋体"/>
          <w:sz w:val="24"/>
          <w:szCs w:val="24"/>
        </w:rPr>
        <w:t>（2）监理月报每月</w:t>
      </w:r>
      <w:r>
        <w:rPr>
          <w:rFonts w:hint="eastAsia" w:ascii="宋体" w:hAnsi="宋体" w:cs="宋体"/>
          <w:sz w:val="24"/>
          <w:szCs w:val="24"/>
          <w:u w:val="single"/>
        </w:rPr>
        <w:t xml:space="preserve"> 28 </w:t>
      </w:r>
      <w:r>
        <w:rPr>
          <w:rFonts w:hint="eastAsia" w:ascii="宋体" w:hAnsi="宋体" w:cs="宋体"/>
          <w:sz w:val="24"/>
          <w:szCs w:val="24"/>
        </w:rPr>
        <w:t>日前报</w:t>
      </w:r>
      <w:r>
        <w:rPr>
          <w:rFonts w:hint="eastAsia" w:ascii="宋体" w:hAnsi="宋体" w:cs="宋体"/>
          <w:sz w:val="24"/>
          <w:szCs w:val="24"/>
          <w:u w:val="single"/>
        </w:rPr>
        <w:t xml:space="preserve"> 1 </w:t>
      </w:r>
      <w:r>
        <w:rPr>
          <w:rFonts w:hint="eastAsia" w:ascii="宋体" w:hAnsi="宋体" w:cs="宋体"/>
          <w:sz w:val="24"/>
          <w:szCs w:val="24"/>
        </w:rPr>
        <w:t>份；</w:t>
      </w:r>
    </w:p>
    <w:p w14:paraId="70D71E2E">
      <w:pPr>
        <w:spacing w:line="360" w:lineRule="auto"/>
        <w:ind w:firstLine="480" w:firstLineChars="200"/>
        <w:rPr>
          <w:rFonts w:ascii="宋体" w:hAnsi="宋体" w:cs="宋体"/>
          <w:sz w:val="24"/>
          <w:szCs w:val="24"/>
        </w:rPr>
      </w:pPr>
      <w:r>
        <w:rPr>
          <w:rFonts w:hint="eastAsia" w:ascii="宋体" w:hAnsi="宋体" w:cs="宋体"/>
          <w:sz w:val="24"/>
          <w:szCs w:val="24"/>
        </w:rPr>
        <w:t>（3）监理细则和实施方案根据有关规定和监理工作需要在相应工程施工开始前报</w:t>
      </w:r>
      <w:r>
        <w:rPr>
          <w:rFonts w:hint="eastAsia" w:ascii="宋体" w:hAnsi="宋体" w:cs="宋体"/>
          <w:sz w:val="24"/>
          <w:szCs w:val="24"/>
          <w:u w:val="single"/>
        </w:rPr>
        <w:t xml:space="preserve"> 1 </w:t>
      </w:r>
      <w:r>
        <w:rPr>
          <w:rFonts w:hint="eastAsia" w:ascii="宋体" w:hAnsi="宋体" w:cs="宋体"/>
          <w:sz w:val="24"/>
          <w:szCs w:val="24"/>
        </w:rPr>
        <w:t>份；</w:t>
      </w:r>
    </w:p>
    <w:p w14:paraId="4FF25EF5">
      <w:pPr>
        <w:spacing w:line="360" w:lineRule="auto"/>
        <w:ind w:firstLine="480" w:firstLineChars="200"/>
        <w:rPr>
          <w:rFonts w:ascii="宋体" w:hAnsi="宋体" w:cs="宋体"/>
          <w:sz w:val="24"/>
          <w:szCs w:val="24"/>
        </w:rPr>
      </w:pPr>
      <w:r>
        <w:rPr>
          <w:rFonts w:hint="eastAsia" w:ascii="宋体" w:hAnsi="宋体" w:cs="宋体"/>
          <w:sz w:val="24"/>
          <w:szCs w:val="24"/>
        </w:rPr>
        <w:t>（4）专项报告根据工程需要和委托人要求上报；</w:t>
      </w:r>
    </w:p>
    <w:p w14:paraId="04D6F35F">
      <w:pPr>
        <w:spacing w:line="360" w:lineRule="auto"/>
        <w:ind w:firstLine="480" w:firstLineChars="200"/>
        <w:rPr>
          <w:rFonts w:ascii="宋体" w:hAnsi="宋体" w:cs="宋体"/>
          <w:sz w:val="24"/>
          <w:szCs w:val="24"/>
        </w:rPr>
      </w:pPr>
      <w:r>
        <w:rPr>
          <w:rFonts w:hint="eastAsia" w:ascii="宋体" w:hAnsi="宋体" w:cs="宋体"/>
          <w:sz w:val="24"/>
          <w:szCs w:val="24"/>
        </w:rPr>
        <w:t>（5）工程建设监理档案资料在竣工验收后28天内报</w:t>
      </w:r>
      <w:r>
        <w:rPr>
          <w:rFonts w:hint="eastAsia" w:ascii="宋体" w:hAnsi="宋体" w:cs="宋体"/>
          <w:sz w:val="24"/>
          <w:szCs w:val="24"/>
          <w:u w:val="single"/>
        </w:rPr>
        <w:t xml:space="preserve"> 3 </w:t>
      </w:r>
      <w:r>
        <w:rPr>
          <w:rFonts w:hint="eastAsia" w:ascii="宋体" w:hAnsi="宋体" w:cs="宋体"/>
          <w:sz w:val="24"/>
          <w:szCs w:val="24"/>
        </w:rPr>
        <w:t>份；</w:t>
      </w:r>
    </w:p>
    <w:p w14:paraId="1F21E927">
      <w:pPr>
        <w:spacing w:line="360" w:lineRule="auto"/>
        <w:ind w:firstLine="480" w:firstLineChars="200"/>
        <w:rPr>
          <w:rFonts w:ascii="宋体" w:hAnsi="宋体" w:cs="宋体"/>
          <w:sz w:val="24"/>
          <w:szCs w:val="24"/>
          <w:u w:val="single"/>
        </w:rPr>
      </w:pPr>
      <w:r>
        <w:rPr>
          <w:rFonts w:hint="eastAsia" w:ascii="宋体" w:hAnsi="宋体" w:cs="宋体"/>
          <w:sz w:val="24"/>
          <w:szCs w:val="24"/>
        </w:rPr>
        <w:t>（6）其他：</w:t>
      </w:r>
      <w:r>
        <w:rPr>
          <w:rFonts w:hint="eastAsia" w:ascii="宋体" w:hAnsi="宋体" w:cs="宋体"/>
          <w:sz w:val="24"/>
          <w:szCs w:val="24"/>
          <w:u w:val="single"/>
        </w:rPr>
        <w:t xml:space="preserve">  /  </w:t>
      </w:r>
      <w:r>
        <w:rPr>
          <w:rFonts w:hint="eastAsia" w:ascii="宋体" w:hAnsi="宋体" w:cs="宋体"/>
          <w:sz w:val="24"/>
          <w:szCs w:val="24"/>
        </w:rPr>
        <w:t>。</w:t>
      </w:r>
    </w:p>
    <w:p w14:paraId="2A2216D5">
      <w:pPr>
        <w:spacing w:line="360" w:lineRule="auto"/>
        <w:ind w:firstLine="480" w:firstLineChars="200"/>
        <w:rPr>
          <w:rFonts w:ascii="宋体" w:hAnsi="宋体" w:cs="宋体"/>
          <w:sz w:val="24"/>
          <w:szCs w:val="24"/>
        </w:rPr>
      </w:pPr>
      <w:r>
        <w:rPr>
          <w:rFonts w:hint="eastAsia" w:ascii="宋体" w:hAnsi="宋体" w:cs="宋体"/>
          <w:sz w:val="24"/>
          <w:szCs w:val="24"/>
        </w:rPr>
        <w:t>1.6.2 委托人提供的文件</w:t>
      </w:r>
    </w:p>
    <w:p w14:paraId="360F8AAF">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委托人应在监理合同生效且取得相关文件、资料后 7 天内，向监理人免费提供下述文件、资料：</w:t>
      </w:r>
    </w:p>
    <w:p w14:paraId="448B9444">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（1）委托人与承包人签订的承包合同1份</w:t>
      </w:r>
      <w:r>
        <w:rPr>
          <w:rFonts w:hint="eastAsia" w:ascii="宋体" w:hAnsi="宋体" w:cs="宋体"/>
          <w:sz w:val="24"/>
          <w:szCs w:val="24"/>
          <w:u w:val="single"/>
          <w:lang w:eastAsia="zh-CN"/>
        </w:rPr>
        <w:t>，。</w:t>
      </w:r>
    </w:p>
    <w:p w14:paraId="26D26111">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（2）委托人与承包人共同确认的已标价的工程量清单及其说明1份</w:t>
      </w:r>
      <w:r>
        <w:rPr>
          <w:rFonts w:hint="eastAsia" w:ascii="宋体" w:hAnsi="宋体" w:cs="宋体"/>
          <w:sz w:val="24"/>
          <w:szCs w:val="24"/>
          <w:u w:val="single"/>
          <w:lang w:eastAsia="zh-CN"/>
        </w:rPr>
        <w:t>，。</w:t>
      </w:r>
    </w:p>
    <w:p w14:paraId="5C2CF20F">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（3）合同图纸和相关的标准图纸及说明1套</w:t>
      </w:r>
      <w:r>
        <w:rPr>
          <w:rFonts w:hint="eastAsia" w:ascii="宋体" w:hAnsi="宋体" w:cs="宋体"/>
          <w:sz w:val="24"/>
          <w:szCs w:val="24"/>
          <w:u w:val="single"/>
          <w:lang w:eastAsia="zh-CN"/>
        </w:rPr>
        <w:t>，。</w:t>
      </w:r>
    </w:p>
    <w:p w14:paraId="457B9281">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（4）合同指定使用的技术规范、检验评定标准、操作规程1套</w:t>
      </w:r>
      <w:r>
        <w:rPr>
          <w:rFonts w:hint="eastAsia" w:ascii="宋体" w:hAnsi="宋体" w:cs="宋体"/>
          <w:sz w:val="24"/>
          <w:szCs w:val="24"/>
          <w:u w:val="single"/>
          <w:lang w:eastAsia="zh-CN"/>
        </w:rPr>
        <w:t>，。</w:t>
      </w:r>
    </w:p>
    <w:p w14:paraId="3A677935">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（5）其他相关资料（如材料设备供货合同、材料设备供货清单等）</w:t>
      </w:r>
      <w:r>
        <w:rPr>
          <w:rFonts w:hint="eastAsia" w:ascii="宋体" w:hAnsi="宋体" w:cs="宋体"/>
          <w:sz w:val="24"/>
          <w:szCs w:val="24"/>
          <w:u w:val="single"/>
          <w:lang w:eastAsia="zh-CN"/>
        </w:rPr>
        <w:t>，。</w:t>
      </w:r>
    </w:p>
    <w:p w14:paraId="5BBEA342">
      <w:pPr>
        <w:spacing w:line="360" w:lineRule="auto"/>
        <w:ind w:firstLine="480" w:firstLineChars="200"/>
        <w:rPr>
          <w:rFonts w:ascii="宋体" w:hAnsi="宋体" w:cs="宋体"/>
          <w:sz w:val="24"/>
          <w:szCs w:val="24"/>
        </w:rPr>
      </w:pPr>
      <w:r>
        <w:rPr>
          <w:rFonts w:hint="eastAsia" w:ascii="宋体" w:hAnsi="宋体" w:cs="宋体"/>
          <w:sz w:val="24"/>
          <w:szCs w:val="24"/>
        </w:rPr>
        <w:t>由于委托人未按时提供文件造成监理服务期限延误的，按第6.2款约定执行。</w:t>
      </w:r>
    </w:p>
    <w:p w14:paraId="4CDA40CF">
      <w:pPr>
        <w:spacing w:line="360" w:lineRule="auto"/>
        <w:ind w:firstLine="482" w:firstLineChars="200"/>
        <w:rPr>
          <w:rFonts w:ascii="宋体" w:hAnsi="宋体" w:cs="宋体"/>
          <w:b/>
          <w:sz w:val="24"/>
          <w:szCs w:val="24"/>
        </w:rPr>
      </w:pPr>
      <w:r>
        <w:rPr>
          <w:rFonts w:hint="eastAsia" w:ascii="宋体" w:hAnsi="宋体" w:cs="宋体"/>
          <w:b/>
          <w:sz w:val="24"/>
          <w:szCs w:val="24"/>
        </w:rPr>
        <w:t>1.8 转让与分包</w:t>
      </w:r>
    </w:p>
    <w:p w14:paraId="2178ED49">
      <w:pPr>
        <w:spacing w:line="360" w:lineRule="auto"/>
        <w:ind w:firstLine="480" w:firstLineChars="200"/>
        <w:rPr>
          <w:rFonts w:ascii="宋体" w:hAnsi="宋体" w:cs="宋体"/>
          <w:sz w:val="24"/>
          <w:szCs w:val="24"/>
        </w:rPr>
      </w:pPr>
      <w:r>
        <w:rPr>
          <w:rFonts w:hint="eastAsia" w:ascii="宋体" w:hAnsi="宋体" w:cs="宋体"/>
          <w:sz w:val="24"/>
          <w:szCs w:val="24"/>
        </w:rPr>
        <w:t>1.8.1监理人不得将合同权利全部或部分转让给第三人，也不得全部或部分转移合同义务。</w:t>
      </w:r>
    </w:p>
    <w:p w14:paraId="6C04EA0D">
      <w:pPr>
        <w:spacing w:line="360" w:lineRule="auto"/>
        <w:ind w:firstLine="480" w:firstLineChars="200"/>
        <w:rPr>
          <w:rFonts w:ascii="宋体" w:hAnsi="宋体" w:cs="宋体"/>
          <w:sz w:val="24"/>
          <w:szCs w:val="24"/>
          <w:u w:val="single"/>
        </w:rPr>
      </w:pPr>
      <w:r>
        <w:rPr>
          <w:rFonts w:hint="eastAsia" w:ascii="宋体" w:hAnsi="宋体" w:cs="宋体"/>
          <w:sz w:val="24"/>
          <w:szCs w:val="24"/>
        </w:rPr>
        <w:t>1.8.2 经委托人同意，监理人可以将</w:t>
      </w:r>
      <w:r>
        <w:rPr>
          <w:rFonts w:hint="eastAsia" w:ascii="宋体" w:hAnsi="宋体" w:cs="宋体"/>
          <w:sz w:val="24"/>
          <w:szCs w:val="24"/>
          <w:u w:val="single"/>
        </w:rPr>
        <w:t xml:space="preserve">  /  </w:t>
      </w:r>
      <w:r>
        <w:rPr>
          <w:rFonts w:hint="eastAsia" w:ascii="宋体" w:hAnsi="宋体" w:cs="宋体"/>
          <w:sz w:val="24"/>
          <w:szCs w:val="24"/>
        </w:rPr>
        <w:t>依法分包给具备相应资质的第三人</w:t>
      </w:r>
      <w:r>
        <w:rPr>
          <w:rFonts w:hint="eastAsia" w:ascii="宋体" w:hAnsi="宋体" w:cs="宋体"/>
          <w:sz w:val="24"/>
          <w:szCs w:val="24"/>
          <w:lang w:eastAsia="zh-CN"/>
        </w:rPr>
        <w:t>，。</w:t>
      </w:r>
    </w:p>
    <w:p w14:paraId="6F5504C8">
      <w:pPr>
        <w:spacing w:line="360" w:lineRule="auto"/>
        <w:ind w:firstLine="482" w:firstLineChars="200"/>
        <w:rPr>
          <w:rFonts w:ascii="宋体" w:hAnsi="宋体" w:cs="宋体"/>
          <w:b/>
          <w:sz w:val="24"/>
          <w:szCs w:val="24"/>
        </w:rPr>
      </w:pPr>
      <w:r>
        <w:rPr>
          <w:rFonts w:hint="eastAsia" w:ascii="宋体" w:hAnsi="宋体" w:cs="宋体"/>
          <w:b/>
          <w:sz w:val="24"/>
          <w:szCs w:val="24"/>
        </w:rPr>
        <w:t>1.10 知识产权</w:t>
      </w:r>
    </w:p>
    <w:p w14:paraId="4F4A720C">
      <w:pPr>
        <w:spacing w:line="360" w:lineRule="auto"/>
        <w:ind w:firstLine="480" w:firstLineChars="200"/>
        <w:rPr>
          <w:rFonts w:ascii="宋体" w:hAnsi="宋体" w:cs="宋体"/>
          <w:b/>
          <w:sz w:val="24"/>
          <w:szCs w:val="24"/>
        </w:rPr>
      </w:pPr>
      <w:r>
        <w:rPr>
          <w:rFonts w:hint="eastAsia" w:ascii="宋体" w:hAnsi="宋体" w:cs="宋体"/>
          <w:sz w:val="24"/>
          <w:szCs w:val="24"/>
        </w:rPr>
        <w:t>1.10.1监理人完成监理工作成果，其知识产权归属的其他约定：</w:t>
      </w:r>
      <w:r>
        <w:rPr>
          <w:rFonts w:hint="eastAsia" w:ascii="宋体" w:hAnsi="宋体" w:cs="宋体"/>
          <w:sz w:val="24"/>
          <w:szCs w:val="24"/>
          <w:u w:val="single"/>
        </w:rPr>
        <w:t>监理人完成的监理工作成果，除署名权以外的著作权和其他知识产权均归委托人享有</w:t>
      </w:r>
      <w:r>
        <w:rPr>
          <w:rFonts w:hint="eastAsia" w:ascii="宋体" w:hAnsi="宋体" w:cs="宋体"/>
          <w:sz w:val="24"/>
          <w:szCs w:val="24"/>
        </w:rPr>
        <w:t>。</w:t>
      </w:r>
    </w:p>
    <w:p w14:paraId="3145CB6C">
      <w:pPr>
        <w:spacing w:line="360" w:lineRule="auto"/>
        <w:ind w:firstLine="480" w:firstLineChars="200"/>
        <w:rPr>
          <w:rFonts w:ascii="宋体" w:hAnsi="宋体" w:cs="宋体"/>
          <w:b/>
          <w:sz w:val="24"/>
          <w:szCs w:val="24"/>
        </w:rPr>
      </w:pPr>
      <w:r>
        <w:rPr>
          <w:rFonts w:hint="eastAsia" w:ascii="宋体" w:hAnsi="宋体" w:cs="宋体"/>
          <w:sz w:val="24"/>
          <w:szCs w:val="24"/>
        </w:rPr>
        <w:t>本款补充第1.10.4项：</w:t>
      </w:r>
    </w:p>
    <w:p w14:paraId="3BA125FF">
      <w:pPr>
        <w:spacing w:line="360" w:lineRule="auto"/>
        <w:ind w:firstLine="480" w:firstLineChars="200"/>
        <w:rPr>
          <w:rFonts w:ascii="宋体" w:hAnsi="宋体" w:cs="宋体"/>
          <w:b/>
          <w:sz w:val="24"/>
          <w:szCs w:val="24"/>
        </w:rPr>
      </w:pPr>
      <w:r>
        <w:rPr>
          <w:rFonts w:hint="eastAsia" w:ascii="宋体" w:hAnsi="宋体" w:cs="宋体"/>
          <w:sz w:val="24"/>
          <w:szCs w:val="24"/>
        </w:rPr>
        <w:t>1.10.4监理人在本合同履行期间及本合同终止后</w:t>
      </w:r>
      <w:r>
        <w:rPr>
          <w:rFonts w:hint="eastAsia" w:ascii="宋体" w:hAnsi="宋体" w:cs="宋体"/>
          <w:sz w:val="24"/>
          <w:szCs w:val="24"/>
          <w:u w:val="single"/>
        </w:rPr>
        <w:t>两年内</w:t>
      </w:r>
      <w:r>
        <w:rPr>
          <w:rFonts w:hint="eastAsia" w:ascii="宋体" w:hAnsi="宋体" w:cs="宋体"/>
          <w:sz w:val="24"/>
          <w:szCs w:val="24"/>
        </w:rPr>
        <w:t>出版与本项目或本工程监理服务有关的资料须经委托人书面同意</w:t>
      </w:r>
      <w:r>
        <w:rPr>
          <w:rFonts w:hint="eastAsia" w:ascii="宋体" w:hAnsi="宋体" w:cs="宋体"/>
          <w:sz w:val="24"/>
          <w:szCs w:val="24"/>
          <w:lang w:eastAsia="zh-CN"/>
        </w:rPr>
        <w:t>，。</w:t>
      </w:r>
      <w:r>
        <w:rPr>
          <w:rFonts w:hint="eastAsia" w:ascii="宋体" w:hAnsi="宋体" w:cs="宋体"/>
          <w:sz w:val="24"/>
          <w:szCs w:val="24"/>
        </w:rPr>
        <w:t>上述出版物中不得涉及</w:t>
      </w:r>
      <w:r>
        <w:rPr>
          <w:rFonts w:hint="eastAsia" w:ascii="宋体" w:hAnsi="宋体" w:cs="宋体"/>
          <w:sz w:val="24"/>
          <w:szCs w:val="24"/>
          <w:u w:val="single"/>
        </w:rPr>
        <w:t>委托人的专利、专有技术以及经济情报</w:t>
      </w:r>
      <w:r>
        <w:rPr>
          <w:rFonts w:hint="eastAsia" w:ascii="宋体" w:hAnsi="宋体" w:cs="宋体"/>
          <w:sz w:val="24"/>
          <w:szCs w:val="24"/>
        </w:rPr>
        <w:t>。</w:t>
      </w:r>
    </w:p>
    <w:p w14:paraId="1DBFD09A">
      <w:pPr>
        <w:spacing w:line="360" w:lineRule="auto"/>
        <w:ind w:firstLine="482" w:firstLineChars="200"/>
        <w:rPr>
          <w:rFonts w:ascii="宋体" w:hAnsi="宋体" w:cs="宋体"/>
          <w:b/>
          <w:sz w:val="24"/>
          <w:szCs w:val="24"/>
        </w:rPr>
      </w:pPr>
      <w:r>
        <w:rPr>
          <w:rFonts w:hint="eastAsia" w:ascii="宋体" w:hAnsi="宋体" w:cs="宋体"/>
          <w:b/>
          <w:sz w:val="24"/>
          <w:szCs w:val="24"/>
        </w:rPr>
        <w:t>1.12 委托人要求</w:t>
      </w:r>
    </w:p>
    <w:p w14:paraId="7DD84373">
      <w:pPr>
        <w:spacing w:line="360" w:lineRule="auto"/>
        <w:ind w:firstLine="480" w:firstLineChars="200"/>
        <w:rPr>
          <w:rFonts w:ascii="宋体" w:hAnsi="宋体" w:cs="宋体"/>
          <w:sz w:val="24"/>
          <w:szCs w:val="24"/>
        </w:rPr>
      </w:pPr>
      <w:r>
        <w:rPr>
          <w:rFonts w:hint="eastAsia" w:ascii="宋体" w:hAnsi="宋体" w:cs="宋体"/>
          <w:sz w:val="24"/>
          <w:szCs w:val="24"/>
        </w:rPr>
        <w:t>1.12.3 委托人要求采用国外规范和标准进行监理时，应由委托人负责提供该规范和标准的外国文本和中文译本</w:t>
      </w:r>
      <w:r>
        <w:rPr>
          <w:rFonts w:hint="eastAsia" w:ascii="宋体" w:hAnsi="宋体" w:cs="宋体"/>
          <w:sz w:val="24"/>
          <w:szCs w:val="24"/>
          <w:lang w:eastAsia="zh-CN"/>
        </w:rPr>
        <w:t>，。</w:t>
      </w:r>
    </w:p>
    <w:p w14:paraId="7484B468">
      <w:pPr>
        <w:spacing w:line="360" w:lineRule="auto"/>
        <w:ind w:firstLine="480" w:firstLineChars="200"/>
        <w:rPr>
          <w:rFonts w:ascii="宋体" w:hAnsi="宋体" w:cs="宋体"/>
          <w:sz w:val="24"/>
          <w:szCs w:val="24"/>
        </w:rPr>
      </w:pPr>
      <w:r>
        <w:rPr>
          <w:rFonts w:hint="eastAsia" w:ascii="宋体" w:hAnsi="宋体" w:cs="宋体"/>
          <w:sz w:val="24"/>
          <w:szCs w:val="24"/>
        </w:rPr>
        <w:t>提供的时间：</w:t>
      </w:r>
      <w:r>
        <w:rPr>
          <w:rFonts w:hint="eastAsia" w:ascii="宋体" w:hAnsi="宋体" w:cs="宋体"/>
          <w:sz w:val="24"/>
          <w:szCs w:val="24"/>
          <w:u w:val="single"/>
        </w:rPr>
        <w:t xml:space="preserve"> / </w:t>
      </w:r>
      <w:r>
        <w:rPr>
          <w:rFonts w:hint="eastAsia" w:ascii="宋体" w:hAnsi="宋体" w:cs="宋体"/>
          <w:sz w:val="24"/>
          <w:szCs w:val="24"/>
          <w:u w:val="single"/>
          <w:lang w:eastAsia="zh-CN"/>
        </w:rPr>
        <w:t>。，</w:t>
      </w:r>
    </w:p>
    <w:p w14:paraId="26C49AD0">
      <w:pPr>
        <w:spacing w:line="360" w:lineRule="auto"/>
        <w:ind w:firstLine="480" w:firstLineChars="200"/>
        <w:rPr>
          <w:rFonts w:ascii="宋体" w:hAnsi="宋体" w:cs="宋体"/>
          <w:sz w:val="24"/>
          <w:szCs w:val="24"/>
        </w:rPr>
      </w:pPr>
      <w:r>
        <w:rPr>
          <w:rFonts w:hint="eastAsia" w:ascii="宋体" w:hAnsi="宋体" w:cs="宋体"/>
          <w:sz w:val="24"/>
          <w:szCs w:val="24"/>
        </w:rPr>
        <w:t>份数：</w:t>
      </w:r>
      <w:r>
        <w:rPr>
          <w:rFonts w:hint="eastAsia" w:ascii="宋体" w:hAnsi="宋体" w:cs="宋体"/>
          <w:sz w:val="24"/>
          <w:szCs w:val="24"/>
          <w:u w:val="single"/>
        </w:rPr>
        <w:t xml:space="preserve"> / </w:t>
      </w:r>
      <w:r>
        <w:rPr>
          <w:rFonts w:hint="eastAsia" w:ascii="宋体" w:hAnsi="宋体" w:cs="宋体"/>
          <w:sz w:val="24"/>
          <w:szCs w:val="24"/>
          <w:u w:val="single"/>
          <w:lang w:eastAsia="zh-CN"/>
        </w:rPr>
        <w:t>。，</w:t>
      </w:r>
    </w:p>
    <w:p w14:paraId="7CA29303">
      <w:pPr>
        <w:spacing w:line="360" w:lineRule="auto"/>
        <w:ind w:firstLine="480" w:firstLineChars="200"/>
        <w:rPr>
          <w:rFonts w:ascii="宋体" w:hAnsi="宋体" w:cs="宋体"/>
          <w:sz w:val="24"/>
          <w:szCs w:val="24"/>
        </w:rPr>
      </w:pPr>
      <w:r>
        <w:rPr>
          <w:rFonts w:hint="eastAsia" w:ascii="宋体" w:hAnsi="宋体" w:cs="宋体"/>
          <w:sz w:val="24"/>
          <w:szCs w:val="24"/>
        </w:rPr>
        <w:t>其他要求：</w:t>
      </w:r>
      <w:r>
        <w:rPr>
          <w:rFonts w:hint="eastAsia" w:ascii="宋体" w:hAnsi="宋体" w:cs="宋体"/>
          <w:sz w:val="24"/>
          <w:szCs w:val="24"/>
          <w:u w:val="single"/>
        </w:rPr>
        <w:t xml:space="preserve"> / </w:t>
      </w:r>
      <w:r>
        <w:rPr>
          <w:rFonts w:hint="eastAsia" w:ascii="宋体" w:hAnsi="宋体" w:cs="宋体"/>
          <w:sz w:val="24"/>
          <w:szCs w:val="24"/>
          <w:u w:val="single"/>
          <w:lang w:eastAsia="zh-CN"/>
        </w:rPr>
        <w:t>。，</w:t>
      </w:r>
    </w:p>
    <w:p w14:paraId="4088B636">
      <w:pPr>
        <w:pStyle w:val="4"/>
        <w:spacing w:before="0" w:after="0" w:line="360" w:lineRule="auto"/>
        <w:ind w:firstLine="138"/>
        <w:rPr>
          <w:rFonts w:ascii="宋体" w:hAnsi="宋体" w:cs="宋体"/>
          <w:sz w:val="24"/>
          <w:szCs w:val="24"/>
        </w:rPr>
      </w:pPr>
      <w:bookmarkStart w:id="283" w:name="_Toc531820320"/>
      <w:bookmarkStart w:id="284" w:name="_Toc16487"/>
      <w:bookmarkStart w:id="285" w:name="_Toc19079"/>
      <w:bookmarkStart w:id="286" w:name="_Toc26197"/>
      <w:bookmarkStart w:id="287" w:name="_Toc536778405"/>
      <w:r>
        <w:rPr>
          <w:rFonts w:hint="eastAsia" w:ascii="宋体" w:hAnsi="宋体" w:cs="宋体"/>
          <w:sz w:val="24"/>
          <w:szCs w:val="24"/>
        </w:rPr>
        <w:t>2.委托人义务</w:t>
      </w:r>
      <w:bookmarkEnd w:id="283"/>
      <w:bookmarkEnd w:id="284"/>
      <w:bookmarkEnd w:id="285"/>
      <w:bookmarkEnd w:id="286"/>
      <w:bookmarkEnd w:id="287"/>
    </w:p>
    <w:p w14:paraId="48DF5A87">
      <w:pPr>
        <w:spacing w:line="360" w:lineRule="auto"/>
        <w:ind w:firstLine="482" w:firstLineChars="200"/>
        <w:rPr>
          <w:rFonts w:ascii="宋体" w:hAnsi="宋体" w:cs="宋体"/>
          <w:b/>
          <w:bCs/>
          <w:sz w:val="24"/>
          <w:szCs w:val="24"/>
        </w:rPr>
      </w:pPr>
      <w:r>
        <w:rPr>
          <w:rFonts w:hint="eastAsia" w:ascii="宋体" w:hAnsi="宋体" w:cs="宋体"/>
          <w:b/>
          <w:bCs/>
          <w:sz w:val="24"/>
          <w:szCs w:val="24"/>
        </w:rPr>
        <w:t>2.2 发出开始监理通知</w:t>
      </w:r>
    </w:p>
    <w:p w14:paraId="2B0CE247">
      <w:pPr>
        <w:spacing w:line="360" w:lineRule="auto"/>
        <w:ind w:firstLine="480" w:firstLineChars="200"/>
        <w:rPr>
          <w:rFonts w:ascii="宋体" w:hAnsi="宋体" w:cs="宋体"/>
          <w:sz w:val="24"/>
          <w:szCs w:val="24"/>
        </w:rPr>
      </w:pPr>
      <w:r>
        <w:rPr>
          <w:rFonts w:hint="eastAsia" w:ascii="宋体" w:hAnsi="宋体" w:cs="宋体"/>
          <w:sz w:val="24"/>
          <w:szCs w:val="24"/>
        </w:rPr>
        <w:t>2.2.1由委托人派遣的人员和提供的房屋、资料、设备</w:t>
      </w:r>
      <w:r>
        <w:rPr>
          <w:rFonts w:hint="eastAsia" w:ascii="宋体" w:hAnsi="宋体" w:cs="宋体"/>
          <w:sz w:val="24"/>
          <w:szCs w:val="24"/>
          <w:lang w:eastAsia="zh-CN"/>
        </w:rPr>
        <w:t>应在</w:t>
      </w:r>
      <w:r>
        <w:rPr>
          <w:rFonts w:hint="eastAsia" w:ascii="宋体" w:hAnsi="宋体" w:cs="宋体"/>
          <w:sz w:val="24"/>
          <w:szCs w:val="24"/>
        </w:rPr>
        <w:t>开工后</w:t>
      </w:r>
      <w:r>
        <w:rPr>
          <w:rFonts w:hint="eastAsia" w:ascii="宋体" w:hAnsi="宋体" w:cs="宋体"/>
          <w:sz w:val="24"/>
          <w:szCs w:val="24"/>
          <w:lang w:eastAsia="zh-CN"/>
        </w:rPr>
        <w:t>到位</w:t>
      </w:r>
      <w:r>
        <w:rPr>
          <w:rFonts w:hint="eastAsia" w:ascii="宋体" w:hAnsi="宋体" w:cs="宋体"/>
          <w:sz w:val="24"/>
          <w:szCs w:val="24"/>
        </w:rPr>
        <w:t>。</w:t>
      </w:r>
    </w:p>
    <w:p w14:paraId="26254BD3">
      <w:pPr>
        <w:spacing w:line="360" w:lineRule="auto"/>
        <w:ind w:firstLine="480" w:firstLineChars="200"/>
        <w:rPr>
          <w:rFonts w:ascii="宋体" w:hAnsi="宋体" w:cs="宋体"/>
          <w:sz w:val="24"/>
          <w:szCs w:val="24"/>
          <w:u w:val="single"/>
        </w:rPr>
      </w:pPr>
      <w:r>
        <w:rPr>
          <w:rFonts w:hint="eastAsia" w:ascii="宋体" w:hAnsi="宋体" w:cs="宋体"/>
          <w:sz w:val="24"/>
          <w:szCs w:val="24"/>
        </w:rPr>
        <w:t>2.2.2由委托人无偿提供的房屋、设备的所有权属于</w:t>
      </w:r>
      <w:r>
        <w:rPr>
          <w:rFonts w:hint="eastAsia" w:ascii="宋体" w:hAnsi="宋体" w:cs="宋体"/>
          <w:sz w:val="24"/>
          <w:szCs w:val="24"/>
          <w:u w:val="single"/>
        </w:rPr>
        <w:t>委托人，监理人应建立</w:t>
      </w:r>
      <w:r>
        <w:rPr>
          <w:rFonts w:hint="eastAsia" w:ascii="宋体" w:hAnsi="宋体" w:cs="宋体"/>
          <w:sz w:val="24"/>
          <w:szCs w:val="24"/>
          <w:u w:val="single"/>
          <w:lang w:eastAsia="zh-CN"/>
        </w:rPr>
        <w:t>资产台账并妥善</w:t>
      </w:r>
      <w:r>
        <w:rPr>
          <w:rFonts w:hint="eastAsia" w:ascii="宋体" w:hAnsi="宋体" w:cs="宋体"/>
          <w:sz w:val="24"/>
          <w:szCs w:val="24"/>
          <w:u w:val="single"/>
        </w:rPr>
        <w:t>使用和保管，除正常损耗外，若有损毁应按折旧后的价值赔偿。</w:t>
      </w:r>
    </w:p>
    <w:p w14:paraId="60DED7D2">
      <w:pPr>
        <w:spacing w:line="360" w:lineRule="auto"/>
        <w:ind w:firstLine="480" w:firstLineChars="200"/>
        <w:rPr>
          <w:rFonts w:ascii="宋体" w:hAnsi="宋体" w:cs="宋体"/>
          <w:sz w:val="24"/>
          <w:szCs w:val="24"/>
        </w:rPr>
      </w:pPr>
      <w:r>
        <w:rPr>
          <w:rFonts w:hint="eastAsia" w:ascii="宋体" w:hAnsi="宋体" w:cs="宋体"/>
          <w:sz w:val="24"/>
          <w:szCs w:val="24"/>
        </w:rPr>
        <w:t>2.2.3监理人应在本合同终止后</w:t>
      </w:r>
      <w:r>
        <w:rPr>
          <w:rFonts w:hint="eastAsia" w:ascii="宋体" w:hAnsi="宋体" w:cs="宋体"/>
          <w:sz w:val="24"/>
          <w:szCs w:val="24"/>
          <w:u w:val="single"/>
        </w:rPr>
        <w:t xml:space="preserve"> 7 </w:t>
      </w:r>
      <w:r>
        <w:rPr>
          <w:rFonts w:hint="eastAsia" w:ascii="宋体" w:hAnsi="宋体" w:cs="宋体"/>
          <w:sz w:val="24"/>
          <w:szCs w:val="24"/>
        </w:rPr>
        <w:t>天内移交委托人无偿提供的房屋、设备，移交的时间和方式为：</w:t>
      </w:r>
      <w:r>
        <w:rPr>
          <w:rFonts w:hint="eastAsia" w:ascii="宋体" w:hAnsi="宋体" w:cs="宋体"/>
          <w:sz w:val="24"/>
          <w:szCs w:val="24"/>
          <w:u w:val="single"/>
        </w:rPr>
        <w:t>项目现场按</w:t>
      </w:r>
      <w:r>
        <w:rPr>
          <w:rFonts w:hint="eastAsia" w:ascii="宋体" w:hAnsi="宋体" w:cs="宋体"/>
          <w:sz w:val="24"/>
          <w:szCs w:val="24"/>
          <w:u w:val="single"/>
          <w:lang w:eastAsia="zh-CN"/>
        </w:rPr>
        <w:t>资产台账</w:t>
      </w:r>
      <w:r>
        <w:rPr>
          <w:rFonts w:hint="eastAsia" w:ascii="宋体" w:hAnsi="宋体" w:cs="宋体"/>
          <w:sz w:val="24"/>
          <w:szCs w:val="24"/>
          <w:u w:val="single"/>
        </w:rPr>
        <w:t>内容移交</w:t>
      </w:r>
      <w:r>
        <w:rPr>
          <w:rFonts w:hint="eastAsia" w:ascii="宋体" w:hAnsi="宋体" w:cs="宋体"/>
          <w:sz w:val="24"/>
          <w:szCs w:val="24"/>
        </w:rPr>
        <w:t>。</w:t>
      </w:r>
    </w:p>
    <w:p w14:paraId="4B57C08E">
      <w:pPr>
        <w:spacing w:line="360" w:lineRule="auto"/>
        <w:ind w:firstLine="482" w:firstLineChars="200"/>
        <w:rPr>
          <w:rFonts w:ascii="宋体" w:hAnsi="宋体" w:cs="宋体"/>
          <w:b/>
          <w:bCs/>
          <w:sz w:val="24"/>
          <w:szCs w:val="24"/>
        </w:rPr>
      </w:pPr>
      <w:r>
        <w:rPr>
          <w:rFonts w:hint="eastAsia" w:ascii="宋体" w:hAnsi="宋体" w:cs="宋体"/>
          <w:b/>
          <w:bCs/>
          <w:sz w:val="24"/>
          <w:szCs w:val="24"/>
        </w:rPr>
        <w:t>2.6 其他义务</w:t>
      </w:r>
    </w:p>
    <w:p w14:paraId="3AD711E0">
      <w:pPr>
        <w:spacing w:line="360" w:lineRule="auto"/>
        <w:ind w:firstLine="480" w:firstLineChars="200"/>
        <w:rPr>
          <w:rFonts w:ascii="宋体" w:hAnsi="宋体" w:cs="宋体"/>
          <w:sz w:val="24"/>
          <w:szCs w:val="24"/>
        </w:rPr>
      </w:pPr>
      <w:r>
        <w:rPr>
          <w:rFonts w:hint="eastAsia" w:ascii="宋体" w:hAnsi="宋体" w:cs="宋体"/>
          <w:sz w:val="24"/>
          <w:szCs w:val="24"/>
        </w:rPr>
        <w:t>2.6.1协助：</w:t>
      </w:r>
      <w:r>
        <w:rPr>
          <w:rFonts w:hint="eastAsia" w:ascii="宋体" w:hAnsi="宋体" w:cs="宋体"/>
          <w:sz w:val="24"/>
          <w:szCs w:val="24"/>
          <w:u w:val="single"/>
        </w:rPr>
        <w:t>委托人在工程所在地向监理人提供进驻现场的相关条件，解决非监理人原因而发生意外事件时监理工作人员的撤场和相关事宜</w:t>
      </w:r>
      <w:r>
        <w:rPr>
          <w:rFonts w:hint="eastAsia" w:ascii="宋体" w:hAnsi="宋体" w:cs="宋体"/>
          <w:sz w:val="24"/>
          <w:szCs w:val="24"/>
          <w:u w:val="single"/>
          <w:lang w:eastAsia="zh-CN"/>
        </w:rPr>
        <w:t>，</w:t>
      </w:r>
      <w:r>
        <w:rPr>
          <w:rFonts w:hint="eastAsia" w:ascii="宋体" w:hAnsi="宋体" w:cs="宋体"/>
          <w:sz w:val="24"/>
          <w:szCs w:val="24"/>
          <w:u w:val="single"/>
        </w:rPr>
        <w:t>避免监理人根据监理合同提供监理服务而导致的第三方收费（不含税金）。</w:t>
      </w:r>
    </w:p>
    <w:p w14:paraId="302AA10E">
      <w:pPr>
        <w:spacing w:line="360" w:lineRule="auto"/>
        <w:ind w:firstLine="480" w:firstLineChars="200"/>
        <w:rPr>
          <w:rFonts w:ascii="宋体" w:hAnsi="宋体" w:cs="宋体"/>
          <w:sz w:val="24"/>
          <w:szCs w:val="24"/>
        </w:rPr>
      </w:pPr>
      <w:r>
        <w:rPr>
          <w:rFonts w:hint="eastAsia" w:ascii="宋体" w:hAnsi="宋体" w:cs="宋体"/>
          <w:sz w:val="24"/>
          <w:szCs w:val="24"/>
        </w:rPr>
        <w:t>2.6.2授权通知：</w:t>
      </w:r>
      <w:r>
        <w:rPr>
          <w:rFonts w:hint="eastAsia" w:ascii="宋体" w:hAnsi="宋体" w:cs="宋体"/>
          <w:sz w:val="24"/>
          <w:szCs w:val="24"/>
          <w:u w:val="single"/>
        </w:rPr>
        <w:t>委托人必须将履行监理服务的监理人及委托人授予监理人的权力，及时用书面形式通知第三方</w:t>
      </w:r>
      <w:r>
        <w:rPr>
          <w:rFonts w:hint="eastAsia" w:ascii="宋体" w:hAnsi="宋体" w:cs="宋体"/>
          <w:sz w:val="24"/>
          <w:szCs w:val="24"/>
        </w:rPr>
        <w:t>。</w:t>
      </w:r>
    </w:p>
    <w:p w14:paraId="3D44916F">
      <w:pPr>
        <w:spacing w:line="360" w:lineRule="auto"/>
        <w:ind w:firstLine="480" w:firstLineChars="200"/>
        <w:rPr>
          <w:rFonts w:ascii="宋体" w:hAnsi="宋体" w:cs="宋体"/>
          <w:sz w:val="24"/>
          <w:szCs w:val="24"/>
        </w:rPr>
      </w:pPr>
      <w:r>
        <w:rPr>
          <w:rFonts w:hint="eastAsia" w:ascii="宋体" w:hAnsi="宋体" w:cs="宋体"/>
          <w:sz w:val="24"/>
          <w:szCs w:val="24"/>
        </w:rPr>
        <w:t>2.6.3委托人指令的下达：</w:t>
      </w:r>
      <w:r>
        <w:rPr>
          <w:rFonts w:hint="eastAsia" w:ascii="宋体" w:hAnsi="宋体" w:cs="宋体"/>
          <w:sz w:val="24"/>
          <w:szCs w:val="24"/>
          <w:u w:val="single"/>
        </w:rPr>
        <w:t>委托人在本合同约定的服务范围内对承包人的意见或要求，应通过监理人向承包人提出</w:t>
      </w:r>
      <w:r>
        <w:rPr>
          <w:rFonts w:hint="eastAsia" w:ascii="宋体" w:hAnsi="宋体" w:cs="宋体"/>
          <w:sz w:val="24"/>
          <w:szCs w:val="24"/>
        </w:rPr>
        <w:t>。</w:t>
      </w:r>
    </w:p>
    <w:p w14:paraId="6EFFABDF">
      <w:pPr>
        <w:spacing w:line="360" w:lineRule="auto"/>
        <w:ind w:firstLine="480" w:firstLineChars="200"/>
        <w:rPr>
          <w:rFonts w:ascii="宋体" w:hAnsi="宋体" w:cs="宋体"/>
          <w:sz w:val="24"/>
          <w:szCs w:val="24"/>
        </w:rPr>
      </w:pPr>
      <w:r>
        <w:rPr>
          <w:rFonts w:hint="eastAsia" w:ascii="宋体" w:hAnsi="宋体" w:cs="宋体"/>
          <w:sz w:val="24"/>
          <w:szCs w:val="24"/>
        </w:rPr>
        <w:t>2.6.4委托人是否提供支付担保：</w:t>
      </w:r>
      <w:r>
        <w:rPr>
          <w:rFonts w:hint="eastAsia" w:ascii="宋体" w:hAnsi="宋体" w:cs="宋体"/>
          <w:sz w:val="24"/>
          <w:szCs w:val="24"/>
          <w:u w:val="single"/>
        </w:rPr>
        <w:t>不提供</w:t>
      </w:r>
      <w:r>
        <w:rPr>
          <w:rFonts w:hint="eastAsia" w:ascii="宋体" w:hAnsi="宋体" w:cs="宋体"/>
          <w:sz w:val="24"/>
          <w:szCs w:val="24"/>
        </w:rPr>
        <w:t>。</w:t>
      </w:r>
    </w:p>
    <w:p w14:paraId="6B531258">
      <w:pPr>
        <w:pStyle w:val="4"/>
        <w:spacing w:before="0" w:after="0" w:line="360" w:lineRule="auto"/>
        <w:ind w:firstLine="138"/>
        <w:rPr>
          <w:rFonts w:ascii="宋体" w:hAnsi="宋体" w:cs="宋体"/>
          <w:sz w:val="24"/>
          <w:szCs w:val="24"/>
        </w:rPr>
      </w:pPr>
      <w:bookmarkStart w:id="288" w:name="_Toc11507"/>
      <w:bookmarkStart w:id="289" w:name="_Toc536778406"/>
      <w:bookmarkStart w:id="290" w:name="_Toc7836"/>
      <w:bookmarkStart w:id="291" w:name="_Toc553"/>
      <w:bookmarkStart w:id="292" w:name="_Toc531820321"/>
      <w:r>
        <w:rPr>
          <w:rFonts w:hint="eastAsia" w:ascii="宋体" w:hAnsi="宋体" w:cs="宋体"/>
          <w:sz w:val="24"/>
          <w:szCs w:val="24"/>
        </w:rPr>
        <w:t>3.委托人管理</w:t>
      </w:r>
      <w:bookmarkEnd w:id="288"/>
      <w:bookmarkEnd w:id="289"/>
      <w:bookmarkEnd w:id="290"/>
      <w:bookmarkEnd w:id="291"/>
      <w:bookmarkEnd w:id="292"/>
    </w:p>
    <w:p w14:paraId="37F3977D">
      <w:pPr>
        <w:spacing w:line="360" w:lineRule="auto"/>
        <w:ind w:firstLine="482" w:firstLineChars="200"/>
        <w:rPr>
          <w:rFonts w:ascii="宋体" w:hAnsi="宋体" w:cs="宋体"/>
          <w:b/>
          <w:sz w:val="24"/>
          <w:szCs w:val="24"/>
        </w:rPr>
      </w:pPr>
      <w:r>
        <w:rPr>
          <w:rFonts w:hint="eastAsia" w:ascii="宋体" w:hAnsi="宋体" w:cs="宋体"/>
          <w:b/>
          <w:sz w:val="24"/>
          <w:szCs w:val="24"/>
        </w:rPr>
        <w:t>3.1委托人代表</w:t>
      </w:r>
    </w:p>
    <w:p w14:paraId="6EA6C354">
      <w:pPr>
        <w:spacing w:line="360" w:lineRule="auto"/>
        <w:ind w:firstLine="480" w:firstLineChars="200"/>
        <w:rPr>
          <w:rFonts w:ascii="宋体" w:hAnsi="宋体" w:cs="宋体"/>
          <w:b/>
          <w:sz w:val="24"/>
          <w:szCs w:val="24"/>
        </w:rPr>
      </w:pPr>
      <w:r>
        <w:rPr>
          <w:rFonts w:hint="eastAsia" w:ascii="宋体" w:hAnsi="宋体" w:cs="宋体"/>
          <w:sz w:val="24"/>
          <w:szCs w:val="24"/>
        </w:rPr>
        <w:t>3.1.1委托人代表在授权范围内的行为由委托人承担法律责任。</w:t>
      </w:r>
    </w:p>
    <w:p w14:paraId="7B585491">
      <w:pPr>
        <w:spacing w:line="360" w:lineRule="auto"/>
        <w:ind w:firstLine="480" w:firstLineChars="200"/>
        <w:rPr>
          <w:rFonts w:ascii="宋体" w:hAnsi="宋体" w:cs="宋体"/>
          <w:sz w:val="24"/>
          <w:szCs w:val="24"/>
        </w:rPr>
      </w:pPr>
      <w:r>
        <w:rPr>
          <w:rFonts w:hint="eastAsia" w:ascii="宋体" w:hAnsi="宋体" w:cs="宋体"/>
          <w:sz w:val="24"/>
          <w:szCs w:val="24"/>
        </w:rPr>
        <w:t>委托人代表：</w:t>
      </w:r>
      <w:r>
        <w:rPr>
          <w:rFonts w:hint="eastAsia" w:ascii="宋体" w:hAnsi="宋体" w:cs="宋体"/>
          <w:sz w:val="24"/>
          <w:szCs w:val="24"/>
          <w:u w:val="single"/>
        </w:rPr>
        <w:t xml:space="preserve">     </w:t>
      </w:r>
      <w:r>
        <w:rPr>
          <w:rFonts w:hint="eastAsia" w:ascii="宋体" w:hAnsi="宋体" w:cs="宋体"/>
          <w:sz w:val="24"/>
          <w:szCs w:val="24"/>
        </w:rPr>
        <w:t>。</w:t>
      </w:r>
    </w:p>
    <w:p w14:paraId="5095FB5C">
      <w:pPr>
        <w:spacing w:line="360" w:lineRule="auto"/>
        <w:ind w:firstLine="480" w:firstLineChars="200"/>
        <w:rPr>
          <w:rFonts w:ascii="宋体" w:hAnsi="宋体" w:cs="宋体"/>
          <w:sz w:val="24"/>
          <w:szCs w:val="24"/>
          <w:u w:val="single"/>
        </w:rPr>
      </w:pPr>
      <w:r>
        <w:rPr>
          <w:rFonts w:hint="eastAsia" w:ascii="宋体" w:hAnsi="宋体" w:cs="宋体"/>
          <w:sz w:val="24"/>
          <w:szCs w:val="24"/>
        </w:rPr>
        <w:t>委托人职务：</w:t>
      </w:r>
      <w:r>
        <w:rPr>
          <w:rFonts w:hint="eastAsia" w:ascii="宋体" w:hAnsi="宋体" w:cs="宋体"/>
          <w:sz w:val="24"/>
          <w:szCs w:val="24"/>
          <w:u w:val="single"/>
        </w:rPr>
        <w:t xml:space="preserve">        </w:t>
      </w:r>
      <w:r>
        <w:rPr>
          <w:rFonts w:hint="eastAsia" w:ascii="宋体" w:hAnsi="宋体" w:cs="宋体"/>
          <w:sz w:val="24"/>
          <w:szCs w:val="24"/>
        </w:rPr>
        <w:t>。</w:t>
      </w:r>
    </w:p>
    <w:p w14:paraId="791DC496">
      <w:pPr>
        <w:spacing w:line="360" w:lineRule="auto"/>
        <w:ind w:firstLine="480" w:firstLineChars="200"/>
        <w:rPr>
          <w:rFonts w:ascii="宋体" w:hAnsi="宋体" w:cs="宋体"/>
          <w:sz w:val="24"/>
          <w:szCs w:val="24"/>
          <w:u w:val="single"/>
        </w:rPr>
      </w:pPr>
      <w:r>
        <w:rPr>
          <w:rFonts w:hint="eastAsia" w:ascii="宋体" w:hAnsi="宋体" w:cs="宋体"/>
          <w:sz w:val="24"/>
          <w:szCs w:val="24"/>
        </w:rPr>
        <w:t xml:space="preserve">联系方式： </w:t>
      </w:r>
      <w:r>
        <w:rPr>
          <w:rFonts w:hint="eastAsia" w:ascii="宋体" w:hAnsi="宋体" w:cs="宋体"/>
          <w:sz w:val="24"/>
          <w:szCs w:val="24"/>
          <w:u w:val="single"/>
        </w:rPr>
        <w:t xml:space="preserve">  </w:t>
      </w:r>
      <w:r>
        <w:rPr>
          <w:rFonts w:hint="eastAsia" w:ascii="宋体" w:hAnsi="宋体" w:cs="宋体"/>
          <w:sz w:val="24"/>
          <w:szCs w:val="24"/>
        </w:rPr>
        <w:t>。</w:t>
      </w:r>
    </w:p>
    <w:p w14:paraId="59798AE0">
      <w:pPr>
        <w:spacing w:line="360" w:lineRule="auto"/>
        <w:ind w:firstLine="480" w:firstLineChars="200"/>
        <w:rPr>
          <w:rFonts w:ascii="宋体" w:hAnsi="宋体" w:cs="宋体"/>
          <w:sz w:val="24"/>
          <w:szCs w:val="24"/>
        </w:rPr>
      </w:pPr>
      <w:r>
        <w:rPr>
          <w:rFonts w:hint="eastAsia" w:ascii="宋体" w:hAnsi="宋体" w:cs="宋体"/>
          <w:sz w:val="24"/>
          <w:szCs w:val="24"/>
        </w:rPr>
        <w:t>委托人代表的授权范围及期限：</w:t>
      </w:r>
      <w:r>
        <w:rPr>
          <w:rFonts w:hint="eastAsia" w:ascii="宋体" w:hAnsi="宋体" w:cs="宋体"/>
          <w:sz w:val="24"/>
          <w:szCs w:val="24"/>
          <w:u w:val="single"/>
        </w:rPr>
        <w:t>代表委托人对项目建设进行协调、管控、审查，确保安全、 质量、环保、进度、成本可控，及时处理项目相关问题，向承包人、监理人等下达各类指令。由委托人授权的，以授权书载明的授权范围为准；不涉及工期延长、工程价款及变更、已完成工程量报告、竣工结算报告、索赔等事项的确认或回复。工期延长、工程价款及变更、已完成工程量报告、竣工结算报告、索赔等事项必须符合本合同相关条款约定并加盖委托人公章</w:t>
      </w:r>
      <w:r>
        <w:rPr>
          <w:rFonts w:hint="eastAsia" w:ascii="宋体" w:hAnsi="宋体" w:cs="宋体"/>
          <w:sz w:val="24"/>
          <w:szCs w:val="24"/>
          <w:u w:val="single"/>
          <w:lang w:eastAsia="zh-CN"/>
        </w:rPr>
        <w:t>，</w:t>
      </w:r>
      <w:r>
        <w:rPr>
          <w:rFonts w:hint="eastAsia" w:ascii="宋体" w:hAnsi="宋体" w:cs="宋体"/>
          <w:sz w:val="24"/>
          <w:szCs w:val="24"/>
          <w:u w:val="single"/>
        </w:rPr>
        <w:t>否则，除委托人书面追认外，均属无效，对委托人无任何约束力。委托期限从项目开工开始至项目完成竣工验收，直至项目办理完结算为止</w:t>
      </w:r>
      <w:r>
        <w:rPr>
          <w:rFonts w:hint="eastAsia" w:ascii="宋体" w:hAnsi="宋体" w:cs="宋体"/>
          <w:sz w:val="24"/>
          <w:szCs w:val="24"/>
        </w:rPr>
        <w:t>。</w:t>
      </w:r>
    </w:p>
    <w:p w14:paraId="7269CF16">
      <w:pPr>
        <w:spacing w:line="360" w:lineRule="auto"/>
        <w:ind w:firstLine="482" w:firstLineChars="200"/>
        <w:rPr>
          <w:rFonts w:ascii="宋体" w:hAnsi="宋体" w:cs="宋体"/>
          <w:b/>
          <w:bCs/>
          <w:sz w:val="24"/>
          <w:szCs w:val="24"/>
        </w:rPr>
      </w:pPr>
      <w:r>
        <w:rPr>
          <w:rFonts w:hint="eastAsia" w:ascii="宋体" w:hAnsi="宋体" w:cs="宋体"/>
          <w:b/>
          <w:bCs/>
          <w:sz w:val="24"/>
          <w:szCs w:val="24"/>
        </w:rPr>
        <w:t>3.3 决定或答复</w:t>
      </w:r>
    </w:p>
    <w:p w14:paraId="662D3598">
      <w:pPr>
        <w:spacing w:line="360" w:lineRule="auto"/>
        <w:ind w:firstLine="480" w:firstLineChars="200"/>
        <w:rPr>
          <w:rFonts w:ascii="宋体" w:hAnsi="宋体" w:cs="宋体"/>
          <w:sz w:val="24"/>
          <w:szCs w:val="24"/>
        </w:rPr>
      </w:pPr>
      <w:r>
        <w:rPr>
          <w:rFonts w:hint="eastAsia" w:ascii="宋体" w:hAnsi="宋体" w:cs="宋体"/>
          <w:sz w:val="24"/>
          <w:szCs w:val="24"/>
        </w:rPr>
        <w:t>3.3.2委托人应在</w:t>
      </w:r>
      <w:r>
        <w:rPr>
          <w:rFonts w:hint="eastAsia" w:ascii="宋体" w:hAnsi="宋体" w:cs="宋体"/>
          <w:sz w:val="24"/>
          <w:szCs w:val="24"/>
          <w:u w:val="single"/>
        </w:rPr>
        <w:t xml:space="preserve"> 7 </w:t>
      </w:r>
      <w:r>
        <w:rPr>
          <w:rFonts w:hint="eastAsia" w:ascii="宋体" w:hAnsi="宋体" w:cs="宋体"/>
          <w:sz w:val="24"/>
          <w:szCs w:val="24"/>
        </w:rPr>
        <w:t>天之内，对监理人书面提出的事项作出书面答复；</w:t>
      </w:r>
      <w:r>
        <w:rPr>
          <w:rFonts w:hint="eastAsia" w:ascii="宋体" w:hAnsi="宋体" w:cs="宋体"/>
          <w:sz w:val="24"/>
          <w:szCs w:val="24"/>
          <w:u w:val="single"/>
        </w:rPr>
        <w:t>逾期没有</w:t>
      </w:r>
      <w:r>
        <w:rPr>
          <w:rFonts w:hint="eastAsia" w:ascii="宋体" w:hAnsi="宋体" w:cs="宋体"/>
          <w:sz w:val="24"/>
          <w:szCs w:val="24"/>
          <w:u w:val="single"/>
          <w:lang w:eastAsia="zh-CN"/>
        </w:rPr>
        <w:t>作出</w:t>
      </w:r>
      <w:r>
        <w:rPr>
          <w:rFonts w:hint="eastAsia" w:ascii="宋体" w:hAnsi="宋体" w:cs="宋体"/>
          <w:sz w:val="24"/>
          <w:szCs w:val="24"/>
          <w:u w:val="single"/>
        </w:rPr>
        <w:t>答复的，视为已获得委托人的批准</w:t>
      </w:r>
      <w:r>
        <w:rPr>
          <w:rFonts w:hint="eastAsia" w:ascii="宋体" w:hAnsi="宋体" w:cs="宋体"/>
          <w:sz w:val="24"/>
          <w:szCs w:val="24"/>
        </w:rPr>
        <w:t>。</w:t>
      </w:r>
    </w:p>
    <w:p w14:paraId="78246A34">
      <w:pPr>
        <w:pStyle w:val="4"/>
        <w:spacing w:before="0" w:after="0" w:line="360" w:lineRule="auto"/>
        <w:ind w:firstLine="138"/>
        <w:rPr>
          <w:rFonts w:ascii="宋体" w:hAnsi="宋体" w:cs="宋体"/>
          <w:sz w:val="24"/>
          <w:szCs w:val="24"/>
        </w:rPr>
      </w:pPr>
      <w:bookmarkStart w:id="293" w:name="_Toc15438"/>
      <w:bookmarkStart w:id="294" w:name="_Toc23376"/>
      <w:bookmarkStart w:id="295" w:name="_Toc536778407"/>
      <w:bookmarkStart w:id="296" w:name="_Toc531820322"/>
      <w:bookmarkStart w:id="297" w:name="_Toc26408"/>
      <w:r>
        <w:rPr>
          <w:rFonts w:hint="eastAsia" w:ascii="宋体" w:hAnsi="宋体" w:cs="宋体"/>
          <w:sz w:val="24"/>
          <w:szCs w:val="24"/>
        </w:rPr>
        <w:t>4.监理人义务</w:t>
      </w:r>
      <w:bookmarkEnd w:id="293"/>
      <w:bookmarkEnd w:id="294"/>
      <w:bookmarkEnd w:id="295"/>
      <w:bookmarkEnd w:id="296"/>
      <w:bookmarkEnd w:id="297"/>
    </w:p>
    <w:p w14:paraId="17C01E56">
      <w:pPr>
        <w:spacing w:line="360" w:lineRule="auto"/>
        <w:ind w:firstLine="482" w:firstLineChars="200"/>
        <w:rPr>
          <w:rFonts w:ascii="宋体" w:hAnsi="宋体" w:cs="宋体"/>
          <w:b/>
          <w:sz w:val="24"/>
          <w:szCs w:val="24"/>
        </w:rPr>
      </w:pPr>
      <w:r>
        <w:rPr>
          <w:rFonts w:hint="eastAsia" w:ascii="宋体" w:hAnsi="宋体" w:cs="宋体"/>
          <w:b/>
          <w:sz w:val="24"/>
          <w:szCs w:val="24"/>
        </w:rPr>
        <w:t>4.1 监理人的一般义务</w:t>
      </w:r>
    </w:p>
    <w:p w14:paraId="42A51C11">
      <w:pPr>
        <w:spacing w:line="360" w:lineRule="auto"/>
        <w:ind w:firstLine="480" w:firstLineChars="200"/>
        <w:rPr>
          <w:rFonts w:ascii="宋体" w:hAnsi="宋体" w:cs="宋体"/>
          <w:sz w:val="24"/>
          <w:szCs w:val="24"/>
        </w:rPr>
      </w:pPr>
      <w:r>
        <w:rPr>
          <w:rFonts w:hint="eastAsia" w:ascii="宋体" w:hAnsi="宋体" w:cs="宋体"/>
          <w:sz w:val="24"/>
          <w:szCs w:val="24"/>
        </w:rPr>
        <w:t>4.1.4 其他义务</w:t>
      </w:r>
    </w:p>
    <w:p w14:paraId="0416F8BB">
      <w:pPr>
        <w:spacing w:line="360" w:lineRule="auto"/>
        <w:ind w:firstLine="480" w:firstLineChars="200"/>
        <w:rPr>
          <w:rFonts w:ascii="宋体" w:hAnsi="宋体" w:cs="宋体"/>
          <w:sz w:val="24"/>
          <w:szCs w:val="24"/>
        </w:rPr>
      </w:pPr>
      <w:r>
        <w:rPr>
          <w:rFonts w:hint="eastAsia" w:ascii="宋体" w:hAnsi="宋体" w:cs="宋体"/>
          <w:sz w:val="24"/>
          <w:szCs w:val="24"/>
        </w:rPr>
        <w:t>4.1.4.1 安全文明施工费监督管理：承包人应依据</w:t>
      </w:r>
      <w:r>
        <w:rPr>
          <w:rFonts w:hint="eastAsia" w:ascii="宋体" w:hAnsi="宋体" w:cs="宋体"/>
          <w:sz w:val="24"/>
          <w:szCs w:val="24"/>
          <w:u w:val="single"/>
        </w:rPr>
        <w:t>《企业安全生产费用提取和使用管理办法》（财资〔2022〕136号）、《重庆市住房和城乡建设委员会关于修订发布</w:t>
      </w:r>
      <w:r>
        <w:rPr>
          <w:rFonts w:hint="eastAsia" w:ascii="宋体" w:hAnsi="宋体" w:cs="宋体"/>
          <w:sz w:val="24"/>
          <w:szCs w:val="24"/>
          <w:u w:val="single"/>
          <w:lang w:eastAsia="zh-CN"/>
        </w:rPr>
        <w:t>〈</w:t>
      </w:r>
      <w:r>
        <w:rPr>
          <w:rFonts w:hint="eastAsia" w:ascii="宋体" w:hAnsi="宋体" w:cs="宋体"/>
          <w:sz w:val="24"/>
          <w:szCs w:val="24"/>
          <w:u w:val="single"/>
        </w:rPr>
        <w:t>重庆市建设工程安全文明施工费计取及使用管理规定</w:t>
      </w:r>
      <w:r>
        <w:rPr>
          <w:rFonts w:hint="eastAsia" w:ascii="宋体" w:hAnsi="宋体" w:cs="宋体"/>
          <w:sz w:val="24"/>
          <w:szCs w:val="24"/>
          <w:u w:val="single"/>
          <w:lang w:eastAsia="zh-CN"/>
        </w:rPr>
        <w:t>〉的通知》</w:t>
      </w:r>
      <w:r>
        <w:rPr>
          <w:rFonts w:hint="eastAsia" w:ascii="宋体" w:hAnsi="宋体" w:cs="宋体"/>
          <w:sz w:val="24"/>
          <w:szCs w:val="24"/>
          <w:u w:val="single"/>
        </w:rPr>
        <w:t>（渝建管〔2024〕38号）</w:t>
      </w:r>
      <w:r>
        <w:rPr>
          <w:rFonts w:hint="eastAsia" w:ascii="宋体" w:hAnsi="宋体" w:cs="宋体"/>
          <w:sz w:val="24"/>
          <w:szCs w:val="24"/>
        </w:rPr>
        <w:t>及相关行业行政管理部门的规定，要求委托人办理相应支付，监理人应按照施工合同及管理规定要求对安全文明施工费的支付及使用进行监督。</w:t>
      </w:r>
    </w:p>
    <w:p w14:paraId="03E68871">
      <w:pPr>
        <w:spacing w:line="360" w:lineRule="auto"/>
        <w:ind w:firstLine="480" w:firstLineChars="200"/>
        <w:rPr>
          <w:rFonts w:ascii="宋体" w:hAnsi="宋体" w:cs="宋体"/>
          <w:sz w:val="24"/>
          <w:szCs w:val="24"/>
        </w:rPr>
      </w:pPr>
      <w:r>
        <w:rPr>
          <w:rFonts w:hint="eastAsia" w:ascii="宋体" w:hAnsi="宋体" w:cs="宋体"/>
          <w:sz w:val="24"/>
          <w:szCs w:val="24"/>
        </w:rPr>
        <w:t>4.1.4.2 农民工工资监督管理：监理人应严格按照</w:t>
      </w:r>
      <w:r>
        <w:rPr>
          <w:rFonts w:hint="eastAsia" w:ascii="宋体" w:hAnsi="宋体" w:cs="宋体"/>
          <w:sz w:val="24"/>
          <w:szCs w:val="24"/>
          <w:u w:val="single"/>
        </w:rPr>
        <w:t>《保障农民工工资支付条例》（中华人民共和国国务院令第724号）、《重庆市人民政府办公厅关于全面治理拖欠农民工工资问题的实施意见》（渝府办发〔2016〕101号）、《重庆市城乡建设委员会、中国人民银行重庆营业管理部、中国银行业监督管理委员会重庆监管局关于建筑领域实施农民工工资专用账户管理及银行代发制度（试行）的通知》（渝建发〔2017〕13号）、《重庆市住房和城乡建设委员会关于优化调整建筑领域农民工工资专用账户管理及工资保证金制度的通知》（渝建发〔2020〕7号）、《重庆市住房和城乡建设委员会关于调整市政及机电安装工程农民工工资专用账户人工费拨付比例有关事宜的通知》（渝建管〔2021〕211号）及《重庆市建设工程造价管理总站关于建筑领域农民工工资专户管理网络系统正式运行有关事宜的通知</w:t>
      </w:r>
      <w:r>
        <w:rPr>
          <w:rFonts w:hint="eastAsia" w:ascii="宋体" w:hAnsi="宋体" w:cs="宋体"/>
          <w:sz w:val="24"/>
          <w:szCs w:val="24"/>
          <w:u w:val="single"/>
          <w:lang w:eastAsia="zh-CN"/>
        </w:rPr>
        <w:t>》《</w:t>
      </w:r>
      <w:r>
        <w:rPr>
          <w:rFonts w:hint="eastAsia" w:ascii="宋体" w:hAnsi="宋体" w:cs="宋体"/>
          <w:sz w:val="24"/>
          <w:szCs w:val="24"/>
          <w:u w:val="single"/>
        </w:rPr>
        <w:t>重庆市人力资源和社会保障局等11个部门关于印发重庆市工程建设领域农民工工资专用账户管理实施细则的通知》（渝人社发〔2022〕45号）</w:t>
      </w:r>
      <w:r>
        <w:rPr>
          <w:rFonts w:hint="eastAsia" w:ascii="宋体" w:hAnsi="宋体" w:cs="宋体"/>
          <w:sz w:val="24"/>
          <w:szCs w:val="24"/>
        </w:rPr>
        <w:t>及相关行业行政管理部门的要求，对项目现场农民工工资支付情况进行监督。</w:t>
      </w:r>
    </w:p>
    <w:p w14:paraId="00FDCBF5">
      <w:pPr>
        <w:spacing w:line="360" w:lineRule="auto"/>
        <w:ind w:firstLine="480" w:firstLineChars="200"/>
        <w:rPr>
          <w:rFonts w:ascii="宋体" w:hAnsi="宋体" w:cs="宋体"/>
          <w:sz w:val="24"/>
          <w:szCs w:val="24"/>
        </w:rPr>
      </w:pPr>
      <w:r>
        <w:rPr>
          <w:rFonts w:hint="eastAsia" w:ascii="宋体" w:hAnsi="宋体" w:cs="宋体"/>
          <w:sz w:val="24"/>
          <w:szCs w:val="24"/>
        </w:rPr>
        <w:t>4.1.4.3监理人应履行的其他义务：</w:t>
      </w:r>
      <w:r>
        <w:rPr>
          <w:rFonts w:hint="eastAsia" w:ascii="宋体" w:hAnsi="宋体" w:cs="宋体"/>
          <w:sz w:val="24"/>
          <w:szCs w:val="24"/>
          <w:u w:val="single"/>
        </w:rPr>
        <w:t>监理人应按照工程总承包合同的规定负责施工单位主要管理人员的考勤，包括但不限于总承包项目经理、施工负责人、技术负责人及施工单位中标后按照现行标准、规范要求配备的其他主要管理人员，主要管理人员每月在现场的</w:t>
      </w:r>
      <w:r>
        <w:rPr>
          <w:rFonts w:hint="eastAsia" w:ascii="宋体" w:hAnsi="宋体" w:cs="宋体"/>
          <w:sz w:val="24"/>
          <w:szCs w:val="24"/>
          <w:u w:val="single"/>
          <w:lang w:eastAsia="zh-CN"/>
        </w:rPr>
        <w:t>时间</w:t>
      </w:r>
      <w:r>
        <w:rPr>
          <w:rFonts w:hint="eastAsia" w:ascii="宋体" w:hAnsi="宋体" w:cs="宋体"/>
          <w:sz w:val="24"/>
          <w:szCs w:val="24"/>
          <w:u w:val="single"/>
        </w:rPr>
        <w:t>不少于22天</w:t>
      </w:r>
      <w:r>
        <w:rPr>
          <w:rFonts w:hint="eastAsia" w:ascii="宋体" w:hAnsi="宋体" w:cs="宋体"/>
          <w:sz w:val="24"/>
          <w:szCs w:val="24"/>
        </w:rPr>
        <w:t>。</w:t>
      </w:r>
    </w:p>
    <w:p w14:paraId="423F5400">
      <w:pPr>
        <w:spacing w:line="360" w:lineRule="auto"/>
        <w:ind w:firstLine="482" w:firstLineChars="200"/>
        <w:rPr>
          <w:rFonts w:ascii="宋体" w:hAnsi="宋体" w:cs="宋体"/>
          <w:b/>
          <w:sz w:val="24"/>
          <w:szCs w:val="24"/>
        </w:rPr>
      </w:pPr>
      <w:r>
        <w:rPr>
          <w:rFonts w:hint="eastAsia" w:ascii="宋体" w:hAnsi="宋体" w:cs="宋体"/>
          <w:b/>
          <w:sz w:val="24"/>
          <w:szCs w:val="24"/>
        </w:rPr>
        <w:t>4.2 履约保证金</w:t>
      </w:r>
    </w:p>
    <w:p w14:paraId="1D9124D2">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无</w:t>
      </w:r>
    </w:p>
    <w:p w14:paraId="7781F8DD">
      <w:pPr>
        <w:spacing w:line="360" w:lineRule="auto"/>
        <w:ind w:firstLine="482" w:firstLineChars="200"/>
        <w:rPr>
          <w:rFonts w:ascii="宋体" w:hAnsi="宋体" w:cs="宋体"/>
          <w:b/>
          <w:sz w:val="24"/>
          <w:szCs w:val="24"/>
        </w:rPr>
      </w:pPr>
      <w:r>
        <w:rPr>
          <w:rFonts w:hint="eastAsia" w:ascii="宋体" w:hAnsi="宋体" w:cs="宋体"/>
          <w:b/>
          <w:sz w:val="24"/>
          <w:szCs w:val="24"/>
        </w:rPr>
        <w:t>4.4 总监理工程师</w:t>
      </w:r>
    </w:p>
    <w:p w14:paraId="275A004B">
      <w:pPr>
        <w:spacing w:line="360" w:lineRule="auto"/>
        <w:ind w:firstLine="480" w:firstLineChars="200"/>
        <w:rPr>
          <w:rFonts w:ascii="宋体" w:hAnsi="宋体" w:cs="宋体"/>
          <w:sz w:val="24"/>
          <w:szCs w:val="24"/>
        </w:rPr>
      </w:pPr>
      <w:r>
        <w:rPr>
          <w:rFonts w:hint="eastAsia" w:ascii="宋体" w:hAnsi="宋体" w:cs="宋体"/>
          <w:sz w:val="24"/>
          <w:szCs w:val="24"/>
        </w:rPr>
        <w:t>4.4.1监理人应按合同协议书的约定指派总监理工程师，并在约定的期限内到职，除本合同第4.5.1.3目、4.5.1.4目及4.6款规定情形外，总监理工程师不允许更换。监理人更换总监理工程师应事先征得委托人同意，并应在更换14天前将拟更换的总监理工程师的姓名和详细资料提交委托人。总监理工程师委任书格式见附件一。</w:t>
      </w:r>
    </w:p>
    <w:p w14:paraId="5FCA849B">
      <w:pPr>
        <w:spacing w:line="360" w:lineRule="auto"/>
        <w:ind w:firstLine="480" w:firstLineChars="200"/>
        <w:rPr>
          <w:rFonts w:ascii="宋体" w:hAnsi="宋体" w:cs="宋体"/>
          <w:sz w:val="24"/>
          <w:szCs w:val="24"/>
        </w:rPr>
      </w:pPr>
      <w:r>
        <w:rPr>
          <w:rFonts w:hint="eastAsia" w:ascii="宋体" w:hAnsi="宋体" w:cs="宋体"/>
          <w:sz w:val="24"/>
          <w:szCs w:val="24"/>
        </w:rPr>
        <w:t>4.4.4 总监理工程师可以授权其下属人员履行其职责的范围：</w:t>
      </w:r>
      <w:r>
        <w:rPr>
          <w:rFonts w:hint="eastAsia" w:ascii="宋体" w:hAnsi="宋体" w:cs="宋体"/>
          <w:sz w:val="24"/>
          <w:szCs w:val="24"/>
          <w:u w:val="single"/>
        </w:rPr>
        <w:t>按《建设工程监理规范》及其他现行国家法律法规的要求执行</w:t>
      </w:r>
      <w:r>
        <w:rPr>
          <w:rFonts w:hint="eastAsia" w:ascii="宋体" w:hAnsi="宋体" w:cs="宋体"/>
          <w:sz w:val="24"/>
          <w:szCs w:val="24"/>
        </w:rPr>
        <w:t>。</w:t>
      </w:r>
    </w:p>
    <w:p w14:paraId="6BC494DB">
      <w:pPr>
        <w:spacing w:line="360" w:lineRule="auto"/>
        <w:ind w:firstLine="480" w:firstLineChars="200"/>
        <w:rPr>
          <w:rFonts w:ascii="宋体" w:hAnsi="宋体" w:cs="宋体"/>
          <w:sz w:val="24"/>
          <w:szCs w:val="24"/>
        </w:rPr>
      </w:pPr>
      <w:r>
        <w:rPr>
          <w:rFonts w:hint="eastAsia" w:ascii="宋体" w:hAnsi="宋体" w:cs="宋体"/>
          <w:sz w:val="24"/>
          <w:szCs w:val="24"/>
        </w:rPr>
        <w:t>书面通知委托人和承包人被授权人员的姓名和授权范围的时间</w:t>
      </w:r>
      <w:r>
        <w:rPr>
          <w:rFonts w:hint="eastAsia" w:ascii="宋体" w:hAnsi="宋体" w:cs="宋体"/>
          <w:sz w:val="24"/>
          <w:szCs w:val="24"/>
          <w:lang w:eastAsia="zh-CN"/>
        </w:rPr>
        <w:t>应</w:t>
      </w:r>
      <w:r>
        <w:rPr>
          <w:rFonts w:hint="eastAsia" w:ascii="宋体" w:hAnsi="宋体" w:cs="宋体"/>
          <w:sz w:val="24"/>
          <w:szCs w:val="24"/>
          <w:u w:val="single"/>
        </w:rPr>
        <w:t>在开展工作前7天内</w:t>
      </w:r>
      <w:r>
        <w:rPr>
          <w:rFonts w:hint="eastAsia" w:ascii="宋体" w:hAnsi="宋体" w:cs="宋体"/>
          <w:sz w:val="24"/>
          <w:szCs w:val="24"/>
        </w:rPr>
        <w:t>。</w:t>
      </w:r>
    </w:p>
    <w:p w14:paraId="5547BA80">
      <w:pPr>
        <w:spacing w:line="360" w:lineRule="auto"/>
        <w:ind w:firstLine="482" w:firstLineChars="200"/>
        <w:rPr>
          <w:rFonts w:ascii="宋体" w:hAnsi="宋体" w:cs="宋体"/>
          <w:b/>
          <w:sz w:val="24"/>
          <w:szCs w:val="24"/>
        </w:rPr>
      </w:pPr>
      <w:r>
        <w:rPr>
          <w:rFonts w:hint="eastAsia" w:ascii="宋体" w:hAnsi="宋体" w:cs="宋体"/>
          <w:b/>
          <w:sz w:val="24"/>
          <w:szCs w:val="24"/>
        </w:rPr>
        <w:t>4.5 监理人员的管理</w:t>
      </w:r>
    </w:p>
    <w:p w14:paraId="19390C89">
      <w:pPr>
        <w:spacing w:line="360" w:lineRule="auto"/>
        <w:ind w:firstLine="480" w:firstLineChars="200"/>
        <w:rPr>
          <w:rFonts w:ascii="宋体" w:hAnsi="宋体" w:cs="宋体"/>
          <w:kern w:val="0"/>
          <w:sz w:val="24"/>
          <w:szCs w:val="24"/>
        </w:rPr>
      </w:pPr>
      <w:r>
        <w:rPr>
          <w:rFonts w:hint="eastAsia" w:ascii="宋体" w:hAnsi="宋体" w:cs="宋体"/>
          <w:sz w:val="24"/>
          <w:szCs w:val="24"/>
        </w:rPr>
        <w:t>4.5.1.1项目监理机构人员应与投标承诺人员（适用于招标工程）一致，监理人派驻监理项目机构的所有监理人员应按工程进度及《监理规划》中人员进出场表的要求常驻现场，并保持稳定。监理人自合同签订之日起至完成合同约定监理工作之日止，不得擅自更换和撤离项目监理机构人员。派驻本项目监理人员一览表格式见附件二。</w:t>
      </w:r>
    </w:p>
    <w:p w14:paraId="4C07D5C8">
      <w:pPr>
        <w:spacing w:line="360" w:lineRule="auto"/>
        <w:ind w:firstLine="480" w:firstLineChars="200"/>
        <w:rPr>
          <w:rFonts w:ascii="宋体" w:hAnsi="宋体" w:cs="宋体"/>
          <w:sz w:val="24"/>
          <w:szCs w:val="24"/>
        </w:rPr>
      </w:pPr>
      <w:r>
        <w:rPr>
          <w:rFonts w:hint="eastAsia" w:ascii="宋体" w:hAnsi="宋体" w:cs="宋体"/>
          <w:kern w:val="0"/>
          <w:sz w:val="24"/>
          <w:szCs w:val="24"/>
        </w:rPr>
        <w:t>4.5.1.2更换监理人员的，应取得委托人同意，继任人员的从业资格等级不低于更换前人员的从业资格等级，并应符合招标文件要求，还须到原备案机构办理人员变更备案。</w:t>
      </w:r>
    </w:p>
    <w:p w14:paraId="2741D76B">
      <w:pPr>
        <w:spacing w:line="360" w:lineRule="auto"/>
        <w:ind w:firstLine="480" w:firstLineChars="200"/>
        <w:rPr>
          <w:rFonts w:ascii="宋体" w:hAnsi="宋体" w:cs="宋体"/>
          <w:sz w:val="24"/>
          <w:szCs w:val="24"/>
        </w:rPr>
      </w:pPr>
      <w:r>
        <w:rPr>
          <w:rFonts w:hint="eastAsia" w:ascii="宋体" w:hAnsi="宋体" w:cs="宋体"/>
          <w:sz w:val="24"/>
          <w:szCs w:val="24"/>
        </w:rPr>
        <w:t>4.5.1.3监理人可以更换项目监理机构人员的情形：</w:t>
      </w:r>
    </w:p>
    <w:p w14:paraId="3E055ABE">
      <w:pPr>
        <w:spacing w:line="360" w:lineRule="auto"/>
        <w:ind w:firstLine="480" w:firstLineChars="200"/>
        <w:rPr>
          <w:rFonts w:ascii="宋体" w:hAnsi="宋体" w:cs="宋体"/>
          <w:sz w:val="24"/>
          <w:szCs w:val="24"/>
          <w:u w:val="single"/>
        </w:rPr>
      </w:pPr>
      <w:r>
        <w:rPr>
          <w:rFonts w:hint="eastAsia" w:ascii="宋体" w:hAnsi="宋体" w:cs="宋体"/>
          <w:sz w:val="24"/>
          <w:szCs w:val="24"/>
        </w:rPr>
        <w:t>（1）项目监理机构人员死亡、失踪、按《职工非因工伤残或因病丧失劳动能力程度鉴定标准（试行）》规定鉴定为完全丧失劳动能力和大部分丧失劳动能力、劳动（劳务）合同关系解除等；</w:t>
      </w:r>
    </w:p>
    <w:p w14:paraId="3BC064D2">
      <w:pPr>
        <w:spacing w:line="360" w:lineRule="auto"/>
        <w:ind w:firstLine="480" w:firstLineChars="200"/>
        <w:rPr>
          <w:rFonts w:ascii="宋体" w:hAnsi="宋体" w:cs="宋体"/>
          <w:sz w:val="24"/>
          <w:szCs w:val="24"/>
          <w:u w:val="single"/>
        </w:rPr>
      </w:pPr>
      <w:r>
        <w:rPr>
          <w:rFonts w:hint="eastAsia" w:ascii="宋体" w:hAnsi="宋体" w:cs="宋体"/>
          <w:sz w:val="24"/>
          <w:szCs w:val="24"/>
        </w:rPr>
        <w:t>（2）非监理人原因，工程项目延期开工或停工时间达</w:t>
      </w:r>
      <w:r>
        <w:rPr>
          <w:rFonts w:hint="eastAsia" w:ascii="宋体" w:hAnsi="宋体" w:cs="宋体"/>
          <w:sz w:val="24"/>
          <w:szCs w:val="24"/>
          <w:u w:val="single"/>
        </w:rPr>
        <w:t>三个</w:t>
      </w:r>
      <w:r>
        <w:rPr>
          <w:rFonts w:hint="eastAsia" w:ascii="宋体" w:hAnsi="宋体" w:cs="宋体"/>
          <w:sz w:val="24"/>
          <w:szCs w:val="24"/>
        </w:rPr>
        <w:t>月以上的；</w:t>
      </w:r>
    </w:p>
    <w:p w14:paraId="605E1C78">
      <w:pPr>
        <w:spacing w:line="360" w:lineRule="auto"/>
        <w:ind w:firstLine="480" w:firstLineChars="200"/>
        <w:rPr>
          <w:rFonts w:ascii="宋体" w:hAnsi="宋体" w:cs="宋体"/>
          <w:sz w:val="24"/>
          <w:szCs w:val="24"/>
        </w:rPr>
      </w:pPr>
      <w:r>
        <w:rPr>
          <w:rFonts w:hint="eastAsia" w:ascii="宋体" w:hAnsi="宋体" w:cs="宋体"/>
          <w:sz w:val="24"/>
          <w:szCs w:val="24"/>
        </w:rPr>
        <w:t>（3）非监理人原因，建设工程</w:t>
      </w:r>
      <w:r>
        <w:rPr>
          <w:rFonts w:hint="eastAsia" w:ascii="宋体" w:hAnsi="宋体" w:cs="宋体"/>
          <w:sz w:val="24"/>
          <w:szCs w:val="24"/>
          <w:lang w:eastAsia="zh-CN"/>
        </w:rPr>
        <w:t>超过施工合同计划工期达三个月</w:t>
      </w:r>
      <w:r>
        <w:rPr>
          <w:rFonts w:hint="eastAsia" w:ascii="宋体" w:hAnsi="宋体" w:cs="宋体"/>
          <w:sz w:val="24"/>
          <w:szCs w:val="24"/>
        </w:rPr>
        <w:t>的。</w:t>
      </w:r>
    </w:p>
    <w:p w14:paraId="5E485874">
      <w:pPr>
        <w:spacing w:line="360" w:lineRule="auto"/>
        <w:ind w:firstLine="480" w:firstLineChars="200"/>
        <w:rPr>
          <w:rFonts w:ascii="宋体" w:hAnsi="宋体" w:cs="宋体"/>
          <w:sz w:val="24"/>
          <w:szCs w:val="24"/>
        </w:rPr>
      </w:pPr>
      <w:r>
        <w:rPr>
          <w:rFonts w:hint="eastAsia" w:ascii="宋体" w:hAnsi="宋体" w:cs="宋体"/>
          <w:sz w:val="24"/>
          <w:szCs w:val="24"/>
        </w:rPr>
        <w:t>（4）其他：</w:t>
      </w:r>
      <w:r>
        <w:rPr>
          <w:rFonts w:hint="eastAsia" w:ascii="宋体" w:hAnsi="宋体" w:cs="宋体"/>
          <w:sz w:val="24"/>
          <w:szCs w:val="24"/>
          <w:u w:val="single"/>
        </w:rPr>
        <w:t xml:space="preserve">    /    </w:t>
      </w:r>
      <w:r>
        <w:rPr>
          <w:rFonts w:hint="eastAsia" w:ascii="宋体" w:hAnsi="宋体" w:cs="宋体"/>
          <w:sz w:val="24"/>
          <w:szCs w:val="24"/>
        </w:rPr>
        <w:t>。</w:t>
      </w:r>
    </w:p>
    <w:p w14:paraId="68A1F6D5">
      <w:pPr>
        <w:spacing w:line="360" w:lineRule="auto"/>
        <w:ind w:firstLine="480" w:firstLineChars="200"/>
        <w:rPr>
          <w:rFonts w:ascii="宋体" w:hAnsi="宋体" w:cs="宋体"/>
          <w:sz w:val="24"/>
          <w:szCs w:val="24"/>
        </w:rPr>
      </w:pPr>
      <w:r>
        <w:rPr>
          <w:rFonts w:hint="eastAsia" w:ascii="宋体" w:hAnsi="宋体" w:cs="宋体"/>
          <w:sz w:val="24"/>
          <w:szCs w:val="24"/>
        </w:rPr>
        <w:t>4.5.1.4监理人应当及时更换有下列情形之一的项目监理机构人员：</w:t>
      </w:r>
    </w:p>
    <w:p w14:paraId="47205854">
      <w:pPr>
        <w:spacing w:line="360" w:lineRule="auto"/>
        <w:ind w:firstLine="480" w:firstLineChars="200"/>
        <w:rPr>
          <w:rFonts w:ascii="宋体" w:hAnsi="宋体" w:cs="宋体"/>
          <w:sz w:val="24"/>
          <w:szCs w:val="24"/>
        </w:rPr>
      </w:pPr>
      <w:r>
        <w:rPr>
          <w:rFonts w:hint="eastAsia" w:ascii="宋体" w:hAnsi="宋体" w:cs="宋体"/>
          <w:sz w:val="24"/>
          <w:szCs w:val="24"/>
        </w:rPr>
        <w:t>（1）严重过失行为的；</w:t>
      </w:r>
    </w:p>
    <w:p w14:paraId="649CBB45">
      <w:pPr>
        <w:spacing w:line="360" w:lineRule="auto"/>
        <w:ind w:firstLine="480" w:firstLineChars="200"/>
        <w:rPr>
          <w:rFonts w:ascii="宋体" w:hAnsi="宋体" w:cs="宋体"/>
          <w:sz w:val="24"/>
          <w:szCs w:val="24"/>
        </w:rPr>
      </w:pPr>
      <w:r>
        <w:rPr>
          <w:rFonts w:hint="eastAsia" w:ascii="宋体" w:hAnsi="宋体" w:cs="宋体"/>
          <w:sz w:val="24"/>
          <w:szCs w:val="24"/>
        </w:rPr>
        <w:t>（2）有违法行为不能履行职责的；</w:t>
      </w:r>
    </w:p>
    <w:p w14:paraId="580E3028">
      <w:pPr>
        <w:spacing w:line="360" w:lineRule="auto"/>
        <w:ind w:firstLine="480" w:firstLineChars="200"/>
        <w:rPr>
          <w:rFonts w:ascii="宋体" w:hAnsi="宋体" w:cs="宋体"/>
          <w:sz w:val="24"/>
          <w:szCs w:val="24"/>
        </w:rPr>
      </w:pPr>
      <w:r>
        <w:rPr>
          <w:rFonts w:hint="eastAsia" w:ascii="宋体" w:hAnsi="宋体" w:cs="宋体"/>
          <w:sz w:val="24"/>
          <w:szCs w:val="24"/>
        </w:rPr>
        <w:t>（3）涉嫌犯罪的；</w:t>
      </w:r>
    </w:p>
    <w:p w14:paraId="1FAD0A07">
      <w:pPr>
        <w:spacing w:line="360" w:lineRule="auto"/>
        <w:ind w:firstLine="480" w:firstLineChars="200"/>
        <w:rPr>
          <w:rFonts w:ascii="宋体" w:hAnsi="宋体" w:cs="宋体"/>
          <w:sz w:val="24"/>
          <w:szCs w:val="24"/>
        </w:rPr>
      </w:pPr>
      <w:r>
        <w:rPr>
          <w:rFonts w:hint="eastAsia" w:ascii="宋体" w:hAnsi="宋体" w:cs="宋体"/>
          <w:sz w:val="24"/>
          <w:szCs w:val="24"/>
        </w:rPr>
        <w:t>（4）不能胜任岗位职责的；</w:t>
      </w:r>
    </w:p>
    <w:p w14:paraId="41D9F9E0">
      <w:pPr>
        <w:spacing w:line="360" w:lineRule="auto"/>
        <w:ind w:firstLine="480" w:firstLineChars="200"/>
        <w:rPr>
          <w:rFonts w:ascii="宋体" w:hAnsi="宋体" w:cs="宋体"/>
          <w:sz w:val="24"/>
          <w:szCs w:val="24"/>
        </w:rPr>
      </w:pPr>
      <w:r>
        <w:rPr>
          <w:rFonts w:hint="eastAsia" w:ascii="宋体" w:hAnsi="宋体" w:cs="宋体"/>
          <w:sz w:val="24"/>
          <w:szCs w:val="24"/>
        </w:rPr>
        <w:t>（5）严重违反职业道德的。</w:t>
      </w:r>
    </w:p>
    <w:p w14:paraId="2FCCD2BF">
      <w:pPr>
        <w:spacing w:line="360" w:lineRule="auto"/>
        <w:ind w:firstLine="480" w:firstLineChars="200"/>
        <w:rPr>
          <w:rFonts w:ascii="宋体" w:hAnsi="宋体" w:cs="宋体"/>
          <w:sz w:val="24"/>
          <w:szCs w:val="24"/>
          <w:u w:val="single"/>
        </w:rPr>
      </w:pPr>
      <w:r>
        <w:rPr>
          <w:rFonts w:hint="eastAsia" w:ascii="宋体" w:hAnsi="宋体" w:cs="宋体"/>
          <w:sz w:val="24"/>
          <w:szCs w:val="24"/>
        </w:rPr>
        <w:t>（6）其他：</w:t>
      </w:r>
      <w:r>
        <w:rPr>
          <w:rFonts w:hint="eastAsia" w:ascii="宋体" w:hAnsi="宋体" w:cs="宋体"/>
          <w:sz w:val="24"/>
          <w:szCs w:val="24"/>
          <w:u w:val="single"/>
        </w:rPr>
        <w:t xml:space="preserve">   /     </w:t>
      </w:r>
      <w:r>
        <w:rPr>
          <w:rFonts w:hint="eastAsia" w:ascii="宋体" w:hAnsi="宋体" w:cs="宋体"/>
          <w:sz w:val="24"/>
          <w:szCs w:val="24"/>
        </w:rPr>
        <w:t>。</w:t>
      </w:r>
    </w:p>
    <w:p w14:paraId="362FD398">
      <w:pPr>
        <w:spacing w:line="360" w:lineRule="auto"/>
        <w:ind w:firstLine="480" w:firstLineChars="200"/>
        <w:rPr>
          <w:rFonts w:ascii="宋体" w:hAnsi="宋体" w:cs="宋体"/>
          <w:sz w:val="24"/>
          <w:szCs w:val="24"/>
        </w:rPr>
      </w:pPr>
      <w:r>
        <w:rPr>
          <w:rFonts w:hint="eastAsia" w:ascii="宋体" w:hAnsi="宋体" w:cs="宋体"/>
          <w:sz w:val="24"/>
          <w:szCs w:val="24"/>
        </w:rPr>
        <w:t>4.5.1.5监理人更换项目监理机构人员应事先征得委托人同意，并应在更换 14 天前将继任人员的姓名和详细资料提交委托人。</w:t>
      </w:r>
    </w:p>
    <w:p w14:paraId="24A82A4B">
      <w:pPr>
        <w:spacing w:line="360" w:lineRule="auto"/>
        <w:ind w:firstLine="480" w:firstLineChars="200"/>
        <w:rPr>
          <w:rFonts w:ascii="宋体" w:hAnsi="宋体" w:cs="宋体"/>
          <w:sz w:val="24"/>
          <w:szCs w:val="24"/>
        </w:rPr>
      </w:pPr>
      <w:r>
        <w:rPr>
          <w:rFonts w:hint="eastAsia" w:ascii="宋体" w:hAnsi="宋体" w:cs="宋体"/>
          <w:sz w:val="24"/>
          <w:szCs w:val="24"/>
        </w:rPr>
        <w:t>4.5.2主要监理人员包括</w:t>
      </w:r>
      <w:r>
        <w:rPr>
          <w:rFonts w:hint="eastAsia" w:ascii="宋体" w:hAnsi="宋体" w:cs="宋体"/>
          <w:sz w:val="24"/>
          <w:szCs w:val="24"/>
          <w:u w:val="single"/>
        </w:rPr>
        <w:t>总监理工程师、总监理工程师代表（若有）、专业监理工程师等</w:t>
      </w:r>
      <w:r>
        <w:rPr>
          <w:rFonts w:hint="eastAsia" w:ascii="宋体" w:hAnsi="宋体" w:cs="宋体"/>
          <w:sz w:val="24"/>
          <w:szCs w:val="24"/>
        </w:rPr>
        <w:t>；其他人员包括</w:t>
      </w:r>
      <w:r>
        <w:rPr>
          <w:rFonts w:hint="eastAsia" w:ascii="宋体" w:hAnsi="宋体" w:cs="宋体"/>
          <w:sz w:val="24"/>
          <w:szCs w:val="24"/>
          <w:u w:val="single"/>
        </w:rPr>
        <w:t>各专业的监理员、资料员</w:t>
      </w:r>
      <w:r>
        <w:rPr>
          <w:rFonts w:hint="eastAsia" w:ascii="宋体" w:hAnsi="宋体" w:cs="宋体"/>
          <w:sz w:val="24"/>
          <w:szCs w:val="24"/>
        </w:rPr>
        <w:t>。</w:t>
      </w:r>
    </w:p>
    <w:p w14:paraId="612E0652">
      <w:pPr>
        <w:spacing w:line="360" w:lineRule="auto"/>
        <w:ind w:firstLine="480" w:firstLineChars="200"/>
        <w:rPr>
          <w:rFonts w:ascii="宋体" w:hAnsi="宋体" w:cs="宋体"/>
          <w:sz w:val="24"/>
          <w:szCs w:val="24"/>
          <w:u w:val="single"/>
        </w:rPr>
      </w:pPr>
      <w:r>
        <w:rPr>
          <w:rFonts w:hint="eastAsia" w:ascii="宋体" w:hAnsi="宋体" w:cs="宋体"/>
          <w:sz w:val="24"/>
          <w:szCs w:val="24"/>
        </w:rPr>
        <w:t>4.5.3监理人应保证其</w:t>
      </w:r>
      <w:r>
        <w:rPr>
          <w:rFonts w:hint="eastAsia" w:ascii="宋体" w:hAnsi="宋体" w:cs="宋体"/>
          <w:kern w:val="0"/>
          <w:sz w:val="24"/>
          <w:szCs w:val="24"/>
        </w:rPr>
        <w:t>总监理工程师每月在岗不少于</w:t>
      </w:r>
      <w:r>
        <w:rPr>
          <w:rFonts w:hint="eastAsia" w:ascii="宋体" w:hAnsi="宋体" w:cs="宋体"/>
          <w:kern w:val="0"/>
          <w:sz w:val="24"/>
          <w:szCs w:val="24"/>
          <w:u w:val="single"/>
        </w:rPr>
        <w:t>8</w:t>
      </w:r>
      <w:r>
        <w:rPr>
          <w:rFonts w:hint="eastAsia" w:ascii="宋体" w:hAnsi="宋体" w:cs="宋体"/>
          <w:kern w:val="0"/>
          <w:sz w:val="24"/>
          <w:szCs w:val="24"/>
        </w:rPr>
        <w:t>天。除总监理工程师和辅助专业监理工程师外其他主要监理人员每月在岗不少于</w:t>
      </w:r>
      <w:r>
        <w:rPr>
          <w:rFonts w:hint="eastAsia" w:ascii="宋体" w:hAnsi="宋体" w:cs="宋体"/>
          <w:kern w:val="0"/>
          <w:sz w:val="24"/>
          <w:szCs w:val="24"/>
          <w:u w:val="single"/>
        </w:rPr>
        <w:t>22</w:t>
      </w:r>
      <w:r>
        <w:rPr>
          <w:rFonts w:hint="eastAsia" w:ascii="宋体" w:hAnsi="宋体" w:cs="宋体"/>
          <w:kern w:val="0"/>
          <w:sz w:val="24"/>
          <w:szCs w:val="24"/>
        </w:rPr>
        <w:t>天。</w:t>
      </w:r>
    </w:p>
    <w:p w14:paraId="0A7A35B0">
      <w:pPr>
        <w:spacing w:line="360" w:lineRule="auto"/>
        <w:ind w:firstLine="482" w:firstLineChars="200"/>
        <w:rPr>
          <w:rFonts w:ascii="宋体" w:hAnsi="宋体" w:cs="宋体"/>
          <w:b/>
          <w:sz w:val="24"/>
          <w:szCs w:val="24"/>
        </w:rPr>
      </w:pPr>
      <w:r>
        <w:rPr>
          <w:rFonts w:hint="eastAsia" w:ascii="宋体" w:hAnsi="宋体" w:cs="宋体"/>
          <w:b/>
          <w:sz w:val="24"/>
          <w:szCs w:val="24"/>
        </w:rPr>
        <w:t>4.6 撤换总监理工程师和其他人员</w:t>
      </w:r>
    </w:p>
    <w:p w14:paraId="680063F9">
      <w:pPr>
        <w:spacing w:line="360" w:lineRule="auto"/>
        <w:ind w:firstLine="480" w:firstLineChars="200"/>
        <w:rPr>
          <w:rFonts w:ascii="宋体" w:hAnsi="宋体" w:cs="宋体"/>
          <w:sz w:val="24"/>
          <w:szCs w:val="24"/>
        </w:rPr>
      </w:pPr>
      <w:r>
        <w:rPr>
          <w:rFonts w:hint="eastAsia" w:ascii="宋体" w:hAnsi="宋体" w:cs="宋体"/>
          <w:sz w:val="24"/>
          <w:szCs w:val="24"/>
        </w:rPr>
        <w:t>监理人应对其总监理工程师和其他人员进行有效管理。委托人要求撤换不能胜任本职工作、行为不端或玩忽职守的总监理工程师和其他人员的，监理人应予以撤换。</w:t>
      </w:r>
    </w:p>
    <w:p w14:paraId="6EA9ECA3">
      <w:pPr>
        <w:spacing w:line="360" w:lineRule="auto"/>
        <w:ind w:firstLine="480" w:firstLineChars="200"/>
        <w:rPr>
          <w:rFonts w:ascii="宋体" w:hAnsi="宋体" w:cs="宋体"/>
          <w:sz w:val="24"/>
          <w:szCs w:val="24"/>
        </w:rPr>
      </w:pPr>
      <w:r>
        <w:rPr>
          <w:rFonts w:hint="eastAsia" w:ascii="宋体" w:hAnsi="宋体" w:cs="宋体"/>
          <w:sz w:val="24"/>
          <w:szCs w:val="24"/>
        </w:rPr>
        <w:t>委托人要求监理人撤换项目监理机构人员的情形：</w:t>
      </w:r>
    </w:p>
    <w:p w14:paraId="59E36647">
      <w:pPr>
        <w:spacing w:line="360" w:lineRule="auto"/>
        <w:ind w:firstLine="480" w:firstLineChars="200"/>
        <w:rPr>
          <w:rFonts w:ascii="宋体" w:hAnsi="宋体" w:cs="宋体"/>
          <w:sz w:val="24"/>
          <w:szCs w:val="24"/>
        </w:rPr>
      </w:pPr>
      <w:r>
        <w:rPr>
          <w:rFonts w:hint="eastAsia" w:ascii="宋体" w:hAnsi="宋体" w:cs="宋体"/>
          <w:sz w:val="24"/>
          <w:szCs w:val="24"/>
        </w:rPr>
        <w:t>（1）经委托人或行政管理部门查实不履行岗位职责或存在工作失误，要求撤换的；</w:t>
      </w:r>
    </w:p>
    <w:p w14:paraId="09EB6650">
      <w:pPr>
        <w:spacing w:line="360" w:lineRule="auto"/>
        <w:ind w:firstLine="480" w:firstLineChars="200"/>
        <w:rPr>
          <w:rFonts w:ascii="宋体" w:hAnsi="宋体" w:cs="宋体"/>
          <w:sz w:val="24"/>
          <w:szCs w:val="24"/>
        </w:rPr>
      </w:pPr>
      <w:r>
        <w:rPr>
          <w:rFonts w:hint="eastAsia" w:ascii="宋体" w:hAnsi="宋体" w:cs="宋体"/>
          <w:sz w:val="24"/>
          <w:szCs w:val="24"/>
        </w:rPr>
        <w:t>（2）项目监理机构人员不能胜任工作，被委托人或行政管理部门责令撤换的；</w:t>
      </w:r>
    </w:p>
    <w:p w14:paraId="1804459E">
      <w:pPr>
        <w:spacing w:line="360" w:lineRule="auto"/>
        <w:ind w:firstLine="480" w:firstLineChars="200"/>
        <w:rPr>
          <w:rFonts w:ascii="宋体" w:hAnsi="宋体" w:cs="宋体"/>
          <w:sz w:val="24"/>
          <w:szCs w:val="24"/>
        </w:rPr>
      </w:pPr>
      <w:r>
        <w:rPr>
          <w:rFonts w:hint="eastAsia" w:ascii="宋体" w:hAnsi="宋体" w:cs="宋体"/>
          <w:sz w:val="24"/>
          <w:szCs w:val="24"/>
        </w:rPr>
        <w:t>（3）因违法违规行为，不能继续担任现场监理工作的；</w:t>
      </w:r>
    </w:p>
    <w:p w14:paraId="2471E643">
      <w:pPr>
        <w:spacing w:line="360" w:lineRule="auto"/>
        <w:ind w:firstLine="480" w:firstLineChars="200"/>
        <w:rPr>
          <w:rFonts w:ascii="宋体" w:hAnsi="宋体" w:cs="宋体"/>
          <w:sz w:val="24"/>
          <w:szCs w:val="24"/>
        </w:rPr>
      </w:pPr>
      <w:r>
        <w:rPr>
          <w:rFonts w:hint="eastAsia" w:ascii="宋体" w:hAnsi="宋体" w:cs="宋体"/>
          <w:sz w:val="24"/>
          <w:szCs w:val="24"/>
        </w:rPr>
        <w:t>（4）其他：</w:t>
      </w:r>
      <w:r>
        <w:rPr>
          <w:rFonts w:hint="eastAsia" w:ascii="宋体" w:hAnsi="宋体" w:cs="宋体"/>
          <w:sz w:val="24"/>
          <w:szCs w:val="24"/>
          <w:u w:val="single"/>
        </w:rPr>
        <w:t xml:space="preserve">   /   </w:t>
      </w:r>
      <w:r>
        <w:rPr>
          <w:rFonts w:hint="eastAsia" w:ascii="宋体" w:hAnsi="宋体" w:cs="宋体"/>
          <w:sz w:val="24"/>
          <w:szCs w:val="24"/>
        </w:rPr>
        <w:t>。</w:t>
      </w:r>
      <w:bookmarkStart w:id="298" w:name="_Toc32075"/>
      <w:bookmarkStart w:id="299" w:name="_Toc531820323"/>
    </w:p>
    <w:p w14:paraId="14574678">
      <w:pPr>
        <w:pStyle w:val="4"/>
        <w:spacing w:before="0" w:after="0" w:line="360" w:lineRule="auto"/>
        <w:ind w:firstLine="138"/>
        <w:rPr>
          <w:rFonts w:ascii="宋体" w:hAnsi="宋体" w:cs="宋体"/>
          <w:sz w:val="24"/>
          <w:szCs w:val="24"/>
        </w:rPr>
      </w:pPr>
      <w:bookmarkStart w:id="300" w:name="_Toc6630"/>
      <w:bookmarkStart w:id="301" w:name="_Toc536778408"/>
      <w:bookmarkStart w:id="302" w:name="_Toc564"/>
      <w:r>
        <w:rPr>
          <w:rFonts w:hint="eastAsia" w:ascii="宋体" w:hAnsi="宋体" w:cs="宋体"/>
          <w:sz w:val="24"/>
          <w:szCs w:val="24"/>
        </w:rPr>
        <w:t>5.监理要求</w:t>
      </w:r>
      <w:bookmarkEnd w:id="298"/>
      <w:bookmarkEnd w:id="299"/>
      <w:bookmarkEnd w:id="300"/>
      <w:bookmarkEnd w:id="301"/>
      <w:bookmarkEnd w:id="302"/>
    </w:p>
    <w:p w14:paraId="38A38C5C">
      <w:pPr>
        <w:spacing w:line="360" w:lineRule="auto"/>
        <w:ind w:firstLine="482" w:firstLineChars="200"/>
        <w:rPr>
          <w:rFonts w:ascii="宋体" w:hAnsi="宋体" w:cs="宋体"/>
          <w:b/>
          <w:sz w:val="24"/>
          <w:szCs w:val="24"/>
        </w:rPr>
      </w:pPr>
      <w:r>
        <w:rPr>
          <w:rFonts w:hint="eastAsia" w:ascii="宋体" w:hAnsi="宋体" w:cs="宋体"/>
          <w:b/>
          <w:sz w:val="24"/>
          <w:szCs w:val="24"/>
        </w:rPr>
        <w:t>5.1 监理范围</w:t>
      </w:r>
    </w:p>
    <w:p w14:paraId="236FF713">
      <w:pPr>
        <w:spacing w:line="360" w:lineRule="auto"/>
        <w:ind w:firstLine="480" w:firstLineChars="200"/>
        <w:rPr>
          <w:rFonts w:ascii="宋体" w:hAnsi="宋体" w:cs="宋体"/>
          <w:sz w:val="24"/>
          <w:szCs w:val="24"/>
        </w:rPr>
      </w:pPr>
      <w:r>
        <w:rPr>
          <w:rFonts w:hint="eastAsia" w:ascii="宋体" w:hAnsi="宋体" w:cs="宋体"/>
          <w:sz w:val="24"/>
          <w:szCs w:val="24"/>
        </w:rPr>
        <w:t>5.1.2 工程范围：</w:t>
      </w:r>
      <w:r>
        <w:rPr>
          <w:rFonts w:hint="eastAsia" w:ascii="宋体" w:hAnsi="宋体" w:cs="宋体"/>
          <w:sz w:val="24"/>
          <w:szCs w:val="24"/>
          <w:u w:val="single"/>
        </w:rPr>
        <w:t>完成大渡口区建胜镇民胜村人居环境提升工程红线范围内的所有工程的施工准备阶段、施工阶段、竣工验收移交阶段、工程结算、配合工程审计及质量保修期（含缺陷责任期）全过程监理。监理服务内容包括对项目的投资控制、进度控制、质量控制、建设安全监管及文明施工的有效管理、组织协调，并进行合同管理和信息管理等；同时还要根据</w:t>
      </w:r>
      <w:r>
        <w:rPr>
          <w:rFonts w:hint="eastAsia" w:ascii="宋体" w:hAnsi="宋体" w:cs="宋体"/>
          <w:sz w:val="24"/>
          <w:szCs w:val="24"/>
          <w:u w:val="single"/>
          <w:lang w:eastAsia="zh-CN"/>
        </w:rPr>
        <w:t>法律法规</w:t>
      </w:r>
      <w:r>
        <w:rPr>
          <w:rFonts w:hint="eastAsia" w:ascii="宋体" w:hAnsi="宋体" w:cs="宋体"/>
          <w:sz w:val="24"/>
          <w:szCs w:val="24"/>
          <w:u w:val="single"/>
        </w:rPr>
        <w:t>、建设工程强制性标准，履行建设工程安全生产管理的法定监理职责。</w:t>
      </w:r>
    </w:p>
    <w:p w14:paraId="1691F680">
      <w:pPr>
        <w:spacing w:line="360" w:lineRule="auto"/>
        <w:ind w:firstLine="480" w:firstLineChars="200"/>
        <w:rPr>
          <w:rFonts w:ascii="宋体" w:hAnsi="宋体" w:cs="宋体"/>
          <w:sz w:val="24"/>
          <w:szCs w:val="24"/>
        </w:rPr>
      </w:pPr>
      <w:r>
        <w:rPr>
          <w:rFonts w:hint="eastAsia" w:ascii="宋体" w:hAnsi="宋体" w:cs="宋体"/>
          <w:sz w:val="24"/>
          <w:szCs w:val="24"/>
        </w:rPr>
        <w:t>5.1.3 阶段范围：</w:t>
      </w:r>
      <w:r>
        <w:rPr>
          <w:rFonts w:hint="eastAsia" w:ascii="宋体" w:hAnsi="宋体" w:cs="宋体"/>
          <w:sz w:val="24"/>
          <w:szCs w:val="24"/>
          <w:u w:val="single"/>
        </w:rPr>
        <w:t>（施工准备阶段、施工阶段、验收与缺陷责任期阶段）</w:t>
      </w:r>
      <w:r>
        <w:rPr>
          <w:rFonts w:hint="eastAsia" w:ascii="宋体" w:hAnsi="宋体" w:cs="宋体"/>
          <w:sz w:val="24"/>
          <w:szCs w:val="24"/>
        </w:rPr>
        <w:t>。</w:t>
      </w:r>
    </w:p>
    <w:p w14:paraId="029338BD">
      <w:pPr>
        <w:spacing w:line="360" w:lineRule="auto"/>
        <w:ind w:firstLine="480" w:firstLineChars="200"/>
        <w:rPr>
          <w:rFonts w:ascii="宋体" w:hAnsi="宋体" w:cs="宋体"/>
          <w:sz w:val="24"/>
          <w:szCs w:val="24"/>
          <w:u w:val="single"/>
        </w:rPr>
      </w:pPr>
      <w:r>
        <w:rPr>
          <w:rFonts w:hint="eastAsia" w:ascii="宋体" w:hAnsi="宋体" w:cs="宋体"/>
          <w:sz w:val="24"/>
          <w:szCs w:val="24"/>
        </w:rPr>
        <w:t>5.1.4 工作范围：</w:t>
      </w:r>
      <w:r>
        <w:rPr>
          <w:rFonts w:hint="eastAsia" w:ascii="宋体" w:hAnsi="宋体" w:cs="宋体"/>
          <w:sz w:val="24"/>
          <w:szCs w:val="24"/>
          <w:u w:val="single"/>
        </w:rPr>
        <w:t>包括监理工作中的质量控制、进度控制、造价控制、合同管理、信息管理，对工程建设相关方的关系进行协调，履行建设工程安全生产管理法定的监理职责；还包括：</w:t>
      </w:r>
    </w:p>
    <w:p w14:paraId="4CCF4B06">
      <w:pPr>
        <w:spacing w:line="360" w:lineRule="auto"/>
        <w:ind w:firstLine="480" w:firstLineChars="200"/>
        <w:rPr>
          <w:rFonts w:ascii="宋体" w:hAnsi="宋体" w:cs="宋体"/>
          <w:sz w:val="24"/>
          <w:szCs w:val="24"/>
        </w:rPr>
      </w:pPr>
      <w:r>
        <w:rPr>
          <w:rFonts w:hint="eastAsia" w:ascii="宋体" w:hAnsi="宋体" w:cs="宋体"/>
          <w:sz w:val="24"/>
          <w:szCs w:val="24"/>
          <w:u w:val="single"/>
        </w:rPr>
        <w:t>（1）缺陷责任期内定期回访，调查和确认缺陷原因及责任，检查缺陷修复质量</w:t>
      </w:r>
      <w:r>
        <w:rPr>
          <w:rFonts w:hint="eastAsia" w:ascii="宋体" w:hAnsi="宋体" w:cs="宋体"/>
          <w:sz w:val="24"/>
          <w:szCs w:val="24"/>
        </w:rPr>
        <w:t>；</w:t>
      </w:r>
    </w:p>
    <w:p w14:paraId="69308B78">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（2）委托人要求监理人外出考察；</w:t>
      </w:r>
    </w:p>
    <w:p w14:paraId="7A76C61D">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（3）委托人要求监理人进行的材料和设备检查；</w:t>
      </w:r>
    </w:p>
    <w:p w14:paraId="4910EF0D">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（4）委托人要求监理人组织相关论证</w:t>
      </w:r>
      <w:r>
        <w:rPr>
          <w:rFonts w:hint="eastAsia" w:ascii="宋体" w:hAnsi="宋体" w:cs="宋体"/>
          <w:sz w:val="24"/>
          <w:szCs w:val="24"/>
          <w:u w:val="single"/>
          <w:lang w:eastAsia="zh-CN"/>
        </w:rPr>
        <w:t>会议</w:t>
      </w:r>
      <w:r>
        <w:rPr>
          <w:rFonts w:hint="eastAsia" w:ascii="宋体" w:hAnsi="宋体" w:cs="宋体"/>
          <w:sz w:val="24"/>
          <w:szCs w:val="24"/>
          <w:u w:val="single"/>
        </w:rPr>
        <w:t>及聘请相关专家等。</w:t>
      </w:r>
    </w:p>
    <w:p w14:paraId="54009E3D">
      <w:pPr>
        <w:spacing w:line="360" w:lineRule="auto"/>
        <w:ind w:firstLine="480" w:firstLineChars="200"/>
        <w:rPr>
          <w:rFonts w:ascii="宋体" w:hAnsi="宋体" w:cs="宋体"/>
          <w:sz w:val="24"/>
          <w:szCs w:val="24"/>
        </w:rPr>
      </w:pPr>
      <w:r>
        <w:rPr>
          <w:rFonts w:hint="eastAsia" w:ascii="宋体" w:hAnsi="宋体" w:cs="宋体"/>
          <w:sz w:val="24"/>
          <w:szCs w:val="24"/>
        </w:rPr>
        <w:t>（5）其他：</w:t>
      </w:r>
      <w:r>
        <w:rPr>
          <w:rFonts w:hint="eastAsia" w:ascii="宋体" w:hAnsi="宋体" w:cs="宋体"/>
          <w:sz w:val="24"/>
          <w:szCs w:val="24"/>
          <w:u w:val="single"/>
        </w:rPr>
        <w:t xml:space="preserve">  /                            </w:t>
      </w:r>
      <w:r>
        <w:rPr>
          <w:rFonts w:hint="eastAsia" w:ascii="宋体" w:hAnsi="宋体" w:cs="宋体"/>
          <w:sz w:val="24"/>
          <w:szCs w:val="24"/>
        </w:rPr>
        <w:t xml:space="preserve"> 。</w:t>
      </w:r>
    </w:p>
    <w:p w14:paraId="6627A14E">
      <w:pPr>
        <w:spacing w:line="360" w:lineRule="auto"/>
        <w:ind w:firstLine="480" w:firstLineChars="200"/>
        <w:rPr>
          <w:rFonts w:ascii="宋体" w:hAnsi="宋体" w:cs="宋体"/>
          <w:sz w:val="24"/>
          <w:szCs w:val="24"/>
        </w:rPr>
      </w:pPr>
      <w:r>
        <w:rPr>
          <w:rFonts w:hint="eastAsia" w:ascii="宋体" w:hAnsi="宋体" w:cs="宋体"/>
          <w:sz w:val="24"/>
          <w:szCs w:val="24"/>
          <w:u w:val="single"/>
        </w:rPr>
        <w:t>履行建设工程安全生产管理法定的监理职责；还包括</w:t>
      </w:r>
      <w:r>
        <w:rPr>
          <w:rFonts w:hint="eastAsia" w:ascii="宋体" w:hAnsi="宋体" w:cs="宋体"/>
          <w:sz w:val="24"/>
          <w:szCs w:val="24"/>
        </w:rPr>
        <w:t>：</w:t>
      </w:r>
    </w:p>
    <w:p w14:paraId="2C3887B1">
      <w:pPr>
        <w:spacing w:line="360" w:lineRule="auto"/>
        <w:ind w:firstLine="480" w:firstLineChars="200"/>
        <w:rPr>
          <w:rFonts w:ascii="宋体" w:hAnsi="宋体" w:cs="宋体"/>
          <w:sz w:val="24"/>
          <w:szCs w:val="24"/>
          <w:u w:val="single"/>
        </w:rPr>
      </w:pPr>
      <w:r>
        <w:rPr>
          <w:rFonts w:hint="eastAsia" w:ascii="宋体" w:hAnsi="宋体" w:cs="宋体"/>
          <w:sz w:val="24"/>
          <w:szCs w:val="24"/>
        </w:rPr>
        <w:t>（1）</w:t>
      </w:r>
      <w:r>
        <w:rPr>
          <w:rFonts w:hint="eastAsia" w:ascii="宋体" w:hAnsi="宋体" w:cs="宋体"/>
          <w:sz w:val="24"/>
          <w:szCs w:val="24"/>
          <w:u w:val="single"/>
        </w:rPr>
        <w:t>缺陷责任期内定期回访，调查和确认缺陷原因及责任，检查缺陷修复质量；</w:t>
      </w:r>
    </w:p>
    <w:p w14:paraId="6A16C58F">
      <w:pPr>
        <w:spacing w:line="360" w:lineRule="auto"/>
        <w:ind w:firstLine="480" w:firstLineChars="200"/>
        <w:rPr>
          <w:rFonts w:ascii="宋体" w:hAnsi="宋体" w:cs="宋体"/>
          <w:sz w:val="24"/>
          <w:szCs w:val="24"/>
          <w:u w:val="single"/>
        </w:rPr>
      </w:pPr>
      <w:r>
        <w:rPr>
          <w:rFonts w:hint="eastAsia" w:ascii="宋体" w:hAnsi="宋体" w:cs="宋体"/>
          <w:sz w:val="24"/>
          <w:szCs w:val="24"/>
        </w:rPr>
        <w:t>（2）</w:t>
      </w:r>
      <w:r>
        <w:rPr>
          <w:rFonts w:hint="eastAsia" w:ascii="宋体" w:hAnsi="宋体" w:cs="宋体"/>
          <w:sz w:val="24"/>
          <w:szCs w:val="24"/>
          <w:u w:val="single"/>
        </w:rPr>
        <w:t>委托人要求监理人外出考察；</w:t>
      </w:r>
    </w:p>
    <w:p w14:paraId="4EF929F7">
      <w:pPr>
        <w:spacing w:line="360" w:lineRule="auto"/>
        <w:ind w:firstLine="480" w:firstLineChars="200"/>
        <w:rPr>
          <w:rFonts w:ascii="宋体" w:hAnsi="宋体" w:cs="宋体"/>
          <w:sz w:val="24"/>
          <w:szCs w:val="24"/>
          <w:u w:val="single"/>
        </w:rPr>
      </w:pPr>
      <w:r>
        <w:rPr>
          <w:rFonts w:hint="eastAsia" w:ascii="宋体" w:hAnsi="宋体" w:cs="宋体"/>
          <w:sz w:val="24"/>
          <w:szCs w:val="24"/>
        </w:rPr>
        <w:t>（3）</w:t>
      </w:r>
      <w:r>
        <w:rPr>
          <w:rFonts w:hint="eastAsia" w:ascii="宋体" w:hAnsi="宋体" w:cs="宋体"/>
          <w:sz w:val="24"/>
          <w:szCs w:val="24"/>
          <w:u w:val="single"/>
        </w:rPr>
        <w:t>委托人要求监理人进行的材料和设备检查；</w:t>
      </w:r>
    </w:p>
    <w:p w14:paraId="693A7E8C">
      <w:pPr>
        <w:spacing w:line="360" w:lineRule="auto"/>
        <w:ind w:firstLine="480" w:firstLineChars="200"/>
        <w:rPr>
          <w:rFonts w:ascii="宋体" w:hAnsi="宋体" w:cs="宋体"/>
          <w:sz w:val="24"/>
          <w:szCs w:val="24"/>
          <w:u w:val="single"/>
        </w:rPr>
      </w:pPr>
      <w:r>
        <w:rPr>
          <w:rFonts w:hint="eastAsia" w:ascii="宋体" w:hAnsi="宋体" w:cs="宋体"/>
          <w:sz w:val="24"/>
          <w:szCs w:val="24"/>
        </w:rPr>
        <w:t>（4）</w:t>
      </w:r>
      <w:r>
        <w:rPr>
          <w:rFonts w:hint="eastAsia" w:ascii="宋体" w:hAnsi="宋体" w:cs="宋体"/>
          <w:sz w:val="24"/>
          <w:szCs w:val="24"/>
          <w:u w:val="single"/>
        </w:rPr>
        <w:t>委托人要求监理人组织相关论证</w:t>
      </w:r>
      <w:r>
        <w:rPr>
          <w:rFonts w:hint="eastAsia" w:ascii="宋体" w:hAnsi="宋体" w:cs="宋体"/>
          <w:sz w:val="24"/>
          <w:szCs w:val="24"/>
          <w:u w:val="single"/>
          <w:lang w:eastAsia="zh-CN"/>
        </w:rPr>
        <w:t>会议</w:t>
      </w:r>
      <w:r>
        <w:rPr>
          <w:rFonts w:hint="eastAsia" w:ascii="宋体" w:hAnsi="宋体" w:cs="宋体"/>
          <w:sz w:val="24"/>
          <w:szCs w:val="24"/>
          <w:u w:val="single"/>
        </w:rPr>
        <w:t>及聘请相关专家等。</w:t>
      </w:r>
    </w:p>
    <w:p w14:paraId="4930CE17">
      <w:pPr>
        <w:spacing w:line="360" w:lineRule="auto"/>
        <w:ind w:firstLine="480" w:firstLineChars="200"/>
        <w:rPr>
          <w:rFonts w:ascii="宋体" w:hAnsi="宋体" w:cs="宋体"/>
          <w:sz w:val="24"/>
          <w:szCs w:val="24"/>
          <w:u w:val="single"/>
        </w:rPr>
      </w:pPr>
      <w:r>
        <w:rPr>
          <w:rFonts w:hint="eastAsia" w:ascii="宋体" w:hAnsi="宋体" w:cs="宋体"/>
          <w:sz w:val="24"/>
          <w:szCs w:val="24"/>
        </w:rPr>
        <w:t>（5）其他：</w:t>
      </w:r>
      <w:r>
        <w:rPr>
          <w:rFonts w:hint="eastAsia" w:ascii="宋体" w:hAnsi="宋体" w:cs="宋体"/>
          <w:sz w:val="24"/>
          <w:szCs w:val="24"/>
          <w:u w:val="single"/>
        </w:rPr>
        <w:t xml:space="preserve"> / </w:t>
      </w:r>
      <w:r>
        <w:rPr>
          <w:rFonts w:hint="eastAsia" w:ascii="宋体" w:hAnsi="宋体" w:cs="宋体"/>
          <w:sz w:val="24"/>
          <w:szCs w:val="24"/>
        </w:rPr>
        <w:t>。</w:t>
      </w:r>
    </w:p>
    <w:p w14:paraId="61D3CFA8">
      <w:pPr>
        <w:spacing w:line="360" w:lineRule="auto"/>
        <w:ind w:firstLine="482" w:firstLineChars="200"/>
        <w:rPr>
          <w:rFonts w:ascii="宋体" w:hAnsi="宋体" w:cs="宋体"/>
          <w:b/>
          <w:sz w:val="24"/>
          <w:szCs w:val="24"/>
        </w:rPr>
      </w:pPr>
      <w:r>
        <w:rPr>
          <w:rFonts w:hint="eastAsia" w:ascii="宋体" w:hAnsi="宋体" w:cs="宋体"/>
          <w:b/>
          <w:sz w:val="24"/>
          <w:szCs w:val="24"/>
        </w:rPr>
        <w:t>5.2 监理依据</w:t>
      </w:r>
    </w:p>
    <w:p w14:paraId="79A99A00">
      <w:pPr>
        <w:spacing w:line="360" w:lineRule="auto"/>
        <w:ind w:firstLine="480" w:firstLineChars="200"/>
        <w:rPr>
          <w:rFonts w:ascii="宋体" w:hAnsi="宋体" w:cs="宋体"/>
          <w:sz w:val="24"/>
          <w:szCs w:val="24"/>
        </w:rPr>
      </w:pPr>
      <w:r>
        <w:rPr>
          <w:rFonts w:hint="eastAsia" w:ascii="宋体" w:hAnsi="宋体" w:cs="宋体"/>
          <w:sz w:val="24"/>
          <w:szCs w:val="24"/>
        </w:rPr>
        <w:t>本工程的监理依据如下：</w:t>
      </w:r>
    </w:p>
    <w:p w14:paraId="4C5E0E86">
      <w:pPr>
        <w:spacing w:line="360" w:lineRule="auto"/>
        <w:ind w:firstLine="480" w:firstLineChars="200"/>
        <w:rPr>
          <w:rFonts w:ascii="宋体" w:hAnsi="宋体" w:cs="宋体"/>
          <w:sz w:val="24"/>
          <w:szCs w:val="24"/>
        </w:rPr>
      </w:pPr>
      <w:r>
        <w:rPr>
          <w:rFonts w:hint="eastAsia" w:ascii="宋体" w:hAnsi="宋体" w:cs="宋体"/>
          <w:sz w:val="24"/>
          <w:szCs w:val="24"/>
        </w:rPr>
        <w:t>（1）适用的法律、行政法规及部门规章：</w:t>
      </w:r>
    </w:p>
    <w:p w14:paraId="7F757471">
      <w:pPr>
        <w:spacing w:line="360" w:lineRule="auto"/>
        <w:ind w:firstLine="480" w:firstLineChars="200"/>
        <w:rPr>
          <w:rFonts w:ascii="宋体" w:hAnsi="宋体" w:cs="宋体"/>
          <w:sz w:val="24"/>
          <w:szCs w:val="24"/>
          <w:u w:val="single"/>
        </w:rPr>
      </w:pPr>
      <w:r>
        <w:rPr>
          <w:rFonts w:hint="eastAsia" w:ascii="宋体" w:hAnsi="宋体" w:cs="宋体"/>
          <w:sz w:val="24"/>
          <w:szCs w:val="24"/>
        </w:rPr>
        <w:t>1）</w:t>
      </w:r>
      <w:r>
        <w:rPr>
          <w:rFonts w:hint="eastAsia" w:ascii="宋体" w:hAnsi="宋体" w:cs="宋体"/>
          <w:sz w:val="24"/>
          <w:szCs w:val="24"/>
          <w:u w:val="single"/>
        </w:rPr>
        <w:t>《中华人民共和国建筑法》；</w:t>
      </w:r>
    </w:p>
    <w:p w14:paraId="755C95C0">
      <w:pPr>
        <w:spacing w:line="360" w:lineRule="auto"/>
        <w:ind w:firstLine="480" w:firstLineChars="200"/>
        <w:rPr>
          <w:rFonts w:ascii="宋体" w:hAnsi="宋体" w:cs="宋体"/>
          <w:sz w:val="24"/>
          <w:szCs w:val="24"/>
          <w:u w:val="single"/>
        </w:rPr>
      </w:pPr>
      <w:r>
        <w:rPr>
          <w:rFonts w:hint="eastAsia" w:ascii="宋体" w:hAnsi="宋体" w:cs="宋体"/>
          <w:sz w:val="24"/>
          <w:szCs w:val="24"/>
        </w:rPr>
        <w:t>2）</w:t>
      </w:r>
      <w:r>
        <w:rPr>
          <w:rFonts w:hint="eastAsia" w:ascii="宋体" w:hAnsi="宋体" w:cs="宋体"/>
          <w:sz w:val="24"/>
          <w:szCs w:val="24"/>
          <w:u w:val="single"/>
        </w:rPr>
        <w:t>《中华人民共和国安全生产法》；</w:t>
      </w:r>
    </w:p>
    <w:p w14:paraId="3A3AF5FC">
      <w:pPr>
        <w:spacing w:line="360" w:lineRule="auto"/>
        <w:ind w:firstLine="480" w:firstLineChars="200"/>
        <w:rPr>
          <w:rFonts w:ascii="宋体" w:hAnsi="宋体" w:cs="宋体"/>
          <w:sz w:val="24"/>
          <w:szCs w:val="24"/>
          <w:u w:val="single"/>
        </w:rPr>
      </w:pPr>
      <w:r>
        <w:rPr>
          <w:rFonts w:hint="eastAsia" w:ascii="宋体" w:hAnsi="宋体" w:cs="宋体"/>
          <w:sz w:val="24"/>
          <w:szCs w:val="24"/>
        </w:rPr>
        <w:t>3）</w:t>
      </w:r>
      <w:r>
        <w:rPr>
          <w:rFonts w:hint="eastAsia" w:ascii="宋体" w:hAnsi="宋体" w:cs="宋体"/>
          <w:sz w:val="24"/>
          <w:szCs w:val="24"/>
          <w:u w:val="single"/>
        </w:rPr>
        <w:t>《中华人民共和国环境保护法》；</w:t>
      </w:r>
    </w:p>
    <w:p w14:paraId="3096A679">
      <w:pPr>
        <w:spacing w:line="360" w:lineRule="auto"/>
        <w:ind w:firstLine="480" w:firstLineChars="200"/>
        <w:rPr>
          <w:rFonts w:ascii="宋体" w:hAnsi="宋体" w:cs="宋体"/>
          <w:sz w:val="24"/>
          <w:szCs w:val="24"/>
          <w:u w:val="single"/>
        </w:rPr>
      </w:pPr>
      <w:r>
        <w:rPr>
          <w:rFonts w:hint="eastAsia" w:ascii="宋体" w:hAnsi="宋体" w:cs="宋体"/>
          <w:sz w:val="24"/>
          <w:szCs w:val="24"/>
        </w:rPr>
        <w:t>4）</w:t>
      </w:r>
      <w:r>
        <w:rPr>
          <w:rFonts w:hint="eastAsia" w:ascii="宋体" w:hAnsi="宋体" w:cs="宋体"/>
          <w:sz w:val="24"/>
          <w:szCs w:val="24"/>
          <w:u w:val="single"/>
        </w:rPr>
        <w:t>《建设工程质量管理条例》；</w:t>
      </w:r>
    </w:p>
    <w:p w14:paraId="411D5603">
      <w:pPr>
        <w:spacing w:line="360" w:lineRule="auto"/>
        <w:ind w:firstLine="480" w:firstLineChars="200"/>
        <w:rPr>
          <w:rFonts w:ascii="宋体" w:hAnsi="宋体" w:cs="宋体"/>
          <w:sz w:val="24"/>
          <w:szCs w:val="24"/>
          <w:u w:val="single"/>
        </w:rPr>
      </w:pPr>
      <w:r>
        <w:rPr>
          <w:rFonts w:hint="eastAsia" w:ascii="宋体" w:hAnsi="宋体" w:cs="宋体"/>
          <w:sz w:val="24"/>
          <w:szCs w:val="24"/>
        </w:rPr>
        <w:t>5）</w:t>
      </w:r>
      <w:r>
        <w:rPr>
          <w:rFonts w:hint="eastAsia" w:ascii="宋体" w:hAnsi="宋体" w:cs="宋体"/>
          <w:sz w:val="24"/>
          <w:szCs w:val="24"/>
          <w:u w:val="single"/>
        </w:rPr>
        <w:t>《工程建设标准强制性条文》；</w:t>
      </w:r>
    </w:p>
    <w:p w14:paraId="4BF83044">
      <w:pPr>
        <w:spacing w:line="360" w:lineRule="auto"/>
        <w:ind w:firstLine="480" w:firstLineChars="200"/>
        <w:rPr>
          <w:rFonts w:ascii="宋体" w:hAnsi="宋体" w:cs="宋体"/>
          <w:sz w:val="24"/>
          <w:szCs w:val="24"/>
          <w:u w:val="single"/>
        </w:rPr>
      </w:pPr>
      <w:r>
        <w:rPr>
          <w:rFonts w:hint="eastAsia" w:ascii="宋体" w:hAnsi="宋体" w:cs="宋体"/>
          <w:sz w:val="24"/>
          <w:szCs w:val="24"/>
        </w:rPr>
        <w:t>6）</w:t>
      </w:r>
      <w:r>
        <w:rPr>
          <w:rFonts w:hint="eastAsia" w:ascii="宋体" w:hAnsi="宋体" w:cs="宋体"/>
          <w:sz w:val="24"/>
          <w:szCs w:val="24"/>
          <w:u w:val="single"/>
        </w:rPr>
        <w:t>《</w:t>
      </w:r>
      <w:r>
        <w:rPr>
          <w:rFonts w:hint="eastAsia" w:ascii="宋体" w:hAnsi="宋体" w:cs="宋体"/>
          <w:sz w:val="24"/>
          <w:szCs w:val="24"/>
          <w:u w:val="single"/>
          <w:lang w:eastAsia="zh-CN"/>
        </w:rPr>
        <w:t>建设工程安全生产管理条例</w:t>
      </w:r>
      <w:r>
        <w:rPr>
          <w:rFonts w:hint="eastAsia" w:ascii="宋体" w:hAnsi="宋体" w:cs="宋体"/>
          <w:sz w:val="24"/>
          <w:szCs w:val="24"/>
          <w:u w:val="single"/>
        </w:rPr>
        <w:t>》；</w:t>
      </w:r>
    </w:p>
    <w:p w14:paraId="33B14E9A">
      <w:pPr>
        <w:spacing w:line="360" w:lineRule="auto"/>
        <w:ind w:firstLine="480" w:firstLineChars="200"/>
        <w:rPr>
          <w:rFonts w:ascii="宋体" w:hAnsi="宋体" w:cs="宋体"/>
          <w:sz w:val="24"/>
          <w:szCs w:val="24"/>
          <w:u w:val="single"/>
        </w:rPr>
      </w:pPr>
      <w:r>
        <w:rPr>
          <w:rFonts w:hint="eastAsia" w:ascii="宋体" w:hAnsi="宋体" w:cs="宋体"/>
          <w:sz w:val="24"/>
          <w:szCs w:val="24"/>
        </w:rPr>
        <w:t>8）</w:t>
      </w:r>
      <w:r>
        <w:rPr>
          <w:rFonts w:hint="eastAsia" w:ascii="宋体" w:hAnsi="宋体" w:cs="宋体"/>
          <w:sz w:val="24"/>
          <w:szCs w:val="24"/>
          <w:u w:val="single"/>
        </w:rPr>
        <w:t>其他有关工程建设和安全生产的法律法规及规章；</w:t>
      </w:r>
    </w:p>
    <w:p w14:paraId="59E1AB24">
      <w:pPr>
        <w:spacing w:line="360" w:lineRule="auto"/>
        <w:ind w:firstLine="480" w:firstLineChars="200"/>
        <w:rPr>
          <w:rFonts w:ascii="宋体" w:hAnsi="宋体" w:cs="宋体"/>
          <w:sz w:val="24"/>
          <w:szCs w:val="24"/>
        </w:rPr>
      </w:pPr>
      <w:r>
        <w:rPr>
          <w:rFonts w:hint="eastAsia" w:ascii="宋体" w:hAnsi="宋体" w:cs="宋体"/>
          <w:sz w:val="24"/>
          <w:szCs w:val="24"/>
        </w:rPr>
        <w:t>（2）与工程有关的现行规范、标准、规程：</w:t>
      </w:r>
    </w:p>
    <w:p w14:paraId="65B0C878">
      <w:pPr>
        <w:spacing w:line="360" w:lineRule="auto"/>
        <w:ind w:firstLine="480" w:firstLineChars="200"/>
        <w:rPr>
          <w:rFonts w:ascii="宋体" w:hAnsi="宋体" w:cs="宋体"/>
          <w:sz w:val="24"/>
          <w:szCs w:val="24"/>
          <w:u w:val="single"/>
        </w:rPr>
      </w:pPr>
      <w:r>
        <w:rPr>
          <w:rFonts w:hint="eastAsia" w:ascii="宋体" w:hAnsi="宋体" w:cs="宋体"/>
          <w:sz w:val="24"/>
          <w:szCs w:val="24"/>
        </w:rPr>
        <w:t>1）</w:t>
      </w:r>
      <w:r>
        <w:rPr>
          <w:rFonts w:hint="eastAsia" w:ascii="宋体" w:hAnsi="宋体" w:cs="宋体"/>
          <w:sz w:val="24"/>
          <w:szCs w:val="24"/>
          <w:u w:val="single"/>
        </w:rPr>
        <w:t>《建设工程监理规范》；</w:t>
      </w:r>
    </w:p>
    <w:p w14:paraId="706AFA12">
      <w:pPr>
        <w:spacing w:line="360" w:lineRule="auto"/>
        <w:ind w:firstLine="480" w:firstLineChars="200"/>
        <w:rPr>
          <w:rFonts w:ascii="宋体" w:hAnsi="宋体" w:cs="宋体"/>
          <w:sz w:val="24"/>
          <w:szCs w:val="24"/>
          <w:u w:val="single"/>
        </w:rPr>
      </w:pPr>
      <w:r>
        <w:rPr>
          <w:rFonts w:hint="eastAsia" w:ascii="宋体" w:hAnsi="宋体" w:cs="宋体"/>
          <w:sz w:val="24"/>
          <w:szCs w:val="24"/>
        </w:rPr>
        <w:t>2）</w:t>
      </w:r>
      <w:r>
        <w:rPr>
          <w:rFonts w:hint="eastAsia" w:ascii="宋体" w:hAnsi="宋体" w:cs="宋体"/>
          <w:sz w:val="24"/>
          <w:szCs w:val="24"/>
          <w:u w:val="single"/>
        </w:rPr>
        <w:t>国家和重庆市地方现行建设工程勘察、设计、施工、验收规范和规程。</w:t>
      </w:r>
    </w:p>
    <w:p w14:paraId="2578D650">
      <w:pPr>
        <w:spacing w:line="360" w:lineRule="auto"/>
        <w:ind w:firstLine="480" w:firstLineChars="200"/>
        <w:rPr>
          <w:rFonts w:ascii="宋体" w:hAnsi="宋体" w:cs="宋体"/>
          <w:sz w:val="24"/>
          <w:szCs w:val="24"/>
        </w:rPr>
      </w:pPr>
      <w:r>
        <w:rPr>
          <w:rFonts w:hint="eastAsia" w:ascii="宋体" w:hAnsi="宋体" w:cs="宋体"/>
          <w:sz w:val="24"/>
          <w:szCs w:val="24"/>
        </w:rPr>
        <w:t>（3）工程勘察文件、设计文件、工程范围内的图纸及说明文件（含工程变更）及其他文件；</w:t>
      </w:r>
    </w:p>
    <w:p w14:paraId="13390A00">
      <w:pPr>
        <w:spacing w:line="360" w:lineRule="auto"/>
        <w:ind w:firstLine="480" w:firstLineChars="200"/>
        <w:rPr>
          <w:rFonts w:ascii="宋体" w:hAnsi="宋体" w:cs="宋体"/>
          <w:sz w:val="24"/>
          <w:szCs w:val="24"/>
        </w:rPr>
      </w:pPr>
      <w:r>
        <w:rPr>
          <w:rFonts w:hint="eastAsia" w:ascii="宋体" w:hAnsi="宋体" w:cs="宋体"/>
          <w:sz w:val="24"/>
          <w:szCs w:val="24"/>
        </w:rPr>
        <w:t>（4）本工程监理的委托合同及补充合同；</w:t>
      </w:r>
    </w:p>
    <w:p w14:paraId="19DB1765">
      <w:pPr>
        <w:spacing w:line="360" w:lineRule="auto"/>
        <w:ind w:firstLine="480" w:firstLineChars="200"/>
        <w:rPr>
          <w:rFonts w:ascii="宋体" w:hAnsi="宋体" w:cs="宋体"/>
          <w:sz w:val="24"/>
          <w:szCs w:val="24"/>
        </w:rPr>
      </w:pPr>
      <w:r>
        <w:rPr>
          <w:rFonts w:hint="eastAsia" w:ascii="宋体" w:hAnsi="宋体" w:cs="宋体"/>
          <w:sz w:val="24"/>
          <w:szCs w:val="24"/>
        </w:rPr>
        <w:t>（5）委托人签订的代建合同（若有）、勘察、设计和施工承包合同（含分包合同文件、协议书及附件）、主要设备、材料采购合同等；</w:t>
      </w:r>
    </w:p>
    <w:p w14:paraId="33E1D176">
      <w:pPr>
        <w:spacing w:line="360" w:lineRule="auto"/>
        <w:ind w:firstLine="480" w:firstLineChars="200"/>
        <w:rPr>
          <w:rFonts w:ascii="宋体" w:hAnsi="宋体" w:cs="宋体"/>
          <w:sz w:val="24"/>
          <w:szCs w:val="24"/>
        </w:rPr>
      </w:pPr>
      <w:r>
        <w:rPr>
          <w:rFonts w:hint="eastAsia" w:ascii="宋体" w:hAnsi="宋体" w:cs="宋体"/>
          <w:sz w:val="24"/>
          <w:szCs w:val="24"/>
        </w:rPr>
        <w:t>（6）合同履行中与监理服务有关的来往函件；</w:t>
      </w:r>
    </w:p>
    <w:p w14:paraId="33E8C36F">
      <w:pPr>
        <w:spacing w:line="360" w:lineRule="auto"/>
        <w:ind w:firstLine="480" w:firstLineChars="200"/>
        <w:rPr>
          <w:rFonts w:ascii="宋体" w:hAnsi="宋体" w:cs="宋体"/>
          <w:sz w:val="24"/>
          <w:szCs w:val="24"/>
          <w:u w:val="single"/>
        </w:rPr>
      </w:pPr>
      <w:r>
        <w:rPr>
          <w:rFonts w:hint="eastAsia" w:ascii="宋体" w:hAnsi="宋体" w:cs="宋体"/>
          <w:sz w:val="24"/>
          <w:szCs w:val="24"/>
        </w:rPr>
        <w:t>（7）</w:t>
      </w:r>
      <w:r>
        <w:rPr>
          <w:rFonts w:hint="eastAsia" w:ascii="宋体" w:hAnsi="宋体" w:cs="宋体"/>
          <w:sz w:val="24"/>
          <w:szCs w:val="24"/>
          <w:u w:val="single"/>
        </w:rPr>
        <w:t>其他适用的监理依据</w:t>
      </w:r>
      <w:r>
        <w:rPr>
          <w:rFonts w:hint="eastAsia" w:ascii="宋体" w:hAnsi="宋体" w:cs="宋体"/>
          <w:sz w:val="24"/>
          <w:szCs w:val="24"/>
        </w:rPr>
        <w:t>。</w:t>
      </w:r>
    </w:p>
    <w:p w14:paraId="39CB2541">
      <w:pPr>
        <w:spacing w:line="360" w:lineRule="auto"/>
        <w:ind w:firstLine="482" w:firstLineChars="200"/>
        <w:rPr>
          <w:rFonts w:ascii="宋体" w:hAnsi="宋体" w:cs="宋体"/>
          <w:b/>
          <w:sz w:val="24"/>
          <w:szCs w:val="24"/>
        </w:rPr>
      </w:pPr>
      <w:r>
        <w:rPr>
          <w:rFonts w:hint="eastAsia" w:ascii="宋体" w:hAnsi="宋体" w:cs="宋体"/>
          <w:b/>
          <w:sz w:val="24"/>
          <w:szCs w:val="24"/>
        </w:rPr>
        <w:t>5.3 监理内容</w:t>
      </w:r>
    </w:p>
    <w:p w14:paraId="65BE7B27">
      <w:pPr>
        <w:spacing w:line="360" w:lineRule="auto"/>
        <w:ind w:firstLine="480" w:firstLineChars="200"/>
        <w:rPr>
          <w:rFonts w:ascii="宋体" w:hAnsi="宋体" w:cs="宋体"/>
          <w:sz w:val="24"/>
          <w:szCs w:val="24"/>
          <w:u w:val="single"/>
        </w:rPr>
      </w:pPr>
      <w:r>
        <w:rPr>
          <w:rFonts w:hint="eastAsia" w:ascii="宋体" w:hAnsi="宋体" w:cs="宋体"/>
          <w:sz w:val="24"/>
          <w:szCs w:val="24"/>
        </w:rPr>
        <w:t>除本合同通用条款5.3款约定的监理工作内容外，其他工作内容还包括：</w:t>
      </w:r>
      <w:r>
        <w:rPr>
          <w:rFonts w:hint="eastAsia" w:ascii="宋体" w:hAnsi="宋体" w:cs="宋体"/>
          <w:sz w:val="24"/>
          <w:szCs w:val="24"/>
          <w:u w:val="single"/>
        </w:rPr>
        <w:t xml:space="preserve"> /  </w:t>
      </w:r>
      <w:r>
        <w:rPr>
          <w:rFonts w:hint="eastAsia" w:ascii="宋体" w:hAnsi="宋体" w:cs="宋体"/>
          <w:sz w:val="24"/>
          <w:szCs w:val="24"/>
        </w:rPr>
        <w:t>。</w:t>
      </w:r>
    </w:p>
    <w:p w14:paraId="6700FD99">
      <w:pPr>
        <w:spacing w:line="360" w:lineRule="auto"/>
        <w:ind w:firstLine="482" w:firstLineChars="200"/>
        <w:rPr>
          <w:rFonts w:ascii="宋体" w:hAnsi="宋体" w:cs="宋体"/>
          <w:b/>
          <w:sz w:val="24"/>
          <w:szCs w:val="24"/>
        </w:rPr>
      </w:pPr>
      <w:r>
        <w:rPr>
          <w:rFonts w:hint="eastAsia" w:ascii="宋体" w:hAnsi="宋体" w:cs="宋体"/>
          <w:b/>
          <w:sz w:val="24"/>
          <w:szCs w:val="24"/>
        </w:rPr>
        <w:t>5.4 监理文件要求</w:t>
      </w:r>
    </w:p>
    <w:p w14:paraId="154BF270">
      <w:pPr>
        <w:spacing w:line="360" w:lineRule="auto"/>
        <w:ind w:firstLine="480" w:firstLineChars="200"/>
        <w:rPr>
          <w:rFonts w:ascii="宋体" w:hAnsi="宋体" w:cs="宋体"/>
          <w:sz w:val="24"/>
          <w:szCs w:val="24"/>
        </w:rPr>
      </w:pPr>
      <w:r>
        <w:rPr>
          <w:rFonts w:hint="eastAsia" w:ascii="宋体" w:hAnsi="宋体" w:cs="宋体"/>
          <w:sz w:val="24"/>
          <w:szCs w:val="24"/>
        </w:rPr>
        <w:t>5.4.3本工程监理文件包括但不限于：</w:t>
      </w:r>
      <w:r>
        <w:rPr>
          <w:rFonts w:hint="eastAsia" w:ascii="宋体" w:hAnsi="宋体" w:cs="宋体"/>
          <w:sz w:val="24"/>
          <w:szCs w:val="24"/>
          <w:u w:val="single"/>
        </w:rPr>
        <w:t>监理管理文件、质量监理文件、安全履责文件、费用与进度监理文件、合同事项管理文件，以及监理日志、巡视记录、旁站记录、监理月报、监理工作报告等其他监理文件和影像资料</w:t>
      </w:r>
      <w:r>
        <w:rPr>
          <w:rFonts w:hint="eastAsia" w:ascii="宋体" w:hAnsi="宋体" w:cs="宋体"/>
          <w:sz w:val="24"/>
          <w:szCs w:val="24"/>
        </w:rPr>
        <w:t>。</w:t>
      </w:r>
    </w:p>
    <w:p w14:paraId="2EC7D527">
      <w:pPr>
        <w:spacing w:line="360" w:lineRule="auto"/>
        <w:ind w:firstLine="480" w:firstLineChars="200"/>
        <w:rPr>
          <w:rFonts w:ascii="宋体" w:hAnsi="宋体" w:cs="宋体"/>
          <w:sz w:val="24"/>
          <w:szCs w:val="24"/>
        </w:rPr>
      </w:pPr>
      <w:r>
        <w:rPr>
          <w:rFonts w:hint="eastAsia" w:ascii="宋体" w:hAnsi="宋体" w:cs="宋体"/>
          <w:sz w:val="24"/>
          <w:szCs w:val="24"/>
        </w:rPr>
        <w:t>具体类别、编制要求、编制内容、提交时间和份数等应满足相关行业监理规范的规定。须提交的文件、期限和份数见第1.6.1项。</w:t>
      </w:r>
    </w:p>
    <w:p w14:paraId="5BB53CBA">
      <w:pPr>
        <w:spacing w:line="360" w:lineRule="auto"/>
        <w:ind w:firstLine="480" w:firstLineChars="200"/>
        <w:rPr>
          <w:rFonts w:ascii="宋体" w:hAnsi="宋体" w:cs="宋体"/>
          <w:sz w:val="24"/>
          <w:szCs w:val="24"/>
        </w:rPr>
      </w:pPr>
      <w:r>
        <w:rPr>
          <w:rFonts w:hint="eastAsia" w:ascii="宋体" w:hAnsi="宋体" w:cs="宋体"/>
          <w:sz w:val="24"/>
          <w:szCs w:val="24"/>
        </w:rPr>
        <w:t>本条补充5.5～5.6款：</w:t>
      </w:r>
    </w:p>
    <w:p w14:paraId="6E8A9FD2">
      <w:pPr>
        <w:spacing w:line="360" w:lineRule="auto"/>
        <w:ind w:firstLine="482" w:firstLineChars="200"/>
        <w:rPr>
          <w:rFonts w:ascii="宋体" w:hAnsi="宋体" w:cs="宋体"/>
          <w:b/>
          <w:sz w:val="24"/>
          <w:szCs w:val="24"/>
        </w:rPr>
      </w:pPr>
      <w:r>
        <w:rPr>
          <w:rFonts w:hint="eastAsia" w:ascii="宋体" w:hAnsi="宋体" w:cs="宋体"/>
          <w:b/>
          <w:sz w:val="24"/>
          <w:szCs w:val="24"/>
        </w:rPr>
        <w:t>5.5 委托人对监理人的授权</w:t>
      </w:r>
    </w:p>
    <w:p w14:paraId="3710DAE9">
      <w:pPr>
        <w:spacing w:line="360" w:lineRule="auto"/>
        <w:ind w:firstLine="480" w:firstLineChars="200"/>
        <w:rPr>
          <w:rFonts w:ascii="宋体" w:hAnsi="宋体" w:cs="宋体"/>
          <w:sz w:val="24"/>
          <w:szCs w:val="24"/>
          <w:u w:val="single"/>
        </w:rPr>
      </w:pPr>
      <w:r>
        <w:rPr>
          <w:rFonts w:hint="eastAsia" w:ascii="宋体" w:hAnsi="宋体" w:cs="宋体"/>
          <w:sz w:val="24"/>
          <w:szCs w:val="24"/>
        </w:rPr>
        <w:t>5.5.1对监理人的授权：</w:t>
      </w:r>
      <w:r>
        <w:rPr>
          <w:rFonts w:hint="eastAsia" w:ascii="宋体" w:hAnsi="宋体" w:cs="宋体"/>
          <w:sz w:val="24"/>
          <w:szCs w:val="24"/>
          <w:u w:val="single"/>
        </w:rPr>
        <w:t>委托人授予监理人有相关行业监理规范赋予的全部职责。</w:t>
      </w:r>
    </w:p>
    <w:p w14:paraId="55689E56">
      <w:pPr>
        <w:spacing w:line="360" w:lineRule="auto"/>
        <w:ind w:firstLine="480" w:firstLineChars="200"/>
        <w:rPr>
          <w:rFonts w:ascii="宋体" w:hAnsi="宋体" w:cs="宋体"/>
          <w:sz w:val="24"/>
          <w:szCs w:val="24"/>
        </w:rPr>
      </w:pPr>
      <w:r>
        <w:rPr>
          <w:rFonts w:hint="eastAsia" w:ascii="宋体" w:hAnsi="宋体" w:cs="宋体"/>
          <w:sz w:val="24"/>
          <w:szCs w:val="24"/>
        </w:rPr>
        <w:t>5.5.2监理人有权要求承包人调换其人员的条件：</w:t>
      </w:r>
    </w:p>
    <w:p w14:paraId="16B9FA59">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rPr>
        <w:t>（1）</w:t>
      </w:r>
      <w:r>
        <w:rPr>
          <w:rFonts w:hint="eastAsia" w:ascii="宋体" w:hAnsi="宋体" w:cs="宋体"/>
          <w:kern w:val="0"/>
          <w:sz w:val="24"/>
          <w:szCs w:val="24"/>
          <w:u w:val="single"/>
        </w:rPr>
        <w:t>不能到现场就职的管理人员；</w:t>
      </w:r>
    </w:p>
    <w:p w14:paraId="6CC4C957">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rPr>
        <w:t>（2）</w:t>
      </w:r>
      <w:r>
        <w:rPr>
          <w:rFonts w:hint="eastAsia" w:ascii="宋体" w:hAnsi="宋体" w:cs="宋体"/>
          <w:kern w:val="0"/>
          <w:sz w:val="24"/>
          <w:szCs w:val="24"/>
          <w:u w:val="single"/>
        </w:rPr>
        <w:t>履职能力不足，不能胜任本职工作的人员；</w:t>
      </w:r>
    </w:p>
    <w:p w14:paraId="5C79DA32">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rPr>
        <w:t>（3）</w:t>
      </w:r>
      <w:r>
        <w:rPr>
          <w:rFonts w:hint="eastAsia" w:ascii="宋体" w:hAnsi="宋体" w:cs="宋体"/>
          <w:kern w:val="0"/>
          <w:sz w:val="24"/>
          <w:szCs w:val="24"/>
          <w:u w:val="single"/>
        </w:rPr>
        <w:t>不服从委托人或监理人管理的人员。</w:t>
      </w:r>
    </w:p>
    <w:p w14:paraId="479136DF">
      <w:pPr>
        <w:spacing w:line="360" w:lineRule="auto"/>
        <w:ind w:firstLine="482" w:firstLineChars="200"/>
        <w:rPr>
          <w:rFonts w:ascii="宋体" w:hAnsi="宋体" w:cs="宋体"/>
          <w:b/>
          <w:sz w:val="24"/>
          <w:szCs w:val="24"/>
        </w:rPr>
      </w:pPr>
      <w:r>
        <w:rPr>
          <w:rFonts w:hint="eastAsia" w:ascii="宋体" w:hAnsi="宋体" w:cs="宋体"/>
          <w:b/>
          <w:sz w:val="24"/>
          <w:szCs w:val="24"/>
        </w:rPr>
        <w:t>5.6 监理服务目标</w:t>
      </w:r>
    </w:p>
    <w:p w14:paraId="70A4F84F">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监理人提供的监理服务，应当符合国家有关</w:t>
      </w:r>
      <w:r>
        <w:rPr>
          <w:rFonts w:hint="eastAsia" w:ascii="宋体" w:hAnsi="宋体" w:cs="宋体"/>
          <w:kern w:val="0"/>
          <w:sz w:val="24"/>
          <w:szCs w:val="24"/>
          <w:lang w:eastAsia="zh-CN"/>
        </w:rPr>
        <w:t>法律法规</w:t>
      </w:r>
      <w:r>
        <w:rPr>
          <w:rFonts w:hint="eastAsia" w:ascii="宋体" w:hAnsi="宋体" w:cs="宋体"/>
          <w:kern w:val="0"/>
          <w:sz w:val="24"/>
          <w:szCs w:val="24"/>
        </w:rPr>
        <w:t>和标准规范，满足合同约定的服务内容和质量等要求。</w:t>
      </w:r>
    </w:p>
    <w:p w14:paraId="4F6D9BAE">
      <w:pPr>
        <w:spacing w:line="360" w:lineRule="auto"/>
        <w:ind w:firstLine="480" w:firstLineChars="200"/>
        <w:rPr>
          <w:rFonts w:ascii="宋体" w:hAnsi="宋体" w:cs="宋体"/>
          <w:sz w:val="24"/>
          <w:szCs w:val="24"/>
        </w:rPr>
      </w:pPr>
      <w:r>
        <w:rPr>
          <w:rFonts w:hint="eastAsia" w:ascii="宋体" w:hAnsi="宋体" w:cs="宋体"/>
          <w:sz w:val="24"/>
          <w:szCs w:val="24"/>
        </w:rPr>
        <w:t>质量控制目标：</w:t>
      </w:r>
      <w:r>
        <w:rPr>
          <w:rFonts w:hint="eastAsia" w:ascii="宋体" w:hAnsi="宋体" w:cs="宋体"/>
          <w:sz w:val="24"/>
          <w:szCs w:val="24"/>
          <w:u w:val="single"/>
        </w:rPr>
        <w:t>达到国家现行有关施工质量验收规范要求并验收合格</w:t>
      </w:r>
      <w:r>
        <w:rPr>
          <w:rFonts w:hint="eastAsia" w:ascii="宋体" w:hAnsi="宋体" w:cs="宋体"/>
          <w:sz w:val="24"/>
          <w:szCs w:val="24"/>
        </w:rPr>
        <w:t>。</w:t>
      </w:r>
    </w:p>
    <w:p w14:paraId="3FA31A3D">
      <w:pPr>
        <w:spacing w:line="360" w:lineRule="auto"/>
        <w:ind w:firstLine="480" w:firstLineChars="200"/>
        <w:rPr>
          <w:rFonts w:ascii="宋体" w:hAnsi="宋体" w:cs="宋体"/>
          <w:sz w:val="24"/>
          <w:szCs w:val="24"/>
        </w:rPr>
      </w:pPr>
      <w:r>
        <w:rPr>
          <w:rFonts w:hint="eastAsia" w:ascii="宋体" w:hAnsi="宋体" w:cs="宋体"/>
          <w:sz w:val="24"/>
          <w:szCs w:val="24"/>
        </w:rPr>
        <w:t>造价控制目标：</w:t>
      </w:r>
      <w:r>
        <w:rPr>
          <w:rFonts w:hint="eastAsia" w:ascii="宋体" w:hAnsi="宋体" w:cs="宋体"/>
          <w:sz w:val="24"/>
          <w:szCs w:val="24"/>
          <w:u w:val="single"/>
        </w:rPr>
        <w:t>控制在概算批复内，若无概算批复则控制在施工合同金额内，无超前支付发生，严格控制工程变更</w:t>
      </w:r>
      <w:r>
        <w:rPr>
          <w:rFonts w:hint="eastAsia" w:ascii="宋体" w:hAnsi="宋体" w:cs="宋体"/>
          <w:sz w:val="24"/>
          <w:szCs w:val="24"/>
        </w:rPr>
        <w:t>。</w:t>
      </w:r>
    </w:p>
    <w:p w14:paraId="5556E979">
      <w:pPr>
        <w:spacing w:line="360" w:lineRule="auto"/>
        <w:ind w:firstLine="480" w:firstLineChars="200"/>
        <w:rPr>
          <w:rFonts w:ascii="宋体" w:hAnsi="宋体" w:cs="宋体"/>
          <w:sz w:val="24"/>
          <w:szCs w:val="24"/>
        </w:rPr>
      </w:pPr>
      <w:r>
        <w:rPr>
          <w:rFonts w:hint="eastAsia" w:ascii="宋体" w:hAnsi="宋体" w:cs="宋体"/>
          <w:sz w:val="24"/>
          <w:szCs w:val="24"/>
        </w:rPr>
        <w:t>进度控制目标：</w:t>
      </w:r>
      <w:r>
        <w:rPr>
          <w:rFonts w:hint="eastAsia" w:ascii="宋体" w:hAnsi="宋体" w:cs="宋体"/>
          <w:sz w:val="24"/>
          <w:szCs w:val="24"/>
          <w:u w:val="single"/>
        </w:rPr>
        <w:t>督促施工单位采用合理的施工工艺和工序按期完工</w:t>
      </w:r>
      <w:r>
        <w:rPr>
          <w:rFonts w:hint="eastAsia" w:ascii="宋体" w:hAnsi="宋体" w:cs="宋体"/>
          <w:sz w:val="24"/>
          <w:szCs w:val="24"/>
        </w:rPr>
        <w:t>。</w:t>
      </w:r>
    </w:p>
    <w:p w14:paraId="3B268890">
      <w:pPr>
        <w:spacing w:line="360" w:lineRule="auto"/>
        <w:ind w:firstLine="480" w:firstLineChars="200"/>
        <w:rPr>
          <w:rFonts w:ascii="宋体" w:hAnsi="宋体" w:cs="宋体"/>
          <w:sz w:val="24"/>
          <w:szCs w:val="24"/>
        </w:rPr>
      </w:pPr>
      <w:r>
        <w:rPr>
          <w:rFonts w:hint="eastAsia" w:ascii="宋体" w:hAnsi="宋体" w:cs="宋体"/>
          <w:sz w:val="24"/>
          <w:szCs w:val="24"/>
        </w:rPr>
        <w:t>合同管理：</w:t>
      </w:r>
      <w:r>
        <w:rPr>
          <w:rFonts w:hint="eastAsia" w:ascii="宋体" w:hAnsi="宋体" w:cs="宋体"/>
          <w:sz w:val="24"/>
          <w:szCs w:val="24"/>
          <w:u w:val="single"/>
        </w:rPr>
        <w:t>正确处理项目有关的合同索赔和合同纠纷</w:t>
      </w:r>
      <w:r>
        <w:rPr>
          <w:rFonts w:hint="eastAsia" w:ascii="宋体" w:hAnsi="宋体" w:cs="宋体"/>
          <w:sz w:val="24"/>
          <w:szCs w:val="24"/>
        </w:rPr>
        <w:t>。</w:t>
      </w:r>
    </w:p>
    <w:p w14:paraId="0E619DEB">
      <w:pPr>
        <w:spacing w:line="360" w:lineRule="auto"/>
        <w:ind w:firstLine="480" w:firstLineChars="200"/>
        <w:rPr>
          <w:rFonts w:ascii="宋体" w:hAnsi="宋体" w:cs="宋体"/>
          <w:sz w:val="24"/>
          <w:szCs w:val="24"/>
        </w:rPr>
      </w:pPr>
      <w:r>
        <w:rPr>
          <w:rFonts w:hint="eastAsia" w:ascii="宋体" w:hAnsi="宋体" w:cs="宋体"/>
          <w:sz w:val="24"/>
          <w:szCs w:val="24"/>
        </w:rPr>
        <w:t>信息管理：</w:t>
      </w:r>
      <w:r>
        <w:rPr>
          <w:rFonts w:hint="eastAsia" w:ascii="宋体" w:hAnsi="宋体" w:cs="宋体"/>
          <w:sz w:val="24"/>
          <w:szCs w:val="24"/>
          <w:u w:val="single"/>
        </w:rPr>
        <w:t>对项目施工阶段的信息进行收集、整理和保管，保证过程中重要环节的可追溯性</w:t>
      </w:r>
      <w:r>
        <w:rPr>
          <w:rFonts w:hint="eastAsia" w:ascii="宋体" w:hAnsi="宋体" w:cs="宋体"/>
          <w:sz w:val="24"/>
          <w:szCs w:val="24"/>
        </w:rPr>
        <w:t>。</w:t>
      </w:r>
    </w:p>
    <w:p w14:paraId="58D408F3">
      <w:pPr>
        <w:spacing w:line="360" w:lineRule="auto"/>
        <w:ind w:firstLine="480" w:firstLineChars="200"/>
        <w:rPr>
          <w:rFonts w:ascii="宋体" w:hAnsi="宋体" w:cs="宋体"/>
          <w:sz w:val="24"/>
          <w:szCs w:val="24"/>
        </w:rPr>
      </w:pPr>
      <w:r>
        <w:rPr>
          <w:rFonts w:hint="eastAsia" w:ascii="宋体" w:hAnsi="宋体" w:cs="宋体"/>
          <w:sz w:val="24"/>
          <w:szCs w:val="24"/>
        </w:rPr>
        <w:t>协调管理：</w:t>
      </w:r>
      <w:r>
        <w:rPr>
          <w:rFonts w:hint="eastAsia" w:ascii="宋体" w:hAnsi="宋体" w:cs="宋体"/>
          <w:sz w:val="24"/>
          <w:szCs w:val="24"/>
          <w:u w:val="single"/>
        </w:rPr>
        <w:t>对工程建设相关方的关系进行协调</w:t>
      </w:r>
      <w:r>
        <w:rPr>
          <w:rFonts w:hint="eastAsia" w:ascii="宋体" w:hAnsi="宋体" w:cs="宋体"/>
          <w:sz w:val="24"/>
          <w:szCs w:val="24"/>
        </w:rPr>
        <w:t>。</w:t>
      </w:r>
    </w:p>
    <w:p w14:paraId="53FAF98B">
      <w:pPr>
        <w:pStyle w:val="4"/>
        <w:spacing w:before="0" w:after="0" w:line="360" w:lineRule="auto"/>
        <w:ind w:firstLine="138"/>
        <w:rPr>
          <w:rFonts w:ascii="宋体" w:hAnsi="宋体" w:cs="宋体"/>
          <w:sz w:val="24"/>
          <w:szCs w:val="24"/>
        </w:rPr>
      </w:pPr>
      <w:bookmarkStart w:id="303" w:name="_Toc24521"/>
      <w:bookmarkStart w:id="304" w:name="_Toc536778409"/>
      <w:bookmarkStart w:id="305" w:name="_Toc531820324"/>
      <w:bookmarkStart w:id="306" w:name="_Toc24950"/>
      <w:bookmarkStart w:id="307" w:name="_Toc15293"/>
      <w:r>
        <w:rPr>
          <w:rFonts w:hint="eastAsia" w:ascii="宋体" w:hAnsi="宋体" w:cs="宋体"/>
          <w:sz w:val="24"/>
          <w:szCs w:val="24"/>
        </w:rPr>
        <w:t>6.开始监理和完成监理</w:t>
      </w:r>
      <w:bookmarkEnd w:id="303"/>
      <w:bookmarkEnd w:id="304"/>
      <w:bookmarkEnd w:id="305"/>
      <w:bookmarkEnd w:id="306"/>
      <w:bookmarkEnd w:id="307"/>
    </w:p>
    <w:p w14:paraId="4CC18E54">
      <w:pPr>
        <w:spacing w:line="360" w:lineRule="auto"/>
        <w:ind w:firstLine="482" w:firstLineChars="200"/>
        <w:rPr>
          <w:rFonts w:ascii="宋体" w:hAnsi="宋体" w:cs="宋体"/>
          <w:b/>
          <w:kern w:val="0"/>
          <w:sz w:val="24"/>
          <w:szCs w:val="24"/>
        </w:rPr>
      </w:pPr>
      <w:r>
        <w:rPr>
          <w:rFonts w:hint="eastAsia" w:ascii="宋体" w:hAnsi="宋体" w:cs="宋体"/>
          <w:b/>
          <w:sz w:val="24"/>
          <w:szCs w:val="24"/>
        </w:rPr>
        <w:t xml:space="preserve">6.1 </w:t>
      </w:r>
      <w:r>
        <w:rPr>
          <w:rFonts w:hint="eastAsia" w:ascii="宋体" w:hAnsi="宋体" w:cs="宋体"/>
          <w:b/>
          <w:kern w:val="0"/>
          <w:sz w:val="24"/>
          <w:szCs w:val="24"/>
        </w:rPr>
        <w:t>开始监理</w:t>
      </w:r>
    </w:p>
    <w:p w14:paraId="529F1B59">
      <w:pPr>
        <w:spacing w:line="360" w:lineRule="auto"/>
        <w:ind w:firstLine="480" w:firstLineChars="200"/>
        <w:rPr>
          <w:rFonts w:ascii="宋体" w:hAnsi="宋体" w:cs="宋体"/>
          <w:sz w:val="24"/>
          <w:szCs w:val="24"/>
        </w:rPr>
      </w:pPr>
      <w:r>
        <w:rPr>
          <w:rFonts w:hint="eastAsia" w:ascii="宋体" w:hAnsi="宋体" w:cs="宋体"/>
          <w:sz w:val="24"/>
          <w:szCs w:val="24"/>
        </w:rPr>
        <w:t xml:space="preserve">6.1.1 </w:t>
      </w:r>
      <w:r>
        <w:rPr>
          <w:rFonts w:hint="eastAsia" w:ascii="宋体" w:hAnsi="宋体" w:cs="宋体"/>
          <w:kern w:val="0"/>
          <w:sz w:val="24"/>
          <w:szCs w:val="24"/>
        </w:rPr>
        <w:t>开始监理条件：</w:t>
      </w:r>
      <w:r>
        <w:rPr>
          <w:rFonts w:hint="eastAsia" w:ascii="宋体" w:hAnsi="宋体" w:cs="宋体"/>
          <w:sz w:val="24"/>
          <w:szCs w:val="24"/>
          <w:u w:val="single"/>
        </w:rPr>
        <w:t>按通用条款执行</w:t>
      </w:r>
      <w:r>
        <w:rPr>
          <w:rFonts w:hint="eastAsia" w:ascii="宋体" w:hAnsi="宋体" w:cs="宋体"/>
          <w:sz w:val="24"/>
          <w:szCs w:val="24"/>
        </w:rPr>
        <w:t>。</w:t>
      </w:r>
    </w:p>
    <w:p w14:paraId="249F4355">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具备开始监理条件后，委托人应提前</w:t>
      </w:r>
      <w:r>
        <w:rPr>
          <w:rFonts w:hint="eastAsia" w:ascii="宋体" w:hAnsi="宋体" w:cs="宋体"/>
          <w:kern w:val="0"/>
          <w:sz w:val="24"/>
          <w:szCs w:val="24"/>
          <w:u w:val="single"/>
        </w:rPr>
        <w:t xml:space="preserve"> 7 </w:t>
      </w:r>
      <w:r>
        <w:rPr>
          <w:rFonts w:hint="eastAsia" w:ascii="宋体" w:hAnsi="宋体" w:cs="宋体"/>
          <w:kern w:val="0"/>
          <w:sz w:val="24"/>
          <w:szCs w:val="24"/>
        </w:rPr>
        <w:t>天向监理人发出开始监理通知。监理服务期限自开始监理通知中载明的开始监理日期起计算。</w:t>
      </w:r>
    </w:p>
    <w:p w14:paraId="1616877B">
      <w:pPr>
        <w:spacing w:line="360" w:lineRule="auto"/>
        <w:ind w:firstLine="480" w:firstLineChars="200"/>
        <w:rPr>
          <w:rFonts w:ascii="宋体" w:hAnsi="宋体" w:cs="宋体"/>
          <w:sz w:val="24"/>
          <w:szCs w:val="24"/>
        </w:rPr>
      </w:pPr>
      <w:r>
        <w:rPr>
          <w:rFonts w:hint="eastAsia" w:ascii="宋体" w:hAnsi="宋体" w:cs="宋体"/>
          <w:kern w:val="0"/>
          <w:sz w:val="24"/>
          <w:szCs w:val="24"/>
        </w:rPr>
        <w:t xml:space="preserve">6.1.2 </w:t>
      </w:r>
      <w:r>
        <w:rPr>
          <w:rFonts w:hint="eastAsia" w:ascii="宋体" w:hAnsi="宋体" w:cs="宋体"/>
          <w:sz w:val="24"/>
          <w:szCs w:val="24"/>
        </w:rPr>
        <w:t>因委托人原因造成合同签订之日起</w:t>
      </w:r>
      <w:r>
        <w:rPr>
          <w:rFonts w:hint="eastAsia" w:ascii="宋体" w:hAnsi="宋体" w:cs="宋体"/>
          <w:sz w:val="24"/>
          <w:szCs w:val="24"/>
          <w:u w:val="single"/>
        </w:rPr>
        <w:t xml:space="preserve">90 </w:t>
      </w:r>
      <w:r>
        <w:rPr>
          <w:rFonts w:hint="eastAsia" w:ascii="宋体" w:hAnsi="宋体" w:cs="宋体"/>
          <w:sz w:val="24"/>
          <w:szCs w:val="24"/>
        </w:rPr>
        <w:t>天内未能发出开始监理通知的，委托人应当延长监理服务期限。</w:t>
      </w:r>
    </w:p>
    <w:p w14:paraId="7269B515">
      <w:pPr>
        <w:spacing w:line="360" w:lineRule="auto"/>
        <w:ind w:firstLine="482" w:firstLineChars="200"/>
        <w:rPr>
          <w:rFonts w:ascii="宋体" w:hAnsi="宋体" w:cs="宋体"/>
          <w:b/>
          <w:kern w:val="0"/>
          <w:sz w:val="24"/>
          <w:szCs w:val="24"/>
        </w:rPr>
      </w:pPr>
      <w:r>
        <w:rPr>
          <w:rFonts w:hint="eastAsia" w:ascii="宋体" w:hAnsi="宋体" w:cs="宋体"/>
          <w:b/>
          <w:sz w:val="24"/>
          <w:szCs w:val="24"/>
        </w:rPr>
        <w:t xml:space="preserve">6.2 </w:t>
      </w:r>
      <w:r>
        <w:rPr>
          <w:rFonts w:hint="eastAsia" w:ascii="宋体" w:hAnsi="宋体" w:cs="宋体"/>
          <w:b/>
          <w:kern w:val="0"/>
          <w:sz w:val="24"/>
          <w:szCs w:val="24"/>
        </w:rPr>
        <w:t>监理周期延误</w:t>
      </w:r>
    </w:p>
    <w:p w14:paraId="328C18CC">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在履行合同过程中，由于本合同通用条款第6.2款所列原因（除因国家或地方政府的</w:t>
      </w:r>
      <w:r>
        <w:rPr>
          <w:rFonts w:hint="eastAsia" w:ascii="宋体" w:hAnsi="宋体" w:cs="宋体"/>
          <w:kern w:val="0"/>
          <w:sz w:val="24"/>
          <w:szCs w:val="24"/>
          <w:lang w:eastAsia="zh-CN"/>
        </w:rPr>
        <w:t>法律法规</w:t>
      </w:r>
      <w:r>
        <w:rPr>
          <w:rFonts w:hint="eastAsia" w:ascii="宋体" w:hAnsi="宋体" w:cs="宋体"/>
          <w:kern w:val="0"/>
          <w:sz w:val="24"/>
          <w:szCs w:val="24"/>
        </w:rPr>
        <w:t>变动及不可抗力外）造成监理服务期限延误超过</w:t>
      </w:r>
      <w:r>
        <w:rPr>
          <w:rFonts w:hint="eastAsia" w:ascii="宋体" w:hAnsi="宋体" w:cs="宋体"/>
          <w:kern w:val="0"/>
          <w:sz w:val="24"/>
          <w:szCs w:val="24"/>
          <w:u w:val="single"/>
        </w:rPr>
        <w:t xml:space="preserve"> 90 </w:t>
      </w:r>
      <w:r>
        <w:rPr>
          <w:rFonts w:hint="eastAsia" w:ascii="宋体" w:hAnsi="宋体" w:cs="宋体"/>
          <w:kern w:val="0"/>
          <w:sz w:val="24"/>
          <w:szCs w:val="24"/>
        </w:rPr>
        <w:t>天的，委托人应当延长监理服务期限。</w:t>
      </w:r>
    </w:p>
    <w:p w14:paraId="20D230E6">
      <w:pPr>
        <w:spacing w:line="360" w:lineRule="auto"/>
        <w:ind w:firstLine="482" w:firstLineChars="200"/>
        <w:rPr>
          <w:rFonts w:ascii="宋体" w:hAnsi="宋体" w:cs="宋体"/>
          <w:b/>
          <w:sz w:val="24"/>
          <w:szCs w:val="24"/>
        </w:rPr>
      </w:pPr>
      <w:r>
        <w:rPr>
          <w:rFonts w:hint="eastAsia" w:ascii="宋体" w:hAnsi="宋体" w:cs="宋体"/>
          <w:b/>
          <w:sz w:val="24"/>
          <w:szCs w:val="24"/>
        </w:rPr>
        <w:t>6.3 完成监理</w:t>
      </w:r>
    </w:p>
    <w:p w14:paraId="6E78768C">
      <w:pPr>
        <w:spacing w:line="360" w:lineRule="auto"/>
        <w:ind w:firstLine="480" w:firstLineChars="200"/>
        <w:rPr>
          <w:rFonts w:ascii="宋体" w:hAnsi="宋体" w:cs="宋体"/>
          <w:sz w:val="24"/>
          <w:szCs w:val="24"/>
        </w:rPr>
      </w:pPr>
      <w:r>
        <w:rPr>
          <w:rFonts w:hint="eastAsia" w:ascii="宋体" w:hAnsi="宋体" w:cs="宋体"/>
          <w:sz w:val="24"/>
          <w:szCs w:val="24"/>
        </w:rPr>
        <w:t>6.3.2 根据委托人要求或者基于专业能力判断，监理人认为能够提前完成监理的，可向委托人递交一份提前完成监理建议书，包括实施方案、提前时间、监理报酬变动等内容。委托人接受建议书的，监理报酬调整方式为：</w:t>
      </w:r>
      <w:r>
        <w:rPr>
          <w:rFonts w:hint="eastAsia" w:ascii="宋体" w:hAnsi="宋体" w:cs="宋体"/>
          <w:sz w:val="24"/>
          <w:szCs w:val="24"/>
          <w:u w:val="single"/>
        </w:rPr>
        <w:t xml:space="preserve">  按通用条款执行 </w:t>
      </w:r>
      <w:r>
        <w:rPr>
          <w:rFonts w:hint="eastAsia" w:ascii="宋体" w:hAnsi="宋体" w:cs="宋体"/>
          <w:sz w:val="24"/>
          <w:szCs w:val="24"/>
        </w:rPr>
        <w:t>。</w:t>
      </w:r>
    </w:p>
    <w:p w14:paraId="74C85338">
      <w:pPr>
        <w:spacing w:line="360" w:lineRule="auto"/>
        <w:ind w:firstLine="480" w:firstLineChars="200"/>
        <w:rPr>
          <w:rFonts w:ascii="宋体" w:hAnsi="宋体" w:cs="宋体"/>
          <w:sz w:val="24"/>
          <w:szCs w:val="24"/>
        </w:rPr>
      </w:pPr>
      <w:r>
        <w:rPr>
          <w:rFonts w:hint="eastAsia" w:ascii="宋体" w:hAnsi="宋体" w:cs="宋体"/>
          <w:sz w:val="24"/>
          <w:szCs w:val="24"/>
        </w:rPr>
        <w:t>6.3.5 监理文件包括纸质文件和电子文件两种形式，两者若有不一致时，应以纸质文件为准。纸质文件应当加盖单位法人章和总监理工程师的注册执业印章。电子文件应使用光盘和 U 盘分别贮存。</w:t>
      </w:r>
    </w:p>
    <w:p w14:paraId="5DDC6B6F">
      <w:pPr>
        <w:spacing w:line="360" w:lineRule="auto"/>
        <w:ind w:firstLine="480" w:firstLineChars="200"/>
        <w:rPr>
          <w:rFonts w:ascii="宋体" w:hAnsi="宋体" w:cs="宋体"/>
          <w:sz w:val="24"/>
          <w:szCs w:val="24"/>
        </w:rPr>
      </w:pPr>
      <w:r>
        <w:rPr>
          <w:rFonts w:hint="eastAsia" w:ascii="宋体" w:hAnsi="宋体" w:cs="宋体"/>
          <w:sz w:val="24"/>
          <w:szCs w:val="24"/>
        </w:rPr>
        <w:t>纸质文件份数：</w:t>
      </w:r>
      <w:r>
        <w:rPr>
          <w:rFonts w:hint="eastAsia" w:ascii="宋体" w:hAnsi="宋体" w:cs="宋体"/>
          <w:sz w:val="24"/>
          <w:szCs w:val="24"/>
          <w:u w:val="single"/>
        </w:rPr>
        <w:t xml:space="preserve">  3份  </w:t>
      </w:r>
      <w:r>
        <w:rPr>
          <w:rFonts w:hint="eastAsia" w:ascii="宋体" w:hAnsi="宋体" w:cs="宋体"/>
          <w:sz w:val="24"/>
          <w:szCs w:val="24"/>
        </w:rPr>
        <w:t>。</w:t>
      </w:r>
    </w:p>
    <w:p w14:paraId="47B85135">
      <w:pPr>
        <w:spacing w:line="360" w:lineRule="auto"/>
        <w:ind w:firstLine="480" w:firstLineChars="200"/>
        <w:rPr>
          <w:rFonts w:ascii="宋体" w:hAnsi="宋体" w:cs="宋体"/>
          <w:sz w:val="24"/>
          <w:szCs w:val="24"/>
        </w:rPr>
      </w:pPr>
      <w:r>
        <w:rPr>
          <w:rFonts w:hint="eastAsia" w:ascii="宋体" w:hAnsi="宋体" w:cs="宋体"/>
          <w:sz w:val="24"/>
          <w:szCs w:val="24"/>
        </w:rPr>
        <w:t>纸幅：</w:t>
      </w:r>
      <w:r>
        <w:rPr>
          <w:rFonts w:hint="eastAsia" w:ascii="宋体" w:hAnsi="宋体" w:cs="宋体"/>
          <w:sz w:val="24"/>
          <w:szCs w:val="24"/>
          <w:u w:val="single"/>
        </w:rPr>
        <w:t>国家标准纸幅，满足委托人存档要求和大渡口区档案馆移交要求</w:t>
      </w:r>
      <w:r>
        <w:rPr>
          <w:rFonts w:hint="eastAsia" w:ascii="宋体" w:hAnsi="宋体" w:cs="宋体"/>
          <w:sz w:val="24"/>
          <w:szCs w:val="24"/>
        </w:rPr>
        <w:t>。</w:t>
      </w:r>
    </w:p>
    <w:p w14:paraId="0ECAE87C">
      <w:pPr>
        <w:spacing w:line="360" w:lineRule="auto"/>
        <w:ind w:firstLine="480" w:firstLineChars="200"/>
        <w:rPr>
          <w:rFonts w:ascii="宋体" w:hAnsi="宋体" w:cs="宋体"/>
          <w:sz w:val="24"/>
          <w:szCs w:val="24"/>
        </w:rPr>
      </w:pPr>
      <w:r>
        <w:rPr>
          <w:rFonts w:hint="eastAsia" w:ascii="宋体" w:hAnsi="宋体" w:cs="宋体"/>
          <w:sz w:val="24"/>
          <w:szCs w:val="24"/>
        </w:rPr>
        <w:t>装订格式：</w:t>
      </w:r>
      <w:r>
        <w:rPr>
          <w:rFonts w:hint="eastAsia" w:ascii="宋体" w:hAnsi="宋体" w:cs="宋体"/>
          <w:sz w:val="24"/>
          <w:szCs w:val="24"/>
          <w:u w:val="single"/>
        </w:rPr>
        <w:t>胶装或线装，资料移交时以委托人要求为准</w:t>
      </w:r>
      <w:r>
        <w:rPr>
          <w:rFonts w:hint="eastAsia" w:ascii="宋体" w:hAnsi="宋体" w:cs="宋体"/>
          <w:sz w:val="24"/>
          <w:szCs w:val="24"/>
        </w:rPr>
        <w:t>。</w:t>
      </w:r>
    </w:p>
    <w:p w14:paraId="1C359B6A">
      <w:pPr>
        <w:spacing w:line="360" w:lineRule="auto"/>
        <w:ind w:firstLine="480" w:firstLineChars="200"/>
        <w:rPr>
          <w:rFonts w:ascii="宋体" w:hAnsi="宋体" w:cs="宋体"/>
          <w:kern w:val="0"/>
          <w:sz w:val="24"/>
          <w:szCs w:val="24"/>
        </w:rPr>
      </w:pPr>
      <w:r>
        <w:rPr>
          <w:rFonts w:hint="eastAsia" w:ascii="宋体" w:hAnsi="宋体" w:cs="宋体"/>
          <w:sz w:val="24"/>
          <w:szCs w:val="24"/>
        </w:rPr>
        <w:t>电子文件光盘和 U 盘份数：</w:t>
      </w:r>
      <w:r>
        <w:rPr>
          <w:rFonts w:hint="eastAsia" w:ascii="宋体" w:hAnsi="宋体" w:cs="宋体"/>
          <w:sz w:val="24"/>
          <w:szCs w:val="24"/>
          <w:u w:val="single"/>
        </w:rPr>
        <w:t xml:space="preserve">2份 </w:t>
      </w:r>
      <w:r>
        <w:rPr>
          <w:rFonts w:hint="eastAsia" w:ascii="宋体" w:hAnsi="宋体" w:cs="宋体"/>
          <w:sz w:val="24"/>
          <w:szCs w:val="24"/>
        </w:rPr>
        <w:t>。</w:t>
      </w:r>
    </w:p>
    <w:p w14:paraId="553F06EE">
      <w:pPr>
        <w:pStyle w:val="4"/>
        <w:spacing w:before="0" w:after="0" w:line="360" w:lineRule="auto"/>
        <w:ind w:firstLine="138"/>
        <w:rPr>
          <w:rFonts w:ascii="宋体" w:hAnsi="宋体" w:cs="宋体"/>
          <w:sz w:val="24"/>
          <w:szCs w:val="24"/>
        </w:rPr>
      </w:pPr>
      <w:bookmarkStart w:id="308" w:name="_Toc12299"/>
      <w:bookmarkStart w:id="309" w:name="_Toc536778410"/>
      <w:bookmarkStart w:id="310" w:name="_Toc7293"/>
      <w:bookmarkStart w:id="311" w:name="_Toc531820325"/>
      <w:bookmarkStart w:id="312" w:name="_Toc29921"/>
      <w:r>
        <w:rPr>
          <w:rFonts w:hint="eastAsia" w:ascii="宋体" w:hAnsi="宋体" w:cs="宋体"/>
          <w:sz w:val="24"/>
          <w:szCs w:val="24"/>
        </w:rPr>
        <w:t>7.监理责任与保险</w:t>
      </w:r>
      <w:bookmarkEnd w:id="308"/>
      <w:bookmarkEnd w:id="309"/>
      <w:bookmarkEnd w:id="310"/>
      <w:bookmarkEnd w:id="311"/>
      <w:bookmarkEnd w:id="312"/>
    </w:p>
    <w:p w14:paraId="7804FB6C">
      <w:pPr>
        <w:spacing w:line="360" w:lineRule="auto"/>
        <w:ind w:firstLine="482" w:firstLineChars="200"/>
        <w:rPr>
          <w:rFonts w:ascii="宋体" w:hAnsi="宋体" w:cs="宋体"/>
          <w:b/>
          <w:sz w:val="24"/>
          <w:szCs w:val="24"/>
        </w:rPr>
      </w:pPr>
      <w:r>
        <w:rPr>
          <w:rFonts w:hint="eastAsia" w:ascii="宋体" w:hAnsi="宋体" w:cs="宋体"/>
          <w:b/>
          <w:sz w:val="24"/>
          <w:szCs w:val="24"/>
        </w:rPr>
        <w:t>7.1 监理责任主体</w:t>
      </w:r>
    </w:p>
    <w:p w14:paraId="1BF302C4">
      <w:pPr>
        <w:spacing w:line="360" w:lineRule="auto"/>
        <w:ind w:firstLine="480" w:firstLineChars="200"/>
        <w:rPr>
          <w:rFonts w:ascii="宋体" w:hAnsi="宋体" w:cs="宋体"/>
          <w:sz w:val="24"/>
          <w:szCs w:val="24"/>
        </w:rPr>
      </w:pPr>
      <w:r>
        <w:rPr>
          <w:rFonts w:hint="eastAsia" w:ascii="宋体" w:hAnsi="宋体" w:cs="宋体"/>
          <w:sz w:val="24"/>
          <w:szCs w:val="24"/>
        </w:rPr>
        <w:t>7.1.2监理人应当建立健全工程质量保证体系，制定质量管理制度，强化工程质量管理措施，完善工程质量目标保障机制。本工程</w:t>
      </w:r>
      <w:r>
        <w:rPr>
          <w:rFonts w:hint="eastAsia" w:ascii="宋体" w:hAnsi="宋体" w:cs="宋体"/>
          <w:sz w:val="24"/>
          <w:szCs w:val="24"/>
          <w:lang w:eastAsia="zh-CN"/>
        </w:rPr>
        <w:t>实行</w:t>
      </w:r>
      <w:r>
        <w:rPr>
          <w:rFonts w:hint="eastAsia" w:ascii="宋体" w:hAnsi="宋体" w:cs="宋体"/>
          <w:sz w:val="24"/>
          <w:szCs w:val="24"/>
        </w:rPr>
        <w:t>质量责任终身制。监理人应当书面明确相应的总监理工程师和质量负责人。监理人的相关人员按照国家法律法规和有关规定在工程合理使用年限内承担相应的质量责任。</w:t>
      </w:r>
    </w:p>
    <w:p w14:paraId="42F3DAB6">
      <w:pPr>
        <w:spacing w:line="360" w:lineRule="auto"/>
        <w:ind w:firstLine="480" w:firstLineChars="200"/>
        <w:rPr>
          <w:rFonts w:ascii="宋体" w:hAnsi="宋体" w:cs="宋体"/>
          <w:sz w:val="24"/>
          <w:szCs w:val="24"/>
        </w:rPr>
      </w:pPr>
      <w:r>
        <w:rPr>
          <w:rFonts w:hint="eastAsia" w:ascii="宋体" w:hAnsi="宋体" w:cs="宋体"/>
          <w:sz w:val="24"/>
          <w:szCs w:val="24"/>
        </w:rPr>
        <w:t>7.1.3监理人对施工质量负监理责任，应当按合同约定设立现场监理机构，按规定程序和标准进行工程质量检查、检测和验收，对发现的质量问题及时督促整改，不得降低工程质量标准。</w:t>
      </w:r>
    </w:p>
    <w:p w14:paraId="6FCD778E">
      <w:pPr>
        <w:spacing w:line="360" w:lineRule="auto"/>
        <w:ind w:firstLine="480" w:firstLineChars="200"/>
        <w:rPr>
          <w:rFonts w:ascii="宋体" w:hAnsi="宋体" w:cs="宋体"/>
          <w:sz w:val="24"/>
          <w:szCs w:val="24"/>
        </w:rPr>
      </w:pPr>
      <w:r>
        <w:rPr>
          <w:rFonts w:hint="eastAsia" w:ascii="宋体" w:hAnsi="宋体" w:cs="宋体"/>
          <w:sz w:val="24"/>
          <w:szCs w:val="24"/>
        </w:rPr>
        <w:t>总监理工程师应当在办理工程质量监督手续前签署工程质量终身责任承诺书，连同法定代表人出具的授权书，报工程质量监督机构备案。</w:t>
      </w:r>
    </w:p>
    <w:p w14:paraId="73B145DB">
      <w:pPr>
        <w:spacing w:line="360" w:lineRule="auto"/>
        <w:ind w:firstLine="482" w:firstLineChars="200"/>
        <w:rPr>
          <w:rFonts w:ascii="宋体" w:hAnsi="宋体" w:cs="宋体"/>
          <w:b/>
          <w:sz w:val="24"/>
          <w:szCs w:val="24"/>
        </w:rPr>
      </w:pPr>
      <w:r>
        <w:rPr>
          <w:rFonts w:hint="eastAsia" w:ascii="宋体" w:hAnsi="宋体" w:cs="宋体"/>
          <w:b/>
          <w:sz w:val="24"/>
          <w:szCs w:val="24"/>
        </w:rPr>
        <w:t>7.2监理责任保险</w:t>
      </w:r>
    </w:p>
    <w:p w14:paraId="7865A5ED">
      <w:pPr>
        <w:spacing w:line="360" w:lineRule="auto"/>
        <w:ind w:firstLine="480" w:firstLineChars="200"/>
        <w:rPr>
          <w:rFonts w:ascii="宋体" w:hAnsi="宋体" w:cs="宋体"/>
          <w:b/>
          <w:sz w:val="24"/>
          <w:szCs w:val="24"/>
        </w:rPr>
      </w:pPr>
      <w:r>
        <w:rPr>
          <w:rFonts w:hint="eastAsia" w:ascii="宋体" w:hAnsi="宋体" w:cs="宋体"/>
          <w:sz w:val="24"/>
          <w:szCs w:val="24"/>
        </w:rPr>
        <w:t>7.2 监理责任保险：</w:t>
      </w:r>
      <w:r>
        <w:rPr>
          <w:rFonts w:hint="eastAsia" w:ascii="宋体" w:hAnsi="宋体" w:cs="宋体"/>
          <w:sz w:val="24"/>
          <w:szCs w:val="24"/>
          <w:u w:val="single"/>
        </w:rPr>
        <w:t>建议监理人根据工程情况对监理责任进行保险，并在合同履行期间保持足额、有效</w:t>
      </w:r>
      <w:r>
        <w:rPr>
          <w:rFonts w:hint="eastAsia" w:ascii="宋体" w:hAnsi="宋体" w:cs="宋体"/>
          <w:sz w:val="24"/>
          <w:szCs w:val="24"/>
        </w:rPr>
        <w:t>。</w:t>
      </w:r>
    </w:p>
    <w:p w14:paraId="54ED25AA">
      <w:pPr>
        <w:pStyle w:val="4"/>
        <w:spacing w:before="0" w:after="0" w:line="360" w:lineRule="auto"/>
        <w:ind w:firstLine="138"/>
        <w:rPr>
          <w:rFonts w:ascii="宋体" w:hAnsi="宋体" w:cs="宋体"/>
          <w:sz w:val="24"/>
          <w:szCs w:val="24"/>
        </w:rPr>
      </w:pPr>
      <w:bookmarkStart w:id="313" w:name="_Toc25796"/>
      <w:bookmarkStart w:id="314" w:name="_Toc531820326"/>
      <w:bookmarkStart w:id="315" w:name="_Toc9011"/>
      <w:bookmarkStart w:id="316" w:name="_Toc536778411"/>
      <w:bookmarkStart w:id="317" w:name="_Toc16875"/>
      <w:r>
        <w:rPr>
          <w:rFonts w:hint="eastAsia" w:ascii="宋体" w:hAnsi="宋体" w:cs="宋体"/>
          <w:sz w:val="24"/>
          <w:szCs w:val="24"/>
        </w:rPr>
        <w:t>8.合同变更</w:t>
      </w:r>
      <w:bookmarkEnd w:id="313"/>
      <w:bookmarkEnd w:id="314"/>
      <w:bookmarkEnd w:id="315"/>
      <w:bookmarkEnd w:id="316"/>
      <w:bookmarkEnd w:id="317"/>
    </w:p>
    <w:p w14:paraId="35AED4E8">
      <w:pPr>
        <w:spacing w:line="360" w:lineRule="auto"/>
        <w:ind w:firstLine="482" w:firstLineChars="200"/>
        <w:rPr>
          <w:rFonts w:ascii="宋体" w:hAnsi="宋体" w:cs="宋体"/>
          <w:b/>
          <w:sz w:val="24"/>
          <w:szCs w:val="24"/>
        </w:rPr>
      </w:pPr>
      <w:r>
        <w:rPr>
          <w:rFonts w:hint="eastAsia" w:ascii="宋体" w:hAnsi="宋体" w:cs="宋体"/>
          <w:b/>
          <w:sz w:val="24"/>
          <w:szCs w:val="24"/>
        </w:rPr>
        <w:t>8.1 变更情形</w:t>
      </w:r>
    </w:p>
    <w:p w14:paraId="652747CC">
      <w:pPr>
        <w:spacing w:line="360" w:lineRule="auto"/>
        <w:ind w:firstLine="480" w:firstLineChars="200"/>
        <w:rPr>
          <w:rFonts w:ascii="宋体" w:hAnsi="宋体" w:cs="宋体"/>
          <w:sz w:val="24"/>
          <w:szCs w:val="24"/>
        </w:rPr>
      </w:pPr>
      <w:r>
        <w:rPr>
          <w:rFonts w:hint="eastAsia" w:ascii="宋体" w:hAnsi="宋体" w:cs="宋体"/>
          <w:sz w:val="24"/>
          <w:szCs w:val="24"/>
        </w:rPr>
        <w:t>8.1.1合同履行中发生8.1.1.1目所述情形时，合同一方均可向对方提出变更请求，经双方协商一致后进行变更，监理服务期限和监理报酬的调整方法按8.1.1.2目执行。</w:t>
      </w:r>
    </w:p>
    <w:p w14:paraId="1545BFDD">
      <w:pPr>
        <w:spacing w:line="360" w:lineRule="auto"/>
        <w:ind w:firstLine="480" w:firstLineChars="200"/>
        <w:rPr>
          <w:rFonts w:ascii="宋体" w:hAnsi="宋体" w:cs="宋体"/>
          <w:sz w:val="24"/>
          <w:szCs w:val="24"/>
        </w:rPr>
      </w:pPr>
      <w:r>
        <w:rPr>
          <w:rFonts w:hint="eastAsia" w:ascii="宋体" w:hAnsi="宋体" w:cs="宋体"/>
          <w:sz w:val="24"/>
          <w:szCs w:val="24"/>
        </w:rPr>
        <w:t>8.1.1.1合同履行中发生下述情形时，合同一方均可向对方提出变更请求，经双方协商一致后进行变更：</w:t>
      </w:r>
    </w:p>
    <w:p w14:paraId="6D5B19C4">
      <w:pPr>
        <w:spacing w:line="360" w:lineRule="auto"/>
        <w:ind w:firstLine="480" w:firstLineChars="200"/>
        <w:rPr>
          <w:rFonts w:ascii="宋体" w:hAnsi="宋体" w:cs="宋体"/>
          <w:sz w:val="24"/>
          <w:szCs w:val="24"/>
        </w:rPr>
      </w:pPr>
      <w:r>
        <w:rPr>
          <w:rFonts w:hint="eastAsia" w:ascii="宋体" w:hAnsi="宋体" w:cs="宋体"/>
          <w:sz w:val="24"/>
          <w:szCs w:val="24"/>
        </w:rPr>
        <w:t>（1）监理范围发生变化；</w:t>
      </w:r>
    </w:p>
    <w:p w14:paraId="2C88BE40">
      <w:pPr>
        <w:spacing w:line="360" w:lineRule="auto"/>
        <w:ind w:firstLine="480" w:firstLineChars="200"/>
        <w:rPr>
          <w:rFonts w:ascii="宋体" w:hAnsi="宋体" w:cs="宋体"/>
          <w:sz w:val="24"/>
          <w:szCs w:val="24"/>
        </w:rPr>
      </w:pPr>
      <w:r>
        <w:rPr>
          <w:rFonts w:hint="eastAsia" w:ascii="宋体" w:hAnsi="宋体" w:cs="宋体"/>
          <w:sz w:val="24"/>
          <w:szCs w:val="24"/>
        </w:rPr>
        <w:t>（2）除不可抗力外，非监理人的原因引起的监理服务期延长超过合同约定工期</w:t>
      </w:r>
      <w:r>
        <w:rPr>
          <w:rFonts w:hint="eastAsia" w:ascii="宋体" w:hAnsi="宋体" w:cs="宋体"/>
          <w:sz w:val="24"/>
          <w:szCs w:val="24"/>
          <w:u w:val="single"/>
        </w:rPr>
        <w:t>90</w:t>
      </w:r>
      <w:r>
        <w:rPr>
          <w:rFonts w:hint="eastAsia" w:ascii="宋体" w:hAnsi="宋体" w:cs="宋体"/>
          <w:sz w:val="24"/>
          <w:szCs w:val="24"/>
        </w:rPr>
        <w:t>天的；</w:t>
      </w:r>
    </w:p>
    <w:p w14:paraId="0C7979F1">
      <w:pPr>
        <w:spacing w:line="360" w:lineRule="auto"/>
        <w:ind w:firstLine="480" w:firstLineChars="200"/>
        <w:rPr>
          <w:rFonts w:ascii="宋体" w:hAnsi="宋体" w:cs="宋体"/>
          <w:sz w:val="24"/>
          <w:szCs w:val="24"/>
        </w:rPr>
      </w:pPr>
      <w:r>
        <w:rPr>
          <w:rFonts w:hint="eastAsia" w:ascii="宋体" w:hAnsi="宋体" w:cs="宋体"/>
          <w:sz w:val="24"/>
          <w:szCs w:val="24"/>
        </w:rPr>
        <w:t>（3）非监理人的原因，对工程同一部分重复进行监理；</w:t>
      </w:r>
    </w:p>
    <w:p w14:paraId="7082AC3F">
      <w:pPr>
        <w:spacing w:line="360" w:lineRule="auto"/>
        <w:ind w:firstLine="480" w:firstLineChars="200"/>
        <w:rPr>
          <w:rFonts w:ascii="宋体" w:hAnsi="宋体" w:cs="宋体"/>
          <w:sz w:val="24"/>
          <w:szCs w:val="24"/>
        </w:rPr>
      </w:pPr>
      <w:r>
        <w:rPr>
          <w:rFonts w:hint="eastAsia" w:ascii="宋体" w:hAnsi="宋体" w:cs="宋体"/>
          <w:sz w:val="24"/>
          <w:szCs w:val="24"/>
        </w:rPr>
        <w:t>（4）非监理人的原因，对工程暂停监理及恢复监理；</w:t>
      </w:r>
    </w:p>
    <w:p w14:paraId="40FFA67B">
      <w:pPr>
        <w:spacing w:line="360" w:lineRule="auto"/>
        <w:ind w:firstLine="480" w:firstLineChars="200"/>
        <w:rPr>
          <w:rFonts w:ascii="宋体" w:hAnsi="宋体" w:cs="宋体"/>
          <w:strike/>
          <w:sz w:val="24"/>
          <w:szCs w:val="24"/>
        </w:rPr>
      </w:pPr>
      <w:r>
        <w:rPr>
          <w:rFonts w:hint="eastAsia" w:ascii="宋体" w:hAnsi="宋体" w:cs="宋体"/>
          <w:sz w:val="24"/>
          <w:szCs w:val="24"/>
        </w:rPr>
        <w:t>（5）委托人提出高于监理合同约定的服务目标，监理人为完成此目标导致投入增加；</w:t>
      </w:r>
    </w:p>
    <w:p w14:paraId="5FE7DCE9">
      <w:pPr>
        <w:spacing w:line="360" w:lineRule="auto"/>
        <w:ind w:firstLine="480" w:firstLineChars="200"/>
        <w:rPr>
          <w:rFonts w:ascii="宋体" w:hAnsi="宋体" w:cs="宋体"/>
          <w:sz w:val="24"/>
          <w:szCs w:val="24"/>
        </w:rPr>
      </w:pPr>
      <w:r>
        <w:rPr>
          <w:rFonts w:hint="eastAsia" w:ascii="宋体" w:hAnsi="宋体" w:cs="宋体"/>
          <w:sz w:val="24"/>
          <w:szCs w:val="24"/>
        </w:rPr>
        <w:t>（6）其他需要变更的情形：</w:t>
      </w:r>
      <w:r>
        <w:rPr>
          <w:rFonts w:hint="eastAsia" w:ascii="宋体" w:hAnsi="宋体" w:cs="宋体"/>
          <w:sz w:val="24"/>
          <w:szCs w:val="24"/>
          <w:u w:val="single"/>
        </w:rPr>
        <w:t xml:space="preserve">   /   </w:t>
      </w:r>
      <w:r>
        <w:rPr>
          <w:rFonts w:hint="eastAsia" w:ascii="宋体" w:hAnsi="宋体" w:cs="宋体"/>
          <w:sz w:val="24"/>
          <w:szCs w:val="24"/>
        </w:rPr>
        <w:t>。</w:t>
      </w:r>
    </w:p>
    <w:p w14:paraId="563B15EF">
      <w:pPr>
        <w:spacing w:line="360" w:lineRule="auto"/>
        <w:ind w:firstLine="480" w:firstLineChars="200"/>
        <w:rPr>
          <w:rFonts w:ascii="宋体" w:hAnsi="宋体" w:cs="宋体"/>
          <w:sz w:val="24"/>
          <w:szCs w:val="24"/>
        </w:rPr>
      </w:pPr>
      <w:r>
        <w:rPr>
          <w:rFonts w:hint="eastAsia" w:ascii="宋体" w:hAnsi="宋体" w:cs="宋体"/>
          <w:sz w:val="24"/>
          <w:szCs w:val="24"/>
        </w:rPr>
        <w:t>8.1.1.2监理报酬的调整方式</w:t>
      </w:r>
    </w:p>
    <w:p w14:paraId="458CB9E7">
      <w:pPr>
        <w:numPr>
          <w:ilvl w:val="0"/>
          <w:numId w:val="3"/>
        </w:numPr>
        <w:spacing w:line="360" w:lineRule="auto"/>
        <w:ind w:firstLine="480" w:firstLineChars="200"/>
        <w:rPr>
          <w:rFonts w:ascii="宋体" w:hAnsi="宋体" w:cs="宋体"/>
          <w:sz w:val="24"/>
          <w:szCs w:val="24"/>
        </w:rPr>
      </w:pPr>
      <w:r>
        <w:rPr>
          <w:rFonts w:hint="eastAsia" w:ascii="宋体" w:hAnsi="宋体" w:cs="宋体"/>
          <w:sz w:val="24"/>
          <w:szCs w:val="24"/>
        </w:rPr>
        <w:t>在监理服务合同有效期内无论物价变动、国家或地方政府的法律法规的变动，均不增减监理费。非监理人的原因导致工程延期，监理合同顺应延期。</w:t>
      </w:r>
    </w:p>
    <w:p w14:paraId="556BC1D2">
      <w:pPr>
        <w:numPr>
          <w:ilvl w:val="0"/>
          <w:numId w:val="3"/>
        </w:numPr>
        <w:spacing w:line="360" w:lineRule="auto"/>
        <w:ind w:firstLine="482" w:firstLineChars="200"/>
        <w:rPr>
          <w:rFonts w:ascii="宋体" w:hAnsi="宋体" w:cs="宋体"/>
          <w:b/>
          <w:sz w:val="24"/>
          <w:szCs w:val="24"/>
        </w:rPr>
      </w:pPr>
      <w:r>
        <w:rPr>
          <w:rFonts w:hint="eastAsia" w:ascii="宋体" w:hAnsi="宋体" w:cs="宋体"/>
          <w:b/>
          <w:sz w:val="24"/>
          <w:szCs w:val="24"/>
        </w:rPr>
        <w:t>8.2 合理化建议</w:t>
      </w:r>
    </w:p>
    <w:p w14:paraId="039A9EF3">
      <w:pPr>
        <w:spacing w:line="360" w:lineRule="auto"/>
        <w:ind w:firstLine="480" w:firstLineChars="200"/>
        <w:rPr>
          <w:rFonts w:ascii="宋体" w:hAnsi="宋体" w:cs="宋体"/>
          <w:sz w:val="24"/>
          <w:szCs w:val="24"/>
        </w:rPr>
      </w:pPr>
      <w:r>
        <w:rPr>
          <w:rFonts w:hint="eastAsia" w:ascii="宋体" w:hAnsi="宋体" w:cs="宋体"/>
          <w:sz w:val="24"/>
          <w:szCs w:val="24"/>
        </w:rPr>
        <w:t>8.2.2 合理化建议降低了工程投资的奖励金额按下列方法确定为：</w:t>
      </w:r>
    </w:p>
    <w:p w14:paraId="6E0CF13A">
      <w:pPr>
        <w:spacing w:line="360" w:lineRule="auto"/>
        <w:ind w:firstLine="480" w:firstLineChars="200"/>
        <w:rPr>
          <w:rFonts w:ascii="宋体" w:hAnsi="宋体" w:cs="宋体"/>
          <w:sz w:val="24"/>
          <w:szCs w:val="24"/>
        </w:rPr>
      </w:pPr>
      <w:r>
        <w:rPr>
          <w:rFonts w:hint="eastAsia" w:ascii="宋体" w:hAnsi="宋体" w:cs="宋体"/>
          <w:sz w:val="24"/>
          <w:szCs w:val="24"/>
          <w:u w:val="single"/>
        </w:rPr>
        <w:t>奖励金额＝工程投资节省额×奖励金额的比率</w:t>
      </w:r>
      <w:r>
        <w:rPr>
          <w:rFonts w:hint="eastAsia" w:ascii="宋体" w:hAnsi="宋体" w:cs="宋体"/>
          <w:sz w:val="24"/>
          <w:szCs w:val="24"/>
        </w:rPr>
        <w:t>；</w:t>
      </w:r>
    </w:p>
    <w:p w14:paraId="7C0D4E67">
      <w:pPr>
        <w:spacing w:line="360" w:lineRule="auto"/>
        <w:ind w:firstLine="480" w:firstLineChars="200"/>
        <w:rPr>
          <w:rFonts w:ascii="宋体" w:hAnsi="宋体" w:cs="宋体"/>
          <w:sz w:val="24"/>
          <w:szCs w:val="24"/>
        </w:rPr>
      </w:pPr>
      <w:r>
        <w:rPr>
          <w:rFonts w:hint="eastAsia" w:ascii="宋体" w:hAnsi="宋体" w:cs="宋体"/>
          <w:sz w:val="24"/>
          <w:szCs w:val="24"/>
          <w:u w:val="single"/>
        </w:rPr>
        <w:t>奖励金额的比率为 / %</w:t>
      </w:r>
      <w:r>
        <w:rPr>
          <w:rFonts w:hint="eastAsia" w:ascii="宋体" w:hAnsi="宋体" w:cs="宋体"/>
          <w:sz w:val="24"/>
          <w:szCs w:val="24"/>
        </w:rPr>
        <w:t>。</w:t>
      </w:r>
    </w:p>
    <w:p w14:paraId="61C90B6C">
      <w:pPr>
        <w:pStyle w:val="4"/>
        <w:spacing w:before="0" w:after="0" w:line="360" w:lineRule="auto"/>
        <w:ind w:firstLine="138"/>
        <w:rPr>
          <w:rFonts w:ascii="宋体" w:hAnsi="宋体" w:cs="宋体"/>
          <w:sz w:val="24"/>
          <w:szCs w:val="24"/>
        </w:rPr>
      </w:pPr>
      <w:bookmarkStart w:id="318" w:name="_Toc531820327"/>
      <w:bookmarkStart w:id="319" w:name="_Toc24796"/>
      <w:bookmarkStart w:id="320" w:name="_Toc536778412"/>
      <w:bookmarkStart w:id="321" w:name="_Toc28687"/>
      <w:bookmarkStart w:id="322" w:name="_Toc13408"/>
      <w:r>
        <w:rPr>
          <w:rFonts w:hint="eastAsia" w:ascii="宋体" w:hAnsi="宋体" w:cs="宋体"/>
          <w:sz w:val="24"/>
          <w:szCs w:val="24"/>
        </w:rPr>
        <w:t>9.合同价格与支付</w:t>
      </w:r>
      <w:bookmarkEnd w:id="318"/>
      <w:bookmarkEnd w:id="319"/>
      <w:bookmarkEnd w:id="320"/>
      <w:bookmarkEnd w:id="321"/>
      <w:bookmarkEnd w:id="322"/>
    </w:p>
    <w:p w14:paraId="094FC3F4">
      <w:pPr>
        <w:spacing w:line="360" w:lineRule="auto"/>
        <w:ind w:firstLine="482" w:firstLineChars="200"/>
        <w:rPr>
          <w:rFonts w:ascii="宋体" w:hAnsi="宋体" w:cs="宋体"/>
          <w:b/>
          <w:sz w:val="24"/>
          <w:szCs w:val="24"/>
        </w:rPr>
      </w:pPr>
      <w:r>
        <w:rPr>
          <w:rFonts w:hint="eastAsia" w:ascii="宋体" w:hAnsi="宋体" w:cs="宋体"/>
          <w:b/>
          <w:sz w:val="24"/>
          <w:szCs w:val="24"/>
        </w:rPr>
        <w:t>9.1 合同价格</w:t>
      </w:r>
    </w:p>
    <w:p w14:paraId="56B7895C">
      <w:pPr>
        <w:spacing w:line="360" w:lineRule="auto"/>
        <w:ind w:firstLine="480" w:firstLineChars="200"/>
        <w:rPr>
          <w:rFonts w:ascii="宋体" w:hAnsi="宋体" w:cs="宋体"/>
          <w:sz w:val="24"/>
          <w:szCs w:val="24"/>
        </w:rPr>
      </w:pPr>
      <w:r>
        <w:rPr>
          <w:rFonts w:hint="eastAsia" w:ascii="宋体" w:hAnsi="宋体" w:cs="宋体"/>
          <w:sz w:val="24"/>
          <w:szCs w:val="24"/>
        </w:rPr>
        <w:t>9.1.1 本合同的价款确定方式、调整方式和风险范围划分</w:t>
      </w:r>
      <w:r>
        <w:rPr>
          <w:rFonts w:hint="eastAsia" w:ascii="宋体" w:hAnsi="宋体" w:cs="宋体"/>
          <w:sz w:val="24"/>
          <w:szCs w:val="24"/>
          <w:lang w:eastAsia="zh-CN"/>
        </w:rPr>
        <w:t>：</w:t>
      </w:r>
    </w:p>
    <w:p w14:paraId="5AE58959">
      <w:pPr>
        <w:spacing w:line="360" w:lineRule="auto"/>
        <w:ind w:firstLine="480" w:firstLineChars="200"/>
        <w:rPr>
          <w:rFonts w:ascii="宋体" w:hAnsi="宋体" w:cs="宋体"/>
          <w:sz w:val="24"/>
          <w:szCs w:val="24"/>
        </w:rPr>
      </w:pPr>
      <w:r>
        <w:rPr>
          <w:rFonts w:hint="eastAsia" w:ascii="宋体" w:hAnsi="宋体" w:cs="宋体"/>
          <w:sz w:val="24"/>
          <w:szCs w:val="24"/>
        </w:rPr>
        <w:t>9.1.1.1 本合同的价款是按以下第</w:t>
      </w:r>
      <w:r>
        <w:rPr>
          <w:rFonts w:hint="eastAsia" w:ascii="宋体" w:hAnsi="宋体" w:cs="宋体"/>
          <w:sz w:val="24"/>
          <w:szCs w:val="24"/>
          <w:u w:val="single"/>
        </w:rPr>
        <w:t xml:space="preserve"> （4） </w:t>
      </w:r>
      <w:r>
        <w:rPr>
          <w:rFonts w:hint="eastAsia" w:ascii="宋体" w:hAnsi="宋体" w:cs="宋体"/>
          <w:sz w:val="24"/>
          <w:szCs w:val="24"/>
        </w:rPr>
        <w:t>种方式确定的：</w:t>
      </w:r>
    </w:p>
    <w:p w14:paraId="64CDD868">
      <w:pPr>
        <w:spacing w:line="360" w:lineRule="auto"/>
        <w:ind w:firstLine="480" w:firstLineChars="200"/>
        <w:rPr>
          <w:rFonts w:ascii="宋体" w:hAnsi="宋体" w:cs="宋体"/>
          <w:sz w:val="24"/>
          <w:szCs w:val="24"/>
        </w:rPr>
      </w:pPr>
      <w:r>
        <w:rPr>
          <w:rFonts w:hint="eastAsia" w:ascii="宋体" w:hAnsi="宋体" w:cs="宋体"/>
          <w:sz w:val="24"/>
          <w:szCs w:val="24"/>
        </w:rPr>
        <w:t>（1）合同价款=</w:t>
      </w:r>
      <w:r>
        <w:rPr>
          <w:rFonts w:hint="eastAsia" w:ascii="宋体" w:hAnsi="宋体" w:cs="宋体"/>
          <w:sz w:val="24"/>
          <w:szCs w:val="24"/>
          <w:u w:val="single"/>
        </w:rPr>
        <w:t>经审定的实际结算建筑安装工程费×   %（固定费率）</w:t>
      </w:r>
      <w:r>
        <w:rPr>
          <w:rFonts w:hint="eastAsia" w:ascii="宋体" w:hAnsi="宋体" w:cs="宋体"/>
          <w:sz w:val="24"/>
          <w:szCs w:val="24"/>
        </w:rPr>
        <w:t>；</w:t>
      </w:r>
    </w:p>
    <w:p w14:paraId="50421913">
      <w:pPr>
        <w:spacing w:line="360" w:lineRule="auto"/>
        <w:ind w:firstLine="480" w:firstLineChars="200"/>
        <w:rPr>
          <w:rFonts w:ascii="宋体" w:hAnsi="宋体" w:cs="宋体"/>
          <w:sz w:val="24"/>
          <w:szCs w:val="24"/>
        </w:rPr>
      </w:pPr>
      <w:r>
        <w:rPr>
          <w:rFonts w:hint="eastAsia" w:ascii="宋体" w:hAnsi="宋体" w:cs="宋体"/>
          <w:sz w:val="24"/>
          <w:szCs w:val="24"/>
        </w:rPr>
        <w:t>（2）合同价款=</w:t>
      </w:r>
      <w:r>
        <w:rPr>
          <w:rFonts w:hint="eastAsia" w:ascii="宋体" w:hAnsi="宋体" w:cs="宋体"/>
          <w:sz w:val="24"/>
          <w:szCs w:val="24"/>
          <w:u w:val="single"/>
        </w:rPr>
        <w:t>经审定的实际结算总建筑面积×   元/㎡（固定单价）</w:t>
      </w:r>
      <w:r>
        <w:rPr>
          <w:rFonts w:hint="eastAsia" w:ascii="宋体" w:hAnsi="宋体" w:cs="宋体"/>
          <w:sz w:val="24"/>
          <w:szCs w:val="24"/>
        </w:rPr>
        <w:t>；</w:t>
      </w:r>
    </w:p>
    <w:p w14:paraId="1FC5CED9">
      <w:pPr>
        <w:spacing w:line="360" w:lineRule="auto"/>
        <w:ind w:firstLine="480" w:firstLineChars="200"/>
        <w:rPr>
          <w:rFonts w:ascii="宋体" w:hAnsi="宋体" w:cs="宋体"/>
          <w:sz w:val="24"/>
          <w:szCs w:val="24"/>
        </w:rPr>
      </w:pPr>
      <w:r>
        <w:rPr>
          <w:rFonts w:hint="eastAsia" w:ascii="宋体" w:hAnsi="宋体" w:cs="宋体"/>
          <w:sz w:val="24"/>
          <w:szCs w:val="24"/>
        </w:rPr>
        <w:t>（3）合同价款=</w:t>
      </w:r>
      <w:r>
        <w:rPr>
          <w:rFonts w:hint="eastAsia" w:ascii="宋体" w:hAnsi="宋体" w:cs="宋体"/>
          <w:sz w:val="24"/>
          <w:szCs w:val="24"/>
          <w:u w:val="single"/>
        </w:rPr>
        <w:t>∑（各类监理人员人月费综合单价×经委托人确认实际投入相应监理人员人月数量）</w:t>
      </w:r>
      <w:r>
        <w:rPr>
          <w:rFonts w:hint="eastAsia" w:ascii="宋体" w:hAnsi="宋体" w:cs="宋体"/>
          <w:sz w:val="24"/>
          <w:szCs w:val="24"/>
        </w:rPr>
        <w:t>；</w:t>
      </w:r>
    </w:p>
    <w:p w14:paraId="269EAC56">
      <w:pPr>
        <w:spacing w:line="360" w:lineRule="auto"/>
        <w:ind w:firstLine="480" w:firstLineChars="200"/>
        <w:rPr>
          <w:rFonts w:ascii="宋体" w:hAnsi="宋体" w:cs="宋体"/>
          <w:sz w:val="24"/>
          <w:szCs w:val="24"/>
        </w:rPr>
      </w:pPr>
      <w:r>
        <w:rPr>
          <w:rFonts w:hint="eastAsia" w:ascii="宋体" w:hAnsi="宋体" w:cs="宋体"/>
          <w:sz w:val="24"/>
          <w:szCs w:val="24"/>
        </w:rPr>
        <w:t>（4）合同价款=</w:t>
      </w:r>
      <w:r>
        <w:rPr>
          <w:rFonts w:hint="eastAsia" w:ascii="宋体" w:hAnsi="宋体" w:cs="宋体"/>
          <w:sz w:val="24"/>
          <w:szCs w:val="24"/>
          <w:u w:val="single"/>
        </w:rPr>
        <w:t>固定总价    元；</w:t>
      </w:r>
    </w:p>
    <w:p w14:paraId="09306DBC">
      <w:pPr>
        <w:spacing w:line="360" w:lineRule="auto"/>
        <w:ind w:firstLine="480" w:firstLineChars="200"/>
        <w:rPr>
          <w:rFonts w:ascii="宋体" w:hAnsi="宋体" w:cs="宋体"/>
          <w:sz w:val="24"/>
          <w:szCs w:val="24"/>
        </w:rPr>
      </w:pPr>
      <w:r>
        <w:rPr>
          <w:rFonts w:hint="eastAsia" w:ascii="宋体" w:hAnsi="宋体" w:cs="宋体"/>
          <w:sz w:val="24"/>
          <w:szCs w:val="24"/>
        </w:rPr>
        <w:t>（5）其他方式：</w:t>
      </w:r>
      <w:r>
        <w:rPr>
          <w:rFonts w:hint="eastAsia" w:ascii="宋体" w:hAnsi="宋体" w:cs="宋体"/>
          <w:sz w:val="24"/>
          <w:szCs w:val="24"/>
          <w:u w:val="single"/>
        </w:rPr>
        <w:t>以经审定的实际结算建筑安装工程费为计算基数按《国家发展改革委、建设部关于印发</w:t>
      </w:r>
      <w:r>
        <w:rPr>
          <w:rFonts w:hint="eastAsia" w:ascii="宋体" w:hAnsi="宋体" w:cs="宋体"/>
          <w:sz w:val="24"/>
          <w:szCs w:val="24"/>
          <w:u w:val="single"/>
          <w:lang w:eastAsia="zh-CN"/>
        </w:rPr>
        <w:t>〈</w:t>
      </w:r>
      <w:r>
        <w:rPr>
          <w:rFonts w:hint="eastAsia" w:ascii="宋体" w:hAnsi="宋体" w:cs="宋体"/>
          <w:sz w:val="24"/>
          <w:szCs w:val="24"/>
          <w:u w:val="single"/>
        </w:rPr>
        <w:t>建设工程监理与相关服务收费管理规定</w:t>
      </w:r>
      <w:r>
        <w:rPr>
          <w:rFonts w:hint="eastAsia" w:ascii="宋体" w:hAnsi="宋体" w:cs="宋体"/>
          <w:sz w:val="24"/>
          <w:szCs w:val="24"/>
          <w:u w:val="single"/>
          <w:lang w:eastAsia="zh-CN"/>
        </w:rPr>
        <w:t>〉的通知》</w:t>
      </w:r>
      <w:r>
        <w:rPr>
          <w:rFonts w:hint="eastAsia" w:ascii="宋体" w:hAnsi="宋体" w:cs="宋体"/>
          <w:sz w:val="24"/>
          <w:szCs w:val="24"/>
          <w:u w:val="single"/>
        </w:rPr>
        <w:t>（发改价格〔2007〕670号）文件规定计算的监理服务费数额×     （结算百分比）。（本项目工程复杂程度调整系数1、专业调整系数1、高程调整系数1）。</w:t>
      </w:r>
    </w:p>
    <w:p w14:paraId="553BF801">
      <w:pPr>
        <w:spacing w:line="360" w:lineRule="auto"/>
        <w:ind w:firstLine="480" w:firstLineChars="200"/>
        <w:rPr>
          <w:rFonts w:ascii="宋体" w:hAnsi="宋体" w:cs="宋体"/>
          <w:sz w:val="24"/>
          <w:szCs w:val="24"/>
        </w:rPr>
      </w:pPr>
      <w:r>
        <w:rPr>
          <w:rFonts w:hint="eastAsia" w:ascii="宋体" w:hAnsi="宋体" w:cs="宋体"/>
          <w:sz w:val="24"/>
          <w:szCs w:val="24"/>
        </w:rPr>
        <w:t>9.1.1.2 合同价款的调整方式：</w:t>
      </w:r>
      <w:r>
        <w:rPr>
          <w:rFonts w:hint="eastAsia" w:ascii="宋体" w:hAnsi="宋体" w:cs="宋体"/>
          <w:sz w:val="24"/>
          <w:szCs w:val="24"/>
          <w:u w:val="single"/>
        </w:rPr>
        <w:t>按本合同第8.1.1.2目及第11条确定</w:t>
      </w:r>
      <w:r>
        <w:rPr>
          <w:rFonts w:hint="eastAsia" w:ascii="宋体" w:hAnsi="宋体" w:cs="宋体"/>
          <w:sz w:val="24"/>
          <w:szCs w:val="24"/>
        </w:rPr>
        <w:t>。</w:t>
      </w:r>
    </w:p>
    <w:p w14:paraId="2737B02E">
      <w:pPr>
        <w:spacing w:line="360" w:lineRule="auto"/>
        <w:ind w:firstLine="480" w:firstLineChars="200"/>
        <w:rPr>
          <w:rFonts w:ascii="宋体" w:hAnsi="宋体" w:cs="宋体"/>
          <w:sz w:val="24"/>
          <w:szCs w:val="24"/>
        </w:rPr>
      </w:pPr>
      <w:r>
        <w:rPr>
          <w:rFonts w:hint="eastAsia" w:ascii="宋体" w:hAnsi="宋体" w:cs="宋体"/>
          <w:sz w:val="24"/>
          <w:szCs w:val="24"/>
        </w:rPr>
        <w:t>9.1.1.3 风险范围划分：</w:t>
      </w:r>
    </w:p>
    <w:p w14:paraId="0CA23163">
      <w:pPr>
        <w:spacing w:line="360" w:lineRule="auto"/>
        <w:ind w:firstLine="480" w:firstLineChars="200"/>
        <w:rPr>
          <w:rFonts w:ascii="宋体" w:hAnsi="宋体" w:cs="宋体"/>
          <w:sz w:val="24"/>
          <w:szCs w:val="24"/>
        </w:rPr>
      </w:pPr>
      <w:r>
        <w:rPr>
          <w:rFonts w:hint="eastAsia" w:ascii="宋体" w:hAnsi="宋体" w:cs="宋体"/>
          <w:sz w:val="24"/>
          <w:szCs w:val="24"/>
        </w:rPr>
        <w:t>（1）在签订本监理合同后，因物价变动等因素而引起监理服务费用的变化，委托人不予调整。</w:t>
      </w:r>
    </w:p>
    <w:p w14:paraId="4A7614EA">
      <w:pPr>
        <w:spacing w:line="360" w:lineRule="auto"/>
        <w:ind w:firstLine="480" w:firstLineChars="200"/>
        <w:rPr>
          <w:rFonts w:ascii="宋体" w:hAnsi="宋体" w:cs="宋体"/>
          <w:sz w:val="24"/>
          <w:szCs w:val="24"/>
        </w:rPr>
      </w:pPr>
      <w:r>
        <w:rPr>
          <w:rFonts w:hint="eastAsia" w:ascii="宋体" w:hAnsi="宋体" w:cs="宋体"/>
          <w:sz w:val="24"/>
          <w:szCs w:val="24"/>
        </w:rPr>
        <w:t>（2）在签订本监理合同后，因国家或地方政府的</w:t>
      </w:r>
      <w:r>
        <w:rPr>
          <w:rFonts w:hint="eastAsia" w:ascii="宋体" w:hAnsi="宋体" w:cs="宋体"/>
          <w:sz w:val="24"/>
          <w:szCs w:val="24"/>
          <w:lang w:eastAsia="zh-CN"/>
        </w:rPr>
        <w:t>法律法规</w:t>
      </w:r>
      <w:r>
        <w:rPr>
          <w:rFonts w:hint="eastAsia" w:ascii="宋体" w:hAnsi="宋体" w:cs="宋体"/>
          <w:sz w:val="24"/>
          <w:szCs w:val="24"/>
        </w:rPr>
        <w:t>变动及不可抗力而引起监理服务费用的增加或服务时间的延长，委托人不予调整。</w:t>
      </w:r>
    </w:p>
    <w:p w14:paraId="189583AA">
      <w:pPr>
        <w:spacing w:line="360" w:lineRule="auto"/>
        <w:ind w:firstLine="480" w:firstLineChars="200"/>
        <w:rPr>
          <w:rFonts w:ascii="宋体" w:hAnsi="宋体" w:cs="宋体"/>
          <w:sz w:val="24"/>
          <w:szCs w:val="24"/>
        </w:rPr>
      </w:pPr>
      <w:r>
        <w:rPr>
          <w:rFonts w:hint="eastAsia" w:ascii="宋体" w:hAnsi="宋体" w:cs="宋体"/>
          <w:sz w:val="24"/>
          <w:szCs w:val="24"/>
        </w:rPr>
        <w:t>（3）采用固定总价合同的，监理服务期延长在</w:t>
      </w:r>
      <w:r>
        <w:rPr>
          <w:rFonts w:hint="eastAsia" w:ascii="宋体" w:hAnsi="宋体" w:cs="宋体"/>
          <w:sz w:val="24"/>
          <w:szCs w:val="24"/>
          <w:u w:val="single"/>
        </w:rPr>
        <w:t xml:space="preserve">/ </w:t>
      </w:r>
      <w:r>
        <w:rPr>
          <w:rFonts w:hint="eastAsia" w:ascii="宋体" w:hAnsi="宋体" w:cs="宋体"/>
          <w:sz w:val="24"/>
          <w:szCs w:val="24"/>
        </w:rPr>
        <w:t>天以内或工程投资额（建筑安装工程费）调整幅度小于</w:t>
      </w:r>
      <w:r>
        <w:rPr>
          <w:rFonts w:hint="eastAsia" w:ascii="宋体" w:hAnsi="宋体" w:cs="宋体"/>
          <w:sz w:val="24"/>
          <w:szCs w:val="24"/>
          <w:u w:val="single"/>
        </w:rPr>
        <w:t xml:space="preserve"> / </w:t>
      </w:r>
      <w:r>
        <w:rPr>
          <w:rFonts w:hint="eastAsia" w:ascii="宋体" w:hAnsi="宋体" w:cs="宋体"/>
          <w:sz w:val="24"/>
          <w:szCs w:val="24"/>
        </w:rPr>
        <w:t>%时，合同价款不予调整。超过风险范围时应进行调整。</w:t>
      </w:r>
    </w:p>
    <w:p w14:paraId="0D83FAF5">
      <w:pPr>
        <w:spacing w:line="360" w:lineRule="auto"/>
        <w:ind w:firstLine="480" w:firstLineChars="200"/>
        <w:rPr>
          <w:rFonts w:ascii="宋体" w:hAnsi="宋体" w:cs="宋体"/>
          <w:sz w:val="24"/>
          <w:szCs w:val="24"/>
          <w:u w:val="single"/>
        </w:rPr>
      </w:pPr>
      <w:r>
        <w:rPr>
          <w:rFonts w:hint="eastAsia" w:ascii="宋体" w:hAnsi="宋体" w:cs="宋体"/>
          <w:sz w:val="24"/>
          <w:szCs w:val="24"/>
        </w:rPr>
        <w:t>（4）合同约定的</w:t>
      </w:r>
      <w:r>
        <w:rPr>
          <w:rFonts w:hint="eastAsia" w:ascii="宋体" w:hAnsi="宋体" w:cs="宋体"/>
          <w:sz w:val="24"/>
          <w:szCs w:val="24"/>
          <w:lang w:eastAsia="zh-CN"/>
        </w:rPr>
        <w:t>其他</w:t>
      </w:r>
      <w:r>
        <w:rPr>
          <w:rFonts w:hint="eastAsia" w:ascii="宋体" w:hAnsi="宋体" w:cs="宋体"/>
          <w:sz w:val="24"/>
          <w:szCs w:val="24"/>
        </w:rPr>
        <w:t>风险范围：</w:t>
      </w:r>
      <w:r>
        <w:rPr>
          <w:rFonts w:hint="eastAsia" w:ascii="宋体" w:hAnsi="宋体" w:cs="宋体"/>
          <w:sz w:val="24"/>
          <w:szCs w:val="24"/>
          <w:u w:val="single"/>
        </w:rPr>
        <w:t xml:space="preserve">        /            </w:t>
      </w:r>
      <w:r>
        <w:rPr>
          <w:rFonts w:hint="eastAsia" w:ascii="宋体" w:hAnsi="宋体" w:cs="宋体"/>
          <w:sz w:val="24"/>
          <w:szCs w:val="24"/>
        </w:rPr>
        <w:t>。</w:t>
      </w:r>
    </w:p>
    <w:p w14:paraId="76967B61">
      <w:pPr>
        <w:spacing w:line="360" w:lineRule="auto"/>
        <w:ind w:firstLine="480" w:firstLineChars="200"/>
        <w:rPr>
          <w:rFonts w:ascii="宋体" w:hAnsi="宋体" w:cs="宋体"/>
          <w:b/>
          <w:bCs/>
          <w:sz w:val="24"/>
          <w:szCs w:val="24"/>
          <w:u w:val="single"/>
        </w:rPr>
      </w:pPr>
      <w:r>
        <w:rPr>
          <w:rFonts w:hint="eastAsia" w:ascii="宋体" w:hAnsi="宋体" w:cs="宋体"/>
          <w:sz w:val="24"/>
          <w:szCs w:val="24"/>
        </w:rPr>
        <w:t xml:space="preserve">9.1.1.4 </w:t>
      </w:r>
      <w:r>
        <w:rPr>
          <w:rFonts w:hint="eastAsia" w:ascii="宋体" w:hAnsi="宋体" w:cs="宋体"/>
          <w:sz w:val="24"/>
          <w:szCs w:val="24"/>
          <w:u w:val="single"/>
        </w:rPr>
        <w:t>合同价格=合同价款</w:t>
      </w:r>
    </w:p>
    <w:p w14:paraId="74BA1076">
      <w:pPr>
        <w:spacing w:line="360" w:lineRule="auto"/>
        <w:ind w:firstLine="482" w:firstLineChars="200"/>
        <w:rPr>
          <w:rFonts w:ascii="宋体" w:hAnsi="宋体" w:cs="宋体"/>
          <w:b/>
          <w:sz w:val="24"/>
          <w:szCs w:val="24"/>
        </w:rPr>
      </w:pPr>
      <w:r>
        <w:rPr>
          <w:rFonts w:hint="eastAsia" w:ascii="宋体" w:hAnsi="宋体" w:cs="宋体"/>
          <w:b/>
          <w:sz w:val="24"/>
          <w:szCs w:val="24"/>
        </w:rPr>
        <w:t>9.2 预付款</w:t>
      </w:r>
    </w:p>
    <w:p w14:paraId="39E7B0C7">
      <w:pPr>
        <w:spacing w:line="360" w:lineRule="auto"/>
        <w:ind w:firstLine="480" w:firstLineChars="200"/>
        <w:rPr>
          <w:rFonts w:ascii="宋体" w:hAnsi="宋体" w:cs="宋体"/>
          <w:sz w:val="24"/>
          <w:szCs w:val="24"/>
          <w:u w:val="single"/>
        </w:rPr>
      </w:pPr>
      <w:r>
        <w:rPr>
          <w:rFonts w:hint="eastAsia" w:ascii="宋体" w:hAnsi="宋体" w:cs="宋体"/>
          <w:sz w:val="24"/>
          <w:szCs w:val="24"/>
        </w:rPr>
        <w:t xml:space="preserve">9.2.1 </w:t>
      </w:r>
      <w:r>
        <w:rPr>
          <w:rFonts w:hint="eastAsia" w:ascii="宋体" w:hAnsi="宋体" w:cs="宋体"/>
          <w:kern w:val="0"/>
          <w:sz w:val="24"/>
          <w:szCs w:val="24"/>
        </w:rPr>
        <w:t>预付款</w:t>
      </w:r>
      <w:r>
        <w:rPr>
          <w:rFonts w:hint="eastAsia" w:ascii="宋体" w:hAnsi="宋体" w:cs="宋体"/>
          <w:sz w:val="24"/>
          <w:szCs w:val="24"/>
        </w:rPr>
        <w:t>：</w:t>
      </w:r>
      <w:r>
        <w:rPr>
          <w:rFonts w:hint="eastAsia" w:ascii="宋体" w:hAnsi="宋体" w:cs="宋体"/>
          <w:sz w:val="24"/>
          <w:szCs w:val="24"/>
          <w:u w:val="single"/>
        </w:rPr>
        <w:t>无</w:t>
      </w:r>
      <w:r>
        <w:rPr>
          <w:rFonts w:hint="eastAsia" w:ascii="宋体" w:hAnsi="宋体" w:cs="宋体"/>
          <w:sz w:val="24"/>
          <w:szCs w:val="24"/>
        </w:rPr>
        <w:t>。</w:t>
      </w:r>
    </w:p>
    <w:p w14:paraId="11B8EF49">
      <w:pPr>
        <w:spacing w:line="360" w:lineRule="auto"/>
        <w:ind w:firstLine="482" w:firstLineChars="200"/>
        <w:rPr>
          <w:rFonts w:ascii="宋体" w:hAnsi="宋体" w:cs="宋体"/>
          <w:sz w:val="24"/>
          <w:szCs w:val="24"/>
          <w:u w:val="single"/>
        </w:rPr>
      </w:pPr>
      <w:r>
        <w:rPr>
          <w:rFonts w:hint="eastAsia" w:ascii="宋体" w:hAnsi="宋体" w:cs="宋体"/>
          <w:b/>
          <w:sz w:val="24"/>
          <w:szCs w:val="24"/>
        </w:rPr>
        <w:t xml:space="preserve">9.3 </w:t>
      </w:r>
      <w:r>
        <w:rPr>
          <w:rFonts w:hint="eastAsia" w:ascii="宋体" w:hAnsi="宋体" w:cs="宋体"/>
          <w:b/>
          <w:kern w:val="0"/>
          <w:sz w:val="24"/>
          <w:szCs w:val="24"/>
        </w:rPr>
        <w:t>中期支付</w:t>
      </w:r>
    </w:p>
    <w:p w14:paraId="25F01E46">
      <w:pPr>
        <w:spacing w:line="360" w:lineRule="auto"/>
        <w:ind w:firstLine="480" w:firstLineChars="200"/>
        <w:rPr>
          <w:rFonts w:ascii="宋体" w:hAnsi="宋体" w:cs="宋体"/>
          <w:sz w:val="24"/>
          <w:szCs w:val="24"/>
          <w:u w:val="single"/>
        </w:rPr>
      </w:pPr>
      <w:r>
        <w:rPr>
          <w:rFonts w:hint="eastAsia" w:ascii="宋体" w:hAnsi="宋体" w:cs="宋体"/>
          <w:kern w:val="0"/>
          <w:sz w:val="24"/>
          <w:szCs w:val="24"/>
        </w:rPr>
        <w:t>9.3.1监理人应向委托人提交中期支付申请</w:t>
      </w:r>
      <w:r>
        <w:rPr>
          <w:rFonts w:hint="eastAsia" w:ascii="宋体" w:hAnsi="宋体" w:cs="宋体"/>
          <w:sz w:val="24"/>
          <w:szCs w:val="24"/>
          <w:u w:val="single"/>
        </w:rPr>
        <w:t xml:space="preserve">  1  </w:t>
      </w:r>
      <w:r>
        <w:rPr>
          <w:rFonts w:hint="eastAsia" w:ascii="宋体" w:hAnsi="宋体" w:cs="宋体"/>
          <w:kern w:val="0"/>
          <w:sz w:val="24"/>
          <w:szCs w:val="24"/>
        </w:rPr>
        <w:t>份，并附相应的支持性证明文件。</w:t>
      </w:r>
    </w:p>
    <w:p w14:paraId="334333AE">
      <w:pPr>
        <w:spacing w:line="360" w:lineRule="auto"/>
        <w:ind w:firstLine="480" w:firstLineChars="200"/>
        <w:rPr>
          <w:rFonts w:ascii="宋体" w:hAnsi="宋体" w:cs="宋体"/>
          <w:sz w:val="24"/>
          <w:szCs w:val="24"/>
          <w:u w:val="single"/>
        </w:rPr>
      </w:pPr>
      <w:r>
        <w:rPr>
          <w:rFonts w:hint="eastAsia" w:ascii="宋体" w:hAnsi="宋体" w:cs="宋体"/>
          <w:kern w:val="0"/>
          <w:sz w:val="24"/>
          <w:szCs w:val="24"/>
        </w:rPr>
        <w:t>9.3.2委托人应在收到中期支付申请后的</w:t>
      </w:r>
      <w:r>
        <w:rPr>
          <w:rFonts w:hint="eastAsia" w:ascii="宋体" w:hAnsi="宋体" w:cs="宋体"/>
          <w:kern w:val="0"/>
          <w:sz w:val="24"/>
          <w:szCs w:val="24"/>
          <w:u w:val="single"/>
        </w:rPr>
        <w:t xml:space="preserve"> 14 </w:t>
      </w:r>
      <w:r>
        <w:rPr>
          <w:rFonts w:hint="eastAsia" w:ascii="宋体" w:hAnsi="宋体" w:cs="宋体"/>
          <w:kern w:val="0"/>
          <w:sz w:val="24"/>
          <w:szCs w:val="24"/>
        </w:rPr>
        <w:t>天内，将应付款项支付给监理人；监理人应当提供合法、足额的增值税发票。</w:t>
      </w:r>
    </w:p>
    <w:p w14:paraId="0A053C7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具体支付方式：</w:t>
      </w:r>
    </w:p>
    <w:p w14:paraId="0F13A414">
      <w:pPr>
        <w:spacing w:line="360" w:lineRule="auto"/>
        <w:ind w:firstLine="480" w:firstLineChars="200"/>
        <w:rPr>
          <w:rFonts w:hint="eastAsia" w:ascii="宋体" w:hAnsi="宋体" w:eastAsia="宋体"/>
          <w:snapToGrid w:val="0"/>
          <w:sz w:val="24"/>
          <w:highlight w:val="none"/>
          <w:lang w:eastAsia="zh-CN"/>
        </w:rPr>
      </w:pPr>
      <w:r>
        <w:rPr>
          <w:rFonts w:hint="eastAsia" w:ascii="宋体" w:hAnsi="宋体"/>
          <w:snapToGrid w:val="0"/>
          <w:sz w:val="24"/>
          <w:highlight w:val="none"/>
        </w:rPr>
        <w:t>(1)完成总工程量的80%后，监理单位完成对施工单位申报工程量及金额的审核，并经甲方确认后30日内支付至合同金额的50%</w:t>
      </w:r>
      <w:r>
        <w:rPr>
          <w:rFonts w:hint="eastAsia" w:ascii="宋体" w:hAnsi="宋体"/>
          <w:snapToGrid w:val="0"/>
          <w:sz w:val="24"/>
          <w:highlight w:val="none"/>
          <w:lang w:eastAsia="zh-CN"/>
        </w:rPr>
        <w:t>；</w:t>
      </w:r>
    </w:p>
    <w:p w14:paraId="10C24AC8">
      <w:pPr>
        <w:spacing w:line="360" w:lineRule="auto"/>
        <w:ind w:firstLine="480" w:firstLineChars="200"/>
        <w:rPr>
          <w:rFonts w:ascii="宋体" w:hAnsi="宋体" w:cs="宋体"/>
          <w:sz w:val="24"/>
          <w:szCs w:val="24"/>
          <w:highlight w:val="none"/>
        </w:rPr>
      </w:pPr>
      <w:r>
        <w:rPr>
          <w:rFonts w:hint="eastAsia" w:ascii="宋体" w:hAnsi="宋体"/>
          <w:snapToGrid w:val="0"/>
          <w:sz w:val="24"/>
          <w:highlight w:val="none"/>
        </w:rPr>
        <w:t>(2)工程竣工验收合格后30日内，乙方向甲方指定账户转入合同金额的3%作为本项目质保金后，甲方支付至合同金额的100%，待缺陷责任期(24个月)满，甲方按内部付款流程无息退还本项目3%的质保金。</w:t>
      </w:r>
    </w:p>
    <w:p w14:paraId="64C7D7DD">
      <w:pPr>
        <w:spacing w:line="360" w:lineRule="auto"/>
        <w:ind w:firstLine="482" w:firstLineChars="200"/>
        <w:rPr>
          <w:rFonts w:ascii="宋体" w:hAnsi="宋体" w:cs="宋体"/>
          <w:sz w:val="24"/>
          <w:szCs w:val="24"/>
        </w:rPr>
      </w:pPr>
      <w:r>
        <w:rPr>
          <w:rFonts w:hint="eastAsia" w:ascii="宋体" w:hAnsi="宋体" w:cs="宋体"/>
          <w:b/>
          <w:bCs/>
          <w:sz w:val="24"/>
          <w:szCs w:val="24"/>
        </w:rPr>
        <w:t>委托人付款前，监理人应提交合法、足额的增值税发票</w:t>
      </w:r>
      <w:r>
        <w:rPr>
          <w:rFonts w:hint="eastAsia" w:ascii="宋体" w:hAnsi="宋体" w:cs="宋体"/>
          <w:b/>
          <w:bCs/>
          <w:sz w:val="24"/>
          <w:szCs w:val="24"/>
          <w:lang w:eastAsia="zh-CN"/>
        </w:rPr>
        <w:t>，</w:t>
      </w:r>
      <w:r>
        <w:rPr>
          <w:rFonts w:hint="eastAsia" w:ascii="宋体" w:hAnsi="宋体" w:cs="宋体"/>
          <w:b/>
          <w:bCs/>
          <w:sz w:val="24"/>
          <w:szCs w:val="24"/>
        </w:rPr>
        <w:t>否则委托人有权拒绝付款，由此导致的逾期付款责任由监理人自行承担</w:t>
      </w:r>
      <w:r>
        <w:rPr>
          <w:rFonts w:hint="eastAsia" w:ascii="宋体" w:hAnsi="宋体" w:cs="宋体"/>
          <w:sz w:val="24"/>
          <w:szCs w:val="24"/>
        </w:rPr>
        <w:t>。</w:t>
      </w:r>
    </w:p>
    <w:p w14:paraId="305CC249">
      <w:pPr>
        <w:spacing w:line="360" w:lineRule="auto"/>
        <w:ind w:firstLine="480" w:firstLineChars="200"/>
        <w:rPr>
          <w:rFonts w:ascii="宋体" w:hAnsi="宋体" w:cs="宋体"/>
          <w:sz w:val="24"/>
          <w:szCs w:val="24"/>
        </w:rPr>
      </w:pPr>
      <w:r>
        <w:rPr>
          <w:rFonts w:hint="eastAsia" w:ascii="宋体" w:hAnsi="宋体" w:cs="宋体"/>
          <w:sz w:val="24"/>
          <w:szCs w:val="24"/>
        </w:rPr>
        <w:t>9.3.4监理报酬调整额按本合同8.1.1.2目约定的计算方式确定，支付时间及方式：</w:t>
      </w:r>
      <w:r>
        <w:rPr>
          <w:rFonts w:hint="eastAsia" w:ascii="宋体" w:hAnsi="宋体" w:cs="宋体"/>
          <w:sz w:val="24"/>
          <w:szCs w:val="24"/>
          <w:u w:val="single"/>
        </w:rPr>
        <w:t xml:space="preserve"> /   </w:t>
      </w:r>
      <w:r>
        <w:rPr>
          <w:rFonts w:hint="eastAsia" w:ascii="宋体" w:hAnsi="宋体" w:cs="宋体"/>
          <w:sz w:val="24"/>
          <w:szCs w:val="24"/>
        </w:rPr>
        <w:t>。</w:t>
      </w:r>
    </w:p>
    <w:p w14:paraId="6D02C9A8">
      <w:pPr>
        <w:spacing w:line="360" w:lineRule="auto"/>
        <w:ind w:firstLine="480" w:firstLineChars="200"/>
        <w:rPr>
          <w:rFonts w:ascii="宋体" w:hAnsi="宋体" w:cs="宋体"/>
          <w:sz w:val="24"/>
          <w:szCs w:val="24"/>
        </w:rPr>
      </w:pPr>
      <w:r>
        <w:rPr>
          <w:rFonts w:hint="eastAsia" w:ascii="宋体" w:hAnsi="宋体" w:cs="宋体"/>
          <w:sz w:val="24"/>
          <w:szCs w:val="24"/>
        </w:rPr>
        <w:t>9.3.5在支付周期内若存在监理人违约或监理人应当赔偿的事项，应在当期支付金额中扣减相应金额后支付。</w:t>
      </w:r>
    </w:p>
    <w:p w14:paraId="4426A5A5">
      <w:pPr>
        <w:pStyle w:val="4"/>
        <w:spacing w:before="0" w:after="0" w:line="360" w:lineRule="auto"/>
        <w:ind w:firstLine="138"/>
        <w:rPr>
          <w:rFonts w:ascii="宋体" w:hAnsi="宋体" w:cs="宋体"/>
          <w:sz w:val="24"/>
          <w:szCs w:val="24"/>
        </w:rPr>
      </w:pPr>
      <w:bookmarkStart w:id="323" w:name="_Toc536778413"/>
      <w:bookmarkStart w:id="324" w:name="_Toc1778"/>
      <w:bookmarkStart w:id="325" w:name="_Toc18293"/>
      <w:bookmarkStart w:id="326" w:name="_Toc536709892"/>
      <w:r>
        <w:rPr>
          <w:rFonts w:hint="eastAsia" w:ascii="宋体" w:hAnsi="宋体" w:cs="宋体"/>
          <w:sz w:val="24"/>
          <w:szCs w:val="24"/>
        </w:rPr>
        <w:t>10.不可抗力</w:t>
      </w:r>
      <w:bookmarkEnd w:id="323"/>
      <w:bookmarkEnd w:id="324"/>
      <w:bookmarkEnd w:id="325"/>
      <w:bookmarkEnd w:id="326"/>
    </w:p>
    <w:p w14:paraId="322F2FCD">
      <w:pPr>
        <w:spacing w:line="360" w:lineRule="auto"/>
        <w:ind w:firstLine="482" w:firstLineChars="200"/>
        <w:rPr>
          <w:rFonts w:ascii="宋体" w:hAnsi="宋体" w:cs="宋体"/>
          <w:b/>
          <w:sz w:val="24"/>
          <w:szCs w:val="24"/>
        </w:rPr>
      </w:pPr>
      <w:r>
        <w:rPr>
          <w:rFonts w:hint="eastAsia" w:ascii="宋体" w:hAnsi="宋体" w:cs="宋体"/>
          <w:b/>
          <w:sz w:val="24"/>
          <w:szCs w:val="24"/>
        </w:rPr>
        <w:t>10.3 不可抗力后果及其处理</w:t>
      </w:r>
    </w:p>
    <w:p w14:paraId="4D2E1804">
      <w:pPr>
        <w:spacing w:line="360" w:lineRule="auto"/>
        <w:ind w:firstLine="480" w:firstLineChars="200"/>
        <w:rPr>
          <w:rFonts w:ascii="宋体" w:hAnsi="宋体" w:cs="宋体"/>
          <w:sz w:val="24"/>
          <w:szCs w:val="24"/>
        </w:rPr>
      </w:pPr>
      <w:r>
        <w:rPr>
          <w:rFonts w:hint="eastAsia" w:ascii="宋体" w:hAnsi="宋体" w:cs="宋体"/>
          <w:sz w:val="24"/>
          <w:szCs w:val="24"/>
        </w:rPr>
        <w:t>10.3.4不可抗力发生后造成监理服务期限延误超过</w:t>
      </w:r>
      <w:r>
        <w:rPr>
          <w:rFonts w:hint="eastAsia" w:ascii="宋体" w:hAnsi="宋体" w:cs="宋体"/>
          <w:sz w:val="24"/>
          <w:szCs w:val="24"/>
          <w:u w:val="single"/>
        </w:rPr>
        <w:t xml:space="preserve">365 </w:t>
      </w:r>
      <w:r>
        <w:rPr>
          <w:rFonts w:hint="eastAsia" w:ascii="宋体" w:hAnsi="宋体" w:cs="宋体"/>
          <w:sz w:val="24"/>
          <w:szCs w:val="24"/>
        </w:rPr>
        <w:t>天的，双方均有权解除本合同。</w:t>
      </w:r>
    </w:p>
    <w:p w14:paraId="0E05FC7B">
      <w:pPr>
        <w:pStyle w:val="4"/>
        <w:spacing w:before="0" w:after="0" w:line="360" w:lineRule="auto"/>
        <w:ind w:firstLine="138"/>
        <w:rPr>
          <w:rFonts w:ascii="宋体" w:hAnsi="宋体" w:cs="宋体"/>
          <w:sz w:val="24"/>
          <w:szCs w:val="24"/>
        </w:rPr>
      </w:pPr>
      <w:bookmarkStart w:id="327" w:name="_Toc531820328"/>
      <w:bookmarkStart w:id="328" w:name="_Toc10570"/>
      <w:bookmarkStart w:id="329" w:name="_Toc536778414"/>
      <w:bookmarkStart w:id="330" w:name="_Toc17403"/>
      <w:bookmarkStart w:id="331" w:name="_Toc14892"/>
      <w:r>
        <w:rPr>
          <w:rFonts w:hint="eastAsia" w:ascii="宋体" w:hAnsi="宋体" w:cs="宋体"/>
          <w:sz w:val="24"/>
          <w:szCs w:val="24"/>
        </w:rPr>
        <w:t>11.违约</w:t>
      </w:r>
      <w:bookmarkEnd w:id="327"/>
      <w:bookmarkEnd w:id="328"/>
      <w:bookmarkEnd w:id="329"/>
      <w:bookmarkEnd w:id="330"/>
      <w:bookmarkEnd w:id="331"/>
    </w:p>
    <w:p w14:paraId="1FB01259">
      <w:pPr>
        <w:spacing w:line="360" w:lineRule="auto"/>
        <w:ind w:firstLine="482" w:firstLineChars="200"/>
        <w:rPr>
          <w:rFonts w:ascii="宋体" w:hAnsi="宋体" w:cs="宋体"/>
          <w:b/>
          <w:sz w:val="24"/>
          <w:szCs w:val="24"/>
        </w:rPr>
      </w:pPr>
      <w:bookmarkStart w:id="332" w:name="_Toc531854552"/>
      <w:r>
        <w:rPr>
          <w:rFonts w:hint="eastAsia" w:ascii="宋体" w:hAnsi="宋体" w:cs="宋体"/>
          <w:b/>
          <w:sz w:val="24"/>
          <w:szCs w:val="24"/>
        </w:rPr>
        <w:t>11.1 监理人违约</w:t>
      </w:r>
      <w:bookmarkEnd w:id="332"/>
    </w:p>
    <w:p w14:paraId="07996216">
      <w:pPr>
        <w:spacing w:line="360" w:lineRule="auto"/>
        <w:ind w:firstLine="480" w:firstLineChars="200"/>
        <w:rPr>
          <w:rFonts w:ascii="宋体" w:hAnsi="宋体" w:cs="宋体"/>
          <w:sz w:val="24"/>
          <w:szCs w:val="24"/>
        </w:rPr>
      </w:pPr>
      <w:r>
        <w:rPr>
          <w:rFonts w:hint="eastAsia" w:ascii="宋体" w:hAnsi="宋体" w:cs="宋体"/>
          <w:sz w:val="24"/>
          <w:szCs w:val="24"/>
        </w:rPr>
        <w:t>11.1.1 合同履行中发生下列情况之一的，属监理人违约：</w:t>
      </w:r>
    </w:p>
    <w:p w14:paraId="727603F1">
      <w:pPr>
        <w:spacing w:line="360" w:lineRule="auto"/>
        <w:ind w:firstLine="480" w:firstLineChars="200"/>
        <w:rPr>
          <w:rFonts w:ascii="宋体" w:hAnsi="宋体" w:cs="宋体"/>
          <w:sz w:val="24"/>
          <w:szCs w:val="24"/>
        </w:rPr>
      </w:pPr>
      <w:r>
        <w:rPr>
          <w:rFonts w:hint="eastAsia" w:ascii="宋体" w:hAnsi="宋体" w:cs="宋体"/>
          <w:sz w:val="24"/>
          <w:szCs w:val="24"/>
        </w:rPr>
        <w:t>（1）监理人违法转让或违法分包监理工作；</w:t>
      </w:r>
    </w:p>
    <w:p w14:paraId="710D2F8F">
      <w:pPr>
        <w:spacing w:line="360" w:lineRule="auto"/>
        <w:ind w:firstLine="480" w:firstLineChars="200"/>
        <w:rPr>
          <w:rFonts w:ascii="宋体" w:hAnsi="宋体" w:cs="宋体"/>
          <w:sz w:val="24"/>
          <w:szCs w:val="24"/>
        </w:rPr>
      </w:pPr>
      <w:r>
        <w:rPr>
          <w:rFonts w:hint="eastAsia" w:ascii="宋体" w:hAnsi="宋体" w:cs="宋体"/>
          <w:sz w:val="24"/>
          <w:szCs w:val="24"/>
        </w:rPr>
        <w:t>（2）因监理人原因，监理人不履行或停止履行合同义务；</w:t>
      </w:r>
    </w:p>
    <w:p w14:paraId="061ACEA7">
      <w:pPr>
        <w:spacing w:line="360" w:lineRule="auto"/>
        <w:ind w:firstLine="480" w:firstLineChars="200"/>
        <w:rPr>
          <w:rFonts w:ascii="宋体" w:hAnsi="宋体" w:cs="宋体"/>
          <w:sz w:val="24"/>
          <w:szCs w:val="24"/>
        </w:rPr>
      </w:pPr>
      <w:r>
        <w:rPr>
          <w:rFonts w:hint="eastAsia" w:ascii="宋体" w:hAnsi="宋体" w:cs="宋体"/>
          <w:sz w:val="24"/>
          <w:szCs w:val="24"/>
        </w:rPr>
        <w:t>（3）监理人未按合同约定提交履约担保；</w:t>
      </w:r>
    </w:p>
    <w:p w14:paraId="2ECB292E">
      <w:pPr>
        <w:spacing w:line="360" w:lineRule="auto"/>
        <w:ind w:firstLine="480" w:firstLineChars="200"/>
        <w:rPr>
          <w:rFonts w:ascii="宋体" w:hAnsi="宋体" w:cs="宋体"/>
          <w:sz w:val="24"/>
          <w:szCs w:val="24"/>
        </w:rPr>
      </w:pPr>
      <w:r>
        <w:rPr>
          <w:rFonts w:hint="eastAsia" w:ascii="宋体" w:hAnsi="宋体" w:cs="宋体"/>
          <w:sz w:val="24"/>
          <w:szCs w:val="24"/>
        </w:rPr>
        <w:t>（4）监理人向承包人索贿、谋取私利，或与承包人串通损害委托人利益；</w:t>
      </w:r>
    </w:p>
    <w:p w14:paraId="6C9D9BAA">
      <w:pPr>
        <w:spacing w:line="360" w:lineRule="auto"/>
        <w:ind w:firstLine="480" w:firstLineChars="200"/>
        <w:rPr>
          <w:rFonts w:ascii="宋体" w:hAnsi="宋体" w:cs="宋体"/>
          <w:sz w:val="24"/>
          <w:szCs w:val="24"/>
        </w:rPr>
      </w:pPr>
      <w:r>
        <w:rPr>
          <w:rFonts w:hint="eastAsia" w:ascii="宋体" w:hAnsi="宋体" w:cs="宋体"/>
          <w:sz w:val="24"/>
          <w:szCs w:val="24"/>
        </w:rPr>
        <w:t>（5）监理人未按相关行业监理规范及合同要求实施监理；</w:t>
      </w:r>
    </w:p>
    <w:p w14:paraId="30F46E2F">
      <w:pPr>
        <w:spacing w:line="360" w:lineRule="auto"/>
        <w:ind w:firstLine="480" w:firstLineChars="200"/>
        <w:rPr>
          <w:rFonts w:ascii="宋体" w:hAnsi="宋体" w:cs="宋体"/>
          <w:sz w:val="24"/>
          <w:szCs w:val="24"/>
        </w:rPr>
      </w:pPr>
      <w:r>
        <w:rPr>
          <w:rFonts w:hint="eastAsia" w:ascii="宋体" w:hAnsi="宋体" w:cs="宋体"/>
          <w:sz w:val="24"/>
          <w:szCs w:val="24"/>
        </w:rPr>
        <w:t>（6）</w:t>
      </w:r>
      <w:r>
        <w:rPr>
          <w:rFonts w:hint="eastAsia" w:ascii="宋体" w:hAnsi="宋体" w:cs="宋体"/>
          <w:sz w:val="24"/>
          <w:szCs w:val="24"/>
          <w:u w:val="single"/>
        </w:rPr>
        <w:t>监理人不履行合同约定的其他义务</w:t>
      </w:r>
      <w:r>
        <w:rPr>
          <w:rFonts w:hint="eastAsia" w:ascii="宋体" w:hAnsi="宋体" w:cs="宋体"/>
          <w:sz w:val="24"/>
          <w:szCs w:val="24"/>
        </w:rPr>
        <w:t>。</w:t>
      </w:r>
    </w:p>
    <w:p w14:paraId="78CEC588">
      <w:pPr>
        <w:spacing w:line="360" w:lineRule="auto"/>
        <w:ind w:firstLine="480" w:firstLineChars="200"/>
        <w:rPr>
          <w:rFonts w:ascii="宋体" w:hAnsi="宋体" w:cs="宋体"/>
          <w:sz w:val="24"/>
          <w:szCs w:val="24"/>
        </w:rPr>
      </w:pPr>
      <w:r>
        <w:rPr>
          <w:rFonts w:hint="eastAsia" w:ascii="宋体" w:hAnsi="宋体" w:cs="宋体"/>
          <w:sz w:val="24"/>
          <w:szCs w:val="24"/>
        </w:rPr>
        <w:t>11.1.2监理人发生违约情况时，委托人可向监理人发出整改通知，要求其在限定期限内纠正；逾期仍不纠正的，委托人有权解除合同并向监理人发出解除合同通知。监理人应当承担由于违约所造成的费用增加、周期延误和委托人损失等。</w:t>
      </w:r>
    </w:p>
    <w:p w14:paraId="0C08BF0D">
      <w:pPr>
        <w:spacing w:line="360" w:lineRule="auto"/>
        <w:ind w:firstLine="480" w:firstLineChars="200"/>
        <w:rPr>
          <w:rFonts w:ascii="宋体" w:hAnsi="宋体" w:cs="宋体"/>
          <w:sz w:val="24"/>
          <w:szCs w:val="24"/>
        </w:rPr>
      </w:pPr>
      <w:r>
        <w:rPr>
          <w:rFonts w:hint="eastAsia" w:ascii="宋体" w:hAnsi="宋体" w:cs="宋体"/>
          <w:sz w:val="24"/>
          <w:szCs w:val="24"/>
        </w:rPr>
        <w:t>（1）监理人发生第11.1.1项第（1）目违约行为的，按签约合同价</w:t>
      </w:r>
      <w:r>
        <w:rPr>
          <w:rFonts w:hint="eastAsia" w:ascii="宋体" w:hAnsi="宋体" w:cs="宋体"/>
          <w:kern w:val="0"/>
          <w:sz w:val="24"/>
          <w:szCs w:val="24"/>
        </w:rPr>
        <w:t>的</w:t>
      </w:r>
      <w:r>
        <w:rPr>
          <w:rFonts w:hint="eastAsia" w:ascii="宋体" w:hAnsi="宋体" w:cs="宋体"/>
          <w:kern w:val="0"/>
          <w:sz w:val="24"/>
          <w:szCs w:val="24"/>
          <w:u w:val="single"/>
        </w:rPr>
        <w:t>10%</w:t>
      </w:r>
      <w:r>
        <w:rPr>
          <w:rFonts w:hint="eastAsia" w:ascii="宋体" w:hAnsi="宋体" w:cs="宋体"/>
          <w:kern w:val="0"/>
          <w:sz w:val="24"/>
          <w:szCs w:val="24"/>
        </w:rPr>
        <w:t>支付违约金。</w:t>
      </w:r>
    </w:p>
    <w:p w14:paraId="5B133A59">
      <w:pPr>
        <w:spacing w:line="360" w:lineRule="auto"/>
        <w:ind w:firstLine="480" w:firstLineChars="200"/>
        <w:rPr>
          <w:rFonts w:ascii="宋体" w:hAnsi="宋体" w:cs="宋体"/>
          <w:kern w:val="0"/>
          <w:sz w:val="24"/>
          <w:szCs w:val="24"/>
        </w:rPr>
      </w:pPr>
      <w:r>
        <w:rPr>
          <w:rFonts w:hint="eastAsia" w:ascii="宋体" w:hAnsi="宋体" w:cs="宋体"/>
          <w:sz w:val="24"/>
          <w:szCs w:val="24"/>
        </w:rPr>
        <w:t>（2）监理人发生第11.1.1项第（2）目违约行为的</w:t>
      </w:r>
      <w:r>
        <w:rPr>
          <w:rFonts w:hint="eastAsia" w:ascii="宋体" w:hAnsi="宋体" w:cs="宋体"/>
          <w:kern w:val="0"/>
          <w:sz w:val="24"/>
          <w:szCs w:val="24"/>
        </w:rPr>
        <w:t>，按签约合同价的</w:t>
      </w:r>
      <w:r>
        <w:rPr>
          <w:rFonts w:hint="eastAsia" w:ascii="宋体" w:hAnsi="宋体" w:cs="宋体"/>
          <w:kern w:val="0"/>
          <w:sz w:val="24"/>
          <w:szCs w:val="24"/>
          <w:u w:val="single"/>
        </w:rPr>
        <w:t>10%</w:t>
      </w:r>
      <w:r>
        <w:rPr>
          <w:rFonts w:hint="eastAsia" w:ascii="宋体" w:hAnsi="宋体" w:cs="宋体"/>
          <w:kern w:val="0"/>
          <w:sz w:val="24"/>
          <w:szCs w:val="24"/>
        </w:rPr>
        <w:t>支付违约金。</w:t>
      </w:r>
    </w:p>
    <w:p w14:paraId="0A93BC32">
      <w:pPr>
        <w:spacing w:line="360" w:lineRule="auto"/>
        <w:ind w:firstLine="480" w:firstLineChars="200"/>
        <w:rPr>
          <w:rFonts w:ascii="宋体" w:hAnsi="宋体" w:cs="宋体"/>
          <w:kern w:val="0"/>
          <w:sz w:val="24"/>
          <w:szCs w:val="24"/>
          <w:lang w:val="zh-CN"/>
        </w:rPr>
      </w:pPr>
      <w:r>
        <w:rPr>
          <w:rFonts w:hint="eastAsia" w:ascii="宋体" w:hAnsi="宋体" w:cs="宋体"/>
          <w:sz w:val="24"/>
          <w:szCs w:val="24"/>
        </w:rPr>
        <w:t>（3）监理人发生第11.1.1项第（3）目违约行为的，</w:t>
      </w:r>
      <w:r>
        <w:rPr>
          <w:rFonts w:hint="eastAsia" w:ascii="宋体" w:hAnsi="宋体" w:cs="宋体"/>
          <w:kern w:val="0"/>
          <w:sz w:val="24"/>
          <w:szCs w:val="24"/>
        </w:rPr>
        <w:t>每延误1天，监理人按签约合同价</w:t>
      </w:r>
      <w:r>
        <w:rPr>
          <w:rFonts w:hint="eastAsia" w:ascii="宋体" w:hAnsi="宋体" w:cs="宋体"/>
          <w:kern w:val="0"/>
          <w:sz w:val="24"/>
          <w:szCs w:val="24"/>
          <w:u w:val="single"/>
        </w:rPr>
        <w:t>1‰</w:t>
      </w:r>
      <w:r>
        <w:rPr>
          <w:rFonts w:hint="eastAsia" w:ascii="宋体" w:hAnsi="宋体" w:cs="宋体"/>
          <w:kern w:val="0"/>
          <w:sz w:val="24"/>
          <w:szCs w:val="24"/>
        </w:rPr>
        <w:t>支付违约金</w:t>
      </w:r>
      <w:r>
        <w:rPr>
          <w:rFonts w:hint="eastAsia" w:ascii="宋体" w:hAnsi="宋体" w:cs="宋体"/>
          <w:kern w:val="0"/>
          <w:sz w:val="24"/>
          <w:szCs w:val="24"/>
          <w:lang w:val="zh-CN"/>
        </w:rPr>
        <w:t>。</w:t>
      </w:r>
    </w:p>
    <w:p w14:paraId="6DEAA197">
      <w:pPr>
        <w:spacing w:line="360" w:lineRule="auto"/>
        <w:ind w:firstLine="480" w:firstLineChars="200"/>
        <w:rPr>
          <w:rFonts w:ascii="宋体" w:hAnsi="宋体" w:cs="宋体"/>
          <w:sz w:val="24"/>
          <w:szCs w:val="24"/>
        </w:rPr>
      </w:pPr>
      <w:r>
        <w:rPr>
          <w:rFonts w:hint="eastAsia" w:ascii="宋体" w:hAnsi="宋体" w:cs="宋体"/>
          <w:sz w:val="24"/>
          <w:szCs w:val="24"/>
        </w:rPr>
        <w:t>（4）监理人发生第11.1.1项第（4）目违约行为的，按附件三《廉洁从业协议》进行</w:t>
      </w:r>
      <w:r>
        <w:rPr>
          <w:rFonts w:hint="eastAsia" w:ascii="宋体" w:hAnsi="宋体" w:cs="宋体"/>
          <w:kern w:val="0"/>
          <w:sz w:val="24"/>
          <w:szCs w:val="24"/>
        </w:rPr>
        <w:t>处罚</w:t>
      </w:r>
      <w:r>
        <w:rPr>
          <w:rFonts w:hint="eastAsia" w:ascii="宋体" w:hAnsi="宋体" w:cs="宋体"/>
          <w:sz w:val="24"/>
          <w:szCs w:val="24"/>
        </w:rPr>
        <w:t>。</w:t>
      </w:r>
    </w:p>
    <w:p w14:paraId="3B926648">
      <w:pPr>
        <w:spacing w:line="360" w:lineRule="auto"/>
        <w:ind w:firstLine="480" w:firstLineChars="200"/>
        <w:rPr>
          <w:rFonts w:ascii="宋体" w:hAnsi="宋体" w:cs="宋体"/>
          <w:sz w:val="24"/>
          <w:szCs w:val="24"/>
        </w:rPr>
      </w:pPr>
      <w:r>
        <w:rPr>
          <w:rFonts w:hint="eastAsia" w:ascii="宋体" w:hAnsi="宋体" w:cs="宋体"/>
          <w:sz w:val="24"/>
          <w:szCs w:val="24"/>
        </w:rPr>
        <w:t>（5）监理人发生第11.1.1项第（5）目违约行为的：</w:t>
      </w:r>
    </w:p>
    <w:p w14:paraId="2D651C1D">
      <w:pPr>
        <w:spacing w:line="360" w:lineRule="auto"/>
        <w:ind w:firstLine="530" w:firstLineChars="221"/>
        <w:rPr>
          <w:rFonts w:ascii="宋体" w:hAnsi="宋体" w:cs="宋体"/>
          <w:sz w:val="24"/>
          <w:szCs w:val="24"/>
        </w:rPr>
      </w:pPr>
      <w:r>
        <w:rPr>
          <w:rFonts w:hint="eastAsia" w:ascii="宋体" w:hAnsi="宋体" w:cs="宋体"/>
          <w:sz w:val="24"/>
          <w:szCs w:val="24"/>
        </w:rPr>
        <w:t>1）监理人未按合同约定及《监理规划》中监理人员进出场计划表的要求配备满足各阶段工程监理需要的监理人员的：</w:t>
      </w:r>
    </w:p>
    <w:p w14:paraId="3E5D6A60">
      <w:pPr>
        <w:spacing w:line="360" w:lineRule="auto"/>
        <w:ind w:firstLine="480" w:firstLineChars="200"/>
        <w:rPr>
          <w:rFonts w:ascii="宋体" w:hAnsi="宋体" w:cs="宋体"/>
          <w:sz w:val="24"/>
          <w:szCs w:val="24"/>
        </w:rPr>
      </w:pPr>
      <w:r>
        <w:rPr>
          <w:rFonts w:hint="eastAsia" w:ascii="宋体" w:hAnsi="宋体" w:cs="宋体"/>
          <w:sz w:val="24"/>
          <w:szCs w:val="24"/>
        </w:rPr>
        <w:t>①除发生第4.5.1.3目（1）情形外，总监理工程师不按承诺到岗履职的，委托人有权单方面解除合同；</w:t>
      </w:r>
    </w:p>
    <w:p w14:paraId="4AE201D8">
      <w:pPr>
        <w:spacing w:line="360" w:lineRule="auto"/>
        <w:ind w:firstLine="480" w:firstLineChars="200"/>
        <w:rPr>
          <w:rFonts w:ascii="宋体" w:hAnsi="宋体" w:cs="宋体"/>
          <w:sz w:val="24"/>
          <w:szCs w:val="24"/>
        </w:rPr>
      </w:pPr>
      <w:r>
        <w:rPr>
          <w:rFonts w:hint="eastAsia" w:ascii="宋体" w:hAnsi="宋体" w:cs="宋体"/>
          <w:sz w:val="24"/>
          <w:szCs w:val="24"/>
        </w:rPr>
        <w:t>②除因发生第4.5.1.3目情形外更换总监理工程师的，监理人</w:t>
      </w:r>
      <w:r>
        <w:rPr>
          <w:rFonts w:hint="eastAsia" w:ascii="宋体" w:hAnsi="宋体" w:cs="宋体"/>
          <w:kern w:val="0"/>
          <w:sz w:val="24"/>
          <w:szCs w:val="24"/>
        </w:rPr>
        <w:t>按签约合同价</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kern w:val="0"/>
          <w:sz w:val="24"/>
          <w:szCs w:val="24"/>
        </w:rPr>
        <w:t>支付违约金</w:t>
      </w:r>
      <w:r>
        <w:rPr>
          <w:rFonts w:hint="eastAsia" w:ascii="宋体" w:hAnsi="宋体" w:cs="宋体"/>
          <w:sz w:val="24"/>
          <w:szCs w:val="24"/>
        </w:rPr>
        <w:t>，最高不超过</w:t>
      </w:r>
      <w:r>
        <w:rPr>
          <w:rFonts w:hint="eastAsia" w:ascii="宋体" w:hAnsi="宋体" w:cs="宋体"/>
          <w:sz w:val="24"/>
          <w:szCs w:val="24"/>
          <w:u w:val="single"/>
        </w:rPr>
        <w:t xml:space="preserve">    </w:t>
      </w:r>
      <w:r>
        <w:rPr>
          <w:rFonts w:hint="eastAsia" w:ascii="宋体" w:hAnsi="宋体" w:cs="宋体"/>
          <w:sz w:val="24"/>
          <w:szCs w:val="24"/>
        </w:rPr>
        <w:t>万元；</w:t>
      </w:r>
    </w:p>
    <w:p w14:paraId="7472F6F3">
      <w:pPr>
        <w:spacing w:line="360" w:lineRule="auto"/>
        <w:ind w:firstLine="480" w:firstLineChars="200"/>
        <w:rPr>
          <w:rFonts w:ascii="宋体" w:hAnsi="宋体" w:cs="宋体"/>
          <w:sz w:val="24"/>
          <w:szCs w:val="24"/>
        </w:rPr>
      </w:pPr>
      <w:r>
        <w:rPr>
          <w:rFonts w:hint="eastAsia" w:ascii="宋体" w:hAnsi="宋体" w:cs="宋体"/>
          <w:sz w:val="24"/>
          <w:szCs w:val="24"/>
        </w:rPr>
        <w:t>③未配备或</w:t>
      </w:r>
      <w:r>
        <w:rPr>
          <w:rFonts w:hint="eastAsia" w:ascii="宋体" w:hAnsi="宋体" w:cs="宋体"/>
          <w:bCs/>
          <w:sz w:val="24"/>
          <w:szCs w:val="24"/>
        </w:rPr>
        <w:t>未经</w:t>
      </w:r>
      <w:r>
        <w:rPr>
          <w:rFonts w:hint="eastAsia" w:ascii="宋体" w:hAnsi="宋体" w:cs="宋体"/>
          <w:sz w:val="24"/>
          <w:szCs w:val="24"/>
        </w:rPr>
        <w:t>委托人同意更换总监理工程师代表（副总监理工程师），监理人</w:t>
      </w:r>
      <w:r>
        <w:rPr>
          <w:rFonts w:hint="eastAsia" w:ascii="宋体" w:hAnsi="宋体" w:cs="宋体"/>
          <w:kern w:val="0"/>
          <w:sz w:val="24"/>
          <w:szCs w:val="24"/>
        </w:rPr>
        <w:t>按签约合同价</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kern w:val="0"/>
          <w:sz w:val="24"/>
          <w:szCs w:val="24"/>
        </w:rPr>
        <w:t>支付违约金</w:t>
      </w:r>
      <w:r>
        <w:rPr>
          <w:rFonts w:hint="eastAsia" w:ascii="宋体" w:hAnsi="宋体" w:cs="宋体"/>
          <w:sz w:val="24"/>
          <w:szCs w:val="24"/>
        </w:rPr>
        <w:t>，最高不超过</w:t>
      </w:r>
      <w:r>
        <w:rPr>
          <w:rFonts w:hint="eastAsia" w:ascii="宋体" w:hAnsi="宋体" w:cs="宋体"/>
          <w:sz w:val="24"/>
          <w:szCs w:val="24"/>
          <w:u w:val="single"/>
        </w:rPr>
        <w:t xml:space="preserve">    </w:t>
      </w:r>
      <w:r>
        <w:rPr>
          <w:rFonts w:hint="eastAsia" w:ascii="宋体" w:hAnsi="宋体" w:cs="宋体"/>
          <w:sz w:val="24"/>
          <w:szCs w:val="24"/>
        </w:rPr>
        <w:t>万元；</w:t>
      </w:r>
    </w:p>
    <w:p w14:paraId="6297AE0F">
      <w:pPr>
        <w:spacing w:line="360" w:lineRule="auto"/>
        <w:ind w:firstLine="480" w:firstLineChars="200"/>
        <w:rPr>
          <w:rFonts w:ascii="宋体" w:hAnsi="宋体" w:cs="宋体"/>
          <w:sz w:val="24"/>
          <w:szCs w:val="24"/>
        </w:rPr>
      </w:pPr>
      <w:r>
        <w:rPr>
          <w:rFonts w:hint="eastAsia" w:ascii="宋体" w:hAnsi="宋体" w:cs="宋体"/>
          <w:sz w:val="24"/>
          <w:szCs w:val="24"/>
        </w:rPr>
        <w:t>④未配备或</w:t>
      </w:r>
      <w:r>
        <w:rPr>
          <w:rFonts w:hint="eastAsia" w:ascii="宋体" w:hAnsi="宋体" w:cs="宋体"/>
          <w:bCs/>
          <w:sz w:val="24"/>
          <w:szCs w:val="24"/>
        </w:rPr>
        <w:t>未经</w:t>
      </w:r>
      <w:r>
        <w:rPr>
          <w:rFonts w:hint="eastAsia" w:ascii="宋体" w:hAnsi="宋体" w:cs="宋体"/>
          <w:sz w:val="24"/>
          <w:szCs w:val="24"/>
        </w:rPr>
        <w:t>委托人同意更换主要监理人员，监理人</w:t>
      </w:r>
      <w:r>
        <w:rPr>
          <w:rFonts w:hint="eastAsia" w:ascii="宋体" w:hAnsi="宋体" w:cs="宋体"/>
          <w:kern w:val="0"/>
          <w:sz w:val="24"/>
          <w:szCs w:val="24"/>
        </w:rPr>
        <w:t>按签约合同价</w:t>
      </w:r>
      <w:r>
        <w:rPr>
          <w:rFonts w:hint="eastAsia" w:ascii="宋体" w:hAnsi="宋体" w:cs="宋体"/>
          <w:sz w:val="24"/>
          <w:szCs w:val="24"/>
          <w:u w:val="single"/>
        </w:rPr>
        <w:t xml:space="preserve">  1  </w:t>
      </w:r>
      <w:r>
        <w:rPr>
          <w:rFonts w:hint="eastAsia" w:ascii="宋体" w:hAnsi="宋体" w:cs="宋体"/>
          <w:sz w:val="24"/>
          <w:szCs w:val="24"/>
        </w:rPr>
        <w:t>%</w:t>
      </w:r>
      <w:r>
        <w:rPr>
          <w:rFonts w:hint="eastAsia" w:ascii="宋体" w:hAnsi="宋体" w:cs="宋体"/>
          <w:kern w:val="0"/>
          <w:sz w:val="24"/>
          <w:szCs w:val="24"/>
        </w:rPr>
        <w:t>支付违约金</w:t>
      </w:r>
      <w:r>
        <w:rPr>
          <w:rFonts w:hint="eastAsia" w:ascii="宋体" w:hAnsi="宋体" w:cs="宋体"/>
          <w:sz w:val="24"/>
          <w:szCs w:val="24"/>
        </w:rPr>
        <w:t>，最高不超过</w:t>
      </w:r>
      <w:r>
        <w:rPr>
          <w:rFonts w:hint="eastAsia" w:ascii="宋体" w:hAnsi="宋体" w:cs="宋体"/>
          <w:sz w:val="24"/>
          <w:szCs w:val="24"/>
          <w:u w:val="single"/>
        </w:rPr>
        <w:t xml:space="preserve"> 2 </w:t>
      </w:r>
      <w:r>
        <w:rPr>
          <w:rFonts w:hint="eastAsia" w:ascii="宋体" w:hAnsi="宋体" w:cs="宋体"/>
          <w:sz w:val="24"/>
          <w:szCs w:val="24"/>
        </w:rPr>
        <w:t>万元/人；</w:t>
      </w:r>
    </w:p>
    <w:p w14:paraId="6B462DEB">
      <w:pPr>
        <w:spacing w:line="360" w:lineRule="auto"/>
        <w:ind w:firstLine="480" w:firstLineChars="200"/>
        <w:rPr>
          <w:rFonts w:ascii="宋体" w:hAnsi="宋体" w:cs="宋体"/>
          <w:sz w:val="24"/>
          <w:szCs w:val="24"/>
        </w:rPr>
      </w:pPr>
      <w:r>
        <w:rPr>
          <w:rFonts w:hint="eastAsia" w:ascii="宋体" w:hAnsi="宋体" w:cs="宋体"/>
          <w:sz w:val="24"/>
          <w:szCs w:val="24"/>
        </w:rPr>
        <w:t>⑤因发生4.6款情形，委托人按要求监理人撤换项目监理机构人员，监理人不按要求撤换的，监理人</w:t>
      </w:r>
      <w:r>
        <w:rPr>
          <w:rFonts w:hint="eastAsia" w:ascii="宋体" w:hAnsi="宋体" w:cs="宋体"/>
          <w:kern w:val="0"/>
          <w:sz w:val="24"/>
          <w:szCs w:val="24"/>
        </w:rPr>
        <w:t>按签约合同价</w:t>
      </w:r>
      <w:r>
        <w:rPr>
          <w:rFonts w:hint="eastAsia" w:ascii="宋体" w:hAnsi="宋体" w:cs="宋体"/>
          <w:sz w:val="24"/>
          <w:szCs w:val="24"/>
          <w:u w:val="single"/>
        </w:rPr>
        <w:t xml:space="preserve"> 1 </w:t>
      </w:r>
      <w:r>
        <w:rPr>
          <w:rFonts w:hint="eastAsia" w:ascii="宋体" w:hAnsi="宋体" w:cs="宋体"/>
          <w:sz w:val="24"/>
          <w:szCs w:val="24"/>
        </w:rPr>
        <w:t>%/人</w:t>
      </w:r>
      <w:r>
        <w:rPr>
          <w:rFonts w:hint="eastAsia" w:ascii="宋体" w:hAnsi="宋体" w:cs="宋体"/>
          <w:kern w:val="0"/>
          <w:sz w:val="24"/>
          <w:szCs w:val="24"/>
        </w:rPr>
        <w:t>支付违约金</w:t>
      </w:r>
      <w:r>
        <w:rPr>
          <w:rFonts w:hint="eastAsia" w:ascii="宋体" w:hAnsi="宋体" w:cs="宋体"/>
          <w:sz w:val="24"/>
          <w:szCs w:val="24"/>
        </w:rPr>
        <w:t>，最高不超过</w:t>
      </w:r>
      <w:r>
        <w:rPr>
          <w:rFonts w:hint="eastAsia" w:ascii="宋体" w:hAnsi="宋体" w:cs="宋体"/>
          <w:sz w:val="24"/>
          <w:szCs w:val="24"/>
          <w:u w:val="single"/>
        </w:rPr>
        <w:t xml:space="preserve"> 2 </w:t>
      </w:r>
      <w:r>
        <w:rPr>
          <w:rFonts w:hint="eastAsia" w:ascii="宋体" w:hAnsi="宋体" w:cs="宋体"/>
          <w:sz w:val="24"/>
          <w:szCs w:val="24"/>
        </w:rPr>
        <w:t>万元/人。</w:t>
      </w:r>
    </w:p>
    <w:p w14:paraId="5291793F">
      <w:pPr>
        <w:spacing w:line="360" w:lineRule="auto"/>
        <w:ind w:firstLine="480" w:firstLineChars="200"/>
        <w:rPr>
          <w:rFonts w:ascii="宋体" w:hAnsi="宋体" w:cs="宋体"/>
          <w:sz w:val="24"/>
          <w:szCs w:val="24"/>
        </w:rPr>
      </w:pPr>
      <w:r>
        <w:rPr>
          <w:rFonts w:hint="eastAsia" w:ascii="宋体" w:hAnsi="宋体" w:cs="宋体"/>
          <w:sz w:val="24"/>
          <w:szCs w:val="24"/>
        </w:rPr>
        <w:t>2）监理人派驻项目监理机构的人员到岗天数少于合同约定天数的，总监理工程师按</w:t>
      </w:r>
      <w:r>
        <w:rPr>
          <w:rFonts w:hint="eastAsia" w:ascii="宋体" w:hAnsi="宋体" w:cs="宋体"/>
          <w:sz w:val="24"/>
          <w:szCs w:val="24"/>
          <w:u w:val="single"/>
        </w:rPr>
        <w:t xml:space="preserve"> 1000 </w:t>
      </w:r>
      <w:r>
        <w:rPr>
          <w:rFonts w:hint="eastAsia" w:ascii="宋体" w:hAnsi="宋体" w:cs="宋体"/>
          <w:sz w:val="24"/>
          <w:szCs w:val="24"/>
        </w:rPr>
        <w:t>元/天计算违约金，其他主要监理人员按</w:t>
      </w:r>
      <w:r>
        <w:rPr>
          <w:rFonts w:hint="eastAsia" w:ascii="宋体" w:hAnsi="宋体" w:cs="宋体"/>
          <w:sz w:val="24"/>
          <w:szCs w:val="24"/>
          <w:u w:val="single"/>
        </w:rPr>
        <w:t xml:space="preserve"> 500 </w:t>
      </w:r>
      <w:r>
        <w:rPr>
          <w:rFonts w:hint="eastAsia" w:ascii="宋体" w:hAnsi="宋体" w:cs="宋体"/>
          <w:sz w:val="24"/>
          <w:szCs w:val="24"/>
        </w:rPr>
        <w:t>元/人·天计算违约金；</w:t>
      </w:r>
    </w:p>
    <w:p w14:paraId="0E6EA2A0">
      <w:pPr>
        <w:spacing w:line="360" w:lineRule="auto"/>
        <w:ind w:firstLine="480" w:firstLineChars="200"/>
        <w:rPr>
          <w:rFonts w:ascii="宋体" w:hAnsi="宋体" w:cs="宋体"/>
          <w:sz w:val="24"/>
          <w:szCs w:val="24"/>
        </w:rPr>
      </w:pPr>
      <w:r>
        <w:rPr>
          <w:rFonts w:hint="eastAsia" w:ascii="宋体" w:hAnsi="宋体" w:cs="宋体"/>
          <w:sz w:val="24"/>
          <w:szCs w:val="24"/>
        </w:rPr>
        <w:t>3）监理人未按相关行业监理规范及相关合同要求对施工承包人提交的工程变更申请、索赔申请等事项进行审查的，每发现1次，监理人按签约合同价</w:t>
      </w:r>
      <w:r>
        <w:rPr>
          <w:rFonts w:hint="eastAsia" w:ascii="宋体" w:hAnsi="宋体" w:cs="宋体"/>
          <w:sz w:val="24"/>
          <w:szCs w:val="24"/>
          <w:u w:val="single"/>
        </w:rPr>
        <w:t xml:space="preserve"> 0.5‰ </w:t>
      </w:r>
      <w:r>
        <w:rPr>
          <w:rFonts w:hint="eastAsia" w:ascii="宋体" w:hAnsi="宋体" w:cs="宋体"/>
          <w:sz w:val="24"/>
          <w:szCs w:val="24"/>
        </w:rPr>
        <w:t>计算违约金；</w:t>
      </w:r>
    </w:p>
    <w:p w14:paraId="7ED7B182">
      <w:pPr>
        <w:spacing w:line="360" w:lineRule="auto"/>
        <w:ind w:firstLine="480" w:firstLineChars="200"/>
        <w:rPr>
          <w:rFonts w:ascii="宋体" w:hAnsi="宋体" w:cs="宋体"/>
          <w:sz w:val="24"/>
          <w:szCs w:val="24"/>
        </w:rPr>
      </w:pPr>
      <w:r>
        <w:rPr>
          <w:rFonts w:hint="eastAsia" w:ascii="宋体" w:hAnsi="宋体" w:cs="宋体"/>
          <w:sz w:val="24"/>
          <w:szCs w:val="24"/>
        </w:rPr>
        <w:t>4）监理人未按相关行业监理规范及合同要求进行质量控制、履行建设工程安全生产管理法定的监理职责的，按附件四《监理人质量安全履责行为违约金处罚标准》进行处罚；</w:t>
      </w:r>
    </w:p>
    <w:p w14:paraId="29A5FF3B">
      <w:pPr>
        <w:spacing w:line="360" w:lineRule="auto"/>
        <w:ind w:firstLine="480" w:firstLineChars="200"/>
        <w:rPr>
          <w:rFonts w:ascii="宋体" w:hAnsi="宋体" w:cs="宋体"/>
          <w:kern w:val="0"/>
          <w:sz w:val="24"/>
          <w:szCs w:val="24"/>
        </w:rPr>
      </w:pPr>
      <w:r>
        <w:rPr>
          <w:rFonts w:hint="eastAsia" w:ascii="宋体" w:hAnsi="宋体" w:cs="宋体"/>
          <w:sz w:val="24"/>
          <w:szCs w:val="24"/>
        </w:rPr>
        <w:t>5）监理文件不符合相关行业监理规范标准以及合同约定，每发现1次，监理人按签约合同价</w:t>
      </w:r>
      <w:r>
        <w:rPr>
          <w:rFonts w:hint="eastAsia" w:ascii="宋体" w:hAnsi="宋体" w:cs="宋体"/>
          <w:sz w:val="24"/>
          <w:szCs w:val="24"/>
          <w:u w:val="single"/>
        </w:rPr>
        <w:t xml:space="preserve"> 0.2‰ </w:t>
      </w:r>
      <w:r>
        <w:rPr>
          <w:rFonts w:hint="eastAsia" w:ascii="宋体" w:hAnsi="宋体" w:cs="宋体"/>
          <w:sz w:val="24"/>
          <w:szCs w:val="24"/>
        </w:rPr>
        <w:t>计算违约金；</w:t>
      </w:r>
    </w:p>
    <w:p w14:paraId="771B9BF4">
      <w:pPr>
        <w:spacing w:line="360" w:lineRule="auto"/>
        <w:ind w:firstLine="480" w:firstLineChars="200"/>
        <w:rPr>
          <w:rFonts w:ascii="宋体" w:hAnsi="宋体" w:cs="宋体"/>
          <w:sz w:val="24"/>
          <w:szCs w:val="24"/>
        </w:rPr>
      </w:pPr>
      <w:r>
        <w:rPr>
          <w:rFonts w:hint="eastAsia" w:ascii="宋体" w:hAnsi="宋体" w:cs="宋体"/>
          <w:sz w:val="24"/>
          <w:szCs w:val="24"/>
        </w:rPr>
        <w:t>6）监理人未按相关行业监理规范及合同要求实施监理，发生安全事故的，按附件五《安全履职协议》处理。</w:t>
      </w:r>
    </w:p>
    <w:p w14:paraId="74983449">
      <w:pPr>
        <w:spacing w:line="360" w:lineRule="auto"/>
        <w:ind w:firstLine="480" w:firstLineChars="200"/>
        <w:rPr>
          <w:rFonts w:ascii="宋体" w:hAnsi="宋体" w:cs="宋体"/>
          <w:sz w:val="24"/>
          <w:szCs w:val="24"/>
        </w:rPr>
      </w:pPr>
      <w:r>
        <w:rPr>
          <w:rFonts w:hint="eastAsia" w:ascii="宋体" w:hAnsi="宋体" w:cs="宋体"/>
          <w:sz w:val="24"/>
          <w:szCs w:val="24"/>
        </w:rPr>
        <w:t>（6）监理人出现其他违约情形的：</w:t>
      </w:r>
      <w:r>
        <w:rPr>
          <w:rFonts w:hint="eastAsia" w:ascii="宋体" w:hAnsi="宋体" w:cs="宋体"/>
          <w:sz w:val="24"/>
          <w:szCs w:val="24"/>
          <w:u w:val="single"/>
        </w:rPr>
        <w:t>1、监理人未认真审核产值，造成多计产值，按多计产值的2%计算违约金且不超过合同总金额，在办理结算时扣除；2、经委托人同意的监理人更换人员违约承担方式和计算方法：总监理工程师按0.5万元人·次计算违约金，其他监理人员按0.2万元人·次计算违约金。</w:t>
      </w:r>
    </w:p>
    <w:p w14:paraId="630F734E">
      <w:pPr>
        <w:spacing w:line="360" w:lineRule="auto"/>
        <w:ind w:firstLine="482" w:firstLineChars="200"/>
        <w:rPr>
          <w:rFonts w:ascii="宋体" w:hAnsi="宋体" w:cs="宋体"/>
          <w:b/>
          <w:sz w:val="24"/>
          <w:szCs w:val="24"/>
        </w:rPr>
      </w:pPr>
      <w:r>
        <w:rPr>
          <w:rFonts w:hint="eastAsia" w:ascii="宋体" w:hAnsi="宋体" w:cs="宋体"/>
          <w:b/>
          <w:sz w:val="24"/>
          <w:szCs w:val="24"/>
        </w:rPr>
        <w:t>11.2 委托人违约</w:t>
      </w:r>
    </w:p>
    <w:p w14:paraId="0E76FF53">
      <w:pPr>
        <w:spacing w:line="360" w:lineRule="auto"/>
        <w:ind w:firstLine="480" w:firstLineChars="200"/>
        <w:rPr>
          <w:rFonts w:ascii="宋体" w:hAnsi="宋体" w:cs="宋体"/>
          <w:sz w:val="24"/>
          <w:szCs w:val="24"/>
        </w:rPr>
      </w:pPr>
      <w:r>
        <w:rPr>
          <w:rFonts w:hint="eastAsia" w:ascii="宋体" w:hAnsi="宋体" w:cs="宋体"/>
          <w:sz w:val="24"/>
          <w:szCs w:val="24"/>
        </w:rPr>
        <w:t>11.2.1合同履行中发生下列情况之一的，属委托人违约：</w:t>
      </w:r>
    </w:p>
    <w:p w14:paraId="2FA166CD">
      <w:pPr>
        <w:spacing w:line="360" w:lineRule="auto"/>
        <w:ind w:firstLine="480" w:firstLineChars="200"/>
        <w:rPr>
          <w:rFonts w:ascii="宋体" w:hAnsi="宋体" w:cs="宋体"/>
          <w:sz w:val="24"/>
          <w:szCs w:val="24"/>
        </w:rPr>
      </w:pPr>
      <w:r>
        <w:rPr>
          <w:rFonts w:hint="eastAsia" w:ascii="宋体" w:hAnsi="宋体" w:cs="宋体"/>
          <w:sz w:val="24"/>
          <w:szCs w:val="24"/>
        </w:rPr>
        <w:t>（1）委托人未按合同约定支付监理报酬；</w:t>
      </w:r>
    </w:p>
    <w:p w14:paraId="216DD554">
      <w:pPr>
        <w:spacing w:line="360" w:lineRule="auto"/>
        <w:ind w:firstLine="480" w:firstLineChars="200"/>
        <w:rPr>
          <w:rFonts w:ascii="宋体" w:hAnsi="宋体" w:cs="宋体"/>
          <w:sz w:val="24"/>
          <w:szCs w:val="24"/>
        </w:rPr>
      </w:pPr>
      <w:r>
        <w:rPr>
          <w:rFonts w:hint="eastAsia" w:ascii="宋体" w:hAnsi="宋体" w:cs="宋体"/>
          <w:sz w:val="24"/>
          <w:szCs w:val="24"/>
        </w:rPr>
        <w:t>（2）因委托人原因不履行或停止履行合同；</w:t>
      </w:r>
    </w:p>
    <w:p w14:paraId="29C877B6">
      <w:pPr>
        <w:spacing w:line="360" w:lineRule="auto"/>
        <w:ind w:firstLine="480" w:firstLineChars="200"/>
        <w:rPr>
          <w:rFonts w:ascii="宋体" w:hAnsi="宋体" w:cs="宋体"/>
          <w:sz w:val="24"/>
          <w:szCs w:val="24"/>
        </w:rPr>
      </w:pPr>
      <w:r>
        <w:rPr>
          <w:rFonts w:hint="eastAsia" w:ascii="宋体" w:hAnsi="宋体" w:cs="宋体"/>
          <w:sz w:val="24"/>
          <w:szCs w:val="24"/>
        </w:rPr>
        <w:t>（3）委托人不履行合同约定的其他义务：</w:t>
      </w:r>
      <w:r>
        <w:rPr>
          <w:rFonts w:hint="eastAsia" w:ascii="宋体" w:hAnsi="宋体" w:cs="宋体"/>
          <w:sz w:val="24"/>
          <w:szCs w:val="24"/>
          <w:u w:val="single"/>
        </w:rPr>
        <w:t xml:space="preserve"> / </w:t>
      </w:r>
      <w:r>
        <w:rPr>
          <w:rFonts w:hint="eastAsia" w:ascii="宋体" w:hAnsi="宋体" w:cs="宋体"/>
          <w:sz w:val="24"/>
          <w:szCs w:val="24"/>
        </w:rPr>
        <w:t>。</w:t>
      </w:r>
    </w:p>
    <w:p w14:paraId="240F9692">
      <w:pPr>
        <w:spacing w:line="360" w:lineRule="auto"/>
        <w:ind w:firstLine="480" w:firstLineChars="200"/>
        <w:rPr>
          <w:rFonts w:ascii="宋体" w:hAnsi="宋体" w:cs="宋体"/>
          <w:sz w:val="24"/>
          <w:szCs w:val="24"/>
        </w:rPr>
      </w:pPr>
      <w:r>
        <w:rPr>
          <w:rFonts w:hint="eastAsia" w:ascii="宋体" w:hAnsi="宋体" w:cs="宋体"/>
          <w:sz w:val="24"/>
          <w:szCs w:val="24"/>
        </w:rPr>
        <w:t>11.2.2委托人发生违约情况时，监理人可向委托人发出暂停监理通知，要求其在限定期限内纠正；逾期仍不纠正的，监理人有权解除合同并向委托人发出解除合同通知。委托人应当承担由于违约所造成的费用增加、周期延误和监理人损失等。</w:t>
      </w:r>
    </w:p>
    <w:p w14:paraId="00A7B43F">
      <w:pPr>
        <w:pStyle w:val="4"/>
        <w:spacing w:before="0" w:after="0" w:line="360" w:lineRule="auto"/>
        <w:ind w:firstLine="138"/>
        <w:rPr>
          <w:rFonts w:ascii="宋体" w:hAnsi="宋体" w:cs="宋体"/>
          <w:sz w:val="24"/>
          <w:szCs w:val="24"/>
        </w:rPr>
      </w:pPr>
      <w:bookmarkStart w:id="333" w:name="_Toc536778415"/>
      <w:bookmarkStart w:id="334" w:name="_Toc531820329"/>
      <w:bookmarkStart w:id="335" w:name="_Toc20547"/>
      <w:bookmarkStart w:id="336" w:name="_Toc25405"/>
      <w:bookmarkStart w:id="337" w:name="_Toc10231"/>
      <w:r>
        <w:rPr>
          <w:rFonts w:hint="eastAsia" w:ascii="宋体" w:hAnsi="宋体" w:cs="宋体"/>
          <w:sz w:val="24"/>
          <w:szCs w:val="24"/>
        </w:rPr>
        <w:t>12.争议的解决</w:t>
      </w:r>
      <w:bookmarkEnd w:id="333"/>
      <w:bookmarkEnd w:id="334"/>
      <w:bookmarkEnd w:id="335"/>
      <w:bookmarkEnd w:id="336"/>
      <w:bookmarkEnd w:id="337"/>
    </w:p>
    <w:p w14:paraId="786078A2">
      <w:pPr>
        <w:spacing w:line="360" w:lineRule="auto"/>
        <w:ind w:firstLine="482" w:firstLineChars="200"/>
        <w:rPr>
          <w:rFonts w:ascii="宋体" w:hAnsi="宋体" w:cs="宋体"/>
          <w:b/>
          <w:bCs/>
          <w:sz w:val="24"/>
          <w:szCs w:val="24"/>
        </w:rPr>
      </w:pPr>
      <w:r>
        <w:rPr>
          <w:rFonts w:hint="eastAsia" w:ascii="宋体" w:hAnsi="宋体" w:cs="宋体"/>
          <w:b/>
          <w:bCs/>
          <w:sz w:val="24"/>
          <w:szCs w:val="24"/>
        </w:rPr>
        <w:t>12.1委托人和监理人在履行合同中发生争议的，可以友好协商解决。</w:t>
      </w:r>
    </w:p>
    <w:p w14:paraId="103021B5">
      <w:pPr>
        <w:spacing w:line="360" w:lineRule="auto"/>
        <w:ind w:firstLine="482" w:firstLineChars="200"/>
        <w:rPr>
          <w:rFonts w:ascii="宋体" w:hAnsi="宋体" w:cs="宋体"/>
          <w:b/>
          <w:sz w:val="24"/>
          <w:szCs w:val="24"/>
        </w:rPr>
      </w:pPr>
      <w:r>
        <w:rPr>
          <w:rFonts w:hint="eastAsia" w:ascii="宋体" w:hAnsi="宋体" w:cs="宋体"/>
          <w:b/>
          <w:sz w:val="24"/>
          <w:szCs w:val="24"/>
        </w:rPr>
        <w:t>12.2</w:t>
      </w:r>
      <w:r>
        <w:rPr>
          <w:rFonts w:hint="eastAsia" w:ascii="宋体" w:hAnsi="宋体" w:cs="宋体"/>
          <w:b/>
          <w:bCs/>
          <w:sz w:val="24"/>
          <w:szCs w:val="24"/>
        </w:rPr>
        <w:t>仲裁或诉讼</w:t>
      </w:r>
    </w:p>
    <w:p w14:paraId="5645E172">
      <w:pPr>
        <w:spacing w:line="360" w:lineRule="auto"/>
        <w:ind w:firstLine="480" w:firstLineChars="200"/>
        <w:rPr>
          <w:rFonts w:ascii="宋体" w:hAnsi="宋体" w:cs="宋体"/>
          <w:sz w:val="24"/>
          <w:szCs w:val="24"/>
        </w:rPr>
      </w:pPr>
      <w:r>
        <w:rPr>
          <w:rFonts w:hint="eastAsia" w:ascii="宋体" w:hAnsi="宋体" w:cs="宋体"/>
          <w:sz w:val="24"/>
          <w:szCs w:val="24"/>
        </w:rPr>
        <w:t>合同争议的最终解决方式为下列第</w:t>
      </w:r>
      <w:r>
        <w:rPr>
          <w:rFonts w:hint="eastAsia" w:ascii="宋体" w:hAnsi="宋体" w:cs="宋体"/>
          <w:sz w:val="24"/>
          <w:szCs w:val="24"/>
          <w:u w:val="single"/>
        </w:rPr>
        <w:t>（2 ）</w:t>
      </w:r>
      <w:r>
        <w:rPr>
          <w:rFonts w:hint="eastAsia" w:ascii="宋体" w:hAnsi="宋体" w:cs="宋体"/>
          <w:sz w:val="24"/>
          <w:szCs w:val="24"/>
        </w:rPr>
        <w:t>种方式：</w:t>
      </w:r>
    </w:p>
    <w:p w14:paraId="41803BCB">
      <w:pPr>
        <w:spacing w:line="360" w:lineRule="auto"/>
        <w:ind w:firstLine="480" w:firstLineChars="200"/>
        <w:rPr>
          <w:rFonts w:ascii="宋体" w:hAnsi="宋体" w:cs="宋体"/>
          <w:sz w:val="24"/>
          <w:szCs w:val="24"/>
        </w:rPr>
      </w:pPr>
      <w:r>
        <w:rPr>
          <w:rFonts w:hint="eastAsia" w:ascii="宋体" w:hAnsi="宋体" w:cs="宋体"/>
          <w:sz w:val="24"/>
          <w:szCs w:val="24"/>
        </w:rPr>
        <w:t>（1）提请</w:t>
      </w:r>
      <w:r>
        <w:rPr>
          <w:rFonts w:hint="eastAsia" w:ascii="宋体" w:hAnsi="宋体" w:cs="宋体"/>
          <w:sz w:val="24"/>
          <w:szCs w:val="24"/>
          <w:u w:val="single"/>
        </w:rPr>
        <w:t xml:space="preserve"> 重庆仲裁委员会 </w:t>
      </w:r>
      <w:r>
        <w:rPr>
          <w:rFonts w:hint="eastAsia" w:ascii="宋体" w:hAnsi="宋体" w:cs="宋体"/>
          <w:sz w:val="24"/>
          <w:szCs w:val="24"/>
        </w:rPr>
        <w:t>进行仲裁。</w:t>
      </w:r>
    </w:p>
    <w:p w14:paraId="4B55FAED">
      <w:pPr>
        <w:spacing w:line="360" w:lineRule="auto"/>
        <w:ind w:firstLine="480" w:firstLineChars="200"/>
        <w:rPr>
          <w:rFonts w:ascii="宋体" w:hAnsi="宋体" w:cs="宋体"/>
          <w:sz w:val="24"/>
          <w:szCs w:val="24"/>
        </w:rPr>
      </w:pPr>
      <w:r>
        <w:rPr>
          <w:rFonts w:hint="eastAsia" w:ascii="宋体" w:hAnsi="宋体" w:cs="宋体"/>
          <w:sz w:val="24"/>
          <w:szCs w:val="24"/>
        </w:rPr>
        <w:t>（2）向</w:t>
      </w:r>
      <w:r>
        <w:rPr>
          <w:rFonts w:hint="eastAsia" w:ascii="宋体" w:hAnsi="宋体" w:cs="宋体"/>
          <w:sz w:val="24"/>
          <w:szCs w:val="24"/>
          <w:u w:val="single"/>
        </w:rPr>
        <w:t xml:space="preserve"> 甲方所在地 </w:t>
      </w:r>
      <w:r>
        <w:rPr>
          <w:rFonts w:hint="eastAsia" w:ascii="宋体" w:hAnsi="宋体" w:cs="宋体"/>
          <w:sz w:val="24"/>
          <w:szCs w:val="24"/>
        </w:rPr>
        <w:t>人民法院提起诉讼。</w:t>
      </w:r>
    </w:p>
    <w:p w14:paraId="282C1BA9">
      <w:pPr>
        <w:pStyle w:val="4"/>
        <w:spacing w:before="0" w:after="0" w:line="360" w:lineRule="auto"/>
        <w:ind w:firstLine="138"/>
        <w:rPr>
          <w:rFonts w:ascii="宋体" w:hAnsi="宋体" w:cs="宋体"/>
          <w:sz w:val="24"/>
          <w:szCs w:val="24"/>
        </w:rPr>
      </w:pPr>
      <w:bookmarkStart w:id="338" w:name="_Toc531820330"/>
      <w:bookmarkStart w:id="339" w:name="_Toc5876"/>
      <w:bookmarkStart w:id="340" w:name="_Toc8287"/>
      <w:bookmarkStart w:id="341" w:name="_Toc17661"/>
      <w:bookmarkStart w:id="342" w:name="_Toc536778416"/>
      <w:r>
        <w:rPr>
          <w:rFonts w:hint="eastAsia" w:ascii="宋体" w:hAnsi="宋体" w:cs="宋体"/>
          <w:sz w:val="24"/>
          <w:szCs w:val="24"/>
        </w:rPr>
        <w:t>13.补充条款</w:t>
      </w:r>
      <w:bookmarkEnd w:id="338"/>
      <w:bookmarkEnd w:id="339"/>
      <w:bookmarkEnd w:id="340"/>
      <w:bookmarkEnd w:id="341"/>
    </w:p>
    <w:p w14:paraId="6D5A3709">
      <w:pPr>
        <w:spacing w:line="360" w:lineRule="auto"/>
        <w:ind w:firstLine="480" w:firstLineChars="200"/>
        <w:rPr>
          <w:rFonts w:ascii="宋体" w:hAnsi="宋体" w:cs="宋体"/>
          <w:sz w:val="24"/>
          <w:szCs w:val="24"/>
          <w:u w:val="single"/>
        </w:rPr>
      </w:pPr>
      <w:r>
        <w:rPr>
          <w:rFonts w:hint="eastAsia" w:ascii="宋体" w:hAnsi="宋体" w:cs="宋体"/>
          <w:sz w:val="24"/>
          <w:szCs w:val="24"/>
        </w:rPr>
        <w:t>13.2</w:t>
      </w:r>
      <w:r>
        <w:rPr>
          <w:rFonts w:hint="eastAsia" w:ascii="宋体" w:hAnsi="宋体" w:cs="宋体"/>
          <w:sz w:val="24"/>
          <w:szCs w:val="24"/>
          <w:u w:val="single"/>
        </w:rPr>
        <w:t xml:space="preserve"> </w:t>
      </w:r>
      <w:bookmarkEnd w:id="342"/>
      <w:r>
        <w:rPr>
          <w:rFonts w:hint="eastAsia" w:ascii="宋体" w:hAnsi="宋体" w:cs="宋体"/>
          <w:sz w:val="24"/>
          <w:szCs w:val="24"/>
          <w:u w:val="single"/>
        </w:rPr>
        <w:t xml:space="preserve"> /   </w:t>
      </w:r>
    </w:p>
    <w:p w14:paraId="7A55CEDA">
      <w:pPr>
        <w:pStyle w:val="4"/>
        <w:spacing w:before="0" w:after="0" w:line="360" w:lineRule="auto"/>
        <w:ind w:firstLine="138"/>
        <w:rPr>
          <w:rFonts w:ascii="宋体" w:hAnsi="宋体" w:cs="宋体"/>
          <w:sz w:val="24"/>
          <w:szCs w:val="24"/>
        </w:rPr>
      </w:pPr>
      <w:bookmarkStart w:id="343" w:name="_Toc10560"/>
      <w:bookmarkStart w:id="344" w:name="_Toc10021"/>
      <w:r>
        <w:rPr>
          <w:rFonts w:hint="eastAsia" w:ascii="宋体" w:hAnsi="宋体" w:cs="宋体"/>
          <w:sz w:val="24"/>
          <w:szCs w:val="24"/>
        </w:rPr>
        <w:t>14.合同附件</w:t>
      </w:r>
      <w:bookmarkEnd w:id="343"/>
      <w:bookmarkEnd w:id="344"/>
    </w:p>
    <w:p w14:paraId="50584CC6">
      <w:pPr>
        <w:spacing w:line="360" w:lineRule="auto"/>
        <w:ind w:firstLine="480" w:firstLineChars="200"/>
        <w:rPr>
          <w:rFonts w:ascii="宋体" w:hAnsi="宋体" w:cs="宋体"/>
          <w:sz w:val="24"/>
          <w:szCs w:val="24"/>
        </w:rPr>
      </w:pPr>
      <w:r>
        <w:rPr>
          <w:rFonts w:hint="eastAsia" w:ascii="宋体" w:hAnsi="宋体" w:cs="宋体"/>
          <w:sz w:val="24"/>
          <w:szCs w:val="24"/>
        </w:rPr>
        <w:t>以下附件是本合同的有效组成部分：</w:t>
      </w:r>
    </w:p>
    <w:p w14:paraId="490CABF1">
      <w:pPr>
        <w:spacing w:line="360" w:lineRule="auto"/>
        <w:ind w:firstLine="480" w:firstLineChars="200"/>
        <w:rPr>
          <w:rFonts w:ascii="宋体" w:hAnsi="宋体" w:cs="宋体"/>
          <w:sz w:val="24"/>
          <w:szCs w:val="24"/>
        </w:rPr>
      </w:pPr>
      <w:r>
        <w:rPr>
          <w:rFonts w:hint="eastAsia" w:ascii="宋体" w:hAnsi="宋体" w:cs="宋体"/>
          <w:sz w:val="24"/>
          <w:szCs w:val="24"/>
        </w:rPr>
        <w:t>附件一 总监理工程师委任书</w:t>
      </w:r>
    </w:p>
    <w:p w14:paraId="171A6E24">
      <w:pPr>
        <w:spacing w:line="360" w:lineRule="auto"/>
        <w:ind w:firstLine="480" w:firstLineChars="200"/>
        <w:rPr>
          <w:rFonts w:ascii="宋体" w:hAnsi="宋体" w:cs="宋体"/>
          <w:sz w:val="24"/>
          <w:szCs w:val="24"/>
        </w:rPr>
      </w:pPr>
      <w:r>
        <w:rPr>
          <w:rFonts w:hint="eastAsia" w:ascii="宋体" w:hAnsi="宋体" w:cs="宋体"/>
          <w:sz w:val="24"/>
          <w:szCs w:val="24"/>
        </w:rPr>
        <w:t>附件二 派驻本项目监理人员一览表</w:t>
      </w:r>
    </w:p>
    <w:p w14:paraId="79C456B6">
      <w:pPr>
        <w:spacing w:line="360" w:lineRule="auto"/>
        <w:ind w:firstLine="480" w:firstLineChars="200"/>
        <w:rPr>
          <w:rFonts w:ascii="宋体" w:hAnsi="宋体" w:cs="宋体"/>
          <w:sz w:val="24"/>
          <w:szCs w:val="24"/>
        </w:rPr>
      </w:pPr>
      <w:r>
        <w:rPr>
          <w:rFonts w:hint="eastAsia" w:ascii="宋体" w:hAnsi="宋体" w:cs="宋体"/>
          <w:sz w:val="24"/>
          <w:szCs w:val="24"/>
        </w:rPr>
        <w:t>附件三 廉洁从业协议（参考格式）</w:t>
      </w:r>
    </w:p>
    <w:p w14:paraId="639F88B3">
      <w:pPr>
        <w:spacing w:line="360" w:lineRule="auto"/>
        <w:ind w:firstLine="480" w:firstLineChars="200"/>
        <w:rPr>
          <w:rFonts w:ascii="宋体" w:hAnsi="宋体" w:cs="宋体"/>
          <w:sz w:val="24"/>
          <w:szCs w:val="24"/>
        </w:rPr>
      </w:pPr>
      <w:r>
        <w:rPr>
          <w:rFonts w:hint="eastAsia" w:ascii="宋体" w:hAnsi="宋体" w:cs="宋体"/>
          <w:sz w:val="24"/>
          <w:szCs w:val="24"/>
        </w:rPr>
        <w:t>附件四 监理人质量安全履责行为违约金处罚标准附件</w:t>
      </w:r>
    </w:p>
    <w:p w14:paraId="07B98813">
      <w:pPr>
        <w:spacing w:line="360" w:lineRule="auto"/>
        <w:ind w:firstLine="480" w:firstLineChars="200"/>
        <w:rPr>
          <w:rFonts w:ascii="宋体" w:hAnsi="宋体" w:cs="宋体"/>
          <w:sz w:val="24"/>
          <w:szCs w:val="24"/>
        </w:rPr>
      </w:pPr>
      <w:r>
        <w:rPr>
          <w:rFonts w:hint="eastAsia" w:ascii="宋体" w:hAnsi="宋体" w:cs="宋体"/>
          <w:sz w:val="24"/>
          <w:szCs w:val="24"/>
        </w:rPr>
        <w:t>附件五 安全履职协议</w:t>
      </w:r>
    </w:p>
    <w:p w14:paraId="78E8A4C4">
      <w:pPr>
        <w:widowControl/>
        <w:spacing w:line="594" w:lineRule="exact"/>
        <w:jc w:val="left"/>
        <w:rPr>
          <w:rFonts w:ascii="宋体" w:hAnsi="宋体" w:cs="宋体"/>
          <w:sz w:val="24"/>
          <w:szCs w:val="24"/>
        </w:rPr>
      </w:pPr>
      <w:bookmarkStart w:id="345" w:name="_Toc530882082"/>
      <w:bookmarkStart w:id="346" w:name="_Toc536709898"/>
      <w:bookmarkStart w:id="347" w:name="_Toc531678511"/>
      <w:bookmarkStart w:id="348" w:name="_Toc428260526"/>
      <w:bookmarkStart w:id="349" w:name="_Toc536778419"/>
      <w:bookmarkStart w:id="350" w:name="_Toc10512262"/>
      <w:bookmarkStart w:id="351" w:name="_Toc434491129"/>
      <w:bookmarkStart w:id="352" w:name="_Toc424565805"/>
      <w:bookmarkStart w:id="353" w:name="_Toc13624"/>
      <w:bookmarkStart w:id="354" w:name="_Toc531820331"/>
      <w:r>
        <w:rPr>
          <w:rFonts w:hint="eastAsia" w:ascii="宋体" w:hAnsi="宋体" w:cs="宋体"/>
          <w:sz w:val="24"/>
          <w:szCs w:val="24"/>
        </w:rPr>
        <w:br w:type="page"/>
      </w:r>
      <w:r>
        <w:rPr>
          <w:rFonts w:hint="eastAsia" w:ascii="宋体" w:hAnsi="宋体" w:cs="宋体"/>
          <w:sz w:val="24"/>
          <w:szCs w:val="24"/>
        </w:rPr>
        <w:t>附件一 总监理工程师委任书</w:t>
      </w:r>
      <w:bookmarkEnd w:id="345"/>
      <w:bookmarkEnd w:id="346"/>
      <w:bookmarkEnd w:id="347"/>
      <w:bookmarkEnd w:id="348"/>
      <w:bookmarkEnd w:id="349"/>
      <w:bookmarkEnd w:id="350"/>
      <w:bookmarkEnd w:id="351"/>
      <w:bookmarkEnd w:id="352"/>
    </w:p>
    <w:p w14:paraId="12749246">
      <w:pPr>
        <w:spacing w:line="594" w:lineRule="exact"/>
        <w:jc w:val="center"/>
        <w:rPr>
          <w:rFonts w:ascii="宋体" w:hAnsi="宋体" w:cs="宋体"/>
          <w:b/>
          <w:bCs/>
          <w:sz w:val="24"/>
          <w:szCs w:val="24"/>
        </w:rPr>
      </w:pPr>
      <w:r>
        <w:rPr>
          <w:rFonts w:hint="eastAsia" w:ascii="宋体" w:hAnsi="宋体" w:cs="宋体"/>
          <w:b/>
          <w:kern w:val="0"/>
          <w:sz w:val="24"/>
          <w:szCs w:val="24"/>
        </w:rPr>
        <w:t>总监理工程师委任书</w:t>
      </w:r>
    </w:p>
    <w:p w14:paraId="05E053CE">
      <w:pPr>
        <w:spacing w:line="594" w:lineRule="exact"/>
        <w:ind w:left="238" w:leftChars="85" w:firstLine="240" w:firstLineChars="1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公司</w:t>
      </w:r>
      <w:r>
        <w:rPr>
          <w:rFonts w:hint="eastAsia" w:ascii="宋体" w:hAnsi="宋体" w:cs="宋体"/>
          <w:kern w:val="44"/>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代表本单位委任</w:t>
      </w:r>
      <w:r>
        <w:rPr>
          <w:rFonts w:hint="eastAsia" w:ascii="宋体" w:hAnsi="宋体" w:cs="宋体"/>
          <w:sz w:val="24"/>
          <w:szCs w:val="24"/>
          <w:u w:val="single"/>
        </w:rPr>
        <w:t xml:space="preserve">     </w:t>
      </w:r>
      <w:r>
        <w:rPr>
          <w:rFonts w:hint="eastAsia" w:ascii="宋体" w:hAnsi="宋体" w:cs="宋体"/>
          <w:sz w:val="24"/>
          <w:szCs w:val="24"/>
        </w:rPr>
        <w:t>为</w:t>
      </w:r>
      <w:r>
        <w:rPr>
          <w:rFonts w:hint="eastAsia" w:ascii="宋体" w:hAnsi="宋体" w:cs="宋体"/>
          <w:sz w:val="24"/>
          <w:szCs w:val="24"/>
          <w:u w:val="single"/>
        </w:rPr>
        <w:t xml:space="preserve">      （项目名称）</w:t>
      </w:r>
      <w:r>
        <w:rPr>
          <w:rFonts w:hint="eastAsia" w:ascii="宋体" w:hAnsi="宋体" w:cs="宋体"/>
          <w:sz w:val="24"/>
          <w:szCs w:val="24"/>
        </w:rPr>
        <w:t>的总监理工程师。凡</w:t>
      </w:r>
      <w:r>
        <w:rPr>
          <w:rFonts w:hint="eastAsia" w:ascii="宋体" w:hAnsi="宋体" w:cs="宋体"/>
          <w:sz w:val="24"/>
          <w:szCs w:val="24"/>
          <w:lang w:eastAsia="zh-CN"/>
        </w:rPr>
        <w:t>本合同</w:t>
      </w:r>
      <w:r>
        <w:rPr>
          <w:rFonts w:hint="eastAsia" w:ascii="宋体" w:hAnsi="宋体" w:cs="宋体"/>
          <w:sz w:val="24"/>
          <w:szCs w:val="24"/>
        </w:rPr>
        <w:t>执行的有关技术、工程进度、现场管理、质量检验、结算与支付等方面工作，由</w:t>
      </w:r>
      <w:r>
        <w:rPr>
          <w:rFonts w:hint="eastAsia" w:ascii="宋体" w:hAnsi="宋体" w:cs="宋体"/>
          <w:sz w:val="24"/>
          <w:szCs w:val="24"/>
          <w:u w:val="single"/>
        </w:rPr>
        <w:t xml:space="preserve">      </w:t>
      </w:r>
      <w:r>
        <w:rPr>
          <w:rFonts w:hint="eastAsia" w:ascii="宋体" w:hAnsi="宋体" w:cs="宋体"/>
          <w:sz w:val="24"/>
          <w:szCs w:val="24"/>
        </w:rPr>
        <w:t>代表本单位全面负责。</w:t>
      </w:r>
    </w:p>
    <w:p w14:paraId="56F55BA4">
      <w:pPr>
        <w:spacing w:line="594" w:lineRule="exact"/>
        <w:ind w:firstLine="480" w:firstLineChars="200"/>
        <w:rPr>
          <w:rFonts w:ascii="宋体" w:hAnsi="宋体" w:cs="宋体"/>
          <w:sz w:val="24"/>
          <w:szCs w:val="24"/>
        </w:rPr>
      </w:pPr>
    </w:p>
    <w:p w14:paraId="389CEBE9">
      <w:pPr>
        <w:spacing w:line="594" w:lineRule="exact"/>
        <w:ind w:firstLine="480" w:firstLineChars="200"/>
        <w:rPr>
          <w:rFonts w:ascii="宋体" w:hAnsi="宋体" w:cs="宋体"/>
          <w:sz w:val="24"/>
          <w:szCs w:val="24"/>
        </w:rPr>
      </w:pPr>
      <w:r>
        <w:rPr>
          <w:rFonts w:hint="eastAsia" w:ascii="宋体" w:hAnsi="宋体" w:cs="宋体"/>
          <w:sz w:val="24"/>
          <w:szCs w:val="24"/>
        </w:rPr>
        <w:t>监理人（盖单位法人章）</w:t>
      </w:r>
      <w:r>
        <w:rPr>
          <w:rFonts w:hint="eastAsia" w:ascii="宋体" w:hAnsi="宋体" w:cs="宋体"/>
          <w:sz w:val="24"/>
          <w:szCs w:val="24"/>
          <w:u w:val="single"/>
        </w:rPr>
        <w:t xml:space="preserve">    </w:t>
      </w:r>
    </w:p>
    <w:p w14:paraId="5BAB128D">
      <w:pPr>
        <w:spacing w:line="594" w:lineRule="exact"/>
        <w:ind w:firstLine="480" w:firstLineChars="200"/>
        <w:rPr>
          <w:rFonts w:ascii="宋体" w:hAnsi="宋体" w:cs="宋体"/>
          <w:sz w:val="24"/>
          <w:szCs w:val="24"/>
        </w:rPr>
      </w:pPr>
      <w:r>
        <w:rPr>
          <w:rFonts w:hint="eastAsia" w:ascii="宋体" w:hAnsi="宋体" w:cs="宋体"/>
          <w:sz w:val="24"/>
          <w:szCs w:val="24"/>
        </w:rPr>
        <w:t>总监理工程师（签名）：</w:t>
      </w:r>
      <w:r>
        <w:rPr>
          <w:rFonts w:hint="eastAsia" w:ascii="宋体" w:hAnsi="宋体" w:cs="宋体"/>
          <w:sz w:val="24"/>
          <w:szCs w:val="24"/>
          <w:u w:val="single"/>
        </w:rPr>
        <w:t xml:space="preserve">                        </w:t>
      </w:r>
    </w:p>
    <w:p w14:paraId="6516BA7D">
      <w:pPr>
        <w:spacing w:line="594" w:lineRule="exact"/>
        <w:ind w:firstLine="480" w:firstLineChars="200"/>
        <w:rPr>
          <w:rFonts w:ascii="宋体" w:hAnsi="宋体" w:cs="宋体"/>
          <w:sz w:val="24"/>
          <w:szCs w:val="24"/>
        </w:rPr>
      </w:pPr>
      <w:r>
        <w:rPr>
          <w:rFonts w:hint="eastAsia" w:ascii="宋体" w:hAnsi="宋体" w:cs="宋体"/>
          <w:sz w:val="24"/>
          <w:szCs w:val="24"/>
        </w:rPr>
        <w:t>法定代表人（签名或盖章）：</w:t>
      </w:r>
      <w:r>
        <w:rPr>
          <w:rFonts w:hint="eastAsia" w:ascii="宋体" w:hAnsi="宋体" w:cs="宋体"/>
          <w:sz w:val="24"/>
          <w:szCs w:val="24"/>
          <w:u w:val="single"/>
        </w:rPr>
        <w:t xml:space="preserve">                    </w:t>
      </w:r>
    </w:p>
    <w:p w14:paraId="60DC602A">
      <w:pPr>
        <w:spacing w:line="360" w:lineRule="auto"/>
        <w:ind w:firstLine="480" w:firstLineChars="200"/>
        <w:jc w:val="righ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8DBF8F8">
      <w:pPr>
        <w:widowControl/>
        <w:spacing w:line="360" w:lineRule="auto"/>
        <w:jc w:val="left"/>
        <w:rPr>
          <w:rFonts w:ascii="宋体" w:hAnsi="宋体" w:cs="宋体"/>
          <w:sz w:val="24"/>
          <w:szCs w:val="24"/>
        </w:rPr>
      </w:pPr>
      <w:r>
        <w:rPr>
          <w:rFonts w:hint="eastAsia" w:ascii="宋体" w:hAnsi="宋体" w:cs="宋体"/>
          <w:bCs/>
          <w:sz w:val="24"/>
          <w:szCs w:val="24"/>
        </w:rPr>
        <w:br w:type="page"/>
      </w:r>
      <w:bookmarkStart w:id="355" w:name="_Toc536778420"/>
      <w:bookmarkStart w:id="356" w:name="_Toc536709899"/>
      <w:bookmarkStart w:id="357" w:name="_Toc531678512"/>
      <w:r>
        <w:rPr>
          <w:rFonts w:hint="eastAsia" w:ascii="宋体" w:hAnsi="宋体" w:cs="宋体"/>
          <w:bCs/>
          <w:sz w:val="24"/>
          <w:szCs w:val="24"/>
        </w:rPr>
        <w:t>附</w:t>
      </w:r>
      <w:r>
        <w:rPr>
          <w:rFonts w:hint="eastAsia" w:ascii="宋体" w:hAnsi="宋体" w:cs="宋体"/>
          <w:sz w:val="24"/>
          <w:szCs w:val="24"/>
        </w:rPr>
        <w:t>件二 派驻本项目监理人员一览表</w:t>
      </w:r>
      <w:bookmarkEnd w:id="355"/>
      <w:bookmarkEnd w:id="356"/>
      <w:bookmarkEnd w:id="357"/>
    </w:p>
    <w:p w14:paraId="414E2841">
      <w:pPr>
        <w:spacing w:line="360" w:lineRule="auto"/>
        <w:jc w:val="center"/>
        <w:rPr>
          <w:rFonts w:ascii="宋体" w:hAnsi="宋体" w:cs="宋体"/>
          <w:b/>
          <w:sz w:val="24"/>
          <w:szCs w:val="24"/>
        </w:rPr>
      </w:pPr>
      <w:r>
        <w:rPr>
          <w:rFonts w:hint="eastAsia" w:ascii="宋体" w:hAnsi="宋体" w:cs="宋体"/>
          <w:b/>
          <w:sz w:val="24"/>
          <w:szCs w:val="24"/>
        </w:rPr>
        <w:t>派驻本项目监理人员一览表</w:t>
      </w:r>
    </w:p>
    <w:tbl>
      <w:tblPr>
        <w:tblStyle w:val="24"/>
        <w:tblW w:w="10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68"/>
        <w:gridCol w:w="723"/>
        <w:gridCol w:w="736"/>
        <w:gridCol w:w="723"/>
        <w:gridCol w:w="1525"/>
        <w:gridCol w:w="1965"/>
        <w:gridCol w:w="3246"/>
      </w:tblGrid>
      <w:tr w14:paraId="56A2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ign w:val="center"/>
          </w:tcPr>
          <w:p w14:paraId="54EA0AB6">
            <w:pPr>
              <w:spacing w:line="400" w:lineRule="exact"/>
              <w:jc w:val="center"/>
              <w:rPr>
                <w:rFonts w:ascii="宋体" w:hAnsi="宋体" w:cs="宋体"/>
                <w:sz w:val="24"/>
                <w:szCs w:val="24"/>
              </w:rPr>
            </w:pPr>
            <w:r>
              <w:rPr>
                <w:rFonts w:hint="eastAsia" w:ascii="宋体" w:hAnsi="宋体" w:cs="宋体"/>
                <w:sz w:val="24"/>
                <w:szCs w:val="24"/>
              </w:rPr>
              <w:t>序号</w:t>
            </w:r>
          </w:p>
        </w:tc>
        <w:tc>
          <w:tcPr>
            <w:tcW w:w="968" w:type="dxa"/>
            <w:noWrap/>
            <w:vAlign w:val="center"/>
          </w:tcPr>
          <w:p w14:paraId="26A828D6">
            <w:pPr>
              <w:spacing w:line="400" w:lineRule="exact"/>
              <w:jc w:val="center"/>
              <w:rPr>
                <w:rFonts w:ascii="宋体" w:hAnsi="宋体" w:cs="宋体"/>
                <w:sz w:val="24"/>
                <w:szCs w:val="24"/>
              </w:rPr>
            </w:pPr>
            <w:r>
              <w:rPr>
                <w:rFonts w:hint="eastAsia" w:ascii="宋体" w:hAnsi="宋体" w:cs="宋体"/>
                <w:sz w:val="24"/>
                <w:szCs w:val="24"/>
              </w:rPr>
              <w:t>姓  名</w:t>
            </w:r>
          </w:p>
        </w:tc>
        <w:tc>
          <w:tcPr>
            <w:tcW w:w="723" w:type="dxa"/>
            <w:noWrap/>
            <w:vAlign w:val="center"/>
          </w:tcPr>
          <w:p w14:paraId="6397938C">
            <w:pPr>
              <w:spacing w:line="400" w:lineRule="exact"/>
              <w:jc w:val="center"/>
              <w:rPr>
                <w:rFonts w:ascii="宋体" w:hAnsi="宋体" w:cs="宋体"/>
                <w:sz w:val="24"/>
                <w:szCs w:val="24"/>
              </w:rPr>
            </w:pPr>
            <w:r>
              <w:rPr>
                <w:rFonts w:hint="eastAsia" w:ascii="宋体" w:hAnsi="宋体" w:cs="宋体"/>
                <w:sz w:val="24"/>
                <w:szCs w:val="24"/>
              </w:rPr>
              <w:t>性别</w:t>
            </w:r>
          </w:p>
        </w:tc>
        <w:tc>
          <w:tcPr>
            <w:tcW w:w="736" w:type="dxa"/>
            <w:noWrap/>
            <w:vAlign w:val="center"/>
          </w:tcPr>
          <w:p w14:paraId="31DA71BE">
            <w:pPr>
              <w:spacing w:line="400" w:lineRule="exact"/>
              <w:jc w:val="center"/>
              <w:rPr>
                <w:rFonts w:ascii="宋体" w:hAnsi="宋体" w:cs="宋体"/>
                <w:sz w:val="24"/>
                <w:szCs w:val="24"/>
              </w:rPr>
            </w:pPr>
            <w:r>
              <w:rPr>
                <w:rFonts w:hint="eastAsia" w:ascii="宋体" w:hAnsi="宋体" w:cs="宋体"/>
                <w:sz w:val="24"/>
                <w:szCs w:val="24"/>
              </w:rPr>
              <w:t>年龄</w:t>
            </w:r>
          </w:p>
        </w:tc>
        <w:tc>
          <w:tcPr>
            <w:tcW w:w="723" w:type="dxa"/>
            <w:noWrap/>
            <w:vAlign w:val="center"/>
          </w:tcPr>
          <w:p w14:paraId="70722289">
            <w:pPr>
              <w:spacing w:line="400" w:lineRule="exact"/>
              <w:jc w:val="center"/>
              <w:rPr>
                <w:rFonts w:ascii="宋体" w:hAnsi="宋体" w:cs="宋体"/>
                <w:sz w:val="24"/>
                <w:szCs w:val="24"/>
              </w:rPr>
            </w:pPr>
            <w:r>
              <w:rPr>
                <w:rFonts w:hint="eastAsia" w:ascii="宋体" w:hAnsi="宋体" w:cs="宋体"/>
                <w:sz w:val="24"/>
                <w:szCs w:val="24"/>
              </w:rPr>
              <w:t>学历</w:t>
            </w:r>
          </w:p>
        </w:tc>
        <w:tc>
          <w:tcPr>
            <w:tcW w:w="1525" w:type="dxa"/>
            <w:noWrap/>
            <w:vAlign w:val="center"/>
          </w:tcPr>
          <w:p w14:paraId="3C0A40C6">
            <w:pPr>
              <w:spacing w:line="400" w:lineRule="exact"/>
              <w:jc w:val="center"/>
              <w:rPr>
                <w:rFonts w:ascii="宋体" w:hAnsi="宋体" w:cs="宋体"/>
                <w:sz w:val="24"/>
                <w:szCs w:val="24"/>
              </w:rPr>
            </w:pPr>
            <w:r>
              <w:rPr>
                <w:rFonts w:hint="eastAsia" w:ascii="宋体" w:hAnsi="宋体" w:cs="宋体"/>
                <w:sz w:val="24"/>
                <w:szCs w:val="24"/>
              </w:rPr>
              <w:t>技术职称</w:t>
            </w:r>
          </w:p>
        </w:tc>
        <w:tc>
          <w:tcPr>
            <w:tcW w:w="1965" w:type="dxa"/>
            <w:noWrap/>
            <w:vAlign w:val="center"/>
          </w:tcPr>
          <w:p w14:paraId="09C89128">
            <w:pPr>
              <w:spacing w:line="400" w:lineRule="exact"/>
              <w:jc w:val="center"/>
              <w:rPr>
                <w:rFonts w:ascii="宋体" w:hAnsi="宋体" w:cs="宋体"/>
                <w:sz w:val="24"/>
                <w:szCs w:val="24"/>
              </w:rPr>
            </w:pPr>
            <w:r>
              <w:rPr>
                <w:rFonts w:hint="eastAsia" w:ascii="宋体" w:hAnsi="宋体" w:cs="宋体"/>
                <w:sz w:val="24"/>
                <w:szCs w:val="24"/>
              </w:rPr>
              <w:t>拟担任</w:t>
            </w:r>
          </w:p>
          <w:p w14:paraId="0FCE17B3">
            <w:pPr>
              <w:spacing w:line="400" w:lineRule="exact"/>
              <w:jc w:val="center"/>
              <w:rPr>
                <w:rFonts w:ascii="宋体" w:hAnsi="宋体" w:cs="宋体"/>
                <w:sz w:val="24"/>
                <w:szCs w:val="24"/>
              </w:rPr>
            </w:pPr>
            <w:r>
              <w:rPr>
                <w:rFonts w:hint="eastAsia" w:ascii="宋体" w:hAnsi="宋体" w:cs="宋体"/>
                <w:sz w:val="24"/>
                <w:szCs w:val="24"/>
              </w:rPr>
              <w:t>职务</w:t>
            </w:r>
          </w:p>
        </w:tc>
        <w:tc>
          <w:tcPr>
            <w:tcW w:w="3246" w:type="dxa"/>
            <w:noWrap/>
            <w:vAlign w:val="center"/>
          </w:tcPr>
          <w:p w14:paraId="2798C018">
            <w:pPr>
              <w:spacing w:line="400" w:lineRule="exact"/>
              <w:jc w:val="center"/>
              <w:rPr>
                <w:rFonts w:ascii="宋体" w:hAnsi="宋体" w:cs="宋体"/>
                <w:sz w:val="24"/>
                <w:szCs w:val="24"/>
              </w:rPr>
            </w:pPr>
            <w:r>
              <w:rPr>
                <w:rFonts w:hint="eastAsia" w:ascii="宋体" w:hAnsi="宋体" w:cs="宋体"/>
                <w:sz w:val="24"/>
                <w:szCs w:val="24"/>
              </w:rPr>
              <w:t>执业资格及证件号码</w:t>
            </w:r>
          </w:p>
        </w:tc>
      </w:tr>
      <w:tr w14:paraId="1121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ign w:val="center"/>
          </w:tcPr>
          <w:p w14:paraId="0D47A123">
            <w:pPr>
              <w:widowControl/>
              <w:spacing w:line="400" w:lineRule="exact"/>
              <w:jc w:val="center"/>
              <w:rPr>
                <w:rFonts w:ascii="宋体" w:hAnsi="宋体" w:cs="宋体"/>
                <w:sz w:val="24"/>
                <w:szCs w:val="24"/>
              </w:rPr>
            </w:pPr>
            <w:r>
              <w:rPr>
                <w:rFonts w:hint="eastAsia" w:ascii="宋体" w:hAnsi="宋体" w:cs="宋体"/>
                <w:sz w:val="24"/>
                <w:szCs w:val="24"/>
              </w:rPr>
              <w:t>1</w:t>
            </w:r>
          </w:p>
        </w:tc>
        <w:tc>
          <w:tcPr>
            <w:tcW w:w="968" w:type="dxa"/>
            <w:noWrap/>
            <w:vAlign w:val="center"/>
          </w:tcPr>
          <w:p w14:paraId="57021911">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27A8748B">
            <w:pPr>
              <w:spacing w:line="400" w:lineRule="exact"/>
              <w:jc w:val="center"/>
              <w:rPr>
                <w:rFonts w:ascii="宋体" w:hAnsi="宋体" w:cs="宋体"/>
                <w:sz w:val="24"/>
                <w:szCs w:val="24"/>
              </w:rPr>
            </w:pPr>
          </w:p>
        </w:tc>
        <w:tc>
          <w:tcPr>
            <w:tcW w:w="736" w:type="dxa"/>
            <w:noWrap/>
            <w:vAlign w:val="center"/>
          </w:tcPr>
          <w:p w14:paraId="42C08A4A">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7C8945ED">
            <w:pPr>
              <w:autoSpaceDE w:val="0"/>
              <w:autoSpaceDN w:val="0"/>
              <w:adjustRightInd w:val="0"/>
              <w:snapToGrid w:val="0"/>
              <w:spacing w:line="400" w:lineRule="exact"/>
              <w:jc w:val="center"/>
              <w:rPr>
                <w:rFonts w:ascii="宋体" w:hAnsi="宋体" w:cs="宋体"/>
                <w:kern w:val="0"/>
                <w:sz w:val="24"/>
                <w:szCs w:val="24"/>
              </w:rPr>
            </w:pPr>
          </w:p>
        </w:tc>
        <w:tc>
          <w:tcPr>
            <w:tcW w:w="1525" w:type="dxa"/>
            <w:noWrap/>
            <w:vAlign w:val="center"/>
          </w:tcPr>
          <w:p w14:paraId="49C45947">
            <w:pPr>
              <w:autoSpaceDE w:val="0"/>
              <w:autoSpaceDN w:val="0"/>
              <w:adjustRightInd w:val="0"/>
              <w:snapToGrid w:val="0"/>
              <w:spacing w:line="400" w:lineRule="exact"/>
              <w:jc w:val="center"/>
              <w:rPr>
                <w:rFonts w:ascii="宋体" w:hAnsi="宋体" w:cs="宋体"/>
                <w:kern w:val="0"/>
                <w:sz w:val="24"/>
                <w:szCs w:val="24"/>
              </w:rPr>
            </w:pPr>
          </w:p>
        </w:tc>
        <w:tc>
          <w:tcPr>
            <w:tcW w:w="1965" w:type="dxa"/>
            <w:noWrap/>
            <w:vAlign w:val="center"/>
          </w:tcPr>
          <w:p w14:paraId="74256FD1">
            <w:pPr>
              <w:autoSpaceDE w:val="0"/>
              <w:autoSpaceDN w:val="0"/>
              <w:adjustRightInd w:val="0"/>
              <w:snapToGrid w:val="0"/>
              <w:spacing w:line="400" w:lineRule="exact"/>
              <w:jc w:val="center"/>
              <w:rPr>
                <w:rFonts w:ascii="宋体" w:hAnsi="宋体" w:cs="宋体"/>
                <w:kern w:val="0"/>
                <w:sz w:val="24"/>
                <w:szCs w:val="24"/>
              </w:rPr>
            </w:pPr>
          </w:p>
        </w:tc>
        <w:tc>
          <w:tcPr>
            <w:tcW w:w="3246" w:type="dxa"/>
            <w:noWrap/>
            <w:vAlign w:val="center"/>
          </w:tcPr>
          <w:p w14:paraId="3E5F85C8">
            <w:pPr>
              <w:autoSpaceDE w:val="0"/>
              <w:autoSpaceDN w:val="0"/>
              <w:adjustRightInd w:val="0"/>
              <w:snapToGrid w:val="0"/>
              <w:spacing w:line="400" w:lineRule="exact"/>
              <w:rPr>
                <w:rFonts w:ascii="宋体" w:hAnsi="宋体" w:cs="宋体"/>
                <w:kern w:val="0"/>
                <w:sz w:val="24"/>
                <w:szCs w:val="24"/>
              </w:rPr>
            </w:pPr>
          </w:p>
        </w:tc>
      </w:tr>
      <w:tr w14:paraId="0FA6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ign w:val="center"/>
          </w:tcPr>
          <w:p w14:paraId="20DE283E">
            <w:pPr>
              <w:widowControl/>
              <w:spacing w:line="400" w:lineRule="exact"/>
              <w:jc w:val="center"/>
              <w:rPr>
                <w:rFonts w:ascii="宋体" w:hAnsi="宋体" w:cs="宋体"/>
                <w:sz w:val="24"/>
                <w:szCs w:val="24"/>
              </w:rPr>
            </w:pPr>
            <w:r>
              <w:rPr>
                <w:rFonts w:hint="eastAsia" w:ascii="宋体" w:hAnsi="宋体" w:cs="宋体"/>
                <w:sz w:val="24"/>
                <w:szCs w:val="24"/>
              </w:rPr>
              <w:t>2</w:t>
            </w:r>
          </w:p>
        </w:tc>
        <w:tc>
          <w:tcPr>
            <w:tcW w:w="968" w:type="dxa"/>
            <w:noWrap/>
            <w:vAlign w:val="center"/>
          </w:tcPr>
          <w:p w14:paraId="18436C94">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4E37B25F">
            <w:pPr>
              <w:spacing w:line="400" w:lineRule="exact"/>
              <w:jc w:val="center"/>
              <w:rPr>
                <w:rFonts w:ascii="宋体" w:hAnsi="宋体" w:cs="宋体"/>
                <w:sz w:val="24"/>
                <w:szCs w:val="24"/>
              </w:rPr>
            </w:pPr>
          </w:p>
        </w:tc>
        <w:tc>
          <w:tcPr>
            <w:tcW w:w="736" w:type="dxa"/>
            <w:noWrap/>
            <w:vAlign w:val="center"/>
          </w:tcPr>
          <w:p w14:paraId="303F81F8">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0126AC71">
            <w:pPr>
              <w:autoSpaceDE w:val="0"/>
              <w:autoSpaceDN w:val="0"/>
              <w:adjustRightInd w:val="0"/>
              <w:snapToGrid w:val="0"/>
              <w:spacing w:line="400" w:lineRule="exact"/>
              <w:jc w:val="center"/>
              <w:rPr>
                <w:rFonts w:ascii="宋体" w:hAnsi="宋体" w:cs="宋体"/>
                <w:kern w:val="0"/>
                <w:sz w:val="24"/>
                <w:szCs w:val="24"/>
              </w:rPr>
            </w:pPr>
          </w:p>
        </w:tc>
        <w:tc>
          <w:tcPr>
            <w:tcW w:w="1525" w:type="dxa"/>
            <w:noWrap/>
            <w:vAlign w:val="center"/>
          </w:tcPr>
          <w:p w14:paraId="3BD9A9F8">
            <w:pPr>
              <w:autoSpaceDE w:val="0"/>
              <w:autoSpaceDN w:val="0"/>
              <w:adjustRightInd w:val="0"/>
              <w:snapToGrid w:val="0"/>
              <w:spacing w:line="400" w:lineRule="exact"/>
              <w:jc w:val="center"/>
              <w:rPr>
                <w:rFonts w:ascii="宋体" w:hAnsi="宋体" w:cs="宋体"/>
                <w:kern w:val="0"/>
                <w:sz w:val="24"/>
                <w:szCs w:val="24"/>
              </w:rPr>
            </w:pPr>
          </w:p>
        </w:tc>
        <w:tc>
          <w:tcPr>
            <w:tcW w:w="1965" w:type="dxa"/>
            <w:noWrap/>
            <w:vAlign w:val="center"/>
          </w:tcPr>
          <w:p w14:paraId="684EBDD0">
            <w:pPr>
              <w:autoSpaceDE w:val="0"/>
              <w:autoSpaceDN w:val="0"/>
              <w:adjustRightInd w:val="0"/>
              <w:snapToGrid w:val="0"/>
              <w:spacing w:line="400" w:lineRule="exact"/>
              <w:jc w:val="center"/>
              <w:rPr>
                <w:rFonts w:ascii="宋体" w:hAnsi="宋体" w:cs="宋体"/>
                <w:kern w:val="0"/>
                <w:sz w:val="24"/>
                <w:szCs w:val="24"/>
              </w:rPr>
            </w:pPr>
          </w:p>
        </w:tc>
        <w:tc>
          <w:tcPr>
            <w:tcW w:w="3246" w:type="dxa"/>
            <w:noWrap/>
            <w:vAlign w:val="center"/>
          </w:tcPr>
          <w:p w14:paraId="0F81F5B5">
            <w:pPr>
              <w:autoSpaceDE w:val="0"/>
              <w:autoSpaceDN w:val="0"/>
              <w:adjustRightInd w:val="0"/>
              <w:snapToGrid w:val="0"/>
              <w:spacing w:line="400" w:lineRule="exact"/>
              <w:jc w:val="left"/>
              <w:rPr>
                <w:rFonts w:ascii="宋体" w:hAnsi="宋体" w:cs="宋体"/>
                <w:kern w:val="0"/>
                <w:sz w:val="24"/>
                <w:szCs w:val="24"/>
              </w:rPr>
            </w:pPr>
          </w:p>
        </w:tc>
      </w:tr>
      <w:tr w14:paraId="23D5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10" w:type="dxa"/>
            <w:noWrap/>
            <w:vAlign w:val="center"/>
          </w:tcPr>
          <w:p w14:paraId="6CB4B56F">
            <w:pPr>
              <w:widowControl/>
              <w:spacing w:line="400" w:lineRule="exact"/>
              <w:jc w:val="center"/>
              <w:rPr>
                <w:rFonts w:ascii="宋体" w:hAnsi="宋体" w:cs="宋体"/>
                <w:sz w:val="24"/>
                <w:szCs w:val="24"/>
              </w:rPr>
            </w:pPr>
            <w:r>
              <w:rPr>
                <w:rFonts w:hint="eastAsia" w:ascii="宋体" w:hAnsi="宋体" w:cs="宋体"/>
                <w:sz w:val="24"/>
                <w:szCs w:val="24"/>
              </w:rPr>
              <w:t>3</w:t>
            </w:r>
          </w:p>
        </w:tc>
        <w:tc>
          <w:tcPr>
            <w:tcW w:w="968" w:type="dxa"/>
            <w:noWrap/>
            <w:vAlign w:val="center"/>
          </w:tcPr>
          <w:p w14:paraId="12218DB8">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02E26D50">
            <w:pPr>
              <w:spacing w:line="400" w:lineRule="exact"/>
              <w:jc w:val="center"/>
              <w:rPr>
                <w:rFonts w:ascii="宋体" w:hAnsi="宋体" w:cs="宋体"/>
                <w:sz w:val="24"/>
                <w:szCs w:val="24"/>
              </w:rPr>
            </w:pPr>
          </w:p>
        </w:tc>
        <w:tc>
          <w:tcPr>
            <w:tcW w:w="736" w:type="dxa"/>
            <w:noWrap/>
            <w:vAlign w:val="center"/>
          </w:tcPr>
          <w:p w14:paraId="3E2C6248">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2108994D">
            <w:pPr>
              <w:autoSpaceDE w:val="0"/>
              <w:autoSpaceDN w:val="0"/>
              <w:adjustRightInd w:val="0"/>
              <w:snapToGrid w:val="0"/>
              <w:spacing w:line="400" w:lineRule="exact"/>
              <w:jc w:val="center"/>
              <w:rPr>
                <w:rFonts w:ascii="宋体" w:hAnsi="宋体" w:cs="宋体"/>
                <w:kern w:val="0"/>
                <w:sz w:val="24"/>
                <w:szCs w:val="24"/>
              </w:rPr>
            </w:pPr>
          </w:p>
        </w:tc>
        <w:tc>
          <w:tcPr>
            <w:tcW w:w="1525" w:type="dxa"/>
            <w:noWrap/>
            <w:vAlign w:val="center"/>
          </w:tcPr>
          <w:p w14:paraId="425F23E2">
            <w:pPr>
              <w:autoSpaceDE w:val="0"/>
              <w:autoSpaceDN w:val="0"/>
              <w:adjustRightInd w:val="0"/>
              <w:snapToGrid w:val="0"/>
              <w:spacing w:line="400" w:lineRule="exact"/>
              <w:jc w:val="center"/>
              <w:rPr>
                <w:rFonts w:ascii="宋体" w:hAnsi="宋体" w:cs="宋体"/>
                <w:kern w:val="0"/>
                <w:sz w:val="24"/>
                <w:szCs w:val="24"/>
              </w:rPr>
            </w:pPr>
          </w:p>
        </w:tc>
        <w:tc>
          <w:tcPr>
            <w:tcW w:w="1965" w:type="dxa"/>
            <w:noWrap/>
            <w:vAlign w:val="center"/>
          </w:tcPr>
          <w:p w14:paraId="685D80EE">
            <w:pPr>
              <w:autoSpaceDE w:val="0"/>
              <w:autoSpaceDN w:val="0"/>
              <w:adjustRightInd w:val="0"/>
              <w:snapToGrid w:val="0"/>
              <w:spacing w:line="400" w:lineRule="exact"/>
              <w:jc w:val="center"/>
              <w:rPr>
                <w:rFonts w:ascii="宋体" w:hAnsi="宋体" w:cs="宋体"/>
                <w:kern w:val="0"/>
                <w:sz w:val="24"/>
                <w:szCs w:val="24"/>
              </w:rPr>
            </w:pPr>
          </w:p>
        </w:tc>
        <w:tc>
          <w:tcPr>
            <w:tcW w:w="3246" w:type="dxa"/>
            <w:noWrap/>
            <w:vAlign w:val="center"/>
          </w:tcPr>
          <w:p w14:paraId="45584E01">
            <w:pPr>
              <w:autoSpaceDE w:val="0"/>
              <w:autoSpaceDN w:val="0"/>
              <w:adjustRightInd w:val="0"/>
              <w:snapToGrid w:val="0"/>
              <w:spacing w:line="400" w:lineRule="exact"/>
              <w:rPr>
                <w:rFonts w:ascii="宋体" w:hAnsi="宋体" w:cs="宋体"/>
                <w:kern w:val="0"/>
                <w:sz w:val="24"/>
                <w:szCs w:val="24"/>
              </w:rPr>
            </w:pPr>
          </w:p>
        </w:tc>
      </w:tr>
      <w:tr w14:paraId="747E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ign w:val="center"/>
          </w:tcPr>
          <w:p w14:paraId="09E103D2">
            <w:pPr>
              <w:widowControl/>
              <w:spacing w:line="400" w:lineRule="exact"/>
              <w:jc w:val="center"/>
              <w:rPr>
                <w:rFonts w:ascii="宋体" w:hAnsi="宋体" w:cs="宋体"/>
                <w:sz w:val="24"/>
                <w:szCs w:val="24"/>
              </w:rPr>
            </w:pPr>
          </w:p>
        </w:tc>
        <w:tc>
          <w:tcPr>
            <w:tcW w:w="968" w:type="dxa"/>
            <w:noWrap/>
            <w:vAlign w:val="center"/>
          </w:tcPr>
          <w:p w14:paraId="3EC29225">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28EA8467">
            <w:pPr>
              <w:spacing w:line="400" w:lineRule="exact"/>
              <w:jc w:val="center"/>
              <w:rPr>
                <w:rFonts w:ascii="宋体" w:hAnsi="宋体" w:cs="宋体"/>
                <w:sz w:val="24"/>
                <w:szCs w:val="24"/>
              </w:rPr>
            </w:pPr>
          </w:p>
        </w:tc>
        <w:tc>
          <w:tcPr>
            <w:tcW w:w="736" w:type="dxa"/>
            <w:noWrap/>
            <w:vAlign w:val="center"/>
          </w:tcPr>
          <w:p w14:paraId="3DC26FE4">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37B75607">
            <w:pPr>
              <w:autoSpaceDE w:val="0"/>
              <w:autoSpaceDN w:val="0"/>
              <w:adjustRightInd w:val="0"/>
              <w:snapToGrid w:val="0"/>
              <w:spacing w:line="400" w:lineRule="exact"/>
              <w:jc w:val="center"/>
              <w:rPr>
                <w:rFonts w:ascii="宋体" w:hAnsi="宋体" w:cs="宋体"/>
                <w:kern w:val="0"/>
                <w:sz w:val="24"/>
                <w:szCs w:val="24"/>
              </w:rPr>
            </w:pPr>
          </w:p>
        </w:tc>
        <w:tc>
          <w:tcPr>
            <w:tcW w:w="1525" w:type="dxa"/>
            <w:noWrap/>
            <w:vAlign w:val="center"/>
          </w:tcPr>
          <w:p w14:paraId="106551AE">
            <w:pPr>
              <w:autoSpaceDE w:val="0"/>
              <w:autoSpaceDN w:val="0"/>
              <w:adjustRightInd w:val="0"/>
              <w:snapToGrid w:val="0"/>
              <w:spacing w:line="400" w:lineRule="exact"/>
              <w:jc w:val="center"/>
              <w:rPr>
                <w:rFonts w:ascii="宋体" w:hAnsi="宋体" w:cs="宋体"/>
                <w:kern w:val="0"/>
                <w:sz w:val="24"/>
                <w:szCs w:val="24"/>
              </w:rPr>
            </w:pPr>
          </w:p>
        </w:tc>
        <w:tc>
          <w:tcPr>
            <w:tcW w:w="1965" w:type="dxa"/>
            <w:noWrap/>
            <w:vAlign w:val="center"/>
          </w:tcPr>
          <w:p w14:paraId="172116F3">
            <w:pPr>
              <w:autoSpaceDE w:val="0"/>
              <w:autoSpaceDN w:val="0"/>
              <w:adjustRightInd w:val="0"/>
              <w:snapToGrid w:val="0"/>
              <w:spacing w:line="400" w:lineRule="exact"/>
              <w:jc w:val="center"/>
              <w:rPr>
                <w:rFonts w:ascii="宋体" w:hAnsi="宋体" w:cs="宋体"/>
                <w:kern w:val="0"/>
                <w:sz w:val="24"/>
                <w:szCs w:val="24"/>
              </w:rPr>
            </w:pPr>
          </w:p>
        </w:tc>
        <w:tc>
          <w:tcPr>
            <w:tcW w:w="3246" w:type="dxa"/>
            <w:noWrap/>
            <w:vAlign w:val="center"/>
          </w:tcPr>
          <w:p w14:paraId="459B81C7">
            <w:pPr>
              <w:autoSpaceDE w:val="0"/>
              <w:autoSpaceDN w:val="0"/>
              <w:adjustRightInd w:val="0"/>
              <w:snapToGrid w:val="0"/>
              <w:spacing w:line="400" w:lineRule="exact"/>
              <w:jc w:val="center"/>
              <w:rPr>
                <w:rFonts w:ascii="宋体" w:hAnsi="宋体" w:cs="宋体"/>
                <w:kern w:val="0"/>
                <w:sz w:val="24"/>
                <w:szCs w:val="24"/>
              </w:rPr>
            </w:pPr>
          </w:p>
        </w:tc>
      </w:tr>
      <w:tr w14:paraId="6041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ign w:val="center"/>
          </w:tcPr>
          <w:p w14:paraId="48949078">
            <w:pPr>
              <w:widowControl/>
              <w:spacing w:line="400" w:lineRule="exact"/>
              <w:jc w:val="center"/>
              <w:rPr>
                <w:rFonts w:ascii="宋体" w:hAnsi="宋体" w:cs="宋体"/>
                <w:sz w:val="24"/>
                <w:szCs w:val="24"/>
              </w:rPr>
            </w:pPr>
          </w:p>
        </w:tc>
        <w:tc>
          <w:tcPr>
            <w:tcW w:w="968" w:type="dxa"/>
            <w:noWrap/>
            <w:vAlign w:val="center"/>
          </w:tcPr>
          <w:p w14:paraId="31F7269C">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07A43D0D">
            <w:pPr>
              <w:spacing w:line="400" w:lineRule="exact"/>
              <w:jc w:val="center"/>
              <w:rPr>
                <w:rFonts w:ascii="宋体" w:hAnsi="宋体" w:cs="宋体"/>
                <w:sz w:val="24"/>
                <w:szCs w:val="24"/>
              </w:rPr>
            </w:pPr>
          </w:p>
        </w:tc>
        <w:tc>
          <w:tcPr>
            <w:tcW w:w="736" w:type="dxa"/>
            <w:noWrap/>
            <w:vAlign w:val="center"/>
          </w:tcPr>
          <w:p w14:paraId="058939DB">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1436A1F2">
            <w:pPr>
              <w:autoSpaceDE w:val="0"/>
              <w:autoSpaceDN w:val="0"/>
              <w:adjustRightInd w:val="0"/>
              <w:snapToGrid w:val="0"/>
              <w:spacing w:line="400" w:lineRule="exact"/>
              <w:jc w:val="center"/>
              <w:rPr>
                <w:rFonts w:ascii="宋体" w:hAnsi="宋体" w:cs="宋体"/>
                <w:kern w:val="0"/>
                <w:sz w:val="24"/>
                <w:szCs w:val="24"/>
              </w:rPr>
            </w:pPr>
          </w:p>
        </w:tc>
        <w:tc>
          <w:tcPr>
            <w:tcW w:w="1525" w:type="dxa"/>
            <w:noWrap/>
            <w:vAlign w:val="center"/>
          </w:tcPr>
          <w:p w14:paraId="11832941">
            <w:pPr>
              <w:autoSpaceDE w:val="0"/>
              <w:autoSpaceDN w:val="0"/>
              <w:adjustRightInd w:val="0"/>
              <w:snapToGrid w:val="0"/>
              <w:spacing w:line="400" w:lineRule="exact"/>
              <w:jc w:val="center"/>
              <w:rPr>
                <w:rFonts w:ascii="宋体" w:hAnsi="宋体" w:cs="宋体"/>
                <w:kern w:val="0"/>
                <w:sz w:val="24"/>
                <w:szCs w:val="24"/>
              </w:rPr>
            </w:pPr>
          </w:p>
        </w:tc>
        <w:tc>
          <w:tcPr>
            <w:tcW w:w="1965" w:type="dxa"/>
            <w:noWrap/>
            <w:vAlign w:val="center"/>
          </w:tcPr>
          <w:p w14:paraId="36D5F26B">
            <w:pPr>
              <w:autoSpaceDE w:val="0"/>
              <w:autoSpaceDN w:val="0"/>
              <w:adjustRightInd w:val="0"/>
              <w:snapToGrid w:val="0"/>
              <w:spacing w:line="400" w:lineRule="exact"/>
              <w:jc w:val="center"/>
              <w:rPr>
                <w:rFonts w:ascii="宋体" w:hAnsi="宋体" w:cs="宋体"/>
                <w:kern w:val="0"/>
                <w:sz w:val="24"/>
                <w:szCs w:val="24"/>
              </w:rPr>
            </w:pPr>
          </w:p>
        </w:tc>
        <w:tc>
          <w:tcPr>
            <w:tcW w:w="3246" w:type="dxa"/>
            <w:noWrap/>
            <w:vAlign w:val="center"/>
          </w:tcPr>
          <w:p w14:paraId="1C6F9D8C">
            <w:pPr>
              <w:autoSpaceDE w:val="0"/>
              <w:autoSpaceDN w:val="0"/>
              <w:adjustRightInd w:val="0"/>
              <w:snapToGrid w:val="0"/>
              <w:spacing w:line="400" w:lineRule="exact"/>
              <w:jc w:val="center"/>
              <w:rPr>
                <w:rFonts w:ascii="宋体" w:hAnsi="宋体" w:cs="宋体"/>
                <w:kern w:val="0"/>
                <w:sz w:val="24"/>
                <w:szCs w:val="24"/>
              </w:rPr>
            </w:pPr>
          </w:p>
        </w:tc>
      </w:tr>
      <w:tr w14:paraId="7C0D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ign w:val="center"/>
          </w:tcPr>
          <w:p w14:paraId="52439C89">
            <w:pPr>
              <w:widowControl/>
              <w:spacing w:line="400" w:lineRule="exact"/>
              <w:jc w:val="center"/>
              <w:rPr>
                <w:rFonts w:ascii="宋体" w:hAnsi="宋体" w:cs="宋体"/>
                <w:sz w:val="24"/>
                <w:szCs w:val="24"/>
              </w:rPr>
            </w:pPr>
          </w:p>
        </w:tc>
        <w:tc>
          <w:tcPr>
            <w:tcW w:w="968" w:type="dxa"/>
            <w:noWrap/>
            <w:vAlign w:val="center"/>
          </w:tcPr>
          <w:p w14:paraId="09DB7AB6">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2D88774D">
            <w:pPr>
              <w:spacing w:line="400" w:lineRule="exact"/>
              <w:jc w:val="center"/>
              <w:rPr>
                <w:rFonts w:ascii="宋体" w:hAnsi="宋体" w:cs="宋体"/>
                <w:sz w:val="24"/>
                <w:szCs w:val="24"/>
              </w:rPr>
            </w:pPr>
          </w:p>
        </w:tc>
        <w:tc>
          <w:tcPr>
            <w:tcW w:w="736" w:type="dxa"/>
            <w:noWrap/>
            <w:vAlign w:val="center"/>
          </w:tcPr>
          <w:p w14:paraId="2FE608CF">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1EB0C3EC">
            <w:pPr>
              <w:autoSpaceDE w:val="0"/>
              <w:autoSpaceDN w:val="0"/>
              <w:adjustRightInd w:val="0"/>
              <w:snapToGrid w:val="0"/>
              <w:spacing w:line="400" w:lineRule="exact"/>
              <w:jc w:val="center"/>
              <w:rPr>
                <w:rFonts w:ascii="宋体" w:hAnsi="宋体" w:cs="宋体"/>
                <w:kern w:val="0"/>
                <w:sz w:val="24"/>
                <w:szCs w:val="24"/>
              </w:rPr>
            </w:pPr>
          </w:p>
        </w:tc>
        <w:tc>
          <w:tcPr>
            <w:tcW w:w="1525" w:type="dxa"/>
            <w:noWrap/>
            <w:vAlign w:val="center"/>
          </w:tcPr>
          <w:p w14:paraId="7E468467">
            <w:pPr>
              <w:autoSpaceDE w:val="0"/>
              <w:autoSpaceDN w:val="0"/>
              <w:adjustRightInd w:val="0"/>
              <w:snapToGrid w:val="0"/>
              <w:spacing w:line="400" w:lineRule="exact"/>
              <w:jc w:val="center"/>
              <w:rPr>
                <w:rFonts w:ascii="宋体" w:hAnsi="宋体" w:cs="宋体"/>
                <w:kern w:val="0"/>
                <w:sz w:val="24"/>
                <w:szCs w:val="24"/>
              </w:rPr>
            </w:pPr>
          </w:p>
        </w:tc>
        <w:tc>
          <w:tcPr>
            <w:tcW w:w="1965" w:type="dxa"/>
            <w:noWrap/>
            <w:vAlign w:val="center"/>
          </w:tcPr>
          <w:p w14:paraId="65FAC38E">
            <w:pPr>
              <w:autoSpaceDE w:val="0"/>
              <w:autoSpaceDN w:val="0"/>
              <w:adjustRightInd w:val="0"/>
              <w:snapToGrid w:val="0"/>
              <w:spacing w:line="400" w:lineRule="exact"/>
              <w:jc w:val="center"/>
              <w:rPr>
                <w:rFonts w:ascii="宋体" w:hAnsi="宋体" w:cs="宋体"/>
                <w:kern w:val="0"/>
                <w:sz w:val="24"/>
                <w:szCs w:val="24"/>
              </w:rPr>
            </w:pPr>
          </w:p>
        </w:tc>
        <w:tc>
          <w:tcPr>
            <w:tcW w:w="3246" w:type="dxa"/>
            <w:noWrap/>
            <w:vAlign w:val="center"/>
          </w:tcPr>
          <w:p w14:paraId="430C83AC">
            <w:pPr>
              <w:autoSpaceDE w:val="0"/>
              <w:autoSpaceDN w:val="0"/>
              <w:adjustRightInd w:val="0"/>
              <w:snapToGrid w:val="0"/>
              <w:spacing w:line="400" w:lineRule="exact"/>
              <w:jc w:val="center"/>
              <w:rPr>
                <w:rFonts w:ascii="宋体" w:hAnsi="宋体" w:cs="宋体"/>
                <w:kern w:val="0"/>
                <w:sz w:val="24"/>
                <w:szCs w:val="24"/>
              </w:rPr>
            </w:pPr>
          </w:p>
        </w:tc>
      </w:tr>
      <w:tr w14:paraId="29EB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ign w:val="center"/>
          </w:tcPr>
          <w:p w14:paraId="4B9C0DBE">
            <w:pPr>
              <w:widowControl/>
              <w:spacing w:line="400" w:lineRule="exact"/>
              <w:jc w:val="center"/>
              <w:rPr>
                <w:rFonts w:ascii="宋体" w:hAnsi="宋体" w:cs="宋体"/>
                <w:sz w:val="24"/>
                <w:szCs w:val="24"/>
              </w:rPr>
            </w:pPr>
          </w:p>
        </w:tc>
        <w:tc>
          <w:tcPr>
            <w:tcW w:w="968" w:type="dxa"/>
            <w:noWrap/>
            <w:vAlign w:val="center"/>
          </w:tcPr>
          <w:p w14:paraId="2ABBC433">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6B53BA0A">
            <w:pPr>
              <w:spacing w:line="400" w:lineRule="exact"/>
              <w:jc w:val="center"/>
              <w:rPr>
                <w:rFonts w:ascii="宋体" w:hAnsi="宋体" w:cs="宋体"/>
                <w:sz w:val="24"/>
                <w:szCs w:val="24"/>
              </w:rPr>
            </w:pPr>
          </w:p>
        </w:tc>
        <w:tc>
          <w:tcPr>
            <w:tcW w:w="736" w:type="dxa"/>
            <w:noWrap/>
            <w:vAlign w:val="center"/>
          </w:tcPr>
          <w:p w14:paraId="10A69F52">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56DD5730">
            <w:pPr>
              <w:autoSpaceDE w:val="0"/>
              <w:autoSpaceDN w:val="0"/>
              <w:adjustRightInd w:val="0"/>
              <w:snapToGrid w:val="0"/>
              <w:spacing w:line="400" w:lineRule="exact"/>
              <w:jc w:val="center"/>
              <w:rPr>
                <w:rFonts w:ascii="宋体" w:hAnsi="宋体" w:cs="宋体"/>
                <w:kern w:val="0"/>
                <w:sz w:val="24"/>
                <w:szCs w:val="24"/>
              </w:rPr>
            </w:pPr>
          </w:p>
        </w:tc>
        <w:tc>
          <w:tcPr>
            <w:tcW w:w="1525" w:type="dxa"/>
            <w:noWrap/>
            <w:vAlign w:val="center"/>
          </w:tcPr>
          <w:p w14:paraId="7DC84DC0">
            <w:pPr>
              <w:autoSpaceDE w:val="0"/>
              <w:autoSpaceDN w:val="0"/>
              <w:adjustRightInd w:val="0"/>
              <w:snapToGrid w:val="0"/>
              <w:spacing w:line="400" w:lineRule="exact"/>
              <w:jc w:val="center"/>
              <w:rPr>
                <w:rFonts w:ascii="宋体" w:hAnsi="宋体" w:cs="宋体"/>
                <w:kern w:val="0"/>
                <w:sz w:val="24"/>
                <w:szCs w:val="24"/>
              </w:rPr>
            </w:pPr>
          </w:p>
        </w:tc>
        <w:tc>
          <w:tcPr>
            <w:tcW w:w="1965" w:type="dxa"/>
            <w:noWrap/>
            <w:vAlign w:val="center"/>
          </w:tcPr>
          <w:p w14:paraId="5D1C72B9">
            <w:pPr>
              <w:autoSpaceDE w:val="0"/>
              <w:autoSpaceDN w:val="0"/>
              <w:adjustRightInd w:val="0"/>
              <w:snapToGrid w:val="0"/>
              <w:spacing w:line="400" w:lineRule="exact"/>
              <w:jc w:val="center"/>
              <w:rPr>
                <w:rFonts w:ascii="宋体" w:hAnsi="宋体" w:cs="宋体"/>
                <w:kern w:val="0"/>
                <w:sz w:val="24"/>
                <w:szCs w:val="24"/>
              </w:rPr>
            </w:pPr>
          </w:p>
        </w:tc>
        <w:tc>
          <w:tcPr>
            <w:tcW w:w="3246" w:type="dxa"/>
            <w:noWrap/>
            <w:vAlign w:val="center"/>
          </w:tcPr>
          <w:p w14:paraId="6859B013">
            <w:pPr>
              <w:autoSpaceDE w:val="0"/>
              <w:autoSpaceDN w:val="0"/>
              <w:adjustRightInd w:val="0"/>
              <w:snapToGrid w:val="0"/>
              <w:spacing w:line="400" w:lineRule="exact"/>
              <w:jc w:val="center"/>
              <w:rPr>
                <w:rFonts w:ascii="宋体" w:hAnsi="宋体" w:cs="宋体"/>
                <w:kern w:val="0"/>
                <w:sz w:val="24"/>
                <w:szCs w:val="24"/>
              </w:rPr>
            </w:pPr>
          </w:p>
        </w:tc>
      </w:tr>
      <w:tr w14:paraId="3776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ign w:val="center"/>
          </w:tcPr>
          <w:p w14:paraId="7DAB4C30">
            <w:pPr>
              <w:widowControl/>
              <w:spacing w:line="400" w:lineRule="exact"/>
              <w:jc w:val="center"/>
              <w:rPr>
                <w:rFonts w:ascii="宋体" w:hAnsi="宋体" w:cs="宋体"/>
                <w:sz w:val="24"/>
                <w:szCs w:val="24"/>
              </w:rPr>
            </w:pPr>
          </w:p>
        </w:tc>
        <w:tc>
          <w:tcPr>
            <w:tcW w:w="968" w:type="dxa"/>
            <w:noWrap/>
            <w:vAlign w:val="center"/>
          </w:tcPr>
          <w:p w14:paraId="6208E9BA">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749BCF1E">
            <w:pPr>
              <w:spacing w:line="400" w:lineRule="exact"/>
              <w:jc w:val="center"/>
              <w:rPr>
                <w:rFonts w:ascii="宋体" w:hAnsi="宋体" w:cs="宋体"/>
                <w:sz w:val="24"/>
                <w:szCs w:val="24"/>
              </w:rPr>
            </w:pPr>
          </w:p>
        </w:tc>
        <w:tc>
          <w:tcPr>
            <w:tcW w:w="736" w:type="dxa"/>
            <w:noWrap/>
            <w:vAlign w:val="center"/>
          </w:tcPr>
          <w:p w14:paraId="68E21F35">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04096AC8">
            <w:pPr>
              <w:autoSpaceDE w:val="0"/>
              <w:autoSpaceDN w:val="0"/>
              <w:adjustRightInd w:val="0"/>
              <w:snapToGrid w:val="0"/>
              <w:spacing w:line="400" w:lineRule="exact"/>
              <w:jc w:val="center"/>
              <w:rPr>
                <w:rFonts w:ascii="宋体" w:hAnsi="宋体" w:cs="宋体"/>
                <w:kern w:val="0"/>
                <w:sz w:val="24"/>
                <w:szCs w:val="24"/>
              </w:rPr>
            </w:pPr>
          </w:p>
        </w:tc>
        <w:tc>
          <w:tcPr>
            <w:tcW w:w="1525" w:type="dxa"/>
            <w:noWrap/>
            <w:vAlign w:val="center"/>
          </w:tcPr>
          <w:p w14:paraId="050668AE">
            <w:pPr>
              <w:autoSpaceDE w:val="0"/>
              <w:autoSpaceDN w:val="0"/>
              <w:adjustRightInd w:val="0"/>
              <w:snapToGrid w:val="0"/>
              <w:spacing w:line="400" w:lineRule="exact"/>
              <w:jc w:val="center"/>
              <w:rPr>
                <w:rFonts w:ascii="宋体" w:hAnsi="宋体" w:cs="宋体"/>
                <w:kern w:val="0"/>
                <w:sz w:val="24"/>
                <w:szCs w:val="24"/>
              </w:rPr>
            </w:pPr>
          </w:p>
        </w:tc>
        <w:tc>
          <w:tcPr>
            <w:tcW w:w="1965" w:type="dxa"/>
            <w:noWrap/>
            <w:vAlign w:val="center"/>
          </w:tcPr>
          <w:p w14:paraId="117B24FE">
            <w:pPr>
              <w:autoSpaceDE w:val="0"/>
              <w:autoSpaceDN w:val="0"/>
              <w:adjustRightInd w:val="0"/>
              <w:snapToGrid w:val="0"/>
              <w:spacing w:line="400" w:lineRule="exact"/>
              <w:jc w:val="center"/>
              <w:rPr>
                <w:rFonts w:ascii="宋体" w:hAnsi="宋体" w:cs="宋体"/>
                <w:kern w:val="0"/>
                <w:sz w:val="24"/>
                <w:szCs w:val="24"/>
              </w:rPr>
            </w:pPr>
          </w:p>
        </w:tc>
        <w:tc>
          <w:tcPr>
            <w:tcW w:w="3246" w:type="dxa"/>
            <w:noWrap/>
            <w:vAlign w:val="center"/>
          </w:tcPr>
          <w:p w14:paraId="4B2B84E2">
            <w:pPr>
              <w:autoSpaceDE w:val="0"/>
              <w:autoSpaceDN w:val="0"/>
              <w:adjustRightInd w:val="0"/>
              <w:snapToGrid w:val="0"/>
              <w:spacing w:line="400" w:lineRule="exact"/>
              <w:jc w:val="center"/>
              <w:rPr>
                <w:rFonts w:ascii="宋体" w:hAnsi="宋体" w:cs="宋体"/>
                <w:kern w:val="0"/>
                <w:sz w:val="24"/>
                <w:szCs w:val="24"/>
              </w:rPr>
            </w:pPr>
          </w:p>
        </w:tc>
      </w:tr>
      <w:tr w14:paraId="5F6C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ign w:val="center"/>
          </w:tcPr>
          <w:p w14:paraId="57D2FDD4">
            <w:pPr>
              <w:widowControl/>
              <w:spacing w:line="400" w:lineRule="exact"/>
              <w:jc w:val="center"/>
              <w:rPr>
                <w:rFonts w:ascii="宋体" w:hAnsi="宋体" w:cs="宋体"/>
                <w:sz w:val="24"/>
                <w:szCs w:val="24"/>
              </w:rPr>
            </w:pPr>
          </w:p>
        </w:tc>
        <w:tc>
          <w:tcPr>
            <w:tcW w:w="968" w:type="dxa"/>
            <w:noWrap/>
            <w:vAlign w:val="center"/>
          </w:tcPr>
          <w:p w14:paraId="15241B3E">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7EAE1682">
            <w:pPr>
              <w:spacing w:line="400" w:lineRule="exact"/>
              <w:jc w:val="center"/>
              <w:rPr>
                <w:rFonts w:ascii="宋体" w:hAnsi="宋体" w:cs="宋体"/>
                <w:sz w:val="24"/>
                <w:szCs w:val="24"/>
              </w:rPr>
            </w:pPr>
          </w:p>
        </w:tc>
        <w:tc>
          <w:tcPr>
            <w:tcW w:w="736" w:type="dxa"/>
            <w:noWrap/>
            <w:vAlign w:val="center"/>
          </w:tcPr>
          <w:p w14:paraId="155327B2">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0A2E76FF">
            <w:pPr>
              <w:autoSpaceDE w:val="0"/>
              <w:autoSpaceDN w:val="0"/>
              <w:adjustRightInd w:val="0"/>
              <w:snapToGrid w:val="0"/>
              <w:spacing w:line="400" w:lineRule="exact"/>
              <w:jc w:val="center"/>
              <w:rPr>
                <w:rFonts w:ascii="宋体" w:hAnsi="宋体" w:cs="宋体"/>
                <w:kern w:val="0"/>
                <w:sz w:val="24"/>
                <w:szCs w:val="24"/>
              </w:rPr>
            </w:pPr>
          </w:p>
        </w:tc>
        <w:tc>
          <w:tcPr>
            <w:tcW w:w="1525" w:type="dxa"/>
            <w:noWrap/>
            <w:vAlign w:val="center"/>
          </w:tcPr>
          <w:p w14:paraId="71D2D3BC">
            <w:pPr>
              <w:autoSpaceDE w:val="0"/>
              <w:autoSpaceDN w:val="0"/>
              <w:adjustRightInd w:val="0"/>
              <w:snapToGrid w:val="0"/>
              <w:spacing w:line="400" w:lineRule="exact"/>
              <w:jc w:val="center"/>
              <w:rPr>
                <w:rFonts w:ascii="宋体" w:hAnsi="宋体" w:cs="宋体"/>
                <w:kern w:val="0"/>
                <w:sz w:val="24"/>
                <w:szCs w:val="24"/>
              </w:rPr>
            </w:pPr>
          </w:p>
        </w:tc>
        <w:tc>
          <w:tcPr>
            <w:tcW w:w="1965" w:type="dxa"/>
            <w:noWrap/>
            <w:vAlign w:val="center"/>
          </w:tcPr>
          <w:p w14:paraId="702F0517">
            <w:pPr>
              <w:autoSpaceDE w:val="0"/>
              <w:autoSpaceDN w:val="0"/>
              <w:adjustRightInd w:val="0"/>
              <w:snapToGrid w:val="0"/>
              <w:spacing w:line="400" w:lineRule="exact"/>
              <w:jc w:val="center"/>
              <w:rPr>
                <w:rFonts w:ascii="宋体" w:hAnsi="宋体" w:cs="宋体"/>
                <w:kern w:val="0"/>
                <w:sz w:val="24"/>
                <w:szCs w:val="24"/>
              </w:rPr>
            </w:pPr>
          </w:p>
        </w:tc>
        <w:tc>
          <w:tcPr>
            <w:tcW w:w="3246" w:type="dxa"/>
            <w:noWrap/>
            <w:vAlign w:val="center"/>
          </w:tcPr>
          <w:p w14:paraId="6FECBD73">
            <w:pPr>
              <w:autoSpaceDE w:val="0"/>
              <w:autoSpaceDN w:val="0"/>
              <w:adjustRightInd w:val="0"/>
              <w:snapToGrid w:val="0"/>
              <w:spacing w:line="400" w:lineRule="exact"/>
              <w:jc w:val="center"/>
              <w:rPr>
                <w:rFonts w:ascii="宋体" w:hAnsi="宋体" w:cs="宋体"/>
                <w:kern w:val="0"/>
                <w:sz w:val="24"/>
                <w:szCs w:val="24"/>
              </w:rPr>
            </w:pPr>
          </w:p>
        </w:tc>
      </w:tr>
      <w:tr w14:paraId="13A6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ign w:val="center"/>
          </w:tcPr>
          <w:p w14:paraId="67A0D165">
            <w:pPr>
              <w:widowControl/>
              <w:spacing w:line="400" w:lineRule="exact"/>
              <w:jc w:val="center"/>
              <w:rPr>
                <w:rFonts w:ascii="宋体" w:hAnsi="宋体" w:cs="宋体"/>
                <w:sz w:val="24"/>
                <w:szCs w:val="24"/>
              </w:rPr>
            </w:pPr>
          </w:p>
        </w:tc>
        <w:tc>
          <w:tcPr>
            <w:tcW w:w="968" w:type="dxa"/>
            <w:noWrap/>
            <w:vAlign w:val="center"/>
          </w:tcPr>
          <w:p w14:paraId="078504A3">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0808990C">
            <w:pPr>
              <w:spacing w:line="400" w:lineRule="exact"/>
              <w:jc w:val="center"/>
              <w:rPr>
                <w:rFonts w:ascii="宋体" w:hAnsi="宋体" w:cs="宋体"/>
                <w:sz w:val="24"/>
                <w:szCs w:val="24"/>
              </w:rPr>
            </w:pPr>
          </w:p>
        </w:tc>
        <w:tc>
          <w:tcPr>
            <w:tcW w:w="736" w:type="dxa"/>
            <w:noWrap/>
            <w:vAlign w:val="center"/>
          </w:tcPr>
          <w:p w14:paraId="2869163A">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3AA0001D">
            <w:pPr>
              <w:autoSpaceDE w:val="0"/>
              <w:autoSpaceDN w:val="0"/>
              <w:adjustRightInd w:val="0"/>
              <w:snapToGrid w:val="0"/>
              <w:spacing w:line="400" w:lineRule="exact"/>
              <w:jc w:val="center"/>
              <w:rPr>
                <w:rFonts w:ascii="宋体" w:hAnsi="宋体" w:cs="宋体"/>
                <w:kern w:val="0"/>
                <w:sz w:val="24"/>
                <w:szCs w:val="24"/>
              </w:rPr>
            </w:pPr>
          </w:p>
        </w:tc>
        <w:tc>
          <w:tcPr>
            <w:tcW w:w="1525" w:type="dxa"/>
            <w:noWrap/>
            <w:vAlign w:val="center"/>
          </w:tcPr>
          <w:p w14:paraId="48E1B2FF">
            <w:pPr>
              <w:autoSpaceDE w:val="0"/>
              <w:autoSpaceDN w:val="0"/>
              <w:adjustRightInd w:val="0"/>
              <w:snapToGrid w:val="0"/>
              <w:spacing w:line="400" w:lineRule="exact"/>
              <w:jc w:val="center"/>
              <w:rPr>
                <w:rFonts w:ascii="宋体" w:hAnsi="宋体" w:cs="宋体"/>
                <w:kern w:val="0"/>
                <w:sz w:val="24"/>
                <w:szCs w:val="24"/>
              </w:rPr>
            </w:pPr>
          </w:p>
        </w:tc>
        <w:tc>
          <w:tcPr>
            <w:tcW w:w="1965" w:type="dxa"/>
            <w:noWrap/>
            <w:vAlign w:val="center"/>
          </w:tcPr>
          <w:p w14:paraId="3959E496">
            <w:pPr>
              <w:autoSpaceDE w:val="0"/>
              <w:autoSpaceDN w:val="0"/>
              <w:adjustRightInd w:val="0"/>
              <w:snapToGrid w:val="0"/>
              <w:spacing w:line="400" w:lineRule="exact"/>
              <w:jc w:val="center"/>
              <w:rPr>
                <w:rFonts w:ascii="宋体" w:hAnsi="宋体" w:cs="宋体"/>
                <w:kern w:val="0"/>
                <w:sz w:val="24"/>
                <w:szCs w:val="24"/>
              </w:rPr>
            </w:pPr>
          </w:p>
        </w:tc>
        <w:tc>
          <w:tcPr>
            <w:tcW w:w="3246" w:type="dxa"/>
            <w:noWrap/>
            <w:vAlign w:val="center"/>
          </w:tcPr>
          <w:p w14:paraId="041A9DD0">
            <w:pPr>
              <w:autoSpaceDE w:val="0"/>
              <w:autoSpaceDN w:val="0"/>
              <w:adjustRightInd w:val="0"/>
              <w:snapToGrid w:val="0"/>
              <w:spacing w:line="400" w:lineRule="exact"/>
              <w:jc w:val="center"/>
              <w:rPr>
                <w:rFonts w:ascii="宋体" w:hAnsi="宋体" w:cs="宋体"/>
                <w:kern w:val="0"/>
                <w:sz w:val="24"/>
                <w:szCs w:val="24"/>
              </w:rPr>
            </w:pPr>
          </w:p>
        </w:tc>
      </w:tr>
      <w:tr w14:paraId="41CD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ign w:val="center"/>
          </w:tcPr>
          <w:p w14:paraId="325FA663">
            <w:pPr>
              <w:widowControl/>
              <w:spacing w:line="400" w:lineRule="exact"/>
              <w:jc w:val="center"/>
              <w:rPr>
                <w:rFonts w:ascii="宋体" w:hAnsi="宋体" w:cs="宋体"/>
                <w:sz w:val="24"/>
                <w:szCs w:val="24"/>
              </w:rPr>
            </w:pPr>
          </w:p>
        </w:tc>
        <w:tc>
          <w:tcPr>
            <w:tcW w:w="968" w:type="dxa"/>
            <w:noWrap/>
            <w:vAlign w:val="center"/>
          </w:tcPr>
          <w:p w14:paraId="76878ECB">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1799B4D8">
            <w:pPr>
              <w:spacing w:line="400" w:lineRule="exact"/>
              <w:jc w:val="center"/>
              <w:rPr>
                <w:rFonts w:ascii="宋体" w:hAnsi="宋体" w:cs="宋体"/>
                <w:sz w:val="24"/>
                <w:szCs w:val="24"/>
              </w:rPr>
            </w:pPr>
          </w:p>
        </w:tc>
        <w:tc>
          <w:tcPr>
            <w:tcW w:w="736" w:type="dxa"/>
            <w:noWrap/>
            <w:vAlign w:val="center"/>
          </w:tcPr>
          <w:p w14:paraId="08507FFC">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5E24DC7C">
            <w:pPr>
              <w:autoSpaceDE w:val="0"/>
              <w:autoSpaceDN w:val="0"/>
              <w:adjustRightInd w:val="0"/>
              <w:snapToGrid w:val="0"/>
              <w:spacing w:line="400" w:lineRule="exact"/>
              <w:jc w:val="center"/>
              <w:rPr>
                <w:rFonts w:ascii="宋体" w:hAnsi="宋体" w:cs="宋体"/>
                <w:kern w:val="0"/>
                <w:sz w:val="24"/>
                <w:szCs w:val="24"/>
              </w:rPr>
            </w:pPr>
          </w:p>
        </w:tc>
        <w:tc>
          <w:tcPr>
            <w:tcW w:w="1525" w:type="dxa"/>
            <w:noWrap/>
            <w:vAlign w:val="center"/>
          </w:tcPr>
          <w:p w14:paraId="3D337E11">
            <w:pPr>
              <w:autoSpaceDE w:val="0"/>
              <w:autoSpaceDN w:val="0"/>
              <w:adjustRightInd w:val="0"/>
              <w:snapToGrid w:val="0"/>
              <w:spacing w:line="400" w:lineRule="exact"/>
              <w:jc w:val="center"/>
              <w:rPr>
                <w:rFonts w:ascii="宋体" w:hAnsi="宋体" w:cs="宋体"/>
                <w:kern w:val="0"/>
                <w:sz w:val="24"/>
                <w:szCs w:val="24"/>
              </w:rPr>
            </w:pPr>
          </w:p>
        </w:tc>
        <w:tc>
          <w:tcPr>
            <w:tcW w:w="1965" w:type="dxa"/>
            <w:noWrap/>
            <w:vAlign w:val="center"/>
          </w:tcPr>
          <w:p w14:paraId="4A6803DE">
            <w:pPr>
              <w:autoSpaceDE w:val="0"/>
              <w:autoSpaceDN w:val="0"/>
              <w:adjustRightInd w:val="0"/>
              <w:snapToGrid w:val="0"/>
              <w:spacing w:line="400" w:lineRule="exact"/>
              <w:jc w:val="center"/>
              <w:rPr>
                <w:rFonts w:ascii="宋体" w:hAnsi="宋体" w:cs="宋体"/>
                <w:kern w:val="0"/>
                <w:sz w:val="24"/>
                <w:szCs w:val="24"/>
              </w:rPr>
            </w:pPr>
          </w:p>
        </w:tc>
        <w:tc>
          <w:tcPr>
            <w:tcW w:w="3246" w:type="dxa"/>
            <w:noWrap/>
            <w:vAlign w:val="center"/>
          </w:tcPr>
          <w:p w14:paraId="7F64BD3E">
            <w:pPr>
              <w:autoSpaceDE w:val="0"/>
              <w:autoSpaceDN w:val="0"/>
              <w:adjustRightInd w:val="0"/>
              <w:snapToGrid w:val="0"/>
              <w:spacing w:line="400" w:lineRule="exact"/>
              <w:jc w:val="center"/>
              <w:rPr>
                <w:rFonts w:ascii="宋体" w:hAnsi="宋体" w:cs="宋体"/>
                <w:kern w:val="0"/>
                <w:sz w:val="24"/>
                <w:szCs w:val="24"/>
              </w:rPr>
            </w:pPr>
          </w:p>
        </w:tc>
      </w:tr>
      <w:tr w14:paraId="4ACF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ign w:val="center"/>
          </w:tcPr>
          <w:p w14:paraId="6301F1A2">
            <w:pPr>
              <w:widowControl/>
              <w:spacing w:line="400" w:lineRule="exact"/>
              <w:jc w:val="center"/>
              <w:rPr>
                <w:rFonts w:ascii="宋体" w:hAnsi="宋体" w:cs="宋体"/>
                <w:sz w:val="24"/>
                <w:szCs w:val="24"/>
              </w:rPr>
            </w:pPr>
          </w:p>
        </w:tc>
        <w:tc>
          <w:tcPr>
            <w:tcW w:w="968" w:type="dxa"/>
            <w:noWrap/>
            <w:vAlign w:val="center"/>
          </w:tcPr>
          <w:p w14:paraId="25EDF8D3">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699AC355">
            <w:pPr>
              <w:spacing w:line="400" w:lineRule="exact"/>
              <w:jc w:val="center"/>
              <w:rPr>
                <w:rFonts w:ascii="宋体" w:hAnsi="宋体" w:cs="宋体"/>
                <w:sz w:val="24"/>
                <w:szCs w:val="24"/>
              </w:rPr>
            </w:pPr>
          </w:p>
        </w:tc>
        <w:tc>
          <w:tcPr>
            <w:tcW w:w="736" w:type="dxa"/>
            <w:noWrap/>
            <w:vAlign w:val="center"/>
          </w:tcPr>
          <w:p w14:paraId="2B27C565">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69246B22">
            <w:pPr>
              <w:autoSpaceDE w:val="0"/>
              <w:autoSpaceDN w:val="0"/>
              <w:adjustRightInd w:val="0"/>
              <w:snapToGrid w:val="0"/>
              <w:spacing w:line="400" w:lineRule="exact"/>
              <w:jc w:val="center"/>
              <w:rPr>
                <w:rFonts w:ascii="宋体" w:hAnsi="宋体" w:cs="宋体"/>
                <w:kern w:val="0"/>
                <w:sz w:val="24"/>
                <w:szCs w:val="24"/>
              </w:rPr>
            </w:pPr>
          </w:p>
        </w:tc>
        <w:tc>
          <w:tcPr>
            <w:tcW w:w="1525" w:type="dxa"/>
            <w:noWrap/>
            <w:vAlign w:val="center"/>
          </w:tcPr>
          <w:p w14:paraId="284FEB18">
            <w:pPr>
              <w:autoSpaceDE w:val="0"/>
              <w:autoSpaceDN w:val="0"/>
              <w:adjustRightInd w:val="0"/>
              <w:snapToGrid w:val="0"/>
              <w:spacing w:line="400" w:lineRule="exact"/>
              <w:jc w:val="center"/>
              <w:rPr>
                <w:rFonts w:ascii="宋体" w:hAnsi="宋体" w:cs="宋体"/>
                <w:kern w:val="0"/>
                <w:sz w:val="24"/>
                <w:szCs w:val="24"/>
              </w:rPr>
            </w:pPr>
          </w:p>
        </w:tc>
        <w:tc>
          <w:tcPr>
            <w:tcW w:w="1965" w:type="dxa"/>
            <w:noWrap/>
            <w:vAlign w:val="center"/>
          </w:tcPr>
          <w:p w14:paraId="2F59BDBE">
            <w:pPr>
              <w:autoSpaceDE w:val="0"/>
              <w:autoSpaceDN w:val="0"/>
              <w:adjustRightInd w:val="0"/>
              <w:snapToGrid w:val="0"/>
              <w:spacing w:line="400" w:lineRule="exact"/>
              <w:jc w:val="center"/>
              <w:rPr>
                <w:rFonts w:ascii="宋体" w:hAnsi="宋体" w:cs="宋体"/>
                <w:kern w:val="0"/>
                <w:sz w:val="24"/>
                <w:szCs w:val="24"/>
              </w:rPr>
            </w:pPr>
          </w:p>
        </w:tc>
        <w:tc>
          <w:tcPr>
            <w:tcW w:w="3246" w:type="dxa"/>
            <w:noWrap/>
            <w:vAlign w:val="center"/>
          </w:tcPr>
          <w:p w14:paraId="75CFB635">
            <w:pPr>
              <w:autoSpaceDE w:val="0"/>
              <w:autoSpaceDN w:val="0"/>
              <w:adjustRightInd w:val="0"/>
              <w:snapToGrid w:val="0"/>
              <w:spacing w:line="400" w:lineRule="exact"/>
              <w:jc w:val="center"/>
              <w:rPr>
                <w:rFonts w:ascii="宋体" w:hAnsi="宋体" w:cs="宋体"/>
                <w:kern w:val="0"/>
                <w:sz w:val="24"/>
                <w:szCs w:val="24"/>
              </w:rPr>
            </w:pPr>
          </w:p>
        </w:tc>
      </w:tr>
      <w:tr w14:paraId="74EF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ign w:val="center"/>
          </w:tcPr>
          <w:p w14:paraId="5BE9AEF2">
            <w:pPr>
              <w:widowControl/>
              <w:spacing w:line="400" w:lineRule="exact"/>
              <w:jc w:val="center"/>
              <w:rPr>
                <w:rFonts w:ascii="宋体" w:hAnsi="宋体" w:cs="宋体"/>
                <w:sz w:val="24"/>
                <w:szCs w:val="24"/>
              </w:rPr>
            </w:pPr>
          </w:p>
        </w:tc>
        <w:tc>
          <w:tcPr>
            <w:tcW w:w="968" w:type="dxa"/>
            <w:noWrap/>
            <w:vAlign w:val="center"/>
          </w:tcPr>
          <w:p w14:paraId="0464B432">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5A9B2D7F">
            <w:pPr>
              <w:spacing w:line="400" w:lineRule="exact"/>
              <w:jc w:val="center"/>
              <w:rPr>
                <w:rFonts w:ascii="宋体" w:hAnsi="宋体" w:cs="宋体"/>
                <w:sz w:val="24"/>
                <w:szCs w:val="24"/>
              </w:rPr>
            </w:pPr>
          </w:p>
        </w:tc>
        <w:tc>
          <w:tcPr>
            <w:tcW w:w="736" w:type="dxa"/>
            <w:noWrap/>
            <w:vAlign w:val="center"/>
          </w:tcPr>
          <w:p w14:paraId="65D37B02">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3C850F49">
            <w:pPr>
              <w:autoSpaceDE w:val="0"/>
              <w:autoSpaceDN w:val="0"/>
              <w:adjustRightInd w:val="0"/>
              <w:snapToGrid w:val="0"/>
              <w:spacing w:line="400" w:lineRule="exact"/>
              <w:jc w:val="center"/>
              <w:rPr>
                <w:rFonts w:ascii="宋体" w:hAnsi="宋体" w:cs="宋体"/>
                <w:kern w:val="0"/>
                <w:sz w:val="24"/>
                <w:szCs w:val="24"/>
              </w:rPr>
            </w:pPr>
          </w:p>
        </w:tc>
        <w:tc>
          <w:tcPr>
            <w:tcW w:w="1525" w:type="dxa"/>
            <w:noWrap/>
            <w:vAlign w:val="center"/>
          </w:tcPr>
          <w:p w14:paraId="7399179C">
            <w:pPr>
              <w:autoSpaceDE w:val="0"/>
              <w:autoSpaceDN w:val="0"/>
              <w:adjustRightInd w:val="0"/>
              <w:snapToGrid w:val="0"/>
              <w:spacing w:line="400" w:lineRule="exact"/>
              <w:jc w:val="center"/>
              <w:rPr>
                <w:rFonts w:ascii="宋体" w:hAnsi="宋体" w:cs="宋体"/>
                <w:kern w:val="0"/>
                <w:sz w:val="24"/>
                <w:szCs w:val="24"/>
              </w:rPr>
            </w:pPr>
          </w:p>
        </w:tc>
        <w:tc>
          <w:tcPr>
            <w:tcW w:w="1965" w:type="dxa"/>
            <w:noWrap/>
            <w:vAlign w:val="center"/>
          </w:tcPr>
          <w:p w14:paraId="7AEC5818">
            <w:pPr>
              <w:autoSpaceDE w:val="0"/>
              <w:autoSpaceDN w:val="0"/>
              <w:adjustRightInd w:val="0"/>
              <w:snapToGrid w:val="0"/>
              <w:spacing w:line="400" w:lineRule="exact"/>
              <w:jc w:val="center"/>
              <w:rPr>
                <w:rFonts w:ascii="宋体" w:hAnsi="宋体" w:cs="宋体"/>
                <w:kern w:val="0"/>
                <w:sz w:val="24"/>
                <w:szCs w:val="24"/>
              </w:rPr>
            </w:pPr>
          </w:p>
        </w:tc>
        <w:tc>
          <w:tcPr>
            <w:tcW w:w="3246" w:type="dxa"/>
            <w:noWrap/>
            <w:vAlign w:val="center"/>
          </w:tcPr>
          <w:p w14:paraId="6726BEF5">
            <w:pPr>
              <w:autoSpaceDE w:val="0"/>
              <w:autoSpaceDN w:val="0"/>
              <w:adjustRightInd w:val="0"/>
              <w:snapToGrid w:val="0"/>
              <w:spacing w:line="400" w:lineRule="exact"/>
              <w:jc w:val="center"/>
              <w:rPr>
                <w:rFonts w:ascii="宋体" w:hAnsi="宋体" w:cs="宋体"/>
                <w:kern w:val="0"/>
                <w:sz w:val="24"/>
                <w:szCs w:val="24"/>
              </w:rPr>
            </w:pPr>
          </w:p>
        </w:tc>
      </w:tr>
      <w:tr w14:paraId="3005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ign w:val="center"/>
          </w:tcPr>
          <w:p w14:paraId="0222EC1C">
            <w:pPr>
              <w:widowControl/>
              <w:spacing w:line="400" w:lineRule="exact"/>
              <w:jc w:val="center"/>
              <w:rPr>
                <w:rFonts w:ascii="宋体" w:hAnsi="宋体" w:cs="宋体"/>
                <w:sz w:val="24"/>
                <w:szCs w:val="24"/>
              </w:rPr>
            </w:pPr>
          </w:p>
        </w:tc>
        <w:tc>
          <w:tcPr>
            <w:tcW w:w="968" w:type="dxa"/>
            <w:noWrap/>
            <w:vAlign w:val="center"/>
          </w:tcPr>
          <w:p w14:paraId="4124658E">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3577C6E2">
            <w:pPr>
              <w:spacing w:line="400" w:lineRule="exact"/>
              <w:jc w:val="center"/>
              <w:rPr>
                <w:rFonts w:ascii="宋体" w:hAnsi="宋体" w:cs="宋体"/>
                <w:sz w:val="24"/>
                <w:szCs w:val="24"/>
              </w:rPr>
            </w:pPr>
          </w:p>
        </w:tc>
        <w:tc>
          <w:tcPr>
            <w:tcW w:w="736" w:type="dxa"/>
            <w:noWrap/>
            <w:vAlign w:val="center"/>
          </w:tcPr>
          <w:p w14:paraId="5521DE2C">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7A7A9EE9">
            <w:pPr>
              <w:autoSpaceDE w:val="0"/>
              <w:autoSpaceDN w:val="0"/>
              <w:adjustRightInd w:val="0"/>
              <w:snapToGrid w:val="0"/>
              <w:spacing w:line="400" w:lineRule="exact"/>
              <w:jc w:val="center"/>
              <w:rPr>
                <w:rFonts w:ascii="宋体" w:hAnsi="宋体" w:cs="宋体"/>
                <w:kern w:val="0"/>
                <w:sz w:val="24"/>
                <w:szCs w:val="24"/>
              </w:rPr>
            </w:pPr>
          </w:p>
        </w:tc>
        <w:tc>
          <w:tcPr>
            <w:tcW w:w="1525" w:type="dxa"/>
            <w:noWrap/>
            <w:vAlign w:val="center"/>
          </w:tcPr>
          <w:p w14:paraId="55B415EE">
            <w:pPr>
              <w:autoSpaceDE w:val="0"/>
              <w:autoSpaceDN w:val="0"/>
              <w:adjustRightInd w:val="0"/>
              <w:snapToGrid w:val="0"/>
              <w:spacing w:line="400" w:lineRule="exact"/>
              <w:jc w:val="center"/>
              <w:rPr>
                <w:rFonts w:ascii="宋体" w:hAnsi="宋体" w:cs="宋体"/>
                <w:kern w:val="0"/>
                <w:sz w:val="24"/>
                <w:szCs w:val="24"/>
              </w:rPr>
            </w:pPr>
          </w:p>
        </w:tc>
        <w:tc>
          <w:tcPr>
            <w:tcW w:w="1965" w:type="dxa"/>
            <w:noWrap/>
            <w:vAlign w:val="center"/>
          </w:tcPr>
          <w:p w14:paraId="6355164D">
            <w:pPr>
              <w:autoSpaceDE w:val="0"/>
              <w:autoSpaceDN w:val="0"/>
              <w:adjustRightInd w:val="0"/>
              <w:snapToGrid w:val="0"/>
              <w:spacing w:line="400" w:lineRule="exact"/>
              <w:jc w:val="center"/>
              <w:rPr>
                <w:rFonts w:ascii="宋体" w:hAnsi="宋体" w:cs="宋体"/>
                <w:kern w:val="0"/>
                <w:sz w:val="24"/>
                <w:szCs w:val="24"/>
              </w:rPr>
            </w:pPr>
          </w:p>
        </w:tc>
        <w:tc>
          <w:tcPr>
            <w:tcW w:w="3246" w:type="dxa"/>
            <w:noWrap/>
            <w:vAlign w:val="center"/>
          </w:tcPr>
          <w:p w14:paraId="4E6EECA4">
            <w:pPr>
              <w:autoSpaceDE w:val="0"/>
              <w:autoSpaceDN w:val="0"/>
              <w:adjustRightInd w:val="0"/>
              <w:snapToGrid w:val="0"/>
              <w:spacing w:line="400" w:lineRule="exact"/>
              <w:jc w:val="center"/>
              <w:rPr>
                <w:rFonts w:ascii="宋体" w:hAnsi="宋体" w:cs="宋体"/>
                <w:kern w:val="0"/>
                <w:sz w:val="24"/>
                <w:szCs w:val="24"/>
              </w:rPr>
            </w:pPr>
          </w:p>
        </w:tc>
      </w:tr>
      <w:tr w14:paraId="25EC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ign w:val="center"/>
          </w:tcPr>
          <w:p w14:paraId="7376C294">
            <w:pPr>
              <w:widowControl/>
              <w:spacing w:line="400" w:lineRule="exact"/>
              <w:jc w:val="center"/>
              <w:rPr>
                <w:rFonts w:ascii="宋体" w:hAnsi="宋体" w:cs="宋体"/>
                <w:sz w:val="24"/>
                <w:szCs w:val="24"/>
              </w:rPr>
            </w:pPr>
          </w:p>
        </w:tc>
        <w:tc>
          <w:tcPr>
            <w:tcW w:w="968" w:type="dxa"/>
            <w:noWrap/>
            <w:vAlign w:val="center"/>
          </w:tcPr>
          <w:p w14:paraId="552F689E">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1B4DE28A">
            <w:pPr>
              <w:spacing w:line="400" w:lineRule="exact"/>
              <w:jc w:val="center"/>
              <w:rPr>
                <w:rFonts w:ascii="宋体" w:hAnsi="宋体" w:cs="宋体"/>
                <w:sz w:val="24"/>
                <w:szCs w:val="24"/>
              </w:rPr>
            </w:pPr>
          </w:p>
        </w:tc>
        <w:tc>
          <w:tcPr>
            <w:tcW w:w="736" w:type="dxa"/>
            <w:noWrap/>
            <w:vAlign w:val="center"/>
          </w:tcPr>
          <w:p w14:paraId="22EB977A">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7A59349B">
            <w:pPr>
              <w:autoSpaceDE w:val="0"/>
              <w:autoSpaceDN w:val="0"/>
              <w:adjustRightInd w:val="0"/>
              <w:snapToGrid w:val="0"/>
              <w:spacing w:line="400" w:lineRule="exact"/>
              <w:jc w:val="center"/>
              <w:rPr>
                <w:rFonts w:ascii="宋体" w:hAnsi="宋体" w:cs="宋体"/>
                <w:kern w:val="0"/>
                <w:sz w:val="24"/>
                <w:szCs w:val="24"/>
              </w:rPr>
            </w:pPr>
          </w:p>
        </w:tc>
        <w:tc>
          <w:tcPr>
            <w:tcW w:w="1525" w:type="dxa"/>
            <w:noWrap/>
            <w:vAlign w:val="center"/>
          </w:tcPr>
          <w:p w14:paraId="310D5C25">
            <w:pPr>
              <w:autoSpaceDE w:val="0"/>
              <w:autoSpaceDN w:val="0"/>
              <w:adjustRightInd w:val="0"/>
              <w:snapToGrid w:val="0"/>
              <w:spacing w:line="400" w:lineRule="exact"/>
              <w:jc w:val="center"/>
              <w:rPr>
                <w:rFonts w:ascii="宋体" w:hAnsi="宋体" w:cs="宋体"/>
                <w:kern w:val="0"/>
                <w:sz w:val="24"/>
                <w:szCs w:val="24"/>
              </w:rPr>
            </w:pPr>
          </w:p>
        </w:tc>
        <w:tc>
          <w:tcPr>
            <w:tcW w:w="1965" w:type="dxa"/>
            <w:noWrap/>
            <w:vAlign w:val="center"/>
          </w:tcPr>
          <w:p w14:paraId="56DC7EC2">
            <w:pPr>
              <w:autoSpaceDE w:val="0"/>
              <w:autoSpaceDN w:val="0"/>
              <w:adjustRightInd w:val="0"/>
              <w:snapToGrid w:val="0"/>
              <w:spacing w:line="400" w:lineRule="exact"/>
              <w:jc w:val="center"/>
              <w:rPr>
                <w:rFonts w:ascii="宋体" w:hAnsi="宋体" w:cs="宋体"/>
                <w:kern w:val="0"/>
                <w:sz w:val="24"/>
                <w:szCs w:val="24"/>
              </w:rPr>
            </w:pPr>
          </w:p>
        </w:tc>
        <w:tc>
          <w:tcPr>
            <w:tcW w:w="3246" w:type="dxa"/>
            <w:noWrap/>
            <w:vAlign w:val="center"/>
          </w:tcPr>
          <w:p w14:paraId="0A48C5DC">
            <w:pPr>
              <w:autoSpaceDE w:val="0"/>
              <w:autoSpaceDN w:val="0"/>
              <w:adjustRightInd w:val="0"/>
              <w:snapToGrid w:val="0"/>
              <w:spacing w:line="400" w:lineRule="exact"/>
              <w:jc w:val="center"/>
              <w:rPr>
                <w:rFonts w:ascii="宋体" w:hAnsi="宋体" w:cs="宋体"/>
                <w:kern w:val="0"/>
                <w:sz w:val="24"/>
                <w:szCs w:val="24"/>
              </w:rPr>
            </w:pPr>
          </w:p>
        </w:tc>
      </w:tr>
      <w:tr w14:paraId="7F86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ign w:val="center"/>
          </w:tcPr>
          <w:p w14:paraId="5865CF25">
            <w:pPr>
              <w:widowControl/>
              <w:spacing w:line="400" w:lineRule="exact"/>
              <w:jc w:val="center"/>
              <w:rPr>
                <w:rFonts w:ascii="宋体" w:hAnsi="宋体" w:cs="宋体"/>
                <w:sz w:val="24"/>
                <w:szCs w:val="24"/>
              </w:rPr>
            </w:pPr>
          </w:p>
        </w:tc>
        <w:tc>
          <w:tcPr>
            <w:tcW w:w="968" w:type="dxa"/>
            <w:noWrap/>
            <w:vAlign w:val="center"/>
          </w:tcPr>
          <w:p w14:paraId="0DB1D849">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3DA8B0F8">
            <w:pPr>
              <w:spacing w:line="400" w:lineRule="exact"/>
              <w:jc w:val="center"/>
              <w:rPr>
                <w:rFonts w:ascii="宋体" w:hAnsi="宋体" w:cs="宋体"/>
                <w:sz w:val="24"/>
                <w:szCs w:val="24"/>
              </w:rPr>
            </w:pPr>
          </w:p>
        </w:tc>
        <w:tc>
          <w:tcPr>
            <w:tcW w:w="736" w:type="dxa"/>
            <w:noWrap/>
            <w:vAlign w:val="center"/>
          </w:tcPr>
          <w:p w14:paraId="7BF55BB1">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0894EC6C">
            <w:pPr>
              <w:autoSpaceDE w:val="0"/>
              <w:autoSpaceDN w:val="0"/>
              <w:adjustRightInd w:val="0"/>
              <w:snapToGrid w:val="0"/>
              <w:spacing w:line="400" w:lineRule="exact"/>
              <w:jc w:val="center"/>
              <w:rPr>
                <w:rFonts w:ascii="宋体" w:hAnsi="宋体" w:cs="宋体"/>
                <w:kern w:val="0"/>
                <w:sz w:val="24"/>
                <w:szCs w:val="24"/>
              </w:rPr>
            </w:pPr>
          </w:p>
        </w:tc>
        <w:tc>
          <w:tcPr>
            <w:tcW w:w="1525" w:type="dxa"/>
            <w:noWrap/>
            <w:vAlign w:val="center"/>
          </w:tcPr>
          <w:p w14:paraId="3C4B7237">
            <w:pPr>
              <w:autoSpaceDE w:val="0"/>
              <w:autoSpaceDN w:val="0"/>
              <w:adjustRightInd w:val="0"/>
              <w:snapToGrid w:val="0"/>
              <w:spacing w:line="400" w:lineRule="exact"/>
              <w:jc w:val="center"/>
              <w:rPr>
                <w:rFonts w:ascii="宋体" w:hAnsi="宋体" w:cs="宋体"/>
                <w:kern w:val="0"/>
                <w:sz w:val="24"/>
                <w:szCs w:val="24"/>
              </w:rPr>
            </w:pPr>
          </w:p>
        </w:tc>
        <w:tc>
          <w:tcPr>
            <w:tcW w:w="1965" w:type="dxa"/>
            <w:noWrap/>
            <w:vAlign w:val="center"/>
          </w:tcPr>
          <w:p w14:paraId="4A9C96D3">
            <w:pPr>
              <w:autoSpaceDE w:val="0"/>
              <w:autoSpaceDN w:val="0"/>
              <w:adjustRightInd w:val="0"/>
              <w:snapToGrid w:val="0"/>
              <w:spacing w:line="400" w:lineRule="exact"/>
              <w:jc w:val="center"/>
              <w:rPr>
                <w:rFonts w:ascii="宋体" w:hAnsi="宋体" w:cs="宋体"/>
                <w:kern w:val="0"/>
                <w:sz w:val="24"/>
                <w:szCs w:val="24"/>
              </w:rPr>
            </w:pPr>
          </w:p>
        </w:tc>
        <w:tc>
          <w:tcPr>
            <w:tcW w:w="3246" w:type="dxa"/>
            <w:noWrap/>
            <w:vAlign w:val="center"/>
          </w:tcPr>
          <w:p w14:paraId="6BC9E190">
            <w:pPr>
              <w:autoSpaceDE w:val="0"/>
              <w:autoSpaceDN w:val="0"/>
              <w:adjustRightInd w:val="0"/>
              <w:snapToGrid w:val="0"/>
              <w:spacing w:line="400" w:lineRule="exact"/>
              <w:jc w:val="center"/>
              <w:rPr>
                <w:rFonts w:ascii="宋体" w:hAnsi="宋体" w:cs="宋体"/>
                <w:kern w:val="0"/>
                <w:sz w:val="24"/>
                <w:szCs w:val="24"/>
              </w:rPr>
            </w:pPr>
          </w:p>
        </w:tc>
      </w:tr>
      <w:tr w14:paraId="1EBA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ign w:val="center"/>
          </w:tcPr>
          <w:p w14:paraId="6B442CC4">
            <w:pPr>
              <w:widowControl/>
              <w:spacing w:line="400" w:lineRule="exact"/>
              <w:jc w:val="center"/>
              <w:rPr>
                <w:rFonts w:ascii="宋体" w:hAnsi="宋体" w:cs="宋体"/>
                <w:sz w:val="24"/>
                <w:szCs w:val="24"/>
              </w:rPr>
            </w:pPr>
          </w:p>
        </w:tc>
        <w:tc>
          <w:tcPr>
            <w:tcW w:w="968" w:type="dxa"/>
            <w:noWrap/>
            <w:vAlign w:val="center"/>
          </w:tcPr>
          <w:p w14:paraId="6EC6CCDB">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45986DA3">
            <w:pPr>
              <w:spacing w:line="400" w:lineRule="exact"/>
              <w:jc w:val="center"/>
              <w:rPr>
                <w:rFonts w:ascii="宋体" w:hAnsi="宋体" w:cs="宋体"/>
                <w:sz w:val="24"/>
                <w:szCs w:val="24"/>
              </w:rPr>
            </w:pPr>
          </w:p>
        </w:tc>
        <w:tc>
          <w:tcPr>
            <w:tcW w:w="736" w:type="dxa"/>
            <w:noWrap/>
            <w:vAlign w:val="center"/>
          </w:tcPr>
          <w:p w14:paraId="40ED042B">
            <w:pPr>
              <w:autoSpaceDE w:val="0"/>
              <w:autoSpaceDN w:val="0"/>
              <w:adjustRightInd w:val="0"/>
              <w:snapToGrid w:val="0"/>
              <w:spacing w:line="400" w:lineRule="exact"/>
              <w:jc w:val="center"/>
              <w:rPr>
                <w:rFonts w:ascii="宋体" w:hAnsi="宋体" w:cs="宋体"/>
                <w:kern w:val="0"/>
                <w:sz w:val="24"/>
                <w:szCs w:val="24"/>
              </w:rPr>
            </w:pPr>
          </w:p>
        </w:tc>
        <w:tc>
          <w:tcPr>
            <w:tcW w:w="723" w:type="dxa"/>
            <w:noWrap/>
            <w:vAlign w:val="center"/>
          </w:tcPr>
          <w:p w14:paraId="31CDCE11">
            <w:pPr>
              <w:autoSpaceDE w:val="0"/>
              <w:autoSpaceDN w:val="0"/>
              <w:adjustRightInd w:val="0"/>
              <w:snapToGrid w:val="0"/>
              <w:spacing w:line="400" w:lineRule="exact"/>
              <w:jc w:val="center"/>
              <w:rPr>
                <w:rFonts w:ascii="宋体" w:hAnsi="宋体" w:cs="宋体"/>
                <w:kern w:val="0"/>
                <w:sz w:val="24"/>
                <w:szCs w:val="24"/>
              </w:rPr>
            </w:pPr>
          </w:p>
        </w:tc>
        <w:tc>
          <w:tcPr>
            <w:tcW w:w="1525" w:type="dxa"/>
            <w:noWrap/>
            <w:vAlign w:val="center"/>
          </w:tcPr>
          <w:p w14:paraId="25901B6A">
            <w:pPr>
              <w:autoSpaceDE w:val="0"/>
              <w:autoSpaceDN w:val="0"/>
              <w:adjustRightInd w:val="0"/>
              <w:snapToGrid w:val="0"/>
              <w:spacing w:line="400" w:lineRule="exact"/>
              <w:jc w:val="center"/>
              <w:rPr>
                <w:rFonts w:ascii="宋体" w:hAnsi="宋体" w:cs="宋体"/>
                <w:kern w:val="0"/>
                <w:sz w:val="24"/>
                <w:szCs w:val="24"/>
              </w:rPr>
            </w:pPr>
          </w:p>
        </w:tc>
        <w:tc>
          <w:tcPr>
            <w:tcW w:w="1965" w:type="dxa"/>
            <w:noWrap/>
            <w:vAlign w:val="center"/>
          </w:tcPr>
          <w:p w14:paraId="3A8A326B">
            <w:pPr>
              <w:autoSpaceDE w:val="0"/>
              <w:autoSpaceDN w:val="0"/>
              <w:adjustRightInd w:val="0"/>
              <w:snapToGrid w:val="0"/>
              <w:spacing w:line="400" w:lineRule="exact"/>
              <w:jc w:val="center"/>
              <w:rPr>
                <w:rFonts w:ascii="宋体" w:hAnsi="宋体" w:cs="宋体"/>
                <w:kern w:val="0"/>
                <w:sz w:val="24"/>
                <w:szCs w:val="24"/>
              </w:rPr>
            </w:pPr>
          </w:p>
        </w:tc>
        <w:tc>
          <w:tcPr>
            <w:tcW w:w="3246" w:type="dxa"/>
            <w:noWrap/>
            <w:vAlign w:val="center"/>
          </w:tcPr>
          <w:p w14:paraId="770055F7">
            <w:pPr>
              <w:autoSpaceDE w:val="0"/>
              <w:autoSpaceDN w:val="0"/>
              <w:adjustRightInd w:val="0"/>
              <w:snapToGrid w:val="0"/>
              <w:spacing w:line="400" w:lineRule="exact"/>
              <w:jc w:val="center"/>
              <w:rPr>
                <w:rFonts w:ascii="宋体" w:hAnsi="宋体" w:cs="宋体"/>
                <w:kern w:val="0"/>
                <w:sz w:val="24"/>
                <w:szCs w:val="24"/>
              </w:rPr>
            </w:pPr>
          </w:p>
        </w:tc>
      </w:tr>
    </w:tbl>
    <w:p w14:paraId="42EFD18D">
      <w:pPr>
        <w:tabs>
          <w:tab w:val="left" w:pos="3120"/>
        </w:tabs>
        <w:spacing w:line="360" w:lineRule="auto"/>
        <w:jc w:val="center"/>
        <w:rPr>
          <w:rFonts w:ascii="宋体" w:hAnsi="宋体" w:cs="宋体"/>
          <w:b/>
          <w:bCs/>
          <w:sz w:val="24"/>
          <w:szCs w:val="24"/>
        </w:rPr>
      </w:pPr>
    </w:p>
    <w:p w14:paraId="47B56C0C">
      <w:pPr>
        <w:widowControl/>
        <w:spacing w:line="360" w:lineRule="auto"/>
        <w:jc w:val="left"/>
        <w:rPr>
          <w:rFonts w:ascii="宋体" w:hAnsi="宋体" w:cs="宋体"/>
          <w:sz w:val="24"/>
          <w:szCs w:val="24"/>
        </w:rPr>
      </w:pPr>
      <w:r>
        <w:rPr>
          <w:rFonts w:hint="eastAsia" w:ascii="宋体" w:hAnsi="宋体" w:cs="宋体"/>
          <w:b/>
          <w:bCs/>
          <w:sz w:val="24"/>
          <w:szCs w:val="24"/>
        </w:rPr>
        <w:br w:type="page"/>
      </w:r>
      <w:bookmarkStart w:id="358" w:name="_Toc536709900"/>
      <w:bookmarkStart w:id="359" w:name="_Toc531678513"/>
      <w:bookmarkStart w:id="360" w:name="_Toc536778421"/>
      <w:r>
        <w:rPr>
          <w:rFonts w:hint="eastAsia" w:ascii="宋体" w:hAnsi="宋体" w:cs="宋体"/>
          <w:sz w:val="24"/>
          <w:szCs w:val="24"/>
        </w:rPr>
        <w:t>附件三 廉洁从业协议</w:t>
      </w:r>
      <w:bookmarkEnd w:id="358"/>
      <w:bookmarkEnd w:id="359"/>
      <w:bookmarkEnd w:id="360"/>
      <w:r>
        <w:rPr>
          <w:rFonts w:hint="eastAsia" w:ascii="宋体" w:hAnsi="宋体" w:cs="宋体"/>
          <w:sz w:val="24"/>
          <w:szCs w:val="24"/>
        </w:rPr>
        <w:t>（参考格式）</w:t>
      </w:r>
    </w:p>
    <w:p w14:paraId="47FF6DB2">
      <w:pPr>
        <w:spacing w:line="360" w:lineRule="auto"/>
        <w:ind w:firstLine="482" w:firstLineChars="200"/>
        <w:jc w:val="center"/>
        <w:rPr>
          <w:rFonts w:ascii="宋体" w:hAnsi="宋体" w:cs="宋体"/>
          <w:b/>
          <w:sz w:val="24"/>
          <w:szCs w:val="24"/>
        </w:rPr>
      </w:pPr>
      <w:r>
        <w:rPr>
          <w:rFonts w:hint="eastAsia" w:ascii="宋体" w:hAnsi="宋体" w:cs="宋体"/>
          <w:b/>
          <w:kern w:val="0"/>
          <w:sz w:val="24"/>
          <w:szCs w:val="24"/>
        </w:rPr>
        <w:t>廉洁从业协议</w:t>
      </w:r>
    </w:p>
    <w:p w14:paraId="64DFBD2A">
      <w:pPr>
        <w:spacing w:line="360" w:lineRule="auto"/>
        <w:ind w:left="1436" w:leftChars="170" w:hanging="960" w:hangingChars="400"/>
        <w:rPr>
          <w:rFonts w:ascii="宋体" w:hAnsi="宋体" w:cs="宋体"/>
          <w:sz w:val="24"/>
          <w:szCs w:val="24"/>
          <w:u w:val="single"/>
        </w:rPr>
      </w:pPr>
      <w:r>
        <w:rPr>
          <w:rFonts w:hint="eastAsia" w:ascii="宋体" w:hAnsi="宋体" w:cs="宋体"/>
          <w:sz w:val="24"/>
          <w:szCs w:val="24"/>
        </w:rPr>
        <w:t xml:space="preserve">委托人：   </w:t>
      </w:r>
      <w:r>
        <w:rPr>
          <w:rFonts w:hint="eastAsia" w:ascii="宋体" w:hAnsi="宋体" w:cs="宋体"/>
          <w:sz w:val="24"/>
          <w:szCs w:val="24"/>
          <w:u w:val="single"/>
        </w:rPr>
        <w:t xml:space="preserve">                         </w:t>
      </w:r>
    </w:p>
    <w:p w14:paraId="72E15030">
      <w:pPr>
        <w:spacing w:line="360" w:lineRule="auto"/>
        <w:ind w:firstLine="480" w:firstLineChars="200"/>
        <w:rPr>
          <w:rFonts w:ascii="宋体" w:hAnsi="宋体" w:cs="宋体"/>
          <w:sz w:val="24"/>
          <w:szCs w:val="24"/>
          <w:u w:val="single"/>
        </w:rPr>
      </w:pPr>
      <w:r>
        <w:rPr>
          <w:rFonts w:hint="eastAsia" w:ascii="宋体" w:hAnsi="宋体" w:cs="宋体"/>
          <w:sz w:val="24"/>
          <w:szCs w:val="24"/>
        </w:rPr>
        <w:t>监理人：</w:t>
      </w:r>
      <w:r>
        <w:rPr>
          <w:rFonts w:hint="eastAsia" w:ascii="宋体" w:hAnsi="宋体" w:cs="宋体"/>
          <w:sz w:val="24"/>
          <w:szCs w:val="24"/>
          <w:u w:val="single"/>
        </w:rPr>
        <w:t xml:space="preserve">                            </w:t>
      </w:r>
    </w:p>
    <w:p w14:paraId="2ED10452">
      <w:pPr>
        <w:spacing w:line="360" w:lineRule="auto"/>
        <w:ind w:firstLine="480" w:firstLineChars="200"/>
        <w:rPr>
          <w:rFonts w:ascii="宋体" w:hAnsi="宋体" w:cs="宋体"/>
          <w:sz w:val="24"/>
          <w:szCs w:val="24"/>
        </w:rPr>
      </w:pPr>
      <w:r>
        <w:rPr>
          <w:rFonts w:hint="eastAsia" w:ascii="宋体" w:hAnsi="宋体" w:cs="宋体"/>
          <w:sz w:val="24"/>
          <w:szCs w:val="24"/>
        </w:rPr>
        <w:t>为加强工程建设中的廉洁从业，规范工程建设监理委托与被委托双方的各项活动，防止发生各种谋取不正当利益的违法违纪行为，保护国家、集体和当事人的合法权益，根据国家有关工程建设的法律法规和廉洁从业责任制规定，特订立廉洁从业协议。</w:t>
      </w:r>
    </w:p>
    <w:p w14:paraId="628B83A4">
      <w:pPr>
        <w:spacing w:line="360" w:lineRule="auto"/>
        <w:ind w:firstLine="480" w:firstLineChars="200"/>
        <w:rPr>
          <w:rFonts w:ascii="宋体" w:hAnsi="宋体" w:cs="宋体"/>
          <w:sz w:val="24"/>
          <w:szCs w:val="24"/>
        </w:rPr>
      </w:pPr>
      <w:r>
        <w:rPr>
          <w:rFonts w:hint="eastAsia" w:ascii="宋体" w:hAnsi="宋体" w:cs="宋体"/>
          <w:sz w:val="24"/>
          <w:szCs w:val="24"/>
        </w:rPr>
        <w:t>一、总则</w:t>
      </w:r>
    </w:p>
    <w:p w14:paraId="2A874728">
      <w:pPr>
        <w:spacing w:line="360" w:lineRule="auto"/>
        <w:ind w:firstLine="480" w:firstLineChars="200"/>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应严格遵守国家关于市场准入、项目招标投标、工程建设、工程监理和市场活动的有关</w:t>
      </w:r>
      <w:r>
        <w:rPr>
          <w:rFonts w:hint="eastAsia" w:ascii="宋体" w:hAnsi="宋体" w:cs="宋体"/>
          <w:sz w:val="24"/>
          <w:szCs w:val="24"/>
          <w:lang w:eastAsia="zh-CN"/>
        </w:rPr>
        <w:t>法律法规</w:t>
      </w:r>
      <w:r>
        <w:rPr>
          <w:rFonts w:hint="eastAsia" w:ascii="宋体" w:hAnsi="宋体" w:cs="宋体"/>
          <w:sz w:val="24"/>
          <w:szCs w:val="24"/>
        </w:rPr>
        <w:t>，相关政策，以及廉洁从业的各项规定。</w:t>
      </w:r>
    </w:p>
    <w:p w14:paraId="6C7C9ECC">
      <w:pPr>
        <w:spacing w:line="360" w:lineRule="auto"/>
        <w:ind w:firstLine="480" w:firstLineChars="200"/>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严格执行建设工程项目监理合同文件，自觉按合同办事。</w:t>
      </w:r>
    </w:p>
    <w:p w14:paraId="79527742">
      <w:pPr>
        <w:spacing w:line="360" w:lineRule="auto"/>
        <w:ind w:firstLine="480" w:firstLineChars="200"/>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业务活动必须坚持公开、公平、公正、诚信、透明的原则（除法律法规另有规定者外），不得为获取不正当的利益，损害国家、集体和对方利益，不得违反工程建设管理、建设监理的规章制度。</w:t>
      </w:r>
    </w:p>
    <w:p w14:paraId="3594D8E6">
      <w:pPr>
        <w:spacing w:line="360" w:lineRule="auto"/>
        <w:ind w:firstLine="480" w:firstLineChars="200"/>
        <w:rPr>
          <w:rFonts w:ascii="宋体" w:hAnsi="宋体" w:cs="宋体"/>
          <w:sz w:val="24"/>
          <w:szCs w:val="24"/>
        </w:rPr>
      </w:pPr>
      <w:r>
        <w:rPr>
          <w:rFonts w:hint="eastAsia" w:ascii="宋体" w:hAnsi="宋体" w:cs="宋体"/>
          <w:sz w:val="24"/>
          <w:szCs w:val="24"/>
          <w:lang w:eastAsia="zh-CN"/>
        </w:rPr>
        <w:t>4.</w:t>
      </w:r>
      <w:r>
        <w:rPr>
          <w:rFonts w:hint="eastAsia" w:ascii="宋体" w:hAnsi="宋体" w:cs="宋体"/>
          <w:sz w:val="24"/>
          <w:szCs w:val="24"/>
        </w:rPr>
        <w:t>发现对方在业务活动中有违规、违纪、违法行为的，应及时提醒对方，情节严重的，应向其上级行政管理部门或纪检监察、司法等有关机关举报。</w:t>
      </w:r>
    </w:p>
    <w:p w14:paraId="7AD4C6CD">
      <w:pPr>
        <w:spacing w:line="360" w:lineRule="auto"/>
        <w:ind w:firstLine="480" w:firstLineChars="200"/>
        <w:rPr>
          <w:rFonts w:ascii="宋体" w:hAnsi="宋体" w:cs="宋体"/>
          <w:sz w:val="24"/>
          <w:szCs w:val="24"/>
        </w:rPr>
      </w:pPr>
      <w:r>
        <w:rPr>
          <w:rFonts w:hint="eastAsia" w:ascii="宋体" w:hAnsi="宋体" w:cs="宋体"/>
          <w:sz w:val="24"/>
          <w:szCs w:val="24"/>
        </w:rPr>
        <w:t>二、委托人的责任</w:t>
      </w:r>
    </w:p>
    <w:p w14:paraId="4C7D9D25">
      <w:pPr>
        <w:spacing w:line="360" w:lineRule="auto"/>
        <w:ind w:firstLine="480" w:firstLineChars="200"/>
        <w:rPr>
          <w:rFonts w:ascii="宋体" w:hAnsi="宋体" w:cs="宋体"/>
          <w:sz w:val="24"/>
          <w:szCs w:val="24"/>
        </w:rPr>
      </w:pPr>
      <w:r>
        <w:rPr>
          <w:rFonts w:hint="eastAsia" w:ascii="宋体" w:hAnsi="宋体" w:cs="宋体"/>
          <w:sz w:val="24"/>
          <w:szCs w:val="24"/>
        </w:rPr>
        <w:t>委托人的领导和从事该建设工程项目的工作人员在工程建设的事前、事中、事后应遵守以下规定：</w:t>
      </w:r>
    </w:p>
    <w:p w14:paraId="2344F762">
      <w:pPr>
        <w:spacing w:line="360" w:lineRule="auto"/>
        <w:ind w:firstLine="480" w:firstLineChars="200"/>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委托人及其工作人员不得索要或接受监理人的礼金、有价证券和贵重物品，不得在监理人报销任何应由委托人或个人支付的费用。</w:t>
      </w:r>
    </w:p>
    <w:p w14:paraId="188A02DF">
      <w:pPr>
        <w:spacing w:line="360" w:lineRule="auto"/>
        <w:ind w:firstLine="480" w:firstLineChars="200"/>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委托人工作人员不得参加监理人安排的宴请或可能对公正执行建设管理行为有影响的其他活动；不得接受监理人提供的通讯工具、交通工具和高档办公用品。</w:t>
      </w:r>
    </w:p>
    <w:p w14:paraId="1F89259B">
      <w:pPr>
        <w:spacing w:line="360" w:lineRule="auto"/>
        <w:ind w:firstLine="480" w:firstLineChars="200"/>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委托人及其工作人员不得要求或接受监理人为其住房装修、婚丧嫁娶活动、旅游等提供方便。</w:t>
      </w:r>
    </w:p>
    <w:p w14:paraId="60ED036B">
      <w:pPr>
        <w:spacing w:line="360" w:lineRule="auto"/>
        <w:ind w:firstLine="480" w:firstLineChars="200"/>
        <w:rPr>
          <w:rFonts w:ascii="宋体" w:hAnsi="宋体" w:cs="宋体"/>
          <w:sz w:val="24"/>
          <w:szCs w:val="24"/>
        </w:rPr>
      </w:pPr>
      <w:r>
        <w:rPr>
          <w:rFonts w:hint="eastAsia" w:ascii="宋体" w:hAnsi="宋体" w:cs="宋体"/>
          <w:sz w:val="24"/>
          <w:szCs w:val="24"/>
          <w:lang w:eastAsia="zh-CN"/>
        </w:rPr>
        <w:t>4.</w:t>
      </w:r>
      <w:r>
        <w:rPr>
          <w:rFonts w:hint="eastAsia" w:ascii="宋体" w:hAnsi="宋体" w:cs="宋体"/>
          <w:sz w:val="24"/>
          <w:szCs w:val="24"/>
        </w:rPr>
        <w:t>委托人工作人员的家属、亲戚不得从事与委托人工程有关的材料设备供应、工程分包、劳务等经济活动。</w:t>
      </w:r>
    </w:p>
    <w:p w14:paraId="3B9B1640">
      <w:pPr>
        <w:spacing w:line="360" w:lineRule="auto"/>
        <w:ind w:firstLine="480" w:firstLineChars="200"/>
        <w:rPr>
          <w:rFonts w:ascii="宋体" w:hAnsi="宋体" w:cs="宋体"/>
          <w:sz w:val="24"/>
          <w:szCs w:val="24"/>
        </w:rPr>
      </w:pPr>
      <w:r>
        <w:rPr>
          <w:rFonts w:hint="eastAsia" w:ascii="宋体" w:hAnsi="宋体" w:cs="宋体"/>
          <w:sz w:val="24"/>
          <w:szCs w:val="24"/>
        </w:rPr>
        <w:t>三、监理人的责任</w:t>
      </w:r>
    </w:p>
    <w:p w14:paraId="4908C8E2">
      <w:pPr>
        <w:spacing w:line="360" w:lineRule="auto"/>
        <w:ind w:firstLine="480" w:firstLineChars="200"/>
        <w:rPr>
          <w:rFonts w:ascii="宋体" w:hAnsi="宋体" w:cs="宋体"/>
          <w:sz w:val="24"/>
          <w:szCs w:val="24"/>
        </w:rPr>
      </w:pPr>
      <w:r>
        <w:rPr>
          <w:rFonts w:hint="eastAsia" w:ascii="宋体" w:hAnsi="宋体" w:cs="宋体"/>
          <w:sz w:val="24"/>
          <w:szCs w:val="24"/>
        </w:rPr>
        <w:t>应与委托人和相关单位保持正常的业务交往，按照有关法律法规和程序开展业务工作。严格执行工程建设的方针、政策，尤其是有关勘察、设计、建设施工的强制性标准和规范，以及相关行业监理规范，认真履行监理职责，并遵守以下规定：</w:t>
      </w:r>
    </w:p>
    <w:p w14:paraId="7237DBF4">
      <w:pPr>
        <w:spacing w:line="360" w:lineRule="auto"/>
        <w:ind w:firstLine="480" w:firstLineChars="200"/>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监理人不得以任何理由向委托人及其工作人员行贿或馈赠礼金、有价证券、贵重礼品。</w:t>
      </w:r>
    </w:p>
    <w:p w14:paraId="30CC86ED">
      <w:pPr>
        <w:spacing w:line="360" w:lineRule="auto"/>
        <w:ind w:firstLine="480" w:firstLineChars="200"/>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监理人不得以任何名义为委托人及其工作人员报销应由委托人单位或个人支付的费用。</w:t>
      </w:r>
    </w:p>
    <w:p w14:paraId="266C6B06">
      <w:pPr>
        <w:spacing w:line="360" w:lineRule="auto"/>
        <w:ind w:firstLine="480" w:firstLineChars="200"/>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监理人不得以任何理由邀请委托人工作人员外出旅游或安排委托人工作人员参加宴请、健身、娱乐等活动。</w:t>
      </w:r>
    </w:p>
    <w:p w14:paraId="3FCF6AD0">
      <w:pPr>
        <w:spacing w:line="360" w:lineRule="auto"/>
        <w:ind w:firstLine="480" w:firstLineChars="200"/>
        <w:rPr>
          <w:rFonts w:ascii="宋体" w:hAnsi="宋体" w:cs="宋体"/>
          <w:sz w:val="24"/>
          <w:szCs w:val="24"/>
        </w:rPr>
      </w:pPr>
      <w:r>
        <w:rPr>
          <w:rFonts w:hint="eastAsia" w:ascii="宋体" w:hAnsi="宋体" w:cs="宋体"/>
          <w:sz w:val="24"/>
          <w:szCs w:val="24"/>
          <w:lang w:eastAsia="zh-CN"/>
        </w:rPr>
        <w:t>4.</w:t>
      </w:r>
      <w:r>
        <w:rPr>
          <w:rFonts w:hint="eastAsia" w:ascii="宋体" w:hAnsi="宋体" w:cs="宋体"/>
          <w:sz w:val="24"/>
          <w:szCs w:val="24"/>
        </w:rPr>
        <w:t>监理人不得与工程承包人联合作假，如计量、验收，提供虚假资料，</w:t>
      </w:r>
      <w:r>
        <w:rPr>
          <w:rFonts w:hint="eastAsia" w:ascii="宋体" w:hAnsi="宋体" w:cs="宋体"/>
          <w:sz w:val="24"/>
          <w:szCs w:val="24"/>
          <w:lang w:eastAsia="zh-CN"/>
        </w:rPr>
        <w:t>接受</w:t>
      </w:r>
      <w:r>
        <w:rPr>
          <w:rFonts w:hint="eastAsia" w:ascii="宋体" w:hAnsi="宋体" w:cs="宋体"/>
          <w:sz w:val="24"/>
          <w:szCs w:val="24"/>
        </w:rPr>
        <w:t>好处或提成。</w:t>
      </w:r>
    </w:p>
    <w:p w14:paraId="5A81B33B">
      <w:pPr>
        <w:spacing w:line="360" w:lineRule="auto"/>
        <w:ind w:firstLine="480" w:firstLineChars="200"/>
        <w:rPr>
          <w:rFonts w:ascii="宋体" w:hAnsi="宋体" w:cs="宋体"/>
          <w:sz w:val="24"/>
          <w:szCs w:val="24"/>
        </w:rPr>
      </w:pPr>
      <w:r>
        <w:rPr>
          <w:rFonts w:hint="eastAsia" w:ascii="宋体" w:hAnsi="宋体" w:cs="宋体"/>
          <w:sz w:val="24"/>
          <w:szCs w:val="24"/>
          <w:lang w:eastAsia="zh-CN"/>
        </w:rPr>
        <w:t>5.</w:t>
      </w:r>
      <w:r>
        <w:rPr>
          <w:rFonts w:hint="eastAsia" w:ascii="宋体" w:hAnsi="宋体" w:cs="宋体"/>
          <w:sz w:val="24"/>
          <w:szCs w:val="24"/>
        </w:rPr>
        <w:t>监理人不得以任何理由索要或接受承包人的礼金、有价证券和贵重物品，不得在承包人报销任何应由监理人或个人支付的费用。</w:t>
      </w:r>
    </w:p>
    <w:p w14:paraId="7B2640A0">
      <w:pPr>
        <w:spacing w:line="360" w:lineRule="auto"/>
        <w:ind w:firstLine="480" w:firstLineChars="200"/>
        <w:rPr>
          <w:rFonts w:ascii="宋体" w:hAnsi="宋体" w:cs="宋体"/>
          <w:sz w:val="24"/>
          <w:szCs w:val="24"/>
        </w:rPr>
      </w:pPr>
      <w:r>
        <w:rPr>
          <w:rFonts w:hint="eastAsia" w:ascii="宋体" w:hAnsi="宋体" w:cs="宋体"/>
          <w:sz w:val="24"/>
          <w:szCs w:val="24"/>
          <w:lang w:eastAsia="zh-CN"/>
        </w:rPr>
        <w:t>6.</w:t>
      </w:r>
      <w:r>
        <w:rPr>
          <w:rFonts w:hint="eastAsia" w:ascii="宋体" w:hAnsi="宋体" w:cs="宋体"/>
          <w:sz w:val="24"/>
          <w:szCs w:val="24"/>
        </w:rPr>
        <w:t>监理人不准参加有可能影响公正履行监理职责的承包人的宴请、健身、娱乐等活动。</w:t>
      </w:r>
    </w:p>
    <w:p w14:paraId="74862E21">
      <w:pPr>
        <w:spacing w:line="360" w:lineRule="auto"/>
        <w:ind w:firstLine="480" w:firstLineChars="200"/>
        <w:rPr>
          <w:rFonts w:ascii="宋体" w:hAnsi="宋体" w:cs="宋体"/>
          <w:sz w:val="24"/>
          <w:szCs w:val="24"/>
        </w:rPr>
      </w:pPr>
      <w:r>
        <w:rPr>
          <w:rFonts w:hint="eastAsia" w:ascii="宋体" w:hAnsi="宋体" w:cs="宋体"/>
          <w:sz w:val="24"/>
          <w:szCs w:val="24"/>
          <w:lang w:eastAsia="zh-CN"/>
        </w:rPr>
        <w:t>7.</w:t>
      </w:r>
      <w:r>
        <w:rPr>
          <w:rFonts w:hint="eastAsia" w:ascii="宋体" w:hAnsi="宋体" w:cs="宋体"/>
          <w:sz w:val="24"/>
          <w:szCs w:val="24"/>
        </w:rPr>
        <w:t>监理人及其工作人员不得要求或接受承包人为其住房装修、婚丧嫁娶活动、旅游等提供方便。</w:t>
      </w:r>
    </w:p>
    <w:p w14:paraId="3821E3ED">
      <w:pPr>
        <w:spacing w:line="360" w:lineRule="auto"/>
        <w:ind w:firstLine="480" w:firstLineChars="200"/>
        <w:rPr>
          <w:rFonts w:ascii="宋体" w:hAnsi="宋体" w:cs="宋体"/>
          <w:sz w:val="24"/>
          <w:szCs w:val="24"/>
        </w:rPr>
      </w:pPr>
      <w:r>
        <w:rPr>
          <w:rFonts w:hint="eastAsia" w:ascii="宋体" w:hAnsi="宋体" w:cs="宋体"/>
          <w:sz w:val="24"/>
          <w:szCs w:val="24"/>
          <w:lang w:eastAsia="zh-CN"/>
        </w:rPr>
        <w:t>8.</w:t>
      </w:r>
      <w:r>
        <w:rPr>
          <w:rFonts w:hint="eastAsia" w:ascii="宋体" w:hAnsi="宋体" w:cs="宋体"/>
          <w:sz w:val="24"/>
          <w:szCs w:val="24"/>
        </w:rPr>
        <w:t>监理人不准向承包人介绍或为配偶、子女、亲属参与同项目工程合同有关的设备、材料、工程分包、劳务等经济活动。不得以任何理由向施工单位推荐分包单位和要求购买与项目工程合同规定以外的材料、设备等。</w:t>
      </w:r>
    </w:p>
    <w:p w14:paraId="5B56A2ED">
      <w:pPr>
        <w:spacing w:line="360" w:lineRule="auto"/>
        <w:ind w:firstLine="480" w:firstLineChars="200"/>
        <w:rPr>
          <w:rFonts w:ascii="宋体" w:hAnsi="宋体" w:cs="宋体"/>
          <w:sz w:val="24"/>
          <w:szCs w:val="24"/>
        </w:rPr>
      </w:pPr>
      <w:r>
        <w:rPr>
          <w:rFonts w:hint="eastAsia" w:ascii="宋体" w:hAnsi="宋体" w:cs="宋体"/>
          <w:sz w:val="24"/>
          <w:szCs w:val="24"/>
          <w:lang w:eastAsia="zh-CN"/>
        </w:rPr>
        <w:t>9.</w:t>
      </w:r>
      <w:r>
        <w:rPr>
          <w:rFonts w:hint="eastAsia" w:ascii="宋体" w:hAnsi="宋体" w:cs="宋体"/>
          <w:sz w:val="24"/>
          <w:szCs w:val="24"/>
        </w:rPr>
        <w:t>监理人及其工作人员应严格按监理规程办事，不得为谋取私利向委托人人员非法行贿，私下串通，损害委托人利益，同时必须履行向委托人承诺的上述</w:t>
      </w:r>
      <w:r>
        <w:rPr>
          <w:rFonts w:hint="eastAsia" w:ascii="宋体" w:hAnsi="宋体" w:cs="宋体"/>
          <w:sz w:val="24"/>
          <w:szCs w:val="24"/>
          <w:lang w:eastAsia="zh-CN"/>
        </w:rPr>
        <w:t>其他</w:t>
      </w:r>
      <w:r>
        <w:rPr>
          <w:rFonts w:hint="eastAsia" w:ascii="宋体" w:hAnsi="宋体" w:cs="宋体"/>
          <w:sz w:val="24"/>
          <w:szCs w:val="24"/>
        </w:rPr>
        <w:t>廉政义务。</w:t>
      </w:r>
    </w:p>
    <w:p w14:paraId="3BEAC3A3">
      <w:pPr>
        <w:spacing w:line="360" w:lineRule="auto"/>
        <w:ind w:firstLine="480" w:firstLineChars="200"/>
        <w:rPr>
          <w:rFonts w:ascii="宋体" w:hAnsi="宋体" w:cs="宋体"/>
          <w:sz w:val="24"/>
          <w:szCs w:val="24"/>
        </w:rPr>
      </w:pPr>
      <w:r>
        <w:rPr>
          <w:rFonts w:hint="eastAsia" w:ascii="宋体" w:hAnsi="宋体" w:cs="宋体"/>
          <w:sz w:val="24"/>
          <w:szCs w:val="24"/>
          <w:lang w:eastAsia="zh-CN"/>
        </w:rPr>
        <w:t>10.</w:t>
      </w:r>
      <w:r>
        <w:rPr>
          <w:rFonts w:hint="eastAsia" w:ascii="宋体" w:hAnsi="宋体" w:cs="宋体"/>
          <w:sz w:val="24"/>
          <w:szCs w:val="24"/>
        </w:rPr>
        <w:t>监理人如果发现委托人工作人员有违反廉政规定的行为，应向委托人组织或上级单位举报。委托人均不得找任何借口对监理人进行报复。</w:t>
      </w:r>
    </w:p>
    <w:p w14:paraId="4B28F50D">
      <w:pPr>
        <w:spacing w:line="360" w:lineRule="auto"/>
        <w:ind w:firstLine="480" w:firstLineChars="200"/>
        <w:rPr>
          <w:rFonts w:ascii="宋体" w:hAnsi="宋体" w:cs="宋体"/>
          <w:sz w:val="24"/>
          <w:szCs w:val="24"/>
        </w:rPr>
      </w:pPr>
      <w:r>
        <w:rPr>
          <w:rFonts w:hint="eastAsia" w:ascii="宋体" w:hAnsi="宋体" w:cs="宋体"/>
          <w:sz w:val="24"/>
          <w:szCs w:val="24"/>
        </w:rPr>
        <w:t>四、违约责任及相关处罚</w:t>
      </w:r>
    </w:p>
    <w:p w14:paraId="64351DD9">
      <w:pPr>
        <w:spacing w:line="360" w:lineRule="auto"/>
        <w:ind w:firstLine="480" w:firstLineChars="200"/>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委托人工作人员有违反本协议第二条第1款、第2款责任行为的，按照管理权限，依据有关法律法规和规定给予党纪、</w:t>
      </w:r>
      <w:r>
        <w:rPr>
          <w:rFonts w:hint="eastAsia" w:ascii="宋体" w:hAnsi="宋体" w:cs="宋体"/>
          <w:sz w:val="24"/>
          <w:szCs w:val="24"/>
          <w:lang w:eastAsia="zh-CN"/>
        </w:rPr>
        <w:t>政务处分</w:t>
      </w:r>
      <w:r>
        <w:rPr>
          <w:rFonts w:hint="eastAsia" w:ascii="宋体" w:hAnsi="宋体" w:cs="宋体"/>
          <w:sz w:val="24"/>
          <w:szCs w:val="24"/>
        </w:rPr>
        <w:t>或组织处理；涉嫌犯罪的，移交司法机关追究刑事责任；给监理人单位造成经济损失的，应予以赔偿。</w:t>
      </w:r>
    </w:p>
    <w:p w14:paraId="70F4CFED">
      <w:pPr>
        <w:spacing w:line="360" w:lineRule="auto"/>
        <w:ind w:firstLine="480" w:firstLineChars="200"/>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监理人工作人员有违反本协议第三条第4款—第8款责任行为的，将自觉接受委托人相应的处罚，具体内容如下：</w:t>
      </w:r>
    </w:p>
    <w:p w14:paraId="7484977B">
      <w:pPr>
        <w:spacing w:line="360" w:lineRule="auto"/>
        <w:ind w:firstLine="480" w:firstLineChars="200"/>
        <w:rPr>
          <w:rFonts w:ascii="宋体" w:hAnsi="宋体" w:cs="宋体"/>
          <w:sz w:val="24"/>
          <w:szCs w:val="24"/>
        </w:rPr>
      </w:pPr>
      <w:r>
        <w:rPr>
          <w:rFonts w:hint="eastAsia" w:ascii="宋体" w:hAnsi="宋体" w:cs="宋体"/>
          <w:sz w:val="24"/>
          <w:szCs w:val="24"/>
        </w:rPr>
        <w:t>2.1监理人不得索要或接受承包人的礼金、有价证券和贵重物品。若情况属实，监理人除了退还所收物品外，还要接受委托人的处罚，即：对监理人处以</w:t>
      </w:r>
      <w:r>
        <w:rPr>
          <w:rFonts w:hint="eastAsia" w:ascii="宋体" w:hAnsi="宋体" w:cs="宋体"/>
          <w:sz w:val="24"/>
          <w:szCs w:val="24"/>
          <w:u w:val="single"/>
        </w:rPr>
        <w:t>1000</w:t>
      </w:r>
      <w:r>
        <w:rPr>
          <w:rFonts w:hint="eastAsia" w:ascii="宋体" w:hAnsi="宋体" w:cs="宋体"/>
          <w:sz w:val="24"/>
          <w:szCs w:val="24"/>
        </w:rPr>
        <w:t>元的违约金，清退相关监理人员，并报行业主管部门。</w:t>
      </w:r>
    </w:p>
    <w:p w14:paraId="058B9E94">
      <w:pPr>
        <w:spacing w:line="360" w:lineRule="auto"/>
        <w:ind w:firstLine="480" w:firstLineChars="200"/>
        <w:rPr>
          <w:rFonts w:ascii="宋体" w:hAnsi="宋体" w:cs="宋体"/>
          <w:sz w:val="24"/>
          <w:szCs w:val="24"/>
        </w:rPr>
      </w:pPr>
      <w:r>
        <w:rPr>
          <w:rFonts w:hint="eastAsia" w:ascii="宋体" w:hAnsi="宋体" w:cs="宋体"/>
          <w:sz w:val="24"/>
          <w:szCs w:val="24"/>
        </w:rPr>
        <w:t>2.2发现监理人接受承包人的宴请或娱乐活动，参与宴请或娱乐活动的监理人员清退出场，监理人接受</w:t>
      </w:r>
      <w:r>
        <w:rPr>
          <w:rFonts w:hint="eastAsia" w:ascii="宋体" w:hAnsi="宋体" w:cs="宋体"/>
          <w:sz w:val="24"/>
          <w:szCs w:val="24"/>
          <w:u w:val="single"/>
        </w:rPr>
        <w:t>5000</w:t>
      </w:r>
      <w:r>
        <w:rPr>
          <w:rFonts w:hint="eastAsia" w:ascii="宋体" w:hAnsi="宋体" w:cs="宋体"/>
          <w:sz w:val="24"/>
          <w:szCs w:val="24"/>
        </w:rPr>
        <w:t>元的违约金，并报行业主管部门。</w:t>
      </w:r>
    </w:p>
    <w:p w14:paraId="21CB01EF">
      <w:pPr>
        <w:spacing w:line="360" w:lineRule="auto"/>
        <w:ind w:firstLine="480" w:firstLineChars="200"/>
        <w:rPr>
          <w:rFonts w:ascii="宋体" w:hAnsi="宋体" w:cs="宋体"/>
          <w:sz w:val="24"/>
          <w:szCs w:val="24"/>
        </w:rPr>
      </w:pPr>
      <w:r>
        <w:rPr>
          <w:rFonts w:hint="eastAsia" w:ascii="宋体" w:hAnsi="宋体" w:cs="宋体"/>
          <w:sz w:val="24"/>
          <w:szCs w:val="24"/>
        </w:rPr>
        <w:t>2.3发现监理人工作人员接受承包人为其住房装修、婚丧嫁娶活动、旅游等提供方便的行为，对监理人处以</w:t>
      </w:r>
      <w:r>
        <w:rPr>
          <w:rFonts w:hint="eastAsia" w:ascii="宋体" w:hAnsi="宋体" w:cs="宋体"/>
          <w:sz w:val="24"/>
          <w:szCs w:val="24"/>
          <w:u w:val="single"/>
        </w:rPr>
        <w:t>5000</w:t>
      </w:r>
      <w:r>
        <w:rPr>
          <w:rFonts w:hint="eastAsia" w:ascii="宋体" w:hAnsi="宋体" w:cs="宋体"/>
          <w:sz w:val="24"/>
          <w:szCs w:val="24"/>
        </w:rPr>
        <w:t>元的违约金，清退相关监理人员，并报行业主管部门。</w:t>
      </w:r>
    </w:p>
    <w:p w14:paraId="22E874A2">
      <w:pPr>
        <w:spacing w:line="360" w:lineRule="auto"/>
        <w:ind w:firstLine="480" w:firstLineChars="200"/>
        <w:rPr>
          <w:rFonts w:ascii="宋体" w:hAnsi="宋体" w:cs="宋体"/>
          <w:sz w:val="24"/>
          <w:szCs w:val="24"/>
        </w:rPr>
      </w:pPr>
      <w:r>
        <w:rPr>
          <w:rFonts w:hint="eastAsia" w:ascii="宋体" w:hAnsi="宋体" w:cs="宋体"/>
          <w:sz w:val="24"/>
          <w:szCs w:val="24"/>
        </w:rPr>
        <w:t>2.4监理人不得介绍材料乙方或介绍劳务单位参与工程建设。若情况属实，每发现一次对监理人处以</w:t>
      </w:r>
      <w:r>
        <w:rPr>
          <w:rFonts w:hint="eastAsia" w:ascii="宋体" w:hAnsi="宋体" w:cs="宋体"/>
          <w:sz w:val="24"/>
          <w:szCs w:val="24"/>
          <w:u w:val="single"/>
        </w:rPr>
        <w:t>5000</w:t>
      </w:r>
      <w:r>
        <w:rPr>
          <w:rFonts w:hint="eastAsia" w:ascii="宋体" w:hAnsi="宋体" w:cs="宋体"/>
          <w:sz w:val="24"/>
          <w:szCs w:val="24"/>
        </w:rPr>
        <w:t>元的违约金，清退相关监理人员，并报行业主管部门。</w:t>
      </w:r>
    </w:p>
    <w:p w14:paraId="094E1EC7">
      <w:pPr>
        <w:spacing w:line="360" w:lineRule="auto"/>
        <w:ind w:firstLine="480" w:firstLineChars="200"/>
        <w:rPr>
          <w:rFonts w:ascii="宋体" w:hAnsi="宋体" w:cs="宋体"/>
          <w:sz w:val="24"/>
          <w:szCs w:val="24"/>
        </w:rPr>
      </w:pPr>
      <w:r>
        <w:rPr>
          <w:rFonts w:hint="eastAsia" w:ascii="宋体" w:hAnsi="宋体" w:cs="宋体"/>
          <w:sz w:val="24"/>
          <w:szCs w:val="24"/>
        </w:rPr>
        <w:t>2.5监理人在监理行为中参与计量或材料验收时要尽职尽责，不得弄虚作假。若发现监理人工作人员计量、验收弄虚作假而接受好处或提成的，监理人相关人员除退还好处或提成外，对监理人处以</w:t>
      </w:r>
      <w:r>
        <w:rPr>
          <w:rFonts w:hint="eastAsia" w:ascii="宋体" w:hAnsi="宋体" w:cs="宋体"/>
          <w:sz w:val="24"/>
          <w:szCs w:val="24"/>
          <w:u w:val="single"/>
        </w:rPr>
        <w:t>5000</w:t>
      </w:r>
      <w:r>
        <w:rPr>
          <w:rFonts w:hint="eastAsia" w:ascii="宋体" w:hAnsi="宋体" w:cs="宋体"/>
          <w:sz w:val="24"/>
          <w:szCs w:val="24"/>
        </w:rPr>
        <w:t>元的违约金，清退相关监理人员，报行业主管部门，并保留没收履约保证金、解除监理合同和进一步对监理人追究法律责任的权利。</w:t>
      </w:r>
    </w:p>
    <w:p w14:paraId="420DEB08">
      <w:pPr>
        <w:numPr>
          <w:ilvl w:val="0"/>
          <w:numId w:val="2"/>
        </w:numPr>
        <w:spacing w:line="360" w:lineRule="auto"/>
        <w:ind w:firstLine="480" w:firstLineChars="200"/>
        <w:rPr>
          <w:rFonts w:ascii="宋体" w:hAnsi="宋体" w:cs="宋体"/>
          <w:sz w:val="24"/>
          <w:szCs w:val="24"/>
        </w:rPr>
      </w:pPr>
      <w:r>
        <w:rPr>
          <w:rFonts w:hint="eastAsia" w:ascii="宋体" w:hAnsi="宋体" w:cs="宋体"/>
          <w:sz w:val="24"/>
          <w:szCs w:val="24"/>
        </w:rPr>
        <w:t>监理人有违反本协议第三条第4款—第8款责任行为情节严重的，除接受以上第2条处罚外，涉嫌犯罪的，移交司法机关追究刑事责任；给委托人单位造成经济损失的，应予以赔偿。</w:t>
      </w:r>
    </w:p>
    <w:p w14:paraId="01D7CD8D">
      <w:pPr>
        <w:pStyle w:val="10"/>
        <w:ind w:left="560" w:leftChars="200"/>
        <w:rPr>
          <w:rFonts w:ascii="宋体" w:hAnsi="宋体" w:cs="宋体"/>
        </w:rPr>
      </w:pPr>
    </w:p>
    <w:p w14:paraId="01336E17">
      <w:pPr>
        <w:spacing w:line="594" w:lineRule="exact"/>
        <w:ind w:firstLine="480" w:firstLineChars="200"/>
        <w:rPr>
          <w:rFonts w:ascii="宋体" w:hAnsi="宋体" w:cs="宋体"/>
          <w:sz w:val="24"/>
          <w:szCs w:val="24"/>
        </w:rPr>
      </w:pPr>
      <w:r>
        <w:rPr>
          <w:rFonts w:hint="eastAsia" w:ascii="宋体" w:hAnsi="宋体" w:cs="宋体"/>
          <w:sz w:val="24"/>
          <w:szCs w:val="24"/>
        </w:rPr>
        <w:t xml:space="preserve">委托人：重庆市大渡口区建胜镇人民政府    监理人：              </w:t>
      </w:r>
    </w:p>
    <w:p w14:paraId="2664C42E">
      <w:pPr>
        <w:spacing w:line="594" w:lineRule="exact"/>
        <w:ind w:firstLine="480" w:firstLineChars="200"/>
        <w:rPr>
          <w:rFonts w:ascii="宋体" w:hAnsi="宋体" w:cs="宋体"/>
          <w:sz w:val="24"/>
          <w:szCs w:val="24"/>
        </w:rPr>
      </w:pPr>
      <w:r>
        <w:rPr>
          <w:rFonts w:hint="eastAsia" w:ascii="宋体" w:hAnsi="宋体" w:cs="宋体"/>
          <w:sz w:val="24"/>
          <w:szCs w:val="24"/>
        </w:rPr>
        <w:t>法定代表人：                            法定代表人：</w:t>
      </w:r>
    </w:p>
    <w:p w14:paraId="16627A73">
      <w:pPr>
        <w:spacing w:line="594" w:lineRule="exact"/>
        <w:ind w:firstLine="480" w:firstLineChars="200"/>
        <w:rPr>
          <w:rFonts w:ascii="宋体" w:hAnsi="宋体" w:cs="宋体"/>
          <w:sz w:val="24"/>
          <w:szCs w:val="24"/>
        </w:rPr>
      </w:pPr>
      <w:r>
        <w:rPr>
          <w:rFonts w:hint="eastAsia" w:ascii="宋体" w:hAnsi="宋体" w:cs="宋体"/>
          <w:sz w:val="24"/>
          <w:szCs w:val="24"/>
        </w:rPr>
        <w:t>或委托代理人：                          或委托代理人：</w:t>
      </w:r>
    </w:p>
    <w:p w14:paraId="5C8CC642">
      <w:pPr>
        <w:spacing w:line="594" w:lineRule="exact"/>
        <w:ind w:firstLine="480" w:firstLineChars="200"/>
        <w:rPr>
          <w:rFonts w:ascii="宋体" w:hAnsi="宋体" w:cs="宋体"/>
          <w:sz w:val="24"/>
          <w:szCs w:val="24"/>
        </w:rPr>
      </w:pPr>
      <w:r>
        <w:rPr>
          <w:rFonts w:hint="eastAsia" w:ascii="宋体" w:hAnsi="宋体" w:cs="宋体"/>
          <w:sz w:val="24"/>
          <w:szCs w:val="24"/>
        </w:rPr>
        <w:t>联系人：                                联系人：</w:t>
      </w:r>
    </w:p>
    <w:p w14:paraId="3A3C6EEA">
      <w:pPr>
        <w:spacing w:line="594" w:lineRule="exact"/>
        <w:ind w:firstLine="480" w:firstLineChars="200"/>
        <w:rPr>
          <w:rFonts w:ascii="宋体" w:hAnsi="宋体" w:cs="宋体"/>
          <w:sz w:val="24"/>
          <w:szCs w:val="24"/>
        </w:rPr>
      </w:pPr>
      <w:r>
        <w:rPr>
          <w:rFonts w:hint="eastAsia" w:ascii="宋体" w:hAnsi="宋体" w:cs="宋体"/>
          <w:sz w:val="24"/>
          <w:szCs w:val="24"/>
        </w:rPr>
        <w:t>联系电话：                              联系电话：</w:t>
      </w:r>
    </w:p>
    <w:p w14:paraId="43D38E2E">
      <w:pPr>
        <w:spacing w:line="360" w:lineRule="auto"/>
        <w:ind w:firstLine="480" w:firstLineChars="200"/>
        <w:rPr>
          <w:rFonts w:ascii="宋体" w:hAnsi="宋体" w:cs="宋体"/>
          <w:sz w:val="24"/>
          <w:szCs w:val="24"/>
        </w:rPr>
      </w:pPr>
    </w:p>
    <w:p w14:paraId="64FA99D8">
      <w:pPr>
        <w:spacing w:line="360" w:lineRule="auto"/>
        <w:ind w:firstLine="480" w:firstLineChars="200"/>
        <w:jc w:val="center"/>
        <w:rPr>
          <w:rFonts w:ascii="宋体" w:hAnsi="宋体" w:cs="宋体"/>
          <w:sz w:val="24"/>
          <w:szCs w:val="24"/>
          <w:lang w:val="zh-CN"/>
        </w:rPr>
      </w:pPr>
      <w:r>
        <w:rPr>
          <w:rFonts w:hint="eastAsia" w:ascii="宋体" w:hAnsi="宋体" w:cs="宋体"/>
          <w:sz w:val="24"/>
          <w:szCs w:val="24"/>
          <w:lang w:val="zh-CN"/>
        </w:rPr>
        <w:br w:type="page"/>
      </w:r>
      <w:bookmarkStart w:id="361" w:name="_Toc442196760"/>
    </w:p>
    <w:bookmarkEnd w:id="361"/>
    <w:p w14:paraId="37E2BDA2">
      <w:pPr>
        <w:spacing w:line="360" w:lineRule="auto"/>
        <w:rPr>
          <w:rFonts w:ascii="宋体" w:hAnsi="宋体" w:cs="宋体"/>
          <w:sz w:val="24"/>
          <w:szCs w:val="24"/>
        </w:rPr>
      </w:pPr>
      <w:bookmarkStart w:id="362" w:name="_Toc536778422"/>
      <w:bookmarkStart w:id="363" w:name="_Toc536709901"/>
      <w:bookmarkStart w:id="364" w:name="_Toc531678515"/>
      <w:r>
        <w:rPr>
          <w:rFonts w:hint="eastAsia" w:ascii="宋体" w:hAnsi="宋体" w:cs="宋体"/>
          <w:sz w:val="24"/>
          <w:szCs w:val="24"/>
        </w:rPr>
        <w:t>附件四 监理人质量安全履责行为违约金处罚标准</w:t>
      </w:r>
      <w:bookmarkEnd w:id="362"/>
      <w:bookmarkEnd w:id="363"/>
      <w:bookmarkEnd w:id="364"/>
    </w:p>
    <w:p w14:paraId="3F5C013E">
      <w:pPr>
        <w:spacing w:line="360" w:lineRule="auto"/>
        <w:jc w:val="center"/>
        <w:rPr>
          <w:rFonts w:ascii="宋体" w:hAnsi="宋体" w:cs="宋体"/>
          <w:b/>
          <w:sz w:val="24"/>
          <w:szCs w:val="24"/>
        </w:rPr>
      </w:pPr>
      <w:r>
        <w:rPr>
          <w:rFonts w:hint="eastAsia" w:ascii="宋体" w:hAnsi="宋体" w:cs="宋体"/>
          <w:b/>
          <w:sz w:val="24"/>
          <w:szCs w:val="24"/>
        </w:rPr>
        <w:t>监理人质量安全履责行为违约金处罚标准</w:t>
      </w:r>
    </w:p>
    <w:tbl>
      <w:tblPr>
        <w:tblStyle w:val="24"/>
        <w:tblW w:w="0" w:type="auto"/>
        <w:jc w:val="center"/>
        <w:tblLayout w:type="fixed"/>
        <w:tblCellMar>
          <w:top w:w="0" w:type="dxa"/>
          <w:left w:w="108" w:type="dxa"/>
          <w:bottom w:w="0" w:type="dxa"/>
          <w:right w:w="108" w:type="dxa"/>
        </w:tblCellMar>
      </w:tblPr>
      <w:tblGrid>
        <w:gridCol w:w="589"/>
        <w:gridCol w:w="1374"/>
        <w:gridCol w:w="4395"/>
        <w:gridCol w:w="2471"/>
        <w:gridCol w:w="850"/>
      </w:tblGrid>
      <w:tr w14:paraId="3D553CE3">
        <w:tblPrEx>
          <w:tblCellMar>
            <w:top w:w="0" w:type="dxa"/>
            <w:left w:w="108" w:type="dxa"/>
            <w:bottom w:w="0" w:type="dxa"/>
            <w:right w:w="108" w:type="dxa"/>
          </w:tblCellMar>
        </w:tblPrEx>
        <w:trPr>
          <w:tblHeader/>
          <w:jc w:val="center"/>
        </w:trPr>
        <w:tc>
          <w:tcPr>
            <w:tcW w:w="1963" w:type="dxa"/>
            <w:gridSpan w:val="2"/>
            <w:tcBorders>
              <w:top w:val="single" w:color="auto" w:sz="4" w:space="0"/>
              <w:left w:val="single" w:color="auto" w:sz="4" w:space="0"/>
              <w:bottom w:val="single" w:color="auto" w:sz="4" w:space="0"/>
              <w:right w:val="single" w:color="000000" w:sz="4" w:space="0"/>
            </w:tcBorders>
            <w:noWrap/>
            <w:vAlign w:val="center"/>
          </w:tcPr>
          <w:p w14:paraId="6DAE104D">
            <w:pPr>
              <w:widowControl/>
              <w:spacing w:line="400" w:lineRule="exact"/>
              <w:jc w:val="center"/>
              <w:rPr>
                <w:rFonts w:ascii="宋体" w:hAnsi="宋体" w:cs="宋体"/>
                <w:kern w:val="0"/>
                <w:sz w:val="24"/>
                <w:szCs w:val="24"/>
              </w:rPr>
            </w:pPr>
            <w:r>
              <w:rPr>
                <w:rFonts w:hint="eastAsia" w:ascii="宋体" w:hAnsi="宋体" w:cs="宋体"/>
                <w:kern w:val="0"/>
                <w:sz w:val="24"/>
                <w:szCs w:val="24"/>
              </w:rPr>
              <w:t>事项</w:t>
            </w:r>
          </w:p>
        </w:tc>
        <w:tc>
          <w:tcPr>
            <w:tcW w:w="4395" w:type="dxa"/>
            <w:tcBorders>
              <w:top w:val="single" w:color="auto" w:sz="4" w:space="0"/>
              <w:left w:val="nil"/>
              <w:bottom w:val="single" w:color="auto" w:sz="4" w:space="0"/>
              <w:right w:val="single" w:color="auto" w:sz="4" w:space="0"/>
            </w:tcBorders>
            <w:noWrap/>
            <w:vAlign w:val="center"/>
          </w:tcPr>
          <w:p w14:paraId="56910A75">
            <w:pPr>
              <w:widowControl/>
              <w:spacing w:line="400" w:lineRule="exact"/>
              <w:jc w:val="center"/>
              <w:rPr>
                <w:rFonts w:ascii="宋体" w:hAnsi="宋体" w:cs="宋体"/>
                <w:kern w:val="0"/>
                <w:sz w:val="24"/>
                <w:szCs w:val="24"/>
              </w:rPr>
            </w:pPr>
            <w:r>
              <w:rPr>
                <w:rFonts w:hint="eastAsia" w:ascii="宋体" w:hAnsi="宋体" w:cs="宋体"/>
                <w:kern w:val="0"/>
                <w:sz w:val="24"/>
                <w:szCs w:val="24"/>
              </w:rPr>
              <w:t>违约情形</w:t>
            </w:r>
          </w:p>
        </w:tc>
        <w:tc>
          <w:tcPr>
            <w:tcW w:w="2471" w:type="dxa"/>
            <w:tcBorders>
              <w:top w:val="single" w:color="auto" w:sz="4" w:space="0"/>
              <w:left w:val="nil"/>
              <w:bottom w:val="single" w:color="auto" w:sz="4" w:space="0"/>
              <w:right w:val="single" w:color="auto" w:sz="4" w:space="0"/>
            </w:tcBorders>
            <w:noWrap/>
            <w:vAlign w:val="center"/>
          </w:tcPr>
          <w:p w14:paraId="7826ECD5">
            <w:pPr>
              <w:widowControl/>
              <w:spacing w:line="400" w:lineRule="exact"/>
              <w:jc w:val="center"/>
              <w:rPr>
                <w:rFonts w:ascii="宋体" w:hAnsi="宋体" w:cs="宋体"/>
                <w:kern w:val="0"/>
                <w:sz w:val="24"/>
                <w:szCs w:val="24"/>
              </w:rPr>
            </w:pPr>
            <w:r>
              <w:rPr>
                <w:rFonts w:hint="eastAsia" w:ascii="宋体" w:hAnsi="宋体" w:cs="宋体"/>
                <w:kern w:val="0"/>
                <w:sz w:val="24"/>
                <w:szCs w:val="24"/>
              </w:rPr>
              <w:t>每次违约处罚标准（以签约合同价为基数计算）</w:t>
            </w:r>
          </w:p>
        </w:tc>
        <w:tc>
          <w:tcPr>
            <w:tcW w:w="850" w:type="dxa"/>
            <w:tcBorders>
              <w:top w:val="single" w:color="auto" w:sz="4" w:space="0"/>
              <w:left w:val="nil"/>
              <w:bottom w:val="single" w:color="auto" w:sz="4" w:space="0"/>
              <w:right w:val="single" w:color="auto" w:sz="4" w:space="0"/>
            </w:tcBorders>
            <w:noWrap/>
            <w:vAlign w:val="center"/>
          </w:tcPr>
          <w:p w14:paraId="01E75577">
            <w:pPr>
              <w:widowControl/>
              <w:spacing w:line="400" w:lineRule="exact"/>
              <w:jc w:val="center"/>
              <w:rPr>
                <w:rFonts w:ascii="宋体" w:hAnsi="宋体" w:cs="宋体"/>
                <w:kern w:val="0"/>
                <w:sz w:val="24"/>
                <w:szCs w:val="24"/>
              </w:rPr>
            </w:pPr>
            <w:r>
              <w:rPr>
                <w:rFonts w:hint="eastAsia" w:ascii="宋体" w:hAnsi="宋体" w:cs="宋体"/>
                <w:kern w:val="0"/>
                <w:sz w:val="24"/>
                <w:szCs w:val="24"/>
              </w:rPr>
              <w:t>备注</w:t>
            </w:r>
          </w:p>
        </w:tc>
      </w:tr>
      <w:tr w14:paraId="60D574F7">
        <w:tblPrEx>
          <w:tblCellMar>
            <w:top w:w="0" w:type="dxa"/>
            <w:left w:w="108" w:type="dxa"/>
            <w:bottom w:w="0" w:type="dxa"/>
            <w:right w:w="108" w:type="dxa"/>
          </w:tblCellMar>
        </w:tblPrEx>
        <w:trPr>
          <w:jc w:val="center"/>
        </w:trPr>
        <w:tc>
          <w:tcPr>
            <w:tcW w:w="589" w:type="dxa"/>
            <w:vMerge w:val="restart"/>
            <w:tcBorders>
              <w:top w:val="nil"/>
              <w:left w:val="single" w:color="auto" w:sz="4" w:space="0"/>
              <w:bottom w:val="single" w:color="000000" w:sz="4" w:space="0"/>
              <w:right w:val="single" w:color="auto" w:sz="4" w:space="0"/>
            </w:tcBorders>
            <w:noWrap/>
            <w:vAlign w:val="center"/>
          </w:tcPr>
          <w:p w14:paraId="34CB061C">
            <w:pPr>
              <w:widowControl/>
              <w:spacing w:line="400" w:lineRule="exact"/>
              <w:jc w:val="center"/>
              <w:rPr>
                <w:rFonts w:ascii="宋体" w:hAnsi="宋体" w:cs="宋体"/>
                <w:kern w:val="0"/>
                <w:sz w:val="24"/>
                <w:szCs w:val="24"/>
              </w:rPr>
            </w:pPr>
            <w:r>
              <w:rPr>
                <w:rFonts w:hint="eastAsia" w:ascii="宋体" w:hAnsi="宋体" w:cs="宋体"/>
                <w:kern w:val="0"/>
                <w:sz w:val="24"/>
                <w:szCs w:val="24"/>
              </w:rPr>
              <w:t>质量控制履责</w:t>
            </w:r>
          </w:p>
        </w:tc>
        <w:tc>
          <w:tcPr>
            <w:tcW w:w="1374" w:type="dxa"/>
            <w:vMerge w:val="restart"/>
            <w:tcBorders>
              <w:top w:val="nil"/>
              <w:left w:val="single" w:color="auto" w:sz="4" w:space="0"/>
              <w:bottom w:val="single" w:color="000000" w:sz="4" w:space="0"/>
              <w:right w:val="single" w:color="auto" w:sz="4" w:space="0"/>
            </w:tcBorders>
            <w:noWrap/>
            <w:vAlign w:val="center"/>
          </w:tcPr>
          <w:p w14:paraId="7DAE7781">
            <w:pPr>
              <w:widowControl/>
              <w:spacing w:line="400" w:lineRule="exact"/>
              <w:jc w:val="left"/>
              <w:rPr>
                <w:rFonts w:ascii="宋体" w:hAnsi="宋体" w:cs="宋体"/>
                <w:kern w:val="0"/>
                <w:sz w:val="24"/>
                <w:szCs w:val="24"/>
              </w:rPr>
            </w:pPr>
            <w:r>
              <w:rPr>
                <w:rFonts w:hint="eastAsia" w:ascii="宋体" w:hAnsi="宋体" w:cs="宋体"/>
                <w:kern w:val="0"/>
                <w:sz w:val="24"/>
                <w:szCs w:val="24"/>
              </w:rPr>
              <w:t>开工审批</w:t>
            </w:r>
          </w:p>
        </w:tc>
        <w:tc>
          <w:tcPr>
            <w:tcW w:w="4395" w:type="dxa"/>
            <w:tcBorders>
              <w:top w:val="nil"/>
              <w:left w:val="nil"/>
              <w:bottom w:val="single" w:color="auto" w:sz="4" w:space="0"/>
              <w:right w:val="single" w:color="auto" w:sz="4" w:space="0"/>
            </w:tcBorders>
            <w:noWrap/>
            <w:vAlign w:val="center"/>
          </w:tcPr>
          <w:p w14:paraId="6625D0DE">
            <w:pPr>
              <w:widowControl/>
              <w:spacing w:line="400" w:lineRule="exact"/>
              <w:jc w:val="left"/>
              <w:rPr>
                <w:rFonts w:ascii="宋体" w:hAnsi="宋体" w:cs="宋体"/>
                <w:kern w:val="0"/>
                <w:sz w:val="24"/>
                <w:szCs w:val="24"/>
              </w:rPr>
            </w:pPr>
            <w:r>
              <w:rPr>
                <w:rFonts w:hint="eastAsia" w:ascii="宋体" w:hAnsi="宋体" w:cs="宋体"/>
                <w:kern w:val="0"/>
                <w:sz w:val="24"/>
                <w:szCs w:val="24"/>
              </w:rPr>
              <w:t>未审查开工报审资料</w:t>
            </w:r>
          </w:p>
        </w:tc>
        <w:tc>
          <w:tcPr>
            <w:tcW w:w="2471" w:type="dxa"/>
            <w:tcBorders>
              <w:top w:val="nil"/>
              <w:left w:val="nil"/>
              <w:bottom w:val="single" w:color="auto" w:sz="4" w:space="0"/>
              <w:right w:val="single" w:color="auto" w:sz="4" w:space="0"/>
            </w:tcBorders>
            <w:noWrap/>
            <w:vAlign w:val="center"/>
          </w:tcPr>
          <w:p w14:paraId="187B40D8">
            <w:pPr>
              <w:widowControl/>
              <w:spacing w:line="400" w:lineRule="exact"/>
              <w:jc w:val="left"/>
              <w:rPr>
                <w:rFonts w:ascii="宋体" w:hAnsi="宋体" w:cs="宋体"/>
                <w:kern w:val="0"/>
                <w:sz w:val="24"/>
                <w:szCs w:val="24"/>
              </w:rPr>
            </w:pPr>
            <w:r>
              <w:rPr>
                <w:rFonts w:hint="eastAsia" w:ascii="宋体" w:hAnsi="宋体" w:cs="宋体"/>
                <w:kern w:val="0"/>
                <w:sz w:val="24"/>
                <w:szCs w:val="24"/>
              </w:rPr>
              <w:t>1‰-2‰</w:t>
            </w:r>
          </w:p>
        </w:tc>
        <w:tc>
          <w:tcPr>
            <w:tcW w:w="850" w:type="dxa"/>
            <w:tcBorders>
              <w:top w:val="nil"/>
              <w:left w:val="nil"/>
              <w:bottom w:val="single" w:color="auto" w:sz="4" w:space="0"/>
              <w:right w:val="single" w:color="auto" w:sz="4" w:space="0"/>
            </w:tcBorders>
            <w:noWrap/>
            <w:vAlign w:val="center"/>
          </w:tcPr>
          <w:p w14:paraId="209200B2">
            <w:pPr>
              <w:widowControl/>
              <w:spacing w:line="400" w:lineRule="exact"/>
              <w:jc w:val="center"/>
              <w:rPr>
                <w:rFonts w:ascii="宋体" w:hAnsi="宋体" w:cs="宋体"/>
                <w:kern w:val="0"/>
                <w:sz w:val="24"/>
                <w:szCs w:val="24"/>
              </w:rPr>
            </w:pPr>
            <w:r>
              <w:rPr>
                <w:rFonts w:hint="eastAsia" w:ascii="宋体" w:hAnsi="宋体" w:cs="宋体"/>
                <w:kern w:val="0"/>
                <w:sz w:val="24"/>
                <w:szCs w:val="24"/>
              </w:rPr>
              <w:t>★</w:t>
            </w:r>
          </w:p>
        </w:tc>
      </w:tr>
      <w:tr w14:paraId="27192331">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553C8336">
            <w:pPr>
              <w:widowControl/>
              <w:spacing w:line="400" w:lineRule="exact"/>
              <w:jc w:val="left"/>
              <w:rPr>
                <w:rFonts w:ascii="宋体" w:hAnsi="宋体" w:cs="宋体"/>
                <w:kern w:val="0"/>
                <w:sz w:val="24"/>
                <w:szCs w:val="24"/>
              </w:rPr>
            </w:pPr>
          </w:p>
        </w:tc>
        <w:tc>
          <w:tcPr>
            <w:tcW w:w="1374" w:type="dxa"/>
            <w:vMerge w:val="continue"/>
            <w:tcBorders>
              <w:top w:val="nil"/>
              <w:left w:val="single" w:color="auto" w:sz="4" w:space="0"/>
              <w:bottom w:val="single" w:color="000000" w:sz="4" w:space="0"/>
              <w:right w:val="single" w:color="auto" w:sz="4" w:space="0"/>
            </w:tcBorders>
            <w:noWrap/>
            <w:vAlign w:val="center"/>
          </w:tcPr>
          <w:p w14:paraId="4A56C729">
            <w:pPr>
              <w:widowControl/>
              <w:spacing w:line="400" w:lineRule="exact"/>
              <w:jc w:val="left"/>
              <w:rPr>
                <w:rFonts w:ascii="宋体" w:hAnsi="宋体" w:cs="宋体"/>
                <w:kern w:val="0"/>
                <w:sz w:val="24"/>
                <w:szCs w:val="24"/>
              </w:rPr>
            </w:pPr>
          </w:p>
        </w:tc>
        <w:tc>
          <w:tcPr>
            <w:tcW w:w="4395" w:type="dxa"/>
            <w:tcBorders>
              <w:top w:val="nil"/>
              <w:left w:val="nil"/>
              <w:bottom w:val="single" w:color="auto" w:sz="4" w:space="0"/>
              <w:right w:val="single" w:color="auto" w:sz="4" w:space="0"/>
            </w:tcBorders>
            <w:noWrap/>
            <w:vAlign w:val="center"/>
          </w:tcPr>
          <w:p w14:paraId="50111606">
            <w:pPr>
              <w:widowControl/>
              <w:spacing w:line="400" w:lineRule="exact"/>
              <w:jc w:val="left"/>
              <w:rPr>
                <w:rFonts w:ascii="宋体" w:hAnsi="宋体" w:cs="宋体"/>
                <w:kern w:val="0"/>
                <w:sz w:val="24"/>
                <w:szCs w:val="24"/>
              </w:rPr>
            </w:pPr>
            <w:r>
              <w:rPr>
                <w:rFonts w:hint="eastAsia" w:ascii="宋体" w:hAnsi="宋体" w:cs="宋体"/>
                <w:kern w:val="0"/>
                <w:sz w:val="24"/>
                <w:szCs w:val="24"/>
              </w:rPr>
              <w:t>未留存开工报审资料和无明确审查意见</w:t>
            </w:r>
          </w:p>
        </w:tc>
        <w:tc>
          <w:tcPr>
            <w:tcW w:w="2471" w:type="dxa"/>
            <w:tcBorders>
              <w:top w:val="nil"/>
              <w:left w:val="nil"/>
              <w:bottom w:val="single" w:color="auto" w:sz="4" w:space="0"/>
              <w:right w:val="single" w:color="auto" w:sz="4" w:space="0"/>
            </w:tcBorders>
            <w:noWrap/>
            <w:vAlign w:val="center"/>
          </w:tcPr>
          <w:p w14:paraId="74223FAD">
            <w:pPr>
              <w:widowControl/>
              <w:spacing w:line="400" w:lineRule="exact"/>
              <w:jc w:val="left"/>
              <w:rPr>
                <w:rFonts w:ascii="宋体" w:hAnsi="宋体" w:cs="宋体"/>
                <w:kern w:val="0"/>
                <w:sz w:val="24"/>
                <w:szCs w:val="24"/>
              </w:rPr>
            </w:pPr>
            <w:r>
              <w:rPr>
                <w:rFonts w:hint="eastAsia" w:ascii="宋体" w:hAnsi="宋体" w:cs="宋体"/>
                <w:kern w:val="0"/>
                <w:sz w:val="24"/>
                <w:szCs w:val="24"/>
              </w:rPr>
              <w:t>0.25‰-0.5‰</w:t>
            </w:r>
          </w:p>
        </w:tc>
        <w:tc>
          <w:tcPr>
            <w:tcW w:w="850" w:type="dxa"/>
            <w:tcBorders>
              <w:top w:val="nil"/>
              <w:left w:val="nil"/>
              <w:bottom w:val="single" w:color="auto" w:sz="4" w:space="0"/>
              <w:right w:val="single" w:color="auto" w:sz="4" w:space="0"/>
            </w:tcBorders>
            <w:noWrap/>
            <w:vAlign w:val="center"/>
          </w:tcPr>
          <w:p w14:paraId="29B2A7D2">
            <w:pPr>
              <w:widowControl/>
              <w:spacing w:line="400" w:lineRule="exact"/>
              <w:jc w:val="center"/>
              <w:rPr>
                <w:rFonts w:ascii="宋体" w:hAnsi="宋体" w:cs="宋体"/>
                <w:kern w:val="0"/>
                <w:sz w:val="24"/>
                <w:szCs w:val="24"/>
              </w:rPr>
            </w:pPr>
          </w:p>
        </w:tc>
      </w:tr>
      <w:tr w14:paraId="4B587F1F">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0357AA67">
            <w:pPr>
              <w:widowControl/>
              <w:spacing w:line="400" w:lineRule="exact"/>
              <w:jc w:val="left"/>
              <w:rPr>
                <w:rFonts w:ascii="宋体" w:hAnsi="宋体" w:cs="宋体"/>
                <w:kern w:val="0"/>
                <w:sz w:val="24"/>
                <w:szCs w:val="24"/>
              </w:rPr>
            </w:pPr>
          </w:p>
        </w:tc>
        <w:tc>
          <w:tcPr>
            <w:tcW w:w="1374" w:type="dxa"/>
            <w:vMerge w:val="restart"/>
            <w:tcBorders>
              <w:top w:val="nil"/>
              <w:left w:val="single" w:color="auto" w:sz="4" w:space="0"/>
              <w:bottom w:val="nil"/>
              <w:right w:val="single" w:color="auto" w:sz="4" w:space="0"/>
            </w:tcBorders>
            <w:noWrap/>
            <w:vAlign w:val="center"/>
          </w:tcPr>
          <w:p w14:paraId="77A742B3">
            <w:pPr>
              <w:widowControl/>
              <w:spacing w:line="400" w:lineRule="exact"/>
              <w:jc w:val="left"/>
              <w:rPr>
                <w:rFonts w:ascii="宋体" w:hAnsi="宋体" w:cs="宋体"/>
                <w:kern w:val="0"/>
                <w:sz w:val="24"/>
                <w:szCs w:val="24"/>
              </w:rPr>
            </w:pPr>
            <w:r>
              <w:rPr>
                <w:rFonts w:hint="eastAsia" w:ascii="宋体" w:hAnsi="宋体" w:cs="宋体"/>
                <w:kern w:val="0"/>
                <w:sz w:val="24"/>
                <w:szCs w:val="24"/>
              </w:rPr>
              <w:t>审查施工组织设计和施工方案</w:t>
            </w:r>
          </w:p>
        </w:tc>
        <w:tc>
          <w:tcPr>
            <w:tcW w:w="4395" w:type="dxa"/>
            <w:tcBorders>
              <w:top w:val="nil"/>
              <w:left w:val="nil"/>
              <w:bottom w:val="single" w:color="auto" w:sz="4" w:space="0"/>
              <w:right w:val="single" w:color="auto" w:sz="4" w:space="0"/>
            </w:tcBorders>
            <w:noWrap/>
            <w:vAlign w:val="center"/>
          </w:tcPr>
          <w:p w14:paraId="57D07FE1">
            <w:pPr>
              <w:widowControl/>
              <w:spacing w:line="400" w:lineRule="exact"/>
              <w:jc w:val="left"/>
              <w:rPr>
                <w:rFonts w:ascii="宋体" w:hAnsi="宋体" w:cs="宋体"/>
                <w:kern w:val="0"/>
                <w:sz w:val="24"/>
                <w:szCs w:val="24"/>
              </w:rPr>
            </w:pPr>
            <w:r>
              <w:rPr>
                <w:rFonts w:hint="eastAsia" w:ascii="宋体" w:hAnsi="宋体" w:cs="宋体"/>
                <w:kern w:val="0"/>
                <w:sz w:val="24"/>
                <w:szCs w:val="24"/>
              </w:rPr>
              <w:t>未审查施工组织设计及专项方案</w:t>
            </w:r>
          </w:p>
        </w:tc>
        <w:tc>
          <w:tcPr>
            <w:tcW w:w="2471" w:type="dxa"/>
            <w:tcBorders>
              <w:top w:val="nil"/>
              <w:left w:val="nil"/>
              <w:bottom w:val="single" w:color="auto" w:sz="4" w:space="0"/>
              <w:right w:val="single" w:color="auto" w:sz="4" w:space="0"/>
            </w:tcBorders>
            <w:noWrap/>
            <w:vAlign w:val="center"/>
          </w:tcPr>
          <w:p w14:paraId="55B07FC9">
            <w:pPr>
              <w:widowControl/>
              <w:spacing w:line="400" w:lineRule="exact"/>
              <w:jc w:val="left"/>
              <w:rPr>
                <w:rFonts w:ascii="宋体" w:hAnsi="宋体" w:cs="宋体"/>
                <w:kern w:val="0"/>
                <w:sz w:val="24"/>
                <w:szCs w:val="24"/>
              </w:rPr>
            </w:pPr>
            <w:r>
              <w:rPr>
                <w:rFonts w:hint="eastAsia" w:ascii="宋体" w:hAnsi="宋体" w:cs="宋体"/>
                <w:kern w:val="0"/>
                <w:sz w:val="24"/>
                <w:szCs w:val="24"/>
              </w:rPr>
              <w:t>0.5‰-1‰</w:t>
            </w:r>
          </w:p>
        </w:tc>
        <w:tc>
          <w:tcPr>
            <w:tcW w:w="850" w:type="dxa"/>
            <w:tcBorders>
              <w:top w:val="nil"/>
              <w:left w:val="nil"/>
              <w:bottom w:val="single" w:color="auto" w:sz="4" w:space="0"/>
              <w:right w:val="single" w:color="auto" w:sz="4" w:space="0"/>
            </w:tcBorders>
            <w:noWrap/>
            <w:vAlign w:val="center"/>
          </w:tcPr>
          <w:p w14:paraId="689C275B">
            <w:pPr>
              <w:widowControl/>
              <w:spacing w:line="400" w:lineRule="exact"/>
              <w:jc w:val="center"/>
              <w:rPr>
                <w:rFonts w:ascii="宋体" w:hAnsi="宋体" w:cs="宋体"/>
                <w:kern w:val="0"/>
                <w:sz w:val="24"/>
                <w:szCs w:val="24"/>
              </w:rPr>
            </w:pPr>
          </w:p>
        </w:tc>
      </w:tr>
      <w:tr w14:paraId="3520DD56">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3CD394D9">
            <w:pPr>
              <w:widowControl/>
              <w:spacing w:line="400" w:lineRule="exact"/>
              <w:jc w:val="left"/>
              <w:rPr>
                <w:rFonts w:ascii="宋体" w:hAnsi="宋体" w:cs="宋体"/>
                <w:kern w:val="0"/>
                <w:sz w:val="24"/>
                <w:szCs w:val="24"/>
              </w:rPr>
            </w:pPr>
          </w:p>
        </w:tc>
        <w:tc>
          <w:tcPr>
            <w:tcW w:w="1374" w:type="dxa"/>
            <w:vMerge w:val="continue"/>
            <w:tcBorders>
              <w:top w:val="nil"/>
              <w:left w:val="single" w:color="auto" w:sz="4" w:space="0"/>
              <w:bottom w:val="nil"/>
              <w:right w:val="single" w:color="auto" w:sz="4" w:space="0"/>
            </w:tcBorders>
            <w:noWrap/>
            <w:vAlign w:val="center"/>
          </w:tcPr>
          <w:p w14:paraId="1B98CE2B">
            <w:pPr>
              <w:widowControl/>
              <w:spacing w:line="400" w:lineRule="exact"/>
              <w:jc w:val="left"/>
              <w:rPr>
                <w:rFonts w:ascii="宋体" w:hAnsi="宋体" w:cs="宋体"/>
                <w:kern w:val="0"/>
                <w:sz w:val="24"/>
                <w:szCs w:val="24"/>
              </w:rPr>
            </w:pPr>
          </w:p>
        </w:tc>
        <w:tc>
          <w:tcPr>
            <w:tcW w:w="4395" w:type="dxa"/>
            <w:tcBorders>
              <w:top w:val="nil"/>
              <w:left w:val="nil"/>
              <w:bottom w:val="single" w:color="auto" w:sz="4" w:space="0"/>
              <w:right w:val="single" w:color="auto" w:sz="4" w:space="0"/>
            </w:tcBorders>
            <w:noWrap/>
            <w:vAlign w:val="center"/>
          </w:tcPr>
          <w:p w14:paraId="347BB9EF">
            <w:pPr>
              <w:spacing w:line="400" w:lineRule="exact"/>
              <w:rPr>
                <w:rFonts w:ascii="宋体" w:hAnsi="宋体" w:cs="宋体"/>
                <w:sz w:val="24"/>
                <w:szCs w:val="24"/>
              </w:rPr>
            </w:pPr>
            <w:r>
              <w:rPr>
                <w:rFonts w:hint="eastAsia" w:ascii="宋体" w:hAnsi="宋体" w:cs="宋体"/>
                <w:sz w:val="24"/>
                <w:szCs w:val="24"/>
              </w:rPr>
              <w:t>未识别是否符合强制性标准</w:t>
            </w:r>
          </w:p>
        </w:tc>
        <w:tc>
          <w:tcPr>
            <w:tcW w:w="2471" w:type="dxa"/>
            <w:tcBorders>
              <w:top w:val="nil"/>
              <w:left w:val="nil"/>
              <w:bottom w:val="single" w:color="auto" w:sz="4" w:space="0"/>
              <w:right w:val="single" w:color="auto" w:sz="4" w:space="0"/>
            </w:tcBorders>
            <w:noWrap/>
            <w:vAlign w:val="center"/>
          </w:tcPr>
          <w:p w14:paraId="7755395B">
            <w:pPr>
              <w:spacing w:line="400" w:lineRule="exact"/>
              <w:rPr>
                <w:rFonts w:ascii="宋体" w:hAnsi="宋体" w:cs="宋体"/>
                <w:sz w:val="24"/>
                <w:szCs w:val="24"/>
              </w:rPr>
            </w:pPr>
            <w:r>
              <w:rPr>
                <w:rFonts w:hint="eastAsia" w:ascii="宋体" w:hAnsi="宋体" w:cs="宋体"/>
                <w:sz w:val="24"/>
                <w:szCs w:val="24"/>
              </w:rPr>
              <w:t>0.5‰-1‰</w:t>
            </w:r>
          </w:p>
        </w:tc>
        <w:tc>
          <w:tcPr>
            <w:tcW w:w="850" w:type="dxa"/>
            <w:tcBorders>
              <w:top w:val="nil"/>
              <w:left w:val="nil"/>
              <w:bottom w:val="single" w:color="auto" w:sz="4" w:space="0"/>
              <w:right w:val="single" w:color="auto" w:sz="4" w:space="0"/>
            </w:tcBorders>
            <w:noWrap/>
            <w:vAlign w:val="center"/>
          </w:tcPr>
          <w:p w14:paraId="5788D4CB">
            <w:pPr>
              <w:widowControl/>
              <w:spacing w:line="400" w:lineRule="exact"/>
              <w:jc w:val="center"/>
              <w:rPr>
                <w:rFonts w:ascii="宋体" w:hAnsi="宋体" w:cs="宋体"/>
                <w:kern w:val="0"/>
                <w:sz w:val="24"/>
                <w:szCs w:val="24"/>
              </w:rPr>
            </w:pPr>
          </w:p>
        </w:tc>
      </w:tr>
      <w:tr w14:paraId="1753B0E6">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5360A6B6">
            <w:pPr>
              <w:widowControl/>
              <w:spacing w:line="400" w:lineRule="exact"/>
              <w:jc w:val="left"/>
              <w:rPr>
                <w:rFonts w:ascii="宋体" w:hAnsi="宋体" w:cs="宋体"/>
                <w:kern w:val="0"/>
                <w:sz w:val="24"/>
                <w:szCs w:val="24"/>
              </w:rPr>
            </w:pPr>
          </w:p>
        </w:tc>
        <w:tc>
          <w:tcPr>
            <w:tcW w:w="1374" w:type="dxa"/>
            <w:tcBorders>
              <w:top w:val="single" w:color="auto" w:sz="4" w:space="0"/>
              <w:left w:val="nil"/>
              <w:bottom w:val="single" w:color="auto" w:sz="4" w:space="0"/>
              <w:right w:val="single" w:color="auto" w:sz="4" w:space="0"/>
            </w:tcBorders>
            <w:noWrap/>
            <w:vAlign w:val="center"/>
          </w:tcPr>
          <w:p w14:paraId="2030DD8F">
            <w:pPr>
              <w:widowControl/>
              <w:spacing w:line="400" w:lineRule="exact"/>
              <w:jc w:val="left"/>
              <w:rPr>
                <w:rFonts w:ascii="宋体" w:hAnsi="宋体" w:cs="宋体"/>
                <w:kern w:val="0"/>
                <w:sz w:val="24"/>
                <w:szCs w:val="24"/>
              </w:rPr>
            </w:pPr>
            <w:r>
              <w:rPr>
                <w:rFonts w:hint="eastAsia" w:ascii="宋体" w:hAnsi="宋体" w:cs="宋体"/>
                <w:kern w:val="0"/>
                <w:sz w:val="24"/>
                <w:szCs w:val="24"/>
              </w:rPr>
              <w:t>审核分包单位</w:t>
            </w:r>
          </w:p>
        </w:tc>
        <w:tc>
          <w:tcPr>
            <w:tcW w:w="4395" w:type="dxa"/>
            <w:tcBorders>
              <w:top w:val="nil"/>
              <w:left w:val="nil"/>
              <w:bottom w:val="single" w:color="auto" w:sz="4" w:space="0"/>
              <w:right w:val="single" w:color="auto" w:sz="4" w:space="0"/>
            </w:tcBorders>
            <w:noWrap/>
            <w:vAlign w:val="center"/>
          </w:tcPr>
          <w:p w14:paraId="1E7B4EC5">
            <w:pPr>
              <w:widowControl/>
              <w:spacing w:line="400" w:lineRule="exact"/>
              <w:jc w:val="left"/>
              <w:rPr>
                <w:rFonts w:ascii="宋体" w:hAnsi="宋体" w:cs="宋体"/>
                <w:kern w:val="0"/>
                <w:sz w:val="24"/>
                <w:szCs w:val="24"/>
              </w:rPr>
            </w:pPr>
            <w:r>
              <w:rPr>
                <w:rFonts w:hint="eastAsia" w:ascii="宋体" w:hAnsi="宋体" w:cs="宋体"/>
                <w:kern w:val="0"/>
                <w:sz w:val="24"/>
                <w:szCs w:val="24"/>
              </w:rPr>
              <w:t>未审核施工单位报送的分包单位资格</w:t>
            </w:r>
          </w:p>
        </w:tc>
        <w:tc>
          <w:tcPr>
            <w:tcW w:w="2471" w:type="dxa"/>
            <w:tcBorders>
              <w:top w:val="nil"/>
              <w:left w:val="nil"/>
              <w:bottom w:val="single" w:color="auto" w:sz="4" w:space="0"/>
              <w:right w:val="single" w:color="auto" w:sz="4" w:space="0"/>
            </w:tcBorders>
            <w:noWrap/>
            <w:vAlign w:val="center"/>
          </w:tcPr>
          <w:p w14:paraId="2310938C">
            <w:pPr>
              <w:widowControl/>
              <w:spacing w:line="400" w:lineRule="exact"/>
              <w:jc w:val="left"/>
              <w:rPr>
                <w:rFonts w:ascii="宋体" w:hAnsi="宋体" w:cs="宋体"/>
                <w:kern w:val="0"/>
                <w:sz w:val="24"/>
                <w:szCs w:val="24"/>
              </w:rPr>
            </w:pPr>
            <w:r>
              <w:rPr>
                <w:rFonts w:hint="eastAsia" w:ascii="宋体" w:hAnsi="宋体" w:cs="宋体"/>
                <w:kern w:val="0"/>
                <w:sz w:val="24"/>
                <w:szCs w:val="24"/>
              </w:rPr>
              <w:t>1‰-2‰</w:t>
            </w:r>
          </w:p>
        </w:tc>
        <w:tc>
          <w:tcPr>
            <w:tcW w:w="850" w:type="dxa"/>
            <w:tcBorders>
              <w:top w:val="nil"/>
              <w:left w:val="nil"/>
              <w:bottom w:val="single" w:color="auto" w:sz="4" w:space="0"/>
              <w:right w:val="single" w:color="auto" w:sz="4" w:space="0"/>
            </w:tcBorders>
            <w:noWrap/>
            <w:vAlign w:val="center"/>
          </w:tcPr>
          <w:p w14:paraId="6F2AB7E6">
            <w:pPr>
              <w:widowControl/>
              <w:spacing w:line="400" w:lineRule="exact"/>
              <w:jc w:val="center"/>
              <w:rPr>
                <w:rFonts w:ascii="宋体" w:hAnsi="宋体" w:cs="宋体"/>
                <w:kern w:val="0"/>
                <w:sz w:val="24"/>
                <w:szCs w:val="24"/>
              </w:rPr>
            </w:pPr>
            <w:r>
              <w:rPr>
                <w:rFonts w:hint="eastAsia" w:ascii="宋体" w:hAnsi="宋体" w:cs="宋体"/>
                <w:kern w:val="0"/>
                <w:sz w:val="24"/>
                <w:szCs w:val="24"/>
              </w:rPr>
              <w:t>★</w:t>
            </w:r>
          </w:p>
        </w:tc>
      </w:tr>
      <w:tr w14:paraId="205E428B">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2AFC24BE">
            <w:pPr>
              <w:widowControl/>
              <w:spacing w:line="400" w:lineRule="exact"/>
              <w:jc w:val="left"/>
              <w:rPr>
                <w:rFonts w:ascii="宋体" w:hAnsi="宋体" w:cs="宋体"/>
                <w:kern w:val="0"/>
                <w:sz w:val="24"/>
                <w:szCs w:val="24"/>
              </w:rPr>
            </w:pPr>
          </w:p>
        </w:tc>
        <w:tc>
          <w:tcPr>
            <w:tcW w:w="1374" w:type="dxa"/>
            <w:vMerge w:val="restart"/>
            <w:tcBorders>
              <w:top w:val="nil"/>
              <w:left w:val="single" w:color="auto" w:sz="4" w:space="0"/>
              <w:bottom w:val="single" w:color="000000" w:sz="4" w:space="0"/>
              <w:right w:val="single" w:color="auto" w:sz="4" w:space="0"/>
            </w:tcBorders>
            <w:noWrap/>
            <w:vAlign w:val="center"/>
          </w:tcPr>
          <w:p w14:paraId="1ED179E6">
            <w:pPr>
              <w:widowControl/>
              <w:spacing w:line="400" w:lineRule="exact"/>
              <w:jc w:val="left"/>
              <w:rPr>
                <w:rFonts w:ascii="宋体" w:hAnsi="宋体" w:cs="宋体"/>
                <w:kern w:val="0"/>
                <w:sz w:val="24"/>
                <w:szCs w:val="24"/>
              </w:rPr>
            </w:pPr>
            <w:r>
              <w:rPr>
                <w:rFonts w:hint="eastAsia" w:ascii="宋体" w:hAnsi="宋体" w:cs="宋体"/>
                <w:kern w:val="0"/>
                <w:sz w:val="24"/>
                <w:szCs w:val="24"/>
              </w:rPr>
              <w:t>检查复核施工测量成果</w:t>
            </w:r>
          </w:p>
        </w:tc>
        <w:tc>
          <w:tcPr>
            <w:tcW w:w="4395" w:type="dxa"/>
            <w:tcBorders>
              <w:top w:val="nil"/>
              <w:left w:val="nil"/>
              <w:bottom w:val="single" w:color="auto" w:sz="4" w:space="0"/>
              <w:right w:val="single" w:color="auto" w:sz="4" w:space="0"/>
            </w:tcBorders>
            <w:noWrap/>
            <w:vAlign w:val="center"/>
          </w:tcPr>
          <w:p w14:paraId="1814A3DC">
            <w:pPr>
              <w:widowControl/>
              <w:spacing w:line="400" w:lineRule="exact"/>
              <w:jc w:val="left"/>
              <w:rPr>
                <w:rFonts w:ascii="宋体" w:hAnsi="宋体" w:cs="宋体"/>
                <w:kern w:val="0"/>
                <w:sz w:val="24"/>
                <w:szCs w:val="24"/>
              </w:rPr>
            </w:pPr>
            <w:r>
              <w:rPr>
                <w:rFonts w:hint="eastAsia" w:ascii="宋体" w:hAnsi="宋体" w:cs="宋体"/>
                <w:kern w:val="0"/>
                <w:sz w:val="24"/>
                <w:szCs w:val="24"/>
              </w:rPr>
              <w:t>未检查、复核施工单位报审的测量人员资格或测量设备检定证书</w:t>
            </w:r>
          </w:p>
        </w:tc>
        <w:tc>
          <w:tcPr>
            <w:tcW w:w="2471" w:type="dxa"/>
            <w:tcBorders>
              <w:top w:val="nil"/>
              <w:left w:val="nil"/>
              <w:bottom w:val="single" w:color="auto" w:sz="4" w:space="0"/>
              <w:right w:val="single" w:color="auto" w:sz="4" w:space="0"/>
            </w:tcBorders>
            <w:noWrap/>
            <w:vAlign w:val="center"/>
          </w:tcPr>
          <w:p w14:paraId="70F0A195">
            <w:pPr>
              <w:widowControl/>
              <w:spacing w:line="400" w:lineRule="exact"/>
              <w:jc w:val="left"/>
              <w:rPr>
                <w:rFonts w:ascii="宋体" w:hAnsi="宋体" w:cs="宋体"/>
                <w:kern w:val="0"/>
                <w:sz w:val="24"/>
                <w:szCs w:val="24"/>
              </w:rPr>
            </w:pPr>
            <w:r>
              <w:rPr>
                <w:rFonts w:hint="eastAsia" w:ascii="宋体" w:hAnsi="宋体" w:cs="宋体"/>
                <w:kern w:val="0"/>
                <w:sz w:val="24"/>
                <w:szCs w:val="24"/>
              </w:rPr>
              <w:t>0.5‰-1‰</w:t>
            </w:r>
          </w:p>
        </w:tc>
        <w:tc>
          <w:tcPr>
            <w:tcW w:w="850" w:type="dxa"/>
            <w:tcBorders>
              <w:top w:val="nil"/>
              <w:left w:val="nil"/>
              <w:bottom w:val="single" w:color="auto" w:sz="4" w:space="0"/>
              <w:right w:val="single" w:color="auto" w:sz="4" w:space="0"/>
            </w:tcBorders>
            <w:noWrap/>
            <w:vAlign w:val="center"/>
          </w:tcPr>
          <w:p w14:paraId="6D47C1A5">
            <w:pPr>
              <w:widowControl/>
              <w:spacing w:line="400" w:lineRule="exact"/>
              <w:jc w:val="center"/>
              <w:rPr>
                <w:rFonts w:ascii="宋体" w:hAnsi="宋体" w:cs="宋体"/>
                <w:kern w:val="0"/>
                <w:sz w:val="24"/>
                <w:szCs w:val="24"/>
              </w:rPr>
            </w:pPr>
          </w:p>
        </w:tc>
      </w:tr>
      <w:tr w14:paraId="22F89C0E">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70BA80F0">
            <w:pPr>
              <w:widowControl/>
              <w:spacing w:line="400" w:lineRule="exact"/>
              <w:jc w:val="left"/>
              <w:rPr>
                <w:rFonts w:ascii="宋体" w:hAnsi="宋体" w:cs="宋体"/>
                <w:kern w:val="0"/>
                <w:sz w:val="24"/>
                <w:szCs w:val="24"/>
              </w:rPr>
            </w:pPr>
          </w:p>
        </w:tc>
        <w:tc>
          <w:tcPr>
            <w:tcW w:w="1374" w:type="dxa"/>
            <w:vMerge w:val="continue"/>
            <w:tcBorders>
              <w:top w:val="nil"/>
              <w:left w:val="single" w:color="auto" w:sz="4" w:space="0"/>
              <w:bottom w:val="single" w:color="000000" w:sz="4" w:space="0"/>
              <w:right w:val="single" w:color="auto" w:sz="4" w:space="0"/>
            </w:tcBorders>
            <w:noWrap/>
            <w:vAlign w:val="center"/>
          </w:tcPr>
          <w:p w14:paraId="3209FF34">
            <w:pPr>
              <w:widowControl/>
              <w:spacing w:line="400" w:lineRule="exact"/>
              <w:jc w:val="left"/>
              <w:rPr>
                <w:rFonts w:ascii="宋体" w:hAnsi="宋体" w:cs="宋体"/>
                <w:kern w:val="0"/>
                <w:sz w:val="24"/>
                <w:szCs w:val="24"/>
              </w:rPr>
            </w:pPr>
          </w:p>
        </w:tc>
        <w:tc>
          <w:tcPr>
            <w:tcW w:w="4395" w:type="dxa"/>
            <w:tcBorders>
              <w:top w:val="nil"/>
              <w:left w:val="nil"/>
              <w:bottom w:val="single" w:color="auto" w:sz="4" w:space="0"/>
              <w:right w:val="single" w:color="auto" w:sz="4" w:space="0"/>
            </w:tcBorders>
            <w:noWrap/>
            <w:vAlign w:val="center"/>
          </w:tcPr>
          <w:p w14:paraId="4098F58C">
            <w:pPr>
              <w:widowControl/>
              <w:spacing w:line="400" w:lineRule="exact"/>
              <w:jc w:val="left"/>
              <w:rPr>
                <w:rFonts w:ascii="宋体" w:hAnsi="宋体" w:cs="宋体"/>
                <w:kern w:val="0"/>
                <w:sz w:val="24"/>
                <w:szCs w:val="24"/>
              </w:rPr>
            </w:pPr>
            <w:r>
              <w:rPr>
                <w:rFonts w:hint="eastAsia" w:ascii="宋体" w:hAnsi="宋体" w:cs="宋体"/>
                <w:kern w:val="0"/>
                <w:sz w:val="24"/>
                <w:szCs w:val="24"/>
              </w:rPr>
              <w:t>未检查、复核测量成果、交桩记录及控制桩保护措施</w:t>
            </w:r>
          </w:p>
        </w:tc>
        <w:tc>
          <w:tcPr>
            <w:tcW w:w="2471" w:type="dxa"/>
            <w:tcBorders>
              <w:top w:val="nil"/>
              <w:left w:val="nil"/>
              <w:bottom w:val="single" w:color="auto" w:sz="4" w:space="0"/>
              <w:right w:val="single" w:color="auto" w:sz="4" w:space="0"/>
            </w:tcBorders>
            <w:noWrap/>
            <w:vAlign w:val="center"/>
          </w:tcPr>
          <w:p w14:paraId="6C1D027E">
            <w:pPr>
              <w:widowControl/>
              <w:spacing w:line="400" w:lineRule="exact"/>
              <w:jc w:val="left"/>
              <w:rPr>
                <w:rFonts w:ascii="宋体" w:hAnsi="宋体" w:cs="宋体"/>
                <w:kern w:val="0"/>
                <w:sz w:val="24"/>
                <w:szCs w:val="24"/>
              </w:rPr>
            </w:pPr>
            <w:r>
              <w:rPr>
                <w:rFonts w:hint="eastAsia" w:ascii="宋体" w:hAnsi="宋体" w:cs="宋体"/>
                <w:kern w:val="0"/>
                <w:sz w:val="24"/>
                <w:szCs w:val="24"/>
              </w:rPr>
              <w:t>0.5‰-1‰</w:t>
            </w:r>
          </w:p>
        </w:tc>
        <w:tc>
          <w:tcPr>
            <w:tcW w:w="850" w:type="dxa"/>
            <w:tcBorders>
              <w:top w:val="nil"/>
              <w:left w:val="nil"/>
              <w:bottom w:val="single" w:color="auto" w:sz="4" w:space="0"/>
              <w:right w:val="single" w:color="auto" w:sz="4" w:space="0"/>
            </w:tcBorders>
            <w:noWrap/>
            <w:vAlign w:val="center"/>
          </w:tcPr>
          <w:p w14:paraId="441937D3">
            <w:pPr>
              <w:widowControl/>
              <w:spacing w:line="400" w:lineRule="exact"/>
              <w:jc w:val="center"/>
              <w:rPr>
                <w:rFonts w:ascii="宋体" w:hAnsi="宋体" w:cs="宋体"/>
                <w:kern w:val="0"/>
                <w:sz w:val="24"/>
                <w:szCs w:val="24"/>
              </w:rPr>
            </w:pPr>
          </w:p>
        </w:tc>
      </w:tr>
      <w:tr w14:paraId="726D90FD">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19B2E03D">
            <w:pPr>
              <w:widowControl/>
              <w:spacing w:line="400" w:lineRule="exact"/>
              <w:jc w:val="left"/>
              <w:rPr>
                <w:rFonts w:ascii="宋体" w:hAnsi="宋体" w:cs="宋体"/>
                <w:kern w:val="0"/>
                <w:sz w:val="24"/>
                <w:szCs w:val="24"/>
              </w:rPr>
            </w:pPr>
          </w:p>
        </w:tc>
        <w:tc>
          <w:tcPr>
            <w:tcW w:w="1374" w:type="dxa"/>
            <w:vMerge w:val="continue"/>
            <w:tcBorders>
              <w:top w:val="nil"/>
              <w:left w:val="single" w:color="auto" w:sz="4" w:space="0"/>
              <w:bottom w:val="single" w:color="000000" w:sz="4" w:space="0"/>
              <w:right w:val="single" w:color="auto" w:sz="4" w:space="0"/>
            </w:tcBorders>
            <w:noWrap/>
            <w:vAlign w:val="center"/>
          </w:tcPr>
          <w:p w14:paraId="2F1097D8">
            <w:pPr>
              <w:widowControl/>
              <w:spacing w:line="400" w:lineRule="exact"/>
              <w:jc w:val="left"/>
              <w:rPr>
                <w:rFonts w:ascii="宋体" w:hAnsi="宋体" w:cs="宋体"/>
                <w:kern w:val="0"/>
                <w:sz w:val="24"/>
                <w:szCs w:val="24"/>
              </w:rPr>
            </w:pPr>
          </w:p>
        </w:tc>
        <w:tc>
          <w:tcPr>
            <w:tcW w:w="4395" w:type="dxa"/>
            <w:tcBorders>
              <w:top w:val="nil"/>
              <w:left w:val="nil"/>
              <w:bottom w:val="single" w:color="auto" w:sz="4" w:space="0"/>
              <w:right w:val="single" w:color="auto" w:sz="4" w:space="0"/>
            </w:tcBorders>
            <w:noWrap/>
            <w:vAlign w:val="center"/>
          </w:tcPr>
          <w:p w14:paraId="2032BB06">
            <w:pPr>
              <w:widowControl/>
              <w:spacing w:line="400" w:lineRule="exact"/>
              <w:jc w:val="left"/>
              <w:rPr>
                <w:rFonts w:ascii="宋体" w:hAnsi="宋体" w:cs="宋体"/>
                <w:kern w:val="0"/>
                <w:sz w:val="24"/>
                <w:szCs w:val="24"/>
              </w:rPr>
            </w:pPr>
            <w:r>
              <w:rPr>
                <w:rFonts w:hint="eastAsia" w:ascii="宋体" w:hAnsi="宋体" w:cs="宋体"/>
                <w:kern w:val="0"/>
                <w:sz w:val="24"/>
                <w:szCs w:val="24"/>
              </w:rPr>
              <w:t>未对复核测量成果进行签认</w:t>
            </w:r>
          </w:p>
        </w:tc>
        <w:tc>
          <w:tcPr>
            <w:tcW w:w="2471" w:type="dxa"/>
            <w:tcBorders>
              <w:top w:val="nil"/>
              <w:left w:val="nil"/>
              <w:bottom w:val="single" w:color="auto" w:sz="4" w:space="0"/>
              <w:right w:val="single" w:color="auto" w:sz="4" w:space="0"/>
            </w:tcBorders>
            <w:noWrap/>
            <w:vAlign w:val="center"/>
          </w:tcPr>
          <w:p w14:paraId="6F6787AD">
            <w:pPr>
              <w:widowControl/>
              <w:spacing w:line="400" w:lineRule="exact"/>
              <w:jc w:val="left"/>
              <w:rPr>
                <w:rFonts w:ascii="宋体" w:hAnsi="宋体" w:cs="宋体"/>
                <w:kern w:val="0"/>
                <w:sz w:val="24"/>
                <w:szCs w:val="24"/>
              </w:rPr>
            </w:pPr>
            <w:r>
              <w:rPr>
                <w:rFonts w:hint="eastAsia" w:ascii="宋体" w:hAnsi="宋体" w:cs="宋体"/>
                <w:kern w:val="0"/>
                <w:sz w:val="24"/>
                <w:szCs w:val="24"/>
              </w:rPr>
              <w:t>0.25‰-0.5‰</w:t>
            </w:r>
          </w:p>
        </w:tc>
        <w:tc>
          <w:tcPr>
            <w:tcW w:w="850" w:type="dxa"/>
            <w:tcBorders>
              <w:top w:val="nil"/>
              <w:left w:val="nil"/>
              <w:bottom w:val="single" w:color="auto" w:sz="4" w:space="0"/>
              <w:right w:val="single" w:color="auto" w:sz="4" w:space="0"/>
            </w:tcBorders>
            <w:noWrap/>
            <w:vAlign w:val="center"/>
          </w:tcPr>
          <w:p w14:paraId="368DD69D">
            <w:pPr>
              <w:widowControl/>
              <w:spacing w:line="400" w:lineRule="exact"/>
              <w:jc w:val="center"/>
              <w:rPr>
                <w:rFonts w:ascii="宋体" w:hAnsi="宋体" w:cs="宋体"/>
                <w:kern w:val="0"/>
                <w:sz w:val="24"/>
                <w:szCs w:val="24"/>
              </w:rPr>
            </w:pPr>
          </w:p>
        </w:tc>
      </w:tr>
      <w:tr w14:paraId="00E6D1ED">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34F6D122">
            <w:pPr>
              <w:widowControl/>
              <w:spacing w:line="400" w:lineRule="exact"/>
              <w:jc w:val="left"/>
              <w:rPr>
                <w:rFonts w:ascii="宋体" w:hAnsi="宋体" w:cs="宋体"/>
                <w:kern w:val="0"/>
                <w:sz w:val="24"/>
                <w:szCs w:val="24"/>
              </w:rPr>
            </w:pPr>
          </w:p>
        </w:tc>
        <w:tc>
          <w:tcPr>
            <w:tcW w:w="1374" w:type="dxa"/>
            <w:vMerge w:val="restart"/>
            <w:tcBorders>
              <w:top w:val="nil"/>
              <w:left w:val="single" w:color="auto" w:sz="4" w:space="0"/>
              <w:bottom w:val="nil"/>
              <w:right w:val="single" w:color="auto" w:sz="4" w:space="0"/>
            </w:tcBorders>
            <w:noWrap/>
            <w:vAlign w:val="center"/>
          </w:tcPr>
          <w:p w14:paraId="0BE331AF">
            <w:pPr>
              <w:widowControl/>
              <w:spacing w:line="400" w:lineRule="exact"/>
              <w:jc w:val="left"/>
              <w:rPr>
                <w:rFonts w:ascii="宋体" w:hAnsi="宋体" w:cs="宋体"/>
                <w:kern w:val="0"/>
                <w:sz w:val="24"/>
                <w:szCs w:val="24"/>
              </w:rPr>
            </w:pPr>
            <w:r>
              <w:rPr>
                <w:rFonts w:hint="eastAsia" w:ascii="宋体" w:hAnsi="宋体" w:cs="宋体"/>
                <w:kern w:val="0"/>
                <w:sz w:val="24"/>
                <w:szCs w:val="24"/>
              </w:rPr>
              <w:t>材料/构配件/设备审查</w:t>
            </w:r>
          </w:p>
        </w:tc>
        <w:tc>
          <w:tcPr>
            <w:tcW w:w="4395" w:type="dxa"/>
            <w:tcBorders>
              <w:top w:val="nil"/>
              <w:left w:val="nil"/>
              <w:bottom w:val="single" w:color="auto" w:sz="4" w:space="0"/>
              <w:right w:val="single" w:color="auto" w:sz="4" w:space="0"/>
            </w:tcBorders>
            <w:noWrap/>
            <w:vAlign w:val="center"/>
          </w:tcPr>
          <w:p w14:paraId="190A8D55">
            <w:pPr>
              <w:widowControl/>
              <w:spacing w:line="400" w:lineRule="exact"/>
              <w:jc w:val="left"/>
              <w:rPr>
                <w:rFonts w:ascii="宋体" w:hAnsi="宋体" w:cs="宋体"/>
                <w:kern w:val="0"/>
                <w:sz w:val="24"/>
                <w:szCs w:val="24"/>
              </w:rPr>
            </w:pPr>
            <w:r>
              <w:rPr>
                <w:rFonts w:hint="eastAsia" w:ascii="宋体" w:hAnsi="宋体" w:cs="宋体"/>
                <w:kern w:val="0"/>
                <w:sz w:val="24"/>
                <w:szCs w:val="24"/>
              </w:rPr>
              <w:t>未审查质量证明文件，未对实物进行检查、验收，将不合格的签认为合格</w:t>
            </w:r>
          </w:p>
        </w:tc>
        <w:tc>
          <w:tcPr>
            <w:tcW w:w="2471" w:type="dxa"/>
            <w:tcBorders>
              <w:top w:val="nil"/>
              <w:left w:val="nil"/>
              <w:bottom w:val="single" w:color="auto" w:sz="4" w:space="0"/>
              <w:right w:val="single" w:color="auto" w:sz="4" w:space="0"/>
            </w:tcBorders>
            <w:noWrap/>
            <w:vAlign w:val="center"/>
          </w:tcPr>
          <w:p w14:paraId="10516BC2">
            <w:pPr>
              <w:widowControl/>
              <w:spacing w:line="400" w:lineRule="exact"/>
              <w:jc w:val="left"/>
              <w:rPr>
                <w:rFonts w:ascii="宋体" w:hAnsi="宋体" w:cs="宋体"/>
                <w:kern w:val="0"/>
                <w:sz w:val="24"/>
                <w:szCs w:val="24"/>
              </w:rPr>
            </w:pPr>
            <w:r>
              <w:rPr>
                <w:rFonts w:hint="eastAsia" w:ascii="宋体" w:hAnsi="宋体" w:cs="宋体"/>
                <w:kern w:val="0"/>
                <w:sz w:val="24"/>
                <w:szCs w:val="24"/>
              </w:rPr>
              <w:t>1‰-2‰</w:t>
            </w:r>
          </w:p>
        </w:tc>
        <w:tc>
          <w:tcPr>
            <w:tcW w:w="850" w:type="dxa"/>
            <w:tcBorders>
              <w:top w:val="nil"/>
              <w:left w:val="nil"/>
              <w:bottom w:val="single" w:color="auto" w:sz="4" w:space="0"/>
              <w:right w:val="single" w:color="auto" w:sz="4" w:space="0"/>
            </w:tcBorders>
            <w:noWrap/>
            <w:vAlign w:val="center"/>
          </w:tcPr>
          <w:p w14:paraId="72BAC025">
            <w:pPr>
              <w:widowControl/>
              <w:spacing w:line="400" w:lineRule="exact"/>
              <w:jc w:val="center"/>
              <w:rPr>
                <w:rFonts w:ascii="宋体" w:hAnsi="宋体" w:cs="宋体"/>
                <w:kern w:val="0"/>
                <w:sz w:val="24"/>
                <w:szCs w:val="24"/>
              </w:rPr>
            </w:pPr>
            <w:r>
              <w:rPr>
                <w:rFonts w:hint="eastAsia" w:ascii="宋体" w:hAnsi="宋体" w:cs="宋体"/>
                <w:kern w:val="0"/>
                <w:sz w:val="24"/>
                <w:szCs w:val="24"/>
              </w:rPr>
              <w:t>★</w:t>
            </w:r>
          </w:p>
        </w:tc>
      </w:tr>
      <w:tr w14:paraId="199F225A">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418E4AF7">
            <w:pPr>
              <w:widowControl/>
              <w:spacing w:line="400" w:lineRule="exact"/>
              <w:jc w:val="left"/>
              <w:rPr>
                <w:rFonts w:ascii="宋体" w:hAnsi="宋体" w:cs="宋体"/>
                <w:kern w:val="0"/>
                <w:sz w:val="24"/>
                <w:szCs w:val="24"/>
              </w:rPr>
            </w:pPr>
          </w:p>
        </w:tc>
        <w:tc>
          <w:tcPr>
            <w:tcW w:w="1374" w:type="dxa"/>
            <w:vMerge w:val="continue"/>
            <w:tcBorders>
              <w:top w:val="nil"/>
              <w:left w:val="single" w:color="auto" w:sz="4" w:space="0"/>
              <w:bottom w:val="nil"/>
              <w:right w:val="single" w:color="auto" w:sz="4" w:space="0"/>
            </w:tcBorders>
            <w:noWrap/>
            <w:vAlign w:val="center"/>
          </w:tcPr>
          <w:p w14:paraId="1F8609AE">
            <w:pPr>
              <w:widowControl/>
              <w:spacing w:line="400" w:lineRule="exact"/>
              <w:jc w:val="left"/>
              <w:rPr>
                <w:rFonts w:ascii="宋体" w:hAnsi="宋体" w:cs="宋体"/>
                <w:kern w:val="0"/>
                <w:sz w:val="24"/>
                <w:szCs w:val="24"/>
              </w:rPr>
            </w:pPr>
          </w:p>
        </w:tc>
        <w:tc>
          <w:tcPr>
            <w:tcW w:w="4395" w:type="dxa"/>
            <w:tcBorders>
              <w:top w:val="nil"/>
              <w:left w:val="nil"/>
              <w:bottom w:val="single" w:color="auto" w:sz="4" w:space="0"/>
              <w:right w:val="single" w:color="auto" w:sz="4" w:space="0"/>
            </w:tcBorders>
            <w:noWrap/>
            <w:vAlign w:val="center"/>
          </w:tcPr>
          <w:p w14:paraId="6D2B05C2">
            <w:pPr>
              <w:widowControl/>
              <w:spacing w:line="400" w:lineRule="exact"/>
              <w:jc w:val="left"/>
              <w:rPr>
                <w:rFonts w:ascii="宋体" w:hAnsi="宋体" w:cs="宋体"/>
                <w:kern w:val="0"/>
                <w:sz w:val="24"/>
                <w:szCs w:val="24"/>
              </w:rPr>
            </w:pPr>
            <w:r>
              <w:rPr>
                <w:rFonts w:hint="eastAsia" w:ascii="宋体" w:hAnsi="宋体" w:cs="宋体"/>
                <w:kern w:val="0"/>
                <w:sz w:val="24"/>
                <w:szCs w:val="24"/>
              </w:rPr>
              <w:t>对进场不合格的材料、构配件、设备未要求施工单位将其撤出施工现场</w:t>
            </w:r>
          </w:p>
        </w:tc>
        <w:tc>
          <w:tcPr>
            <w:tcW w:w="2471" w:type="dxa"/>
            <w:tcBorders>
              <w:top w:val="nil"/>
              <w:left w:val="nil"/>
              <w:bottom w:val="single" w:color="auto" w:sz="4" w:space="0"/>
              <w:right w:val="single" w:color="auto" w:sz="4" w:space="0"/>
            </w:tcBorders>
            <w:noWrap/>
            <w:vAlign w:val="center"/>
          </w:tcPr>
          <w:p w14:paraId="686A131C">
            <w:pPr>
              <w:widowControl/>
              <w:spacing w:line="400" w:lineRule="exact"/>
              <w:jc w:val="left"/>
              <w:rPr>
                <w:rFonts w:ascii="宋体" w:hAnsi="宋体" w:cs="宋体"/>
                <w:kern w:val="0"/>
                <w:sz w:val="24"/>
                <w:szCs w:val="24"/>
              </w:rPr>
            </w:pPr>
            <w:r>
              <w:rPr>
                <w:rFonts w:hint="eastAsia" w:ascii="宋体" w:hAnsi="宋体" w:cs="宋体"/>
                <w:kern w:val="0"/>
                <w:sz w:val="24"/>
                <w:szCs w:val="24"/>
              </w:rPr>
              <w:t>1‰-2‰</w:t>
            </w:r>
          </w:p>
        </w:tc>
        <w:tc>
          <w:tcPr>
            <w:tcW w:w="850" w:type="dxa"/>
            <w:tcBorders>
              <w:top w:val="nil"/>
              <w:left w:val="nil"/>
              <w:bottom w:val="single" w:color="auto" w:sz="4" w:space="0"/>
              <w:right w:val="single" w:color="auto" w:sz="4" w:space="0"/>
            </w:tcBorders>
            <w:noWrap/>
            <w:vAlign w:val="center"/>
          </w:tcPr>
          <w:p w14:paraId="447006AF">
            <w:pPr>
              <w:widowControl/>
              <w:spacing w:line="400" w:lineRule="exact"/>
              <w:jc w:val="center"/>
              <w:rPr>
                <w:rFonts w:ascii="宋体" w:hAnsi="宋体" w:cs="宋体"/>
                <w:kern w:val="0"/>
                <w:sz w:val="24"/>
                <w:szCs w:val="24"/>
              </w:rPr>
            </w:pPr>
            <w:r>
              <w:rPr>
                <w:rFonts w:hint="eastAsia" w:ascii="宋体" w:hAnsi="宋体" w:cs="宋体"/>
                <w:kern w:val="0"/>
                <w:sz w:val="24"/>
                <w:szCs w:val="24"/>
              </w:rPr>
              <w:t>★</w:t>
            </w:r>
          </w:p>
        </w:tc>
      </w:tr>
      <w:tr w14:paraId="7991A80A">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0D73E870">
            <w:pPr>
              <w:widowControl/>
              <w:spacing w:line="400" w:lineRule="exact"/>
              <w:jc w:val="left"/>
              <w:rPr>
                <w:rFonts w:ascii="宋体" w:hAnsi="宋体" w:cs="宋体"/>
                <w:kern w:val="0"/>
                <w:sz w:val="24"/>
                <w:szCs w:val="24"/>
              </w:rPr>
            </w:pPr>
          </w:p>
        </w:tc>
        <w:tc>
          <w:tcPr>
            <w:tcW w:w="1374" w:type="dxa"/>
            <w:vMerge w:val="continue"/>
            <w:tcBorders>
              <w:top w:val="nil"/>
              <w:left w:val="single" w:color="auto" w:sz="4" w:space="0"/>
              <w:bottom w:val="nil"/>
              <w:right w:val="single" w:color="auto" w:sz="4" w:space="0"/>
            </w:tcBorders>
            <w:noWrap/>
            <w:vAlign w:val="center"/>
          </w:tcPr>
          <w:p w14:paraId="38228F3E">
            <w:pPr>
              <w:widowControl/>
              <w:spacing w:line="400" w:lineRule="exact"/>
              <w:jc w:val="left"/>
              <w:rPr>
                <w:rFonts w:ascii="宋体" w:hAnsi="宋体" w:cs="宋体"/>
                <w:kern w:val="0"/>
                <w:sz w:val="24"/>
                <w:szCs w:val="24"/>
              </w:rPr>
            </w:pPr>
          </w:p>
        </w:tc>
        <w:tc>
          <w:tcPr>
            <w:tcW w:w="4395" w:type="dxa"/>
            <w:tcBorders>
              <w:top w:val="nil"/>
              <w:left w:val="nil"/>
              <w:bottom w:val="single" w:color="auto" w:sz="4" w:space="0"/>
              <w:right w:val="single" w:color="auto" w:sz="4" w:space="0"/>
            </w:tcBorders>
            <w:noWrap/>
            <w:vAlign w:val="center"/>
          </w:tcPr>
          <w:p w14:paraId="760386FB">
            <w:pPr>
              <w:widowControl/>
              <w:spacing w:line="400" w:lineRule="exact"/>
              <w:jc w:val="left"/>
              <w:rPr>
                <w:rFonts w:ascii="宋体" w:hAnsi="宋体" w:cs="宋体"/>
                <w:kern w:val="0"/>
                <w:sz w:val="24"/>
                <w:szCs w:val="24"/>
              </w:rPr>
            </w:pPr>
            <w:r>
              <w:rPr>
                <w:rFonts w:hint="eastAsia" w:ascii="宋体" w:hAnsi="宋体" w:cs="宋体"/>
                <w:kern w:val="0"/>
                <w:sz w:val="24"/>
                <w:szCs w:val="24"/>
              </w:rPr>
              <w:t>未对用于工程的材料按有关规定进行见证取样</w:t>
            </w:r>
          </w:p>
        </w:tc>
        <w:tc>
          <w:tcPr>
            <w:tcW w:w="2471" w:type="dxa"/>
            <w:tcBorders>
              <w:top w:val="nil"/>
              <w:left w:val="nil"/>
              <w:bottom w:val="single" w:color="auto" w:sz="4" w:space="0"/>
              <w:right w:val="single" w:color="auto" w:sz="4" w:space="0"/>
            </w:tcBorders>
            <w:noWrap/>
            <w:vAlign w:val="center"/>
          </w:tcPr>
          <w:p w14:paraId="2A8B8A13">
            <w:pPr>
              <w:widowControl/>
              <w:spacing w:line="400" w:lineRule="exact"/>
              <w:jc w:val="left"/>
              <w:rPr>
                <w:rFonts w:ascii="宋体" w:hAnsi="宋体" w:cs="宋体"/>
                <w:kern w:val="0"/>
                <w:sz w:val="24"/>
                <w:szCs w:val="24"/>
              </w:rPr>
            </w:pPr>
            <w:r>
              <w:rPr>
                <w:rFonts w:hint="eastAsia" w:ascii="宋体" w:hAnsi="宋体" w:cs="宋体"/>
                <w:kern w:val="0"/>
                <w:sz w:val="24"/>
                <w:szCs w:val="24"/>
              </w:rPr>
              <w:t>0.5‰-1‰</w:t>
            </w:r>
          </w:p>
        </w:tc>
        <w:tc>
          <w:tcPr>
            <w:tcW w:w="850" w:type="dxa"/>
            <w:tcBorders>
              <w:top w:val="nil"/>
              <w:left w:val="nil"/>
              <w:bottom w:val="single" w:color="auto" w:sz="4" w:space="0"/>
              <w:right w:val="single" w:color="auto" w:sz="4" w:space="0"/>
            </w:tcBorders>
            <w:noWrap/>
            <w:vAlign w:val="center"/>
          </w:tcPr>
          <w:p w14:paraId="4B217338">
            <w:pPr>
              <w:widowControl/>
              <w:spacing w:line="400" w:lineRule="exact"/>
              <w:jc w:val="center"/>
              <w:rPr>
                <w:rFonts w:ascii="宋体" w:hAnsi="宋体" w:cs="宋体"/>
                <w:kern w:val="0"/>
                <w:sz w:val="24"/>
                <w:szCs w:val="24"/>
              </w:rPr>
            </w:pPr>
          </w:p>
        </w:tc>
      </w:tr>
      <w:tr w14:paraId="1A0A6012">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106EF91A">
            <w:pPr>
              <w:widowControl/>
              <w:spacing w:line="400" w:lineRule="exact"/>
              <w:jc w:val="left"/>
              <w:rPr>
                <w:rFonts w:ascii="宋体" w:hAnsi="宋体" w:cs="宋体"/>
                <w:kern w:val="0"/>
                <w:sz w:val="24"/>
                <w:szCs w:val="24"/>
              </w:rPr>
            </w:pPr>
          </w:p>
        </w:tc>
        <w:tc>
          <w:tcPr>
            <w:tcW w:w="1374" w:type="dxa"/>
            <w:vMerge w:val="continue"/>
            <w:tcBorders>
              <w:top w:val="nil"/>
              <w:left w:val="single" w:color="auto" w:sz="4" w:space="0"/>
              <w:bottom w:val="nil"/>
              <w:right w:val="single" w:color="auto" w:sz="4" w:space="0"/>
            </w:tcBorders>
            <w:noWrap/>
            <w:vAlign w:val="center"/>
          </w:tcPr>
          <w:p w14:paraId="5C216324">
            <w:pPr>
              <w:widowControl/>
              <w:spacing w:line="400" w:lineRule="exact"/>
              <w:jc w:val="left"/>
              <w:rPr>
                <w:rFonts w:ascii="宋体" w:hAnsi="宋体" w:cs="宋体"/>
                <w:kern w:val="0"/>
                <w:sz w:val="24"/>
                <w:szCs w:val="24"/>
              </w:rPr>
            </w:pPr>
          </w:p>
        </w:tc>
        <w:tc>
          <w:tcPr>
            <w:tcW w:w="4395" w:type="dxa"/>
            <w:tcBorders>
              <w:top w:val="nil"/>
              <w:left w:val="nil"/>
              <w:bottom w:val="single" w:color="auto" w:sz="4" w:space="0"/>
              <w:right w:val="single" w:color="auto" w:sz="4" w:space="0"/>
            </w:tcBorders>
            <w:noWrap/>
            <w:vAlign w:val="center"/>
          </w:tcPr>
          <w:p w14:paraId="681F673E">
            <w:pPr>
              <w:widowControl/>
              <w:spacing w:line="400" w:lineRule="exact"/>
              <w:jc w:val="left"/>
              <w:rPr>
                <w:rFonts w:ascii="宋体" w:hAnsi="宋体" w:cs="宋体"/>
                <w:kern w:val="0"/>
                <w:sz w:val="24"/>
                <w:szCs w:val="24"/>
              </w:rPr>
            </w:pPr>
            <w:r>
              <w:rPr>
                <w:rFonts w:hint="eastAsia" w:ascii="宋体" w:hAnsi="宋体" w:cs="宋体"/>
                <w:kern w:val="0"/>
                <w:sz w:val="24"/>
                <w:szCs w:val="24"/>
              </w:rPr>
              <w:t>未按监理合同约定进行平行检验</w:t>
            </w:r>
          </w:p>
        </w:tc>
        <w:tc>
          <w:tcPr>
            <w:tcW w:w="2471" w:type="dxa"/>
            <w:tcBorders>
              <w:top w:val="nil"/>
              <w:left w:val="nil"/>
              <w:bottom w:val="single" w:color="auto" w:sz="4" w:space="0"/>
              <w:right w:val="single" w:color="auto" w:sz="4" w:space="0"/>
            </w:tcBorders>
            <w:noWrap/>
            <w:vAlign w:val="center"/>
          </w:tcPr>
          <w:p w14:paraId="1A841786">
            <w:pPr>
              <w:widowControl/>
              <w:spacing w:line="400" w:lineRule="exact"/>
              <w:jc w:val="left"/>
              <w:rPr>
                <w:rFonts w:ascii="宋体" w:hAnsi="宋体" w:cs="宋体"/>
                <w:kern w:val="0"/>
                <w:sz w:val="24"/>
                <w:szCs w:val="24"/>
              </w:rPr>
            </w:pPr>
            <w:r>
              <w:rPr>
                <w:rFonts w:hint="eastAsia" w:ascii="宋体" w:hAnsi="宋体" w:cs="宋体"/>
                <w:kern w:val="0"/>
                <w:sz w:val="24"/>
                <w:szCs w:val="24"/>
              </w:rPr>
              <w:t>0.5‰-1‰</w:t>
            </w:r>
          </w:p>
        </w:tc>
        <w:tc>
          <w:tcPr>
            <w:tcW w:w="850" w:type="dxa"/>
            <w:tcBorders>
              <w:top w:val="nil"/>
              <w:left w:val="nil"/>
              <w:bottom w:val="single" w:color="auto" w:sz="4" w:space="0"/>
              <w:right w:val="single" w:color="auto" w:sz="4" w:space="0"/>
            </w:tcBorders>
            <w:noWrap/>
            <w:vAlign w:val="center"/>
          </w:tcPr>
          <w:p w14:paraId="2DDE79B8">
            <w:pPr>
              <w:widowControl/>
              <w:spacing w:line="400" w:lineRule="exact"/>
              <w:jc w:val="center"/>
              <w:rPr>
                <w:rFonts w:ascii="宋体" w:hAnsi="宋体" w:cs="宋体"/>
                <w:kern w:val="0"/>
                <w:sz w:val="24"/>
                <w:szCs w:val="24"/>
              </w:rPr>
            </w:pPr>
          </w:p>
        </w:tc>
      </w:tr>
      <w:tr w14:paraId="532EE579">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1CEE6B86">
            <w:pPr>
              <w:widowControl/>
              <w:spacing w:line="400" w:lineRule="exact"/>
              <w:jc w:val="left"/>
              <w:rPr>
                <w:rFonts w:ascii="宋体" w:hAnsi="宋体" w:cs="宋体"/>
                <w:kern w:val="0"/>
                <w:sz w:val="24"/>
                <w:szCs w:val="24"/>
              </w:rPr>
            </w:pPr>
          </w:p>
        </w:tc>
        <w:tc>
          <w:tcPr>
            <w:tcW w:w="1374" w:type="dxa"/>
            <w:tcBorders>
              <w:top w:val="single" w:color="auto" w:sz="4" w:space="0"/>
              <w:left w:val="nil"/>
              <w:bottom w:val="nil"/>
              <w:right w:val="single" w:color="auto" w:sz="4" w:space="0"/>
            </w:tcBorders>
            <w:noWrap/>
            <w:vAlign w:val="center"/>
          </w:tcPr>
          <w:p w14:paraId="045AD2D0">
            <w:pPr>
              <w:widowControl/>
              <w:spacing w:line="400" w:lineRule="exact"/>
              <w:jc w:val="left"/>
              <w:rPr>
                <w:rFonts w:ascii="宋体" w:hAnsi="宋体" w:cs="宋体"/>
                <w:kern w:val="0"/>
                <w:sz w:val="24"/>
                <w:szCs w:val="24"/>
              </w:rPr>
            </w:pPr>
            <w:r>
              <w:rPr>
                <w:rFonts w:hint="eastAsia" w:ascii="宋体" w:hAnsi="宋体" w:cs="宋体"/>
                <w:kern w:val="0"/>
                <w:sz w:val="24"/>
                <w:szCs w:val="24"/>
              </w:rPr>
              <w:t>旁站</w:t>
            </w:r>
          </w:p>
        </w:tc>
        <w:tc>
          <w:tcPr>
            <w:tcW w:w="4395" w:type="dxa"/>
            <w:tcBorders>
              <w:top w:val="nil"/>
              <w:left w:val="nil"/>
              <w:bottom w:val="single" w:color="auto" w:sz="4" w:space="0"/>
              <w:right w:val="single" w:color="auto" w:sz="4" w:space="0"/>
            </w:tcBorders>
            <w:noWrap/>
            <w:vAlign w:val="center"/>
          </w:tcPr>
          <w:p w14:paraId="09DD1AEA">
            <w:pPr>
              <w:widowControl/>
              <w:spacing w:line="400" w:lineRule="exact"/>
              <w:jc w:val="left"/>
              <w:rPr>
                <w:rFonts w:ascii="宋体" w:hAnsi="宋体" w:cs="宋体"/>
                <w:kern w:val="0"/>
                <w:sz w:val="24"/>
                <w:szCs w:val="24"/>
              </w:rPr>
            </w:pPr>
            <w:r>
              <w:rPr>
                <w:rFonts w:hint="eastAsia" w:ascii="宋体" w:hAnsi="宋体" w:cs="宋体"/>
                <w:kern w:val="0"/>
                <w:sz w:val="24"/>
                <w:szCs w:val="24"/>
              </w:rPr>
              <w:t>未按相关规范性文件进行旁站</w:t>
            </w:r>
          </w:p>
        </w:tc>
        <w:tc>
          <w:tcPr>
            <w:tcW w:w="2471" w:type="dxa"/>
            <w:tcBorders>
              <w:top w:val="nil"/>
              <w:left w:val="nil"/>
              <w:bottom w:val="single" w:color="auto" w:sz="4" w:space="0"/>
              <w:right w:val="single" w:color="auto" w:sz="4" w:space="0"/>
            </w:tcBorders>
            <w:noWrap/>
            <w:vAlign w:val="center"/>
          </w:tcPr>
          <w:p w14:paraId="734A1490">
            <w:pPr>
              <w:widowControl/>
              <w:spacing w:line="400" w:lineRule="exact"/>
              <w:jc w:val="left"/>
              <w:rPr>
                <w:rFonts w:ascii="宋体" w:hAnsi="宋体" w:cs="宋体"/>
                <w:kern w:val="0"/>
                <w:sz w:val="24"/>
                <w:szCs w:val="24"/>
              </w:rPr>
            </w:pPr>
            <w:r>
              <w:rPr>
                <w:rFonts w:hint="eastAsia" w:ascii="宋体" w:hAnsi="宋体" w:cs="宋体"/>
                <w:kern w:val="0"/>
                <w:sz w:val="24"/>
                <w:szCs w:val="24"/>
              </w:rPr>
              <w:t>1‰-2‰</w:t>
            </w:r>
          </w:p>
        </w:tc>
        <w:tc>
          <w:tcPr>
            <w:tcW w:w="850" w:type="dxa"/>
            <w:tcBorders>
              <w:top w:val="nil"/>
              <w:left w:val="nil"/>
              <w:bottom w:val="single" w:color="auto" w:sz="4" w:space="0"/>
              <w:right w:val="single" w:color="auto" w:sz="4" w:space="0"/>
            </w:tcBorders>
            <w:noWrap/>
            <w:vAlign w:val="center"/>
          </w:tcPr>
          <w:p w14:paraId="5C205CCF">
            <w:pPr>
              <w:widowControl/>
              <w:spacing w:line="400" w:lineRule="exact"/>
              <w:jc w:val="center"/>
              <w:rPr>
                <w:rFonts w:ascii="宋体" w:hAnsi="宋体" w:cs="宋体"/>
                <w:kern w:val="0"/>
                <w:sz w:val="24"/>
                <w:szCs w:val="24"/>
              </w:rPr>
            </w:pPr>
            <w:r>
              <w:rPr>
                <w:rFonts w:hint="eastAsia" w:ascii="宋体" w:hAnsi="宋体" w:cs="宋体"/>
                <w:kern w:val="0"/>
                <w:sz w:val="24"/>
                <w:szCs w:val="24"/>
              </w:rPr>
              <w:t>★</w:t>
            </w:r>
          </w:p>
        </w:tc>
      </w:tr>
      <w:tr w14:paraId="3C395526">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2C73C332">
            <w:pPr>
              <w:widowControl/>
              <w:spacing w:line="400" w:lineRule="exact"/>
              <w:jc w:val="left"/>
              <w:rPr>
                <w:rFonts w:ascii="宋体" w:hAnsi="宋体" w:cs="宋体"/>
                <w:kern w:val="0"/>
                <w:sz w:val="24"/>
                <w:szCs w:val="24"/>
              </w:rPr>
            </w:pPr>
          </w:p>
        </w:tc>
        <w:tc>
          <w:tcPr>
            <w:tcW w:w="1374" w:type="dxa"/>
            <w:tcBorders>
              <w:top w:val="single" w:color="auto" w:sz="4" w:space="0"/>
              <w:left w:val="nil"/>
              <w:bottom w:val="nil"/>
              <w:right w:val="single" w:color="auto" w:sz="4" w:space="0"/>
            </w:tcBorders>
            <w:noWrap/>
            <w:vAlign w:val="center"/>
          </w:tcPr>
          <w:p w14:paraId="63744C6A">
            <w:pPr>
              <w:widowControl/>
              <w:spacing w:line="400" w:lineRule="exact"/>
              <w:jc w:val="left"/>
              <w:rPr>
                <w:rFonts w:ascii="宋体" w:hAnsi="宋体" w:cs="宋体"/>
                <w:kern w:val="0"/>
                <w:sz w:val="24"/>
                <w:szCs w:val="24"/>
              </w:rPr>
            </w:pPr>
            <w:r>
              <w:rPr>
                <w:rFonts w:hint="eastAsia" w:ascii="宋体" w:hAnsi="宋体" w:cs="宋体"/>
                <w:kern w:val="0"/>
                <w:sz w:val="24"/>
                <w:szCs w:val="24"/>
              </w:rPr>
              <w:t>工程质量巡视</w:t>
            </w:r>
          </w:p>
        </w:tc>
        <w:tc>
          <w:tcPr>
            <w:tcW w:w="4395" w:type="dxa"/>
            <w:tcBorders>
              <w:top w:val="nil"/>
              <w:left w:val="nil"/>
              <w:bottom w:val="single" w:color="auto" w:sz="4" w:space="0"/>
              <w:right w:val="single" w:color="auto" w:sz="4" w:space="0"/>
            </w:tcBorders>
            <w:noWrap/>
            <w:vAlign w:val="center"/>
          </w:tcPr>
          <w:p w14:paraId="13A49F01">
            <w:pPr>
              <w:widowControl/>
              <w:spacing w:line="400" w:lineRule="exact"/>
              <w:jc w:val="left"/>
              <w:rPr>
                <w:rFonts w:ascii="宋体" w:hAnsi="宋体" w:cs="宋体"/>
                <w:kern w:val="0"/>
                <w:sz w:val="24"/>
                <w:szCs w:val="24"/>
              </w:rPr>
            </w:pPr>
            <w:r>
              <w:rPr>
                <w:rFonts w:hint="eastAsia" w:ascii="宋体" w:hAnsi="宋体" w:cs="宋体"/>
                <w:kern w:val="0"/>
                <w:sz w:val="24"/>
                <w:szCs w:val="24"/>
              </w:rPr>
              <w:t>发现质量隐患未及时处理，对质量隐患无处理记录或整改结果</w:t>
            </w:r>
          </w:p>
        </w:tc>
        <w:tc>
          <w:tcPr>
            <w:tcW w:w="2471" w:type="dxa"/>
            <w:tcBorders>
              <w:top w:val="nil"/>
              <w:left w:val="nil"/>
              <w:bottom w:val="single" w:color="auto" w:sz="4" w:space="0"/>
              <w:right w:val="single" w:color="auto" w:sz="4" w:space="0"/>
            </w:tcBorders>
            <w:noWrap/>
            <w:vAlign w:val="center"/>
          </w:tcPr>
          <w:p w14:paraId="231E11B9">
            <w:pPr>
              <w:widowControl/>
              <w:spacing w:line="400" w:lineRule="exact"/>
              <w:jc w:val="left"/>
              <w:rPr>
                <w:rFonts w:ascii="宋体" w:hAnsi="宋体" w:cs="宋体"/>
                <w:kern w:val="0"/>
                <w:sz w:val="24"/>
                <w:szCs w:val="24"/>
              </w:rPr>
            </w:pPr>
            <w:r>
              <w:rPr>
                <w:rFonts w:hint="eastAsia" w:ascii="宋体" w:hAnsi="宋体" w:cs="宋体"/>
                <w:kern w:val="0"/>
                <w:sz w:val="24"/>
                <w:szCs w:val="24"/>
              </w:rPr>
              <w:t>1‰-2‰</w:t>
            </w:r>
          </w:p>
        </w:tc>
        <w:tc>
          <w:tcPr>
            <w:tcW w:w="850" w:type="dxa"/>
            <w:tcBorders>
              <w:top w:val="nil"/>
              <w:left w:val="nil"/>
              <w:bottom w:val="single" w:color="auto" w:sz="4" w:space="0"/>
              <w:right w:val="single" w:color="auto" w:sz="4" w:space="0"/>
            </w:tcBorders>
            <w:noWrap/>
            <w:vAlign w:val="center"/>
          </w:tcPr>
          <w:p w14:paraId="41713848">
            <w:pPr>
              <w:widowControl/>
              <w:spacing w:line="400" w:lineRule="exact"/>
              <w:jc w:val="center"/>
              <w:rPr>
                <w:rFonts w:ascii="宋体" w:hAnsi="宋体" w:cs="宋体"/>
                <w:kern w:val="0"/>
                <w:sz w:val="24"/>
                <w:szCs w:val="24"/>
              </w:rPr>
            </w:pPr>
            <w:r>
              <w:rPr>
                <w:rFonts w:hint="eastAsia" w:ascii="宋体" w:hAnsi="宋体" w:cs="宋体"/>
                <w:kern w:val="0"/>
                <w:sz w:val="24"/>
                <w:szCs w:val="24"/>
              </w:rPr>
              <w:t>★</w:t>
            </w:r>
          </w:p>
        </w:tc>
      </w:tr>
      <w:tr w14:paraId="27069B2C">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5261DE10">
            <w:pPr>
              <w:widowControl/>
              <w:spacing w:line="400" w:lineRule="exact"/>
              <w:jc w:val="left"/>
              <w:rPr>
                <w:rFonts w:ascii="宋体" w:hAnsi="宋体" w:cs="宋体"/>
                <w:kern w:val="0"/>
                <w:sz w:val="24"/>
                <w:szCs w:val="24"/>
              </w:rPr>
            </w:pPr>
          </w:p>
        </w:tc>
        <w:tc>
          <w:tcPr>
            <w:tcW w:w="1374" w:type="dxa"/>
            <w:vMerge w:val="restart"/>
            <w:tcBorders>
              <w:top w:val="single" w:color="auto" w:sz="4" w:space="0"/>
              <w:left w:val="single" w:color="auto" w:sz="4" w:space="0"/>
              <w:bottom w:val="single" w:color="000000" w:sz="4" w:space="0"/>
              <w:right w:val="single" w:color="auto" w:sz="4" w:space="0"/>
            </w:tcBorders>
            <w:noWrap/>
            <w:vAlign w:val="center"/>
          </w:tcPr>
          <w:p w14:paraId="5E705E2B">
            <w:pPr>
              <w:widowControl/>
              <w:spacing w:line="400" w:lineRule="exact"/>
              <w:jc w:val="left"/>
              <w:rPr>
                <w:rFonts w:ascii="宋体" w:hAnsi="宋体" w:cs="宋体"/>
                <w:kern w:val="0"/>
                <w:sz w:val="24"/>
                <w:szCs w:val="24"/>
              </w:rPr>
            </w:pPr>
            <w:r>
              <w:rPr>
                <w:rFonts w:hint="eastAsia" w:ascii="宋体" w:hAnsi="宋体" w:cs="宋体"/>
                <w:kern w:val="0"/>
                <w:sz w:val="24"/>
                <w:szCs w:val="24"/>
              </w:rPr>
              <w:t>隐检、检验批、分项分部验收</w:t>
            </w:r>
          </w:p>
        </w:tc>
        <w:tc>
          <w:tcPr>
            <w:tcW w:w="4395" w:type="dxa"/>
            <w:tcBorders>
              <w:top w:val="nil"/>
              <w:left w:val="nil"/>
              <w:bottom w:val="single" w:color="auto" w:sz="4" w:space="0"/>
              <w:right w:val="single" w:color="auto" w:sz="4" w:space="0"/>
            </w:tcBorders>
            <w:noWrap/>
            <w:vAlign w:val="center"/>
          </w:tcPr>
          <w:p w14:paraId="58324D5C">
            <w:pPr>
              <w:widowControl/>
              <w:spacing w:line="400" w:lineRule="exact"/>
              <w:jc w:val="left"/>
              <w:rPr>
                <w:rFonts w:ascii="宋体" w:hAnsi="宋体" w:cs="宋体"/>
                <w:kern w:val="0"/>
                <w:sz w:val="24"/>
                <w:szCs w:val="24"/>
              </w:rPr>
            </w:pPr>
            <w:r>
              <w:rPr>
                <w:rFonts w:hint="eastAsia" w:ascii="宋体" w:hAnsi="宋体" w:cs="宋体"/>
                <w:kern w:val="0"/>
                <w:sz w:val="24"/>
                <w:szCs w:val="24"/>
              </w:rPr>
              <w:t>未对实体进行检查、验收，将不合格的签认为合格</w:t>
            </w:r>
          </w:p>
        </w:tc>
        <w:tc>
          <w:tcPr>
            <w:tcW w:w="2471" w:type="dxa"/>
            <w:tcBorders>
              <w:top w:val="nil"/>
              <w:left w:val="nil"/>
              <w:bottom w:val="single" w:color="auto" w:sz="4" w:space="0"/>
              <w:right w:val="single" w:color="auto" w:sz="4" w:space="0"/>
            </w:tcBorders>
            <w:noWrap/>
            <w:vAlign w:val="center"/>
          </w:tcPr>
          <w:p w14:paraId="40B97F85">
            <w:pPr>
              <w:widowControl/>
              <w:spacing w:line="400" w:lineRule="exact"/>
              <w:jc w:val="left"/>
              <w:rPr>
                <w:rFonts w:ascii="宋体" w:hAnsi="宋体" w:cs="宋体"/>
                <w:kern w:val="0"/>
                <w:sz w:val="24"/>
                <w:szCs w:val="24"/>
              </w:rPr>
            </w:pPr>
            <w:r>
              <w:rPr>
                <w:rFonts w:hint="eastAsia" w:ascii="宋体" w:hAnsi="宋体" w:cs="宋体"/>
                <w:kern w:val="0"/>
                <w:sz w:val="24"/>
                <w:szCs w:val="24"/>
              </w:rPr>
              <w:t>1‰-2‰</w:t>
            </w:r>
          </w:p>
        </w:tc>
        <w:tc>
          <w:tcPr>
            <w:tcW w:w="850" w:type="dxa"/>
            <w:tcBorders>
              <w:top w:val="nil"/>
              <w:left w:val="nil"/>
              <w:bottom w:val="single" w:color="auto" w:sz="4" w:space="0"/>
              <w:right w:val="single" w:color="auto" w:sz="4" w:space="0"/>
            </w:tcBorders>
            <w:noWrap/>
            <w:vAlign w:val="center"/>
          </w:tcPr>
          <w:p w14:paraId="6E6C72E9">
            <w:pPr>
              <w:widowControl/>
              <w:spacing w:line="400" w:lineRule="exact"/>
              <w:jc w:val="center"/>
              <w:rPr>
                <w:rFonts w:ascii="宋体" w:hAnsi="宋体" w:cs="宋体"/>
                <w:kern w:val="0"/>
                <w:sz w:val="24"/>
                <w:szCs w:val="24"/>
              </w:rPr>
            </w:pPr>
            <w:r>
              <w:rPr>
                <w:rFonts w:hint="eastAsia" w:ascii="宋体" w:hAnsi="宋体" w:cs="宋体"/>
                <w:kern w:val="0"/>
                <w:sz w:val="24"/>
                <w:szCs w:val="24"/>
              </w:rPr>
              <w:t>★</w:t>
            </w:r>
          </w:p>
        </w:tc>
      </w:tr>
      <w:tr w14:paraId="030A0E28">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459E6D2E">
            <w:pPr>
              <w:widowControl/>
              <w:spacing w:line="400" w:lineRule="exact"/>
              <w:jc w:val="left"/>
              <w:rPr>
                <w:rFonts w:ascii="宋体" w:hAnsi="宋体" w:cs="宋体"/>
                <w:kern w:val="0"/>
                <w:sz w:val="24"/>
                <w:szCs w:val="24"/>
              </w:rPr>
            </w:pPr>
          </w:p>
        </w:tc>
        <w:tc>
          <w:tcPr>
            <w:tcW w:w="1374" w:type="dxa"/>
            <w:vMerge w:val="continue"/>
            <w:tcBorders>
              <w:top w:val="single" w:color="auto" w:sz="4" w:space="0"/>
              <w:left w:val="single" w:color="auto" w:sz="4" w:space="0"/>
              <w:bottom w:val="single" w:color="000000" w:sz="4" w:space="0"/>
              <w:right w:val="single" w:color="auto" w:sz="4" w:space="0"/>
            </w:tcBorders>
            <w:noWrap/>
            <w:vAlign w:val="center"/>
          </w:tcPr>
          <w:p w14:paraId="7EB98AA0">
            <w:pPr>
              <w:widowControl/>
              <w:spacing w:line="400" w:lineRule="exact"/>
              <w:jc w:val="left"/>
              <w:rPr>
                <w:rFonts w:ascii="宋体" w:hAnsi="宋体" w:cs="宋体"/>
                <w:kern w:val="0"/>
                <w:sz w:val="24"/>
                <w:szCs w:val="24"/>
              </w:rPr>
            </w:pPr>
          </w:p>
        </w:tc>
        <w:tc>
          <w:tcPr>
            <w:tcW w:w="4395" w:type="dxa"/>
            <w:tcBorders>
              <w:top w:val="nil"/>
              <w:left w:val="nil"/>
              <w:bottom w:val="single" w:color="auto" w:sz="4" w:space="0"/>
              <w:right w:val="single" w:color="auto" w:sz="4" w:space="0"/>
            </w:tcBorders>
            <w:noWrap/>
            <w:vAlign w:val="center"/>
          </w:tcPr>
          <w:p w14:paraId="109CE936">
            <w:pPr>
              <w:widowControl/>
              <w:spacing w:line="400" w:lineRule="exact"/>
              <w:jc w:val="left"/>
              <w:rPr>
                <w:rFonts w:ascii="宋体" w:hAnsi="宋体" w:cs="宋体"/>
                <w:kern w:val="0"/>
                <w:sz w:val="24"/>
                <w:szCs w:val="24"/>
              </w:rPr>
            </w:pPr>
            <w:r>
              <w:rPr>
                <w:rFonts w:hint="eastAsia" w:ascii="宋体" w:hAnsi="宋体" w:cs="宋体"/>
                <w:kern w:val="0"/>
                <w:sz w:val="24"/>
                <w:szCs w:val="24"/>
              </w:rPr>
              <w:t>无分部、分项及检验批划分方案</w:t>
            </w:r>
          </w:p>
        </w:tc>
        <w:tc>
          <w:tcPr>
            <w:tcW w:w="2471" w:type="dxa"/>
            <w:tcBorders>
              <w:top w:val="nil"/>
              <w:left w:val="nil"/>
              <w:bottom w:val="single" w:color="auto" w:sz="4" w:space="0"/>
              <w:right w:val="single" w:color="auto" w:sz="4" w:space="0"/>
            </w:tcBorders>
            <w:noWrap/>
            <w:vAlign w:val="center"/>
          </w:tcPr>
          <w:p w14:paraId="7FA2657F">
            <w:pPr>
              <w:widowControl/>
              <w:spacing w:line="400" w:lineRule="exact"/>
              <w:jc w:val="left"/>
              <w:rPr>
                <w:rFonts w:ascii="宋体" w:hAnsi="宋体" w:cs="宋体"/>
                <w:kern w:val="0"/>
                <w:sz w:val="24"/>
                <w:szCs w:val="24"/>
              </w:rPr>
            </w:pPr>
            <w:r>
              <w:rPr>
                <w:rFonts w:hint="eastAsia" w:ascii="宋体" w:hAnsi="宋体" w:cs="宋体"/>
                <w:kern w:val="0"/>
                <w:sz w:val="24"/>
                <w:szCs w:val="24"/>
              </w:rPr>
              <w:t>0.5‰-1‰</w:t>
            </w:r>
          </w:p>
        </w:tc>
        <w:tc>
          <w:tcPr>
            <w:tcW w:w="850" w:type="dxa"/>
            <w:tcBorders>
              <w:top w:val="nil"/>
              <w:left w:val="nil"/>
              <w:bottom w:val="single" w:color="auto" w:sz="4" w:space="0"/>
              <w:right w:val="single" w:color="auto" w:sz="4" w:space="0"/>
            </w:tcBorders>
            <w:noWrap/>
            <w:vAlign w:val="center"/>
          </w:tcPr>
          <w:p w14:paraId="2BF80839">
            <w:pPr>
              <w:widowControl/>
              <w:spacing w:line="400" w:lineRule="exact"/>
              <w:jc w:val="center"/>
              <w:rPr>
                <w:rFonts w:ascii="宋体" w:hAnsi="宋体" w:cs="宋体"/>
                <w:kern w:val="0"/>
                <w:sz w:val="24"/>
                <w:szCs w:val="24"/>
              </w:rPr>
            </w:pPr>
          </w:p>
        </w:tc>
      </w:tr>
      <w:tr w14:paraId="352B42B3">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42194A96">
            <w:pPr>
              <w:widowControl/>
              <w:spacing w:line="400" w:lineRule="exact"/>
              <w:jc w:val="left"/>
              <w:rPr>
                <w:rFonts w:ascii="宋体" w:hAnsi="宋体" w:cs="宋体"/>
                <w:kern w:val="0"/>
                <w:sz w:val="24"/>
                <w:szCs w:val="24"/>
              </w:rPr>
            </w:pPr>
          </w:p>
        </w:tc>
        <w:tc>
          <w:tcPr>
            <w:tcW w:w="1374" w:type="dxa"/>
            <w:vMerge w:val="continue"/>
            <w:tcBorders>
              <w:top w:val="single" w:color="auto" w:sz="4" w:space="0"/>
              <w:left w:val="single" w:color="auto" w:sz="4" w:space="0"/>
              <w:bottom w:val="single" w:color="000000" w:sz="4" w:space="0"/>
              <w:right w:val="single" w:color="auto" w:sz="4" w:space="0"/>
            </w:tcBorders>
            <w:noWrap/>
            <w:vAlign w:val="center"/>
          </w:tcPr>
          <w:p w14:paraId="25C54D43">
            <w:pPr>
              <w:widowControl/>
              <w:spacing w:line="400" w:lineRule="exact"/>
              <w:jc w:val="left"/>
              <w:rPr>
                <w:rFonts w:ascii="宋体" w:hAnsi="宋体" w:cs="宋体"/>
                <w:kern w:val="0"/>
                <w:sz w:val="24"/>
                <w:szCs w:val="24"/>
              </w:rPr>
            </w:pPr>
          </w:p>
        </w:tc>
        <w:tc>
          <w:tcPr>
            <w:tcW w:w="4395" w:type="dxa"/>
            <w:tcBorders>
              <w:top w:val="nil"/>
              <w:left w:val="nil"/>
              <w:bottom w:val="single" w:color="auto" w:sz="4" w:space="0"/>
              <w:right w:val="single" w:color="auto" w:sz="4" w:space="0"/>
            </w:tcBorders>
            <w:noWrap/>
            <w:vAlign w:val="center"/>
          </w:tcPr>
          <w:p w14:paraId="7B2222E0">
            <w:pPr>
              <w:widowControl/>
              <w:spacing w:line="400" w:lineRule="exact"/>
              <w:jc w:val="left"/>
              <w:rPr>
                <w:rFonts w:ascii="宋体" w:hAnsi="宋体" w:cs="宋体"/>
                <w:kern w:val="0"/>
                <w:sz w:val="24"/>
                <w:szCs w:val="24"/>
              </w:rPr>
            </w:pPr>
            <w:r>
              <w:rPr>
                <w:rFonts w:hint="eastAsia" w:ascii="宋体" w:hAnsi="宋体" w:cs="宋体"/>
                <w:kern w:val="0"/>
                <w:sz w:val="24"/>
                <w:szCs w:val="24"/>
              </w:rPr>
              <w:t>承包人报验后未及时进行验收</w:t>
            </w:r>
          </w:p>
        </w:tc>
        <w:tc>
          <w:tcPr>
            <w:tcW w:w="2471" w:type="dxa"/>
            <w:tcBorders>
              <w:top w:val="nil"/>
              <w:left w:val="nil"/>
              <w:bottom w:val="single" w:color="auto" w:sz="4" w:space="0"/>
              <w:right w:val="single" w:color="auto" w:sz="4" w:space="0"/>
            </w:tcBorders>
            <w:noWrap/>
            <w:vAlign w:val="center"/>
          </w:tcPr>
          <w:p w14:paraId="36BAA294">
            <w:pPr>
              <w:widowControl/>
              <w:spacing w:line="400" w:lineRule="exact"/>
              <w:jc w:val="left"/>
              <w:rPr>
                <w:rFonts w:ascii="宋体" w:hAnsi="宋体" w:cs="宋体"/>
                <w:kern w:val="0"/>
                <w:sz w:val="24"/>
                <w:szCs w:val="24"/>
              </w:rPr>
            </w:pPr>
            <w:r>
              <w:rPr>
                <w:rFonts w:hint="eastAsia" w:ascii="宋体" w:hAnsi="宋体" w:cs="宋体"/>
                <w:kern w:val="0"/>
                <w:sz w:val="24"/>
                <w:szCs w:val="24"/>
              </w:rPr>
              <w:t>0.5‰-1‰</w:t>
            </w:r>
          </w:p>
        </w:tc>
        <w:tc>
          <w:tcPr>
            <w:tcW w:w="850" w:type="dxa"/>
            <w:tcBorders>
              <w:top w:val="nil"/>
              <w:left w:val="nil"/>
              <w:bottom w:val="single" w:color="auto" w:sz="4" w:space="0"/>
              <w:right w:val="single" w:color="auto" w:sz="4" w:space="0"/>
            </w:tcBorders>
            <w:noWrap/>
            <w:vAlign w:val="center"/>
          </w:tcPr>
          <w:p w14:paraId="31837AD2">
            <w:pPr>
              <w:widowControl/>
              <w:spacing w:line="400" w:lineRule="exact"/>
              <w:jc w:val="center"/>
              <w:rPr>
                <w:rFonts w:ascii="宋体" w:hAnsi="宋体" w:cs="宋体"/>
                <w:kern w:val="0"/>
                <w:sz w:val="24"/>
                <w:szCs w:val="24"/>
              </w:rPr>
            </w:pPr>
          </w:p>
        </w:tc>
      </w:tr>
      <w:tr w14:paraId="1609E24F">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48AAA99F">
            <w:pPr>
              <w:widowControl/>
              <w:spacing w:line="400" w:lineRule="exact"/>
              <w:jc w:val="left"/>
              <w:rPr>
                <w:rFonts w:ascii="宋体" w:hAnsi="宋体" w:cs="宋体"/>
                <w:kern w:val="0"/>
                <w:sz w:val="24"/>
                <w:szCs w:val="24"/>
              </w:rPr>
            </w:pPr>
          </w:p>
        </w:tc>
        <w:tc>
          <w:tcPr>
            <w:tcW w:w="1374" w:type="dxa"/>
            <w:vMerge w:val="continue"/>
            <w:tcBorders>
              <w:top w:val="single" w:color="auto" w:sz="4" w:space="0"/>
              <w:left w:val="single" w:color="auto" w:sz="4" w:space="0"/>
              <w:bottom w:val="single" w:color="000000" w:sz="4" w:space="0"/>
              <w:right w:val="single" w:color="auto" w:sz="4" w:space="0"/>
            </w:tcBorders>
            <w:noWrap/>
            <w:vAlign w:val="center"/>
          </w:tcPr>
          <w:p w14:paraId="1BF50C4F">
            <w:pPr>
              <w:widowControl/>
              <w:spacing w:line="400" w:lineRule="exact"/>
              <w:jc w:val="left"/>
              <w:rPr>
                <w:rFonts w:ascii="宋体" w:hAnsi="宋体" w:cs="宋体"/>
                <w:kern w:val="0"/>
                <w:sz w:val="24"/>
                <w:szCs w:val="24"/>
              </w:rPr>
            </w:pPr>
          </w:p>
        </w:tc>
        <w:tc>
          <w:tcPr>
            <w:tcW w:w="4395" w:type="dxa"/>
            <w:tcBorders>
              <w:top w:val="nil"/>
              <w:left w:val="nil"/>
              <w:bottom w:val="single" w:color="auto" w:sz="4" w:space="0"/>
              <w:right w:val="single" w:color="auto" w:sz="4" w:space="0"/>
            </w:tcBorders>
            <w:noWrap/>
            <w:vAlign w:val="center"/>
          </w:tcPr>
          <w:p w14:paraId="4CB82BE8">
            <w:pPr>
              <w:widowControl/>
              <w:spacing w:line="400" w:lineRule="exact"/>
              <w:jc w:val="left"/>
              <w:rPr>
                <w:rFonts w:ascii="宋体" w:hAnsi="宋体" w:cs="宋体"/>
                <w:kern w:val="0"/>
                <w:sz w:val="24"/>
                <w:szCs w:val="24"/>
              </w:rPr>
            </w:pPr>
            <w:r>
              <w:rPr>
                <w:rFonts w:hint="eastAsia" w:ascii="宋体" w:hAnsi="宋体" w:cs="宋体"/>
                <w:kern w:val="0"/>
                <w:sz w:val="24"/>
                <w:szCs w:val="24"/>
              </w:rPr>
              <w:t>验收资料不完整或签批不规范</w:t>
            </w:r>
          </w:p>
        </w:tc>
        <w:tc>
          <w:tcPr>
            <w:tcW w:w="2471" w:type="dxa"/>
            <w:tcBorders>
              <w:top w:val="nil"/>
              <w:left w:val="nil"/>
              <w:bottom w:val="single" w:color="auto" w:sz="4" w:space="0"/>
              <w:right w:val="single" w:color="auto" w:sz="4" w:space="0"/>
            </w:tcBorders>
            <w:noWrap/>
            <w:vAlign w:val="center"/>
          </w:tcPr>
          <w:p w14:paraId="4D393E45">
            <w:pPr>
              <w:widowControl/>
              <w:spacing w:line="400" w:lineRule="exact"/>
              <w:jc w:val="left"/>
              <w:rPr>
                <w:rFonts w:ascii="宋体" w:hAnsi="宋体" w:cs="宋体"/>
                <w:kern w:val="0"/>
                <w:sz w:val="24"/>
                <w:szCs w:val="24"/>
              </w:rPr>
            </w:pPr>
            <w:r>
              <w:rPr>
                <w:rFonts w:hint="eastAsia" w:ascii="宋体" w:hAnsi="宋体" w:cs="宋体"/>
                <w:kern w:val="0"/>
                <w:sz w:val="24"/>
                <w:szCs w:val="24"/>
              </w:rPr>
              <w:t>0.25‰-0.5‰</w:t>
            </w:r>
          </w:p>
        </w:tc>
        <w:tc>
          <w:tcPr>
            <w:tcW w:w="850" w:type="dxa"/>
            <w:tcBorders>
              <w:top w:val="nil"/>
              <w:left w:val="nil"/>
              <w:bottom w:val="single" w:color="auto" w:sz="4" w:space="0"/>
              <w:right w:val="single" w:color="auto" w:sz="4" w:space="0"/>
            </w:tcBorders>
            <w:noWrap/>
            <w:vAlign w:val="center"/>
          </w:tcPr>
          <w:p w14:paraId="3AF8A918">
            <w:pPr>
              <w:widowControl/>
              <w:spacing w:line="400" w:lineRule="exact"/>
              <w:jc w:val="center"/>
              <w:rPr>
                <w:rFonts w:ascii="宋体" w:hAnsi="宋体" w:cs="宋体"/>
                <w:kern w:val="0"/>
                <w:sz w:val="24"/>
                <w:szCs w:val="24"/>
              </w:rPr>
            </w:pPr>
          </w:p>
        </w:tc>
      </w:tr>
      <w:tr w14:paraId="451E8B03">
        <w:tblPrEx>
          <w:tblCellMar>
            <w:top w:w="0" w:type="dxa"/>
            <w:left w:w="108" w:type="dxa"/>
            <w:bottom w:w="0" w:type="dxa"/>
            <w:right w:w="108" w:type="dxa"/>
          </w:tblCellMar>
        </w:tblPrEx>
        <w:trPr>
          <w:jc w:val="center"/>
        </w:trPr>
        <w:tc>
          <w:tcPr>
            <w:tcW w:w="589" w:type="dxa"/>
            <w:vMerge w:val="restart"/>
            <w:tcBorders>
              <w:top w:val="nil"/>
              <w:left w:val="single" w:color="auto" w:sz="4" w:space="0"/>
              <w:bottom w:val="single" w:color="000000" w:sz="4" w:space="0"/>
              <w:right w:val="single" w:color="auto" w:sz="4" w:space="0"/>
            </w:tcBorders>
            <w:noWrap/>
            <w:vAlign w:val="center"/>
          </w:tcPr>
          <w:p w14:paraId="70BE41DB">
            <w:pPr>
              <w:widowControl/>
              <w:spacing w:line="400" w:lineRule="exact"/>
              <w:jc w:val="center"/>
              <w:rPr>
                <w:rFonts w:ascii="宋体" w:hAnsi="宋体" w:cs="宋体"/>
                <w:kern w:val="0"/>
                <w:sz w:val="24"/>
                <w:szCs w:val="24"/>
              </w:rPr>
            </w:pPr>
            <w:r>
              <w:rPr>
                <w:rFonts w:hint="eastAsia" w:ascii="宋体" w:hAnsi="宋体" w:cs="宋体"/>
                <w:kern w:val="0"/>
                <w:sz w:val="24"/>
                <w:szCs w:val="24"/>
              </w:rPr>
              <w:t>安全生产管理履责</w:t>
            </w:r>
          </w:p>
        </w:tc>
        <w:tc>
          <w:tcPr>
            <w:tcW w:w="1374" w:type="dxa"/>
            <w:vMerge w:val="restart"/>
            <w:tcBorders>
              <w:top w:val="nil"/>
              <w:left w:val="single" w:color="auto" w:sz="4" w:space="0"/>
              <w:bottom w:val="single" w:color="000000" w:sz="4" w:space="0"/>
              <w:right w:val="single" w:color="auto" w:sz="4" w:space="0"/>
            </w:tcBorders>
            <w:noWrap/>
            <w:vAlign w:val="center"/>
          </w:tcPr>
          <w:p w14:paraId="65A25CED">
            <w:pPr>
              <w:widowControl/>
              <w:spacing w:line="400" w:lineRule="exact"/>
              <w:jc w:val="center"/>
              <w:rPr>
                <w:rFonts w:ascii="宋体" w:hAnsi="宋体" w:cs="宋体"/>
                <w:kern w:val="0"/>
                <w:sz w:val="24"/>
                <w:szCs w:val="24"/>
              </w:rPr>
            </w:pPr>
            <w:r>
              <w:rPr>
                <w:rFonts w:hint="eastAsia" w:ascii="宋体" w:hAnsi="宋体" w:cs="宋体"/>
                <w:kern w:val="0"/>
                <w:sz w:val="24"/>
                <w:szCs w:val="24"/>
              </w:rPr>
              <w:t>安全生产管理的监理工作</w:t>
            </w:r>
          </w:p>
        </w:tc>
        <w:tc>
          <w:tcPr>
            <w:tcW w:w="4395" w:type="dxa"/>
            <w:tcBorders>
              <w:top w:val="nil"/>
              <w:left w:val="nil"/>
              <w:bottom w:val="single" w:color="auto" w:sz="4" w:space="0"/>
              <w:right w:val="single" w:color="auto" w:sz="4" w:space="0"/>
            </w:tcBorders>
            <w:noWrap/>
            <w:vAlign w:val="center"/>
          </w:tcPr>
          <w:p w14:paraId="0D88DF0D">
            <w:pPr>
              <w:widowControl/>
              <w:spacing w:line="400" w:lineRule="exact"/>
              <w:jc w:val="left"/>
              <w:rPr>
                <w:rFonts w:ascii="宋体" w:hAnsi="宋体" w:cs="宋体"/>
                <w:kern w:val="0"/>
                <w:sz w:val="24"/>
                <w:szCs w:val="24"/>
              </w:rPr>
            </w:pPr>
            <w:r>
              <w:rPr>
                <w:rFonts w:hint="eastAsia" w:ascii="宋体" w:hAnsi="宋体" w:cs="宋体"/>
                <w:kern w:val="0"/>
                <w:sz w:val="24"/>
                <w:szCs w:val="24"/>
              </w:rPr>
              <w:t>未核查施工单位安全生产许可证、规章制度、安全生产管理体系等</w:t>
            </w:r>
          </w:p>
        </w:tc>
        <w:tc>
          <w:tcPr>
            <w:tcW w:w="2471" w:type="dxa"/>
            <w:tcBorders>
              <w:top w:val="nil"/>
              <w:left w:val="nil"/>
              <w:bottom w:val="single" w:color="auto" w:sz="4" w:space="0"/>
              <w:right w:val="single" w:color="auto" w:sz="4" w:space="0"/>
            </w:tcBorders>
            <w:noWrap/>
            <w:vAlign w:val="center"/>
          </w:tcPr>
          <w:p w14:paraId="221957D6">
            <w:pPr>
              <w:widowControl/>
              <w:spacing w:line="400" w:lineRule="exact"/>
              <w:jc w:val="left"/>
              <w:rPr>
                <w:rFonts w:ascii="宋体" w:hAnsi="宋体" w:cs="宋体"/>
                <w:kern w:val="0"/>
                <w:sz w:val="24"/>
                <w:szCs w:val="24"/>
              </w:rPr>
            </w:pPr>
            <w:r>
              <w:rPr>
                <w:rFonts w:hint="eastAsia" w:ascii="宋体" w:hAnsi="宋体" w:cs="宋体"/>
                <w:kern w:val="0"/>
                <w:sz w:val="24"/>
                <w:szCs w:val="24"/>
              </w:rPr>
              <w:t>1‰-2‰</w:t>
            </w:r>
          </w:p>
        </w:tc>
        <w:tc>
          <w:tcPr>
            <w:tcW w:w="850" w:type="dxa"/>
            <w:tcBorders>
              <w:top w:val="nil"/>
              <w:left w:val="nil"/>
              <w:bottom w:val="single" w:color="auto" w:sz="4" w:space="0"/>
              <w:right w:val="single" w:color="auto" w:sz="4" w:space="0"/>
            </w:tcBorders>
            <w:noWrap/>
            <w:vAlign w:val="center"/>
          </w:tcPr>
          <w:p w14:paraId="3781363C">
            <w:pPr>
              <w:widowControl/>
              <w:spacing w:line="400" w:lineRule="exact"/>
              <w:jc w:val="center"/>
              <w:rPr>
                <w:rFonts w:ascii="宋体" w:hAnsi="宋体" w:cs="宋体"/>
                <w:kern w:val="0"/>
                <w:sz w:val="24"/>
                <w:szCs w:val="24"/>
              </w:rPr>
            </w:pPr>
            <w:r>
              <w:rPr>
                <w:rFonts w:hint="eastAsia" w:ascii="宋体" w:hAnsi="宋体" w:cs="宋体"/>
                <w:kern w:val="0"/>
                <w:sz w:val="24"/>
                <w:szCs w:val="24"/>
              </w:rPr>
              <w:t>★</w:t>
            </w:r>
          </w:p>
        </w:tc>
      </w:tr>
      <w:tr w14:paraId="3BC48BF5">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5CEBBDB5">
            <w:pPr>
              <w:widowControl/>
              <w:spacing w:line="400" w:lineRule="exact"/>
              <w:jc w:val="left"/>
              <w:rPr>
                <w:rFonts w:ascii="宋体" w:hAnsi="宋体" w:cs="宋体"/>
                <w:kern w:val="0"/>
                <w:sz w:val="24"/>
                <w:szCs w:val="24"/>
              </w:rPr>
            </w:pPr>
          </w:p>
        </w:tc>
        <w:tc>
          <w:tcPr>
            <w:tcW w:w="1374" w:type="dxa"/>
            <w:vMerge w:val="continue"/>
            <w:tcBorders>
              <w:top w:val="nil"/>
              <w:left w:val="single" w:color="auto" w:sz="4" w:space="0"/>
              <w:bottom w:val="single" w:color="000000" w:sz="4" w:space="0"/>
              <w:right w:val="single" w:color="auto" w:sz="4" w:space="0"/>
            </w:tcBorders>
            <w:noWrap/>
            <w:vAlign w:val="center"/>
          </w:tcPr>
          <w:p w14:paraId="662F5C5D">
            <w:pPr>
              <w:widowControl/>
              <w:spacing w:line="400" w:lineRule="exact"/>
              <w:jc w:val="left"/>
              <w:rPr>
                <w:rFonts w:ascii="宋体" w:hAnsi="宋体" w:cs="宋体"/>
                <w:kern w:val="0"/>
                <w:sz w:val="24"/>
                <w:szCs w:val="24"/>
              </w:rPr>
            </w:pPr>
          </w:p>
        </w:tc>
        <w:tc>
          <w:tcPr>
            <w:tcW w:w="4395" w:type="dxa"/>
            <w:tcBorders>
              <w:top w:val="nil"/>
              <w:left w:val="nil"/>
              <w:bottom w:val="single" w:color="auto" w:sz="4" w:space="0"/>
              <w:right w:val="single" w:color="auto" w:sz="4" w:space="0"/>
            </w:tcBorders>
            <w:noWrap/>
            <w:vAlign w:val="center"/>
          </w:tcPr>
          <w:p w14:paraId="6FF346BE">
            <w:pPr>
              <w:widowControl/>
              <w:spacing w:line="400" w:lineRule="exact"/>
              <w:jc w:val="left"/>
              <w:rPr>
                <w:rFonts w:ascii="宋体" w:hAnsi="宋体" w:cs="宋体"/>
                <w:kern w:val="0"/>
                <w:sz w:val="24"/>
                <w:szCs w:val="24"/>
              </w:rPr>
            </w:pPr>
            <w:r>
              <w:rPr>
                <w:rFonts w:hint="eastAsia" w:ascii="宋体" w:hAnsi="宋体" w:cs="宋体"/>
                <w:kern w:val="0"/>
                <w:sz w:val="24"/>
                <w:szCs w:val="24"/>
              </w:rPr>
              <w:t>对施工单位项目经理、专职安全管理人员和特殊作业人员资格不合格未作识别</w:t>
            </w:r>
          </w:p>
        </w:tc>
        <w:tc>
          <w:tcPr>
            <w:tcW w:w="2471" w:type="dxa"/>
            <w:tcBorders>
              <w:top w:val="nil"/>
              <w:left w:val="nil"/>
              <w:bottom w:val="single" w:color="auto" w:sz="4" w:space="0"/>
              <w:right w:val="single" w:color="auto" w:sz="4" w:space="0"/>
            </w:tcBorders>
            <w:noWrap/>
            <w:vAlign w:val="center"/>
          </w:tcPr>
          <w:p w14:paraId="7ABC97DE">
            <w:pPr>
              <w:widowControl/>
              <w:spacing w:line="400" w:lineRule="exact"/>
              <w:jc w:val="left"/>
              <w:rPr>
                <w:rFonts w:ascii="宋体" w:hAnsi="宋体" w:cs="宋体"/>
                <w:kern w:val="0"/>
                <w:sz w:val="24"/>
                <w:szCs w:val="24"/>
              </w:rPr>
            </w:pPr>
            <w:r>
              <w:rPr>
                <w:rFonts w:hint="eastAsia" w:ascii="宋体" w:hAnsi="宋体" w:cs="宋体"/>
                <w:kern w:val="0"/>
                <w:sz w:val="24"/>
                <w:szCs w:val="24"/>
              </w:rPr>
              <w:t>1‰-2‰</w:t>
            </w:r>
          </w:p>
        </w:tc>
        <w:tc>
          <w:tcPr>
            <w:tcW w:w="850" w:type="dxa"/>
            <w:tcBorders>
              <w:top w:val="nil"/>
              <w:left w:val="nil"/>
              <w:bottom w:val="single" w:color="auto" w:sz="4" w:space="0"/>
              <w:right w:val="single" w:color="auto" w:sz="4" w:space="0"/>
            </w:tcBorders>
            <w:noWrap/>
            <w:vAlign w:val="center"/>
          </w:tcPr>
          <w:p w14:paraId="7C214BA1">
            <w:pPr>
              <w:widowControl/>
              <w:spacing w:line="400" w:lineRule="exact"/>
              <w:jc w:val="center"/>
              <w:rPr>
                <w:rFonts w:ascii="宋体" w:hAnsi="宋体" w:cs="宋体"/>
                <w:kern w:val="0"/>
                <w:sz w:val="24"/>
                <w:szCs w:val="24"/>
              </w:rPr>
            </w:pPr>
            <w:r>
              <w:rPr>
                <w:rFonts w:hint="eastAsia" w:ascii="宋体" w:hAnsi="宋体" w:cs="宋体"/>
                <w:kern w:val="0"/>
                <w:sz w:val="24"/>
                <w:szCs w:val="24"/>
              </w:rPr>
              <w:t>★</w:t>
            </w:r>
          </w:p>
        </w:tc>
      </w:tr>
      <w:tr w14:paraId="2472B64C">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2D2AFF77">
            <w:pPr>
              <w:widowControl/>
              <w:spacing w:line="400" w:lineRule="exact"/>
              <w:jc w:val="left"/>
              <w:rPr>
                <w:rFonts w:ascii="宋体" w:hAnsi="宋体" w:cs="宋体"/>
                <w:kern w:val="0"/>
                <w:sz w:val="24"/>
                <w:szCs w:val="24"/>
              </w:rPr>
            </w:pPr>
          </w:p>
        </w:tc>
        <w:tc>
          <w:tcPr>
            <w:tcW w:w="1374" w:type="dxa"/>
            <w:vMerge w:val="continue"/>
            <w:tcBorders>
              <w:top w:val="nil"/>
              <w:left w:val="single" w:color="auto" w:sz="4" w:space="0"/>
              <w:bottom w:val="single" w:color="000000" w:sz="4" w:space="0"/>
              <w:right w:val="single" w:color="auto" w:sz="4" w:space="0"/>
            </w:tcBorders>
            <w:noWrap/>
            <w:vAlign w:val="center"/>
          </w:tcPr>
          <w:p w14:paraId="5539C0C6">
            <w:pPr>
              <w:widowControl/>
              <w:spacing w:line="400" w:lineRule="exact"/>
              <w:jc w:val="left"/>
              <w:rPr>
                <w:rFonts w:ascii="宋体" w:hAnsi="宋体" w:cs="宋体"/>
                <w:kern w:val="0"/>
                <w:sz w:val="24"/>
                <w:szCs w:val="24"/>
              </w:rPr>
            </w:pPr>
          </w:p>
        </w:tc>
        <w:tc>
          <w:tcPr>
            <w:tcW w:w="4395" w:type="dxa"/>
            <w:tcBorders>
              <w:top w:val="nil"/>
              <w:left w:val="nil"/>
              <w:bottom w:val="single" w:color="auto" w:sz="4" w:space="0"/>
              <w:right w:val="single" w:color="auto" w:sz="4" w:space="0"/>
            </w:tcBorders>
            <w:noWrap/>
            <w:vAlign w:val="center"/>
          </w:tcPr>
          <w:p w14:paraId="484F3BD8">
            <w:pPr>
              <w:widowControl/>
              <w:spacing w:line="400" w:lineRule="exact"/>
              <w:jc w:val="left"/>
              <w:rPr>
                <w:rFonts w:ascii="宋体" w:hAnsi="宋体" w:cs="宋体"/>
                <w:kern w:val="0"/>
                <w:sz w:val="24"/>
                <w:szCs w:val="24"/>
              </w:rPr>
            </w:pPr>
            <w:r>
              <w:rPr>
                <w:rFonts w:hint="eastAsia" w:ascii="宋体" w:hAnsi="宋体" w:cs="宋体"/>
                <w:kern w:val="0"/>
                <w:sz w:val="24"/>
                <w:szCs w:val="24"/>
              </w:rPr>
              <w:t>未核查施工机械和设施（大型起重吊装机械、自升式设备等）的安全许可验收手续</w:t>
            </w:r>
          </w:p>
        </w:tc>
        <w:tc>
          <w:tcPr>
            <w:tcW w:w="2471" w:type="dxa"/>
            <w:tcBorders>
              <w:top w:val="nil"/>
              <w:left w:val="nil"/>
              <w:bottom w:val="single" w:color="auto" w:sz="4" w:space="0"/>
              <w:right w:val="single" w:color="auto" w:sz="4" w:space="0"/>
            </w:tcBorders>
            <w:noWrap/>
            <w:vAlign w:val="center"/>
          </w:tcPr>
          <w:p w14:paraId="0EC5EE6E">
            <w:pPr>
              <w:widowControl/>
              <w:spacing w:line="400" w:lineRule="exact"/>
              <w:jc w:val="left"/>
              <w:rPr>
                <w:rFonts w:ascii="宋体" w:hAnsi="宋体" w:cs="宋体"/>
                <w:kern w:val="0"/>
                <w:sz w:val="24"/>
                <w:szCs w:val="24"/>
              </w:rPr>
            </w:pPr>
            <w:r>
              <w:rPr>
                <w:rFonts w:hint="eastAsia" w:ascii="宋体" w:hAnsi="宋体" w:cs="宋体"/>
                <w:kern w:val="0"/>
                <w:sz w:val="24"/>
                <w:szCs w:val="24"/>
              </w:rPr>
              <w:t>1‰-2‰</w:t>
            </w:r>
          </w:p>
        </w:tc>
        <w:tc>
          <w:tcPr>
            <w:tcW w:w="850" w:type="dxa"/>
            <w:tcBorders>
              <w:top w:val="nil"/>
              <w:left w:val="nil"/>
              <w:bottom w:val="single" w:color="auto" w:sz="4" w:space="0"/>
              <w:right w:val="single" w:color="auto" w:sz="4" w:space="0"/>
            </w:tcBorders>
            <w:noWrap/>
            <w:vAlign w:val="center"/>
          </w:tcPr>
          <w:p w14:paraId="2E023CF3">
            <w:pPr>
              <w:widowControl/>
              <w:spacing w:line="400" w:lineRule="exact"/>
              <w:jc w:val="center"/>
              <w:rPr>
                <w:rFonts w:ascii="宋体" w:hAnsi="宋体" w:cs="宋体"/>
                <w:kern w:val="0"/>
                <w:sz w:val="24"/>
                <w:szCs w:val="24"/>
              </w:rPr>
            </w:pPr>
            <w:r>
              <w:rPr>
                <w:rFonts w:hint="eastAsia" w:ascii="宋体" w:hAnsi="宋体" w:cs="宋体"/>
                <w:kern w:val="0"/>
                <w:sz w:val="24"/>
                <w:szCs w:val="24"/>
              </w:rPr>
              <w:t>★</w:t>
            </w:r>
          </w:p>
        </w:tc>
      </w:tr>
      <w:tr w14:paraId="6081645A">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2D1C2932">
            <w:pPr>
              <w:widowControl/>
              <w:spacing w:line="400" w:lineRule="exact"/>
              <w:jc w:val="left"/>
              <w:rPr>
                <w:rFonts w:ascii="宋体" w:hAnsi="宋体" w:cs="宋体"/>
                <w:kern w:val="0"/>
                <w:sz w:val="24"/>
                <w:szCs w:val="24"/>
              </w:rPr>
            </w:pPr>
          </w:p>
        </w:tc>
        <w:tc>
          <w:tcPr>
            <w:tcW w:w="1374" w:type="dxa"/>
            <w:vMerge w:val="restart"/>
            <w:tcBorders>
              <w:top w:val="nil"/>
              <w:left w:val="single" w:color="auto" w:sz="4" w:space="0"/>
              <w:bottom w:val="single" w:color="000000" w:sz="4" w:space="0"/>
              <w:right w:val="single" w:color="auto" w:sz="4" w:space="0"/>
            </w:tcBorders>
            <w:noWrap/>
            <w:vAlign w:val="center"/>
          </w:tcPr>
          <w:p w14:paraId="24F7575F">
            <w:pPr>
              <w:widowControl/>
              <w:spacing w:line="400" w:lineRule="exact"/>
              <w:jc w:val="center"/>
              <w:rPr>
                <w:rFonts w:ascii="宋体" w:hAnsi="宋体" w:cs="宋体"/>
                <w:kern w:val="0"/>
                <w:sz w:val="24"/>
                <w:szCs w:val="24"/>
              </w:rPr>
            </w:pPr>
            <w:r>
              <w:rPr>
                <w:rFonts w:hint="eastAsia" w:ascii="宋体" w:hAnsi="宋体" w:cs="宋体"/>
                <w:kern w:val="0"/>
                <w:sz w:val="24"/>
                <w:szCs w:val="24"/>
              </w:rPr>
              <w:t>审查安全专项施工方案</w:t>
            </w:r>
          </w:p>
        </w:tc>
        <w:tc>
          <w:tcPr>
            <w:tcW w:w="4395" w:type="dxa"/>
            <w:tcBorders>
              <w:top w:val="nil"/>
              <w:left w:val="nil"/>
              <w:bottom w:val="single" w:color="auto" w:sz="4" w:space="0"/>
              <w:right w:val="single" w:color="auto" w:sz="4" w:space="0"/>
            </w:tcBorders>
            <w:noWrap/>
            <w:vAlign w:val="center"/>
          </w:tcPr>
          <w:p w14:paraId="1D1DFB31">
            <w:pPr>
              <w:widowControl/>
              <w:spacing w:line="400" w:lineRule="exact"/>
              <w:jc w:val="left"/>
              <w:rPr>
                <w:rFonts w:ascii="宋体" w:hAnsi="宋体" w:cs="宋体"/>
                <w:kern w:val="0"/>
                <w:sz w:val="24"/>
                <w:szCs w:val="24"/>
              </w:rPr>
            </w:pPr>
            <w:r>
              <w:rPr>
                <w:rFonts w:hint="eastAsia" w:ascii="宋体" w:hAnsi="宋体" w:cs="宋体"/>
                <w:kern w:val="0"/>
                <w:sz w:val="24"/>
                <w:szCs w:val="24"/>
              </w:rPr>
              <w:t>未审查</w:t>
            </w:r>
          </w:p>
        </w:tc>
        <w:tc>
          <w:tcPr>
            <w:tcW w:w="2471" w:type="dxa"/>
            <w:tcBorders>
              <w:top w:val="nil"/>
              <w:left w:val="nil"/>
              <w:bottom w:val="single" w:color="auto" w:sz="4" w:space="0"/>
              <w:right w:val="single" w:color="auto" w:sz="4" w:space="0"/>
            </w:tcBorders>
            <w:noWrap/>
            <w:vAlign w:val="center"/>
          </w:tcPr>
          <w:p w14:paraId="51A20347">
            <w:pPr>
              <w:widowControl/>
              <w:spacing w:line="400" w:lineRule="exact"/>
              <w:jc w:val="left"/>
              <w:rPr>
                <w:rFonts w:ascii="宋体" w:hAnsi="宋体" w:cs="宋体"/>
                <w:kern w:val="0"/>
                <w:sz w:val="24"/>
                <w:szCs w:val="24"/>
              </w:rPr>
            </w:pPr>
            <w:r>
              <w:rPr>
                <w:rFonts w:hint="eastAsia" w:ascii="宋体" w:hAnsi="宋体" w:cs="宋体"/>
                <w:kern w:val="0"/>
                <w:sz w:val="24"/>
                <w:szCs w:val="24"/>
              </w:rPr>
              <w:t>1‰-2‰</w:t>
            </w:r>
          </w:p>
        </w:tc>
        <w:tc>
          <w:tcPr>
            <w:tcW w:w="850" w:type="dxa"/>
            <w:tcBorders>
              <w:top w:val="nil"/>
              <w:left w:val="nil"/>
              <w:bottom w:val="single" w:color="auto" w:sz="4" w:space="0"/>
              <w:right w:val="single" w:color="auto" w:sz="4" w:space="0"/>
            </w:tcBorders>
            <w:noWrap/>
            <w:vAlign w:val="center"/>
          </w:tcPr>
          <w:p w14:paraId="6DCC1D5C">
            <w:pPr>
              <w:widowControl/>
              <w:spacing w:line="400" w:lineRule="exact"/>
              <w:jc w:val="center"/>
              <w:rPr>
                <w:rFonts w:ascii="宋体" w:hAnsi="宋体" w:cs="宋体"/>
                <w:kern w:val="0"/>
                <w:sz w:val="24"/>
                <w:szCs w:val="24"/>
              </w:rPr>
            </w:pPr>
            <w:r>
              <w:rPr>
                <w:rFonts w:hint="eastAsia" w:ascii="宋体" w:hAnsi="宋体" w:cs="宋体"/>
                <w:kern w:val="0"/>
                <w:sz w:val="24"/>
                <w:szCs w:val="24"/>
              </w:rPr>
              <w:t>★</w:t>
            </w:r>
          </w:p>
        </w:tc>
      </w:tr>
      <w:tr w14:paraId="46982C05">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159CEE82">
            <w:pPr>
              <w:widowControl/>
              <w:spacing w:line="400" w:lineRule="exact"/>
              <w:jc w:val="left"/>
              <w:rPr>
                <w:rFonts w:ascii="宋体" w:hAnsi="宋体" w:cs="宋体"/>
                <w:kern w:val="0"/>
                <w:sz w:val="24"/>
                <w:szCs w:val="24"/>
              </w:rPr>
            </w:pPr>
          </w:p>
        </w:tc>
        <w:tc>
          <w:tcPr>
            <w:tcW w:w="1374" w:type="dxa"/>
            <w:vMerge w:val="continue"/>
            <w:tcBorders>
              <w:top w:val="nil"/>
              <w:left w:val="single" w:color="auto" w:sz="4" w:space="0"/>
              <w:bottom w:val="single" w:color="000000" w:sz="4" w:space="0"/>
              <w:right w:val="single" w:color="auto" w:sz="4" w:space="0"/>
            </w:tcBorders>
            <w:noWrap/>
            <w:vAlign w:val="center"/>
          </w:tcPr>
          <w:p w14:paraId="1183F436">
            <w:pPr>
              <w:widowControl/>
              <w:spacing w:line="400" w:lineRule="exact"/>
              <w:jc w:val="left"/>
              <w:rPr>
                <w:rFonts w:ascii="宋体" w:hAnsi="宋体" w:cs="宋体"/>
                <w:kern w:val="0"/>
                <w:sz w:val="24"/>
                <w:szCs w:val="24"/>
              </w:rPr>
            </w:pPr>
          </w:p>
        </w:tc>
        <w:tc>
          <w:tcPr>
            <w:tcW w:w="4395" w:type="dxa"/>
            <w:tcBorders>
              <w:top w:val="nil"/>
              <w:left w:val="nil"/>
              <w:bottom w:val="single" w:color="auto" w:sz="4" w:space="0"/>
              <w:right w:val="single" w:color="auto" w:sz="4" w:space="0"/>
            </w:tcBorders>
            <w:noWrap/>
            <w:vAlign w:val="center"/>
          </w:tcPr>
          <w:p w14:paraId="340BF97F">
            <w:pPr>
              <w:widowControl/>
              <w:spacing w:line="400" w:lineRule="exact"/>
              <w:jc w:val="left"/>
              <w:rPr>
                <w:rFonts w:ascii="宋体" w:hAnsi="宋体" w:cs="宋体"/>
                <w:kern w:val="0"/>
                <w:sz w:val="24"/>
                <w:szCs w:val="24"/>
              </w:rPr>
            </w:pPr>
            <w:r>
              <w:rPr>
                <w:rFonts w:hint="eastAsia" w:ascii="宋体" w:hAnsi="宋体" w:cs="宋体"/>
                <w:kern w:val="0"/>
                <w:sz w:val="24"/>
                <w:szCs w:val="24"/>
              </w:rPr>
              <w:t>未识别是否符合强制性标准</w:t>
            </w:r>
          </w:p>
        </w:tc>
        <w:tc>
          <w:tcPr>
            <w:tcW w:w="2471" w:type="dxa"/>
            <w:tcBorders>
              <w:top w:val="nil"/>
              <w:left w:val="nil"/>
              <w:bottom w:val="single" w:color="auto" w:sz="4" w:space="0"/>
              <w:right w:val="single" w:color="auto" w:sz="4" w:space="0"/>
            </w:tcBorders>
            <w:noWrap/>
            <w:vAlign w:val="center"/>
          </w:tcPr>
          <w:p w14:paraId="1556DAE3">
            <w:pPr>
              <w:widowControl/>
              <w:spacing w:line="400" w:lineRule="exact"/>
              <w:jc w:val="left"/>
              <w:rPr>
                <w:rFonts w:ascii="宋体" w:hAnsi="宋体" w:cs="宋体"/>
                <w:kern w:val="0"/>
                <w:sz w:val="24"/>
                <w:szCs w:val="24"/>
              </w:rPr>
            </w:pPr>
            <w:r>
              <w:rPr>
                <w:rFonts w:hint="eastAsia" w:ascii="宋体" w:hAnsi="宋体" w:cs="宋体"/>
                <w:kern w:val="0"/>
                <w:sz w:val="24"/>
                <w:szCs w:val="24"/>
              </w:rPr>
              <w:t>0.5‰-1‰</w:t>
            </w:r>
          </w:p>
        </w:tc>
        <w:tc>
          <w:tcPr>
            <w:tcW w:w="850" w:type="dxa"/>
            <w:tcBorders>
              <w:top w:val="nil"/>
              <w:left w:val="nil"/>
              <w:bottom w:val="single" w:color="auto" w:sz="4" w:space="0"/>
              <w:right w:val="single" w:color="auto" w:sz="4" w:space="0"/>
            </w:tcBorders>
            <w:noWrap/>
            <w:vAlign w:val="center"/>
          </w:tcPr>
          <w:p w14:paraId="6C117215">
            <w:pPr>
              <w:widowControl/>
              <w:spacing w:line="400" w:lineRule="exact"/>
              <w:jc w:val="center"/>
              <w:rPr>
                <w:rFonts w:ascii="宋体" w:hAnsi="宋体" w:cs="宋体"/>
                <w:kern w:val="0"/>
                <w:sz w:val="24"/>
                <w:szCs w:val="24"/>
              </w:rPr>
            </w:pPr>
          </w:p>
        </w:tc>
      </w:tr>
      <w:tr w14:paraId="4BA594F1">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17CC6DA2">
            <w:pPr>
              <w:widowControl/>
              <w:spacing w:line="400" w:lineRule="exact"/>
              <w:jc w:val="left"/>
              <w:rPr>
                <w:rFonts w:ascii="宋体" w:hAnsi="宋体" w:cs="宋体"/>
                <w:kern w:val="0"/>
                <w:sz w:val="24"/>
                <w:szCs w:val="24"/>
              </w:rPr>
            </w:pPr>
          </w:p>
        </w:tc>
        <w:tc>
          <w:tcPr>
            <w:tcW w:w="1374" w:type="dxa"/>
            <w:vMerge w:val="continue"/>
            <w:tcBorders>
              <w:top w:val="nil"/>
              <w:left w:val="single" w:color="auto" w:sz="4" w:space="0"/>
              <w:bottom w:val="single" w:color="000000" w:sz="4" w:space="0"/>
              <w:right w:val="single" w:color="auto" w:sz="4" w:space="0"/>
            </w:tcBorders>
            <w:noWrap/>
            <w:vAlign w:val="center"/>
          </w:tcPr>
          <w:p w14:paraId="567741E9">
            <w:pPr>
              <w:widowControl/>
              <w:spacing w:line="400" w:lineRule="exact"/>
              <w:jc w:val="left"/>
              <w:rPr>
                <w:rFonts w:ascii="宋体" w:hAnsi="宋体" w:cs="宋体"/>
                <w:kern w:val="0"/>
                <w:sz w:val="24"/>
                <w:szCs w:val="24"/>
              </w:rPr>
            </w:pPr>
          </w:p>
        </w:tc>
        <w:tc>
          <w:tcPr>
            <w:tcW w:w="4395" w:type="dxa"/>
            <w:tcBorders>
              <w:top w:val="nil"/>
              <w:left w:val="nil"/>
              <w:bottom w:val="single" w:color="auto" w:sz="4" w:space="0"/>
              <w:right w:val="single" w:color="auto" w:sz="4" w:space="0"/>
            </w:tcBorders>
            <w:noWrap/>
            <w:vAlign w:val="center"/>
          </w:tcPr>
          <w:p w14:paraId="6B0480D4">
            <w:pPr>
              <w:widowControl/>
              <w:spacing w:line="400" w:lineRule="exact"/>
              <w:jc w:val="left"/>
              <w:rPr>
                <w:rFonts w:ascii="宋体" w:hAnsi="宋体" w:cs="宋体"/>
                <w:kern w:val="0"/>
                <w:sz w:val="24"/>
                <w:szCs w:val="24"/>
              </w:rPr>
            </w:pPr>
            <w:r>
              <w:rPr>
                <w:rFonts w:hint="eastAsia" w:ascii="宋体" w:hAnsi="宋体" w:cs="宋体"/>
                <w:kern w:val="0"/>
                <w:sz w:val="24"/>
                <w:szCs w:val="24"/>
              </w:rPr>
              <w:t>未检查施工单位对超过一定规模的危险性较大的分部分项工程的专项施工方案是否组织专家论证、审查</w:t>
            </w:r>
          </w:p>
        </w:tc>
        <w:tc>
          <w:tcPr>
            <w:tcW w:w="2471" w:type="dxa"/>
            <w:tcBorders>
              <w:top w:val="nil"/>
              <w:left w:val="nil"/>
              <w:bottom w:val="single" w:color="auto" w:sz="4" w:space="0"/>
              <w:right w:val="single" w:color="auto" w:sz="4" w:space="0"/>
            </w:tcBorders>
            <w:noWrap/>
            <w:vAlign w:val="center"/>
          </w:tcPr>
          <w:p w14:paraId="35D6471D">
            <w:pPr>
              <w:widowControl/>
              <w:spacing w:line="400" w:lineRule="exact"/>
              <w:jc w:val="left"/>
              <w:rPr>
                <w:rFonts w:ascii="宋体" w:hAnsi="宋体" w:cs="宋体"/>
                <w:kern w:val="0"/>
                <w:sz w:val="24"/>
                <w:szCs w:val="24"/>
              </w:rPr>
            </w:pPr>
            <w:r>
              <w:rPr>
                <w:rFonts w:hint="eastAsia" w:ascii="宋体" w:hAnsi="宋体" w:cs="宋体"/>
                <w:kern w:val="0"/>
                <w:sz w:val="24"/>
                <w:szCs w:val="24"/>
              </w:rPr>
              <w:t>0.5‰-1‰</w:t>
            </w:r>
          </w:p>
        </w:tc>
        <w:tc>
          <w:tcPr>
            <w:tcW w:w="850" w:type="dxa"/>
            <w:tcBorders>
              <w:top w:val="nil"/>
              <w:left w:val="nil"/>
              <w:bottom w:val="single" w:color="auto" w:sz="4" w:space="0"/>
              <w:right w:val="single" w:color="auto" w:sz="4" w:space="0"/>
            </w:tcBorders>
            <w:noWrap/>
            <w:vAlign w:val="center"/>
          </w:tcPr>
          <w:p w14:paraId="6329F163">
            <w:pPr>
              <w:widowControl/>
              <w:spacing w:line="400" w:lineRule="exact"/>
              <w:jc w:val="center"/>
              <w:rPr>
                <w:rFonts w:ascii="宋体" w:hAnsi="宋体" w:cs="宋体"/>
                <w:kern w:val="0"/>
                <w:sz w:val="24"/>
                <w:szCs w:val="24"/>
              </w:rPr>
            </w:pPr>
          </w:p>
        </w:tc>
      </w:tr>
      <w:tr w14:paraId="6D5FABED">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2BB40668">
            <w:pPr>
              <w:widowControl/>
              <w:spacing w:line="400" w:lineRule="exact"/>
              <w:jc w:val="left"/>
              <w:rPr>
                <w:rFonts w:ascii="宋体" w:hAnsi="宋体" w:cs="宋体"/>
                <w:kern w:val="0"/>
                <w:sz w:val="24"/>
                <w:szCs w:val="24"/>
              </w:rPr>
            </w:pPr>
          </w:p>
        </w:tc>
        <w:tc>
          <w:tcPr>
            <w:tcW w:w="1374" w:type="dxa"/>
            <w:tcBorders>
              <w:top w:val="nil"/>
              <w:left w:val="nil"/>
              <w:bottom w:val="single" w:color="auto" w:sz="4" w:space="0"/>
              <w:right w:val="single" w:color="auto" w:sz="4" w:space="0"/>
            </w:tcBorders>
            <w:noWrap/>
            <w:vAlign w:val="center"/>
          </w:tcPr>
          <w:p w14:paraId="04ECAD30">
            <w:pPr>
              <w:widowControl/>
              <w:spacing w:line="400" w:lineRule="exact"/>
              <w:jc w:val="center"/>
              <w:rPr>
                <w:rFonts w:ascii="宋体" w:hAnsi="宋体" w:cs="宋体"/>
                <w:kern w:val="0"/>
                <w:sz w:val="24"/>
                <w:szCs w:val="24"/>
              </w:rPr>
            </w:pPr>
            <w:r>
              <w:rPr>
                <w:rFonts w:hint="eastAsia" w:ascii="宋体" w:hAnsi="宋体" w:cs="宋体"/>
                <w:kern w:val="0"/>
                <w:sz w:val="24"/>
                <w:szCs w:val="24"/>
              </w:rPr>
              <w:t>安全费用</w:t>
            </w:r>
          </w:p>
        </w:tc>
        <w:tc>
          <w:tcPr>
            <w:tcW w:w="4395" w:type="dxa"/>
            <w:tcBorders>
              <w:top w:val="nil"/>
              <w:left w:val="nil"/>
              <w:bottom w:val="single" w:color="auto" w:sz="4" w:space="0"/>
              <w:right w:val="single" w:color="auto" w:sz="4" w:space="0"/>
            </w:tcBorders>
            <w:noWrap/>
            <w:vAlign w:val="center"/>
          </w:tcPr>
          <w:p w14:paraId="54C0C8FC">
            <w:pPr>
              <w:widowControl/>
              <w:spacing w:line="400" w:lineRule="exact"/>
              <w:jc w:val="left"/>
              <w:rPr>
                <w:rFonts w:ascii="宋体" w:hAnsi="宋体" w:cs="宋体"/>
                <w:kern w:val="0"/>
                <w:sz w:val="24"/>
                <w:szCs w:val="24"/>
              </w:rPr>
            </w:pPr>
            <w:r>
              <w:rPr>
                <w:rFonts w:hint="eastAsia" w:ascii="宋体" w:hAnsi="宋体" w:cs="宋体"/>
                <w:kern w:val="0"/>
                <w:sz w:val="24"/>
                <w:szCs w:val="24"/>
              </w:rPr>
              <w:t>未对施工单位安全费用使用情况、安全投入落实情况进行监督</w:t>
            </w:r>
          </w:p>
        </w:tc>
        <w:tc>
          <w:tcPr>
            <w:tcW w:w="2471" w:type="dxa"/>
            <w:tcBorders>
              <w:top w:val="nil"/>
              <w:left w:val="nil"/>
              <w:bottom w:val="single" w:color="auto" w:sz="4" w:space="0"/>
              <w:right w:val="single" w:color="auto" w:sz="4" w:space="0"/>
            </w:tcBorders>
            <w:noWrap/>
            <w:vAlign w:val="center"/>
          </w:tcPr>
          <w:p w14:paraId="5BD91EF4">
            <w:pPr>
              <w:widowControl/>
              <w:spacing w:line="400" w:lineRule="exact"/>
              <w:jc w:val="left"/>
              <w:rPr>
                <w:rFonts w:ascii="宋体" w:hAnsi="宋体" w:cs="宋体"/>
                <w:kern w:val="0"/>
                <w:sz w:val="24"/>
                <w:szCs w:val="24"/>
              </w:rPr>
            </w:pPr>
            <w:r>
              <w:rPr>
                <w:rFonts w:hint="eastAsia" w:ascii="宋体" w:hAnsi="宋体" w:cs="宋体"/>
                <w:kern w:val="0"/>
                <w:sz w:val="24"/>
                <w:szCs w:val="24"/>
              </w:rPr>
              <w:t>0.5‰-1‰</w:t>
            </w:r>
          </w:p>
        </w:tc>
        <w:tc>
          <w:tcPr>
            <w:tcW w:w="850" w:type="dxa"/>
            <w:tcBorders>
              <w:top w:val="nil"/>
              <w:left w:val="nil"/>
              <w:bottom w:val="single" w:color="auto" w:sz="4" w:space="0"/>
              <w:right w:val="single" w:color="auto" w:sz="4" w:space="0"/>
            </w:tcBorders>
            <w:noWrap/>
            <w:vAlign w:val="center"/>
          </w:tcPr>
          <w:p w14:paraId="461D622F">
            <w:pPr>
              <w:widowControl/>
              <w:spacing w:line="400" w:lineRule="exact"/>
              <w:jc w:val="center"/>
              <w:rPr>
                <w:rFonts w:ascii="宋体" w:hAnsi="宋体" w:cs="宋体"/>
                <w:kern w:val="0"/>
                <w:sz w:val="24"/>
                <w:szCs w:val="24"/>
              </w:rPr>
            </w:pPr>
          </w:p>
        </w:tc>
      </w:tr>
      <w:tr w14:paraId="6450CD57">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0716100F">
            <w:pPr>
              <w:widowControl/>
              <w:spacing w:line="400" w:lineRule="exact"/>
              <w:jc w:val="left"/>
              <w:rPr>
                <w:rFonts w:ascii="宋体" w:hAnsi="宋体" w:cs="宋体"/>
                <w:kern w:val="0"/>
                <w:sz w:val="24"/>
                <w:szCs w:val="24"/>
              </w:rPr>
            </w:pPr>
          </w:p>
        </w:tc>
        <w:tc>
          <w:tcPr>
            <w:tcW w:w="1374" w:type="dxa"/>
            <w:tcBorders>
              <w:top w:val="nil"/>
              <w:left w:val="nil"/>
              <w:bottom w:val="single" w:color="auto" w:sz="4" w:space="0"/>
              <w:right w:val="single" w:color="auto" w:sz="4" w:space="0"/>
            </w:tcBorders>
            <w:noWrap/>
            <w:vAlign w:val="center"/>
          </w:tcPr>
          <w:p w14:paraId="270C06A7">
            <w:pPr>
              <w:widowControl/>
              <w:spacing w:line="400" w:lineRule="exact"/>
              <w:jc w:val="center"/>
              <w:rPr>
                <w:rFonts w:ascii="宋体" w:hAnsi="宋体" w:cs="宋体"/>
                <w:kern w:val="0"/>
                <w:sz w:val="24"/>
                <w:szCs w:val="24"/>
              </w:rPr>
            </w:pPr>
            <w:r>
              <w:rPr>
                <w:rFonts w:hint="eastAsia" w:ascii="宋体" w:hAnsi="宋体" w:cs="宋体"/>
                <w:kern w:val="0"/>
                <w:sz w:val="24"/>
                <w:szCs w:val="24"/>
              </w:rPr>
              <w:t>应急管理</w:t>
            </w:r>
          </w:p>
        </w:tc>
        <w:tc>
          <w:tcPr>
            <w:tcW w:w="4395" w:type="dxa"/>
            <w:tcBorders>
              <w:top w:val="nil"/>
              <w:left w:val="nil"/>
              <w:bottom w:val="single" w:color="auto" w:sz="4" w:space="0"/>
              <w:right w:val="single" w:color="auto" w:sz="4" w:space="0"/>
            </w:tcBorders>
            <w:noWrap/>
            <w:vAlign w:val="center"/>
          </w:tcPr>
          <w:p w14:paraId="6F61F4AA">
            <w:pPr>
              <w:widowControl/>
              <w:spacing w:line="400" w:lineRule="exact"/>
              <w:jc w:val="left"/>
              <w:rPr>
                <w:rFonts w:ascii="宋体" w:hAnsi="宋体" w:cs="宋体"/>
                <w:kern w:val="0"/>
                <w:sz w:val="24"/>
                <w:szCs w:val="24"/>
              </w:rPr>
            </w:pPr>
            <w:r>
              <w:rPr>
                <w:rFonts w:hint="eastAsia" w:ascii="宋体" w:hAnsi="宋体" w:cs="宋体"/>
                <w:kern w:val="0"/>
                <w:sz w:val="24"/>
                <w:szCs w:val="24"/>
              </w:rPr>
              <w:t>未对施工单位应急救援预案进行审查或未督促开展演练</w:t>
            </w:r>
          </w:p>
        </w:tc>
        <w:tc>
          <w:tcPr>
            <w:tcW w:w="2471" w:type="dxa"/>
            <w:tcBorders>
              <w:top w:val="nil"/>
              <w:left w:val="nil"/>
              <w:bottom w:val="single" w:color="auto" w:sz="4" w:space="0"/>
              <w:right w:val="single" w:color="auto" w:sz="4" w:space="0"/>
            </w:tcBorders>
            <w:noWrap/>
            <w:vAlign w:val="center"/>
          </w:tcPr>
          <w:p w14:paraId="0DCD9E50">
            <w:pPr>
              <w:widowControl/>
              <w:spacing w:line="400" w:lineRule="exact"/>
              <w:jc w:val="left"/>
              <w:rPr>
                <w:rFonts w:ascii="宋体" w:hAnsi="宋体" w:cs="宋体"/>
                <w:kern w:val="0"/>
                <w:sz w:val="24"/>
                <w:szCs w:val="24"/>
              </w:rPr>
            </w:pPr>
            <w:r>
              <w:rPr>
                <w:rFonts w:hint="eastAsia" w:ascii="宋体" w:hAnsi="宋体" w:cs="宋体"/>
                <w:kern w:val="0"/>
                <w:sz w:val="24"/>
                <w:szCs w:val="24"/>
              </w:rPr>
              <w:t>0.5‰-1‰</w:t>
            </w:r>
          </w:p>
        </w:tc>
        <w:tc>
          <w:tcPr>
            <w:tcW w:w="850" w:type="dxa"/>
            <w:tcBorders>
              <w:top w:val="nil"/>
              <w:left w:val="nil"/>
              <w:bottom w:val="single" w:color="auto" w:sz="4" w:space="0"/>
              <w:right w:val="single" w:color="auto" w:sz="4" w:space="0"/>
            </w:tcBorders>
            <w:noWrap/>
            <w:vAlign w:val="center"/>
          </w:tcPr>
          <w:p w14:paraId="207248F4">
            <w:pPr>
              <w:widowControl/>
              <w:spacing w:line="400" w:lineRule="exact"/>
              <w:jc w:val="center"/>
              <w:rPr>
                <w:rFonts w:ascii="宋体" w:hAnsi="宋体" w:cs="宋体"/>
                <w:kern w:val="0"/>
                <w:sz w:val="24"/>
                <w:szCs w:val="24"/>
              </w:rPr>
            </w:pPr>
          </w:p>
        </w:tc>
      </w:tr>
      <w:tr w14:paraId="0BAF1179">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50030C94">
            <w:pPr>
              <w:widowControl/>
              <w:spacing w:line="400" w:lineRule="exact"/>
              <w:jc w:val="left"/>
              <w:rPr>
                <w:rFonts w:ascii="宋体" w:hAnsi="宋体" w:cs="宋体"/>
                <w:kern w:val="0"/>
                <w:sz w:val="24"/>
                <w:szCs w:val="24"/>
              </w:rPr>
            </w:pPr>
          </w:p>
        </w:tc>
        <w:tc>
          <w:tcPr>
            <w:tcW w:w="1374" w:type="dxa"/>
            <w:vMerge w:val="restart"/>
            <w:tcBorders>
              <w:top w:val="nil"/>
              <w:left w:val="single" w:color="auto" w:sz="4" w:space="0"/>
              <w:bottom w:val="single" w:color="000000" w:sz="4" w:space="0"/>
              <w:right w:val="single" w:color="auto" w:sz="4" w:space="0"/>
            </w:tcBorders>
            <w:noWrap/>
            <w:vAlign w:val="center"/>
          </w:tcPr>
          <w:p w14:paraId="3911EC5A">
            <w:pPr>
              <w:widowControl/>
              <w:spacing w:line="400" w:lineRule="exact"/>
              <w:jc w:val="center"/>
              <w:rPr>
                <w:rFonts w:ascii="宋体" w:hAnsi="宋体" w:cs="宋体"/>
                <w:kern w:val="0"/>
                <w:sz w:val="24"/>
                <w:szCs w:val="24"/>
              </w:rPr>
            </w:pPr>
            <w:r>
              <w:rPr>
                <w:rFonts w:hint="eastAsia" w:ascii="宋体" w:hAnsi="宋体" w:cs="宋体"/>
                <w:kern w:val="0"/>
                <w:sz w:val="24"/>
                <w:szCs w:val="24"/>
              </w:rPr>
              <w:t>工程安全巡视</w:t>
            </w:r>
          </w:p>
        </w:tc>
        <w:tc>
          <w:tcPr>
            <w:tcW w:w="4395" w:type="dxa"/>
            <w:tcBorders>
              <w:top w:val="nil"/>
              <w:left w:val="nil"/>
              <w:bottom w:val="single" w:color="auto" w:sz="4" w:space="0"/>
              <w:right w:val="single" w:color="auto" w:sz="4" w:space="0"/>
            </w:tcBorders>
            <w:noWrap/>
            <w:vAlign w:val="center"/>
          </w:tcPr>
          <w:p w14:paraId="5BAB4142">
            <w:pPr>
              <w:widowControl/>
              <w:spacing w:line="400" w:lineRule="exact"/>
              <w:jc w:val="left"/>
              <w:rPr>
                <w:rFonts w:ascii="宋体" w:hAnsi="宋体" w:cs="宋体"/>
                <w:kern w:val="0"/>
                <w:sz w:val="24"/>
                <w:szCs w:val="24"/>
              </w:rPr>
            </w:pPr>
            <w:r>
              <w:rPr>
                <w:rFonts w:hint="eastAsia" w:ascii="宋体" w:hAnsi="宋体" w:cs="宋体"/>
                <w:kern w:val="0"/>
                <w:sz w:val="24"/>
                <w:szCs w:val="24"/>
              </w:rPr>
              <w:t>未按监理规划或实施细则进行巡查</w:t>
            </w:r>
          </w:p>
        </w:tc>
        <w:tc>
          <w:tcPr>
            <w:tcW w:w="2471" w:type="dxa"/>
            <w:tcBorders>
              <w:top w:val="nil"/>
              <w:left w:val="nil"/>
              <w:bottom w:val="single" w:color="auto" w:sz="4" w:space="0"/>
              <w:right w:val="single" w:color="auto" w:sz="4" w:space="0"/>
            </w:tcBorders>
            <w:noWrap/>
            <w:vAlign w:val="center"/>
          </w:tcPr>
          <w:p w14:paraId="7F4E2D91">
            <w:pPr>
              <w:widowControl/>
              <w:spacing w:line="400" w:lineRule="exact"/>
              <w:jc w:val="left"/>
              <w:rPr>
                <w:rFonts w:ascii="宋体" w:hAnsi="宋体" w:cs="宋体"/>
                <w:kern w:val="0"/>
                <w:sz w:val="24"/>
                <w:szCs w:val="24"/>
              </w:rPr>
            </w:pPr>
            <w:r>
              <w:rPr>
                <w:rFonts w:hint="eastAsia" w:ascii="宋体" w:hAnsi="宋体" w:cs="宋体"/>
                <w:kern w:val="0"/>
                <w:sz w:val="24"/>
                <w:szCs w:val="24"/>
              </w:rPr>
              <w:t>0.5‰-1‰</w:t>
            </w:r>
          </w:p>
        </w:tc>
        <w:tc>
          <w:tcPr>
            <w:tcW w:w="850" w:type="dxa"/>
            <w:tcBorders>
              <w:top w:val="nil"/>
              <w:left w:val="nil"/>
              <w:bottom w:val="single" w:color="auto" w:sz="4" w:space="0"/>
              <w:right w:val="single" w:color="auto" w:sz="4" w:space="0"/>
            </w:tcBorders>
            <w:noWrap/>
            <w:vAlign w:val="center"/>
          </w:tcPr>
          <w:p w14:paraId="5BA8D8EF">
            <w:pPr>
              <w:widowControl/>
              <w:spacing w:line="400" w:lineRule="exact"/>
              <w:jc w:val="center"/>
              <w:rPr>
                <w:rFonts w:ascii="宋体" w:hAnsi="宋体" w:cs="宋体"/>
                <w:kern w:val="0"/>
                <w:sz w:val="24"/>
                <w:szCs w:val="24"/>
              </w:rPr>
            </w:pPr>
          </w:p>
        </w:tc>
      </w:tr>
      <w:tr w14:paraId="2D895A47">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49CDFB73">
            <w:pPr>
              <w:widowControl/>
              <w:spacing w:line="400" w:lineRule="exact"/>
              <w:jc w:val="left"/>
              <w:rPr>
                <w:rFonts w:ascii="宋体" w:hAnsi="宋体" w:cs="宋体"/>
                <w:kern w:val="0"/>
                <w:sz w:val="24"/>
                <w:szCs w:val="24"/>
              </w:rPr>
            </w:pPr>
          </w:p>
        </w:tc>
        <w:tc>
          <w:tcPr>
            <w:tcW w:w="1374" w:type="dxa"/>
            <w:vMerge w:val="continue"/>
            <w:tcBorders>
              <w:top w:val="nil"/>
              <w:left w:val="single" w:color="auto" w:sz="4" w:space="0"/>
              <w:bottom w:val="single" w:color="000000" w:sz="4" w:space="0"/>
              <w:right w:val="single" w:color="auto" w:sz="4" w:space="0"/>
            </w:tcBorders>
            <w:noWrap/>
            <w:vAlign w:val="center"/>
          </w:tcPr>
          <w:p w14:paraId="0EFB319D">
            <w:pPr>
              <w:widowControl/>
              <w:spacing w:line="400" w:lineRule="exact"/>
              <w:jc w:val="left"/>
              <w:rPr>
                <w:rFonts w:ascii="宋体" w:hAnsi="宋体" w:cs="宋体"/>
                <w:kern w:val="0"/>
                <w:sz w:val="24"/>
                <w:szCs w:val="24"/>
              </w:rPr>
            </w:pPr>
          </w:p>
        </w:tc>
        <w:tc>
          <w:tcPr>
            <w:tcW w:w="4395" w:type="dxa"/>
            <w:tcBorders>
              <w:top w:val="nil"/>
              <w:left w:val="nil"/>
              <w:bottom w:val="single" w:color="auto" w:sz="4" w:space="0"/>
              <w:right w:val="single" w:color="auto" w:sz="4" w:space="0"/>
            </w:tcBorders>
            <w:noWrap/>
            <w:vAlign w:val="center"/>
          </w:tcPr>
          <w:p w14:paraId="0B986147">
            <w:pPr>
              <w:widowControl/>
              <w:spacing w:line="400" w:lineRule="exact"/>
              <w:jc w:val="left"/>
              <w:rPr>
                <w:rFonts w:ascii="宋体" w:hAnsi="宋体" w:cs="宋体"/>
                <w:kern w:val="0"/>
                <w:sz w:val="24"/>
                <w:szCs w:val="24"/>
              </w:rPr>
            </w:pPr>
            <w:r>
              <w:rPr>
                <w:rFonts w:hint="eastAsia" w:ascii="宋体" w:hAnsi="宋体" w:cs="宋体"/>
                <w:kern w:val="0"/>
                <w:sz w:val="24"/>
                <w:szCs w:val="24"/>
              </w:rPr>
              <w:t>发现安全隐患未及时处理</w:t>
            </w:r>
          </w:p>
        </w:tc>
        <w:tc>
          <w:tcPr>
            <w:tcW w:w="2471" w:type="dxa"/>
            <w:tcBorders>
              <w:top w:val="nil"/>
              <w:left w:val="nil"/>
              <w:bottom w:val="single" w:color="auto" w:sz="4" w:space="0"/>
              <w:right w:val="single" w:color="auto" w:sz="4" w:space="0"/>
            </w:tcBorders>
            <w:noWrap/>
            <w:vAlign w:val="center"/>
          </w:tcPr>
          <w:p w14:paraId="116BAF42">
            <w:pPr>
              <w:widowControl/>
              <w:spacing w:line="400" w:lineRule="exact"/>
              <w:jc w:val="left"/>
              <w:rPr>
                <w:rFonts w:ascii="宋体" w:hAnsi="宋体" w:cs="宋体"/>
                <w:kern w:val="0"/>
                <w:sz w:val="24"/>
                <w:szCs w:val="24"/>
              </w:rPr>
            </w:pPr>
            <w:r>
              <w:rPr>
                <w:rFonts w:hint="eastAsia" w:ascii="宋体" w:hAnsi="宋体" w:cs="宋体"/>
                <w:kern w:val="0"/>
                <w:sz w:val="24"/>
                <w:szCs w:val="24"/>
              </w:rPr>
              <w:t>0.5‰-1‰</w:t>
            </w:r>
          </w:p>
        </w:tc>
        <w:tc>
          <w:tcPr>
            <w:tcW w:w="850" w:type="dxa"/>
            <w:tcBorders>
              <w:top w:val="nil"/>
              <w:left w:val="nil"/>
              <w:bottom w:val="single" w:color="auto" w:sz="4" w:space="0"/>
              <w:right w:val="single" w:color="auto" w:sz="4" w:space="0"/>
            </w:tcBorders>
            <w:noWrap/>
            <w:vAlign w:val="center"/>
          </w:tcPr>
          <w:p w14:paraId="36071A7C">
            <w:pPr>
              <w:widowControl/>
              <w:spacing w:line="400" w:lineRule="exact"/>
              <w:jc w:val="center"/>
              <w:rPr>
                <w:rFonts w:ascii="宋体" w:hAnsi="宋体" w:cs="宋体"/>
                <w:kern w:val="0"/>
                <w:sz w:val="24"/>
                <w:szCs w:val="24"/>
              </w:rPr>
            </w:pPr>
          </w:p>
        </w:tc>
      </w:tr>
      <w:tr w14:paraId="10E372B3">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20E38B84">
            <w:pPr>
              <w:widowControl/>
              <w:spacing w:line="400" w:lineRule="exact"/>
              <w:jc w:val="left"/>
              <w:rPr>
                <w:rFonts w:ascii="宋体" w:hAnsi="宋体" w:cs="宋体"/>
                <w:kern w:val="0"/>
                <w:sz w:val="24"/>
                <w:szCs w:val="24"/>
              </w:rPr>
            </w:pPr>
          </w:p>
        </w:tc>
        <w:tc>
          <w:tcPr>
            <w:tcW w:w="1374" w:type="dxa"/>
            <w:vMerge w:val="continue"/>
            <w:tcBorders>
              <w:top w:val="nil"/>
              <w:left w:val="single" w:color="auto" w:sz="4" w:space="0"/>
              <w:bottom w:val="single" w:color="000000" w:sz="4" w:space="0"/>
              <w:right w:val="single" w:color="auto" w:sz="4" w:space="0"/>
            </w:tcBorders>
            <w:noWrap/>
            <w:vAlign w:val="center"/>
          </w:tcPr>
          <w:p w14:paraId="2323B10C">
            <w:pPr>
              <w:widowControl/>
              <w:spacing w:line="400" w:lineRule="exact"/>
              <w:jc w:val="left"/>
              <w:rPr>
                <w:rFonts w:ascii="宋体" w:hAnsi="宋体" w:cs="宋体"/>
                <w:kern w:val="0"/>
                <w:sz w:val="24"/>
                <w:szCs w:val="24"/>
              </w:rPr>
            </w:pPr>
          </w:p>
        </w:tc>
        <w:tc>
          <w:tcPr>
            <w:tcW w:w="4395" w:type="dxa"/>
            <w:tcBorders>
              <w:top w:val="nil"/>
              <w:left w:val="nil"/>
              <w:bottom w:val="single" w:color="auto" w:sz="4" w:space="0"/>
              <w:right w:val="single" w:color="auto" w:sz="4" w:space="0"/>
            </w:tcBorders>
            <w:noWrap/>
            <w:vAlign w:val="center"/>
          </w:tcPr>
          <w:p w14:paraId="573E6943">
            <w:pPr>
              <w:widowControl/>
              <w:spacing w:line="400" w:lineRule="exact"/>
              <w:jc w:val="left"/>
              <w:rPr>
                <w:rFonts w:ascii="宋体" w:hAnsi="宋体" w:cs="宋体"/>
                <w:kern w:val="0"/>
                <w:sz w:val="24"/>
                <w:szCs w:val="24"/>
              </w:rPr>
            </w:pPr>
            <w:r>
              <w:rPr>
                <w:rFonts w:hint="eastAsia" w:ascii="宋体" w:hAnsi="宋体" w:cs="宋体"/>
                <w:kern w:val="0"/>
                <w:sz w:val="24"/>
                <w:szCs w:val="24"/>
              </w:rPr>
              <w:t>对安全隐患处理意见或整改结果无记录</w:t>
            </w:r>
          </w:p>
        </w:tc>
        <w:tc>
          <w:tcPr>
            <w:tcW w:w="2471" w:type="dxa"/>
            <w:tcBorders>
              <w:top w:val="nil"/>
              <w:left w:val="nil"/>
              <w:bottom w:val="single" w:color="auto" w:sz="4" w:space="0"/>
              <w:right w:val="single" w:color="auto" w:sz="4" w:space="0"/>
            </w:tcBorders>
            <w:noWrap/>
            <w:vAlign w:val="center"/>
          </w:tcPr>
          <w:p w14:paraId="78ADEFB1">
            <w:pPr>
              <w:widowControl/>
              <w:spacing w:line="400" w:lineRule="exact"/>
              <w:jc w:val="left"/>
              <w:rPr>
                <w:rFonts w:ascii="宋体" w:hAnsi="宋体" w:cs="宋体"/>
                <w:kern w:val="0"/>
                <w:sz w:val="24"/>
                <w:szCs w:val="24"/>
              </w:rPr>
            </w:pPr>
            <w:r>
              <w:rPr>
                <w:rFonts w:hint="eastAsia" w:ascii="宋体" w:hAnsi="宋体" w:cs="宋体"/>
                <w:kern w:val="0"/>
                <w:sz w:val="24"/>
                <w:szCs w:val="24"/>
              </w:rPr>
              <w:t>0.25‰-0.5‰</w:t>
            </w:r>
          </w:p>
        </w:tc>
        <w:tc>
          <w:tcPr>
            <w:tcW w:w="850" w:type="dxa"/>
            <w:tcBorders>
              <w:top w:val="nil"/>
              <w:left w:val="nil"/>
              <w:bottom w:val="single" w:color="auto" w:sz="4" w:space="0"/>
              <w:right w:val="single" w:color="auto" w:sz="4" w:space="0"/>
            </w:tcBorders>
            <w:noWrap/>
            <w:vAlign w:val="center"/>
          </w:tcPr>
          <w:p w14:paraId="297E6C37">
            <w:pPr>
              <w:widowControl/>
              <w:spacing w:line="400" w:lineRule="exact"/>
              <w:jc w:val="center"/>
              <w:rPr>
                <w:rFonts w:ascii="宋体" w:hAnsi="宋体" w:cs="宋体"/>
                <w:kern w:val="0"/>
                <w:sz w:val="24"/>
                <w:szCs w:val="24"/>
              </w:rPr>
            </w:pPr>
          </w:p>
        </w:tc>
      </w:tr>
      <w:tr w14:paraId="5D25E1F4">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ign w:val="center"/>
          </w:tcPr>
          <w:p w14:paraId="66E227CD">
            <w:pPr>
              <w:widowControl/>
              <w:spacing w:line="400" w:lineRule="exact"/>
              <w:jc w:val="left"/>
              <w:rPr>
                <w:rFonts w:ascii="宋体" w:hAnsi="宋体" w:cs="宋体"/>
                <w:kern w:val="0"/>
                <w:sz w:val="24"/>
                <w:szCs w:val="24"/>
              </w:rPr>
            </w:pPr>
          </w:p>
        </w:tc>
        <w:tc>
          <w:tcPr>
            <w:tcW w:w="1374" w:type="dxa"/>
            <w:tcBorders>
              <w:top w:val="nil"/>
              <w:left w:val="nil"/>
              <w:bottom w:val="single" w:color="auto" w:sz="4" w:space="0"/>
              <w:right w:val="single" w:color="auto" w:sz="4" w:space="0"/>
            </w:tcBorders>
            <w:noWrap/>
            <w:vAlign w:val="center"/>
          </w:tcPr>
          <w:p w14:paraId="74DFD4CF">
            <w:pPr>
              <w:widowControl/>
              <w:spacing w:line="400" w:lineRule="exact"/>
              <w:jc w:val="center"/>
              <w:rPr>
                <w:rFonts w:ascii="宋体" w:hAnsi="宋体" w:cs="宋体"/>
                <w:kern w:val="0"/>
                <w:sz w:val="24"/>
                <w:szCs w:val="24"/>
              </w:rPr>
            </w:pPr>
            <w:r>
              <w:rPr>
                <w:rFonts w:hint="eastAsia" w:ascii="宋体" w:hAnsi="宋体" w:cs="宋体"/>
                <w:kern w:val="0"/>
                <w:sz w:val="24"/>
                <w:szCs w:val="24"/>
              </w:rPr>
              <w:t>报告制度</w:t>
            </w:r>
          </w:p>
        </w:tc>
        <w:tc>
          <w:tcPr>
            <w:tcW w:w="4395" w:type="dxa"/>
            <w:tcBorders>
              <w:top w:val="nil"/>
              <w:left w:val="nil"/>
              <w:bottom w:val="single" w:color="auto" w:sz="4" w:space="0"/>
              <w:right w:val="single" w:color="auto" w:sz="4" w:space="0"/>
            </w:tcBorders>
            <w:noWrap/>
            <w:vAlign w:val="center"/>
          </w:tcPr>
          <w:p w14:paraId="3D9EA3B5">
            <w:pPr>
              <w:widowControl/>
              <w:spacing w:line="400" w:lineRule="exact"/>
              <w:jc w:val="left"/>
              <w:rPr>
                <w:rFonts w:ascii="宋体" w:hAnsi="宋体" w:cs="宋体"/>
                <w:kern w:val="0"/>
                <w:sz w:val="24"/>
                <w:szCs w:val="24"/>
              </w:rPr>
            </w:pPr>
            <w:r>
              <w:rPr>
                <w:rFonts w:hint="eastAsia" w:ascii="宋体" w:hAnsi="宋体" w:cs="宋体"/>
                <w:kern w:val="0"/>
                <w:sz w:val="24"/>
                <w:szCs w:val="24"/>
              </w:rPr>
              <w:t>对发现安全事故隐患已经发出监理通知但施工单位拒不整改或不停止施工，监理未及时向建设单位和行政管理部门报告</w:t>
            </w:r>
          </w:p>
        </w:tc>
        <w:tc>
          <w:tcPr>
            <w:tcW w:w="2471" w:type="dxa"/>
            <w:tcBorders>
              <w:top w:val="nil"/>
              <w:left w:val="nil"/>
              <w:bottom w:val="single" w:color="auto" w:sz="4" w:space="0"/>
              <w:right w:val="single" w:color="auto" w:sz="4" w:space="0"/>
            </w:tcBorders>
            <w:noWrap/>
            <w:vAlign w:val="center"/>
          </w:tcPr>
          <w:p w14:paraId="28E6F1B2">
            <w:pPr>
              <w:widowControl/>
              <w:spacing w:line="400" w:lineRule="exact"/>
              <w:jc w:val="left"/>
              <w:rPr>
                <w:rFonts w:ascii="宋体" w:hAnsi="宋体" w:cs="宋体"/>
                <w:kern w:val="0"/>
                <w:sz w:val="24"/>
                <w:szCs w:val="24"/>
              </w:rPr>
            </w:pPr>
            <w:r>
              <w:rPr>
                <w:rFonts w:hint="eastAsia" w:ascii="宋体" w:hAnsi="宋体" w:cs="宋体"/>
                <w:kern w:val="0"/>
                <w:sz w:val="24"/>
                <w:szCs w:val="24"/>
              </w:rPr>
              <w:t>0.5‰-1‰</w:t>
            </w:r>
          </w:p>
        </w:tc>
        <w:tc>
          <w:tcPr>
            <w:tcW w:w="850" w:type="dxa"/>
            <w:tcBorders>
              <w:top w:val="nil"/>
              <w:left w:val="nil"/>
              <w:bottom w:val="single" w:color="auto" w:sz="4" w:space="0"/>
              <w:right w:val="single" w:color="auto" w:sz="4" w:space="0"/>
            </w:tcBorders>
            <w:noWrap/>
            <w:vAlign w:val="center"/>
          </w:tcPr>
          <w:p w14:paraId="73EA7878">
            <w:pPr>
              <w:widowControl/>
              <w:spacing w:line="400" w:lineRule="exact"/>
              <w:jc w:val="center"/>
              <w:rPr>
                <w:rFonts w:ascii="宋体" w:hAnsi="宋体" w:cs="宋体"/>
                <w:kern w:val="0"/>
                <w:sz w:val="24"/>
                <w:szCs w:val="24"/>
              </w:rPr>
            </w:pPr>
          </w:p>
        </w:tc>
      </w:tr>
      <w:tr w14:paraId="04F30F94">
        <w:tblPrEx>
          <w:tblCellMar>
            <w:top w:w="0" w:type="dxa"/>
            <w:left w:w="108" w:type="dxa"/>
            <w:bottom w:w="0" w:type="dxa"/>
            <w:right w:w="108" w:type="dxa"/>
          </w:tblCellMar>
        </w:tblPrEx>
        <w:trPr>
          <w:jc w:val="center"/>
        </w:trPr>
        <w:tc>
          <w:tcPr>
            <w:tcW w:w="9679" w:type="dxa"/>
            <w:gridSpan w:val="5"/>
            <w:tcBorders>
              <w:top w:val="single" w:color="auto" w:sz="4" w:space="0"/>
              <w:left w:val="single" w:color="auto" w:sz="4" w:space="0"/>
              <w:bottom w:val="single" w:color="auto" w:sz="4" w:space="0"/>
              <w:right w:val="single" w:color="000000" w:sz="4" w:space="0"/>
            </w:tcBorders>
            <w:noWrap/>
            <w:vAlign w:val="center"/>
          </w:tcPr>
          <w:p w14:paraId="69C72A52">
            <w:pPr>
              <w:widowControl/>
              <w:spacing w:line="400" w:lineRule="exact"/>
              <w:jc w:val="left"/>
              <w:rPr>
                <w:rFonts w:ascii="宋体" w:hAnsi="宋体" w:cs="宋体"/>
                <w:kern w:val="0"/>
                <w:sz w:val="24"/>
                <w:szCs w:val="24"/>
              </w:rPr>
            </w:pPr>
            <w:r>
              <w:rPr>
                <w:rFonts w:hint="eastAsia" w:ascii="宋体" w:hAnsi="宋体" w:cs="宋体"/>
                <w:kern w:val="0"/>
                <w:sz w:val="24"/>
                <w:szCs w:val="24"/>
              </w:rPr>
              <w:t>注：1、上表所列违约事项具体处罚标准由委托人及监理人在签订合同时在上表规定范围内自行约定。</w:t>
            </w:r>
          </w:p>
          <w:p w14:paraId="49BFA501">
            <w:pPr>
              <w:widowControl/>
              <w:spacing w:line="400" w:lineRule="exact"/>
              <w:jc w:val="left"/>
              <w:rPr>
                <w:rFonts w:ascii="宋体" w:hAnsi="宋体" w:cs="宋体"/>
                <w:kern w:val="0"/>
                <w:sz w:val="24"/>
                <w:szCs w:val="24"/>
              </w:rPr>
            </w:pPr>
            <w:r>
              <w:rPr>
                <w:rFonts w:hint="eastAsia" w:ascii="宋体" w:hAnsi="宋体" w:cs="宋体"/>
                <w:kern w:val="0"/>
                <w:sz w:val="24"/>
                <w:szCs w:val="24"/>
                <w:lang w:eastAsia="zh-CN"/>
              </w:rPr>
              <w:t>2.</w:t>
            </w:r>
            <w:r>
              <w:rPr>
                <w:rFonts w:hint="eastAsia" w:ascii="宋体" w:hAnsi="宋体" w:cs="宋体"/>
                <w:kern w:val="0"/>
                <w:sz w:val="24"/>
                <w:szCs w:val="24"/>
              </w:rPr>
              <w:t>监理人发生以上★号违约情况时，委托人有权直接根据上表签订合同时约定的标准进行处罚。</w:t>
            </w:r>
          </w:p>
          <w:p w14:paraId="0E709E38">
            <w:pPr>
              <w:widowControl/>
              <w:spacing w:line="400" w:lineRule="exact"/>
              <w:jc w:val="left"/>
              <w:rPr>
                <w:rFonts w:ascii="宋体" w:hAnsi="宋体" w:cs="宋体"/>
                <w:kern w:val="0"/>
                <w:sz w:val="24"/>
                <w:szCs w:val="24"/>
              </w:rPr>
            </w:pPr>
            <w:r>
              <w:rPr>
                <w:rFonts w:hint="eastAsia" w:ascii="宋体" w:hAnsi="宋体" w:cs="宋体"/>
                <w:kern w:val="0"/>
                <w:sz w:val="24"/>
                <w:szCs w:val="24"/>
                <w:lang w:eastAsia="zh-CN"/>
              </w:rPr>
              <w:t>3.</w:t>
            </w:r>
            <w:r>
              <w:rPr>
                <w:rFonts w:hint="eastAsia" w:ascii="宋体" w:hAnsi="宋体" w:cs="宋体"/>
                <w:kern w:val="0"/>
                <w:sz w:val="24"/>
                <w:szCs w:val="24"/>
              </w:rPr>
              <w:t>监理人发生以上非★号违约情况时，委托人可向监理人发出整改通知，要求其在限定期限内纠正。监理人收到整改通知后在限定期限内仍未纠正的，委托人有权根据上表签订合同时约定的标准进行处罚。</w:t>
            </w:r>
          </w:p>
        </w:tc>
      </w:tr>
    </w:tbl>
    <w:p w14:paraId="269215C1">
      <w:pPr>
        <w:widowControl/>
        <w:spacing w:line="360" w:lineRule="auto"/>
        <w:jc w:val="left"/>
        <w:rPr>
          <w:rFonts w:ascii="宋体" w:hAnsi="宋体" w:cs="宋体"/>
          <w:sz w:val="24"/>
          <w:szCs w:val="24"/>
        </w:rPr>
      </w:pPr>
      <w:bookmarkStart w:id="365" w:name="_Toc531678514"/>
      <w:r>
        <w:rPr>
          <w:rFonts w:hint="eastAsia" w:ascii="宋体" w:hAnsi="宋体" w:cs="宋体"/>
          <w:sz w:val="24"/>
          <w:szCs w:val="24"/>
        </w:rPr>
        <w:br w:type="page"/>
      </w:r>
    </w:p>
    <w:p w14:paraId="1CCAE027">
      <w:pPr>
        <w:spacing w:line="360" w:lineRule="auto"/>
        <w:rPr>
          <w:rFonts w:ascii="宋体" w:hAnsi="宋体" w:cs="宋体"/>
          <w:sz w:val="24"/>
          <w:szCs w:val="24"/>
        </w:rPr>
      </w:pPr>
      <w:bookmarkStart w:id="366" w:name="_Toc536709902"/>
      <w:bookmarkStart w:id="367" w:name="_Toc536778423"/>
      <w:r>
        <w:rPr>
          <w:rFonts w:hint="eastAsia" w:ascii="宋体" w:hAnsi="宋体" w:cs="宋体"/>
          <w:sz w:val="24"/>
          <w:szCs w:val="24"/>
        </w:rPr>
        <w:t>附件五 安全履职协议</w:t>
      </w:r>
      <w:bookmarkEnd w:id="365"/>
      <w:bookmarkEnd w:id="366"/>
      <w:bookmarkEnd w:id="367"/>
    </w:p>
    <w:p w14:paraId="3C87BEBA">
      <w:pPr>
        <w:spacing w:line="360" w:lineRule="auto"/>
        <w:jc w:val="center"/>
        <w:rPr>
          <w:rFonts w:ascii="宋体" w:hAnsi="宋体" w:cs="宋体"/>
          <w:b/>
          <w:sz w:val="24"/>
          <w:szCs w:val="24"/>
        </w:rPr>
      </w:pPr>
      <w:r>
        <w:rPr>
          <w:rFonts w:hint="eastAsia" w:ascii="宋体" w:hAnsi="宋体" w:cs="宋体"/>
          <w:b/>
          <w:kern w:val="0"/>
          <w:sz w:val="24"/>
          <w:szCs w:val="24"/>
        </w:rPr>
        <w:t>安全履职协议</w:t>
      </w:r>
    </w:p>
    <w:p w14:paraId="2A147977">
      <w:pPr>
        <w:spacing w:line="360" w:lineRule="auto"/>
        <w:ind w:firstLine="480" w:firstLineChars="200"/>
        <w:rPr>
          <w:rFonts w:ascii="宋体" w:hAnsi="宋体" w:cs="宋体"/>
          <w:sz w:val="24"/>
          <w:szCs w:val="24"/>
        </w:rPr>
      </w:pPr>
      <w:r>
        <w:rPr>
          <w:rFonts w:hint="eastAsia" w:ascii="宋体" w:hAnsi="宋体" w:cs="宋体"/>
          <w:sz w:val="24"/>
          <w:szCs w:val="24"/>
        </w:rPr>
        <w:t>为在</w:t>
      </w:r>
      <w:r>
        <w:rPr>
          <w:rFonts w:hint="eastAsia" w:ascii="宋体" w:hAnsi="宋体" w:cs="宋体"/>
          <w:sz w:val="24"/>
          <w:szCs w:val="24"/>
          <w:u w:val="single"/>
        </w:rPr>
        <w:t xml:space="preserve">                 </w:t>
      </w:r>
      <w:r>
        <w:rPr>
          <w:rFonts w:hint="eastAsia" w:ascii="宋体" w:hAnsi="宋体" w:cs="宋体"/>
          <w:sz w:val="24"/>
          <w:szCs w:val="24"/>
        </w:rPr>
        <w:t>监理合同的实施过程中创造安全、高效的施工环境，切实搞好本项目的安全管理工作，本项目委托人与监理人特此签订安全生产合同：</w:t>
      </w:r>
    </w:p>
    <w:p w14:paraId="58D2D231">
      <w:pPr>
        <w:spacing w:line="360" w:lineRule="auto"/>
        <w:ind w:firstLine="480" w:firstLineChars="200"/>
        <w:rPr>
          <w:rFonts w:ascii="宋体" w:hAnsi="宋体" w:cs="宋体"/>
          <w:sz w:val="24"/>
          <w:szCs w:val="24"/>
        </w:rPr>
      </w:pPr>
      <w:r>
        <w:rPr>
          <w:rFonts w:hint="eastAsia" w:ascii="宋体" w:hAnsi="宋体" w:cs="宋体"/>
          <w:sz w:val="24"/>
          <w:szCs w:val="24"/>
        </w:rPr>
        <w:t>一、委托人职责</w:t>
      </w:r>
    </w:p>
    <w:p w14:paraId="1BD440DD">
      <w:pPr>
        <w:spacing w:line="360" w:lineRule="auto"/>
        <w:ind w:firstLine="480" w:firstLineChars="200"/>
        <w:rPr>
          <w:rFonts w:ascii="宋体" w:hAnsi="宋体" w:cs="宋体"/>
          <w:sz w:val="24"/>
          <w:szCs w:val="24"/>
        </w:rPr>
      </w:pPr>
      <w:r>
        <w:rPr>
          <w:rFonts w:hint="eastAsia" w:ascii="宋体" w:hAnsi="宋体" w:cs="宋体"/>
          <w:sz w:val="24"/>
          <w:szCs w:val="24"/>
        </w:rPr>
        <w:t>1.严格遵守国家有关安全生产的法律法规，认真执行监理合同中的有关安全要求。</w:t>
      </w:r>
    </w:p>
    <w:p w14:paraId="0D7DE11A">
      <w:pPr>
        <w:spacing w:line="360" w:lineRule="auto"/>
        <w:ind w:firstLine="480" w:firstLineChars="200"/>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按照重庆市相关管理规定支付安全文明施工费，并监督使用情况。</w:t>
      </w:r>
    </w:p>
    <w:p w14:paraId="1FAF8AF1">
      <w:pPr>
        <w:spacing w:line="360" w:lineRule="auto"/>
        <w:ind w:firstLine="480" w:firstLineChars="200"/>
        <w:rPr>
          <w:rFonts w:ascii="宋体" w:hAnsi="宋体" w:cs="宋体"/>
          <w:sz w:val="24"/>
          <w:szCs w:val="24"/>
        </w:rPr>
      </w:pPr>
      <w:r>
        <w:rPr>
          <w:rFonts w:hint="eastAsia" w:ascii="宋体" w:hAnsi="宋体" w:cs="宋体"/>
          <w:sz w:val="24"/>
          <w:szCs w:val="24"/>
        </w:rPr>
        <w:t>3.按照“安全第一、预防为主”和坚持“管生产必须管安全”的原则进行安全生产管理，做到生产与安全工作同时计划、布置、检查、总结和评比。</w:t>
      </w:r>
    </w:p>
    <w:p w14:paraId="500D707A">
      <w:pPr>
        <w:spacing w:line="360" w:lineRule="auto"/>
        <w:ind w:firstLine="480" w:firstLineChars="200"/>
        <w:rPr>
          <w:rFonts w:ascii="宋体" w:hAnsi="宋体" w:cs="宋体"/>
          <w:sz w:val="24"/>
          <w:szCs w:val="24"/>
        </w:rPr>
      </w:pPr>
      <w:r>
        <w:rPr>
          <w:rFonts w:hint="eastAsia" w:ascii="宋体" w:hAnsi="宋体" w:cs="宋体"/>
          <w:sz w:val="24"/>
          <w:szCs w:val="24"/>
        </w:rPr>
        <w:t>4.重要的安全设施必须坚持与主体工程“三同时”的原则，即：同时设计、审批、同时施工、同时验收，投入使用。</w:t>
      </w:r>
    </w:p>
    <w:p w14:paraId="44D509F8">
      <w:pPr>
        <w:spacing w:line="360" w:lineRule="auto"/>
        <w:ind w:firstLine="480" w:firstLineChars="200"/>
        <w:rPr>
          <w:rFonts w:ascii="宋体" w:hAnsi="宋体" w:cs="宋体"/>
          <w:sz w:val="24"/>
          <w:szCs w:val="24"/>
        </w:rPr>
      </w:pPr>
      <w:r>
        <w:rPr>
          <w:rFonts w:hint="eastAsia" w:ascii="宋体" w:hAnsi="宋体" w:cs="宋体"/>
          <w:sz w:val="24"/>
          <w:szCs w:val="24"/>
        </w:rPr>
        <w:t>5.定期召开安全生产调度会，及时传达中央及地方有关安全生产的精神。</w:t>
      </w:r>
    </w:p>
    <w:p w14:paraId="167ADCCE">
      <w:pPr>
        <w:spacing w:line="360" w:lineRule="auto"/>
        <w:ind w:firstLine="480" w:firstLineChars="200"/>
        <w:rPr>
          <w:rFonts w:ascii="宋体" w:hAnsi="宋体" w:cs="宋体"/>
          <w:sz w:val="24"/>
          <w:szCs w:val="24"/>
        </w:rPr>
      </w:pPr>
      <w:r>
        <w:rPr>
          <w:rFonts w:hint="eastAsia" w:ascii="宋体" w:hAnsi="宋体" w:cs="宋体"/>
          <w:sz w:val="24"/>
          <w:szCs w:val="24"/>
        </w:rPr>
        <w:t>6.组织监理人对施工现场安全生产检查，监督监理人及时处理发现的各种安全隐患。</w:t>
      </w:r>
    </w:p>
    <w:p w14:paraId="22985F68">
      <w:pPr>
        <w:spacing w:line="360" w:lineRule="auto"/>
        <w:ind w:firstLine="480" w:firstLineChars="200"/>
        <w:rPr>
          <w:rFonts w:ascii="宋体" w:hAnsi="宋体" w:cs="宋体"/>
          <w:sz w:val="24"/>
          <w:szCs w:val="24"/>
        </w:rPr>
      </w:pPr>
      <w:r>
        <w:rPr>
          <w:rFonts w:hint="eastAsia" w:ascii="宋体" w:hAnsi="宋体" w:cs="宋体"/>
          <w:sz w:val="24"/>
          <w:szCs w:val="24"/>
        </w:rPr>
        <w:t>二、监理人职责</w:t>
      </w:r>
    </w:p>
    <w:p w14:paraId="766EEEDE">
      <w:pPr>
        <w:spacing w:line="360" w:lineRule="auto"/>
        <w:ind w:firstLine="480" w:firstLineChars="200"/>
        <w:rPr>
          <w:rFonts w:ascii="宋体" w:hAnsi="宋体" w:cs="宋体"/>
          <w:sz w:val="24"/>
          <w:szCs w:val="24"/>
        </w:rPr>
      </w:pPr>
      <w:r>
        <w:rPr>
          <w:rFonts w:hint="eastAsia" w:ascii="宋体" w:hAnsi="宋体" w:cs="宋体"/>
          <w:sz w:val="24"/>
          <w:szCs w:val="24"/>
        </w:rPr>
        <w:t>1.严格遵守国家有关安全生产的法律法规、相关行政管理部门颁发的有关安全生产的规定，认真监督承包人执行工程承包合同中的有关安全要求，并自觉接受按相关管理规定进行的处罚及赔偿。</w:t>
      </w:r>
    </w:p>
    <w:p w14:paraId="7949375F">
      <w:pPr>
        <w:spacing w:line="360" w:lineRule="auto"/>
        <w:ind w:firstLine="480" w:firstLineChars="200"/>
        <w:rPr>
          <w:rFonts w:ascii="宋体" w:hAnsi="宋体" w:cs="宋体"/>
          <w:sz w:val="24"/>
          <w:szCs w:val="24"/>
        </w:rPr>
      </w:pPr>
      <w:r>
        <w:rPr>
          <w:rFonts w:hint="eastAsia" w:ascii="宋体" w:hAnsi="宋体" w:cs="宋体"/>
          <w:sz w:val="24"/>
          <w:szCs w:val="24"/>
        </w:rPr>
        <w:t>2.监理人按照承包人提交并批准的安全文明施工措施实施方案及安全文明施工费使用计划，监督承包人有关安全文明施工管理的实施情况。</w:t>
      </w:r>
    </w:p>
    <w:p w14:paraId="221BE8FD">
      <w:pPr>
        <w:spacing w:line="360" w:lineRule="auto"/>
        <w:ind w:firstLine="480" w:firstLineChars="200"/>
        <w:rPr>
          <w:rFonts w:ascii="宋体" w:hAnsi="宋体" w:cs="宋体"/>
          <w:sz w:val="24"/>
          <w:szCs w:val="24"/>
        </w:rPr>
      </w:pPr>
      <w:r>
        <w:rPr>
          <w:rFonts w:hint="eastAsia" w:ascii="宋体" w:hAnsi="宋体" w:cs="宋体"/>
          <w:sz w:val="24"/>
          <w:szCs w:val="24"/>
        </w:rPr>
        <w:t>3.坚持“安全第一、预防为主”和“管生产必须管安全”的原则，以《中华人民共和国安全生产法》和《国务院进一步加强安全生产的决定》为指南，加强安全生产宣传教育，增强全员安全生产意识，建立健全各项安全生产的管理机构和安全生产管理制度，配备专职及兼职安全监理人员，有组织有领导地开展安全生产活动。各级领导、工程监理人员、生产管理人员和具体操作人员必须熟悉和遵守本条款的各项规定，做到生产与安全工作同时计划、布置、检查、总结和评比。</w:t>
      </w:r>
    </w:p>
    <w:p w14:paraId="646248BB">
      <w:pPr>
        <w:spacing w:line="360" w:lineRule="auto"/>
        <w:ind w:firstLine="480" w:firstLineChars="200"/>
        <w:rPr>
          <w:rFonts w:ascii="宋体" w:hAnsi="宋体" w:cs="宋体"/>
          <w:sz w:val="24"/>
          <w:szCs w:val="24"/>
        </w:rPr>
      </w:pPr>
      <w:r>
        <w:rPr>
          <w:rFonts w:hint="eastAsia" w:ascii="宋体" w:hAnsi="宋体" w:cs="宋体"/>
          <w:sz w:val="24"/>
          <w:szCs w:val="24"/>
        </w:rPr>
        <w:t>4.监理人要建立健全安全生产责任制，并监督承包人：从派往项目实施的项目经理到生产工人（包括临时雇请</w:t>
      </w:r>
      <w:r>
        <w:rPr>
          <w:rFonts w:hint="eastAsia" w:ascii="宋体" w:hAnsi="宋体" w:cs="宋体"/>
          <w:sz w:val="24"/>
          <w:szCs w:val="24"/>
          <w:lang w:eastAsia="zh-CN"/>
        </w:rPr>
        <w:t>的农</w:t>
      </w:r>
      <w:r>
        <w:rPr>
          <w:rFonts w:hint="eastAsia" w:ascii="宋体" w:hAnsi="宋体" w:cs="宋体"/>
          <w:sz w:val="24"/>
          <w:szCs w:val="24"/>
        </w:rPr>
        <w:t>民工）的安全生产管理系统必须做到纵向到底，一环不漏；各职能部门、人员的安全生产责任制做到横向到边，人人有责。项目经理是安全生产的第一责任人。现场设置的安全机构，应按相关要求配备安全员，专职负责车辆、所有人员的安全和治安保卫工作并负责现场的标志管理、交通疏导等工作，预防事故的发生。安全机构人员，有权按相关规定发布指令，并采取保护性措施防止事故发生。</w:t>
      </w:r>
    </w:p>
    <w:p w14:paraId="4DE5B48D">
      <w:pPr>
        <w:spacing w:line="360" w:lineRule="auto"/>
        <w:ind w:firstLine="480" w:firstLineChars="200"/>
        <w:rPr>
          <w:rFonts w:ascii="宋体" w:hAnsi="宋体" w:cs="宋体"/>
          <w:sz w:val="24"/>
          <w:szCs w:val="24"/>
        </w:rPr>
      </w:pPr>
      <w:r>
        <w:rPr>
          <w:rFonts w:hint="eastAsia" w:ascii="宋体" w:hAnsi="宋体" w:cs="宋体"/>
          <w:sz w:val="24"/>
          <w:szCs w:val="24"/>
        </w:rPr>
        <w:t>5.监理人应采取各种合理的预防措施，防止其员工发生任何违法、违禁、暴力或妨碍治安的行为。</w:t>
      </w:r>
    </w:p>
    <w:p w14:paraId="0FDDEC4F">
      <w:pPr>
        <w:spacing w:line="360" w:lineRule="auto"/>
        <w:ind w:firstLine="480" w:firstLineChars="200"/>
        <w:rPr>
          <w:rFonts w:ascii="宋体" w:hAnsi="宋体" w:cs="宋体"/>
          <w:sz w:val="24"/>
          <w:szCs w:val="24"/>
        </w:rPr>
      </w:pPr>
      <w:r>
        <w:rPr>
          <w:rFonts w:hint="eastAsia" w:ascii="宋体" w:hAnsi="宋体" w:cs="宋体"/>
          <w:sz w:val="24"/>
          <w:szCs w:val="24"/>
        </w:rPr>
        <w:t>6.监理人必须监督承包人具有劳动安全管理部门颁发的安全生产证书，参加施工的人员，必须接受安全技术教育、熟知和遵守本工种的各项安全技术操作规程，定期进行安全技术考核，合格者方准上岗操作。对从事电气、起重、建筑登高架设作业、锅炉、压力容器、焊接、机动车船艇驾驶、爆破、潜水、瓦斯检验等特殊工程的人员，经过专业培训，获得《安全操作合格证》后，方准持证上岗。监理人未对施工特种作业人员资格进行审查，监理人必须承担相关责任。</w:t>
      </w:r>
    </w:p>
    <w:p w14:paraId="51020854">
      <w:pPr>
        <w:spacing w:line="360" w:lineRule="auto"/>
        <w:ind w:firstLine="480" w:firstLineChars="200"/>
        <w:rPr>
          <w:rFonts w:ascii="宋体" w:hAnsi="宋体" w:cs="宋体"/>
          <w:sz w:val="24"/>
          <w:szCs w:val="24"/>
        </w:rPr>
      </w:pPr>
      <w:r>
        <w:rPr>
          <w:rFonts w:hint="eastAsia" w:ascii="宋体" w:hAnsi="宋体" w:cs="宋体"/>
          <w:sz w:val="24"/>
          <w:szCs w:val="24"/>
        </w:rPr>
        <w:t>7.监理人监督承包人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D5AE883">
      <w:pPr>
        <w:spacing w:line="360" w:lineRule="auto"/>
        <w:ind w:firstLine="480" w:firstLineChars="200"/>
        <w:rPr>
          <w:rFonts w:ascii="宋体" w:hAnsi="宋体" w:cs="宋体"/>
          <w:sz w:val="24"/>
          <w:szCs w:val="24"/>
        </w:rPr>
      </w:pPr>
      <w:r>
        <w:rPr>
          <w:rFonts w:hint="eastAsia" w:ascii="宋体" w:hAnsi="宋体" w:cs="宋体"/>
          <w:sz w:val="24"/>
          <w:szCs w:val="24"/>
        </w:rPr>
        <w:t>8.监理人应随时检查并监督承包人操作人员上岗必须按规定穿戴防护用品。不按规定穿戴防护用品的人员不得上岗。</w:t>
      </w:r>
    </w:p>
    <w:p w14:paraId="636EDADE">
      <w:pPr>
        <w:spacing w:line="360" w:lineRule="auto"/>
        <w:ind w:firstLine="480" w:firstLineChars="200"/>
        <w:rPr>
          <w:rFonts w:ascii="宋体" w:hAnsi="宋体" w:cs="宋体"/>
          <w:sz w:val="24"/>
          <w:szCs w:val="24"/>
        </w:rPr>
      </w:pPr>
      <w:r>
        <w:rPr>
          <w:rFonts w:hint="eastAsia" w:ascii="宋体" w:hAnsi="宋体" w:cs="宋体"/>
          <w:sz w:val="24"/>
          <w:szCs w:val="24"/>
        </w:rPr>
        <w:t>9.监理人应监督承包人对所有施工机具设备和高空作业的设备做定期检查，并有安全员的签名记录，保证其经常处于完好状态；不合格的机具、设备和劳动保护用品严禁使用。</w:t>
      </w:r>
    </w:p>
    <w:p w14:paraId="0D4B761A">
      <w:pPr>
        <w:spacing w:line="360" w:lineRule="auto"/>
        <w:ind w:firstLine="480" w:firstLineChars="200"/>
        <w:rPr>
          <w:rFonts w:ascii="宋体" w:hAnsi="宋体" w:cs="宋体"/>
          <w:sz w:val="24"/>
          <w:szCs w:val="24"/>
        </w:rPr>
      </w:pPr>
      <w:r>
        <w:rPr>
          <w:rFonts w:hint="eastAsia" w:ascii="宋体" w:hAnsi="宋体" w:cs="宋体"/>
          <w:sz w:val="24"/>
          <w:szCs w:val="24"/>
        </w:rPr>
        <w:t>10.监理人监督承包人在作业中采用新技术、新工艺、新设备、新材料时，必须制定相应的安全技术措施、外业检测现场必须具有相关的安全标志牌。</w:t>
      </w:r>
    </w:p>
    <w:p w14:paraId="5E17B73A">
      <w:pPr>
        <w:spacing w:line="360" w:lineRule="auto"/>
        <w:ind w:firstLine="480" w:firstLineChars="200"/>
        <w:rPr>
          <w:rFonts w:ascii="宋体" w:hAnsi="宋体" w:cs="宋体"/>
          <w:sz w:val="24"/>
          <w:szCs w:val="24"/>
        </w:rPr>
      </w:pPr>
      <w:r>
        <w:rPr>
          <w:rFonts w:hint="eastAsia" w:ascii="宋体" w:hAnsi="宋体" w:cs="宋体"/>
          <w:sz w:val="24"/>
          <w:szCs w:val="24"/>
        </w:rPr>
        <w:t>11.监理人必须按照本工程项目特点，监督承包人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12556E04">
      <w:pPr>
        <w:spacing w:line="360" w:lineRule="auto"/>
        <w:ind w:firstLine="480" w:firstLineChars="200"/>
        <w:rPr>
          <w:rFonts w:ascii="宋体" w:hAnsi="宋体" w:cs="宋体"/>
          <w:sz w:val="24"/>
          <w:szCs w:val="24"/>
        </w:rPr>
      </w:pPr>
      <w:r>
        <w:rPr>
          <w:rFonts w:hint="eastAsia" w:ascii="宋体" w:hAnsi="宋体" w:cs="宋体"/>
          <w:sz w:val="24"/>
          <w:szCs w:val="24"/>
        </w:rPr>
        <w:t>12.监理人应监督承包人严格执行《建设工程安全生产管理条例》等相关法律法规。若监理人在工程监理过程中发生安全事故，由监理人负全责；若承包人在工程施工过程中发生安全事故，监理人负连带责任。</w:t>
      </w:r>
    </w:p>
    <w:p w14:paraId="1D564654">
      <w:pPr>
        <w:spacing w:line="360" w:lineRule="auto"/>
        <w:ind w:firstLine="480" w:firstLineChars="200"/>
        <w:rPr>
          <w:rFonts w:ascii="宋体" w:hAnsi="宋体" w:cs="宋体"/>
          <w:sz w:val="24"/>
          <w:szCs w:val="24"/>
        </w:rPr>
      </w:pPr>
      <w:r>
        <w:rPr>
          <w:rFonts w:hint="eastAsia" w:ascii="宋体" w:hAnsi="宋体" w:cs="宋体"/>
          <w:sz w:val="24"/>
          <w:szCs w:val="24"/>
        </w:rPr>
        <w:t>三、违约责任</w:t>
      </w:r>
    </w:p>
    <w:p w14:paraId="74AD90CA">
      <w:pPr>
        <w:spacing w:line="360" w:lineRule="auto"/>
        <w:ind w:firstLine="480" w:firstLineChars="200"/>
        <w:rPr>
          <w:rFonts w:ascii="宋体" w:hAnsi="宋体" w:cs="宋体"/>
          <w:sz w:val="24"/>
          <w:szCs w:val="24"/>
        </w:rPr>
      </w:pPr>
      <w:r>
        <w:rPr>
          <w:rFonts w:hint="eastAsia" w:ascii="宋体" w:hAnsi="宋体" w:cs="宋体"/>
          <w:sz w:val="24"/>
          <w:szCs w:val="24"/>
        </w:rPr>
        <w:t>如因委托人或监理人违约造成安全事故，将依法追究责任并承担一切损失。</w:t>
      </w:r>
    </w:p>
    <w:p w14:paraId="5EBCDD0E">
      <w:pPr>
        <w:spacing w:line="360" w:lineRule="auto"/>
        <w:ind w:firstLine="480" w:firstLineChars="200"/>
        <w:rPr>
          <w:rFonts w:ascii="宋体" w:hAnsi="宋体" w:cs="宋体"/>
          <w:sz w:val="24"/>
          <w:szCs w:val="24"/>
        </w:rPr>
      </w:pPr>
      <w:r>
        <w:rPr>
          <w:rFonts w:hint="eastAsia" w:ascii="宋体" w:hAnsi="宋体" w:cs="宋体"/>
          <w:sz w:val="24"/>
          <w:szCs w:val="24"/>
        </w:rPr>
        <w:t>四、本协议一式</w:t>
      </w:r>
      <w:r>
        <w:rPr>
          <w:rFonts w:hint="eastAsia" w:ascii="宋体" w:hAnsi="宋体" w:cs="宋体"/>
          <w:sz w:val="24"/>
          <w:szCs w:val="24"/>
          <w:u w:val="single"/>
        </w:rPr>
        <w:t xml:space="preserve">肆 </w:t>
      </w:r>
      <w:r>
        <w:rPr>
          <w:rFonts w:hint="eastAsia" w:ascii="宋体" w:hAnsi="宋体" w:cs="宋体"/>
          <w:sz w:val="24"/>
          <w:szCs w:val="24"/>
        </w:rPr>
        <w:t>份，协议双方各执</w:t>
      </w:r>
      <w:r>
        <w:rPr>
          <w:rFonts w:hint="eastAsia" w:ascii="宋体" w:hAnsi="宋体" w:cs="宋体"/>
          <w:sz w:val="24"/>
          <w:szCs w:val="24"/>
          <w:u w:val="single"/>
        </w:rPr>
        <w:t xml:space="preserve"> 贰 </w:t>
      </w:r>
      <w:r>
        <w:rPr>
          <w:rFonts w:hint="eastAsia" w:ascii="宋体" w:hAnsi="宋体" w:cs="宋体"/>
          <w:sz w:val="24"/>
          <w:szCs w:val="24"/>
        </w:rPr>
        <w:t>份。由双方法定代表人或其授权的代理人</w:t>
      </w:r>
      <w:r>
        <w:rPr>
          <w:rFonts w:hint="eastAsia" w:ascii="宋体" w:hAnsi="宋体" w:cs="宋体"/>
          <w:sz w:val="24"/>
          <w:szCs w:val="24"/>
          <w:lang w:eastAsia="zh-CN"/>
        </w:rPr>
        <w:t>签署</w:t>
      </w:r>
      <w:r>
        <w:rPr>
          <w:rFonts w:hint="eastAsia" w:ascii="宋体" w:hAnsi="宋体" w:cs="宋体"/>
          <w:sz w:val="24"/>
          <w:szCs w:val="24"/>
        </w:rPr>
        <w:t>并加盖单位法人章后生效。</w:t>
      </w:r>
    </w:p>
    <w:p w14:paraId="36617E3E">
      <w:pPr>
        <w:spacing w:line="360" w:lineRule="auto"/>
        <w:rPr>
          <w:rFonts w:ascii="宋体" w:hAnsi="宋体" w:cs="宋体"/>
          <w:sz w:val="24"/>
          <w:szCs w:val="24"/>
        </w:rPr>
      </w:pPr>
    </w:p>
    <w:p w14:paraId="377C1A73">
      <w:pPr>
        <w:spacing w:line="360" w:lineRule="auto"/>
        <w:ind w:firstLine="480" w:firstLineChars="200"/>
        <w:rPr>
          <w:rFonts w:ascii="宋体" w:hAnsi="宋体" w:cs="宋体"/>
          <w:sz w:val="24"/>
          <w:szCs w:val="24"/>
        </w:rPr>
      </w:pPr>
      <w:r>
        <w:rPr>
          <w:rFonts w:hint="eastAsia" w:ascii="宋体" w:hAnsi="宋体" w:cs="宋体"/>
          <w:sz w:val="24"/>
          <w:szCs w:val="24"/>
        </w:rPr>
        <w:t xml:space="preserve">委托人：                           监理人：        </w:t>
      </w:r>
    </w:p>
    <w:p w14:paraId="11CFD70F">
      <w:pPr>
        <w:spacing w:line="360" w:lineRule="auto"/>
        <w:ind w:firstLine="480" w:firstLineChars="200"/>
        <w:rPr>
          <w:rFonts w:ascii="宋体" w:hAnsi="宋体" w:cs="宋体"/>
          <w:sz w:val="24"/>
          <w:szCs w:val="24"/>
        </w:rPr>
      </w:pPr>
      <w:r>
        <w:rPr>
          <w:rFonts w:hint="eastAsia" w:ascii="宋体" w:hAnsi="宋体" w:cs="宋体"/>
          <w:sz w:val="24"/>
          <w:szCs w:val="24"/>
        </w:rPr>
        <w:t>法定代表人：                       法定代表人：</w:t>
      </w:r>
    </w:p>
    <w:p w14:paraId="15495C29">
      <w:pPr>
        <w:spacing w:line="360" w:lineRule="auto"/>
        <w:ind w:firstLine="480" w:firstLineChars="200"/>
        <w:rPr>
          <w:rFonts w:ascii="宋体" w:hAnsi="宋体" w:cs="宋体"/>
          <w:sz w:val="24"/>
          <w:szCs w:val="24"/>
        </w:rPr>
      </w:pPr>
      <w:r>
        <w:rPr>
          <w:rFonts w:hint="eastAsia" w:ascii="宋体" w:hAnsi="宋体" w:cs="宋体"/>
          <w:sz w:val="24"/>
          <w:szCs w:val="24"/>
        </w:rPr>
        <w:t>或委托代理人：                     或委托代理人：</w:t>
      </w:r>
    </w:p>
    <w:p w14:paraId="79F95E58">
      <w:pPr>
        <w:spacing w:line="360" w:lineRule="auto"/>
        <w:ind w:firstLine="480" w:firstLineChars="200"/>
        <w:rPr>
          <w:rFonts w:ascii="宋体" w:hAnsi="宋体" w:cs="宋体"/>
          <w:sz w:val="24"/>
          <w:szCs w:val="24"/>
        </w:rPr>
      </w:pPr>
      <w:r>
        <w:rPr>
          <w:rFonts w:hint="eastAsia" w:ascii="宋体" w:hAnsi="宋体" w:cs="宋体"/>
          <w:sz w:val="24"/>
          <w:szCs w:val="24"/>
        </w:rPr>
        <w:t>联系人：                           联系人：</w:t>
      </w:r>
    </w:p>
    <w:p w14:paraId="2EC36016">
      <w:pPr>
        <w:spacing w:line="360" w:lineRule="auto"/>
        <w:ind w:firstLine="480" w:firstLineChars="200"/>
        <w:rPr>
          <w:rFonts w:ascii="宋体" w:hAnsi="宋体" w:cs="宋体"/>
          <w:sz w:val="24"/>
          <w:szCs w:val="24"/>
        </w:rPr>
      </w:pPr>
      <w:r>
        <w:rPr>
          <w:rFonts w:hint="eastAsia" w:ascii="宋体" w:hAnsi="宋体" w:cs="宋体"/>
          <w:sz w:val="24"/>
          <w:szCs w:val="24"/>
        </w:rPr>
        <w:t>联系电话：                         联系电话：</w:t>
      </w:r>
    </w:p>
    <w:p w14:paraId="1F3EB0EF">
      <w:pPr>
        <w:spacing w:line="360" w:lineRule="auto"/>
        <w:ind w:firstLine="480" w:firstLineChars="200"/>
        <w:rPr>
          <w:rFonts w:ascii="宋体" w:hAnsi="宋体" w:cs="宋体"/>
          <w:sz w:val="24"/>
          <w:szCs w:val="24"/>
        </w:rPr>
      </w:pPr>
    </w:p>
    <w:bookmarkEnd w:id="353"/>
    <w:bookmarkEnd w:id="354"/>
    <w:p w14:paraId="58488EA6">
      <w:pPr>
        <w:spacing w:line="360" w:lineRule="auto"/>
        <w:rPr>
          <w:rFonts w:ascii="宋体" w:hAnsi="宋体" w:cs="宋体"/>
          <w:sz w:val="24"/>
          <w:szCs w:val="24"/>
        </w:rPr>
      </w:pPr>
    </w:p>
    <w:p w14:paraId="20071672">
      <w:pPr>
        <w:pStyle w:val="3"/>
        <w:spacing w:before="0" w:after="0" w:line="360" w:lineRule="auto"/>
        <w:jc w:val="center"/>
        <w:rPr>
          <w:rFonts w:ascii="宋体" w:hAnsi="宋体" w:eastAsia="宋体" w:cs="宋体"/>
          <w:b w:val="0"/>
          <w:sz w:val="24"/>
          <w:szCs w:val="24"/>
        </w:rPr>
      </w:pPr>
    </w:p>
    <w:p w14:paraId="7DC5763D">
      <w:pPr>
        <w:pStyle w:val="3"/>
        <w:spacing w:before="0" w:after="0" w:line="360" w:lineRule="auto"/>
        <w:rPr>
          <w:rFonts w:ascii="宋体" w:hAnsi="宋体" w:eastAsia="宋体" w:cs="宋体"/>
          <w:b w:val="0"/>
          <w:sz w:val="24"/>
          <w:szCs w:val="24"/>
        </w:rPr>
      </w:pPr>
    </w:p>
    <w:p w14:paraId="2AE9AED0">
      <w:pPr>
        <w:spacing w:line="360" w:lineRule="auto"/>
        <w:rPr>
          <w:rFonts w:ascii="宋体" w:hAnsi="宋体" w:cs="宋体"/>
          <w:sz w:val="24"/>
          <w:szCs w:val="24"/>
        </w:rPr>
      </w:pPr>
    </w:p>
    <w:p w14:paraId="42052B28">
      <w:pPr>
        <w:pStyle w:val="3"/>
        <w:spacing w:before="0" w:after="0" w:line="360" w:lineRule="auto"/>
        <w:jc w:val="center"/>
        <w:rPr>
          <w:rFonts w:ascii="宋体" w:hAnsi="宋体" w:eastAsia="宋体" w:cs="宋体"/>
          <w:b w:val="0"/>
          <w:sz w:val="24"/>
          <w:szCs w:val="24"/>
        </w:rPr>
      </w:pPr>
    </w:p>
    <w:p w14:paraId="4F0B004A">
      <w:pPr>
        <w:spacing w:line="360" w:lineRule="auto"/>
        <w:rPr>
          <w:rFonts w:ascii="宋体" w:hAnsi="宋体" w:cs="宋体"/>
          <w:b/>
          <w:sz w:val="24"/>
          <w:szCs w:val="24"/>
        </w:rPr>
      </w:pPr>
    </w:p>
    <w:p w14:paraId="2D3D338A">
      <w:pPr>
        <w:pStyle w:val="4"/>
        <w:spacing w:line="360" w:lineRule="auto"/>
        <w:rPr>
          <w:rFonts w:ascii="宋体" w:hAnsi="宋体" w:cs="宋体"/>
          <w:sz w:val="24"/>
          <w:szCs w:val="24"/>
        </w:rPr>
      </w:pPr>
    </w:p>
    <w:p w14:paraId="2583B549">
      <w:pPr>
        <w:spacing w:line="360" w:lineRule="auto"/>
        <w:rPr>
          <w:rFonts w:ascii="宋体" w:hAnsi="宋体" w:cs="宋体"/>
          <w:sz w:val="24"/>
          <w:szCs w:val="24"/>
        </w:rPr>
      </w:pPr>
    </w:p>
    <w:p w14:paraId="706AA262">
      <w:pPr>
        <w:spacing w:line="360" w:lineRule="auto"/>
        <w:rPr>
          <w:rFonts w:ascii="宋体" w:hAnsi="宋体" w:cs="宋体"/>
          <w:sz w:val="24"/>
          <w:szCs w:val="24"/>
        </w:rPr>
      </w:pPr>
      <w:r>
        <w:rPr>
          <w:rFonts w:hint="eastAsia" w:ascii="宋体" w:hAnsi="宋体" w:cs="宋体"/>
          <w:sz w:val="24"/>
          <w:szCs w:val="24"/>
        </w:rPr>
        <w:br w:type="page"/>
      </w:r>
    </w:p>
    <w:p w14:paraId="3C4E775C">
      <w:pPr>
        <w:spacing w:line="360" w:lineRule="auto"/>
        <w:rPr>
          <w:rFonts w:ascii="宋体" w:hAnsi="宋体" w:cs="宋体"/>
        </w:rPr>
      </w:pPr>
    </w:p>
    <w:bookmarkEnd w:id="202"/>
    <w:p w14:paraId="74CA6295">
      <w:pPr>
        <w:pStyle w:val="3"/>
        <w:spacing w:before="0" w:after="0" w:line="360" w:lineRule="auto"/>
        <w:rPr>
          <w:rFonts w:ascii="宋体" w:hAnsi="宋体" w:eastAsia="宋体" w:cs="宋体"/>
          <w:b w:val="0"/>
          <w:sz w:val="30"/>
          <w:szCs w:val="30"/>
        </w:rPr>
      </w:pPr>
      <w:r>
        <w:rPr>
          <w:rFonts w:hint="eastAsia" w:ascii="宋体" w:hAnsi="宋体" w:eastAsia="宋体" w:cs="宋体"/>
        </w:rPr>
        <w:t xml:space="preserve">        </w:t>
      </w:r>
      <w:r>
        <w:rPr>
          <w:rFonts w:hint="eastAsia" w:ascii="宋体" w:hAnsi="宋体" w:eastAsia="宋体" w:cs="宋体"/>
          <w:bCs/>
          <w:sz w:val="36"/>
          <w:szCs w:val="36"/>
        </w:rPr>
        <w:t xml:space="preserve">   </w:t>
      </w:r>
      <w:bookmarkStart w:id="368" w:name="_Toc212456866"/>
      <w:bookmarkStart w:id="369" w:name="_Toc2019"/>
      <w:r>
        <w:rPr>
          <w:rFonts w:hint="eastAsia" w:ascii="宋体" w:hAnsi="宋体" w:eastAsia="宋体" w:cs="宋体"/>
          <w:bCs/>
          <w:sz w:val="36"/>
          <w:szCs w:val="36"/>
        </w:rPr>
        <w:t>第七篇 响应文件组成及要求格式</w:t>
      </w:r>
      <w:bookmarkEnd w:id="368"/>
      <w:bookmarkEnd w:id="369"/>
    </w:p>
    <w:p w14:paraId="6D88C4A9">
      <w:pPr>
        <w:spacing w:line="360" w:lineRule="auto"/>
        <w:ind w:firstLine="480" w:firstLineChars="200"/>
        <w:rPr>
          <w:rFonts w:ascii="宋体" w:hAnsi="宋体" w:cs="宋体"/>
          <w:sz w:val="24"/>
          <w:szCs w:val="24"/>
        </w:rPr>
      </w:pPr>
    </w:p>
    <w:p w14:paraId="7ACAF698">
      <w:pPr>
        <w:spacing w:line="360" w:lineRule="auto"/>
        <w:ind w:firstLine="480" w:firstLineChars="200"/>
        <w:rPr>
          <w:rFonts w:ascii="宋体" w:hAnsi="宋体" w:cs="宋体"/>
          <w:sz w:val="24"/>
          <w:szCs w:val="24"/>
        </w:rPr>
      </w:pPr>
      <w:r>
        <w:rPr>
          <w:rFonts w:hint="eastAsia" w:ascii="宋体" w:hAnsi="宋体" w:cs="宋体"/>
          <w:sz w:val="24"/>
          <w:szCs w:val="24"/>
        </w:rPr>
        <w:t>一、经济部分</w:t>
      </w:r>
    </w:p>
    <w:p w14:paraId="7DB59BE1">
      <w:pPr>
        <w:spacing w:line="360" w:lineRule="auto"/>
        <w:ind w:firstLine="480" w:firstLineChars="200"/>
        <w:rPr>
          <w:rFonts w:ascii="宋体" w:hAnsi="宋体" w:cs="宋体"/>
          <w:sz w:val="24"/>
          <w:szCs w:val="24"/>
        </w:rPr>
      </w:pPr>
      <w:r>
        <w:rPr>
          <w:rFonts w:hint="eastAsia" w:ascii="宋体" w:hAnsi="宋体" w:cs="宋体"/>
          <w:sz w:val="24"/>
          <w:szCs w:val="24"/>
        </w:rPr>
        <w:t>（一）网上竞采报价函</w:t>
      </w:r>
    </w:p>
    <w:p w14:paraId="7634CA20">
      <w:pPr>
        <w:spacing w:line="360" w:lineRule="auto"/>
        <w:ind w:firstLine="480" w:firstLineChars="200"/>
        <w:rPr>
          <w:rFonts w:ascii="宋体" w:hAnsi="宋体" w:cs="宋体"/>
          <w:sz w:val="24"/>
          <w:szCs w:val="24"/>
        </w:rPr>
      </w:pPr>
      <w:r>
        <w:rPr>
          <w:rFonts w:hint="eastAsia" w:ascii="宋体" w:hAnsi="宋体" w:cs="宋体"/>
          <w:sz w:val="24"/>
          <w:szCs w:val="24"/>
        </w:rPr>
        <w:t>二、服务部分</w:t>
      </w:r>
    </w:p>
    <w:p w14:paraId="1AE5EBEA">
      <w:pPr>
        <w:spacing w:line="360" w:lineRule="auto"/>
        <w:ind w:firstLine="480" w:firstLineChars="200"/>
        <w:rPr>
          <w:rFonts w:ascii="宋体" w:hAnsi="宋体" w:cs="宋体"/>
          <w:sz w:val="24"/>
          <w:szCs w:val="24"/>
        </w:rPr>
      </w:pPr>
      <w:r>
        <w:rPr>
          <w:rFonts w:hint="eastAsia" w:ascii="宋体" w:hAnsi="宋体" w:cs="宋体"/>
          <w:sz w:val="24"/>
          <w:szCs w:val="24"/>
        </w:rPr>
        <w:t>（一）服务响应偏离表</w:t>
      </w:r>
    </w:p>
    <w:p w14:paraId="674ADB58">
      <w:pPr>
        <w:spacing w:line="360" w:lineRule="auto"/>
        <w:ind w:firstLine="480" w:firstLineChars="200"/>
        <w:rPr>
          <w:rFonts w:ascii="宋体" w:hAnsi="宋体" w:cs="宋体"/>
          <w:sz w:val="24"/>
          <w:szCs w:val="24"/>
        </w:rPr>
      </w:pPr>
      <w:r>
        <w:rPr>
          <w:rFonts w:hint="eastAsia" w:ascii="宋体" w:hAnsi="宋体" w:cs="宋体"/>
          <w:sz w:val="24"/>
          <w:szCs w:val="24"/>
        </w:rPr>
        <w:t>（二）其他服务部分所需资料</w:t>
      </w:r>
    </w:p>
    <w:p w14:paraId="160CB1CC">
      <w:pPr>
        <w:spacing w:line="360" w:lineRule="auto"/>
        <w:ind w:firstLine="480" w:firstLineChars="200"/>
        <w:rPr>
          <w:rFonts w:ascii="宋体" w:hAnsi="宋体" w:cs="宋体"/>
          <w:sz w:val="24"/>
          <w:szCs w:val="24"/>
        </w:rPr>
      </w:pPr>
      <w:r>
        <w:rPr>
          <w:rFonts w:hint="eastAsia" w:ascii="宋体" w:hAnsi="宋体" w:cs="宋体"/>
          <w:sz w:val="24"/>
          <w:szCs w:val="24"/>
        </w:rPr>
        <w:t>（三）服务方案（建议根据评审因素自行编制，格式自拟）</w:t>
      </w:r>
    </w:p>
    <w:p w14:paraId="6D9D3C2B">
      <w:pPr>
        <w:spacing w:line="360" w:lineRule="auto"/>
        <w:ind w:firstLine="480" w:firstLineChars="200"/>
        <w:rPr>
          <w:rFonts w:ascii="宋体" w:hAnsi="宋体" w:cs="宋体"/>
          <w:sz w:val="24"/>
          <w:szCs w:val="24"/>
        </w:rPr>
      </w:pPr>
      <w:r>
        <w:rPr>
          <w:rFonts w:hint="eastAsia" w:ascii="宋体" w:hAnsi="宋体" w:cs="宋体"/>
          <w:sz w:val="24"/>
          <w:szCs w:val="24"/>
        </w:rPr>
        <w:t>三、商务部分</w:t>
      </w:r>
    </w:p>
    <w:p w14:paraId="52EBB2AD">
      <w:pPr>
        <w:spacing w:line="360" w:lineRule="auto"/>
        <w:ind w:firstLine="480" w:firstLineChars="200"/>
        <w:rPr>
          <w:rFonts w:ascii="宋体" w:hAnsi="宋体" w:cs="宋体"/>
          <w:sz w:val="24"/>
          <w:szCs w:val="24"/>
        </w:rPr>
      </w:pPr>
      <w:r>
        <w:rPr>
          <w:rFonts w:hint="eastAsia" w:ascii="宋体" w:hAnsi="宋体" w:cs="宋体"/>
          <w:sz w:val="24"/>
          <w:szCs w:val="24"/>
        </w:rPr>
        <w:t>（一）商务响应偏离表</w:t>
      </w:r>
    </w:p>
    <w:p w14:paraId="5DA38802">
      <w:pPr>
        <w:spacing w:line="360" w:lineRule="auto"/>
        <w:ind w:firstLine="480" w:firstLineChars="200"/>
        <w:rPr>
          <w:rFonts w:ascii="宋体" w:hAnsi="宋体" w:cs="宋体"/>
          <w:sz w:val="24"/>
          <w:szCs w:val="24"/>
        </w:rPr>
      </w:pPr>
      <w:r>
        <w:rPr>
          <w:rFonts w:hint="eastAsia" w:ascii="宋体" w:hAnsi="宋体" w:cs="宋体"/>
          <w:sz w:val="24"/>
          <w:szCs w:val="24"/>
        </w:rPr>
        <w:t>（二）其它商务评审证明材料及优惠承诺（如有，格式自定）</w:t>
      </w:r>
    </w:p>
    <w:p w14:paraId="113641C6">
      <w:pPr>
        <w:spacing w:line="360" w:lineRule="auto"/>
        <w:ind w:firstLine="480" w:firstLineChars="200"/>
        <w:rPr>
          <w:rFonts w:ascii="宋体" w:hAnsi="宋体" w:cs="宋体"/>
          <w:sz w:val="24"/>
          <w:szCs w:val="24"/>
        </w:rPr>
      </w:pPr>
      <w:r>
        <w:rPr>
          <w:rFonts w:hint="eastAsia" w:ascii="宋体" w:hAnsi="宋体" w:cs="宋体"/>
          <w:sz w:val="24"/>
          <w:szCs w:val="24"/>
        </w:rPr>
        <w:t>四、资格条件及其他</w:t>
      </w:r>
    </w:p>
    <w:p w14:paraId="1E4C1FAF">
      <w:pPr>
        <w:snapToGrid w:val="0"/>
        <w:spacing w:line="360" w:lineRule="auto"/>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613CE602">
      <w:pPr>
        <w:snapToGrid w:val="0"/>
        <w:spacing w:line="360" w:lineRule="auto"/>
        <w:ind w:firstLine="480" w:firstLineChars="200"/>
        <w:rPr>
          <w:rFonts w:ascii="宋体" w:hAnsi="宋体" w:cs="宋体"/>
          <w:sz w:val="24"/>
          <w:szCs w:val="24"/>
        </w:rPr>
      </w:pPr>
      <w:r>
        <w:rPr>
          <w:rFonts w:hint="eastAsia" w:ascii="宋体" w:hAnsi="宋体" w:cs="宋体"/>
          <w:sz w:val="24"/>
          <w:szCs w:val="24"/>
        </w:rPr>
        <w:t>（二）法定代表人身份证明书（格式）</w:t>
      </w:r>
    </w:p>
    <w:p w14:paraId="3A75BAF5">
      <w:pPr>
        <w:snapToGrid w:val="0"/>
        <w:spacing w:line="360" w:lineRule="auto"/>
        <w:ind w:firstLine="480" w:firstLineChars="200"/>
        <w:rPr>
          <w:rFonts w:ascii="宋体" w:hAnsi="宋体" w:cs="宋体"/>
          <w:sz w:val="24"/>
          <w:szCs w:val="24"/>
        </w:rPr>
      </w:pPr>
      <w:r>
        <w:rPr>
          <w:rFonts w:hint="eastAsia" w:ascii="宋体" w:hAnsi="宋体" w:cs="宋体"/>
          <w:sz w:val="24"/>
          <w:szCs w:val="24"/>
        </w:rPr>
        <w:t>（三）法定代表人授权委托书（格式）</w:t>
      </w:r>
    </w:p>
    <w:p w14:paraId="3D6F667D">
      <w:pPr>
        <w:snapToGrid w:val="0"/>
        <w:spacing w:line="360" w:lineRule="auto"/>
        <w:ind w:firstLine="480" w:firstLineChars="200"/>
        <w:rPr>
          <w:rFonts w:ascii="宋体" w:hAnsi="宋体" w:cs="宋体"/>
          <w:sz w:val="24"/>
          <w:szCs w:val="24"/>
        </w:rPr>
      </w:pPr>
      <w:r>
        <w:rPr>
          <w:rFonts w:hint="eastAsia" w:ascii="宋体" w:hAnsi="宋体" w:cs="宋体"/>
          <w:sz w:val="24"/>
          <w:szCs w:val="24"/>
        </w:rPr>
        <w:t>（四）基本资格条件承诺函（格式）</w:t>
      </w:r>
    </w:p>
    <w:p w14:paraId="6F395246">
      <w:pPr>
        <w:snapToGrid w:val="0"/>
        <w:spacing w:line="360" w:lineRule="auto"/>
        <w:ind w:firstLine="480" w:firstLineChars="200"/>
        <w:rPr>
          <w:rFonts w:ascii="宋体" w:hAnsi="宋体" w:cs="宋体"/>
          <w:sz w:val="24"/>
          <w:szCs w:val="24"/>
        </w:rPr>
      </w:pPr>
      <w:r>
        <w:rPr>
          <w:rFonts w:hint="eastAsia" w:ascii="宋体" w:hAnsi="宋体" w:cs="宋体"/>
          <w:sz w:val="24"/>
          <w:szCs w:val="24"/>
        </w:rPr>
        <w:t>（五）特定资格条件证书或证明文件</w:t>
      </w:r>
    </w:p>
    <w:p w14:paraId="3439D93F">
      <w:pPr>
        <w:spacing w:line="360" w:lineRule="auto"/>
        <w:ind w:firstLine="480" w:firstLineChars="200"/>
        <w:rPr>
          <w:rFonts w:ascii="宋体" w:hAnsi="宋体" w:cs="宋体"/>
          <w:sz w:val="24"/>
          <w:szCs w:val="24"/>
        </w:rPr>
      </w:pPr>
      <w:r>
        <w:rPr>
          <w:rFonts w:hint="eastAsia" w:ascii="宋体" w:hAnsi="宋体" w:cs="宋体"/>
          <w:sz w:val="24"/>
          <w:szCs w:val="24"/>
        </w:rPr>
        <w:t>五、其他与项目有关的资料</w:t>
      </w:r>
    </w:p>
    <w:p w14:paraId="7312523C">
      <w:pPr>
        <w:spacing w:line="360" w:lineRule="auto"/>
        <w:ind w:firstLine="480" w:firstLineChars="200"/>
        <w:rPr>
          <w:rFonts w:ascii="宋体" w:hAnsi="宋体" w:cs="宋体"/>
          <w:sz w:val="24"/>
          <w:szCs w:val="24"/>
        </w:rPr>
      </w:pPr>
      <w:r>
        <w:rPr>
          <w:rFonts w:hint="eastAsia" w:ascii="宋体" w:hAnsi="宋体" w:cs="宋体"/>
          <w:sz w:val="24"/>
          <w:szCs w:val="24"/>
        </w:rPr>
        <w:t>（一）其他资料</w:t>
      </w:r>
    </w:p>
    <w:p w14:paraId="4B35F186">
      <w:pPr>
        <w:pStyle w:val="10"/>
        <w:rPr>
          <w:rFonts w:ascii="宋体" w:hAnsi="宋体" w:cs="宋体"/>
        </w:rPr>
        <w:sectPr>
          <w:pgSz w:w="11907" w:h="16840"/>
          <w:pgMar w:top="1134" w:right="1134" w:bottom="1134" w:left="1134" w:header="283" w:footer="992" w:gutter="0"/>
          <w:pgNumType w:fmt="numberInDash"/>
          <w:cols w:space="720" w:num="1"/>
          <w:docGrid w:linePitch="381" w:charSpace="-5735"/>
        </w:sectPr>
      </w:pPr>
    </w:p>
    <w:p w14:paraId="2931D96E">
      <w:pPr>
        <w:pStyle w:val="3"/>
        <w:adjustRightInd w:val="0"/>
        <w:snapToGrid w:val="0"/>
        <w:spacing w:before="0" w:after="0" w:line="400" w:lineRule="exact"/>
        <w:ind w:firstLine="482" w:firstLineChars="200"/>
        <w:rPr>
          <w:rFonts w:ascii="宋体" w:hAnsi="宋体" w:eastAsia="宋体" w:cs="宋体"/>
          <w:sz w:val="24"/>
        </w:rPr>
      </w:pPr>
      <w:bookmarkStart w:id="370" w:name="_Toc313008356"/>
      <w:bookmarkStart w:id="371" w:name="_Toc10039"/>
      <w:bookmarkStart w:id="372" w:name="_Toc8109"/>
      <w:bookmarkStart w:id="373" w:name="_Toc76462350"/>
      <w:bookmarkStart w:id="374" w:name="_Toc23060"/>
      <w:bookmarkStart w:id="375" w:name="_Toc313888360"/>
      <w:bookmarkStart w:id="376" w:name="_Toc342913419"/>
      <w:bookmarkStart w:id="377" w:name="_Toc161742538"/>
      <w:bookmarkStart w:id="378" w:name="_Toc14263"/>
      <w:bookmarkStart w:id="379" w:name="_Toc12789073"/>
      <w:bookmarkStart w:id="380" w:name="_Toc283382454"/>
      <w:r>
        <w:rPr>
          <w:rFonts w:hint="eastAsia" w:ascii="宋体" w:hAnsi="宋体" w:eastAsia="宋体" w:cs="宋体"/>
          <w:sz w:val="24"/>
        </w:rPr>
        <w:t>一、经济部分</w:t>
      </w:r>
      <w:bookmarkEnd w:id="370"/>
      <w:bookmarkEnd w:id="371"/>
      <w:bookmarkEnd w:id="372"/>
      <w:bookmarkEnd w:id="373"/>
      <w:bookmarkEnd w:id="374"/>
      <w:bookmarkEnd w:id="375"/>
      <w:bookmarkEnd w:id="376"/>
      <w:bookmarkEnd w:id="377"/>
      <w:bookmarkEnd w:id="378"/>
    </w:p>
    <w:bookmarkEnd w:id="379"/>
    <w:bookmarkEnd w:id="380"/>
    <w:p w14:paraId="319DC50C">
      <w:pPr>
        <w:pStyle w:val="4"/>
        <w:rPr>
          <w:rFonts w:ascii="宋体" w:hAnsi="宋体" w:cs="宋体"/>
          <w:b w:val="0"/>
          <w:bCs/>
          <w:sz w:val="24"/>
        </w:rPr>
      </w:pPr>
      <w:bookmarkStart w:id="381" w:name="_Toc15106"/>
      <w:r>
        <w:rPr>
          <w:rFonts w:hint="eastAsia" w:ascii="宋体" w:hAnsi="宋体" w:cs="宋体"/>
          <w:b w:val="0"/>
          <w:bCs/>
          <w:sz w:val="24"/>
        </w:rPr>
        <w:t>（一）网上竞采报价函</w:t>
      </w:r>
      <w:bookmarkEnd w:id="381"/>
    </w:p>
    <w:p w14:paraId="4B1F0D62">
      <w:pPr>
        <w:jc w:val="center"/>
        <w:rPr>
          <w:rFonts w:ascii="宋体" w:hAnsi="宋体" w:cs="宋体"/>
          <w:b/>
          <w:szCs w:val="28"/>
        </w:rPr>
      </w:pPr>
      <w:r>
        <w:rPr>
          <w:rFonts w:hint="eastAsia" w:ascii="宋体" w:hAnsi="宋体" w:cs="宋体"/>
          <w:b/>
          <w:szCs w:val="28"/>
        </w:rPr>
        <w:t>网上竞采报价函</w:t>
      </w:r>
    </w:p>
    <w:p w14:paraId="22C3A57B">
      <w:pPr>
        <w:tabs>
          <w:tab w:val="left" w:pos="6300"/>
        </w:tabs>
        <w:snapToGrid w:val="0"/>
        <w:spacing w:line="312" w:lineRule="auto"/>
        <w:rPr>
          <w:rFonts w:ascii="宋体" w:hAnsi="宋体" w:cs="宋体"/>
          <w:sz w:val="24"/>
          <w:szCs w:val="24"/>
        </w:rPr>
      </w:pPr>
      <w:r>
        <w:rPr>
          <w:rFonts w:hint="eastAsia" w:ascii="宋体" w:hAnsi="宋体" w:cs="宋体"/>
          <w:sz w:val="24"/>
          <w:szCs w:val="24"/>
          <w:u w:val="single"/>
        </w:rPr>
        <w:t>（采购人）</w:t>
      </w:r>
      <w:r>
        <w:rPr>
          <w:rFonts w:hint="eastAsia" w:ascii="宋体" w:hAnsi="宋体" w:cs="宋体"/>
          <w:sz w:val="24"/>
          <w:szCs w:val="24"/>
        </w:rPr>
        <w:t>：</w:t>
      </w:r>
    </w:p>
    <w:p w14:paraId="343686D2">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我方收到____________________________（项目名称）的网上竞采文件，经详细研究，决定参加该项目的网上竞采。</w:t>
      </w:r>
    </w:p>
    <w:p w14:paraId="5D3E3F04">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1.愿意按照网上竞采文件中的一切要求，提供本项目的服务，报价为人民币大写：</w:t>
      </w:r>
      <w:r>
        <w:rPr>
          <w:rFonts w:hint="eastAsia" w:ascii="宋体" w:hAnsi="宋体" w:cs="宋体"/>
          <w:sz w:val="24"/>
          <w:szCs w:val="24"/>
          <w:u w:val="single"/>
        </w:rPr>
        <w:t xml:space="preserve">      </w:t>
      </w:r>
      <w:r>
        <w:rPr>
          <w:rFonts w:hint="eastAsia" w:ascii="宋体" w:hAnsi="宋体" w:cs="宋体"/>
          <w:sz w:val="24"/>
          <w:szCs w:val="24"/>
        </w:rPr>
        <w:t>元整；人民币小写：</w:t>
      </w:r>
      <w:r>
        <w:rPr>
          <w:rFonts w:hint="eastAsia" w:ascii="宋体" w:hAnsi="宋体" w:cs="宋体"/>
          <w:sz w:val="24"/>
          <w:szCs w:val="24"/>
          <w:u w:val="single"/>
        </w:rPr>
        <w:t xml:space="preserve">         </w:t>
      </w:r>
      <w:r>
        <w:rPr>
          <w:rFonts w:hint="eastAsia" w:ascii="宋体" w:hAnsi="宋体" w:cs="宋体"/>
          <w:sz w:val="24"/>
          <w:szCs w:val="24"/>
        </w:rPr>
        <w:t>元。</w:t>
      </w:r>
    </w:p>
    <w:p w14:paraId="18D09295">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2.我方现提交的响应文件为：线上上传电子文档</w:t>
      </w:r>
      <w:r>
        <w:rPr>
          <w:rFonts w:hint="eastAsia" w:ascii="宋体" w:hAnsi="宋体" w:cs="宋体"/>
          <w:sz w:val="24"/>
          <w:szCs w:val="24"/>
          <w:u w:val="single"/>
        </w:rPr>
        <w:t xml:space="preserve">   ，</w:t>
      </w:r>
      <w:r>
        <w:rPr>
          <w:rFonts w:hint="eastAsia" w:ascii="宋体" w:hAnsi="宋体" w:cs="宋体"/>
          <w:sz w:val="24"/>
          <w:szCs w:val="24"/>
        </w:rPr>
        <w:t>线下递交纸质响应文件</w:t>
      </w:r>
      <w:r>
        <w:rPr>
          <w:rFonts w:hint="eastAsia" w:ascii="宋体" w:hAnsi="宋体" w:cs="宋体"/>
          <w:sz w:val="24"/>
          <w:szCs w:val="24"/>
          <w:u w:val="single"/>
        </w:rPr>
        <w:t xml:space="preserve">   </w:t>
      </w:r>
      <w:r>
        <w:rPr>
          <w:rFonts w:hint="eastAsia" w:ascii="宋体" w:hAnsi="宋体" w:cs="宋体"/>
          <w:sz w:val="24"/>
          <w:szCs w:val="24"/>
        </w:rPr>
        <w:t xml:space="preserve">正 </w:t>
      </w:r>
      <w:r>
        <w:rPr>
          <w:rFonts w:hint="eastAsia" w:ascii="宋体" w:hAnsi="宋体" w:cs="宋体"/>
          <w:sz w:val="24"/>
          <w:szCs w:val="24"/>
          <w:u w:val="single"/>
        </w:rPr>
        <w:t xml:space="preserve">  </w:t>
      </w:r>
      <w:r>
        <w:rPr>
          <w:rFonts w:hint="eastAsia" w:ascii="宋体" w:hAnsi="宋体" w:cs="宋体"/>
          <w:sz w:val="24"/>
          <w:szCs w:val="24"/>
        </w:rPr>
        <w:t xml:space="preserve"> 副。</w:t>
      </w:r>
    </w:p>
    <w:p w14:paraId="470E63FD">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3.我方承诺：本次网上竞采的有效期为提交响应文件截止时间起90天。</w:t>
      </w:r>
    </w:p>
    <w:p w14:paraId="10FEF089">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4.我方完全理解和接受贵方网上竞采文件的一切规定和要求及评审办法。</w:t>
      </w:r>
    </w:p>
    <w:p w14:paraId="18DE24AD">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5.在整个网上竞采过程中，我方若有违规行为，接受按照《中华人民共和国政府采购法》和《网上竞采文件》之规定给予惩罚。</w:t>
      </w:r>
    </w:p>
    <w:p w14:paraId="48B80845">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6.我方若成为成交供应商，将按照最终网上竞采结果签订合同，</w:t>
      </w:r>
      <w:r>
        <w:rPr>
          <w:rFonts w:hint="eastAsia" w:ascii="宋体" w:hAnsi="宋体" w:cs="宋体"/>
          <w:sz w:val="24"/>
          <w:szCs w:val="24"/>
          <w:lang w:eastAsia="zh-CN"/>
        </w:rPr>
        <w:t>并</w:t>
      </w:r>
      <w:r>
        <w:rPr>
          <w:rFonts w:hint="eastAsia" w:ascii="宋体" w:hAnsi="宋体" w:cs="宋体"/>
          <w:sz w:val="24"/>
          <w:szCs w:val="24"/>
        </w:rPr>
        <w:t>严格履行合同义务。本承诺函将成为合同不可分割的一部分，与合同具有同等的法律效力。</w:t>
      </w:r>
    </w:p>
    <w:p w14:paraId="7B60ECB1">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7.如果我方成为成交供应商，保证在接到成交通知书后，与采购代理机构联系办理后续事宜</w:t>
      </w:r>
      <w:r>
        <w:rPr>
          <w:rFonts w:hint="eastAsia" w:ascii="宋体" w:hAnsi="宋体" w:cs="宋体"/>
          <w:sz w:val="24"/>
          <w:szCs w:val="24"/>
          <w:lang w:eastAsia="zh-CN"/>
        </w:rPr>
        <w:t>。</w:t>
      </w:r>
    </w:p>
    <w:p w14:paraId="3F590D02">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为采购项目提供整体设计、规范编制或者项目管理、监理等服务。</w:t>
      </w:r>
    </w:p>
    <w:p w14:paraId="68FFDC44">
      <w:pPr>
        <w:tabs>
          <w:tab w:val="left" w:pos="6300"/>
        </w:tabs>
        <w:snapToGrid w:val="0"/>
        <w:spacing w:line="480" w:lineRule="auto"/>
        <w:ind w:firstLine="570"/>
        <w:rPr>
          <w:rFonts w:ascii="宋体" w:hAnsi="宋体" w:cs="宋体"/>
          <w:sz w:val="24"/>
          <w:szCs w:val="24"/>
        </w:rPr>
      </w:pPr>
    </w:p>
    <w:p w14:paraId="119FF087">
      <w:pPr>
        <w:tabs>
          <w:tab w:val="left" w:pos="6300"/>
        </w:tabs>
        <w:snapToGrid w:val="0"/>
        <w:spacing w:line="480" w:lineRule="auto"/>
        <w:ind w:firstLine="570"/>
        <w:rPr>
          <w:rFonts w:ascii="宋体" w:hAnsi="宋体" w:cs="宋体"/>
          <w:sz w:val="24"/>
          <w:szCs w:val="24"/>
        </w:rPr>
      </w:pPr>
      <w:r>
        <w:rPr>
          <w:rFonts w:hint="eastAsia" w:ascii="宋体" w:hAnsi="宋体" w:cs="宋体"/>
          <w:sz w:val="24"/>
          <w:szCs w:val="24"/>
        </w:rPr>
        <w:t>供应商（公章）：</w:t>
      </w:r>
    </w:p>
    <w:p w14:paraId="34133994">
      <w:pPr>
        <w:tabs>
          <w:tab w:val="left" w:pos="6300"/>
        </w:tabs>
        <w:snapToGrid w:val="0"/>
        <w:spacing w:line="480" w:lineRule="auto"/>
        <w:ind w:firstLine="570"/>
        <w:rPr>
          <w:rFonts w:ascii="宋体" w:hAnsi="宋体" w:cs="宋体"/>
          <w:sz w:val="24"/>
          <w:szCs w:val="24"/>
        </w:rPr>
      </w:pPr>
      <w:r>
        <w:rPr>
          <w:rFonts w:hint="eastAsia" w:ascii="宋体" w:hAnsi="宋体" w:cs="宋体"/>
          <w:sz w:val="24"/>
          <w:szCs w:val="24"/>
        </w:rPr>
        <w:t xml:space="preserve">地址：  </w:t>
      </w:r>
    </w:p>
    <w:p w14:paraId="4B893681">
      <w:pPr>
        <w:tabs>
          <w:tab w:val="left" w:pos="6300"/>
        </w:tabs>
        <w:snapToGrid w:val="0"/>
        <w:spacing w:line="480" w:lineRule="auto"/>
        <w:ind w:firstLine="570"/>
        <w:rPr>
          <w:rFonts w:ascii="宋体" w:hAnsi="宋体" w:cs="宋体"/>
          <w:sz w:val="24"/>
          <w:szCs w:val="24"/>
        </w:rPr>
      </w:pPr>
      <w:r>
        <w:rPr>
          <w:rFonts w:hint="eastAsia" w:ascii="宋体" w:hAnsi="宋体" w:cs="宋体"/>
          <w:sz w:val="24"/>
          <w:szCs w:val="24"/>
        </w:rPr>
        <w:t>电话：                                             传真：</w:t>
      </w:r>
    </w:p>
    <w:p w14:paraId="4F72890F">
      <w:pPr>
        <w:tabs>
          <w:tab w:val="left" w:pos="6300"/>
        </w:tabs>
        <w:snapToGrid w:val="0"/>
        <w:spacing w:line="480" w:lineRule="auto"/>
        <w:ind w:firstLine="570"/>
        <w:rPr>
          <w:rFonts w:ascii="宋体" w:hAnsi="宋体" w:cs="宋体"/>
          <w:sz w:val="24"/>
          <w:szCs w:val="24"/>
        </w:rPr>
      </w:pPr>
      <w:r>
        <w:rPr>
          <w:rFonts w:hint="eastAsia" w:ascii="宋体" w:hAnsi="宋体" w:cs="宋体"/>
          <w:sz w:val="24"/>
          <w:szCs w:val="24"/>
        </w:rPr>
        <w:t>网址：                                             邮编：</w:t>
      </w:r>
    </w:p>
    <w:p w14:paraId="140D9E95">
      <w:pPr>
        <w:tabs>
          <w:tab w:val="left" w:pos="6300"/>
        </w:tabs>
        <w:snapToGrid w:val="0"/>
        <w:spacing w:line="480" w:lineRule="auto"/>
        <w:ind w:firstLine="570"/>
        <w:rPr>
          <w:rFonts w:ascii="宋体" w:hAnsi="宋体" w:cs="宋体"/>
          <w:sz w:val="24"/>
          <w:szCs w:val="24"/>
        </w:rPr>
      </w:pPr>
      <w:r>
        <w:rPr>
          <w:rFonts w:hint="eastAsia" w:ascii="宋体" w:hAnsi="宋体" w:cs="宋体"/>
          <w:sz w:val="24"/>
          <w:szCs w:val="24"/>
        </w:rPr>
        <w:t>联系人：</w:t>
      </w:r>
    </w:p>
    <w:p w14:paraId="5854C529">
      <w:pPr>
        <w:snapToGrid w:val="0"/>
        <w:spacing w:line="312" w:lineRule="auto"/>
        <w:ind w:firstLine="480" w:firstLineChars="200"/>
        <w:jc w:val="left"/>
        <w:rPr>
          <w:rFonts w:ascii="宋体" w:hAnsi="宋体" w:cs="宋体"/>
          <w:sz w:val="24"/>
          <w:szCs w:val="24"/>
        </w:rPr>
        <w:sectPr>
          <w:pgSz w:w="11907" w:h="16840"/>
          <w:pgMar w:top="1134" w:right="1134" w:bottom="1134" w:left="1134" w:header="170" w:footer="992" w:gutter="0"/>
          <w:pgNumType w:fmt="numberInDash"/>
          <w:cols w:space="720" w:num="1"/>
          <w:docGrid w:linePitch="381" w:charSpace="-5735"/>
        </w:sectPr>
      </w:pPr>
      <w:r>
        <w:rPr>
          <w:rFonts w:hint="eastAsia" w:ascii="宋体" w:hAnsi="宋体" w:cs="宋体"/>
          <w:sz w:val="24"/>
          <w:szCs w:val="24"/>
        </w:rPr>
        <w:t xml:space="preserve">                                                          年   月   日</w:t>
      </w:r>
    </w:p>
    <w:p w14:paraId="29A80B0B">
      <w:pPr>
        <w:pStyle w:val="3"/>
        <w:adjustRightInd w:val="0"/>
        <w:snapToGrid w:val="0"/>
        <w:spacing w:before="0" w:after="0" w:line="400" w:lineRule="exact"/>
        <w:ind w:firstLine="482" w:firstLineChars="200"/>
        <w:rPr>
          <w:rFonts w:ascii="宋体" w:hAnsi="宋体" w:eastAsia="宋体" w:cs="宋体"/>
          <w:sz w:val="24"/>
        </w:rPr>
      </w:pPr>
      <w:bookmarkStart w:id="382" w:name="_Toc342913420"/>
      <w:bookmarkStart w:id="383" w:name="_Toc313008357"/>
      <w:bookmarkStart w:id="384" w:name="_Toc161742539"/>
      <w:bookmarkStart w:id="385" w:name="_Toc20142"/>
      <w:bookmarkStart w:id="386" w:name="_Toc8076"/>
      <w:bookmarkStart w:id="387" w:name="_Toc313888361"/>
      <w:bookmarkStart w:id="388" w:name="_Toc30289"/>
      <w:bookmarkStart w:id="389" w:name="_Toc76462351"/>
      <w:bookmarkStart w:id="390" w:name="_Toc7674"/>
      <w:r>
        <w:rPr>
          <w:rFonts w:hint="eastAsia" w:ascii="宋体" w:hAnsi="宋体" w:eastAsia="宋体" w:cs="宋体"/>
          <w:sz w:val="24"/>
        </w:rPr>
        <w:t>二、服务部分</w:t>
      </w:r>
      <w:bookmarkEnd w:id="382"/>
      <w:bookmarkEnd w:id="383"/>
      <w:bookmarkEnd w:id="384"/>
      <w:bookmarkEnd w:id="385"/>
      <w:bookmarkEnd w:id="386"/>
      <w:bookmarkEnd w:id="387"/>
      <w:bookmarkEnd w:id="388"/>
      <w:bookmarkEnd w:id="389"/>
      <w:bookmarkEnd w:id="390"/>
    </w:p>
    <w:p w14:paraId="21B587C0">
      <w:pPr>
        <w:pStyle w:val="4"/>
        <w:spacing w:before="0" w:after="0"/>
        <w:rPr>
          <w:rFonts w:ascii="宋体" w:hAnsi="宋体" w:cs="宋体"/>
        </w:rPr>
      </w:pPr>
      <w:bookmarkStart w:id="391" w:name="_Toc32503"/>
      <w:r>
        <w:rPr>
          <w:rFonts w:hint="eastAsia" w:ascii="宋体" w:hAnsi="宋体" w:cs="宋体"/>
          <w:b w:val="0"/>
          <w:bCs/>
          <w:sz w:val="24"/>
          <w:szCs w:val="24"/>
        </w:rPr>
        <w:t>（一）服务响应偏离表</w:t>
      </w:r>
      <w:bookmarkEnd w:id="391"/>
      <w:r>
        <w:rPr>
          <w:rFonts w:hint="eastAsia" w:ascii="宋体" w:hAnsi="宋体" w:cs="宋体"/>
          <w:b w:val="0"/>
          <w:bCs/>
          <w:sz w:val="24"/>
          <w:szCs w:val="24"/>
        </w:rPr>
        <w:t xml:space="preserve">    </w:t>
      </w:r>
      <w:r>
        <w:rPr>
          <w:rFonts w:hint="eastAsia" w:ascii="宋体" w:hAnsi="宋体" w:cs="宋体"/>
          <w:sz w:val="24"/>
          <w:szCs w:val="24"/>
        </w:rPr>
        <w:t xml:space="preserve">     </w:t>
      </w:r>
      <w:r>
        <w:rPr>
          <w:rFonts w:hint="eastAsia" w:ascii="宋体" w:hAnsi="宋体" w:cs="宋体"/>
        </w:rPr>
        <w:t xml:space="preserve">                   </w:t>
      </w:r>
    </w:p>
    <w:p w14:paraId="5D3B031F">
      <w:pPr>
        <w:spacing w:line="400" w:lineRule="exact"/>
        <w:ind w:firstLine="480" w:firstLineChars="200"/>
        <w:rPr>
          <w:rFonts w:ascii="宋体" w:hAnsi="宋体" w:cs="宋体"/>
          <w:sz w:val="24"/>
          <w:szCs w:val="24"/>
        </w:rPr>
      </w:pPr>
      <w:r>
        <w:rPr>
          <w:rFonts w:hint="eastAsia" w:ascii="宋体" w:hAnsi="宋体" w:cs="宋体"/>
          <w:sz w:val="24"/>
          <w:szCs w:val="24"/>
        </w:rPr>
        <w:t>项目名称：</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3037"/>
        <w:gridCol w:w="3154"/>
        <w:gridCol w:w="2363"/>
      </w:tblGrid>
      <w:tr w14:paraId="631C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ign w:val="center"/>
          </w:tcPr>
          <w:p w14:paraId="7C17CE16">
            <w:pPr>
              <w:tabs>
                <w:tab w:val="left" w:pos="6300"/>
              </w:tabs>
              <w:snapToGrid w:val="0"/>
              <w:spacing w:line="500" w:lineRule="exact"/>
              <w:jc w:val="center"/>
              <w:outlineLvl w:val="0"/>
              <w:rPr>
                <w:rFonts w:ascii="宋体" w:hAnsi="宋体" w:cs="宋体"/>
                <w:sz w:val="21"/>
                <w:szCs w:val="21"/>
              </w:rPr>
            </w:pPr>
            <w:bookmarkStart w:id="392" w:name="_Toc3331"/>
            <w:r>
              <w:rPr>
                <w:rFonts w:hint="eastAsia" w:ascii="宋体" w:hAnsi="宋体" w:cs="宋体"/>
                <w:sz w:val="21"/>
                <w:szCs w:val="21"/>
              </w:rPr>
              <w:t>序号</w:t>
            </w:r>
            <w:bookmarkEnd w:id="392"/>
          </w:p>
        </w:tc>
        <w:tc>
          <w:tcPr>
            <w:tcW w:w="1541" w:type="pct"/>
            <w:noWrap/>
            <w:vAlign w:val="center"/>
          </w:tcPr>
          <w:p w14:paraId="0F1A1B1D">
            <w:pPr>
              <w:tabs>
                <w:tab w:val="left" w:pos="6300"/>
              </w:tabs>
              <w:snapToGrid w:val="0"/>
              <w:spacing w:line="500" w:lineRule="exact"/>
              <w:jc w:val="center"/>
              <w:outlineLvl w:val="0"/>
              <w:rPr>
                <w:rFonts w:ascii="宋体" w:hAnsi="宋体" w:cs="宋体"/>
                <w:sz w:val="21"/>
                <w:szCs w:val="21"/>
              </w:rPr>
            </w:pPr>
            <w:bookmarkStart w:id="393" w:name="_Toc9156"/>
            <w:r>
              <w:rPr>
                <w:rFonts w:hint="eastAsia" w:ascii="宋体" w:hAnsi="宋体" w:cs="宋体"/>
                <w:sz w:val="21"/>
                <w:szCs w:val="21"/>
              </w:rPr>
              <w:t>采购需求</w:t>
            </w:r>
            <w:bookmarkEnd w:id="393"/>
          </w:p>
        </w:tc>
        <w:tc>
          <w:tcPr>
            <w:tcW w:w="1600" w:type="pct"/>
            <w:noWrap/>
            <w:vAlign w:val="center"/>
          </w:tcPr>
          <w:p w14:paraId="280C1770">
            <w:pPr>
              <w:tabs>
                <w:tab w:val="left" w:pos="6300"/>
              </w:tabs>
              <w:snapToGrid w:val="0"/>
              <w:spacing w:line="500" w:lineRule="exact"/>
              <w:jc w:val="center"/>
              <w:outlineLvl w:val="0"/>
              <w:rPr>
                <w:rFonts w:ascii="宋体" w:hAnsi="宋体" w:cs="宋体"/>
                <w:sz w:val="21"/>
                <w:szCs w:val="21"/>
              </w:rPr>
            </w:pPr>
            <w:bookmarkStart w:id="394" w:name="_Toc24839"/>
            <w:r>
              <w:rPr>
                <w:rFonts w:hint="eastAsia" w:ascii="宋体" w:hAnsi="宋体" w:cs="宋体"/>
                <w:sz w:val="21"/>
                <w:szCs w:val="21"/>
              </w:rPr>
              <w:t>响应情况</w:t>
            </w:r>
            <w:bookmarkEnd w:id="394"/>
          </w:p>
        </w:tc>
        <w:tc>
          <w:tcPr>
            <w:tcW w:w="1199" w:type="pct"/>
            <w:noWrap/>
            <w:vAlign w:val="center"/>
          </w:tcPr>
          <w:p w14:paraId="5306C314">
            <w:pPr>
              <w:tabs>
                <w:tab w:val="left" w:pos="6300"/>
              </w:tabs>
              <w:snapToGrid w:val="0"/>
              <w:spacing w:line="500" w:lineRule="exact"/>
              <w:jc w:val="center"/>
              <w:outlineLvl w:val="0"/>
              <w:rPr>
                <w:rFonts w:ascii="宋体" w:hAnsi="宋体" w:cs="宋体"/>
                <w:sz w:val="21"/>
                <w:szCs w:val="21"/>
              </w:rPr>
            </w:pPr>
            <w:bookmarkStart w:id="395" w:name="_Toc6172"/>
            <w:r>
              <w:rPr>
                <w:rFonts w:hint="eastAsia" w:ascii="宋体" w:hAnsi="宋体" w:cs="宋体"/>
                <w:sz w:val="21"/>
                <w:szCs w:val="21"/>
              </w:rPr>
              <w:t>差异说明</w:t>
            </w:r>
            <w:bookmarkEnd w:id="395"/>
          </w:p>
        </w:tc>
      </w:tr>
      <w:tr w14:paraId="4B3C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ign w:val="center"/>
          </w:tcPr>
          <w:p w14:paraId="3FDFA60A">
            <w:pPr>
              <w:tabs>
                <w:tab w:val="left" w:pos="6300"/>
              </w:tabs>
              <w:snapToGrid w:val="0"/>
              <w:spacing w:line="500" w:lineRule="exact"/>
              <w:jc w:val="center"/>
              <w:outlineLvl w:val="0"/>
              <w:rPr>
                <w:rFonts w:ascii="宋体" w:hAnsi="宋体" w:cs="宋体"/>
                <w:sz w:val="21"/>
                <w:szCs w:val="21"/>
              </w:rPr>
            </w:pPr>
          </w:p>
        </w:tc>
        <w:tc>
          <w:tcPr>
            <w:tcW w:w="1541" w:type="pct"/>
            <w:noWrap/>
            <w:vAlign w:val="center"/>
          </w:tcPr>
          <w:p w14:paraId="3D40315C">
            <w:pPr>
              <w:tabs>
                <w:tab w:val="left" w:pos="6300"/>
              </w:tabs>
              <w:snapToGrid w:val="0"/>
              <w:spacing w:line="500" w:lineRule="exact"/>
              <w:jc w:val="center"/>
              <w:outlineLvl w:val="0"/>
              <w:rPr>
                <w:rFonts w:ascii="宋体" w:hAnsi="宋体" w:cs="宋体"/>
                <w:sz w:val="21"/>
                <w:szCs w:val="21"/>
              </w:rPr>
            </w:pPr>
          </w:p>
        </w:tc>
        <w:tc>
          <w:tcPr>
            <w:tcW w:w="1600" w:type="pct"/>
            <w:noWrap/>
            <w:vAlign w:val="center"/>
          </w:tcPr>
          <w:p w14:paraId="356ADDF1">
            <w:pPr>
              <w:tabs>
                <w:tab w:val="left" w:pos="6300"/>
              </w:tabs>
              <w:snapToGrid w:val="0"/>
              <w:spacing w:line="500" w:lineRule="exact"/>
              <w:outlineLvl w:val="0"/>
              <w:rPr>
                <w:rFonts w:ascii="宋体" w:hAnsi="宋体" w:cs="宋体"/>
                <w:sz w:val="21"/>
                <w:szCs w:val="21"/>
              </w:rPr>
            </w:pPr>
          </w:p>
        </w:tc>
        <w:tc>
          <w:tcPr>
            <w:tcW w:w="1199" w:type="pct"/>
            <w:noWrap/>
            <w:vAlign w:val="center"/>
          </w:tcPr>
          <w:p w14:paraId="595CCEFE">
            <w:pPr>
              <w:tabs>
                <w:tab w:val="left" w:pos="6300"/>
              </w:tabs>
              <w:snapToGrid w:val="0"/>
              <w:spacing w:line="500" w:lineRule="exact"/>
              <w:jc w:val="center"/>
              <w:outlineLvl w:val="0"/>
              <w:rPr>
                <w:rFonts w:ascii="宋体" w:hAnsi="宋体" w:cs="宋体"/>
                <w:sz w:val="21"/>
                <w:szCs w:val="21"/>
              </w:rPr>
            </w:pPr>
          </w:p>
        </w:tc>
      </w:tr>
      <w:tr w14:paraId="6804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ign w:val="center"/>
          </w:tcPr>
          <w:p w14:paraId="30013FB3">
            <w:pPr>
              <w:tabs>
                <w:tab w:val="left" w:pos="6300"/>
              </w:tabs>
              <w:snapToGrid w:val="0"/>
              <w:spacing w:line="500" w:lineRule="exact"/>
              <w:jc w:val="center"/>
              <w:outlineLvl w:val="0"/>
              <w:rPr>
                <w:rFonts w:ascii="宋体" w:hAnsi="宋体" w:cs="宋体"/>
                <w:sz w:val="21"/>
                <w:szCs w:val="21"/>
              </w:rPr>
            </w:pPr>
          </w:p>
        </w:tc>
        <w:tc>
          <w:tcPr>
            <w:tcW w:w="1541" w:type="pct"/>
            <w:noWrap/>
            <w:vAlign w:val="center"/>
          </w:tcPr>
          <w:p w14:paraId="7CF1CD8A">
            <w:pPr>
              <w:tabs>
                <w:tab w:val="left" w:pos="6300"/>
              </w:tabs>
              <w:snapToGrid w:val="0"/>
              <w:spacing w:line="500" w:lineRule="exact"/>
              <w:jc w:val="center"/>
              <w:outlineLvl w:val="0"/>
              <w:rPr>
                <w:rFonts w:ascii="宋体" w:hAnsi="宋体" w:cs="宋体"/>
                <w:sz w:val="21"/>
                <w:szCs w:val="21"/>
              </w:rPr>
            </w:pPr>
          </w:p>
        </w:tc>
        <w:tc>
          <w:tcPr>
            <w:tcW w:w="1600" w:type="pct"/>
            <w:noWrap/>
            <w:vAlign w:val="center"/>
          </w:tcPr>
          <w:p w14:paraId="69FD850E">
            <w:pPr>
              <w:tabs>
                <w:tab w:val="left" w:pos="6300"/>
              </w:tabs>
              <w:snapToGrid w:val="0"/>
              <w:spacing w:line="500" w:lineRule="exact"/>
              <w:jc w:val="center"/>
              <w:outlineLvl w:val="0"/>
              <w:rPr>
                <w:rFonts w:ascii="宋体" w:hAnsi="宋体" w:cs="宋体"/>
                <w:sz w:val="21"/>
                <w:szCs w:val="21"/>
              </w:rPr>
            </w:pPr>
          </w:p>
        </w:tc>
        <w:tc>
          <w:tcPr>
            <w:tcW w:w="1199" w:type="pct"/>
            <w:noWrap/>
            <w:vAlign w:val="center"/>
          </w:tcPr>
          <w:p w14:paraId="69F5B269">
            <w:pPr>
              <w:tabs>
                <w:tab w:val="left" w:pos="6300"/>
              </w:tabs>
              <w:snapToGrid w:val="0"/>
              <w:spacing w:line="500" w:lineRule="exact"/>
              <w:jc w:val="center"/>
              <w:outlineLvl w:val="0"/>
              <w:rPr>
                <w:rFonts w:ascii="宋体" w:hAnsi="宋体" w:cs="宋体"/>
                <w:sz w:val="21"/>
                <w:szCs w:val="21"/>
              </w:rPr>
            </w:pPr>
          </w:p>
        </w:tc>
      </w:tr>
      <w:tr w14:paraId="3133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ign w:val="center"/>
          </w:tcPr>
          <w:p w14:paraId="0A2E4734">
            <w:pPr>
              <w:tabs>
                <w:tab w:val="left" w:pos="6300"/>
              </w:tabs>
              <w:snapToGrid w:val="0"/>
              <w:spacing w:line="500" w:lineRule="exact"/>
              <w:jc w:val="center"/>
              <w:outlineLvl w:val="0"/>
              <w:rPr>
                <w:rFonts w:ascii="宋体" w:hAnsi="宋体" w:cs="宋体"/>
                <w:sz w:val="21"/>
                <w:szCs w:val="21"/>
              </w:rPr>
            </w:pPr>
          </w:p>
        </w:tc>
        <w:tc>
          <w:tcPr>
            <w:tcW w:w="1541" w:type="pct"/>
            <w:noWrap/>
            <w:vAlign w:val="center"/>
          </w:tcPr>
          <w:p w14:paraId="34B401DB">
            <w:pPr>
              <w:tabs>
                <w:tab w:val="left" w:pos="6300"/>
              </w:tabs>
              <w:snapToGrid w:val="0"/>
              <w:spacing w:line="500" w:lineRule="exact"/>
              <w:jc w:val="center"/>
              <w:outlineLvl w:val="0"/>
              <w:rPr>
                <w:rFonts w:ascii="宋体" w:hAnsi="宋体" w:cs="宋体"/>
                <w:sz w:val="21"/>
                <w:szCs w:val="21"/>
              </w:rPr>
            </w:pPr>
          </w:p>
        </w:tc>
        <w:tc>
          <w:tcPr>
            <w:tcW w:w="1600" w:type="pct"/>
            <w:noWrap/>
            <w:vAlign w:val="center"/>
          </w:tcPr>
          <w:p w14:paraId="20D8D324">
            <w:pPr>
              <w:tabs>
                <w:tab w:val="left" w:pos="6300"/>
              </w:tabs>
              <w:snapToGrid w:val="0"/>
              <w:spacing w:line="500" w:lineRule="exact"/>
              <w:jc w:val="center"/>
              <w:outlineLvl w:val="0"/>
              <w:rPr>
                <w:rFonts w:ascii="宋体" w:hAnsi="宋体" w:cs="宋体"/>
                <w:sz w:val="21"/>
                <w:szCs w:val="21"/>
              </w:rPr>
            </w:pPr>
          </w:p>
        </w:tc>
        <w:tc>
          <w:tcPr>
            <w:tcW w:w="1199" w:type="pct"/>
            <w:noWrap/>
            <w:vAlign w:val="center"/>
          </w:tcPr>
          <w:p w14:paraId="0B49EFE9">
            <w:pPr>
              <w:tabs>
                <w:tab w:val="left" w:pos="6300"/>
              </w:tabs>
              <w:snapToGrid w:val="0"/>
              <w:spacing w:line="500" w:lineRule="exact"/>
              <w:jc w:val="center"/>
              <w:outlineLvl w:val="0"/>
              <w:rPr>
                <w:rFonts w:ascii="宋体" w:hAnsi="宋体" w:cs="宋体"/>
                <w:sz w:val="21"/>
                <w:szCs w:val="21"/>
              </w:rPr>
            </w:pPr>
          </w:p>
        </w:tc>
      </w:tr>
      <w:tr w14:paraId="7DC3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ign w:val="center"/>
          </w:tcPr>
          <w:p w14:paraId="6A3806DF">
            <w:pPr>
              <w:tabs>
                <w:tab w:val="left" w:pos="6300"/>
              </w:tabs>
              <w:snapToGrid w:val="0"/>
              <w:spacing w:line="500" w:lineRule="exact"/>
              <w:jc w:val="center"/>
              <w:outlineLvl w:val="0"/>
              <w:rPr>
                <w:rFonts w:ascii="宋体" w:hAnsi="宋体" w:cs="宋体"/>
                <w:sz w:val="21"/>
                <w:szCs w:val="21"/>
              </w:rPr>
            </w:pPr>
          </w:p>
        </w:tc>
        <w:tc>
          <w:tcPr>
            <w:tcW w:w="1541" w:type="pct"/>
            <w:noWrap/>
            <w:vAlign w:val="center"/>
          </w:tcPr>
          <w:p w14:paraId="221D48FD">
            <w:pPr>
              <w:tabs>
                <w:tab w:val="left" w:pos="6300"/>
              </w:tabs>
              <w:snapToGrid w:val="0"/>
              <w:spacing w:line="500" w:lineRule="exact"/>
              <w:jc w:val="center"/>
              <w:outlineLvl w:val="0"/>
              <w:rPr>
                <w:rFonts w:ascii="宋体" w:hAnsi="宋体" w:cs="宋体"/>
                <w:sz w:val="21"/>
                <w:szCs w:val="21"/>
              </w:rPr>
            </w:pPr>
          </w:p>
        </w:tc>
        <w:tc>
          <w:tcPr>
            <w:tcW w:w="1600" w:type="pct"/>
            <w:noWrap/>
            <w:vAlign w:val="center"/>
          </w:tcPr>
          <w:p w14:paraId="546F6294">
            <w:pPr>
              <w:tabs>
                <w:tab w:val="left" w:pos="6300"/>
              </w:tabs>
              <w:snapToGrid w:val="0"/>
              <w:spacing w:line="500" w:lineRule="exact"/>
              <w:jc w:val="center"/>
              <w:outlineLvl w:val="0"/>
              <w:rPr>
                <w:rFonts w:ascii="宋体" w:hAnsi="宋体" w:cs="宋体"/>
                <w:sz w:val="21"/>
                <w:szCs w:val="21"/>
              </w:rPr>
            </w:pPr>
          </w:p>
        </w:tc>
        <w:tc>
          <w:tcPr>
            <w:tcW w:w="1199" w:type="pct"/>
            <w:noWrap/>
            <w:vAlign w:val="center"/>
          </w:tcPr>
          <w:p w14:paraId="4B9C45E7">
            <w:pPr>
              <w:tabs>
                <w:tab w:val="left" w:pos="6300"/>
              </w:tabs>
              <w:snapToGrid w:val="0"/>
              <w:spacing w:line="500" w:lineRule="exact"/>
              <w:jc w:val="center"/>
              <w:outlineLvl w:val="0"/>
              <w:rPr>
                <w:rFonts w:ascii="宋体" w:hAnsi="宋体" w:cs="宋体"/>
                <w:sz w:val="21"/>
                <w:szCs w:val="21"/>
              </w:rPr>
            </w:pPr>
          </w:p>
        </w:tc>
      </w:tr>
      <w:tr w14:paraId="3496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ign w:val="center"/>
          </w:tcPr>
          <w:p w14:paraId="65D2BEC4">
            <w:pPr>
              <w:tabs>
                <w:tab w:val="left" w:pos="6300"/>
              </w:tabs>
              <w:snapToGrid w:val="0"/>
              <w:spacing w:line="500" w:lineRule="exact"/>
              <w:jc w:val="center"/>
              <w:outlineLvl w:val="0"/>
              <w:rPr>
                <w:rFonts w:ascii="宋体" w:hAnsi="宋体" w:cs="宋体"/>
                <w:sz w:val="21"/>
                <w:szCs w:val="21"/>
              </w:rPr>
            </w:pPr>
          </w:p>
        </w:tc>
        <w:tc>
          <w:tcPr>
            <w:tcW w:w="1541" w:type="pct"/>
            <w:noWrap/>
            <w:vAlign w:val="center"/>
          </w:tcPr>
          <w:p w14:paraId="294E711A">
            <w:pPr>
              <w:tabs>
                <w:tab w:val="left" w:pos="6300"/>
              </w:tabs>
              <w:snapToGrid w:val="0"/>
              <w:spacing w:line="500" w:lineRule="exact"/>
              <w:jc w:val="center"/>
              <w:outlineLvl w:val="0"/>
              <w:rPr>
                <w:rFonts w:ascii="宋体" w:hAnsi="宋体" w:cs="宋体"/>
                <w:sz w:val="21"/>
                <w:szCs w:val="21"/>
              </w:rPr>
            </w:pPr>
          </w:p>
        </w:tc>
        <w:tc>
          <w:tcPr>
            <w:tcW w:w="1600" w:type="pct"/>
            <w:noWrap/>
            <w:vAlign w:val="center"/>
          </w:tcPr>
          <w:p w14:paraId="592ABE55">
            <w:pPr>
              <w:tabs>
                <w:tab w:val="left" w:pos="6300"/>
              </w:tabs>
              <w:snapToGrid w:val="0"/>
              <w:spacing w:line="500" w:lineRule="exact"/>
              <w:jc w:val="center"/>
              <w:outlineLvl w:val="0"/>
              <w:rPr>
                <w:rFonts w:ascii="宋体" w:hAnsi="宋体" w:cs="宋体"/>
                <w:sz w:val="21"/>
                <w:szCs w:val="21"/>
              </w:rPr>
            </w:pPr>
          </w:p>
        </w:tc>
        <w:tc>
          <w:tcPr>
            <w:tcW w:w="1199" w:type="pct"/>
            <w:noWrap/>
            <w:vAlign w:val="center"/>
          </w:tcPr>
          <w:p w14:paraId="04386979">
            <w:pPr>
              <w:tabs>
                <w:tab w:val="left" w:pos="6300"/>
              </w:tabs>
              <w:snapToGrid w:val="0"/>
              <w:spacing w:line="500" w:lineRule="exact"/>
              <w:jc w:val="center"/>
              <w:outlineLvl w:val="0"/>
              <w:rPr>
                <w:rFonts w:ascii="宋体" w:hAnsi="宋体" w:cs="宋体"/>
                <w:sz w:val="21"/>
                <w:szCs w:val="21"/>
              </w:rPr>
            </w:pPr>
          </w:p>
        </w:tc>
      </w:tr>
      <w:tr w14:paraId="54A9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ign w:val="center"/>
          </w:tcPr>
          <w:p w14:paraId="0EE584AD">
            <w:pPr>
              <w:tabs>
                <w:tab w:val="left" w:pos="6300"/>
              </w:tabs>
              <w:snapToGrid w:val="0"/>
              <w:spacing w:line="500" w:lineRule="exact"/>
              <w:jc w:val="center"/>
              <w:outlineLvl w:val="0"/>
              <w:rPr>
                <w:rFonts w:ascii="宋体" w:hAnsi="宋体" w:cs="宋体"/>
                <w:sz w:val="21"/>
                <w:szCs w:val="21"/>
              </w:rPr>
            </w:pPr>
          </w:p>
        </w:tc>
        <w:tc>
          <w:tcPr>
            <w:tcW w:w="1541" w:type="pct"/>
            <w:noWrap/>
            <w:vAlign w:val="center"/>
          </w:tcPr>
          <w:p w14:paraId="10F82015">
            <w:pPr>
              <w:tabs>
                <w:tab w:val="left" w:pos="6300"/>
              </w:tabs>
              <w:snapToGrid w:val="0"/>
              <w:spacing w:line="500" w:lineRule="exact"/>
              <w:jc w:val="center"/>
              <w:outlineLvl w:val="0"/>
              <w:rPr>
                <w:rFonts w:ascii="宋体" w:hAnsi="宋体" w:cs="宋体"/>
                <w:sz w:val="21"/>
                <w:szCs w:val="21"/>
              </w:rPr>
            </w:pPr>
          </w:p>
        </w:tc>
        <w:tc>
          <w:tcPr>
            <w:tcW w:w="1600" w:type="pct"/>
            <w:noWrap/>
            <w:vAlign w:val="center"/>
          </w:tcPr>
          <w:p w14:paraId="370F94A9">
            <w:pPr>
              <w:tabs>
                <w:tab w:val="left" w:pos="6300"/>
              </w:tabs>
              <w:snapToGrid w:val="0"/>
              <w:spacing w:line="500" w:lineRule="exact"/>
              <w:jc w:val="center"/>
              <w:outlineLvl w:val="0"/>
              <w:rPr>
                <w:rFonts w:ascii="宋体" w:hAnsi="宋体" w:cs="宋体"/>
                <w:sz w:val="21"/>
                <w:szCs w:val="21"/>
              </w:rPr>
            </w:pPr>
          </w:p>
        </w:tc>
        <w:tc>
          <w:tcPr>
            <w:tcW w:w="1199" w:type="pct"/>
            <w:noWrap/>
            <w:vAlign w:val="center"/>
          </w:tcPr>
          <w:p w14:paraId="4ACC478C">
            <w:pPr>
              <w:tabs>
                <w:tab w:val="left" w:pos="6300"/>
              </w:tabs>
              <w:snapToGrid w:val="0"/>
              <w:spacing w:line="500" w:lineRule="exact"/>
              <w:jc w:val="center"/>
              <w:outlineLvl w:val="0"/>
              <w:rPr>
                <w:rFonts w:ascii="宋体" w:hAnsi="宋体" w:cs="宋体"/>
                <w:sz w:val="21"/>
                <w:szCs w:val="21"/>
              </w:rPr>
            </w:pPr>
          </w:p>
        </w:tc>
      </w:tr>
      <w:tr w14:paraId="42F9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ign w:val="center"/>
          </w:tcPr>
          <w:p w14:paraId="296A4A76">
            <w:pPr>
              <w:tabs>
                <w:tab w:val="left" w:pos="6300"/>
              </w:tabs>
              <w:snapToGrid w:val="0"/>
              <w:spacing w:line="500" w:lineRule="exact"/>
              <w:jc w:val="center"/>
              <w:outlineLvl w:val="0"/>
              <w:rPr>
                <w:rFonts w:ascii="宋体" w:hAnsi="宋体" w:cs="宋体"/>
                <w:sz w:val="21"/>
                <w:szCs w:val="21"/>
              </w:rPr>
            </w:pPr>
          </w:p>
        </w:tc>
        <w:tc>
          <w:tcPr>
            <w:tcW w:w="1541" w:type="pct"/>
            <w:noWrap/>
            <w:vAlign w:val="center"/>
          </w:tcPr>
          <w:p w14:paraId="5A22D0DF">
            <w:pPr>
              <w:tabs>
                <w:tab w:val="left" w:pos="6300"/>
              </w:tabs>
              <w:snapToGrid w:val="0"/>
              <w:spacing w:line="500" w:lineRule="exact"/>
              <w:jc w:val="center"/>
              <w:outlineLvl w:val="0"/>
              <w:rPr>
                <w:rFonts w:ascii="宋体" w:hAnsi="宋体" w:cs="宋体"/>
                <w:sz w:val="21"/>
                <w:szCs w:val="21"/>
              </w:rPr>
            </w:pPr>
          </w:p>
        </w:tc>
        <w:tc>
          <w:tcPr>
            <w:tcW w:w="1600" w:type="pct"/>
            <w:noWrap/>
            <w:vAlign w:val="center"/>
          </w:tcPr>
          <w:p w14:paraId="2B503AAA">
            <w:pPr>
              <w:tabs>
                <w:tab w:val="left" w:pos="6300"/>
              </w:tabs>
              <w:snapToGrid w:val="0"/>
              <w:spacing w:line="500" w:lineRule="exact"/>
              <w:jc w:val="center"/>
              <w:outlineLvl w:val="0"/>
              <w:rPr>
                <w:rFonts w:ascii="宋体" w:hAnsi="宋体" w:cs="宋体"/>
                <w:sz w:val="21"/>
                <w:szCs w:val="21"/>
              </w:rPr>
            </w:pPr>
          </w:p>
        </w:tc>
        <w:tc>
          <w:tcPr>
            <w:tcW w:w="1199" w:type="pct"/>
            <w:noWrap/>
            <w:vAlign w:val="center"/>
          </w:tcPr>
          <w:p w14:paraId="389AD2E3">
            <w:pPr>
              <w:tabs>
                <w:tab w:val="left" w:pos="6300"/>
              </w:tabs>
              <w:snapToGrid w:val="0"/>
              <w:spacing w:line="500" w:lineRule="exact"/>
              <w:jc w:val="center"/>
              <w:outlineLvl w:val="0"/>
              <w:rPr>
                <w:rFonts w:ascii="宋体" w:hAnsi="宋体" w:cs="宋体"/>
                <w:sz w:val="21"/>
                <w:szCs w:val="21"/>
              </w:rPr>
            </w:pPr>
          </w:p>
        </w:tc>
      </w:tr>
      <w:tr w14:paraId="45D1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ign w:val="center"/>
          </w:tcPr>
          <w:p w14:paraId="2124355A">
            <w:pPr>
              <w:tabs>
                <w:tab w:val="left" w:pos="6300"/>
              </w:tabs>
              <w:snapToGrid w:val="0"/>
              <w:spacing w:line="500" w:lineRule="exact"/>
              <w:jc w:val="center"/>
              <w:outlineLvl w:val="0"/>
              <w:rPr>
                <w:rFonts w:ascii="宋体" w:hAnsi="宋体" w:cs="宋体"/>
                <w:sz w:val="21"/>
                <w:szCs w:val="21"/>
              </w:rPr>
            </w:pPr>
          </w:p>
        </w:tc>
        <w:tc>
          <w:tcPr>
            <w:tcW w:w="1541" w:type="pct"/>
            <w:noWrap/>
            <w:vAlign w:val="center"/>
          </w:tcPr>
          <w:p w14:paraId="005C249D">
            <w:pPr>
              <w:tabs>
                <w:tab w:val="left" w:pos="6300"/>
              </w:tabs>
              <w:snapToGrid w:val="0"/>
              <w:spacing w:line="500" w:lineRule="exact"/>
              <w:jc w:val="center"/>
              <w:outlineLvl w:val="0"/>
              <w:rPr>
                <w:rFonts w:ascii="宋体" w:hAnsi="宋体" w:cs="宋体"/>
                <w:sz w:val="21"/>
                <w:szCs w:val="21"/>
              </w:rPr>
            </w:pPr>
          </w:p>
        </w:tc>
        <w:tc>
          <w:tcPr>
            <w:tcW w:w="1600" w:type="pct"/>
            <w:noWrap/>
            <w:vAlign w:val="center"/>
          </w:tcPr>
          <w:p w14:paraId="5EEFC26F">
            <w:pPr>
              <w:tabs>
                <w:tab w:val="left" w:pos="6300"/>
              </w:tabs>
              <w:snapToGrid w:val="0"/>
              <w:spacing w:line="500" w:lineRule="exact"/>
              <w:jc w:val="center"/>
              <w:outlineLvl w:val="0"/>
              <w:rPr>
                <w:rFonts w:ascii="宋体" w:hAnsi="宋体" w:cs="宋体"/>
                <w:sz w:val="21"/>
                <w:szCs w:val="21"/>
              </w:rPr>
            </w:pPr>
          </w:p>
        </w:tc>
        <w:tc>
          <w:tcPr>
            <w:tcW w:w="1199" w:type="pct"/>
            <w:noWrap/>
            <w:vAlign w:val="center"/>
          </w:tcPr>
          <w:p w14:paraId="7FAE90E7">
            <w:pPr>
              <w:tabs>
                <w:tab w:val="left" w:pos="6300"/>
              </w:tabs>
              <w:snapToGrid w:val="0"/>
              <w:spacing w:line="500" w:lineRule="exact"/>
              <w:jc w:val="center"/>
              <w:outlineLvl w:val="0"/>
              <w:rPr>
                <w:rFonts w:ascii="宋体" w:hAnsi="宋体" w:cs="宋体"/>
                <w:sz w:val="21"/>
                <w:szCs w:val="21"/>
              </w:rPr>
            </w:pPr>
          </w:p>
        </w:tc>
      </w:tr>
      <w:tr w14:paraId="7B69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ign w:val="center"/>
          </w:tcPr>
          <w:p w14:paraId="07AEF4B1">
            <w:pPr>
              <w:tabs>
                <w:tab w:val="left" w:pos="6300"/>
              </w:tabs>
              <w:snapToGrid w:val="0"/>
              <w:spacing w:line="500" w:lineRule="exact"/>
              <w:jc w:val="center"/>
              <w:outlineLvl w:val="0"/>
              <w:rPr>
                <w:rFonts w:ascii="宋体" w:hAnsi="宋体" w:cs="宋体"/>
                <w:sz w:val="21"/>
                <w:szCs w:val="21"/>
              </w:rPr>
            </w:pPr>
          </w:p>
        </w:tc>
        <w:tc>
          <w:tcPr>
            <w:tcW w:w="1541" w:type="pct"/>
            <w:noWrap/>
            <w:vAlign w:val="center"/>
          </w:tcPr>
          <w:p w14:paraId="20E8DEF4">
            <w:pPr>
              <w:tabs>
                <w:tab w:val="left" w:pos="6300"/>
              </w:tabs>
              <w:snapToGrid w:val="0"/>
              <w:spacing w:line="500" w:lineRule="exact"/>
              <w:jc w:val="center"/>
              <w:outlineLvl w:val="0"/>
              <w:rPr>
                <w:rFonts w:ascii="宋体" w:hAnsi="宋体" w:cs="宋体"/>
                <w:sz w:val="21"/>
                <w:szCs w:val="21"/>
              </w:rPr>
            </w:pPr>
          </w:p>
        </w:tc>
        <w:tc>
          <w:tcPr>
            <w:tcW w:w="1600" w:type="pct"/>
            <w:noWrap/>
            <w:vAlign w:val="center"/>
          </w:tcPr>
          <w:p w14:paraId="574BA221">
            <w:pPr>
              <w:tabs>
                <w:tab w:val="left" w:pos="6300"/>
              </w:tabs>
              <w:snapToGrid w:val="0"/>
              <w:spacing w:line="500" w:lineRule="exact"/>
              <w:jc w:val="center"/>
              <w:outlineLvl w:val="0"/>
              <w:rPr>
                <w:rFonts w:ascii="宋体" w:hAnsi="宋体" w:cs="宋体"/>
                <w:sz w:val="21"/>
                <w:szCs w:val="21"/>
              </w:rPr>
            </w:pPr>
          </w:p>
        </w:tc>
        <w:tc>
          <w:tcPr>
            <w:tcW w:w="1199" w:type="pct"/>
            <w:noWrap/>
            <w:vAlign w:val="center"/>
          </w:tcPr>
          <w:p w14:paraId="14482995">
            <w:pPr>
              <w:tabs>
                <w:tab w:val="left" w:pos="6300"/>
              </w:tabs>
              <w:snapToGrid w:val="0"/>
              <w:spacing w:line="500" w:lineRule="exact"/>
              <w:jc w:val="center"/>
              <w:outlineLvl w:val="0"/>
              <w:rPr>
                <w:rFonts w:ascii="宋体" w:hAnsi="宋体" w:cs="宋体"/>
                <w:sz w:val="21"/>
                <w:szCs w:val="21"/>
              </w:rPr>
            </w:pPr>
          </w:p>
        </w:tc>
      </w:tr>
      <w:tr w14:paraId="1747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ign w:val="center"/>
          </w:tcPr>
          <w:p w14:paraId="1B7C214D">
            <w:pPr>
              <w:tabs>
                <w:tab w:val="left" w:pos="6300"/>
              </w:tabs>
              <w:snapToGrid w:val="0"/>
              <w:spacing w:line="500" w:lineRule="exact"/>
              <w:jc w:val="center"/>
              <w:outlineLvl w:val="0"/>
              <w:rPr>
                <w:rFonts w:ascii="宋体" w:hAnsi="宋体" w:cs="宋体"/>
                <w:sz w:val="21"/>
                <w:szCs w:val="21"/>
              </w:rPr>
            </w:pPr>
          </w:p>
        </w:tc>
        <w:tc>
          <w:tcPr>
            <w:tcW w:w="1541" w:type="pct"/>
            <w:noWrap/>
            <w:vAlign w:val="center"/>
          </w:tcPr>
          <w:p w14:paraId="50A54918">
            <w:pPr>
              <w:tabs>
                <w:tab w:val="left" w:pos="6300"/>
              </w:tabs>
              <w:snapToGrid w:val="0"/>
              <w:spacing w:line="500" w:lineRule="exact"/>
              <w:jc w:val="center"/>
              <w:outlineLvl w:val="0"/>
              <w:rPr>
                <w:rFonts w:ascii="宋体" w:hAnsi="宋体" w:cs="宋体"/>
                <w:sz w:val="21"/>
                <w:szCs w:val="21"/>
              </w:rPr>
            </w:pPr>
          </w:p>
        </w:tc>
        <w:tc>
          <w:tcPr>
            <w:tcW w:w="1600" w:type="pct"/>
            <w:noWrap/>
            <w:vAlign w:val="center"/>
          </w:tcPr>
          <w:p w14:paraId="2C5B6EEE">
            <w:pPr>
              <w:tabs>
                <w:tab w:val="left" w:pos="6300"/>
              </w:tabs>
              <w:snapToGrid w:val="0"/>
              <w:spacing w:line="500" w:lineRule="exact"/>
              <w:jc w:val="center"/>
              <w:outlineLvl w:val="0"/>
              <w:rPr>
                <w:rFonts w:ascii="宋体" w:hAnsi="宋体" w:cs="宋体"/>
                <w:sz w:val="21"/>
                <w:szCs w:val="21"/>
              </w:rPr>
            </w:pPr>
          </w:p>
        </w:tc>
        <w:tc>
          <w:tcPr>
            <w:tcW w:w="1199" w:type="pct"/>
            <w:noWrap/>
            <w:vAlign w:val="center"/>
          </w:tcPr>
          <w:p w14:paraId="24848C3D">
            <w:pPr>
              <w:tabs>
                <w:tab w:val="left" w:pos="6300"/>
              </w:tabs>
              <w:snapToGrid w:val="0"/>
              <w:spacing w:line="500" w:lineRule="exact"/>
              <w:jc w:val="center"/>
              <w:outlineLvl w:val="0"/>
              <w:rPr>
                <w:rFonts w:ascii="宋体" w:hAnsi="宋体" w:cs="宋体"/>
                <w:sz w:val="21"/>
                <w:szCs w:val="21"/>
              </w:rPr>
            </w:pPr>
          </w:p>
        </w:tc>
      </w:tr>
    </w:tbl>
    <w:p w14:paraId="7383BE1E">
      <w:pPr>
        <w:spacing w:line="500" w:lineRule="exact"/>
        <w:ind w:firstLine="600" w:firstLineChars="250"/>
        <w:rPr>
          <w:rFonts w:ascii="宋体" w:hAnsi="宋体" w:cs="宋体"/>
          <w:sz w:val="24"/>
          <w:szCs w:val="28"/>
        </w:rPr>
      </w:pPr>
      <w:r>
        <w:rPr>
          <w:rFonts w:hint="eastAsia" w:ascii="宋体" w:hAnsi="宋体" w:cs="宋体"/>
          <w:sz w:val="24"/>
          <w:szCs w:val="28"/>
        </w:rPr>
        <w:t xml:space="preserve">供应商：                            </w:t>
      </w:r>
      <w:r>
        <w:rPr>
          <w:rFonts w:hint="eastAsia" w:ascii="宋体" w:hAnsi="宋体" w:cs="宋体"/>
          <w:sz w:val="24"/>
          <w:szCs w:val="24"/>
        </w:rPr>
        <w:t>法定代表人（或其授权代表）或自然人：</w:t>
      </w:r>
    </w:p>
    <w:p w14:paraId="4200B25A">
      <w:pPr>
        <w:spacing w:line="500" w:lineRule="exact"/>
        <w:rPr>
          <w:rFonts w:ascii="宋体" w:hAnsi="宋体" w:cs="宋体"/>
          <w:sz w:val="24"/>
          <w:szCs w:val="28"/>
        </w:rPr>
      </w:pPr>
      <w:r>
        <w:rPr>
          <w:rFonts w:hint="eastAsia" w:ascii="宋体" w:hAnsi="宋体" w:cs="宋体"/>
          <w:sz w:val="24"/>
          <w:szCs w:val="28"/>
        </w:rPr>
        <w:t xml:space="preserve">    </w:t>
      </w:r>
    </w:p>
    <w:p w14:paraId="4A8E0F83">
      <w:pPr>
        <w:spacing w:line="500" w:lineRule="exact"/>
        <w:ind w:firstLine="720" w:firstLineChars="300"/>
        <w:rPr>
          <w:rFonts w:ascii="宋体" w:hAnsi="宋体" w:cs="宋体"/>
          <w:sz w:val="24"/>
          <w:szCs w:val="28"/>
        </w:rPr>
      </w:pPr>
      <w:r>
        <w:rPr>
          <w:rFonts w:hint="eastAsia" w:ascii="宋体" w:hAnsi="宋体" w:cs="宋体"/>
          <w:sz w:val="24"/>
          <w:szCs w:val="28"/>
        </w:rPr>
        <w:t>（供应商公章）                               （签署或盖章）</w:t>
      </w:r>
    </w:p>
    <w:p w14:paraId="3E55A941">
      <w:pPr>
        <w:tabs>
          <w:tab w:val="left" w:pos="6300"/>
        </w:tabs>
        <w:snapToGrid w:val="0"/>
        <w:spacing w:line="500" w:lineRule="exact"/>
        <w:ind w:firstLine="570"/>
        <w:rPr>
          <w:rFonts w:ascii="宋体" w:hAnsi="宋体" w:cs="宋体"/>
          <w:sz w:val="24"/>
        </w:rPr>
      </w:pPr>
      <w:r>
        <w:rPr>
          <w:rFonts w:hint="eastAsia" w:ascii="宋体" w:hAnsi="宋体" w:cs="宋体"/>
          <w:sz w:val="24"/>
          <w:szCs w:val="28"/>
        </w:rPr>
        <w:t xml:space="preserve">                                              年     月     日</w:t>
      </w:r>
    </w:p>
    <w:p w14:paraId="2F2A2631">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注：</w:t>
      </w:r>
    </w:p>
    <w:p w14:paraId="1F5EFCF6">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1.本表即为对本项目“第二篇  项目服务需求”中所列条款进行比较和响应；</w:t>
      </w:r>
    </w:p>
    <w:p w14:paraId="24DF7116">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2.本表可扩展，并逐页签字或盖章；</w:t>
      </w:r>
    </w:p>
    <w:p w14:paraId="72E69CC9">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3.该表必须按照网上竞采采购要求逐条如实填写，根据响应情况在“差异说明”项填写正偏离或负偏离及原因，完全符合的填写“无差异”。</w:t>
      </w:r>
    </w:p>
    <w:p w14:paraId="3F842326">
      <w:pPr>
        <w:snapToGrid w:val="0"/>
        <w:spacing w:line="400" w:lineRule="exact"/>
        <w:ind w:firstLine="480" w:firstLineChars="200"/>
        <w:jc w:val="left"/>
        <w:rPr>
          <w:rFonts w:ascii="宋体" w:hAnsi="宋体" w:cs="宋体"/>
          <w:sz w:val="24"/>
          <w:szCs w:val="24"/>
        </w:rPr>
      </w:pPr>
    </w:p>
    <w:p w14:paraId="2926D5EB">
      <w:pPr>
        <w:tabs>
          <w:tab w:val="left" w:pos="6300"/>
        </w:tabs>
        <w:snapToGrid w:val="0"/>
        <w:spacing w:line="400" w:lineRule="exact"/>
        <w:ind w:firstLine="560" w:firstLineChars="200"/>
        <w:rPr>
          <w:rFonts w:ascii="宋体" w:hAnsi="宋体" w:cs="宋体"/>
          <w:bCs/>
          <w:sz w:val="24"/>
          <w:szCs w:val="24"/>
        </w:rPr>
      </w:pPr>
      <w:r>
        <w:rPr>
          <w:rFonts w:hint="eastAsia" w:ascii="宋体" w:hAnsi="宋体" w:cs="宋体"/>
          <w:szCs w:val="24"/>
        </w:rPr>
        <w:br w:type="page"/>
      </w:r>
      <w:r>
        <w:rPr>
          <w:rFonts w:hint="eastAsia" w:ascii="宋体" w:hAnsi="宋体" w:cs="宋体"/>
          <w:bCs/>
          <w:sz w:val="24"/>
          <w:szCs w:val="24"/>
        </w:rPr>
        <w:t>（二）服务部分所需其他资料（如有）</w:t>
      </w:r>
    </w:p>
    <w:p w14:paraId="0FA8A2A7">
      <w:pPr>
        <w:tabs>
          <w:tab w:val="left" w:pos="6300"/>
        </w:tabs>
        <w:snapToGrid w:val="0"/>
        <w:spacing w:line="400" w:lineRule="exact"/>
        <w:ind w:firstLine="560" w:firstLineChars="200"/>
        <w:rPr>
          <w:rFonts w:ascii="宋体" w:hAnsi="宋体" w:cs="宋体"/>
          <w:szCs w:val="24"/>
        </w:rPr>
      </w:pPr>
      <w:r>
        <w:rPr>
          <w:rFonts w:hint="eastAsia" w:ascii="宋体" w:hAnsi="宋体" w:cs="宋体"/>
          <w:szCs w:val="24"/>
        </w:rPr>
        <w:br w:type="page"/>
      </w:r>
      <w:r>
        <w:rPr>
          <w:rFonts w:hint="eastAsia" w:ascii="宋体" w:hAnsi="宋体" w:cs="宋体"/>
          <w:bCs/>
          <w:sz w:val="24"/>
          <w:szCs w:val="24"/>
        </w:rPr>
        <w:t>（三）服务方案（建议根据评审因素自行编制，格式自拟）</w:t>
      </w:r>
    </w:p>
    <w:p w14:paraId="41A46788">
      <w:pPr>
        <w:pStyle w:val="3"/>
        <w:adjustRightInd w:val="0"/>
        <w:snapToGrid w:val="0"/>
        <w:spacing w:before="0" w:after="0" w:line="400" w:lineRule="exact"/>
        <w:ind w:firstLine="640" w:firstLineChars="200"/>
        <w:rPr>
          <w:rFonts w:ascii="宋体" w:hAnsi="宋体" w:eastAsia="宋体" w:cs="宋体"/>
          <w:sz w:val="24"/>
        </w:rPr>
      </w:pPr>
      <w:r>
        <w:rPr>
          <w:rFonts w:hint="eastAsia" w:ascii="宋体" w:hAnsi="宋体" w:eastAsia="宋体" w:cs="宋体"/>
          <w:b w:val="0"/>
        </w:rPr>
        <w:br w:type="page"/>
      </w:r>
      <w:bookmarkStart w:id="396" w:name="_Toc313008358"/>
      <w:bookmarkStart w:id="397" w:name="_Toc31789"/>
      <w:bookmarkStart w:id="398" w:name="_Toc18078"/>
      <w:bookmarkStart w:id="399" w:name="_Toc76462352"/>
      <w:bookmarkStart w:id="400" w:name="_Toc342913421"/>
      <w:bookmarkStart w:id="401" w:name="_Toc15184"/>
      <w:bookmarkStart w:id="402" w:name="_Toc313888362"/>
      <w:bookmarkStart w:id="403" w:name="_Toc3060"/>
      <w:bookmarkStart w:id="404" w:name="_Toc161742540"/>
      <w:r>
        <w:rPr>
          <w:rFonts w:hint="eastAsia" w:ascii="宋体" w:hAnsi="宋体" w:eastAsia="宋体" w:cs="宋体"/>
          <w:sz w:val="24"/>
        </w:rPr>
        <w:t>三、商务部分</w:t>
      </w:r>
      <w:bookmarkEnd w:id="396"/>
      <w:bookmarkEnd w:id="397"/>
      <w:bookmarkEnd w:id="398"/>
      <w:bookmarkEnd w:id="399"/>
      <w:bookmarkEnd w:id="400"/>
      <w:bookmarkEnd w:id="401"/>
      <w:bookmarkEnd w:id="402"/>
      <w:bookmarkEnd w:id="403"/>
      <w:bookmarkEnd w:id="404"/>
    </w:p>
    <w:p w14:paraId="145FC986">
      <w:pPr>
        <w:snapToGrid w:val="0"/>
        <w:spacing w:line="400" w:lineRule="exact"/>
        <w:ind w:firstLine="480" w:firstLineChars="200"/>
        <w:rPr>
          <w:rFonts w:ascii="宋体" w:hAnsi="宋体" w:cs="宋体"/>
          <w:sz w:val="24"/>
          <w:szCs w:val="24"/>
        </w:rPr>
      </w:pPr>
      <w:r>
        <w:rPr>
          <w:rFonts w:hint="eastAsia" w:ascii="宋体" w:hAnsi="宋体" w:cs="宋体"/>
          <w:bCs/>
          <w:sz w:val="24"/>
          <w:szCs w:val="24"/>
        </w:rPr>
        <w:t xml:space="preserve">（一）商务响应偏离表     </w:t>
      </w:r>
      <w:r>
        <w:rPr>
          <w:rFonts w:hint="eastAsia" w:ascii="宋体" w:hAnsi="宋体" w:cs="宋体"/>
          <w:sz w:val="24"/>
          <w:szCs w:val="24"/>
        </w:rPr>
        <w:t xml:space="preserve">                         </w:t>
      </w:r>
    </w:p>
    <w:p w14:paraId="307340D4">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项目名称：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D01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ign w:val="center"/>
          </w:tcPr>
          <w:p w14:paraId="46D60A87">
            <w:pPr>
              <w:snapToGrid w:val="0"/>
              <w:spacing w:line="360" w:lineRule="auto"/>
              <w:ind w:firstLine="465"/>
              <w:rPr>
                <w:rFonts w:ascii="宋体" w:hAnsi="宋体" w:cs="宋体"/>
                <w:sz w:val="21"/>
                <w:szCs w:val="24"/>
              </w:rPr>
            </w:pPr>
            <w:r>
              <w:rPr>
                <w:rFonts w:hint="eastAsia" w:ascii="宋体" w:hAnsi="宋体" w:cs="宋体"/>
                <w:sz w:val="21"/>
                <w:szCs w:val="24"/>
              </w:rPr>
              <w:t>序号</w:t>
            </w:r>
          </w:p>
        </w:tc>
        <w:tc>
          <w:tcPr>
            <w:tcW w:w="3179" w:type="dxa"/>
            <w:noWrap/>
            <w:vAlign w:val="center"/>
          </w:tcPr>
          <w:p w14:paraId="56E301A0">
            <w:pPr>
              <w:tabs>
                <w:tab w:val="left" w:pos="6300"/>
              </w:tabs>
              <w:snapToGrid w:val="0"/>
              <w:spacing w:line="360" w:lineRule="auto"/>
              <w:jc w:val="center"/>
              <w:outlineLvl w:val="0"/>
              <w:rPr>
                <w:rFonts w:ascii="宋体" w:hAnsi="宋体" w:cs="宋体"/>
                <w:sz w:val="21"/>
                <w:szCs w:val="24"/>
              </w:rPr>
            </w:pPr>
            <w:bookmarkStart w:id="405" w:name="_Toc29719"/>
            <w:r>
              <w:rPr>
                <w:rFonts w:hint="eastAsia" w:ascii="宋体" w:hAnsi="宋体" w:cs="宋体"/>
                <w:sz w:val="21"/>
                <w:szCs w:val="24"/>
              </w:rPr>
              <w:t>项目商务需求</w:t>
            </w:r>
            <w:bookmarkEnd w:id="405"/>
          </w:p>
        </w:tc>
        <w:tc>
          <w:tcPr>
            <w:tcW w:w="2434" w:type="dxa"/>
            <w:noWrap/>
            <w:vAlign w:val="center"/>
          </w:tcPr>
          <w:p w14:paraId="01D388A4">
            <w:pPr>
              <w:tabs>
                <w:tab w:val="left" w:pos="6300"/>
              </w:tabs>
              <w:snapToGrid w:val="0"/>
              <w:spacing w:line="360" w:lineRule="auto"/>
              <w:jc w:val="center"/>
              <w:outlineLvl w:val="0"/>
              <w:rPr>
                <w:rFonts w:ascii="宋体" w:hAnsi="宋体" w:cs="宋体"/>
                <w:sz w:val="21"/>
                <w:szCs w:val="24"/>
              </w:rPr>
            </w:pPr>
            <w:bookmarkStart w:id="406" w:name="_Toc988"/>
            <w:r>
              <w:rPr>
                <w:rFonts w:hint="eastAsia" w:ascii="宋体" w:hAnsi="宋体" w:cs="宋体"/>
                <w:sz w:val="21"/>
                <w:szCs w:val="24"/>
              </w:rPr>
              <w:t>响应情况</w:t>
            </w:r>
            <w:bookmarkEnd w:id="406"/>
          </w:p>
        </w:tc>
        <w:tc>
          <w:tcPr>
            <w:tcW w:w="2355" w:type="dxa"/>
            <w:noWrap/>
            <w:vAlign w:val="center"/>
          </w:tcPr>
          <w:p w14:paraId="7FC40221">
            <w:pPr>
              <w:tabs>
                <w:tab w:val="left" w:pos="6300"/>
              </w:tabs>
              <w:snapToGrid w:val="0"/>
              <w:spacing w:line="360" w:lineRule="auto"/>
              <w:jc w:val="center"/>
              <w:outlineLvl w:val="0"/>
              <w:rPr>
                <w:rFonts w:ascii="宋体" w:hAnsi="宋体" w:cs="宋体"/>
                <w:sz w:val="21"/>
                <w:szCs w:val="24"/>
              </w:rPr>
            </w:pPr>
            <w:bookmarkStart w:id="407" w:name="_Toc623"/>
            <w:r>
              <w:rPr>
                <w:rFonts w:hint="eastAsia" w:ascii="宋体" w:hAnsi="宋体" w:cs="宋体"/>
                <w:sz w:val="21"/>
                <w:szCs w:val="24"/>
              </w:rPr>
              <w:t>偏离说明</w:t>
            </w:r>
            <w:bookmarkEnd w:id="407"/>
          </w:p>
        </w:tc>
      </w:tr>
      <w:tr w14:paraId="78F6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7BB68C0E">
            <w:pPr>
              <w:tabs>
                <w:tab w:val="left" w:pos="6300"/>
              </w:tabs>
              <w:snapToGrid w:val="0"/>
              <w:spacing w:line="360" w:lineRule="auto"/>
              <w:jc w:val="center"/>
              <w:outlineLvl w:val="0"/>
              <w:rPr>
                <w:rFonts w:ascii="宋体" w:hAnsi="宋体" w:cs="宋体"/>
                <w:sz w:val="21"/>
                <w:szCs w:val="24"/>
              </w:rPr>
            </w:pPr>
          </w:p>
        </w:tc>
        <w:tc>
          <w:tcPr>
            <w:tcW w:w="3179" w:type="dxa"/>
            <w:noWrap/>
            <w:vAlign w:val="center"/>
          </w:tcPr>
          <w:p w14:paraId="5680A1F8">
            <w:pPr>
              <w:tabs>
                <w:tab w:val="left" w:pos="6300"/>
              </w:tabs>
              <w:snapToGrid w:val="0"/>
              <w:spacing w:line="360" w:lineRule="auto"/>
              <w:jc w:val="center"/>
              <w:outlineLvl w:val="0"/>
              <w:rPr>
                <w:rFonts w:ascii="宋体" w:hAnsi="宋体" w:cs="宋体"/>
                <w:sz w:val="21"/>
                <w:szCs w:val="24"/>
              </w:rPr>
            </w:pPr>
          </w:p>
        </w:tc>
        <w:tc>
          <w:tcPr>
            <w:tcW w:w="2434" w:type="dxa"/>
            <w:noWrap/>
            <w:vAlign w:val="center"/>
          </w:tcPr>
          <w:p w14:paraId="37768F1B">
            <w:pPr>
              <w:tabs>
                <w:tab w:val="left" w:pos="6300"/>
              </w:tabs>
              <w:snapToGrid w:val="0"/>
              <w:spacing w:line="360" w:lineRule="auto"/>
              <w:outlineLvl w:val="0"/>
              <w:rPr>
                <w:rFonts w:ascii="宋体" w:hAnsi="宋体" w:cs="宋体"/>
                <w:sz w:val="21"/>
                <w:szCs w:val="24"/>
              </w:rPr>
            </w:pPr>
          </w:p>
        </w:tc>
        <w:tc>
          <w:tcPr>
            <w:tcW w:w="2355" w:type="dxa"/>
            <w:noWrap/>
            <w:vAlign w:val="center"/>
          </w:tcPr>
          <w:p w14:paraId="52D7FA94">
            <w:pPr>
              <w:tabs>
                <w:tab w:val="left" w:pos="6300"/>
              </w:tabs>
              <w:snapToGrid w:val="0"/>
              <w:spacing w:line="360" w:lineRule="auto"/>
              <w:jc w:val="center"/>
              <w:outlineLvl w:val="0"/>
              <w:rPr>
                <w:rFonts w:ascii="宋体" w:hAnsi="宋体" w:cs="宋体"/>
                <w:sz w:val="21"/>
                <w:szCs w:val="24"/>
              </w:rPr>
            </w:pPr>
          </w:p>
        </w:tc>
      </w:tr>
      <w:tr w14:paraId="4237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3F2328C9">
            <w:pPr>
              <w:tabs>
                <w:tab w:val="left" w:pos="6300"/>
              </w:tabs>
              <w:snapToGrid w:val="0"/>
              <w:spacing w:line="360" w:lineRule="auto"/>
              <w:jc w:val="center"/>
              <w:outlineLvl w:val="0"/>
              <w:rPr>
                <w:rFonts w:ascii="宋体" w:hAnsi="宋体" w:cs="宋体"/>
                <w:sz w:val="21"/>
                <w:szCs w:val="24"/>
              </w:rPr>
            </w:pPr>
          </w:p>
        </w:tc>
        <w:tc>
          <w:tcPr>
            <w:tcW w:w="3179" w:type="dxa"/>
            <w:noWrap/>
            <w:vAlign w:val="center"/>
          </w:tcPr>
          <w:p w14:paraId="477DC474">
            <w:pPr>
              <w:tabs>
                <w:tab w:val="left" w:pos="6300"/>
              </w:tabs>
              <w:snapToGrid w:val="0"/>
              <w:spacing w:line="360" w:lineRule="auto"/>
              <w:jc w:val="center"/>
              <w:outlineLvl w:val="0"/>
              <w:rPr>
                <w:rFonts w:ascii="宋体" w:hAnsi="宋体" w:cs="宋体"/>
                <w:sz w:val="21"/>
                <w:szCs w:val="24"/>
              </w:rPr>
            </w:pPr>
          </w:p>
        </w:tc>
        <w:tc>
          <w:tcPr>
            <w:tcW w:w="2434" w:type="dxa"/>
            <w:noWrap/>
            <w:vAlign w:val="center"/>
          </w:tcPr>
          <w:p w14:paraId="26EF8A95">
            <w:pPr>
              <w:tabs>
                <w:tab w:val="left" w:pos="6300"/>
              </w:tabs>
              <w:snapToGrid w:val="0"/>
              <w:spacing w:line="360" w:lineRule="auto"/>
              <w:jc w:val="center"/>
              <w:outlineLvl w:val="0"/>
              <w:rPr>
                <w:rFonts w:ascii="宋体" w:hAnsi="宋体" w:cs="宋体"/>
                <w:sz w:val="21"/>
                <w:szCs w:val="24"/>
              </w:rPr>
            </w:pPr>
          </w:p>
        </w:tc>
        <w:tc>
          <w:tcPr>
            <w:tcW w:w="2355" w:type="dxa"/>
            <w:noWrap/>
            <w:vAlign w:val="center"/>
          </w:tcPr>
          <w:p w14:paraId="667E434E">
            <w:pPr>
              <w:tabs>
                <w:tab w:val="left" w:pos="6300"/>
              </w:tabs>
              <w:snapToGrid w:val="0"/>
              <w:spacing w:line="360" w:lineRule="auto"/>
              <w:jc w:val="center"/>
              <w:outlineLvl w:val="0"/>
              <w:rPr>
                <w:rFonts w:ascii="宋体" w:hAnsi="宋体" w:cs="宋体"/>
                <w:sz w:val="21"/>
                <w:szCs w:val="24"/>
              </w:rPr>
            </w:pPr>
          </w:p>
        </w:tc>
      </w:tr>
      <w:tr w14:paraId="6DF3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44F23BF6">
            <w:pPr>
              <w:tabs>
                <w:tab w:val="left" w:pos="6300"/>
              </w:tabs>
              <w:snapToGrid w:val="0"/>
              <w:spacing w:line="360" w:lineRule="auto"/>
              <w:jc w:val="center"/>
              <w:outlineLvl w:val="0"/>
              <w:rPr>
                <w:rFonts w:ascii="宋体" w:hAnsi="宋体" w:cs="宋体"/>
                <w:sz w:val="21"/>
                <w:szCs w:val="24"/>
              </w:rPr>
            </w:pPr>
          </w:p>
        </w:tc>
        <w:tc>
          <w:tcPr>
            <w:tcW w:w="3179" w:type="dxa"/>
            <w:noWrap/>
            <w:vAlign w:val="center"/>
          </w:tcPr>
          <w:p w14:paraId="4AA0BA45">
            <w:pPr>
              <w:tabs>
                <w:tab w:val="left" w:pos="6300"/>
              </w:tabs>
              <w:snapToGrid w:val="0"/>
              <w:spacing w:line="360" w:lineRule="auto"/>
              <w:jc w:val="center"/>
              <w:outlineLvl w:val="0"/>
              <w:rPr>
                <w:rFonts w:ascii="宋体" w:hAnsi="宋体" w:cs="宋体"/>
                <w:sz w:val="21"/>
                <w:szCs w:val="24"/>
              </w:rPr>
            </w:pPr>
          </w:p>
        </w:tc>
        <w:tc>
          <w:tcPr>
            <w:tcW w:w="2434" w:type="dxa"/>
            <w:noWrap/>
            <w:vAlign w:val="center"/>
          </w:tcPr>
          <w:p w14:paraId="1094C648">
            <w:pPr>
              <w:tabs>
                <w:tab w:val="left" w:pos="6300"/>
              </w:tabs>
              <w:snapToGrid w:val="0"/>
              <w:spacing w:line="360" w:lineRule="auto"/>
              <w:jc w:val="center"/>
              <w:outlineLvl w:val="0"/>
              <w:rPr>
                <w:rFonts w:ascii="宋体" w:hAnsi="宋体" w:cs="宋体"/>
                <w:sz w:val="21"/>
                <w:szCs w:val="24"/>
              </w:rPr>
            </w:pPr>
          </w:p>
        </w:tc>
        <w:tc>
          <w:tcPr>
            <w:tcW w:w="2355" w:type="dxa"/>
            <w:noWrap/>
            <w:vAlign w:val="center"/>
          </w:tcPr>
          <w:p w14:paraId="07BC4BD1">
            <w:pPr>
              <w:tabs>
                <w:tab w:val="left" w:pos="6300"/>
              </w:tabs>
              <w:snapToGrid w:val="0"/>
              <w:spacing w:line="360" w:lineRule="auto"/>
              <w:jc w:val="center"/>
              <w:outlineLvl w:val="0"/>
              <w:rPr>
                <w:rFonts w:ascii="宋体" w:hAnsi="宋体" w:cs="宋体"/>
                <w:sz w:val="21"/>
                <w:szCs w:val="24"/>
              </w:rPr>
            </w:pPr>
          </w:p>
        </w:tc>
      </w:tr>
      <w:tr w14:paraId="0F30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1EA986A5">
            <w:pPr>
              <w:tabs>
                <w:tab w:val="left" w:pos="6300"/>
              </w:tabs>
              <w:snapToGrid w:val="0"/>
              <w:spacing w:line="360" w:lineRule="auto"/>
              <w:jc w:val="center"/>
              <w:outlineLvl w:val="0"/>
              <w:rPr>
                <w:rFonts w:ascii="宋体" w:hAnsi="宋体" w:cs="宋体"/>
                <w:sz w:val="21"/>
                <w:szCs w:val="24"/>
              </w:rPr>
            </w:pPr>
          </w:p>
        </w:tc>
        <w:tc>
          <w:tcPr>
            <w:tcW w:w="3179" w:type="dxa"/>
            <w:noWrap/>
            <w:vAlign w:val="center"/>
          </w:tcPr>
          <w:p w14:paraId="575D563F">
            <w:pPr>
              <w:tabs>
                <w:tab w:val="left" w:pos="6300"/>
              </w:tabs>
              <w:snapToGrid w:val="0"/>
              <w:spacing w:line="360" w:lineRule="auto"/>
              <w:jc w:val="center"/>
              <w:outlineLvl w:val="0"/>
              <w:rPr>
                <w:rFonts w:ascii="宋体" w:hAnsi="宋体" w:cs="宋体"/>
                <w:sz w:val="21"/>
                <w:szCs w:val="24"/>
              </w:rPr>
            </w:pPr>
          </w:p>
        </w:tc>
        <w:tc>
          <w:tcPr>
            <w:tcW w:w="2434" w:type="dxa"/>
            <w:noWrap/>
            <w:vAlign w:val="center"/>
          </w:tcPr>
          <w:p w14:paraId="00BB8B12">
            <w:pPr>
              <w:tabs>
                <w:tab w:val="left" w:pos="6300"/>
              </w:tabs>
              <w:snapToGrid w:val="0"/>
              <w:spacing w:line="360" w:lineRule="auto"/>
              <w:jc w:val="center"/>
              <w:outlineLvl w:val="0"/>
              <w:rPr>
                <w:rFonts w:ascii="宋体" w:hAnsi="宋体" w:cs="宋体"/>
                <w:sz w:val="21"/>
                <w:szCs w:val="24"/>
              </w:rPr>
            </w:pPr>
          </w:p>
        </w:tc>
        <w:tc>
          <w:tcPr>
            <w:tcW w:w="2355" w:type="dxa"/>
            <w:noWrap/>
            <w:vAlign w:val="center"/>
          </w:tcPr>
          <w:p w14:paraId="197AD100">
            <w:pPr>
              <w:tabs>
                <w:tab w:val="left" w:pos="6300"/>
              </w:tabs>
              <w:snapToGrid w:val="0"/>
              <w:spacing w:line="360" w:lineRule="auto"/>
              <w:jc w:val="center"/>
              <w:outlineLvl w:val="0"/>
              <w:rPr>
                <w:rFonts w:ascii="宋体" w:hAnsi="宋体" w:cs="宋体"/>
                <w:sz w:val="21"/>
                <w:szCs w:val="24"/>
              </w:rPr>
            </w:pPr>
          </w:p>
        </w:tc>
      </w:tr>
      <w:tr w14:paraId="71B0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6A493E23">
            <w:pPr>
              <w:tabs>
                <w:tab w:val="left" w:pos="6300"/>
              </w:tabs>
              <w:snapToGrid w:val="0"/>
              <w:spacing w:line="360" w:lineRule="auto"/>
              <w:jc w:val="center"/>
              <w:outlineLvl w:val="0"/>
              <w:rPr>
                <w:rFonts w:ascii="宋体" w:hAnsi="宋体" w:cs="宋体"/>
                <w:sz w:val="21"/>
                <w:szCs w:val="24"/>
              </w:rPr>
            </w:pPr>
          </w:p>
        </w:tc>
        <w:tc>
          <w:tcPr>
            <w:tcW w:w="3179" w:type="dxa"/>
            <w:noWrap/>
            <w:vAlign w:val="center"/>
          </w:tcPr>
          <w:p w14:paraId="4B907B68">
            <w:pPr>
              <w:tabs>
                <w:tab w:val="left" w:pos="6300"/>
              </w:tabs>
              <w:snapToGrid w:val="0"/>
              <w:spacing w:line="360" w:lineRule="auto"/>
              <w:jc w:val="center"/>
              <w:outlineLvl w:val="0"/>
              <w:rPr>
                <w:rFonts w:ascii="宋体" w:hAnsi="宋体" w:cs="宋体"/>
                <w:sz w:val="21"/>
                <w:szCs w:val="24"/>
              </w:rPr>
            </w:pPr>
          </w:p>
        </w:tc>
        <w:tc>
          <w:tcPr>
            <w:tcW w:w="2434" w:type="dxa"/>
            <w:noWrap/>
            <w:vAlign w:val="center"/>
          </w:tcPr>
          <w:p w14:paraId="49F7BA84">
            <w:pPr>
              <w:tabs>
                <w:tab w:val="left" w:pos="6300"/>
              </w:tabs>
              <w:snapToGrid w:val="0"/>
              <w:spacing w:line="360" w:lineRule="auto"/>
              <w:jc w:val="center"/>
              <w:outlineLvl w:val="0"/>
              <w:rPr>
                <w:rFonts w:ascii="宋体" w:hAnsi="宋体" w:cs="宋体"/>
                <w:sz w:val="21"/>
                <w:szCs w:val="24"/>
              </w:rPr>
            </w:pPr>
          </w:p>
        </w:tc>
        <w:tc>
          <w:tcPr>
            <w:tcW w:w="2355" w:type="dxa"/>
            <w:noWrap/>
            <w:vAlign w:val="center"/>
          </w:tcPr>
          <w:p w14:paraId="5A6D2597">
            <w:pPr>
              <w:tabs>
                <w:tab w:val="left" w:pos="6300"/>
              </w:tabs>
              <w:snapToGrid w:val="0"/>
              <w:spacing w:line="360" w:lineRule="auto"/>
              <w:jc w:val="center"/>
              <w:outlineLvl w:val="0"/>
              <w:rPr>
                <w:rFonts w:ascii="宋体" w:hAnsi="宋体" w:cs="宋体"/>
                <w:sz w:val="21"/>
                <w:szCs w:val="24"/>
              </w:rPr>
            </w:pPr>
          </w:p>
        </w:tc>
      </w:tr>
      <w:tr w14:paraId="1CF1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77DE05F2">
            <w:pPr>
              <w:tabs>
                <w:tab w:val="left" w:pos="6300"/>
              </w:tabs>
              <w:snapToGrid w:val="0"/>
              <w:spacing w:line="360" w:lineRule="auto"/>
              <w:jc w:val="center"/>
              <w:outlineLvl w:val="0"/>
              <w:rPr>
                <w:rFonts w:ascii="宋体" w:hAnsi="宋体" w:cs="宋体"/>
                <w:sz w:val="21"/>
                <w:szCs w:val="24"/>
              </w:rPr>
            </w:pPr>
          </w:p>
        </w:tc>
        <w:tc>
          <w:tcPr>
            <w:tcW w:w="3179" w:type="dxa"/>
            <w:noWrap/>
            <w:vAlign w:val="center"/>
          </w:tcPr>
          <w:p w14:paraId="346A7A47">
            <w:pPr>
              <w:tabs>
                <w:tab w:val="left" w:pos="6300"/>
              </w:tabs>
              <w:snapToGrid w:val="0"/>
              <w:spacing w:line="360" w:lineRule="auto"/>
              <w:jc w:val="center"/>
              <w:outlineLvl w:val="0"/>
              <w:rPr>
                <w:rFonts w:ascii="宋体" w:hAnsi="宋体" w:cs="宋体"/>
                <w:sz w:val="21"/>
                <w:szCs w:val="24"/>
              </w:rPr>
            </w:pPr>
          </w:p>
        </w:tc>
        <w:tc>
          <w:tcPr>
            <w:tcW w:w="2434" w:type="dxa"/>
            <w:noWrap/>
            <w:vAlign w:val="center"/>
          </w:tcPr>
          <w:p w14:paraId="76BB5631">
            <w:pPr>
              <w:tabs>
                <w:tab w:val="left" w:pos="6300"/>
              </w:tabs>
              <w:snapToGrid w:val="0"/>
              <w:spacing w:line="360" w:lineRule="auto"/>
              <w:jc w:val="center"/>
              <w:outlineLvl w:val="0"/>
              <w:rPr>
                <w:rFonts w:ascii="宋体" w:hAnsi="宋体" w:cs="宋体"/>
                <w:sz w:val="21"/>
                <w:szCs w:val="24"/>
              </w:rPr>
            </w:pPr>
          </w:p>
        </w:tc>
        <w:tc>
          <w:tcPr>
            <w:tcW w:w="2355" w:type="dxa"/>
            <w:noWrap/>
            <w:vAlign w:val="center"/>
          </w:tcPr>
          <w:p w14:paraId="7A225BFF">
            <w:pPr>
              <w:tabs>
                <w:tab w:val="left" w:pos="6300"/>
              </w:tabs>
              <w:snapToGrid w:val="0"/>
              <w:spacing w:line="360" w:lineRule="auto"/>
              <w:jc w:val="center"/>
              <w:outlineLvl w:val="0"/>
              <w:rPr>
                <w:rFonts w:ascii="宋体" w:hAnsi="宋体" w:cs="宋体"/>
                <w:sz w:val="21"/>
                <w:szCs w:val="24"/>
              </w:rPr>
            </w:pPr>
          </w:p>
        </w:tc>
      </w:tr>
    </w:tbl>
    <w:p w14:paraId="0E67B599">
      <w:pPr>
        <w:snapToGrid w:val="0"/>
        <w:spacing w:line="360" w:lineRule="auto"/>
        <w:ind w:firstLine="465"/>
        <w:rPr>
          <w:rFonts w:ascii="宋体" w:hAnsi="宋体" w:cs="宋体"/>
          <w:sz w:val="24"/>
          <w:szCs w:val="24"/>
        </w:rPr>
      </w:pPr>
    </w:p>
    <w:p w14:paraId="3B11158A">
      <w:pPr>
        <w:spacing w:line="500" w:lineRule="exact"/>
        <w:ind w:firstLine="600" w:firstLineChars="250"/>
        <w:rPr>
          <w:rFonts w:ascii="宋体" w:hAnsi="宋体" w:cs="宋体"/>
          <w:sz w:val="24"/>
          <w:szCs w:val="28"/>
        </w:rPr>
      </w:pPr>
      <w:r>
        <w:rPr>
          <w:rFonts w:hint="eastAsia" w:ascii="宋体" w:hAnsi="宋体" w:cs="宋体"/>
          <w:sz w:val="24"/>
          <w:szCs w:val="28"/>
        </w:rPr>
        <w:t xml:space="preserve">供应商：                          </w:t>
      </w:r>
      <w:r>
        <w:rPr>
          <w:rFonts w:hint="eastAsia" w:ascii="宋体" w:hAnsi="宋体" w:cs="宋体"/>
          <w:sz w:val="24"/>
          <w:szCs w:val="24"/>
        </w:rPr>
        <w:t>法定代表人（或其授权代表）或自然人：</w:t>
      </w:r>
    </w:p>
    <w:p w14:paraId="473318DE">
      <w:pPr>
        <w:spacing w:line="500" w:lineRule="exact"/>
        <w:rPr>
          <w:rFonts w:ascii="宋体" w:hAnsi="宋体" w:cs="宋体"/>
          <w:sz w:val="24"/>
          <w:szCs w:val="28"/>
        </w:rPr>
      </w:pPr>
      <w:r>
        <w:rPr>
          <w:rFonts w:hint="eastAsia" w:ascii="宋体" w:hAnsi="宋体" w:cs="宋体"/>
          <w:sz w:val="24"/>
          <w:szCs w:val="28"/>
        </w:rPr>
        <w:t xml:space="preserve">    </w:t>
      </w:r>
    </w:p>
    <w:p w14:paraId="609FFA5C">
      <w:pPr>
        <w:spacing w:line="500" w:lineRule="exact"/>
        <w:ind w:firstLine="360" w:firstLineChars="150"/>
        <w:rPr>
          <w:rFonts w:ascii="宋体" w:hAnsi="宋体" w:cs="宋体"/>
          <w:sz w:val="24"/>
          <w:szCs w:val="28"/>
        </w:rPr>
      </w:pPr>
      <w:r>
        <w:rPr>
          <w:rFonts w:hint="eastAsia" w:ascii="宋体" w:hAnsi="宋体" w:cs="宋体"/>
          <w:sz w:val="24"/>
          <w:szCs w:val="28"/>
        </w:rPr>
        <w:t>（供应商公章）                                 （签署或盖章）</w:t>
      </w:r>
    </w:p>
    <w:p w14:paraId="61880CE0">
      <w:pPr>
        <w:tabs>
          <w:tab w:val="left" w:pos="6300"/>
        </w:tabs>
        <w:snapToGrid w:val="0"/>
        <w:spacing w:line="500" w:lineRule="exact"/>
        <w:ind w:firstLine="570"/>
        <w:rPr>
          <w:rFonts w:ascii="宋体" w:hAnsi="宋体" w:cs="宋体"/>
          <w:sz w:val="24"/>
        </w:rPr>
      </w:pPr>
      <w:r>
        <w:rPr>
          <w:rFonts w:hint="eastAsia" w:ascii="宋体" w:hAnsi="宋体" w:cs="宋体"/>
          <w:sz w:val="24"/>
          <w:szCs w:val="28"/>
        </w:rPr>
        <w:t xml:space="preserve">                                            年     月     日</w:t>
      </w:r>
    </w:p>
    <w:p w14:paraId="7A0FF832">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注：</w:t>
      </w:r>
    </w:p>
    <w:p w14:paraId="0CFA6FD0">
      <w:pPr>
        <w:tabs>
          <w:tab w:val="left" w:pos="6300"/>
        </w:tabs>
        <w:snapToGrid w:val="0"/>
        <w:spacing w:line="400" w:lineRule="exact"/>
        <w:ind w:firstLine="480" w:firstLineChars="200"/>
        <w:rPr>
          <w:rFonts w:ascii="宋体" w:hAnsi="宋体" w:cs="宋体"/>
          <w:sz w:val="24"/>
        </w:rPr>
      </w:pPr>
      <w:r>
        <w:rPr>
          <w:rFonts w:hint="eastAsia" w:ascii="宋体" w:hAnsi="宋体" w:cs="宋体"/>
          <w:sz w:val="24"/>
          <w:szCs w:val="24"/>
        </w:rPr>
        <w:t>1</w:t>
      </w:r>
      <w:r>
        <w:rPr>
          <w:rFonts w:hint="eastAsia" w:ascii="宋体" w:hAnsi="宋体" w:cs="宋体"/>
          <w:sz w:val="24"/>
        </w:rPr>
        <w:t>.</w:t>
      </w:r>
      <w:r>
        <w:rPr>
          <w:rFonts w:hint="eastAsia" w:ascii="宋体" w:hAnsi="宋体" w:cs="宋体"/>
          <w:sz w:val="24"/>
          <w:szCs w:val="24"/>
        </w:rPr>
        <w:t>本表即为对本项目“第三篇  项目商务需求”中所列条款进行比较和响应；</w:t>
      </w:r>
    </w:p>
    <w:p w14:paraId="33DE3AE2">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2.本表可扩展，并逐页签字或盖章；</w:t>
      </w:r>
    </w:p>
    <w:p w14:paraId="52A3475F">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3.该表必须按照网上竞采采购要求逐条如实填写，根据响应情况在“差异说明”项填写正偏离或负偏离及原因，完全符合的填写“无差异”。</w:t>
      </w:r>
    </w:p>
    <w:p w14:paraId="65A46A08">
      <w:pPr>
        <w:snapToGrid w:val="0"/>
        <w:spacing w:line="400" w:lineRule="exact"/>
        <w:ind w:firstLine="562" w:firstLineChars="200"/>
        <w:rPr>
          <w:rFonts w:ascii="宋体" w:hAnsi="宋体" w:cs="宋体"/>
          <w:b/>
        </w:rPr>
        <w:sectPr>
          <w:headerReference r:id="rId10" w:type="default"/>
          <w:pgSz w:w="11907" w:h="16840"/>
          <w:pgMar w:top="1134" w:right="1134" w:bottom="1134" w:left="1134" w:header="851" w:footer="992" w:gutter="0"/>
          <w:pgNumType w:fmt="numberInDash"/>
          <w:cols w:space="720" w:num="1"/>
          <w:docGrid w:linePitch="380" w:charSpace="-5735"/>
        </w:sectPr>
      </w:pPr>
    </w:p>
    <w:p w14:paraId="14EA558A">
      <w:pPr>
        <w:snapToGrid w:val="0"/>
        <w:spacing w:line="400" w:lineRule="exact"/>
        <w:ind w:firstLine="480" w:firstLineChars="200"/>
        <w:rPr>
          <w:rFonts w:ascii="宋体" w:hAnsi="宋体" w:cs="宋体"/>
          <w:bCs/>
          <w:sz w:val="24"/>
          <w:szCs w:val="24"/>
        </w:rPr>
      </w:pPr>
      <w:bookmarkStart w:id="408" w:name="_Toc283382459"/>
      <w:r>
        <w:rPr>
          <w:rFonts w:hint="eastAsia" w:ascii="宋体" w:hAnsi="宋体" w:cs="宋体"/>
          <w:bCs/>
          <w:sz w:val="24"/>
          <w:szCs w:val="24"/>
        </w:rPr>
        <w:t>（二）其它商务评分证明材料及优惠承诺（如有，格式自定）</w:t>
      </w:r>
    </w:p>
    <w:p w14:paraId="78E62EDE">
      <w:pPr>
        <w:snapToGrid w:val="0"/>
        <w:spacing w:line="400" w:lineRule="exact"/>
        <w:ind w:firstLine="480" w:firstLineChars="200"/>
        <w:rPr>
          <w:rFonts w:ascii="宋体" w:hAnsi="宋体" w:cs="宋体"/>
          <w:sz w:val="24"/>
          <w:szCs w:val="24"/>
        </w:rPr>
      </w:pPr>
    </w:p>
    <w:p w14:paraId="00C4A8A8">
      <w:pPr>
        <w:pStyle w:val="3"/>
        <w:adjustRightInd w:val="0"/>
        <w:snapToGrid w:val="0"/>
        <w:spacing w:before="0" w:after="0" w:line="400" w:lineRule="exact"/>
        <w:ind w:firstLine="482" w:firstLineChars="200"/>
        <w:rPr>
          <w:rFonts w:ascii="宋体" w:hAnsi="宋体" w:eastAsia="宋体" w:cs="宋体"/>
          <w:sz w:val="24"/>
        </w:rPr>
      </w:pPr>
      <w:r>
        <w:rPr>
          <w:rFonts w:hint="eastAsia" w:ascii="宋体" w:hAnsi="宋体" w:eastAsia="宋体" w:cs="宋体"/>
          <w:sz w:val="24"/>
          <w:szCs w:val="24"/>
        </w:rPr>
        <w:br w:type="page"/>
      </w:r>
      <w:bookmarkEnd w:id="408"/>
      <w:bookmarkStart w:id="409" w:name="_Toc9494"/>
      <w:bookmarkStart w:id="410" w:name="_Toc342913422"/>
      <w:bookmarkStart w:id="411" w:name="_Toc10684"/>
      <w:bookmarkStart w:id="412" w:name="_Toc12316"/>
      <w:bookmarkStart w:id="413" w:name="_Toc313888363"/>
      <w:bookmarkStart w:id="414" w:name="_Toc76462353"/>
      <w:bookmarkStart w:id="415" w:name="_Toc161742541"/>
      <w:bookmarkStart w:id="416" w:name="_Toc23021"/>
      <w:bookmarkStart w:id="417" w:name="_Toc313008359"/>
      <w:r>
        <w:rPr>
          <w:rFonts w:hint="eastAsia" w:ascii="宋体" w:hAnsi="宋体" w:eastAsia="宋体" w:cs="宋体"/>
          <w:sz w:val="24"/>
        </w:rPr>
        <w:t>四、资格条件</w:t>
      </w:r>
      <w:bookmarkEnd w:id="409"/>
      <w:bookmarkEnd w:id="410"/>
      <w:bookmarkEnd w:id="411"/>
      <w:bookmarkEnd w:id="412"/>
      <w:bookmarkEnd w:id="413"/>
      <w:bookmarkEnd w:id="414"/>
      <w:bookmarkEnd w:id="415"/>
      <w:bookmarkEnd w:id="416"/>
      <w:bookmarkEnd w:id="417"/>
    </w:p>
    <w:p w14:paraId="6C5997E2">
      <w:pPr>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（一）法人营业执照（副本）或事业单位法人证书（副本）或个体工商户营业执照或有效的自然人身份证明或社会团体法人登记证书复印件</w:t>
      </w:r>
    </w:p>
    <w:p w14:paraId="3FFCAF8F">
      <w:pPr>
        <w:snapToGrid w:val="0"/>
        <w:spacing w:line="400" w:lineRule="exact"/>
        <w:ind w:firstLine="560" w:firstLineChars="200"/>
        <w:rPr>
          <w:rFonts w:ascii="宋体" w:hAnsi="宋体" w:cs="宋体"/>
          <w:sz w:val="24"/>
          <w:szCs w:val="24"/>
        </w:rPr>
      </w:pPr>
      <w:r>
        <w:rPr>
          <w:rFonts w:hint="eastAsia" w:ascii="宋体" w:hAnsi="宋体" w:cs="宋体"/>
        </w:rPr>
        <w:br w:type="page"/>
      </w:r>
      <w:r>
        <w:rPr>
          <w:rFonts w:hint="eastAsia" w:ascii="宋体" w:hAnsi="宋体" w:cs="宋体"/>
          <w:bCs/>
          <w:sz w:val="24"/>
          <w:szCs w:val="24"/>
        </w:rPr>
        <w:t>（二）法定代表人身份证明书（格式）</w:t>
      </w:r>
    </w:p>
    <w:p w14:paraId="7085BF33">
      <w:pPr>
        <w:tabs>
          <w:tab w:val="left" w:pos="6300"/>
        </w:tabs>
        <w:snapToGrid w:val="0"/>
        <w:spacing w:line="500" w:lineRule="exact"/>
        <w:ind w:firstLine="570"/>
        <w:rPr>
          <w:rFonts w:ascii="宋体" w:hAnsi="宋体" w:cs="宋体"/>
          <w:sz w:val="24"/>
        </w:rPr>
      </w:pPr>
    </w:p>
    <w:p w14:paraId="238B3686">
      <w:pPr>
        <w:tabs>
          <w:tab w:val="left" w:pos="6300"/>
        </w:tabs>
        <w:snapToGrid w:val="0"/>
        <w:spacing w:line="500" w:lineRule="exact"/>
        <w:ind w:firstLine="57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060B8165">
      <w:pPr>
        <w:tabs>
          <w:tab w:val="left" w:pos="6300"/>
        </w:tabs>
        <w:snapToGrid w:val="0"/>
        <w:spacing w:line="500" w:lineRule="exact"/>
        <w:ind w:firstLine="570"/>
        <w:rPr>
          <w:rFonts w:ascii="宋体" w:hAnsi="宋体" w:cs="宋体"/>
          <w:sz w:val="24"/>
        </w:rPr>
      </w:pPr>
    </w:p>
    <w:p w14:paraId="6FCB97AB">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w:t>
      </w:r>
    </w:p>
    <w:p w14:paraId="1671E0F1">
      <w:pPr>
        <w:tabs>
          <w:tab w:val="left" w:pos="6300"/>
        </w:tabs>
        <w:snapToGrid w:val="0"/>
        <w:spacing w:line="500" w:lineRule="exact"/>
        <w:ind w:firstLine="570"/>
        <w:rPr>
          <w:rFonts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14:paraId="6B406128">
      <w:pPr>
        <w:tabs>
          <w:tab w:val="left" w:pos="6300"/>
        </w:tabs>
        <w:snapToGrid w:val="0"/>
        <w:spacing w:line="500" w:lineRule="exact"/>
        <w:ind w:firstLine="570"/>
        <w:rPr>
          <w:rFonts w:ascii="宋体" w:hAnsi="宋体" w:cs="宋体"/>
          <w:sz w:val="24"/>
        </w:rPr>
      </w:pPr>
    </w:p>
    <w:p w14:paraId="11CD8370">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20E6C9A0">
      <w:pPr>
        <w:tabs>
          <w:tab w:val="left" w:pos="6300"/>
        </w:tabs>
        <w:snapToGrid w:val="0"/>
        <w:spacing w:line="500" w:lineRule="exact"/>
        <w:ind w:firstLine="570"/>
        <w:rPr>
          <w:rFonts w:ascii="宋体" w:hAnsi="宋体" w:cs="宋体"/>
          <w:sz w:val="24"/>
        </w:rPr>
      </w:pPr>
    </w:p>
    <w:p w14:paraId="69FA6FB1">
      <w:pPr>
        <w:tabs>
          <w:tab w:val="left" w:pos="6300"/>
        </w:tabs>
        <w:snapToGrid w:val="0"/>
        <w:spacing w:line="500" w:lineRule="exact"/>
        <w:ind w:firstLine="570"/>
        <w:rPr>
          <w:rFonts w:ascii="宋体" w:hAnsi="宋体" w:cs="宋体"/>
          <w:sz w:val="24"/>
        </w:rPr>
      </w:pPr>
    </w:p>
    <w:p w14:paraId="233D57FB">
      <w:pPr>
        <w:tabs>
          <w:tab w:val="left" w:pos="6300"/>
        </w:tabs>
        <w:snapToGrid w:val="0"/>
        <w:spacing w:line="500" w:lineRule="exact"/>
        <w:ind w:firstLine="570"/>
        <w:rPr>
          <w:rFonts w:ascii="宋体" w:hAnsi="宋体" w:cs="宋体"/>
          <w:sz w:val="24"/>
        </w:rPr>
      </w:pPr>
    </w:p>
    <w:p w14:paraId="0295E8B0">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（供应商公章）</w:t>
      </w:r>
    </w:p>
    <w:p w14:paraId="5EFA572F">
      <w:pPr>
        <w:tabs>
          <w:tab w:val="left" w:pos="6300"/>
        </w:tabs>
        <w:snapToGrid w:val="0"/>
        <w:spacing w:line="500" w:lineRule="exact"/>
        <w:ind w:firstLine="570"/>
        <w:rPr>
          <w:rFonts w:ascii="宋体" w:hAnsi="宋体" w:cs="宋体"/>
          <w:sz w:val="24"/>
        </w:rPr>
      </w:pPr>
    </w:p>
    <w:p w14:paraId="74019C70">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14:paraId="2AD448E8">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      电子邮箱：XXXXXX@XXXXX（若授权他人办理并签署响应文件的可不填写）</w:t>
      </w:r>
    </w:p>
    <w:p w14:paraId="38B22788">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410C513F">
      <w:pPr>
        <w:snapToGrid w:val="0"/>
        <w:spacing w:line="400" w:lineRule="exact"/>
        <w:ind w:firstLine="480" w:firstLineChars="200"/>
        <w:rPr>
          <w:rFonts w:ascii="宋体" w:hAnsi="宋体" w:cs="宋体"/>
          <w:sz w:val="24"/>
          <w:szCs w:val="24"/>
        </w:rPr>
      </w:pPr>
      <w:r>
        <w:rPr>
          <w:rFonts w:hint="eastAsia" w:ascii="宋体" w:hAnsi="宋体" w:cs="宋体"/>
          <w:sz w:val="24"/>
        </w:rPr>
        <w:br w:type="page"/>
      </w:r>
      <w:r>
        <w:rPr>
          <w:rFonts w:hint="eastAsia" w:ascii="宋体" w:hAnsi="宋体" w:cs="宋体"/>
          <w:bCs/>
          <w:sz w:val="24"/>
          <w:szCs w:val="24"/>
        </w:rPr>
        <w:t>（三）法定代表人授权委托书（格式）</w:t>
      </w:r>
    </w:p>
    <w:p w14:paraId="15B298D0">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7ECCE702">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rPr>
        <w:t>项目名称</w:t>
      </w:r>
      <w:r>
        <w:rPr>
          <w:rFonts w:hint="eastAsia" w:ascii="宋体" w:hAnsi="宋体" w:cs="宋体"/>
          <w:sz w:val="24"/>
        </w:rPr>
        <w:t>：</w:t>
      </w:r>
      <w:r>
        <w:rPr>
          <w:rFonts w:hint="eastAsia" w:ascii="宋体" w:hAnsi="宋体" w:cs="宋体"/>
          <w:sz w:val="24"/>
          <w:u w:val="single"/>
        </w:rPr>
        <w:t xml:space="preserve">                                                </w:t>
      </w:r>
    </w:p>
    <w:p w14:paraId="70F9A321">
      <w:pPr>
        <w:tabs>
          <w:tab w:val="left" w:pos="6300"/>
        </w:tabs>
        <w:snapToGrid w:val="0"/>
        <w:spacing w:line="500" w:lineRule="exact"/>
        <w:ind w:firstLine="570"/>
        <w:rPr>
          <w:rFonts w:ascii="宋体" w:hAnsi="宋体" w:cs="宋体"/>
          <w:sz w:val="24"/>
        </w:rPr>
      </w:pPr>
    </w:p>
    <w:p w14:paraId="2DA72E60">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w:t>
      </w:r>
    </w:p>
    <w:p w14:paraId="3B7E9C8C">
      <w:pPr>
        <w:tabs>
          <w:tab w:val="left" w:pos="6300"/>
        </w:tabs>
        <w:snapToGrid w:val="0"/>
        <w:spacing w:line="500" w:lineRule="exact"/>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（被授权人姓名及身份证代码）代表我单位全权办理上述项目的网上竞采、签约等具体工作，并签署全部有关文件、协议及合同。</w:t>
      </w:r>
    </w:p>
    <w:p w14:paraId="3AE68550">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14:paraId="314195EC">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14:paraId="6BCA5413">
      <w:pPr>
        <w:tabs>
          <w:tab w:val="left" w:pos="6300"/>
        </w:tabs>
        <w:snapToGrid w:val="0"/>
        <w:spacing w:line="500" w:lineRule="exact"/>
        <w:ind w:firstLine="570"/>
        <w:rPr>
          <w:rFonts w:ascii="宋体" w:hAnsi="宋体" w:cs="宋体"/>
          <w:sz w:val="24"/>
        </w:rPr>
      </w:pPr>
    </w:p>
    <w:p w14:paraId="73C32E3B">
      <w:pPr>
        <w:tabs>
          <w:tab w:val="left" w:pos="6300"/>
        </w:tabs>
        <w:snapToGrid w:val="0"/>
        <w:spacing w:line="500" w:lineRule="exact"/>
        <w:ind w:firstLine="570"/>
        <w:rPr>
          <w:rFonts w:ascii="宋体" w:hAnsi="宋体" w:cs="宋体"/>
          <w:sz w:val="24"/>
        </w:rPr>
      </w:pPr>
    </w:p>
    <w:p w14:paraId="69DC4AAB">
      <w:pPr>
        <w:tabs>
          <w:tab w:val="left" w:pos="6300"/>
        </w:tabs>
        <w:snapToGrid w:val="0"/>
        <w:spacing w:line="500" w:lineRule="exact"/>
        <w:ind w:firstLine="570"/>
        <w:rPr>
          <w:rFonts w:ascii="宋体" w:hAnsi="宋体" w:cs="宋体"/>
          <w:sz w:val="24"/>
        </w:rPr>
      </w:pPr>
      <w:r>
        <w:rPr>
          <w:rFonts w:hint="eastAsia" w:ascii="宋体" w:hAnsi="宋体" w:cs="宋体"/>
          <w:sz w:val="24"/>
        </w:rPr>
        <w:t>被授权人：                                 供应商法定代表人：</w:t>
      </w:r>
    </w:p>
    <w:p w14:paraId="77CB3E7E">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（签署或盖章）                                （签署或盖章）</w:t>
      </w:r>
    </w:p>
    <w:p w14:paraId="5691CC6F">
      <w:pPr>
        <w:tabs>
          <w:tab w:val="left" w:pos="6300"/>
        </w:tabs>
        <w:snapToGrid w:val="0"/>
        <w:spacing w:line="500" w:lineRule="exact"/>
        <w:ind w:firstLine="570"/>
        <w:rPr>
          <w:rFonts w:ascii="宋体" w:hAnsi="宋体" w:cs="宋体"/>
          <w:sz w:val="24"/>
          <w:szCs w:val="28"/>
        </w:rPr>
      </w:pPr>
    </w:p>
    <w:p w14:paraId="18FCF3CD">
      <w:pPr>
        <w:tabs>
          <w:tab w:val="left" w:pos="6300"/>
        </w:tabs>
        <w:snapToGrid w:val="0"/>
        <w:spacing w:line="500" w:lineRule="exact"/>
        <w:ind w:firstLine="570"/>
        <w:rPr>
          <w:rFonts w:ascii="宋体" w:hAnsi="宋体" w:cs="宋体"/>
          <w:sz w:val="24"/>
        </w:rPr>
      </w:pPr>
    </w:p>
    <w:p w14:paraId="168E8061">
      <w:pPr>
        <w:tabs>
          <w:tab w:val="left" w:pos="6300"/>
        </w:tabs>
        <w:snapToGrid w:val="0"/>
        <w:spacing w:line="500" w:lineRule="exact"/>
        <w:ind w:firstLine="570"/>
        <w:rPr>
          <w:rFonts w:ascii="宋体" w:hAnsi="宋体" w:cs="宋体"/>
          <w:sz w:val="24"/>
        </w:rPr>
      </w:pPr>
      <w:r>
        <w:rPr>
          <w:rFonts w:hint="eastAsia" w:ascii="宋体" w:hAnsi="宋体" w:cs="宋体"/>
          <w:sz w:val="24"/>
        </w:rPr>
        <w:t>（附：被授权人身份证正反面复印件）</w:t>
      </w:r>
    </w:p>
    <w:p w14:paraId="6C6FFCAF">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51EA440A">
      <w:pPr>
        <w:tabs>
          <w:tab w:val="left" w:pos="6300"/>
        </w:tabs>
        <w:snapToGrid w:val="0"/>
        <w:spacing w:line="500" w:lineRule="exact"/>
        <w:ind w:firstLine="570"/>
        <w:rPr>
          <w:rFonts w:ascii="宋体" w:hAnsi="宋体" w:cs="宋体"/>
          <w:sz w:val="24"/>
        </w:rPr>
      </w:pPr>
    </w:p>
    <w:p w14:paraId="2EA2AFAB">
      <w:pPr>
        <w:tabs>
          <w:tab w:val="left" w:pos="6300"/>
        </w:tabs>
        <w:snapToGrid w:val="0"/>
        <w:spacing w:line="500" w:lineRule="exact"/>
        <w:ind w:firstLine="570"/>
        <w:rPr>
          <w:rFonts w:ascii="宋体" w:hAnsi="宋体" w:cs="宋体"/>
          <w:sz w:val="24"/>
        </w:rPr>
      </w:pPr>
    </w:p>
    <w:p w14:paraId="03F98C50">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（供应商公章）</w:t>
      </w:r>
    </w:p>
    <w:p w14:paraId="0E31C5F0">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   月   日</w:t>
      </w:r>
    </w:p>
    <w:p w14:paraId="5F4949F3">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被授权人电话：XXXXXXX     电子邮箱：XXXXXX@XXXXX（若法定代表人办理并签署响应文件的可不填写）</w:t>
      </w:r>
    </w:p>
    <w:p w14:paraId="00845380">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注：若为法定代表人办理并签署响应文件的，不提供此文件。</w:t>
      </w:r>
    </w:p>
    <w:p w14:paraId="521BBDF9">
      <w:pPr>
        <w:snapToGrid w:val="0"/>
        <w:spacing w:line="400" w:lineRule="exact"/>
        <w:ind w:firstLine="560" w:firstLineChars="200"/>
        <w:rPr>
          <w:rFonts w:ascii="宋体" w:hAnsi="宋体" w:cs="宋体"/>
          <w:sz w:val="24"/>
          <w:szCs w:val="24"/>
        </w:rPr>
      </w:pPr>
      <w:r>
        <w:rPr>
          <w:rFonts w:hint="eastAsia" w:ascii="宋体" w:hAnsi="宋体" w:cs="宋体"/>
        </w:rPr>
        <w:br w:type="column"/>
      </w:r>
      <w:r>
        <w:rPr>
          <w:rFonts w:hint="eastAsia" w:ascii="宋体" w:hAnsi="宋体" w:cs="宋体"/>
          <w:bCs/>
          <w:sz w:val="24"/>
          <w:szCs w:val="24"/>
        </w:rPr>
        <w:t>（四）基本资格条件承诺函</w:t>
      </w:r>
    </w:p>
    <w:p w14:paraId="48FCFBFC">
      <w:pPr>
        <w:tabs>
          <w:tab w:val="left" w:pos="6300"/>
        </w:tabs>
        <w:snapToGrid w:val="0"/>
        <w:spacing w:line="500" w:lineRule="exact"/>
        <w:ind w:firstLine="643" w:firstLineChars="200"/>
        <w:jc w:val="center"/>
        <w:rPr>
          <w:rFonts w:ascii="宋体" w:hAnsi="宋体" w:cs="宋体"/>
          <w:b/>
          <w:bCs/>
          <w:sz w:val="32"/>
          <w:szCs w:val="32"/>
        </w:rPr>
      </w:pPr>
      <w:r>
        <w:rPr>
          <w:rFonts w:hint="eastAsia" w:ascii="宋体" w:hAnsi="宋体" w:cs="宋体"/>
          <w:b/>
          <w:bCs/>
          <w:sz w:val="32"/>
          <w:szCs w:val="32"/>
        </w:rPr>
        <w:t>基本资格条件承诺函</w:t>
      </w:r>
    </w:p>
    <w:p w14:paraId="27D5842F">
      <w:pPr>
        <w:tabs>
          <w:tab w:val="left" w:pos="6300"/>
        </w:tabs>
        <w:snapToGrid w:val="0"/>
        <w:spacing w:line="530" w:lineRule="exact"/>
        <w:rPr>
          <w:rFonts w:ascii="宋体" w:hAnsi="宋体" w:cs="宋体"/>
          <w:sz w:val="24"/>
        </w:rPr>
      </w:pPr>
    </w:p>
    <w:p w14:paraId="3340B6C8">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w:t>
      </w:r>
    </w:p>
    <w:p w14:paraId="17211B41">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（供应商名称）郑重承诺：</w:t>
      </w:r>
    </w:p>
    <w:p w14:paraId="33893303">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1.我方具有良好的商业信誉和健全的财务会计制度，具有履行合同所必需的设备和专业技术能力，具</w:t>
      </w:r>
      <w:r>
        <w:rPr>
          <w:rFonts w:hint="eastAsia" w:ascii="宋体" w:hAnsi="宋体" w:cs="宋体"/>
          <w:sz w:val="24"/>
          <w:lang w:val="zh-CN"/>
        </w:rPr>
        <w:t>有依法缴纳税收和社会保障金的良好记录</w:t>
      </w:r>
      <w:r>
        <w:rPr>
          <w:rFonts w:hint="eastAsia" w:ascii="宋体" w:hAnsi="宋体" w:cs="宋体"/>
          <w:sz w:val="24"/>
        </w:rPr>
        <w:t>，参加本项目采购活动前三年内无重大违法活动记录。</w:t>
      </w:r>
    </w:p>
    <w:p w14:paraId="72D2D9D6">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2.我方未</w:t>
      </w:r>
      <w:r>
        <w:rPr>
          <w:rFonts w:hint="eastAsia" w:ascii="宋体" w:hAnsi="宋体" w:cs="宋体"/>
          <w:sz w:val="24"/>
          <w:lang w:eastAsia="zh-CN"/>
        </w:rPr>
        <w:t>列入</w:t>
      </w:r>
      <w:r>
        <w:rPr>
          <w:rFonts w:hint="eastAsia" w:ascii="宋体" w:hAnsi="宋体" w:cs="宋体"/>
          <w:sz w:val="24"/>
        </w:rPr>
        <w:t>信用中国网站（www.creditchina.gov.cn）“失信被执行人</w:t>
      </w:r>
      <w:r>
        <w:rPr>
          <w:rFonts w:hint="eastAsia" w:ascii="宋体" w:hAnsi="宋体" w:cs="宋体"/>
          <w:sz w:val="24"/>
          <w:lang w:eastAsia="zh-CN"/>
        </w:rPr>
        <w:t>”“</w:t>
      </w:r>
      <w:r>
        <w:rPr>
          <w:rFonts w:hint="eastAsia" w:ascii="宋体" w:hAnsi="宋体" w:cs="宋体"/>
          <w:sz w:val="24"/>
        </w:rPr>
        <w:t>重大税收违法案件当事人名单”中，也未列入中国政府采购网（www.ccgp.gov.cn）“政府采购严重违法失信行为记录名单”中。</w:t>
      </w:r>
    </w:p>
    <w:p w14:paraId="23AFC117">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3.我方在采购项目评审（评标）环节结束后，随时接受采购人、采购代理机构的检查验证，配合提供相关证明材料，证明符合《中华人民共和国政府采购法》规定的供应商基本资格条件。</w:t>
      </w:r>
    </w:p>
    <w:p w14:paraId="0C89DC74">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我方对以上承诺负全部法律责任。</w:t>
      </w:r>
    </w:p>
    <w:p w14:paraId="7FBF4B6D">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特此承诺。</w:t>
      </w:r>
    </w:p>
    <w:p w14:paraId="422B6C71">
      <w:pPr>
        <w:tabs>
          <w:tab w:val="left" w:pos="6300"/>
        </w:tabs>
        <w:snapToGrid w:val="0"/>
        <w:spacing w:line="500" w:lineRule="exact"/>
        <w:ind w:firstLine="480" w:firstLineChars="200"/>
        <w:rPr>
          <w:rFonts w:ascii="宋体" w:hAnsi="宋体" w:cs="宋体"/>
          <w:sz w:val="24"/>
        </w:rPr>
      </w:pPr>
    </w:p>
    <w:p w14:paraId="259F422F">
      <w:pPr>
        <w:tabs>
          <w:tab w:val="left" w:pos="6300"/>
        </w:tabs>
        <w:snapToGrid w:val="0"/>
        <w:spacing w:line="500" w:lineRule="exact"/>
        <w:ind w:firstLine="480" w:firstLineChars="200"/>
        <w:jc w:val="right"/>
        <w:rPr>
          <w:rFonts w:ascii="宋体" w:hAnsi="宋体" w:cs="宋体"/>
          <w:sz w:val="24"/>
        </w:rPr>
      </w:pPr>
      <w:r>
        <w:rPr>
          <w:rFonts w:hint="eastAsia" w:ascii="宋体" w:hAnsi="宋体" w:cs="宋体"/>
          <w:sz w:val="24"/>
        </w:rPr>
        <w:t>（供应商公章）</w:t>
      </w:r>
    </w:p>
    <w:p w14:paraId="6DA264B0">
      <w:pPr>
        <w:tabs>
          <w:tab w:val="left" w:pos="6300"/>
        </w:tabs>
        <w:snapToGrid w:val="0"/>
        <w:spacing w:line="500" w:lineRule="exact"/>
        <w:ind w:firstLine="7920" w:firstLineChars="3300"/>
        <w:rPr>
          <w:rFonts w:ascii="宋体" w:hAnsi="宋体" w:cs="宋体"/>
          <w:sz w:val="24"/>
          <w:szCs w:val="24"/>
        </w:rPr>
      </w:pPr>
      <w:r>
        <w:rPr>
          <w:rFonts w:hint="eastAsia" w:ascii="宋体" w:hAnsi="宋体" w:cs="宋体"/>
          <w:sz w:val="24"/>
        </w:rPr>
        <w:t>年   月   日</w:t>
      </w:r>
    </w:p>
    <w:p w14:paraId="6CB85C71">
      <w:pPr>
        <w:snapToGrid w:val="0"/>
        <w:spacing w:line="400" w:lineRule="exact"/>
        <w:ind w:firstLine="560" w:firstLineChars="200"/>
        <w:rPr>
          <w:rFonts w:ascii="宋体" w:hAnsi="宋体" w:cs="宋体"/>
          <w:sz w:val="24"/>
          <w:szCs w:val="24"/>
        </w:rPr>
      </w:pPr>
      <w:r>
        <w:rPr>
          <w:rFonts w:hint="eastAsia" w:ascii="宋体" w:hAnsi="宋体" w:cs="宋体"/>
        </w:rPr>
        <w:br w:type="page"/>
      </w:r>
      <w:r>
        <w:rPr>
          <w:rFonts w:hint="eastAsia" w:ascii="宋体" w:hAnsi="宋体" w:cs="宋体"/>
          <w:bCs/>
          <w:sz w:val="24"/>
          <w:szCs w:val="24"/>
        </w:rPr>
        <w:t>（五）特定资格条件证明文件</w:t>
      </w:r>
    </w:p>
    <w:p w14:paraId="0C8D5B0F">
      <w:pPr>
        <w:pStyle w:val="3"/>
        <w:adjustRightInd w:val="0"/>
        <w:snapToGrid w:val="0"/>
        <w:spacing w:before="0" w:after="0" w:line="400" w:lineRule="exact"/>
        <w:ind w:firstLine="480" w:firstLineChars="200"/>
        <w:rPr>
          <w:rFonts w:ascii="宋体" w:hAnsi="宋体" w:eastAsia="宋体" w:cs="宋体"/>
          <w:sz w:val="24"/>
        </w:rPr>
      </w:pPr>
      <w:bookmarkStart w:id="418" w:name="_Toc18467"/>
      <w:bookmarkStart w:id="419" w:name="_Toc712"/>
      <w:bookmarkStart w:id="420" w:name="_Toc76462354"/>
      <w:bookmarkStart w:id="421" w:name="_Toc14422"/>
      <w:bookmarkStart w:id="422" w:name="_Toc22010"/>
      <w:bookmarkStart w:id="423" w:name="_Toc161742542"/>
      <w:r>
        <w:rPr>
          <w:rFonts w:hint="eastAsia" w:ascii="宋体" w:hAnsi="宋体" w:eastAsia="宋体" w:cs="宋体"/>
          <w:b w:val="0"/>
          <w:sz w:val="24"/>
          <w:szCs w:val="24"/>
        </w:rPr>
        <w:br w:type="page"/>
      </w:r>
      <w:bookmarkStart w:id="424" w:name="_Toc1206"/>
      <w:r>
        <w:rPr>
          <w:rFonts w:hint="eastAsia" w:ascii="宋体" w:hAnsi="宋体" w:eastAsia="宋体" w:cs="宋体"/>
          <w:sz w:val="24"/>
        </w:rPr>
        <w:t>五、</w:t>
      </w:r>
      <w:r>
        <w:rPr>
          <w:rFonts w:hint="eastAsia" w:ascii="宋体" w:hAnsi="宋体" w:eastAsia="宋体" w:cs="宋体"/>
          <w:sz w:val="24"/>
          <w:szCs w:val="24"/>
        </w:rPr>
        <w:t>其他与项目有关的资料</w:t>
      </w:r>
      <w:bookmarkEnd w:id="418"/>
      <w:bookmarkEnd w:id="419"/>
      <w:bookmarkEnd w:id="420"/>
      <w:bookmarkEnd w:id="421"/>
      <w:bookmarkEnd w:id="422"/>
      <w:bookmarkEnd w:id="423"/>
      <w:bookmarkEnd w:id="424"/>
    </w:p>
    <w:p w14:paraId="0EA0A980">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（一）其他资料</w:t>
      </w:r>
    </w:p>
    <w:p w14:paraId="2506FF78">
      <w:pPr>
        <w:tabs>
          <w:tab w:val="left" w:pos="6300"/>
        </w:tabs>
        <w:snapToGrid w:val="0"/>
        <w:spacing w:line="500" w:lineRule="exact"/>
        <w:ind w:firstLine="480" w:firstLineChars="200"/>
        <w:rPr>
          <w:rFonts w:ascii="宋体" w:hAnsi="宋体" w:cs="宋体"/>
          <w:sz w:val="24"/>
        </w:rPr>
      </w:pPr>
      <w:r>
        <w:rPr>
          <w:rFonts w:hint="eastAsia" w:ascii="宋体" w:hAnsi="宋体" w:cs="宋体"/>
          <w:sz w:val="24"/>
          <w:lang w:eastAsia="zh-CN"/>
        </w:rPr>
        <w:t>1.</w:t>
      </w:r>
      <w:r>
        <w:rPr>
          <w:rFonts w:hint="eastAsia" w:ascii="宋体" w:hAnsi="宋体" w:cs="宋体"/>
          <w:sz w:val="24"/>
        </w:rPr>
        <w:t>其他与项目有关的资料（自附）：供应商总体情况介绍、其他与本项目有关的资料等。</w:t>
      </w:r>
    </w:p>
    <w:p w14:paraId="50F02D4B">
      <w:pPr>
        <w:tabs>
          <w:tab w:val="left" w:pos="6300"/>
        </w:tabs>
        <w:snapToGrid w:val="0"/>
        <w:spacing w:line="500" w:lineRule="exact"/>
        <w:jc w:val="center"/>
        <w:rPr>
          <w:rFonts w:ascii="宋体" w:hAnsi="宋体" w:cs="宋体"/>
        </w:rPr>
      </w:pPr>
    </w:p>
    <w:p w14:paraId="5B253088">
      <w:pPr>
        <w:tabs>
          <w:tab w:val="left" w:pos="6300"/>
        </w:tabs>
        <w:snapToGrid w:val="0"/>
        <w:spacing w:line="500" w:lineRule="exact"/>
        <w:jc w:val="center"/>
        <w:rPr>
          <w:rFonts w:ascii="宋体" w:hAnsi="宋体" w:cs="宋体"/>
        </w:rPr>
      </w:pPr>
    </w:p>
    <w:p w14:paraId="37C7DCF4">
      <w:pPr>
        <w:pStyle w:val="10"/>
        <w:rPr>
          <w:rFonts w:ascii="宋体" w:hAnsi="宋体" w:cs="宋体"/>
        </w:rPr>
      </w:pPr>
    </w:p>
    <w:p w14:paraId="7E37D468">
      <w:pPr>
        <w:rPr>
          <w:rFonts w:ascii="宋体" w:hAnsi="宋体" w:cs="宋体"/>
        </w:rPr>
      </w:pPr>
    </w:p>
    <w:p w14:paraId="19013645">
      <w:pPr>
        <w:pStyle w:val="10"/>
        <w:rPr>
          <w:rFonts w:ascii="宋体" w:hAnsi="宋体" w:cs="宋体"/>
        </w:rPr>
      </w:pPr>
    </w:p>
    <w:p w14:paraId="22292CF1">
      <w:pPr>
        <w:rPr>
          <w:rFonts w:ascii="宋体" w:hAnsi="宋体" w:cs="宋体"/>
        </w:rPr>
      </w:pPr>
    </w:p>
    <w:p w14:paraId="4BD4B4C2">
      <w:pPr>
        <w:pStyle w:val="10"/>
        <w:rPr>
          <w:rFonts w:ascii="宋体" w:hAnsi="宋体" w:cs="宋体"/>
        </w:rPr>
      </w:pPr>
    </w:p>
    <w:p w14:paraId="13EA3B2B">
      <w:pPr>
        <w:rPr>
          <w:rFonts w:ascii="宋体" w:hAnsi="宋体" w:cs="宋体"/>
        </w:rPr>
      </w:pPr>
    </w:p>
    <w:p w14:paraId="733922ED">
      <w:pPr>
        <w:pStyle w:val="10"/>
        <w:rPr>
          <w:rFonts w:ascii="宋体" w:hAnsi="宋体" w:cs="宋体"/>
        </w:rPr>
      </w:pPr>
    </w:p>
    <w:p w14:paraId="495CB42D">
      <w:pPr>
        <w:rPr>
          <w:rFonts w:ascii="宋体" w:hAnsi="宋体" w:cs="宋体"/>
        </w:rPr>
      </w:pPr>
    </w:p>
    <w:p w14:paraId="784F4D52">
      <w:pPr>
        <w:pStyle w:val="10"/>
        <w:rPr>
          <w:rFonts w:ascii="宋体" w:hAnsi="宋体" w:cs="宋体"/>
        </w:rPr>
      </w:pPr>
    </w:p>
    <w:p w14:paraId="30874AEE">
      <w:pPr>
        <w:rPr>
          <w:rFonts w:ascii="宋体" w:hAnsi="宋体" w:cs="宋体"/>
        </w:rPr>
      </w:pPr>
    </w:p>
    <w:p w14:paraId="55E0FA8C">
      <w:pPr>
        <w:pStyle w:val="10"/>
        <w:rPr>
          <w:rFonts w:ascii="宋体" w:hAnsi="宋体" w:cs="宋体"/>
        </w:rPr>
      </w:pPr>
    </w:p>
    <w:p w14:paraId="1432B06C">
      <w:pPr>
        <w:rPr>
          <w:rFonts w:ascii="宋体" w:hAnsi="宋体" w:cs="宋体"/>
        </w:rPr>
      </w:pPr>
    </w:p>
    <w:p w14:paraId="475AB659">
      <w:pPr>
        <w:pStyle w:val="10"/>
        <w:rPr>
          <w:rFonts w:ascii="宋体" w:hAnsi="宋体" w:cs="宋体"/>
        </w:rPr>
      </w:pPr>
    </w:p>
    <w:p w14:paraId="53095D5F">
      <w:pPr>
        <w:rPr>
          <w:rFonts w:ascii="宋体" w:hAnsi="宋体" w:cs="宋体"/>
        </w:rPr>
      </w:pPr>
    </w:p>
    <w:p w14:paraId="46C5B0FB">
      <w:pPr>
        <w:pStyle w:val="10"/>
        <w:rPr>
          <w:rFonts w:ascii="宋体" w:hAnsi="宋体" w:cs="宋体"/>
        </w:rPr>
      </w:pPr>
    </w:p>
    <w:p w14:paraId="4000C5A9">
      <w:pPr>
        <w:rPr>
          <w:rFonts w:ascii="宋体" w:hAnsi="宋体" w:cs="宋体"/>
        </w:rPr>
      </w:pPr>
    </w:p>
    <w:p w14:paraId="29256E99">
      <w:pPr>
        <w:pStyle w:val="10"/>
        <w:rPr>
          <w:rFonts w:ascii="宋体" w:hAnsi="宋体" w:cs="宋体"/>
        </w:rPr>
      </w:pPr>
    </w:p>
    <w:p w14:paraId="761C4821">
      <w:pPr>
        <w:tabs>
          <w:tab w:val="left" w:pos="6300"/>
        </w:tabs>
        <w:snapToGrid w:val="0"/>
        <w:spacing w:line="500" w:lineRule="exact"/>
        <w:jc w:val="center"/>
        <w:rPr>
          <w:rFonts w:ascii="宋体" w:hAnsi="宋体" w:cs="宋体"/>
        </w:rPr>
      </w:pPr>
    </w:p>
    <w:p w14:paraId="02417FAD">
      <w:pPr>
        <w:tabs>
          <w:tab w:val="left" w:pos="6300"/>
        </w:tabs>
        <w:snapToGrid w:val="0"/>
        <w:spacing w:line="500" w:lineRule="exact"/>
        <w:jc w:val="center"/>
        <w:rPr>
          <w:rFonts w:ascii="宋体" w:hAnsi="宋体" w:cs="宋体"/>
        </w:rPr>
      </w:pPr>
      <w:r>
        <w:rPr>
          <w:rFonts w:hint="eastAsia" w:ascii="宋体" w:hAnsi="宋体" w:cs="宋体"/>
        </w:rPr>
        <w:t>（结束）</w:t>
      </w:r>
    </w:p>
    <w:p w14:paraId="64185976">
      <w:pPr>
        <w:pStyle w:val="10"/>
        <w:rPr>
          <w:rFonts w:ascii="宋体" w:hAnsi="宋体" w:cs="宋体"/>
        </w:rPr>
      </w:pPr>
    </w:p>
    <w:p w14:paraId="585D4365">
      <w:pPr>
        <w:rPr>
          <w:rFonts w:ascii="宋体" w:hAnsi="宋体" w:cs="宋体"/>
          <w:b/>
          <w:bCs/>
          <w:szCs w:val="28"/>
        </w:rPr>
      </w:pPr>
      <w:r>
        <w:rPr>
          <w:rFonts w:hint="eastAsia" w:ascii="宋体" w:hAnsi="宋体" w:cs="宋体"/>
          <w:b/>
          <w:bCs/>
          <w:szCs w:val="28"/>
        </w:rPr>
        <w:br w:type="page"/>
      </w:r>
    </w:p>
    <w:p w14:paraId="1E556182">
      <w:pPr>
        <w:spacing w:line="360" w:lineRule="auto"/>
        <w:rPr>
          <w:rFonts w:ascii="宋体" w:hAnsi="宋体" w:cs="宋体"/>
          <w:b/>
          <w:bCs/>
          <w:szCs w:val="28"/>
        </w:rPr>
      </w:pPr>
      <w:r>
        <w:rPr>
          <w:rFonts w:hint="eastAsia" w:ascii="宋体" w:hAnsi="宋体" w:cs="宋体"/>
          <w:b/>
          <w:bCs/>
          <w:szCs w:val="28"/>
        </w:rPr>
        <w:t>附件1：</w:t>
      </w:r>
    </w:p>
    <w:p w14:paraId="02D671FA">
      <w:pPr>
        <w:spacing w:line="360" w:lineRule="auto"/>
        <w:jc w:val="center"/>
        <w:rPr>
          <w:rFonts w:ascii="宋体" w:hAnsi="宋体" w:cs="宋体"/>
          <w:b/>
          <w:bCs/>
          <w:sz w:val="44"/>
          <w:szCs w:val="44"/>
        </w:rPr>
      </w:pPr>
      <w:r>
        <w:rPr>
          <w:rFonts w:hint="eastAsia" w:ascii="宋体" w:hAnsi="宋体" w:cs="宋体"/>
          <w:b/>
          <w:bCs/>
          <w:sz w:val="44"/>
          <w:szCs w:val="44"/>
        </w:rPr>
        <w:t>报名登记表</w:t>
      </w:r>
    </w:p>
    <w:tbl>
      <w:tblPr>
        <w:tblStyle w:val="24"/>
        <w:tblW w:w="86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2127"/>
        <w:gridCol w:w="926"/>
        <w:gridCol w:w="3500"/>
      </w:tblGrid>
      <w:tr w14:paraId="4E778E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086" w:type="dxa"/>
            <w:vAlign w:val="center"/>
          </w:tcPr>
          <w:p w14:paraId="20AE2E04">
            <w:pPr>
              <w:spacing w:line="360" w:lineRule="auto"/>
              <w:jc w:val="center"/>
              <w:rPr>
                <w:rFonts w:ascii="宋体" w:hAnsi="宋体" w:cs="宋体"/>
                <w:b/>
                <w:bCs/>
                <w:sz w:val="30"/>
                <w:szCs w:val="30"/>
              </w:rPr>
            </w:pPr>
            <w:r>
              <w:rPr>
                <w:rFonts w:hint="eastAsia" w:ascii="宋体" w:hAnsi="宋体" w:cs="宋体"/>
                <w:b/>
                <w:bCs/>
                <w:sz w:val="30"/>
                <w:szCs w:val="30"/>
              </w:rPr>
              <w:t>项目名称</w:t>
            </w:r>
          </w:p>
        </w:tc>
        <w:tc>
          <w:tcPr>
            <w:tcW w:w="6553" w:type="dxa"/>
            <w:gridSpan w:val="3"/>
            <w:vAlign w:val="center"/>
          </w:tcPr>
          <w:p w14:paraId="373F1D49">
            <w:pPr>
              <w:spacing w:line="360" w:lineRule="auto"/>
              <w:outlineLvl w:val="0"/>
              <w:rPr>
                <w:rFonts w:ascii="宋体" w:hAnsi="宋体" w:cs="宋体"/>
                <w:sz w:val="32"/>
              </w:rPr>
            </w:pPr>
          </w:p>
        </w:tc>
      </w:tr>
      <w:tr w14:paraId="7E9985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2086" w:type="dxa"/>
            <w:vAlign w:val="center"/>
          </w:tcPr>
          <w:p w14:paraId="35C6561E">
            <w:pPr>
              <w:spacing w:line="360" w:lineRule="auto"/>
              <w:jc w:val="center"/>
              <w:rPr>
                <w:rFonts w:ascii="宋体" w:hAnsi="宋体" w:cs="宋体"/>
                <w:b/>
                <w:bCs/>
                <w:sz w:val="30"/>
                <w:szCs w:val="30"/>
              </w:rPr>
            </w:pPr>
            <w:r>
              <w:rPr>
                <w:rFonts w:hint="eastAsia" w:ascii="宋体" w:hAnsi="宋体" w:cs="宋体"/>
                <w:b/>
                <w:bCs/>
                <w:sz w:val="30"/>
                <w:szCs w:val="30"/>
              </w:rPr>
              <w:t>供应商名称</w:t>
            </w:r>
          </w:p>
        </w:tc>
        <w:tc>
          <w:tcPr>
            <w:tcW w:w="6553" w:type="dxa"/>
            <w:gridSpan w:val="3"/>
            <w:vAlign w:val="bottom"/>
          </w:tcPr>
          <w:p w14:paraId="52C9C32A">
            <w:pPr>
              <w:spacing w:line="360" w:lineRule="auto"/>
              <w:jc w:val="center"/>
              <w:rPr>
                <w:rFonts w:hint="eastAsia" w:ascii="宋体" w:hAnsi="宋体" w:eastAsia="宋体" w:cs="宋体"/>
                <w:sz w:val="30"/>
                <w:szCs w:val="30"/>
                <w:lang w:eastAsia="zh-CN"/>
              </w:rPr>
            </w:pPr>
            <w:r>
              <w:rPr>
                <w:rFonts w:hint="eastAsia" w:ascii="宋体" w:hAnsi="宋体" w:cs="宋体"/>
                <w:sz w:val="30"/>
                <w:szCs w:val="30"/>
                <w:lang w:eastAsia="zh-CN"/>
              </w:rPr>
              <w:t>（盖章）</w:t>
            </w:r>
          </w:p>
        </w:tc>
      </w:tr>
      <w:tr w14:paraId="320DF0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vAlign w:val="center"/>
          </w:tcPr>
          <w:p w14:paraId="10A6C013">
            <w:pPr>
              <w:spacing w:line="360" w:lineRule="auto"/>
              <w:jc w:val="center"/>
              <w:rPr>
                <w:rFonts w:ascii="宋体" w:hAnsi="宋体" w:cs="宋体"/>
                <w:b/>
                <w:bCs/>
                <w:sz w:val="30"/>
                <w:szCs w:val="30"/>
              </w:rPr>
            </w:pPr>
            <w:r>
              <w:rPr>
                <w:rFonts w:hint="eastAsia" w:ascii="宋体" w:hAnsi="宋体" w:cs="宋体"/>
                <w:b/>
                <w:bCs/>
                <w:sz w:val="30"/>
                <w:szCs w:val="30"/>
              </w:rPr>
              <w:t>联系人</w:t>
            </w:r>
          </w:p>
        </w:tc>
        <w:tc>
          <w:tcPr>
            <w:tcW w:w="2127" w:type="dxa"/>
            <w:vAlign w:val="center"/>
          </w:tcPr>
          <w:p w14:paraId="0E082F3B">
            <w:pPr>
              <w:spacing w:line="360" w:lineRule="auto"/>
              <w:jc w:val="left"/>
              <w:rPr>
                <w:rFonts w:ascii="宋体" w:hAnsi="宋体" w:cs="宋体"/>
                <w:sz w:val="30"/>
                <w:szCs w:val="30"/>
              </w:rPr>
            </w:pPr>
          </w:p>
        </w:tc>
        <w:tc>
          <w:tcPr>
            <w:tcW w:w="926" w:type="dxa"/>
            <w:vAlign w:val="center"/>
          </w:tcPr>
          <w:p w14:paraId="4BAEF9BA">
            <w:pPr>
              <w:spacing w:line="360" w:lineRule="auto"/>
              <w:jc w:val="left"/>
              <w:rPr>
                <w:rFonts w:ascii="宋体" w:hAnsi="宋体" w:cs="宋体"/>
                <w:sz w:val="30"/>
                <w:szCs w:val="30"/>
              </w:rPr>
            </w:pPr>
            <w:r>
              <w:rPr>
                <w:rFonts w:hint="eastAsia" w:ascii="宋体" w:hAnsi="宋体" w:cs="宋体"/>
                <w:b/>
                <w:bCs/>
                <w:sz w:val="30"/>
                <w:szCs w:val="30"/>
              </w:rPr>
              <w:t>手机</w:t>
            </w:r>
          </w:p>
        </w:tc>
        <w:tc>
          <w:tcPr>
            <w:tcW w:w="3500" w:type="dxa"/>
            <w:vAlign w:val="center"/>
          </w:tcPr>
          <w:p w14:paraId="642C98C5">
            <w:pPr>
              <w:spacing w:line="360" w:lineRule="auto"/>
              <w:jc w:val="left"/>
              <w:rPr>
                <w:rFonts w:ascii="宋体" w:hAnsi="宋体" w:cs="宋体"/>
                <w:sz w:val="30"/>
                <w:szCs w:val="30"/>
              </w:rPr>
            </w:pPr>
          </w:p>
        </w:tc>
      </w:tr>
      <w:tr w14:paraId="71C669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vAlign w:val="center"/>
          </w:tcPr>
          <w:p w14:paraId="704BBDB1">
            <w:pPr>
              <w:spacing w:line="360" w:lineRule="auto"/>
              <w:jc w:val="center"/>
              <w:rPr>
                <w:rFonts w:ascii="宋体" w:hAnsi="宋体" w:cs="宋体"/>
                <w:b/>
                <w:bCs/>
                <w:sz w:val="30"/>
                <w:szCs w:val="30"/>
              </w:rPr>
            </w:pPr>
            <w:r>
              <w:rPr>
                <w:rFonts w:hint="eastAsia" w:ascii="宋体" w:hAnsi="宋体" w:cs="宋体"/>
                <w:b/>
                <w:bCs/>
                <w:sz w:val="30"/>
                <w:szCs w:val="30"/>
              </w:rPr>
              <w:t>办公电话</w:t>
            </w:r>
          </w:p>
        </w:tc>
        <w:tc>
          <w:tcPr>
            <w:tcW w:w="2127" w:type="dxa"/>
            <w:vAlign w:val="center"/>
          </w:tcPr>
          <w:p w14:paraId="3DC18738">
            <w:pPr>
              <w:spacing w:line="360" w:lineRule="auto"/>
              <w:jc w:val="left"/>
              <w:rPr>
                <w:rFonts w:ascii="宋体" w:hAnsi="宋体" w:cs="宋体"/>
                <w:sz w:val="30"/>
                <w:szCs w:val="30"/>
              </w:rPr>
            </w:pPr>
          </w:p>
        </w:tc>
        <w:tc>
          <w:tcPr>
            <w:tcW w:w="926" w:type="dxa"/>
            <w:vAlign w:val="center"/>
          </w:tcPr>
          <w:p w14:paraId="7157B278">
            <w:pPr>
              <w:spacing w:line="360" w:lineRule="auto"/>
              <w:jc w:val="left"/>
              <w:rPr>
                <w:rFonts w:ascii="宋体" w:hAnsi="宋体" w:cs="宋体"/>
                <w:sz w:val="30"/>
                <w:szCs w:val="30"/>
              </w:rPr>
            </w:pPr>
            <w:r>
              <w:rPr>
                <w:rFonts w:hint="eastAsia" w:ascii="宋体" w:hAnsi="宋体" w:cs="宋体"/>
                <w:b/>
                <w:bCs/>
                <w:sz w:val="30"/>
                <w:szCs w:val="30"/>
              </w:rPr>
              <w:t>传真</w:t>
            </w:r>
          </w:p>
        </w:tc>
        <w:tc>
          <w:tcPr>
            <w:tcW w:w="3500" w:type="dxa"/>
            <w:vAlign w:val="center"/>
          </w:tcPr>
          <w:p w14:paraId="3B58D5A0">
            <w:pPr>
              <w:spacing w:line="360" w:lineRule="auto"/>
              <w:jc w:val="left"/>
              <w:rPr>
                <w:rFonts w:ascii="宋体" w:hAnsi="宋体" w:cs="宋体"/>
                <w:sz w:val="30"/>
                <w:szCs w:val="30"/>
              </w:rPr>
            </w:pPr>
          </w:p>
        </w:tc>
      </w:tr>
      <w:tr w14:paraId="7811C8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2086" w:type="dxa"/>
            <w:vAlign w:val="center"/>
          </w:tcPr>
          <w:p w14:paraId="02EC2D62">
            <w:pPr>
              <w:spacing w:line="360" w:lineRule="auto"/>
              <w:jc w:val="center"/>
              <w:rPr>
                <w:rFonts w:ascii="宋体" w:hAnsi="宋体" w:cs="宋体"/>
                <w:b/>
                <w:bCs/>
                <w:sz w:val="30"/>
                <w:szCs w:val="30"/>
              </w:rPr>
            </w:pPr>
            <w:r>
              <w:rPr>
                <w:rFonts w:hint="eastAsia" w:ascii="宋体" w:hAnsi="宋体" w:cs="宋体"/>
                <w:b/>
                <w:bCs/>
                <w:sz w:val="30"/>
                <w:szCs w:val="30"/>
              </w:rPr>
              <w:t>E-mail</w:t>
            </w:r>
          </w:p>
        </w:tc>
        <w:tc>
          <w:tcPr>
            <w:tcW w:w="6553" w:type="dxa"/>
            <w:gridSpan w:val="3"/>
            <w:vAlign w:val="center"/>
          </w:tcPr>
          <w:p w14:paraId="7A89402C">
            <w:pPr>
              <w:spacing w:line="360" w:lineRule="auto"/>
              <w:jc w:val="left"/>
              <w:rPr>
                <w:rFonts w:ascii="宋体" w:hAnsi="宋体" w:cs="宋体"/>
                <w:sz w:val="30"/>
                <w:szCs w:val="30"/>
              </w:rPr>
            </w:pPr>
          </w:p>
        </w:tc>
      </w:tr>
      <w:tr w14:paraId="33FAD1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086" w:type="dxa"/>
            <w:vAlign w:val="center"/>
          </w:tcPr>
          <w:p w14:paraId="240B7A2F">
            <w:pPr>
              <w:spacing w:line="360" w:lineRule="auto"/>
              <w:jc w:val="center"/>
              <w:rPr>
                <w:rFonts w:ascii="宋体" w:hAnsi="宋体" w:cs="宋体"/>
                <w:b/>
                <w:bCs/>
                <w:sz w:val="30"/>
                <w:szCs w:val="30"/>
              </w:rPr>
            </w:pPr>
            <w:r>
              <w:rPr>
                <w:rFonts w:hint="eastAsia" w:ascii="宋体" w:hAnsi="宋体" w:cs="宋体"/>
                <w:b/>
                <w:bCs/>
                <w:sz w:val="30"/>
                <w:szCs w:val="30"/>
              </w:rPr>
              <w:t>单位地址</w:t>
            </w:r>
          </w:p>
        </w:tc>
        <w:tc>
          <w:tcPr>
            <w:tcW w:w="6553" w:type="dxa"/>
            <w:gridSpan w:val="3"/>
            <w:vAlign w:val="center"/>
          </w:tcPr>
          <w:p w14:paraId="0F46DA96">
            <w:pPr>
              <w:spacing w:line="360" w:lineRule="auto"/>
              <w:jc w:val="left"/>
              <w:rPr>
                <w:rFonts w:ascii="宋体" w:hAnsi="宋体" w:cs="宋体"/>
                <w:sz w:val="30"/>
                <w:szCs w:val="30"/>
              </w:rPr>
            </w:pPr>
          </w:p>
        </w:tc>
      </w:tr>
      <w:tr w14:paraId="65C77B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vAlign w:val="center"/>
          </w:tcPr>
          <w:p w14:paraId="3042B36F">
            <w:pPr>
              <w:spacing w:line="360" w:lineRule="auto"/>
              <w:jc w:val="center"/>
              <w:rPr>
                <w:rFonts w:ascii="宋体" w:hAnsi="宋体" w:cs="宋体"/>
                <w:b/>
                <w:bCs/>
                <w:sz w:val="30"/>
                <w:szCs w:val="30"/>
              </w:rPr>
            </w:pPr>
            <w:r>
              <w:rPr>
                <w:rFonts w:hint="eastAsia" w:ascii="宋体" w:hAnsi="宋体" w:cs="宋体"/>
                <w:b/>
                <w:bCs/>
                <w:sz w:val="30"/>
                <w:szCs w:val="30"/>
              </w:rPr>
              <w:t>报名时间</w:t>
            </w:r>
          </w:p>
        </w:tc>
        <w:tc>
          <w:tcPr>
            <w:tcW w:w="6553" w:type="dxa"/>
            <w:gridSpan w:val="3"/>
            <w:vAlign w:val="center"/>
          </w:tcPr>
          <w:p w14:paraId="7C1CB7E2">
            <w:pPr>
              <w:spacing w:line="360" w:lineRule="auto"/>
              <w:jc w:val="center"/>
              <w:rPr>
                <w:rFonts w:ascii="宋体" w:hAnsi="宋体" w:cs="宋体"/>
                <w:sz w:val="30"/>
                <w:szCs w:val="30"/>
              </w:rPr>
            </w:pPr>
            <w:r>
              <w:rPr>
                <w:rFonts w:hint="eastAsia" w:ascii="宋体" w:hAnsi="宋体" w:cs="宋体"/>
                <w:sz w:val="30"/>
                <w:szCs w:val="30"/>
              </w:rPr>
              <w:t>年  月  日</w:t>
            </w:r>
          </w:p>
        </w:tc>
      </w:tr>
      <w:tr w14:paraId="7CD181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vAlign w:val="center"/>
          </w:tcPr>
          <w:p w14:paraId="6F832D7D">
            <w:pPr>
              <w:spacing w:line="360" w:lineRule="auto"/>
              <w:jc w:val="center"/>
              <w:rPr>
                <w:rFonts w:ascii="宋体" w:hAnsi="宋体" w:cs="宋体"/>
                <w:b/>
                <w:bCs/>
                <w:sz w:val="30"/>
                <w:szCs w:val="30"/>
              </w:rPr>
            </w:pPr>
            <w:r>
              <w:rPr>
                <w:rFonts w:hint="eastAsia" w:ascii="宋体" w:hAnsi="宋体" w:cs="宋体"/>
                <w:b/>
                <w:bCs/>
                <w:sz w:val="30"/>
                <w:szCs w:val="30"/>
              </w:rPr>
              <w:t>备注</w:t>
            </w:r>
          </w:p>
        </w:tc>
        <w:tc>
          <w:tcPr>
            <w:tcW w:w="6553" w:type="dxa"/>
            <w:gridSpan w:val="3"/>
            <w:vAlign w:val="center"/>
          </w:tcPr>
          <w:p w14:paraId="0F0C90A4">
            <w:pPr>
              <w:spacing w:line="360" w:lineRule="auto"/>
              <w:rPr>
                <w:rFonts w:ascii="宋体" w:hAnsi="宋体" w:cs="宋体"/>
                <w:sz w:val="30"/>
                <w:szCs w:val="30"/>
              </w:rPr>
            </w:pPr>
          </w:p>
        </w:tc>
      </w:tr>
    </w:tbl>
    <w:p w14:paraId="61C5F365">
      <w:pPr>
        <w:pStyle w:val="23"/>
        <w:spacing w:after="0"/>
        <w:ind w:left="0" w:leftChars="0" w:firstLine="0" w:firstLineChars="0"/>
        <w:rPr>
          <w:rFonts w:ascii="宋体" w:hAnsi="宋体" w:cs="宋体"/>
        </w:rPr>
      </w:pPr>
    </w:p>
    <w:sectPr>
      <w:headerReference r:id="rId11" w:type="default"/>
      <w:footerReference r:id="rId12"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1" w:fontKey="{9CF8F21E-EE0C-4D2F-8A9A-BF6B15446122}"/>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A00002BF" w:usb1="38CF7CFA" w:usb2="00082016" w:usb3="00000000" w:csb0="00040001" w:csb1="00000000"/>
    <w:embedRegular r:id="rId2" w:fontKey="{EAC20930-2A72-44F0-A736-B59329281C12}"/>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632C8">
    <w:pPr>
      <w:pStyle w:val="17"/>
      <w:framePr w:wrap="around" w:vAnchor="text" w:hAnchor="margin" w:xAlign="center" w:y="1"/>
      <w:rPr>
        <w:rStyle w:val="27"/>
      </w:rPr>
    </w:pPr>
    <w:r>
      <w:fldChar w:fldCharType="begin"/>
    </w:r>
    <w:r>
      <w:rPr>
        <w:rStyle w:val="27"/>
      </w:rPr>
      <w:instrText xml:space="preserve">PAGE  </w:instrText>
    </w:r>
    <w:r>
      <w:fldChar w:fldCharType="end"/>
    </w:r>
  </w:p>
  <w:p w14:paraId="5A2AB97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01E6D">
    <w:pPr>
      <w:pStyle w:val="17"/>
      <w:framePr w:wrap="around" w:vAnchor="text" w:hAnchor="margin" w:xAlign="center" w:y="1"/>
      <w:rPr>
        <w:rStyle w:val="27"/>
      </w:rPr>
    </w:pPr>
  </w:p>
  <w:p w14:paraId="7E22B309">
    <w:pPr>
      <w:pStyle w:val="17"/>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A03E0">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9A2DE">
    <w:pPr>
      <w:pStyle w:val="17"/>
      <w:framePr w:wrap="around" w:vAnchor="text" w:hAnchor="margin" w:xAlign="center" w:y="1"/>
      <w:jc w:val="center"/>
      <w:rPr>
        <w:rStyle w:val="27"/>
        <w:rFonts w:ascii="宋体"/>
        <w:sz w:val="21"/>
        <w:szCs w:val="21"/>
      </w:rPr>
    </w:pPr>
    <w:r>
      <w:rPr>
        <w:rFonts w:ascii="宋体"/>
        <w:sz w:val="21"/>
        <w:szCs w:val="21"/>
      </w:rPr>
      <w:fldChar w:fldCharType="begin"/>
    </w:r>
    <w:r>
      <w:rPr>
        <w:rStyle w:val="27"/>
        <w:rFonts w:ascii="宋体"/>
        <w:sz w:val="21"/>
        <w:szCs w:val="21"/>
      </w:rPr>
      <w:instrText xml:space="preserve">PAGE  </w:instrText>
    </w:r>
    <w:r>
      <w:rPr>
        <w:rFonts w:ascii="宋体"/>
        <w:sz w:val="21"/>
        <w:szCs w:val="21"/>
      </w:rPr>
      <w:fldChar w:fldCharType="separate"/>
    </w:r>
    <w:r>
      <w:rPr>
        <w:rStyle w:val="27"/>
        <w:rFonts w:ascii="宋体"/>
        <w:sz w:val="21"/>
        <w:szCs w:val="21"/>
      </w:rPr>
      <w:t>- 3 -</w:t>
    </w:r>
    <w:r>
      <w:rPr>
        <w:rFonts w:ascii="宋体"/>
        <w:sz w:val="21"/>
        <w:szCs w:val="21"/>
      </w:rPr>
      <w:fldChar w:fldCharType="end"/>
    </w:r>
  </w:p>
  <w:p w14:paraId="78AD45BA">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B3250">
    <w:pPr>
      <w:pStyle w:val="17"/>
      <w:jc w:val="center"/>
      <w:rPr>
        <w:rFonts w:ascii="宋体" w:hAnsi="宋体"/>
        <w:sz w:val="21"/>
        <w:szCs w:val="21"/>
      </w:rPr>
    </w:pPr>
    <w:r>
      <w:rPr>
        <w:rFonts w:ascii="宋体" w:hAnsi="宋体"/>
        <w:sz w:val="21"/>
        <w:szCs w:val="21"/>
      </w:rPr>
      <w:fldChar w:fldCharType="begin"/>
    </w:r>
    <w:r>
      <w:rPr>
        <w:rStyle w:val="27"/>
        <w:rFonts w:ascii="宋体" w:hAnsi="宋体"/>
        <w:sz w:val="21"/>
        <w:szCs w:val="21"/>
      </w:rPr>
      <w:instrText xml:space="preserve"> PAGE </w:instrText>
    </w:r>
    <w:r>
      <w:rPr>
        <w:rFonts w:ascii="宋体" w:hAnsi="宋体"/>
        <w:sz w:val="21"/>
        <w:szCs w:val="21"/>
      </w:rPr>
      <w:fldChar w:fldCharType="separate"/>
    </w:r>
    <w:r>
      <w:rPr>
        <w:rStyle w:val="27"/>
        <w:rFonts w:ascii="宋体" w:hAnsi="宋体"/>
        <w:sz w:val="21"/>
        <w:szCs w:val="21"/>
      </w:rPr>
      <w:t>- 6 -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12D71">
    <w:pPr>
      <w:pStyle w:val="17"/>
      <w:jc w:val="center"/>
      <w:rPr>
        <w:rFonts w:ascii="宋体"/>
        <w:sz w:val="21"/>
        <w:szCs w:val="21"/>
      </w:rPr>
    </w:pPr>
    <w:r>
      <w:rPr>
        <w:sz w:val="21"/>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79697A05">
                <w:pPr>
                  <w:pStyle w:val="17"/>
                </w:pPr>
                <w:r>
                  <w:fldChar w:fldCharType="begin"/>
                </w:r>
                <w:r>
                  <w:instrText xml:space="preserve"> PAGE  \* MERGEFORMAT </w:instrText>
                </w:r>
                <w:r>
                  <w:fldChar w:fldCharType="separate"/>
                </w:r>
                <w:r>
                  <w:t>- 67 -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425E3">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5A0CB">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D3162">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F6F7C">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5E9C0"/>
    <w:multiLevelType w:val="singleLevel"/>
    <w:tmpl w:val="9DA5E9C0"/>
    <w:lvl w:ilvl="0" w:tentative="0">
      <w:start w:val="1"/>
      <w:numFmt w:val="chineseCounting"/>
      <w:suff w:val="nothing"/>
      <w:lvlText w:val="（%1）"/>
      <w:lvlJc w:val="left"/>
      <w:rPr>
        <w:rFonts w:hint="eastAsia"/>
      </w:rPr>
    </w:lvl>
  </w:abstractNum>
  <w:abstractNum w:abstractNumId="1">
    <w:nsid w:val="EFC5C6D5"/>
    <w:multiLevelType w:val="singleLevel"/>
    <w:tmpl w:val="EFC5C6D5"/>
    <w:lvl w:ilvl="0" w:tentative="0">
      <w:start w:val="3"/>
      <w:numFmt w:val="decimal"/>
      <w:lvlText w:val="%1."/>
      <w:lvlJc w:val="left"/>
      <w:pPr>
        <w:tabs>
          <w:tab w:val="left" w:pos="312"/>
        </w:tabs>
      </w:pPr>
    </w:lvl>
  </w:abstractNum>
  <w:abstractNum w:abstractNumId="2">
    <w:nsid w:val="73D826E5"/>
    <w:multiLevelType w:val="singleLevel"/>
    <w:tmpl w:val="73D826E5"/>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WY0ZjRkYTMwYmNiODQzYTk0YzBlYTRiNGNhMjIzNTgifQ=="/>
    <w:docVar w:name="KSO_WPS_MARK_KEY" w:val="ae7f2e78-329b-4e83-b6d7-1ba7da2baa2b"/>
  </w:docVars>
  <w:rsids>
    <w:rsidRoot w:val="00DE37C1"/>
    <w:rsid w:val="0020474A"/>
    <w:rsid w:val="002630BB"/>
    <w:rsid w:val="003D31B1"/>
    <w:rsid w:val="0047790B"/>
    <w:rsid w:val="00556D58"/>
    <w:rsid w:val="00652CDC"/>
    <w:rsid w:val="006A2456"/>
    <w:rsid w:val="00707143"/>
    <w:rsid w:val="007237DD"/>
    <w:rsid w:val="0077550F"/>
    <w:rsid w:val="007851EF"/>
    <w:rsid w:val="0084762E"/>
    <w:rsid w:val="00851ABD"/>
    <w:rsid w:val="008D4DD3"/>
    <w:rsid w:val="00967449"/>
    <w:rsid w:val="00983381"/>
    <w:rsid w:val="009D6C6A"/>
    <w:rsid w:val="009F1084"/>
    <w:rsid w:val="00A1223C"/>
    <w:rsid w:val="00A45A16"/>
    <w:rsid w:val="00A86A1D"/>
    <w:rsid w:val="00B60744"/>
    <w:rsid w:val="00BD47E9"/>
    <w:rsid w:val="00C1564D"/>
    <w:rsid w:val="00C22E40"/>
    <w:rsid w:val="00CC2617"/>
    <w:rsid w:val="00D76C23"/>
    <w:rsid w:val="00D92F4C"/>
    <w:rsid w:val="00DE37C1"/>
    <w:rsid w:val="00E15959"/>
    <w:rsid w:val="00E35688"/>
    <w:rsid w:val="00E84D52"/>
    <w:rsid w:val="00EC6B83"/>
    <w:rsid w:val="00F56A77"/>
    <w:rsid w:val="00F7476C"/>
    <w:rsid w:val="00FE4AAB"/>
    <w:rsid w:val="01154EDD"/>
    <w:rsid w:val="012F41F1"/>
    <w:rsid w:val="012F6103"/>
    <w:rsid w:val="013272FF"/>
    <w:rsid w:val="01431A4A"/>
    <w:rsid w:val="014A5E3A"/>
    <w:rsid w:val="01D32DCE"/>
    <w:rsid w:val="01EF1655"/>
    <w:rsid w:val="01F04195"/>
    <w:rsid w:val="01F3521E"/>
    <w:rsid w:val="021B4775"/>
    <w:rsid w:val="02326BF8"/>
    <w:rsid w:val="027C26A8"/>
    <w:rsid w:val="029307AF"/>
    <w:rsid w:val="029D518A"/>
    <w:rsid w:val="02D727EA"/>
    <w:rsid w:val="02ED6112"/>
    <w:rsid w:val="03195D8B"/>
    <w:rsid w:val="03394864"/>
    <w:rsid w:val="0346399D"/>
    <w:rsid w:val="037043B3"/>
    <w:rsid w:val="0381685A"/>
    <w:rsid w:val="03B87D0C"/>
    <w:rsid w:val="03FA6D38"/>
    <w:rsid w:val="0462561C"/>
    <w:rsid w:val="04DF1A8A"/>
    <w:rsid w:val="054D4DC8"/>
    <w:rsid w:val="058A586A"/>
    <w:rsid w:val="05AA02EA"/>
    <w:rsid w:val="05DA4D17"/>
    <w:rsid w:val="05EA23CF"/>
    <w:rsid w:val="05F538A6"/>
    <w:rsid w:val="060A7835"/>
    <w:rsid w:val="062D2DB0"/>
    <w:rsid w:val="063522A9"/>
    <w:rsid w:val="065D710A"/>
    <w:rsid w:val="066761DB"/>
    <w:rsid w:val="0679558E"/>
    <w:rsid w:val="06BB464C"/>
    <w:rsid w:val="07056370"/>
    <w:rsid w:val="07091040"/>
    <w:rsid w:val="07596FA7"/>
    <w:rsid w:val="076A24D2"/>
    <w:rsid w:val="077335F5"/>
    <w:rsid w:val="07805F5A"/>
    <w:rsid w:val="07A05557"/>
    <w:rsid w:val="07A6016F"/>
    <w:rsid w:val="07B23486"/>
    <w:rsid w:val="07DB7FCF"/>
    <w:rsid w:val="080E7433"/>
    <w:rsid w:val="087370B9"/>
    <w:rsid w:val="08D137DE"/>
    <w:rsid w:val="08D37B58"/>
    <w:rsid w:val="090048DC"/>
    <w:rsid w:val="097F383C"/>
    <w:rsid w:val="099B4049"/>
    <w:rsid w:val="09B008F2"/>
    <w:rsid w:val="09E50EE4"/>
    <w:rsid w:val="09E518F1"/>
    <w:rsid w:val="09FB794B"/>
    <w:rsid w:val="0A3A4A1B"/>
    <w:rsid w:val="0A79028B"/>
    <w:rsid w:val="0B1F43F1"/>
    <w:rsid w:val="0B5750F6"/>
    <w:rsid w:val="0B62538F"/>
    <w:rsid w:val="0B667BA2"/>
    <w:rsid w:val="0BEA7692"/>
    <w:rsid w:val="0C0454F9"/>
    <w:rsid w:val="0C0D512F"/>
    <w:rsid w:val="0C2D48D2"/>
    <w:rsid w:val="0C686033"/>
    <w:rsid w:val="0C7038B9"/>
    <w:rsid w:val="0C7E602C"/>
    <w:rsid w:val="0CC25F19"/>
    <w:rsid w:val="0CE42333"/>
    <w:rsid w:val="0D2A3059"/>
    <w:rsid w:val="0D497D3C"/>
    <w:rsid w:val="0DDF1BCC"/>
    <w:rsid w:val="0E1408A9"/>
    <w:rsid w:val="0E4C6904"/>
    <w:rsid w:val="0E625C06"/>
    <w:rsid w:val="0EAD3DD2"/>
    <w:rsid w:val="0EBC6041"/>
    <w:rsid w:val="0EC81817"/>
    <w:rsid w:val="0EFB6A2E"/>
    <w:rsid w:val="0F112086"/>
    <w:rsid w:val="0F174030"/>
    <w:rsid w:val="0F294CCE"/>
    <w:rsid w:val="0F784FB5"/>
    <w:rsid w:val="0F7E0E3A"/>
    <w:rsid w:val="0F9D0EBF"/>
    <w:rsid w:val="0FE52636"/>
    <w:rsid w:val="1008458B"/>
    <w:rsid w:val="103A04BC"/>
    <w:rsid w:val="1071032D"/>
    <w:rsid w:val="108B0D18"/>
    <w:rsid w:val="10D92C55"/>
    <w:rsid w:val="10DB0743"/>
    <w:rsid w:val="10DB5135"/>
    <w:rsid w:val="11032FA4"/>
    <w:rsid w:val="114C66F9"/>
    <w:rsid w:val="11687E88"/>
    <w:rsid w:val="11736044"/>
    <w:rsid w:val="11877731"/>
    <w:rsid w:val="11906B68"/>
    <w:rsid w:val="11941A34"/>
    <w:rsid w:val="11A6405B"/>
    <w:rsid w:val="11D93D15"/>
    <w:rsid w:val="11E132E5"/>
    <w:rsid w:val="11E24317"/>
    <w:rsid w:val="11E27FC8"/>
    <w:rsid w:val="11E608FC"/>
    <w:rsid w:val="11F96F95"/>
    <w:rsid w:val="11F97BB6"/>
    <w:rsid w:val="1255782F"/>
    <w:rsid w:val="126F2603"/>
    <w:rsid w:val="12A54313"/>
    <w:rsid w:val="12C34799"/>
    <w:rsid w:val="12FE1C75"/>
    <w:rsid w:val="1317177A"/>
    <w:rsid w:val="133015AF"/>
    <w:rsid w:val="136309CA"/>
    <w:rsid w:val="13641A07"/>
    <w:rsid w:val="138F28CD"/>
    <w:rsid w:val="13B363E0"/>
    <w:rsid w:val="14060EC2"/>
    <w:rsid w:val="143C2A55"/>
    <w:rsid w:val="144103EB"/>
    <w:rsid w:val="14467430"/>
    <w:rsid w:val="14C33176"/>
    <w:rsid w:val="14D40957"/>
    <w:rsid w:val="152B4878"/>
    <w:rsid w:val="153F7762"/>
    <w:rsid w:val="156C2EC6"/>
    <w:rsid w:val="15DD5B72"/>
    <w:rsid w:val="16027CCE"/>
    <w:rsid w:val="1632480C"/>
    <w:rsid w:val="1647748F"/>
    <w:rsid w:val="164B3423"/>
    <w:rsid w:val="16766361"/>
    <w:rsid w:val="16E00639"/>
    <w:rsid w:val="17074DA9"/>
    <w:rsid w:val="173C16A0"/>
    <w:rsid w:val="174E59A1"/>
    <w:rsid w:val="177C760C"/>
    <w:rsid w:val="178415CC"/>
    <w:rsid w:val="17860945"/>
    <w:rsid w:val="17880B36"/>
    <w:rsid w:val="17D3242F"/>
    <w:rsid w:val="17D57060"/>
    <w:rsid w:val="180E000F"/>
    <w:rsid w:val="18700794"/>
    <w:rsid w:val="18730A0F"/>
    <w:rsid w:val="18807586"/>
    <w:rsid w:val="189270E7"/>
    <w:rsid w:val="18A83A65"/>
    <w:rsid w:val="18AB3826"/>
    <w:rsid w:val="190E3DF0"/>
    <w:rsid w:val="19B579D5"/>
    <w:rsid w:val="19CF7EC7"/>
    <w:rsid w:val="19D16051"/>
    <w:rsid w:val="1A28414D"/>
    <w:rsid w:val="1A5B6360"/>
    <w:rsid w:val="1A604FC3"/>
    <w:rsid w:val="1A6920CA"/>
    <w:rsid w:val="1AA145EF"/>
    <w:rsid w:val="1AA94BBC"/>
    <w:rsid w:val="1AC71042"/>
    <w:rsid w:val="1B1C0EEA"/>
    <w:rsid w:val="1B851185"/>
    <w:rsid w:val="1BC82E20"/>
    <w:rsid w:val="1BDD4B1E"/>
    <w:rsid w:val="1C3404B6"/>
    <w:rsid w:val="1C4677D1"/>
    <w:rsid w:val="1C626254"/>
    <w:rsid w:val="1CC25AC1"/>
    <w:rsid w:val="1CC63804"/>
    <w:rsid w:val="1D2B00E1"/>
    <w:rsid w:val="1D304E96"/>
    <w:rsid w:val="1E116D00"/>
    <w:rsid w:val="1E390005"/>
    <w:rsid w:val="1EA72374"/>
    <w:rsid w:val="1F232EE6"/>
    <w:rsid w:val="1F5E5E20"/>
    <w:rsid w:val="1F6130FF"/>
    <w:rsid w:val="1F7A3063"/>
    <w:rsid w:val="1F8964CB"/>
    <w:rsid w:val="1F8F4381"/>
    <w:rsid w:val="1FB37EBC"/>
    <w:rsid w:val="1FB7BC63"/>
    <w:rsid w:val="1FD56461"/>
    <w:rsid w:val="1FEA3CB7"/>
    <w:rsid w:val="208B6A9A"/>
    <w:rsid w:val="20B625D5"/>
    <w:rsid w:val="20BD4F1E"/>
    <w:rsid w:val="21091F11"/>
    <w:rsid w:val="210C7C53"/>
    <w:rsid w:val="211A2370"/>
    <w:rsid w:val="214B077B"/>
    <w:rsid w:val="21541C0B"/>
    <w:rsid w:val="21B15E28"/>
    <w:rsid w:val="21C812FD"/>
    <w:rsid w:val="21D17F20"/>
    <w:rsid w:val="21D93760"/>
    <w:rsid w:val="21E12E8E"/>
    <w:rsid w:val="21EA541A"/>
    <w:rsid w:val="21FE57EE"/>
    <w:rsid w:val="220F17A9"/>
    <w:rsid w:val="22123047"/>
    <w:rsid w:val="227D2BB6"/>
    <w:rsid w:val="228274AE"/>
    <w:rsid w:val="22841985"/>
    <w:rsid w:val="228B144E"/>
    <w:rsid w:val="228D21C4"/>
    <w:rsid w:val="229D632E"/>
    <w:rsid w:val="231E77CA"/>
    <w:rsid w:val="232272BA"/>
    <w:rsid w:val="235002CB"/>
    <w:rsid w:val="23946A34"/>
    <w:rsid w:val="23B96627"/>
    <w:rsid w:val="23E17175"/>
    <w:rsid w:val="23ED5B1A"/>
    <w:rsid w:val="24250100"/>
    <w:rsid w:val="24741D97"/>
    <w:rsid w:val="24897E53"/>
    <w:rsid w:val="24964EB6"/>
    <w:rsid w:val="24B623B0"/>
    <w:rsid w:val="24B86128"/>
    <w:rsid w:val="24DF5229"/>
    <w:rsid w:val="25146B3E"/>
    <w:rsid w:val="252307EC"/>
    <w:rsid w:val="253C4B19"/>
    <w:rsid w:val="25415537"/>
    <w:rsid w:val="256419ED"/>
    <w:rsid w:val="25720575"/>
    <w:rsid w:val="25757B75"/>
    <w:rsid w:val="25A50E12"/>
    <w:rsid w:val="25A641D2"/>
    <w:rsid w:val="25B34B41"/>
    <w:rsid w:val="26542953"/>
    <w:rsid w:val="26555BF8"/>
    <w:rsid w:val="265C6F87"/>
    <w:rsid w:val="26926505"/>
    <w:rsid w:val="26926F40"/>
    <w:rsid w:val="26B82D72"/>
    <w:rsid w:val="273C0C2A"/>
    <w:rsid w:val="274325AD"/>
    <w:rsid w:val="274C0DA9"/>
    <w:rsid w:val="27517586"/>
    <w:rsid w:val="27802801"/>
    <w:rsid w:val="279938C3"/>
    <w:rsid w:val="27A961FC"/>
    <w:rsid w:val="280170F7"/>
    <w:rsid w:val="284F02AF"/>
    <w:rsid w:val="28603B8E"/>
    <w:rsid w:val="286914E7"/>
    <w:rsid w:val="28C80903"/>
    <w:rsid w:val="28F64893"/>
    <w:rsid w:val="292808AA"/>
    <w:rsid w:val="2936586D"/>
    <w:rsid w:val="29407CBA"/>
    <w:rsid w:val="29437AAE"/>
    <w:rsid w:val="29575FD4"/>
    <w:rsid w:val="296E14AB"/>
    <w:rsid w:val="299F1664"/>
    <w:rsid w:val="29E33C4C"/>
    <w:rsid w:val="29F37894"/>
    <w:rsid w:val="29FF46D5"/>
    <w:rsid w:val="2A1650B8"/>
    <w:rsid w:val="2A306760"/>
    <w:rsid w:val="2A5320DE"/>
    <w:rsid w:val="2A620046"/>
    <w:rsid w:val="2A6C52BE"/>
    <w:rsid w:val="2A8C0AF7"/>
    <w:rsid w:val="2B2C517A"/>
    <w:rsid w:val="2B2D3A60"/>
    <w:rsid w:val="2B3B53BD"/>
    <w:rsid w:val="2B4F70BA"/>
    <w:rsid w:val="2B6C75E4"/>
    <w:rsid w:val="2B7B1C5D"/>
    <w:rsid w:val="2BD670F1"/>
    <w:rsid w:val="2BEE242F"/>
    <w:rsid w:val="2C02237E"/>
    <w:rsid w:val="2C0E75DC"/>
    <w:rsid w:val="2C4209CD"/>
    <w:rsid w:val="2C994A91"/>
    <w:rsid w:val="2CA1389A"/>
    <w:rsid w:val="2CB25DE5"/>
    <w:rsid w:val="2CC55886"/>
    <w:rsid w:val="2D0F08AF"/>
    <w:rsid w:val="2D6B7920"/>
    <w:rsid w:val="2D90221F"/>
    <w:rsid w:val="2DAA4A7C"/>
    <w:rsid w:val="2DC1677B"/>
    <w:rsid w:val="2DC56E97"/>
    <w:rsid w:val="2E101350"/>
    <w:rsid w:val="2E290660"/>
    <w:rsid w:val="2E2C36E3"/>
    <w:rsid w:val="2E407DAE"/>
    <w:rsid w:val="2EBE13EC"/>
    <w:rsid w:val="2EBF4557"/>
    <w:rsid w:val="2EDC2A13"/>
    <w:rsid w:val="2EEE2746"/>
    <w:rsid w:val="2F1157A3"/>
    <w:rsid w:val="2F2D326E"/>
    <w:rsid w:val="2F6A33C8"/>
    <w:rsid w:val="2F71140A"/>
    <w:rsid w:val="2FBD3900"/>
    <w:rsid w:val="2FEE584E"/>
    <w:rsid w:val="2FFC5F8C"/>
    <w:rsid w:val="302D2C8B"/>
    <w:rsid w:val="304E7940"/>
    <w:rsid w:val="306F7AC8"/>
    <w:rsid w:val="30837A14"/>
    <w:rsid w:val="30BB0C62"/>
    <w:rsid w:val="30C21BA5"/>
    <w:rsid w:val="30DE5F50"/>
    <w:rsid w:val="312410FB"/>
    <w:rsid w:val="318D26EA"/>
    <w:rsid w:val="31E6672B"/>
    <w:rsid w:val="31F74B6B"/>
    <w:rsid w:val="31F91C49"/>
    <w:rsid w:val="321B7CF6"/>
    <w:rsid w:val="322222E5"/>
    <w:rsid w:val="32432DA9"/>
    <w:rsid w:val="32620041"/>
    <w:rsid w:val="32DF753E"/>
    <w:rsid w:val="331B3CA8"/>
    <w:rsid w:val="335C6052"/>
    <w:rsid w:val="33973635"/>
    <w:rsid w:val="33BA4B66"/>
    <w:rsid w:val="33F76C3A"/>
    <w:rsid w:val="341812A8"/>
    <w:rsid w:val="34196405"/>
    <w:rsid w:val="341F7DC5"/>
    <w:rsid w:val="348921E8"/>
    <w:rsid w:val="349D3772"/>
    <w:rsid w:val="34B65AF7"/>
    <w:rsid w:val="34C401D1"/>
    <w:rsid w:val="34CE54F3"/>
    <w:rsid w:val="34DE4287"/>
    <w:rsid w:val="34FF40F3"/>
    <w:rsid w:val="353B5A19"/>
    <w:rsid w:val="3566572C"/>
    <w:rsid w:val="356E07AA"/>
    <w:rsid w:val="3587043B"/>
    <w:rsid w:val="359749F4"/>
    <w:rsid w:val="359A444C"/>
    <w:rsid w:val="35A42F7D"/>
    <w:rsid w:val="35A95619"/>
    <w:rsid w:val="362D624A"/>
    <w:rsid w:val="3664077B"/>
    <w:rsid w:val="36794FEB"/>
    <w:rsid w:val="36BD75CE"/>
    <w:rsid w:val="36C50230"/>
    <w:rsid w:val="36FF3742"/>
    <w:rsid w:val="370B658B"/>
    <w:rsid w:val="373553B6"/>
    <w:rsid w:val="373A3113"/>
    <w:rsid w:val="374455F9"/>
    <w:rsid w:val="375F2433"/>
    <w:rsid w:val="37767142"/>
    <w:rsid w:val="37C91FA2"/>
    <w:rsid w:val="37D03331"/>
    <w:rsid w:val="37D86CD6"/>
    <w:rsid w:val="37F54F43"/>
    <w:rsid w:val="37FD74A0"/>
    <w:rsid w:val="38426BDF"/>
    <w:rsid w:val="384D4981"/>
    <w:rsid w:val="3880411B"/>
    <w:rsid w:val="38925624"/>
    <w:rsid w:val="38E057F5"/>
    <w:rsid w:val="38F31085"/>
    <w:rsid w:val="390C5683"/>
    <w:rsid w:val="39767E42"/>
    <w:rsid w:val="398443D3"/>
    <w:rsid w:val="39965EB4"/>
    <w:rsid w:val="399B3A08"/>
    <w:rsid w:val="39A24A37"/>
    <w:rsid w:val="39AB528F"/>
    <w:rsid w:val="39BB2F4A"/>
    <w:rsid w:val="39F350B4"/>
    <w:rsid w:val="3A0B4AF4"/>
    <w:rsid w:val="3A32322C"/>
    <w:rsid w:val="3A394687"/>
    <w:rsid w:val="3A3D1DBA"/>
    <w:rsid w:val="3A4F49E1"/>
    <w:rsid w:val="3A7E1E9F"/>
    <w:rsid w:val="3A9E14C4"/>
    <w:rsid w:val="3AFD61EB"/>
    <w:rsid w:val="3B2C087E"/>
    <w:rsid w:val="3B675D5A"/>
    <w:rsid w:val="3B881FA8"/>
    <w:rsid w:val="3B9038B0"/>
    <w:rsid w:val="3B974891"/>
    <w:rsid w:val="3BF53366"/>
    <w:rsid w:val="3BF55114"/>
    <w:rsid w:val="3C027831"/>
    <w:rsid w:val="3C0E352E"/>
    <w:rsid w:val="3C2B4FD9"/>
    <w:rsid w:val="3C74012C"/>
    <w:rsid w:val="3CE014D0"/>
    <w:rsid w:val="3CF4186F"/>
    <w:rsid w:val="3D325ED9"/>
    <w:rsid w:val="3D3B0AFE"/>
    <w:rsid w:val="3D536596"/>
    <w:rsid w:val="3D934228"/>
    <w:rsid w:val="3DDD1152"/>
    <w:rsid w:val="3DE512E1"/>
    <w:rsid w:val="3DED69EA"/>
    <w:rsid w:val="3DF04F1E"/>
    <w:rsid w:val="3E247F32"/>
    <w:rsid w:val="3E535EDB"/>
    <w:rsid w:val="3E572D08"/>
    <w:rsid w:val="3E8A248B"/>
    <w:rsid w:val="3EC835F3"/>
    <w:rsid w:val="3F0538C0"/>
    <w:rsid w:val="3F621F36"/>
    <w:rsid w:val="3F632579"/>
    <w:rsid w:val="3F6E5909"/>
    <w:rsid w:val="3FC306F2"/>
    <w:rsid w:val="3FDA6469"/>
    <w:rsid w:val="402B37FA"/>
    <w:rsid w:val="4032362F"/>
    <w:rsid w:val="40324CDF"/>
    <w:rsid w:val="403372C3"/>
    <w:rsid w:val="403B495B"/>
    <w:rsid w:val="405E5001"/>
    <w:rsid w:val="4061546E"/>
    <w:rsid w:val="40860A30"/>
    <w:rsid w:val="40881662"/>
    <w:rsid w:val="40C33A32"/>
    <w:rsid w:val="40CD48B1"/>
    <w:rsid w:val="40DE6ABE"/>
    <w:rsid w:val="40E44F98"/>
    <w:rsid w:val="40FB2E45"/>
    <w:rsid w:val="41401527"/>
    <w:rsid w:val="41BC33F0"/>
    <w:rsid w:val="422C5BEA"/>
    <w:rsid w:val="425132C0"/>
    <w:rsid w:val="425A30A9"/>
    <w:rsid w:val="42B5081B"/>
    <w:rsid w:val="42B6199F"/>
    <w:rsid w:val="42D53EF1"/>
    <w:rsid w:val="42E303BC"/>
    <w:rsid w:val="43440DFD"/>
    <w:rsid w:val="43757435"/>
    <w:rsid w:val="43A578C5"/>
    <w:rsid w:val="43B6162D"/>
    <w:rsid w:val="43B63F40"/>
    <w:rsid w:val="43BB52AD"/>
    <w:rsid w:val="43C024AB"/>
    <w:rsid w:val="43E20674"/>
    <w:rsid w:val="4428289D"/>
    <w:rsid w:val="44354C47"/>
    <w:rsid w:val="443A225E"/>
    <w:rsid w:val="44564BBE"/>
    <w:rsid w:val="449245CB"/>
    <w:rsid w:val="4493196E"/>
    <w:rsid w:val="44AB4F09"/>
    <w:rsid w:val="44B35E38"/>
    <w:rsid w:val="44CD0401"/>
    <w:rsid w:val="44CE021A"/>
    <w:rsid w:val="44DD0E3B"/>
    <w:rsid w:val="44E628AB"/>
    <w:rsid w:val="45053792"/>
    <w:rsid w:val="454A42AD"/>
    <w:rsid w:val="45512CB3"/>
    <w:rsid w:val="45AD6A5F"/>
    <w:rsid w:val="45E0026B"/>
    <w:rsid w:val="461711E9"/>
    <w:rsid w:val="461D44BB"/>
    <w:rsid w:val="46481C0C"/>
    <w:rsid w:val="465E2571"/>
    <w:rsid w:val="46D71FE6"/>
    <w:rsid w:val="46EE4FD8"/>
    <w:rsid w:val="47525B10"/>
    <w:rsid w:val="47A80166"/>
    <w:rsid w:val="47B642F1"/>
    <w:rsid w:val="47F81B94"/>
    <w:rsid w:val="48B9705B"/>
    <w:rsid w:val="48DD58AD"/>
    <w:rsid w:val="48F86243"/>
    <w:rsid w:val="491C5E9B"/>
    <w:rsid w:val="49380D36"/>
    <w:rsid w:val="49431BB4"/>
    <w:rsid w:val="4948541D"/>
    <w:rsid w:val="494B0E8C"/>
    <w:rsid w:val="49B900C8"/>
    <w:rsid w:val="49C45812"/>
    <w:rsid w:val="49C55664"/>
    <w:rsid w:val="49D071C0"/>
    <w:rsid w:val="49F45CAD"/>
    <w:rsid w:val="4A266DE0"/>
    <w:rsid w:val="4A273284"/>
    <w:rsid w:val="4A602244"/>
    <w:rsid w:val="4AE602E8"/>
    <w:rsid w:val="4B5D4A84"/>
    <w:rsid w:val="4B63653E"/>
    <w:rsid w:val="4B67093E"/>
    <w:rsid w:val="4B7E6777"/>
    <w:rsid w:val="4BB63C32"/>
    <w:rsid w:val="4BBC6EDA"/>
    <w:rsid w:val="4C357ECC"/>
    <w:rsid w:val="4C3F4509"/>
    <w:rsid w:val="4C671669"/>
    <w:rsid w:val="4C754E2E"/>
    <w:rsid w:val="4CA15AAF"/>
    <w:rsid w:val="4CF84A64"/>
    <w:rsid w:val="4D98513B"/>
    <w:rsid w:val="4DA370C6"/>
    <w:rsid w:val="4DDA0513"/>
    <w:rsid w:val="4E41068C"/>
    <w:rsid w:val="4E7C6A3B"/>
    <w:rsid w:val="4E8C52F1"/>
    <w:rsid w:val="4EE71234"/>
    <w:rsid w:val="4EE73CA9"/>
    <w:rsid w:val="4F1968A3"/>
    <w:rsid w:val="4F451D18"/>
    <w:rsid w:val="4F5368C9"/>
    <w:rsid w:val="4F6F6D4E"/>
    <w:rsid w:val="4FE61D11"/>
    <w:rsid w:val="50281B04"/>
    <w:rsid w:val="502D0EC8"/>
    <w:rsid w:val="50377F99"/>
    <w:rsid w:val="50716C05"/>
    <w:rsid w:val="50950331"/>
    <w:rsid w:val="509A54D3"/>
    <w:rsid w:val="50CD4459"/>
    <w:rsid w:val="519F37DD"/>
    <w:rsid w:val="51CB317A"/>
    <w:rsid w:val="51DA01C8"/>
    <w:rsid w:val="5208399B"/>
    <w:rsid w:val="520E3ADB"/>
    <w:rsid w:val="52730B24"/>
    <w:rsid w:val="52AC5858"/>
    <w:rsid w:val="52B513BE"/>
    <w:rsid w:val="52BC6534"/>
    <w:rsid w:val="52D970E6"/>
    <w:rsid w:val="52FE306B"/>
    <w:rsid w:val="53063BD2"/>
    <w:rsid w:val="530F2B07"/>
    <w:rsid w:val="5311062D"/>
    <w:rsid w:val="533468C5"/>
    <w:rsid w:val="533738C6"/>
    <w:rsid w:val="53803A05"/>
    <w:rsid w:val="54041F40"/>
    <w:rsid w:val="54324514"/>
    <w:rsid w:val="549F7BBD"/>
    <w:rsid w:val="54C51BDB"/>
    <w:rsid w:val="54DF0F84"/>
    <w:rsid w:val="54F67A7F"/>
    <w:rsid w:val="55211CC3"/>
    <w:rsid w:val="555E7D76"/>
    <w:rsid w:val="55A973EF"/>
    <w:rsid w:val="56170651"/>
    <w:rsid w:val="561A5A4B"/>
    <w:rsid w:val="56206DD9"/>
    <w:rsid w:val="56AA4E2B"/>
    <w:rsid w:val="57F845B6"/>
    <w:rsid w:val="58304659"/>
    <w:rsid w:val="586260FD"/>
    <w:rsid w:val="587A0A23"/>
    <w:rsid w:val="587D6765"/>
    <w:rsid w:val="58AA2A71"/>
    <w:rsid w:val="58B03946"/>
    <w:rsid w:val="58BD40DD"/>
    <w:rsid w:val="58DB569C"/>
    <w:rsid w:val="58E95BA9"/>
    <w:rsid w:val="591B0458"/>
    <w:rsid w:val="59A10231"/>
    <w:rsid w:val="59A55F73"/>
    <w:rsid w:val="59B85EB7"/>
    <w:rsid w:val="59C04B5B"/>
    <w:rsid w:val="59E03FFA"/>
    <w:rsid w:val="59E24AD2"/>
    <w:rsid w:val="5A4B4932"/>
    <w:rsid w:val="5B4D2552"/>
    <w:rsid w:val="5BB17AC3"/>
    <w:rsid w:val="5BD41E0C"/>
    <w:rsid w:val="5C2D245D"/>
    <w:rsid w:val="5C7333B6"/>
    <w:rsid w:val="5C977B6B"/>
    <w:rsid w:val="5CBA3AE4"/>
    <w:rsid w:val="5CC20BEA"/>
    <w:rsid w:val="5CDE093E"/>
    <w:rsid w:val="5D202704"/>
    <w:rsid w:val="5D6A375C"/>
    <w:rsid w:val="5D881E34"/>
    <w:rsid w:val="5DAD3649"/>
    <w:rsid w:val="5DBE5856"/>
    <w:rsid w:val="5DC0337C"/>
    <w:rsid w:val="5DD40BD5"/>
    <w:rsid w:val="5E2A2EEB"/>
    <w:rsid w:val="5E604B5F"/>
    <w:rsid w:val="5E79177D"/>
    <w:rsid w:val="5E862EF1"/>
    <w:rsid w:val="5EA8586B"/>
    <w:rsid w:val="5EB1475B"/>
    <w:rsid w:val="5EFF6126"/>
    <w:rsid w:val="5F0276EF"/>
    <w:rsid w:val="5F096FA4"/>
    <w:rsid w:val="5F1D6AE7"/>
    <w:rsid w:val="5F272D34"/>
    <w:rsid w:val="5F3D27AA"/>
    <w:rsid w:val="5F5F1494"/>
    <w:rsid w:val="5F8D65FE"/>
    <w:rsid w:val="5F97700E"/>
    <w:rsid w:val="5FA73C5F"/>
    <w:rsid w:val="5FBA7123"/>
    <w:rsid w:val="5FC67B1C"/>
    <w:rsid w:val="602162ED"/>
    <w:rsid w:val="60261490"/>
    <w:rsid w:val="607D013A"/>
    <w:rsid w:val="609B59DA"/>
    <w:rsid w:val="60A7597A"/>
    <w:rsid w:val="60B91067"/>
    <w:rsid w:val="60F90189"/>
    <w:rsid w:val="60FB0B6F"/>
    <w:rsid w:val="6122434D"/>
    <w:rsid w:val="61407309"/>
    <w:rsid w:val="61426602"/>
    <w:rsid w:val="617E68C8"/>
    <w:rsid w:val="61900F2E"/>
    <w:rsid w:val="619012B7"/>
    <w:rsid w:val="61BD688C"/>
    <w:rsid w:val="61D45648"/>
    <w:rsid w:val="61E635CD"/>
    <w:rsid w:val="61ED04B8"/>
    <w:rsid w:val="62047667"/>
    <w:rsid w:val="622E4BE8"/>
    <w:rsid w:val="624327CD"/>
    <w:rsid w:val="627067FE"/>
    <w:rsid w:val="629E1DBB"/>
    <w:rsid w:val="62BB05B6"/>
    <w:rsid w:val="63201BFB"/>
    <w:rsid w:val="632F68AE"/>
    <w:rsid w:val="633D71B8"/>
    <w:rsid w:val="633F11E7"/>
    <w:rsid w:val="63657284"/>
    <w:rsid w:val="63A301F5"/>
    <w:rsid w:val="63ED0E5B"/>
    <w:rsid w:val="6401024A"/>
    <w:rsid w:val="6416019A"/>
    <w:rsid w:val="645C36D2"/>
    <w:rsid w:val="64773B86"/>
    <w:rsid w:val="647C5B23"/>
    <w:rsid w:val="647C5F72"/>
    <w:rsid w:val="64C00105"/>
    <w:rsid w:val="64C836F2"/>
    <w:rsid w:val="64DD1A09"/>
    <w:rsid w:val="64E673C8"/>
    <w:rsid w:val="650224CC"/>
    <w:rsid w:val="651144BD"/>
    <w:rsid w:val="65174882"/>
    <w:rsid w:val="654F253D"/>
    <w:rsid w:val="655A032C"/>
    <w:rsid w:val="655C366B"/>
    <w:rsid w:val="6589505D"/>
    <w:rsid w:val="658D6624"/>
    <w:rsid w:val="65B602EE"/>
    <w:rsid w:val="661C5CDB"/>
    <w:rsid w:val="66477683"/>
    <w:rsid w:val="669F7B80"/>
    <w:rsid w:val="66CD4D5B"/>
    <w:rsid w:val="66D954AE"/>
    <w:rsid w:val="66E857CE"/>
    <w:rsid w:val="66EA3218"/>
    <w:rsid w:val="66F66060"/>
    <w:rsid w:val="672C4271"/>
    <w:rsid w:val="67474DCB"/>
    <w:rsid w:val="675D0320"/>
    <w:rsid w:val="67CA3195"/>
    <w:rsid w:val="67DF79B4"/>
    <w:rsid w:val="681244FC"/>
    <w:rsid w:val="68B63CF9"/>
    <w:rsid w:val="69054339"/>
    <w:rsid w:val="69164798"/>
    <w:rsid w:val="691724F7"/>
    <w:rsid w:val="691E364C"/>
    <w:rsid w:val="695A4941"/>
    <w:rsid w:val="697F6A71"/>
    <w:rsid w:val="69A753F0"/>
    <w:rsid w:val="69DD1C68"/>
    <w:rsid w:val="6A446BF6"/>
    <w:rsid w:val="6A5407DE"/>
    <w:rsid w:val="6A90567A"/>
    <w:rsid w:val="6AEA7D05"/>
    <w:rsid w:val="6B112ACC"/>
    <w:rsid w:val="6B182A49"/>
    <w:rsid w:val="6B6A0DCB"/>
    <w:rsid w:val="6BA51E03"/>
    <w:rsid w:val="6BE446D9"/>
    <w:rsid w:val="6C0C7052"/>
    <w:rsid w:val="6C134FBF"/>
    <w:rsid w:val="6CBF4A63"/>
    <w:rsid w:val="6CDF31BB"/>
    <w:rsid w:val="6D0668D1"/>
    <w:rsid w:val="6D325918"/>
    <w:rsid w:val="6D5E495F"/>
    <w:rsid w:val="6D6F5E2D"/>
    <w:rsid w:val="6D755B99"/>
    <w:rsid w:val="6DBB3B60"/>
    <w:rsid w:val="6E057E62"/>
    <w:rsid w:val="6E9F0D8B"/>
    <w:rsid w:val="6EA77C40"/>
    <w:rsid w:val="6EB8009F"/>
    <w:rsid w:val="6EDF562C"/>
    <w:rsid w:val="6F1133F5"/>
    <w:rsid w:val="6F1A6664"/>
    <w:rsid w:val="6F232584"/>
    <w:rsid w:val="6FA5610B"/>
    <w:rsid w:val="6FB554E9"/>
    <w:rsid w:val="6FC211D5"/>
    <w:rsid w:val="6FF9271D"/>
    <w:rsid w:val="703B063E"/>
    <w:rsid w:val="70B825D8"/>
    <w:rsid w:val="711D41EA"/>
    <w:rsid w:val="718C5A98"/>
    <w:rsid w:val="72111FA0"/>
    <w:rsid w:val="72741A44"/>
    <w:rsid w:val="72815AC1"/>
    <w:rsid w:val="7298446F"/>
    <w:rsid w:val="72FB055A"/>
    <w:rsid w:val="72FC0C75"/>
    <w:rsid w:val="730D6A0C"/>
    <w:rsid w:val="73100690"/>
    <w:rsid w:val="731A4E85"/>
    <w:rsid w:val="73510915"/>
    <w:rsid w:val="736305DA"/>
    <w:rsid w:val="73705DF6"/>
    <w:rsid w:val="739509AF"/>
    <w:rsid w:val="739C1D3D"/>
    <w:rsid w:val="73B2330F"/>
    <w:rsid w:val="73E47712"/>
    <w:rsid w:val="73F73418"/>
    <w:rsid w:val="744F6DB0"/>
    <w:rsid w:val="746501E1"/>
    <w:rsid w:val="74A72748"/>
    <w:rsid w:val="74C61B91"/>
    <w:rsid w:val="75137DDD"/>
    <w:rsid w:val="752B5127"/>
    <w:rsid w:val="75902BAF"/>
    <w:rsid w:val="7590379C"/>
    <w:rsid w:val="7590476C"/>
    <w:rsid w:val="76180C4D"/>
    <w:rsid w:val="7682521B"/>
    <w:rsid w:val="76B92C06"/>
    <w:rsid w:val="76E81657"/>
    <w:rsid w:val="76F44B9E"/>
    <w:rsid w:val="76F53C3E"/>
    <w:rsid w:val="770025E3"/>
    <w:rsid w:val="77250B48"/>
    <w:rsid w:val="775B5A6C"/>
    <w:rsid w:val="7769092B"/>
    <w:rsid w:val="777D20D6"/>
    <w:rsid w:val="7796047E"/>
    <w:rsid w:val="77C12216"/>
    <w:rsid w:val="77D66491"/>
    <w:rsid w:val="77F27C02"/>
    <w:rsid w:val="77F6BD59"/>
    <w:rsid w:val="78411105"/>
    <w:rsid w:val="78B75E9C"/>
    <w:rsid w:val="79764DDF"/>
    <w:rsid w:val="79977220"/>
    <w:rsid w:val="79C45B4A"/>
    <w:rsid w:val="79C79873"/>
    <w:rsid w:val="7A1C72A4"/>
    <w:rsid w:val="7A7668D3"/>
    <w:rsid w:val="7A9C74EF"/>
    <w:rsid w:val="7AA43E46"/>
    <w:rsid w:val="7AAC3A88"/>
    <w:rsid w:val="7AC57DCC"/>
    <w:rsid w:val="7B0C77A9"/>
    <w:rsid w:val="7B443DB5"/>
    <w:rsid w:val="7B551150"/>
    <w:rsid w:val="7BE97AEA"/>
    <w:rsid w:val="7C1A5EF5"/>
    <w:rsid w:val="7C574325"/>
    <w:rsid w:val="7CE34539"/>
    <w:rsid w:val="7CEE0A08"/>
    <w:rsid w:val="7CF41F7C"/>
    <w:rsid w:val="7D2863F0"/>
    <w:rsid w:val="7D311748"/>
    <w:rsid w:val="7D4B47F7"/>
    <w:rsid w:val="7D633DCB"/>
    <w:rsid w:val="7D9F1F50"/>
    <w:rsid w:val="7DFD7613"/>
    <w:rsid w:val="7E105F0A"/>
    <w:rsid w:val="7E484F9C"/>
    <w:rsid w:val="7E4A456A"/>
    <w:rsid w:val="7E68119A"/>
    <w:rsid w:val="7EAC3247"/>
    <w:rsid w:val="7EB02B41"/>
    <w:rsid w:val="7ECA59B1"/>
    <w:rsid w:val="7F6449AF"/>
    <w:rsid w:val="7FAE7080"/>
    <w:rsid w:val="7FAF4BA7"/>
    <w:rsid w:val="7FD03CCE"/>
    <w:rsid w:val="7FD0591D"/>
    <w:rsid w:val="7FEC7BA9"/>
    <w:rsid w:val="AF5EBA96"/>
    <w:rsid w:val="E7DF1FC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9"/>
    <w:pPr>
      <w:keepNext/>
      <w:keepLines/>
      <w:spacing w:line="440" w:lineRule="exact"/>
      <w:outlineLvl w:val="0"/>
    </w:pPr>
    <w:rPr>
      <w:kern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List 3"/>
    <w:basedOn w:val="1"/>
    <w:next w:val="1"/>
    <w:qFormat/>
    <w:uiPriority w:val="0"/>
    <w:pPr>
      <w:adjustRightInd w:val="0"/>
      <w:snapToGrid w:val="0"/>
      <w:spacing w:line="360" w:lineRule="auto"/>
      <w:ind w:left="100" w:leftChars="400" w:hanging="200" w:hangingChars="200"/>
    </w:pPr>
  </w:style>
  <w:style w:type="paragraph" w:styleId="7">
    <w:name w:val="index 8"/>
    <w:basedOn w:val="1"/>
    <w:next w:val="1"/>
    <w:unhideWhenUsed/>
    <w:qFormat/>
    <w:uiPriority w:val="99"/>
    <w:pPr>
      <w:ind w:left="1400" w:leftChars="1400"/>
    </w:p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rPr>
  </w:style>
  <w:style w:type="paragraph" w:styleId="9">
    <w:name w:val="annotation text"/>
    <w:basedOn w:val="1"/>
    <w:qFormat/>
    <w:uiPriority w:val="0"/>
    <w:pPr>
      <w:jc w:val="left"/>
    </w:pPr>
  </w:style>
  <w:style w:type="paragraph" w:styleId="10">
    <w:name w:val="Body Text"/>
    <w:basedOn w:val="1"/>
    <w:next w:val="1"/>
    <w:qFormat/>
    <w:uiPriority w:val="99"/>
    <w:pPr>
      <w:spacing w:after="120" w:line="360" w:lineRule="auto"/>
    </w:pPr>
    <w:rPr>
      <w:sz w:val="24"/>
      <w:szCs w:val="24"/>
    </w:rPr>
  </w:style>
  <w:style w:type="paragraph" w:styleId="11">
    <w:name w:val="Body Text Indent"/>
    <w:basedOn w:val="1"/>
    <w:qFormat/>
    <w:uiPriority w:val="0"/>
    <w:pPr>
      <w:spacing w:line="700" w:lineRule="exact"/>
      <w:ind w:left="960"/>
    </w:pPr>
    <w:rPr>
      <w:sz w:val="44"/>
    </w:rPr>
  </w:style>
  <w:style w:type="paragraph" w:styleId="12">
    <w:name w:val="toc 3"/>
    <w:basedOn w:val="1"/>
    <w:next w:val="1"/>
    <w:qFormat/>
    <w:uiPriority w:val="39"/>
    <w:pPr>
      <w:ind w:left="840" w:leftChars="400"/>
    </w:pPr>
  </w:style>
  <w:style w:type="paragraph" w:styleId="13">
    <w:name w:val="Plain Text"/>
    <w:basedOn w:val="1"/>
    <w:qFormat/>
    <w:uiPriority w:val="0"/>
    <w:rPr>
      <w:rFonts w:ascii="宋体" w:hAnsi="Courier New"/>
      <w:sz w:val="21"/>
    </w:rPr>
  </w:style>
  <w:style w:type="paragraph" w:styleId="14">
    <w:name w:val="Date"/>
    <w:basedOn w:val="1"/>
    <w:next w:val="1"/>
    <w:qFormat/>
    <w:uiPriority w:val="0"/>
  </w:style>
  <w:style w:type="paragraph" w:styleId="15">
    <w:name w:val="Body Text Indent 2"/>
    <w:basedOn w:val="1"/>
    <w:qFormat/>
    <w:uiPriority w:val="0"/>
    <w:pPr>
      <w:snapToGrid w:val="0"/>
      <w:spacing w:line="560" w:lineRule="atLeast"/>
      <w:ind w:firstLine="540"/>
    </w:pPr>
  </w:style>
  <w:style w:type="paragraph" w:styleId="16">
    <w:name w:val="Balloon Text"/>
    <w:basedOn w:val="1"/>
    <w:link w:val="35"/>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pPr>
      <w:spacing w:line="180" w:lineRule="auto"/>
      <w:jc w:val="center"/>
    </w:pPr>
    <w:rPr>
      <w:sz w:val="30"/>
    </w:rPr>
  </w:style>
  <w:style w:type="paragraph" w:styleId="20">
    <w:name w:val="Body Text Indent 3"/>
    <w:basedOn w:val="1"/>
    <w:qFormat/>
    <w:uiPriority w:val="0"/>
    <w:pPr>
      <w:spacing w:after="120"/>
      <w:ind w:left="420" w:leftChars="200"/>
    </w:pPr>
    <w:rPr>
      <w:rFonts w:ascii="Calibri" w:hAnsi="Calibri"/>
      <w:sz w:val="16"/>
      <w:szCs w:val="16"/>
    </w:rPr>
  </w:style>
  <w:style w:type="paragraph" w:styleId="21">
    <w:name w:val="toc 2"/>
    <w:basedOn w:val="1"/>
    <w:next w:val="1"/>
    <w:qFormat/>
    <w:uiPriority w:val="39"/>
    <w:pPr>
      <w:ind w:left="420" w:leftChars="200"/>
    </w:pPr>
  </w:style>
  <w:style w:type="paragraph" w:styleId="22">
    <w:name w:val="Body Text First Indent"/>
    <w:basedOn w:val="10"/>
    <w:qFormat/>
    <w:uiPriority w:val="0"/>
    <w:pPr>
      <w:ind w:firstLine="420"/>
    </w:pPr>
    <w:rPr>
      <w:rFonts w:ascii="宋体" w:hAnsi="宋体"/>
    </w:rPr>
  </w:style>
  <w:style w:type="paragraph" w:styleId="23">
    <w:name w:val="Body Text First Indent 2"/>
    <w:basedOn w:val="11"/>
    <w:qFormat/>
    <w:uiPriority w:val="0"/>
    <w:pPr>
      <w:spacing w:after="120" w:line="240" w:lineRule="auto"/>
      <w:ind w:left="420" w:leftChars="200" w:firstLine="420" w:firstLineChars="2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Hyperlink"/>
    <w:basedOn w:val="26"/>
    <w:qFormat/>
    <w:uiPriority w:val="99"/>
    <w:rPr>
      <w:color w:val="0000FF"/>
      <w:u w:val="single"/>
    </w:rPr>
  </w:style>
  <w:style w:type="paragraph" w:customStyle="1" w:styleId="29">
    <w:name w:val="图例"/>
    <w:basedOn w:val="1"/>
    <w:qFormat/>
    <w:uiPriority w:val="0"/>
    <w:pPr>
      <w:spacing w:before="120" w:after="120" w:line="360" w:lineRule="auto"/>
      <w:jc w:val="center"/>
    </w:pPr>
    <w:rPr>
      <w:rFonts w:eastAsia="仿宋_GB2312"/>
      <w:b/>
      <w:sz w:val="24"/>
    </w:rPr>
  </w:style>
  <w:style w:type="character" w:customStyle="1" w:styleId="30">
    <w:name w:val="NormalCharacter"/>
    <w:qFormat/>
    <w:uiPriority w:val="0"/>
  </w:style>
  <w:style w:type="character" w:customStyle="1" w:styleId="31">
    <w:name w:val="15"/>
    <w:basedOn w:val="26"/>
    <w:qFormat/>
    <w:uiPriority w:val="0"/>
    <w:rPr>
      <w:rFonts w:hint="default" w:ascii="Calibri" w:hAnsi="Calibri" w:cs="Calibri"/>
    </w:rPr>
  </w:style>
  <w:style w:type="character" w:customStyle="1" w:styleId="32">
    <w:name w:val="10"/>
    <w:basedOn w:val="26"/>
    <w:qFormat/>
    <w:uiPriority w:val="0"/>
    <w:rPr>
      <w:rFonts w:hint="default" w:ascii="Calibri" w:hAnsi="Calibri" w:cs="Calibri"/>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1"/>
    <w:basedOn w:val="1"/>
    <w:next w:val="13"/>
    <w:qFormat/>
    <w:uiPriority w:val="0"/>
    <w:rPr>
      <w:rFonts w:ascii="宋体" w:hAnsi="Courier New"/>
      <w:sz w:val="21"/>
    </w:rPr>
  </w:style>
  <w:style w:type="character" w:customStyle="1" w:styleId="35">
    <w:name w:val="批注框文本 Char"/>
    <w:basedOn w:val="26"/>
    <w:link w:val="1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f7391696-ea24-4432-a8f2-eb538f417adc</errorID>
      <errorWord>-</errorWord>
      <group>L1_Format</group>
      <groupName>格式问题</groupName>
      <ability>L2_HalfPunc</ability>
      <abilityName>全半角检查</abilityName>
      <candidateList>
        <item>－</item>
      </candidateList>
      <explain>文本全半角错误。</explain>
      <paraID>  F4E005</paraID>
      <start>3</start>
      <end>4</end>
      <status>unmodified</status>
      <modifiedWord/>
      <trackRevisions>false</trackRevisions>
    </reviewItem>
    <reviewItem>
      <errorID>21155726-7ab7-4a17-abd1-44699fc4db02</errorID>
      <errorWord>或</errorWord>
      <group>L1_Punc</group>
      <groupName>标点问题</groupName>
      <ability>L2_Punc</ability>
      <abilityName>标点符号检查</abilityName>
      <candidateList>
        <item>，或</item>
      </candidateList>
      <explain/>
      <paraID>54AC151F</paraID>
      <start>56</start>
      <end>58</end>
      <status>modified</status>
      <modifiedWord>，或</modifiedWord>
      <trackRevisions>false</trackRevisions>
    </reviewItem>
    <reviewItem>
      <errorID>f3066448-b258-4da6-b846-3fa390af7b4f</errorID>
      <errorWord>或</errorWord>
      <group>L1_Punc</group>
      <groupName>标点问题</groupName>
      <ability>L2_Punc</ability>
      <abilityName>标点符号检查</abilityName>
      <candidateList>
        <item>，或</item>
      </candidateList>
      <explain/>
      <paraID>54AC151F</paraID>
      <start>74</start>
      <end>76</end>
      <status>modified</status>
      <modifiedWord>，或</modifiedWord>
      <trackRevisions>false</trackRevisions>
    </reviewItem>
    <reviewItem>
      <errorID>0f2fa200-6331-465d-bd07-c6c87e8ba510</errorID>
      <errorWord>）</errorWord>
      <group>L1_Punc</group>
      <groupName>标点问题</groupName>
      <ability>L2_Punc</ability>
      <abilityName>标点符号检查</abilityName>
      <candidateList>
        <item>）。</item>
      </candidateList>
      <explain/>
      <paraID>54AC151F</paraID>
      <start>98</start>
      <end>100</end>
      <status>modified</status>
      <modifiedWord>）。</modifiedWord>
      <trackRevisions>false</trackRevisions>
    </reviewItem>
    <reviewItem>
      <errorID>0960c100-c766-49af-810c-5b4759074db4</errorID>
      <errorWord>－</errorWord>
      <group>L1_Punc</group>
      <groupName>标点问题</groupName>
      <ability>L2_Punc</ability>
      <abilityName>标点符号检查</abilityName>
      <candidateList>
        <item>-</item>
      </candidateList>
      <explain/>
      <paraID>35E31825</paraID>
      <start>6</start>
      <end>7</end>
      <status>ignored</status>
      <modifiedWord/>
      <trackRevisions>false</trackRevisions>
    </reviewItem>
    <reviewItem>
      <errorID>48f282e1-34a1-4be1-bbcc-a9beead425bf</errorID>
      <errorWord>、</errorWord>
      <group>L1_Punc</group>
      <groupName>标点问题</groupName>
      <ability>L2_Punc</ability>
      <abilityName>标点符号检查</abilityName>
      <candidateList>
        <item>，</item>
      </candidateList>
      <explain/>
      <paraID> 2A3A097</paraID>
      <start>242</start>
      <end>243</end>
      <status>ignored</status>
      <modifiedWord/>
      <trackRevisions>false</trackRevisions>
    </reviewItem>
    <reviewItem>
      <errorID>1483efec-0330-40d4-877e-4108bc5e2ee9</errorID>
      <errorWord>服务内容</errorWord>
      <group>L1_Grammar</group>
      <groupName>语法问题</groupName>
      <ability>L2_Grammar</ability>
      <abilityName>语法错误</abilityName>
      <candidateList>
        <item>服务</item>
      </candidateList>
      <explain/>
      <paraID> 2A3A097</paraID>
      <start>293</start>
      <end>295</end>
      <status>modified</status>
      <modifiedWord>服务</modifiedWord>
      <trackRevisions>false</trackRevisions>
    </reviewItem>
    <reviewItem>
      <errorID>24808a5e-c888-4e5e-87d1-1f1fad971c3d</errorID>
      <errorWord>（</errorWord>
      <group>L1_Punc</group>
      <groupName>标点问题</groupName>
      <ability>L2_Punc</ability>
      <abilityName>标点符号检查</abilityName>
      <candidateList/>
      <explain>同一形式括号套用。</explain>
      <paraID>1B71C060</paraID>
      <start>67</start>
      <end>68</end>
      <status>ignored</status>
      <modifiedWord/>
      <trackRevisions>false</trackRevisions>
    </reviewItem>
    <reviewItem>
      <errorID>94f5965d-7183-4e7c-ab08-67be86b6a393</errorID>
      <errorWord>）</errorWord>
      <group>L1_Punc</group>
      <groupName>标点问题</groupName>
      <ability>L2_Punc</ability>
      <abilityName>标点符号检查</abilityName>
      <candidateList/>
      <explain>同一形式括号套用。</explain>
      <paraID>1B71C060</paraID>
      <start>78</start>
      <end>79</end>
      <status>ignored</status>
      <modifiedWord/>
      <trackRevisions>false</trackRevisions>
    </reviewItem>
    <reviewItem>
      <errorID>9cbc7c71-354d-4dab-88e3-24ba1fc8fa28</errorID>
      <errorWord>（</errorWord>
      <group>L1_Punc</group>
      <groupName>标点问题</groupName>
      <ability>L2_Punc</ability>
      <abilityName>标点符号检查</abilityName>
      <candidateList/>
      <explain>同一形式括号套用。</explain>
      <paraID>3B9DEB73</paraID>
      <start>82</start>
      <end>83</end>
      <status>ignored</status>
      <modifiedWord/>
      <trackRevisions>false</trackRevisions>
    </reviewItem>
    <reviewItem>
      <errorID>a617a8a8-1df2-417e-84f3-a6eae8b80ed7</errorID>
      <errorWord>）</errorWord>
      <group>L1_Punc</group>
      <groupName>标点问题</groupName>
      <ability>L2_Punc</ability>
      <abilityName>标点符号检查</abilityName>
      <candidateList/>
      <explain>同一形式括号套用。</explain>
      <paraID>3B9DEB73</paraID>
      <start>101</start>
      <end>102</end>
      <status>ignored</status>
      <modifiedWord/>
      <trackRevisions>false</trackRevisions>
    </reviewItem>
    <reviewItem>
      <errorID>881d5ad2-caa4-4d2e-b95c-f6d5130b54d9</errorID>
      <errorWord>。]</errorWord>
      <group>L1_Punc</group>
      <groupName>标点问题</groupName>
      <ability>L2_Punc</ability>
      <abilityName>标点符号检查</abilityName>
      <candidateList>
        <item>]</item>
      </candidateList>
      <explain/>
      <paraID>3B9DEB73</paraID>
      <start>131</start>
      <end>133</end>
      <status>ignored</status>
      <modifiedWord/>
      <trackRevisions>false</trackRevisions>
    </reviewItem>
    <reviewItem>
      <errorID>c57dbe30-c86b-434b-aa38-54282cefa04c</errorID>
      <errorWord>财务</errorWord>
      <group>L1_Word</group>
      <groupName>字词问题</groupName>
      <ability>L2_Typo</ability>
      <abilityName>字词错误</abilityName>
      <candidateList>
        <item>财产</item>
      </candidateList>
      <explain/>
      <paraID>1B349A6C</paraID>
      <start>32</start>
      <end>34</end>
      <status>modified</status>
      <modifiedWord>财产</modifiedWord>
      <trackRevisions>false</trackRevisions>
    </reviewItem>
    <reviewItem>
      <errorID>811d453b-d4cb-4915-b393-829056e3baa0</errorID>
      <errorWord>其它费用</errorWord>
      <group>L1_Word</group>
      <groupName>字词问题</groupName>
      <ability>L2_Typo</ability>
      <abilityName>字词错误</abilityName>
      <candidateList>
        <item>其他费用</item>
      </candidateList>
      <explain/>
      <paraID> B81E3D4</paraID>
      <start>193</start>
      <end>197</end>
      <status>modified</status>
      <modifiedWord>其他费用</modifiedWord>
      <trackRevisions>false</trackRevisions>
    </reviewItem>
    <reviewItem>
      <errorID>63f0e55c-b950-4d4b-a346-fafd3e7d1f2d</errorID>
      <errorWord>，</errorWord>
      <group>L1_Punc</group>
      <groupName>标点问题</groupName>
      <ability>L2_Punc</ability>
      <abilityName>标点符号检查</abilityName>
      <candidateList>
        <item>。</item>
      </candidateList>
      <explain/>
      <paraID>5358B12E</paraID>
      <start>15</start>
      <end>16</end>
      <status>modified</status>
      <modifiedWord>。</modifiedWord>
      <trackRevisions>false</trackRevisions>
    </reviewItem>
    <reviewItem>
      <errorID>ac4343c8-ad78-4676-83ba-0bc23e43f65c</errorID>
      <errorWord>，</errorWord>
      <group>L1_Punc</group>
      <groupName>标点问题</groupName>
      <ability>L2_Punc</ability>
      <abilityName>标点符号检查</abilityName>
      <candidateList>
        <item>。</item>
      </candidateList>
      <explain/>
      <paraID>47BDCD99</paraID>
      <start>15</start>
      <end>16</end>
      <status>modified</status>
      <modifiedWord>。</modifiedWord>
      <trackRevisions>false</trackRevisions>
    </reviewItem>
    <reviewItem>
      <errorID>23ef9a25-dddc-4ba0-8797-8290c5d8382a</errorID>
      <errorWord>，</errorWord>
      <group>L1_Punc</group>
      <groupName>标点问题</groupName>
      <ability>L2_Punc</ability>
      <abilityName>标点符号检查</abilityName>
      <candidateList>
        <item>。</item>
      </candidateList>
      <explain/>
      <paraID>39D7E7E6</paraID>
      <start>15</start>
      <end>16</end>
      <status>modified</status>
      <modifiedWord>。</modifiedWord>
      <trackRevisions>false</trackRevisions>
    </reviewItem>
    <reviewItem>
      <errorID>d1bc8214-b3e2-4b35-8779-e99b188bfa14</errorID>
      <errorWord>，</errorWord>
      <group>L1_Punc</group>
      <groupName>标点问题</groupName>
      <ability>L2_Punc</ability>
      <abilityName>标点符号检查</abilityName>
      <candidateList>
        <item>。</item>
      </candidateList>
      <explain/>
      <paraID>1613767B</paraID>
      <start>15</start>
      <end>16</end>
      <status>modified</status>
      <modifiedWord>。</modifiedWord>
      <trackRevisions>false</trackRevisions>
    </reviewItem>
    <reviewItem>
      <errorID>46f4c851-6625-47c3-8e34-4bd824aad4b3</errorID>
      <errorWord>）或自然人</errorWord>
      <group>L1_Grammar</group>
      <groupName>语法问题</groupName>
      <ability>L2_Grammar</ability>
      <abilityName>语法错误</abilityName>
      <candidateList>
        <item>）</item>
      </candidateList>
      <explain/>
      <paraID>1AB9D489</paraID>
      <start>19</start>
      <end>20</end>
      <status>modified</status>
      <modifiedWord>）</modifiedWord>
      <trackRevisions>false</trackRevisions>
    </reviewItem>
    <reviewItem>
      <errorID>cdbd4853-fcb6-498a-98ed-83abe56d6e8f</errorID>
      <errorWord>不</errorWord>
      <group>L1_Word</group>
      <groupName>字词问题</groupName>
      <ability>L2_Typo</ability>
      <abilityName>字词错误</abilityName>
      <candidateList>
        <item>未</item>
      </candidateList>
      <explain/>
      <paraID>63776EB7</paraID>
      <start>14</start>
      <end>15</end>
      <status>modified</status>
      <modifiedWord>未</modifiedWord>
      <trackRevisions>false</trackRevisions>
    </reviewItem>
    <reviewItem>
      <errorID>a81b54ca-dc18-482e-a869-524d28925cf3</errorID>
      <errorWord>的；</errorWord>
      <group>L1_Word</group>
      <groupName>字词问题</groupName>
      <ability>L2_Typo</ability>
      <abilityName>字词错误</abilityName>
      <candidateList>
        <item>。</item>
      </candidateList>
      <explain/>
      <paraID>611590F8</paraID>
      <start>47</start>
      <end>48</end>
      <status>modified</status>
      <modifiedWord>。</modifiedWord>
      <trackRevisions>false</trackRevisions>
    </reviewItem>
    <reviewItem>
      <errorID>34a7727c-552a-4c87-b04f-2906e18cd7b2</errorID>
      <errorWord>的；</errorWord>
      <group>L1_Word</group>
      <groupName>字词问题</groupName>
      <ability>L2_Typo</ability>
      <abilityName>字词错误</abilityName>
      <candidateList>
        <item>。</item>
      </candidateList>
      <explain/>
      <paraID>1FF5F968</paraID>
      <start>22</start>
      <end>23</end>
      <status>modified</status>
      <modifiedWord>。</modifiedWord>
      <trackRevisions>false</trackRevisions>
    </reviewItem>
    <reviewItem>
      <errorID>94e32dbb-1d17-467e-973b-d5c3fdd53f50</errorID>
      <errorWord>  </errorWord>
      <group>L1_Punc</group>
      <groupName>标点问题</groupName>
      <ability>L2_Punc</ability>
      <abilityName>标点符号检查</abilityName>
      <candidateList>
        <item/>
      </candidateList>
      <explain>此处空格冗余，建议删除。</explain>
      <paraID>4379E7AF</paraID>
      <start>38</start>
      <end>40</end>
      <status>ignored</status>
      <modifiedWord/>
      <trackRevisions>false</trackRevisions>
    </reviewItem>
    <reviewItem>
      <errorID>9d744939-e2b1-4b95-8573-7d4dd10795ed</errorID>
      <errorWord>九</errorWord>
      <group>L1_Word</group>
      <groupName>字词问题</groupName>
      <ability>L2_Typo</ability>
      <abilityName>字词错误</abilityName>
      <candidateList>
        <item>等九</item>
      </candidateList>
      <explain/>
      <paraID>129A463B</paraID>
      <start>76</start>
      <end>78</end>
      <status>modified</status>
      <modifiedWord>等九</modifiedWord>
      <trackRevisions>false</trackRevisions>
    </reviewItem>
    <reviewItem>
      <errorID>8cb5e520-2fd8-483c-8df3-a3bf5792330b</errorID>
      <errorWord>。</errorWord>
      <group>L1_Punc</group>
      <groupName>标点问题</groupName>
      <ability>L2_Punc</ability>
      <abilityName>标点符号检查</abilityName>
      <candidateList>
        <item>；</item>
      </candidateList>
      <explain/>
      <paraID> 38FC113</paraID>
      <start>56</start>
      <end>57</end>
      <status>modified</status>
      <modifiedWord>；</modifiedWord>
      <trackRevisions>false</trackRevisions>
    </reviewItem>
    <reviewItem>
      <errorID>28c1381b-5976-4561-a264-af6b9dae9454</errorID>
      <errorWord>并</errorWord>
      <group>L1_Punc</group>
      <groupName>标点问题</groupName>
      <ability>L2_Punc</ability>
      <abilityName>标点符号检查</abilityName>
      <candidateList>
        <item>，并</item>
      </candidateList>
      <explain/>
      <paraID> 38FC113</paraID>
      <start>155</start>
      <end>157</end>
      <status>modified</status>
      <modifiedWord>，并</modifiedWord>
      <trackRevisions>false</trackRevisions>
    </reviewItem>
    <reviewItem>
      <errorID>0e0e3c51-de79-483c-8435-107e9a91ed5f</errorID>
      <errorWord>、</errorWord>
      <group>L1_Word</group>
      <groupName>字词问题</groupName>
      <ability>L2_Typo</ability>
      <abilityName>字词错误</abilityName>
      <candidateList>
        <item>和</item>
      </candidateList>
      <explain/>
      <paraID> 56DC360</paraID>
      <start>61</start>
      <end>62</end>
      <status>modified</status>
      <modifiedWord>和</modifiedWord>
      <trackRevisions>false</trackRevisions>
    </reviewItem>
    <reviewItem>
      <errorID>60c71076-edf1-4040-9cf2-793569909f90</errorID>
      <errorWord> </errorWord>
      <group>L1_Punc</group>
      <groupName>标点问题</groupName>
      <ability>L2_Punc</ability>
      <abilityName>标点符号检查</abilityName>
      <candidateList>
        <item/>
      </candidateList>
      <explain>此处空格冗余，建议删除。</explain>
      <paraID> E3362C0</paraID>
      <start>59</start>
      <end>60</end>
      <status>ignored</status>
      <modifiedWord/>
      <trackRevisions>false</trackRevisions>
    </reviewItem>
    <reviewItem>
      <errorID>309994e9-90e8-44e0-80fb-d8d068609472</errorID>
      <errorWord>-</errorWord>
      <group>L1_Punc</group>
      <groupName>标点问题</groupName>
      <ability>L2_Punc</ability>
      <abilityName>标点符号检查</abilityName>
      <candidateList>
        <item/>
      </candidateList>
      <explain/>
      <paraID>4600F63A</paraID>
      <start>25</start>
      <end>26</end>
      <status>ignored</status>
      <modifiedWord/>
      <trackRevisions>false</trackRevisions>
    </reviewItem>
    <reviewItem>
      <errorID>ab9adf37-af8b-4b6f-b7ab-9b367336214f</errorID>
      <errorWord>－</errorWord>
      <group>L1_Punc</group>
      <groupName>标点问题</groupName>
      <ability>L2_Punc</ability>
      <abilityName>标点符号检查</abilityName>
      <candidateList>
        <item/>
      </candidateList>
      <explain/>
      <paraID>6F70D06C</paraID>
      <start>41</start>
      <end>42</end>
      <status>ignored</status>
      <modifiedWord/>
      <trackRevisions>false</trackRevisions>
    </reviewItem>
    <reviewItem>
      <errorID>593664f0-5504-4784-aa0d-92b199060b5e</errorID>
      <errorWord> </errorWord>
      <group>L1_Punc</group>
      <groupName>标点问题</groupName>
      <ability>L2_Punc</ability>
      <abilityName>标点符号检查</abilityName>
      <candidateList>
        <item>. </item>
      </candidateList>
      <explain/>
      <paraID>466B1FE8</paraID>
      <start>3</start>
      <end>4</end>
      <status>ignored</status>
      <modifiedWord/>
      <trackRevisions>false</trackRevisions>
    </reviewItem>
    <reviewItem>
      <errorID>26a445a8-bd11-45bf-8121-b5afd07fa72c</errorID>
      <errorWord>；</errorWord>
      <group>L1_Punc</group>
      <groupName>标点问题</groupName>
      <ability>L2_Punc</ability>
      <abilityName>标点符号检查</abilityName>
      <candidateList>
        <item>，</item>
      </candidateList>
      <explain/>
      <paraID>3FF856C6</paraID>
      <start>103</start>
      <end>104</end>
      <status>ignored</status>
      <modifiedWord/>
      <trackRevisions>false</trackRevisions>
    </reviewItem>
    <reviewItem>
      <errorID>0a68c3e0-e013-4e83-bfa2-3d8500767029</errorID>
      <errorWord>差旅费、治疗费</errorWord>
      <group>L1_Grammar</group>
      <groupName>语法问题</groupName>
      <ability>L2_Grammar</ability>
      <abilityName>语法错误</abilityName>
      <candidateList>
        <item>差旅费</item>
      </candidateList>
      <explain/>
      <paraID>42E2F48D</paraID>
      <start>88</start>
      <end>95</end>
      <status>ignored</status>
      <modifiedWord/>
      <trackRevisions>false</trackRevisions>
    </reviewItem>
    <reviewItem>
      <errorID>bcb0b847-baf9-4e20-8bf2-3d3fac7a0b5d</errorID>
      <errorWord>并且包含</errorWord>
      <group>L1_Grammar</group>
      <groupName>语法问题</groupName>
      <ability>L2_Grammar</ability>
      <abilityName>语法错误</abilityName>
      <candidateList>
        <item>以及</item>
      </candidateList>
      <explain/>
      <paraID>42E2F48D</paraID>
      <start>111</start>
      <end>113</end>
      <status>modified</status>
      <modifiedWord>以及</modifiedWord>
      <trackRevisions>false</trackRevisions>
    </reviewItem>
    <reviewItem>
      <errorID>c59826fb-5423-403a-83f7-a53fa4078fb2</errorID>
      <errorWord> ；</errorWord>
      <group>L1_Punc</group>
      <groupName>标点问题</groupName>
      <ability>L2_Punc</ability>
      <abilityName>标点符号检查</abilityName>
      <candidateList>
        <item>。</item>
      </candidateList>
      <explain/>
      <paraID>63874974</paraID>
      <start>54</start>
      <end>55</end>
      <status>modified</status>
      <modifiedWord>。</modifiedWord>
      <trackRevisions>false</trackRevisions>
    </reviewItem>
    <reviewItem>
      <errorID>988401f8-223a-436a-8aff-7b55a9e1f3f2</errorID>
      <errorWord>期满止</errorWord>
      <group>L1_Word</group>
      <groupName>字词问题</groupName>
      <ability>L2_Typo</ability>
      <abilityName>字词错误</abilityName>
      <candidateList>
        <item>期满</item>
      </candidateList>
      <explain/>
      <paraID>10985E86</paraID>
      <start>73</start>
      <end>75</end>
      <status>modified</status>
      <modifiedWord>期满</modifiedWord>
      <trackRevisions>false</trackRevisions>
    </reviewItem>
    <reviewItem>
      <errorID>137eb123-871e-4f83-9c43-27e0ab8e136f</errorID>
      <errorWord>；</errorWord>
      <group>L1_Punc</group>
      <groupName>标点问题</groupName>
      <ability>L2_Punc</ability>
      <abilityName>标点符号检查</abilityName>
      <candidateList>
        <item>，</item>
      </candidateList>
      <explain/>
      <paraID> F1E858F</paraID>
      <start>73</start>
      <end>74</end>
      <status>modified</status>
      <modifiedWord>，</modifiedWord>
      <trackRevisions>false</trackRevisions>
    </reviewItem>
    <reviewItem>
      <errorID>8a035ca3-9c0d-4750-8d57-e9edd3e9ddd1</errorID>
      <errorWord>、</errorWord>
      <group>L1_Punc</group>
      <groupName>标点问题</groupName>
      <ability>L2_Punc</ability>
      <abilityName>标点符号检查</abilityName>
      <candidateList>
        <item>，</item>
      </candidateList>
      <explain/>
      <paraID>16C2D8F0</paraID>
      <start>25</start>
      <end>26</end>
      <status>modified</status>
      <modifiedWord>，</modifiedWord>
      <trackRevisions>false</trackRevisions>
    </reviewItem>
    <reviewItem>
      <errorID>afeb62a6-0146-4dee-9a12-9a774c202b62</errorID>
      <errorWord>是</errorWord>
      <group>L1_Word</group>
      <groupName>字词问题</groupName>
      <ability>L2_Typo</ability>
      <abilityName>字词错误</abilityName>
      <candidateList>
        <item>指</item>
      </candidateList>
      <explain/>
      <paraID>26259689</paraID>
      <start>13</start>
      <end>14</end>
      <status>modified</status>
      <modifiedWord>指</modifiedWord>
      <trackRevisions>false</trackRevisions>
    </reviewItem>
    <reviewItem>
      <errorID>6051ea29-57bc-4cc9-b604-44787aeda2a3</errorID>
      <errorWord>通知</errorWord>
      <group>L1_Punc</group>
      <groupName>标点问题</groupName>
      <ability>L2_Punc</ability>
      <abilityName>标点符号检查</abilityName>
      <candidateList>
        <item>，通知</item>
      </candidateList>
      <explain/>
      <paraID> D87354E</paraID>
      <start>30</start>
      <end>33</end>
      <status>modified</status>
      <modifiedWord>，通知</modifiedWord>
      <trackRevisions>false</trackRevisions>
    </reviewItem>
    <reviewItem>
      <errorID>a293621e-8647-4381-bed8-7a38f0c39ca8</errorID>
      <errorWord>中的</errorWord>
      <group>L1_Word</group>
      <groupName>字词问题</groupName>
      <ability>L2_Typo</ability>
      <abilityName>字词错误</abilityName>
      <candidateList>
        <item>中</item>
      </candidateList>
      <explain/>
      <paraID>68C8435C</paraID>
      <start>26</start>
      <end>27</end>
      <status>modified</status>
      <modifiedWord>中</modifiedWord>
      <trackRevisions>false</trackRevisions>
    </reviewItem>
    <reviewItem>
      <errorID>587537ab-3d2a-482b-b9bb-a1ca787eadbf</errorID>
      <errorWord>之内</errorWord>
      <group>L1_Word</group>
      <groupName>字词问题</groupName>
      <ability>L2_Typo</ability>
      <abilityName>字词错误</abilityName>
      <candidateList>
        <item>内</item>
      </candidateList>
      <explain/>
      <paraID>592CBE86</paraID>
      <start>22</start>
      <end>23</end>
      <status>modified</status>
      <modifiedWord>内</modifiedWord>
      <trackRevisions>false</trackRevisions>
    </reviewItem>
    <reviewItem>
      <errorID>2a054004-f76e-4c97-bf19-fc999442a65b</errorID>
      <errorWord>。</errorWord>
      <group>L1_Punc</group>
      <groupName>标点问题</groupName>
      <ability>L2_Punc</ability>
      <abilityName>标点符号检查</abilityName>
      <candidateList>
        <item>，</item>
      </candidateList>
      <explain/>
      <paraID>26F26007</paraID>
      <start>58</start>
      <end>59</end>
      <status>modified</status>
      <modifiedWord>，</modifiedWord>
      <trackRevisions>false</trackRevisions>
    </reviewItem>
    <reviewItem>
      <errorID>4ecd3367-7c29-4c79-8fad-92b566f3cbd7</errorID>
      <errorWord>雇用</errorWord>
      <group>L1_Word</group>
      <groupName>字词问题</groupName>
      <ability>L2_Typo</ability>
      <abilityName>字词错误</abilityName>
      <candidateList>
        <item>雇佣</item>
      </candidateList>
      <explain>〈动〉用货币购买劳动力。</explain>
      <paraID>5E446B63</paraID>
      <start>12</start>
      <end>14</end>
      <status>modified</status>
      <modifiedWord>雇佣</modifiedWord>
      <trackRevisions>false</trackRevisions>
    </reviewItem>
    <reviewItem>
      <errorID>93a403ba-991e-42cf-a24d-10f6082e1728</errorID>
      <errorWord>开始</errorWord>
      <group>L1_Word</group>
      <groupName>字词问题</groupName>
      <ability>L2_Typo</ability>
      <abilityName>字词错误</abilityName>
      <candidateList>
        <item> 开始</item>
      </candidateList>
      <explain/>
      <paraID>4A8B9902</paraID>
      <start>2</start>
      <end>5</end>
      <status>modified</status>
      <modifiedWord> 开始</modifiedWord>
      <trackRevisions>false</trackRevisions>
    </reviewItem>
    <reviewItem>
      <errorID>998454a7-9698-4087-8c25-f8e7ee26f855</errorID>
      <errorWord>和</errorWord>
      <group>L1_Word</group>
      <groupName>字词问题</groupName>
      <ability>L2_Typo</ability>
      <abilityName>字词错误</abilityName>
      <candidateList>
        <item>与</item>
      </candidateList>
      <explain/>
      <paraID>4A8B9902</paraID>
      <start>7</start>
      <end>8</end>
      <status>modified</status>
      <modifiedWord>与</modifiedWord>
      <trackRevisions>false</trackRevisions>
    </reviewItem>
    <reviewItem>
      <errorID>07040069-4e63-4731-98bc-22a446383e2f</errorID>
      <errorWord>监理</errorWord>
      <group>L1_Punc</group>
      <groupName>标点问题</groupName>
      <ability>L2_Punc</ability>
      <abilityName>标点符号检查</abilityName>
      <candidateList>
        <item>监理。</item>
      </candidateList>
      <explain/>
      <paraID>1D2263E0</paraID>
      <start>6</start>
      <end>9</end>
      <status>modified</status>
      <modifiedWord>监理。</modifiedWord>
      <trackRevisions>false</trackRevisions>
    </reviewItem>
    <reviewItem>
      <errorID>41f10340-cd1a-4573-8f4e-6c62a4972834</errorID>
      <errorWord>监理</errorWord>
      <group>L1_Punc</group>
      <groupName>标点问题</groupName>
      <ability>L2_Punc</ability>
      <abilityName>标点符号检查</abilityName>
      <candidateList>
        <item>监理。</item>
      </candidateList>
      <explain/>
      <paraID>7904E4ED</paraID>
      <start>6</start>
      <end>9</end>
      <status>modified</status>
      <modifiedWord>监理。</modifiedWord>
      <trackRevisions>false</trackRevisions>
    </reviewItem>
    <reviewItem>
      <errorID>53e6a597-7f65-4eaf-9f50-a618a004528a</errorID>
      <errorWord>标准</errorWord>
      <group>L1_Punc</group>
      <groupName>标点问题</groupName>
      <ability>L2_Punc</ability>
      <abilityName>标点符号检查</abilityName>
      <candidateList>
        <item>、标准</item>
      </candidateList>
      <explain/>
      <paraID>26996E46</paraID>
      <start>18</start>
      <end>21</end>
      <status>modified</status>
      <modifiedWord>、标准</modifiedWord>
      <trackRevisions>false</trackRevisions>
    </reviewItem>
    <reviewItem>
      <errorID>4e3e56ee-bd42-45eb-9836-52d2081acdc5</errorID>
      <errorWord>之外</errorWord>
      <group>L1_Word</group>
      <groupName>字词问题</groupName>
      <ability>L2_Typo</ability>
      <abilityName>字词错误</abilityName>
      <candidateList>
        <item>外</item>
      </candidateList>
      <explain/>
      <paraID>4A3BA83A</paraID>
      <start>91</start>
      <end>92</end>
      <status>modified</status>
      <modifiedWord>外</modifiedWord>
      <trackRevisions>false</trackRevisions>
    </reviewItem>
    <reviewItem>
      <errorID>baf71dd5-0bd3-4c8d-b6f0-96eea15db5e4</errorID>
      <errorWord>负责</errorWord>
      <group>L1_Word</group>
      <groupName>字词问题</groupName>
      <ability>L2_Typo</ability>
      <abilityName>字词错误</abilityName>
      <candidateList>
        <item>承担</item>
      </candidateList>
      <explain/>
      <paraID> 62FED6F</paraID>
      <start>52</start>
      <end>54</end>
      <status>modified</status>
      <modifiedWord>承担</modifiedWord>
      <trackRevisions>false</trackRevisions>
    </reviewItem>
    <reviewItem>
      <errorID>eab123d0-9eb0-4a5d-b6de-e7ff89db965f</errorID>
      <errorWord>拒收的</errorWord>
      <group>L1_Word</group>
      <groupName>字词问题</groupName>
      <ability>L2_Typo</ability>
      <abilityName>字词错误</abilityName>
      <candidateList>
        <item>拒收</item>
      </candidateList>
      <explain/>
      <paraID>3D83999D</paraID>
      <start>32</start>
      <end>34</end>
      <status>modified</status>
      <modifiedWord>拒收</modifiedWord>
      <trackRevisions>false</trackRevisions>
    </reviewItem>
    <reviewItem>
      <errorID>270f8ad4-3a6f-4d01-b190-be581202b028</errorID>
      <errorWord>一致时</errorWord>
      <group>L1_Word</group>
      <groupName>字词问题</groupName>
      <ability>L2_Typo</ability>
      <abilityName>字词错误</abilityName>
      <candidateList>
        <item>一致</item>
      </candidateList>
      <explain/>
      <paraID>3FFFC049</paraID>
      <start>44</start>
      <end>46</end>
      <status>modified</status>
      <modifiedWord>一致</modifiedWord>
      <trackRevisions>false</trackRevisions>
    </reviewItem>
    <reviewItem>
      <errorID>d1842c16-e849-4740-8105-d2b4f162c23d</errorID>
      <errorWord>贮存</errorWord>
      <group>L1_Word</group>
      <groupName>字词问题</groupName>
      <ability>L2_Typo</ability>
      <abilityName>字词错误</abilityName>
      <candidateList>
        <item>存储</item>
      </candidateList>
      <explain/>
      <paraID>3FFFC049</paraID>
      <start>128</start>
      <end>130</end>
      <status>modified</status>
      <modifiedWord>存储</modifiedWord>
      <trackRevisions>false</trackRevisions>
    </reviewItem>
    <reviewItem>
      <errorID>62ae7ec6-978c-48ca-90b4-39e6fd4b23a3</errorID>
      <errorWord>监理</errorWord>
      <group>L1_Word</group>
      <groupName>字词问题</groupName>
      <ability>L2_Typo</ability>
      <abilityName>字词错误</abilityName>
      <candidateList>
        <item> 监理</item>
      </candidateList>
      <explain/>
      <paraID>38572417</paraID>
      <start>2</start>
      <end>5</end>
      <status>modified</status>
      <modifiedWord> 监理</modifiedWord>
      <trackRevisions>false</trackRevisions>
    </reviewItem>
    <reviewItem>
      <errorID>ba21fa66-d18b-4462-87a7-6ca793869bd4</errorID>
      <errorWord>保险</errorWord>
      <group>L1_Punc</group>
      <groupName>标点问题</groupName>
      <ability>L2_Punc</ability>
      <abilityName>标点符号检查</abilityName>
      <candidateList>
        <item>保险。</item>
      </candidateList>
      <explain/>
      <paraID>38572417</paraID>
      <start>8</start>
      <end>11</end>
      <status>modified</status>
      <modifiedWord>保险。</modifiedWord>
      <trackRevisions>false</trackRevisions>
    </reviewItem>
    <reviewItem>
      <errorID>6987b4ec-d371-4e02-92b0-636222d9e25f</errorID>
      <errorWord>主体</errorWord>
      <group>L1_Punc</group>
      <groupName>标点问题</groupName>
      <ability>L2_Punc</ability>
      <abilityName>标点符号检查</abilityName>
      <candidateList>
        <item>主体。</item>
      </candidateList>
      <explain/>
      <paraID>1B303242</paraID>
      <start>8</start>
      <end>11</end>
      <status>modified</status>
      <modifiedWord>主体。</modifiedWord>
      <trackRevisions>false</trackRevisions>
    </reviewItem>
    <reviewItem>
      <errorID>ea841a26-8ae0-415f-90d0-57fe45cfc493</errorID>
      <errorWord>技能</errorWord>
      <group>L1_Punc</group>
      <groupName>标点问题</groupName>
      <ability>L2_Punc</ability>
      <abilityName>标点符号检查</abilityName>
      <candidateList>
        <item>、技能</item>
      </candidateList>
      <explain/>
      <paraID>32F0E834</paraID>
      <start>24</start>
      <end>27</end>
      <status>modified</status>
      <modifiedWord>、技能</modifiedWord>
      <trackRevisions>false</trackRevisions>
    </reviewItem>
    <reviewItem>
      <errorID>17d149a1-76e4-47b3-9054-c18bf45e14e4</errorID>
      <errorWord>为</errorWord>
      <group>L1_Word</group>
      <groupName>字词问题</groupName>
      <ability>L2_Typo</ability>
      <abilityName>字词错误</abilityName>
      <candidateList>
        <item>实行</item>
      </candidateList>
      <explain/>
      <paraID>6614AD23</paraID>
      <start>10</start>
      <end>12</end>
      <status>modified</status>
      <modifiedWord>实行</modifiedWord>
      <trackRevisions>false</trackRevisions>
    </reviewItem>
    <reviewItem>
      <errorID>d2410102-46f0-4534-88b8-f15980d1a9d4</errorID>
      <errorWord>责任保险</errorWord>
      <group>L1_Punc</group>
      <groupName>标点问题</groupName>
      <ability>L2_Punc</ability>
      <abilityName>标点符号检查</abilityName>
      <candidateList>
        <item>责任保险。</item>
      </candidateList>
      <explain/>
      <paraID>2CB68042</paraID>
      <start>6</start>
      <end>11</end>
      <status>modified</status>
      <modifiedWord>责任保险。</modifiedWord>
      <trackRevisions>false</trackRevisions>
    </reviewItem>
    <reviewItem>
      <errorID>11999271-c43e-45d7-8ef9-8ee7bc6ea348</errorID>
      <errorWord>中</errorWord>
      <group>L1_Grammar</group>
      <groupName>语法问题</groupName>
      <ability>L2_Grammar</ability>
      <abilityName>语法错误</abilityName>
      <candidateList>
        <item>过程中</item>
      </candidateList>
      <explain/>
      <paraID>323ACEB4</paraID>
      <start>12</start>
      <end>15</end>
      <status>modified</status>
      <modifiedWord>过程中</modifiedWord>
      <trackRevisions>false</trackRevisions>
    </reviewItem>
    <reviewItem>
      <errorID>03181368-9574-4fd8-bee8-ce2a7dd9423d</errorID>
      <errorWord>竞争性谈判报价函</errorWord>
      <group>L1_Other</group>
      <groupName>其他问题</groupName>
      <ability>L2_Consistency</ability>
      <abilityName>一致性检查</abilityName>
      <candidateList>
        <item>竞采报价</item>
      </candidateList>
      <explain>术语一致性：在文本中关于报价函的表述不一致，结合前文应统一为“竞采报价”</explain>
      <paraID>753A61F4</paraID>
      <start>3</start>
      <end>7</end>
      <status>modified</status>
      <modifiedWord>竞采报价</modifiedWord>
      <trackRevisions>false</trackRevisions>
    </reviewItem>
    <reviewItem>
      <errorID>a9d38e3b-06e5-4be4-b166-a751c21fcd17</errorID>
      <errorWord>，</errorWord>
      <group>L1_Punc</group>
      <groupName>标点问题</groupName>
      <ability>L2_Punc</ability>
      <abilityName>标点符号检查</abilityName>
      <candidateList>
        <item>，。</item>
      </candidateList>
      <explain/>
      <paraID>24B6D7DF</paraID>
      <start>7</start>
      <end>9</end>
      <status>modified</status>
      <modifiedWord>，。</modifiedWord>
      <trackRevisions>false</trackRevisions>
    </reviewItem>
    <reviewItem>
      <errorID>80078a8a-f9fe-49db-a529-f35e97522706</errorID>
      <errorWord>，</errorWord>
      <group>L1_Punc</group>
      <groupName>标点问题</groupName>
      <ability>L2_Punc</ability>
      <abilityName>标点符号检查</abilityName>
      <candidateList>
        <item>，。</item>
      </candidateList>
      <explain/>
      <paraID>1B8C6311</paraID>
      <start>21</start>
      <end>23</end>
      <status>modified</status>
      <modifiedWord>，。</modifiedWord>
      <trackRevisions>false</trackRevisions>
    </reviewItem>
    <reviewItem>
      <errorID>2943603b-d0f0-41c9-bd19-ed42eb62d059</errorID>
      <errorWord>。</errorWord>
      <group>L1_Punc</group>
      <groupName>标点问题</groupName>
      <ability>L2_Punc</ability>
      <abilityName>标点符号检查</abilityName>
      <candidateList>
        <item>，。</item>
      </candidateList>
      <explain/>
      <paraID>50A649A8</paraID>
      <start>9</start>
      <end>11</end>
      <status>modified</status>
      <modifiedWord>，。</modifiedWord>
      <trackRevisions>false</trackRevisions>
    </reviewItem>
    <reviewItem>
      <errorID>088c7f72-bc83-41f0-8d1f-e5f18a13d953</errorID>
      <errorWord>。</errorWord>
      <group>L1_Punc</group>
      <groupName>标点问题</groupName>
      <ability>L2_Punc</ability>
      <abilityName>标点符号检查</abilityName>
      <candidateList>
        <item>，。</item>
      </candidateList>
      <explain/>
      <paraID>448B9444</paraID>
      <start>19</start>
      <end>21</end>
      <status>modified</status>
      <modifiedWord>，。</modifiedWord>
      <trackRevisions>false</trackRevisions>
    </reviewItem>
    <reviewItem>
      <errorID>e90fdc70-0ca6-4c0e-95cf-c8257ffd3c7e</errorID>
      <errorWord>。</errorWord>
      <group>L1_Punc</group>
      <groupName>标点问题</groupName>
      <ability>L2_Punc</ability>
      <abilityName>标点符号检查</abilityName>
      <candidateList>
        <item>，。</item>
      </candidateList>
      <explain/>
      <paraID>26D26111</paraID>
      <start>30</start>
      <end>32</end>
      <status>modified</status>
      <modifiedWord>，。</modifiedWord>
      <trackRevisions>false</trackRevisions>
    </reviewItem>
    <reviewItem>
      <errorID>be2e7a8f-3245-44e4-a421-9ddfaea77f9d</errorID>
      <errorWord>。</errorWord>
      <group>L1_Punc</group>
      <groupName>标点问题</groupName>
      <ability>L2_Punc</ability>
      <abilityName>标点符号检查</abilityName>
      <candidateList>
        <item>，。</item>
      </candidateList>
      <explain/>
      <paraID>5C2CF20F</paraID>
      <start>20</start>
      <end>22</end>
      <status>modified</status>
      <modifiedWord>，。</modifiedWord>
      <trackRevisions>false</trackRevisions>
    </reviewItem>
    <reviewItem>
      <errorID>ae14582a-85d8-462b-bb87-8fa3a32ed6e1</errorID>
      <errorWord>。</errorWord>
      <group>L1_Punc</group>
      <groupName>标点问题</groupName>
      <ability>L2_Punc</ability>
      <abilityName>标点符号检查</abilityName>
      <candidateList>
        <item>，。</item>
      </candidateList>
      <explain/>
      <paraID>457B9281</paraID>
      <start>28</start>
      <end>30</end>
      <status>modified</status>
      <modifiedWord>，。</modifiedWord>
      <trackRevisions>false</trackRevisions>
    </reviewItem>
    <reviewItem>
      <errorID>fd65683c-2798-46ef-97d3-238d4f3d2838</errorID>
      <errorWord>。</errorWord>
      <group>L1_Punc</group>
      <groupName>标点问题</groupName>
      <ability>L2_Punc</ability>
      <abilityName>标点符号检查</abilityName>
      <candidateList>
        <item>，。</item>
      </candidateList>
      <explain/>
      <paraID>3A677935</paraID>
      <start>30</start>
      <end>32</end>
      <status>modified</status>
      <modifiedWord>，。</modifiedWord>
      <trackRevisions>false</trackRevisions>
    </reviewItem>
    <reviewItem>
      <errorID>607108eb-a466-410c-b343-ae6fbae7c0ef</errorID>
      <errorWord>。</errorWord>
      <group>L1_Punc</group>
      <groupName>标点问题</groupName>
      <ability>L2_Punc</ability>
      <abilityName>标点符号检查</abilityName>
      <candidateList>
        <item>，。</item>
      </candidateList>
      <explain/>
      <paraID>6C04EA0D</paraID>
      <start>39</start>
      <end>41</end>
      <status>modified</status>
      <modifiedWord>，。</modifiedWord>
      <trackRevisions>false</trackRevisions>
    </reviewItem>
    <reviewItem>
      <errorID>67e8b1b8-e68c-4539-952c-941c1bfbfcf7</errorID>
      <errorWord>。</errorWord>
      <group>L1_Punc</group>
      <groupName>标点问题</groupName>
      <ability>L2_Punc</ability>
      <abilityName>标点符号检查</abilityName>
      <candidateList>
        <item>，。</item>
      </candidateList>
      <explain/>
      <paraID>3BA125FF</paraID>
      <start>55</start>
      <end>57</end>
      <status>modified</status>
      <modifiedWord>，。</modifiedWord>
      <trackRevisions>false</trackRevisions>
    </reviewItem>
    <reviewItem>
      <errorID>073c89a4-4144-4845-b031-41d43715407e</errorID>
      <errorWord>。</errorWord>
      <group>L1_Punc</group>
      <groupName>标点问题</groupName>
      <ability>L2_Punc</ability>
      <abilityName>标点符号检查</abilityName>
      <candidateList>
        <item>，。</item>
      </candidateList>
      <explain/>
      <paraID>7DD84373</paraID>
      <start>52</start>
      <end>54</end>
      <status>modified</status>
      <modifiedWord>，。</modifiedWord>
      <trackRevisions>false</trackRevisions>
    </reviewItem>
    <reviewItem>
      <errorID>a26520fe-4ad6-46a3-a4a2-f2bcbbeff315</errorID>
      <errorWord>。</errorWord>
      <group>L1_Punc</group>
      <groupName>标点问题</groupName>
      <ability>L2_Punc</ability>
      <abilityName>标点符号检查</abilityName>
      <candidateList>
        <item>。，</item>
      </candidateList>
      <explain/>
      <paraID>7484B468</paraID>
      <start>9</start>
      <end>11</end>
      <status>modified</status>
      <modifiedWord>。，</modifiedWord>
      <trackRevisions>false</trackRevisions>
    </reviewItem>
    <reviewItem>
      <errorID>0dc301a9-419d-4e6b-a4de-2fbadea9cfa0</errorID>
      <errorWord>。</errorWord>
      <group>L1_Punc</group>
      <groupName>标点问题</groupName>
      <ability>L2_Punc</ability>
      <abilityName>标点符号检查</abilityName>
      <candidateList>
        <item>。，</item>
      </candidateList>
      <explain/>
      <paraID>26C49AD0</paraID>
      <start>6</start>
      <end>8</end>
      <status>modified</status>
      <modifiedWord>。，</modifiedWord>
      <trackRevisions>false</trackRevisions>
    </reviewItem>
    <reviewItem>
      <errorID>99dfb6a7-1586-45a0-8702-6623e92e7ac6</errorID>
      <errorWord>。</errorWord>
      <group>L1_Punc</group>
      <groupName>标点问题</groupName>
      <ability>L2_Punc</ability>
      <abilityName>标点符号检查</abilityName>
      <candidateList>
        <item>。，</item>
      </candidateList>
      <explain/>
      <paraID>7CA29303</paraID>
      <start>8</start>
      <end>10</end>
      <status>modified</status>
      <modifiedWord>。，</modifiedWord>
      <trackRevisions>false</trackRevisions>
    </reviewItem>
    <reviewItem>
      <errorID>a61c563e-6483-448c-9792-086c4b0eac2a</errorID>
      <errorWord>提供</errorWord>
      <group>L1_Word</group>
      <groupName>字词问题</groupName>
      <ability>L2_Typo</ability>
      <abilityName>字词错误</abilityName>
      <candidateList>
        <item>到位</item>
      </candidateList>
      <explain/>
      <paraID>2B0CE247</paraID>
      <start>31</start>
      <end>33</end>
      <status>modified</status>
      <modifiedWord>到位</modifiedWord>
      <trackRevisions>false</trackRevisions>
    </reviewItem>
    <reviewItem>
      <errorID>ae4d863d-8e1c-4351-afe3-9eb717bebefb</errorID>
      <errorWord>妥善</errorWord>
      <group>L1_Word</group>
      <groupName>字词问题</groupName>
      <ability>L2_Typo</ability>
      <abilityName>字词错误</abilityName>
      <candidateList>
        <item>并妥善</item>
      </candidateList>
      <explain/>
      <paraID>26254BD3</paraID>
      <start>39</start>
      <end>42</end>
      <status>modified</status>
      <modifiedWord>并妥善</modifiedWord>
      <trackRevisions>false</trackRevisions>
    </reviewItem>
    <reviewItem>
      <errorID>ce022cca-05b2-45ef-bf01-a55eb5a3ccd2</errorID>
      <errorWord>；并</errorWord>
      <group>L1_Word</group>
      <groupName>字词问题</groupName>
      <ability>L2_Typo</ability>
      <abilityName>字词错误</abilityName>
      <candidateList>
        <item>，</item>
      </candidateList>
      <explain/>
      <paraID>3AD711E0</paraID>
      <start>63</start>
      <end>64</end>
      <status>modified</status>
      <modifiedWord>，</modifiedWord>
      <trackRevisions>false</trackRevisions>
    </reviewItem>
    <reviewItem>
      <errorID>b95e3927-4483-4b22-9567-e9cbf65a3a85</errorID>
      <errorWord> </errorWord>
      <group>L1_Punc</group>
      <groupName>标点问题</groupName>
      <ability>L2_Punc</ability>
      <abilityName>标点符号检查</abilityName>
      <candidateList>
        <item/>
      </candidateList>
      <explain>此处空格冗余，建议删除。</explain>
      <paraID>59798AE0</paraID>
      <start>40</start>
      <end>41</end>
      <status>ignored</status>
      <modifiedWord/>
      <trackRevisions>false</trackRevisions>
    </reviewItem>
    <reviewItem>
      <errorID>be065380-5827-4627-b443-90af690f65d2</errorID>
      <errorWord>。</errorWord>
      <group>L1_Punc</group>
      <groupName>标点问题</groupName>
      <ability>L2_Punc</ability>
      <abilityName>标点符号检查</abilityName>
      <candidateList>
        <item>，</item>
      </candidateList>
      <explain/>
      <paraID>59798AE0</paraID>
      <start>203</start>
      <end>204</end>
      <status>modified</status>
      <modifiedWord>，</modifiedWord>
      <trackRevisions>false</trackRevisions>
    </reviewItem>
    <reviewItem>
      <errorID>1f1ed262-2fda-4a83-b469-f9b06654218d</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3E68871</paraID>
      <start>133</start>
      <end>145</end>
      <status>ignored</status>
      <modifiedWord/>
      <trackRevisions>false</trackRevisions>
    </reviewItem>
    <reviewItem>
      <errorID>d6426822-ee2e-49db-97a6-7d6073c2a65f</errorID>
      <errorWord>时间要求</errorWord>
      <group>L1_Grammar</group>
      <groupName>语法问题</groupName>
      <ability>L2_Grammar</ability>
      <abilityName>语法错误</abilityName>
      <candidateList>
        <item>时间</item>
      </candidateList>
      <explain/>
      <paraID>  FDCBF5</paraID>
      <start>119</start>
      <end>121</end>
      <status>modified</status>
      <modifiedWord>时间</modifiedWord>
      <trackRevisions>false</trackRevisions>
    </reviewItem>
    <reviewItem>
      <errorID>08adbb5f-2b96-41f0-bff5-fd3d0c12e292</errorID>
      <errorWord>：</errorWord>
      <group>L1_Word</group>
      <groupName>字词问题</groupName>
      <ability>L2_Typo</ability>
      <abilityName>字词错误</abilityName>
      <candidateList>
        <item>应</item>
      </candidateList>
      <explain/>
      <paraID>6BC494DB</paraID>
      <start>27</start>
      <end>28</end>
      <status>modified</status>
      <modifiedWord>应</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223cc3-8de3-48e9-9a67-c8111eed46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20320</Words>
  <Characters>21521</Characters>
  <Lines>346</Lines>
  <Paragraphs>97</Paragraphs>
  <TotalTime>0</TotalTime>
  <ScaleCrop>false</ScaleCrop>
  <LinksUpToDate>false</LinksUpToDate>
  <CharactersWithSpaces>22295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2025-10-28T18:32:00Z</dcterms:created>
  <dc:creator>谢海樱</dc:creator>
  <cp:lastModifiedBy>董</cp:lastModifiedBy>
  <cp:lastPrinted>2025-11-10T19:38:00Z</cp:lastPrinted>
  <dcterms:modified xsi:type="dcterms:W3CDTF">2026-05-27T02:26:00Z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2251D8973CC64629AB731B11A3EE5C7A_13</vt:lpwstr>
  </property>
  <property fmtid="{D5CDD505-2E9C-101B-9397-08002B2CF9AE}" pid="4" name="KSOTemplateDocerSaveRecord">
    <vt:lpwstr>eyJoZGlkIjoiNzc1Zjk0MjM5ZTdmZGNjYzU0ODdkMGYzMTE1ZjM5ZjciLCJ1c2VySWQiOiIxNTU0MDgzMDU1In0=</vt:lpwstr>
  </property>
</Properties>
</file>