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48704">
      <w:pPr>
        <w:spacing w:line="560" w:lineRule="exact"/>
        <w:jc w:val="center"/>
        <w:rPr>
          <w:rFonts w:ascii="方正小标宋_GBK" w:hAnsi="宋体" w:eastAsia="方正小标宋_GBK"/>
          <w:sz w:val="36"/>
          <w:szCs w:val="36"/>
        </w:rPr>
      </w:pPr>
      <w:r>
        <w:rPr>
          <w:rFonts w:hint="eastAsia" w:ascii="方正小标宋_GBK" w:hAnsi="宋体" w:eastAsia="方正小标宋_GBK"/>
          <w:sz w:val="36"/>
          <w:szCs w:val="36"/>
        </w:rPr>
        <w:t>重庆市合川区妇幼保健院</w:t>
      </w:r>
    </w:p>
    <w:p w14:paraId="709F6AAC">
      <w:pPr>
        <w:spacing w:line="560" w:lineRule="exact"/>
        <w:jc w:val="center"/>
        <w:rPr>
          <w:rFonts w:ascii="方正小标宋_GBK" w:hAnsi="宋体" w:eastAsia="方正小标宋_GBK"/>
          <w:sz w:val="36"/>
          <w:szCs w:val="36"/>
        </w:rPr>
      </w:pPr>
      <w:r>
        <w:rPr>
          <w:rFonts w:hint="eastAsia" w:ascii="方正小标宋_GBK" w:hAnsi="宋体" w:eastAsia="方正小标宋_GBK"/>
          <w:sz w:val="36"/>
          <w:szCs w:val="36"/>
          <w:lang w:eastAsia="zh-CN"/>
        </w:rPr>
        <w:t>数字影像服务</w:t>
      </w:r>
      <w:r>
        <w:rPr>
          <w:rFonts w:hint="eastAsia" w:ascii="方正小标宋_GBK" w:hAnsi="宋体" w:eastAsia="方正小标宋_GBK"/>
          <w:sz w:val="36"/>
          <w:szCs w:val="36"/>
        </w:rPr>
        <w:t>采购公告</w:t>
      </w:r>
    </w:p>
    <w:p w14:paraId="1424674F">
      <w:pPr>
        <w:spacing w:line="560" w:lineRule="exact"/>
        <w:jc w:val="center"/>
        <w:rPr>
          <w:rFonts w:ascii="方正仿宋" w:hAnsi="宋体" w:eastAsia="方正仿宋" w:cs="宋体"/>
          <w:b/>
          <w:kern w:val="0"/>
          <w:sz w:val="44"/>
          <w:szCs w:val="44"/>
        </w:rPr>
      </w:pPr>
      <w:r>
        <w:rPr>
          <w:rFonts w:hint="eastAsia" w:ascii="方正小标宋_GBK" w:hAnsi="宋体" w:eastAsia="方正小标宋_GBK"/>
          <w:sz w:val="36"/>
          <w:szCs w:val="30"/>
        </w:rPr>
        <w:t>（询价编号：XXK2025</w:t>
      </w:r>
      <w:r>
        <w:rPr>
          <w:rFonts w:hint="eastAsia" w:ascii="方正小标宋_GBK" w:hAnsi="宋体" w:eastAsia="方正小标宋_GBK"/>
          <w:sz w:val="36"/>
          <w:szCs w:val="30"/>
          <w:lang w:val="en-US" w:eastAsia="zh-CN"/>
        </w:rPr>
        <w:t>10</w:t>
      </w:r>
      <w:r>
        <w:rPr>
          <w:rFonts w:hint="eastAsia" w:ascii="方正小标宋_GBK" w:hAnsi="宋体" w:eastAsia="方正小标宋_GBK"/>
          <w:sz w:val="36"/>
          <w:szCs w:val="30"/>
        </w:rPr>
        <w:t>）</w:t>
      </w:r>
    </w:p>
    <w:p w14:paraId="7944A160">
      <w:pPr>
        <w:spacing w:line="500" w:lineRule="exact"/>
        <w:rPr>
          <w:rFonts w:ascii="方正仿宋_GBK" w:hAnsi="方正仿宋_GBK" w:eastAsia="方正仿宋_GBK" w:cs="方正仿宋_GBK"/>
          <w:color w:val="000000"/>
          <w:sz w:val="30"/>
          <w:szCs w:val="30"/>
        </w:rPr>
      </w:pPr>
    </w:p>
    <w:p w14:paraId="4251282B">
      <w:pPr>
        <w:spacing w:line="500" w:lineRule="exact"/>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各潜在供应商：</w:t>
      </w:r>
    </w:p>
    <w:p w14:paraId="1476ABCA">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我单位询价实行不报名（是指不事先报名）和资格后审，潜在供应商在网上自行下载询价文件，在规定时间内按要求参与询价。为提高询价活动的成交率，帮助您正视您的合法权益，减少不必要的询价失败，特提醒关注包括但不限于下列问题：</w:t>
      </w:r>
    </w:p>
    <w:p w14:paraId="52495B62">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1、请潜在供应商认真仔细阅读询价文件，按要求认真仔细地准备好相关资料后再参与询价活动。</w:t>
      </w:r>
    </w:p>
    <w:p w14:paraId="320D56EF">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2、请潜在供应商按要求准确填写响应文件，在法定代表人或授权代理人（签字）的位置应签字，在要求潜在供应商加盖公章的地方要加盖公章。</w:t>
      </w:r>
    </w:p>
    <w:p w14:paraId="2B27E078">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3、潜在供应商在填写报价金额时，应按照询价文件要求的最高限价的单位填写，不要填错；报价的大写金额应按照正确的书写格式填写，不写错别字。</w:t>
      </w:r>
    </w:p>
    <w:p w14:paraId="3572AF85">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4、潜在供应商递交的响应文件要按照询价文件的要求包装且密封完好，并在密封处加盖印章。</w:t>
      </w:r>
    </w:p>
    <w:p w14:paraId="71F497BE">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5、潜在供应商提交的资质等材料，应按询价文件要求提交原件或复印件加盖单位鲜章；提供的资质材料应按询价文件要求是有效的资质，提供的资质材料应按询价文件要求提供齐全，不要漏项。</w:t>
      </w:r>
    </w:p>
    <w:p w14:paraId="3193B46F">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6、潜在供应商应随时关注在“行采家”网站上发布的相关询价项目的答疑和补遗等文件。</w:t>
      </w:r>
    </w:p>
    <w:p w14:paraId="2729F8E6">
      <w:pPr>
        <w:keepNext/>
        <w:keepLines/>
        <w:pageBreakBefore/>
        <w:spacing w:before="312" w:beforeLines="100" w:after="312" w:afterLines="100" w:line="400" w:lineRule="exact"/>
        <w:jc w:val="center"/>
        <w:outlineLvl w:val="0"/>
      </w:pPr>
      <w:bookmarkStart w:id="0" w:name="_Toc25407"/>
      <w:bookmarkStart w:id="1" w:name="_Toc15978"/>
      <w:bookmarkStart w:id="2" w:name="_Toc19471"/>
      <w:bookmarkStart w:id="3" w:name="_Toc29070"/>
      <w:bookmarkStart w:id="4" w:name="_Toc3457"/>
      <w:r>
        <w:rPr>
          <w:rFonts w:hint="eastAsia" w:ascii="方正小标宋_GBK" w:eastAsia="方正小标宋_GBK"/>
          <w:sz w:val="36"/>
          <w:szCs w:val="36"/>
        </w:rPr>
        <w:t>目   录</w:t>
      </w:r>
      <w:bookmarkEnd w:id="0"/>
      <w:bookmarkEnd w:id="1"/>
      <w:bookmarkEnd w:id="2"/>
      <w:bookmarkEnd w:id="3"/>
      <w:bookmarkEnd w:id="4"/>
      <w:r>
        <w:fldChar w:fldCharType="begin"/>
      </w:r>
      <w:r>
        <w:instrText xml:space="preserve">TOC \o "1-3" \h \u </w:instrText>
      </w:r>
      <w:r>
        <w:fldChar w:fldCharType="separate"/>
      </w:r>
    </w:p>
    <w:p w14:paraId="46527F5A">
      <w:pPr>
        <w:pStyle w:val="14"/>
        <w:tabs>
          <w:tab w:val="right" w:leader="dot" w:pos="8306"/>
        </w:tabs>
        <w:spacing w:line="500" w:lineRule="exact"/>
      </w:pPr>
      <w:r>
        <w:fldChar w:fldCharType="begin"/>
      </w:r>
      <w:r>
        <w:instrText xml:space="preserve"> HYPERLINK \l "_Toc3457" </w:instrText>
      </w:r>
      <w:r>
        <w:fldChar w:fldCharType="separate"/>
      </w:r>
      <w:r>
        <w:rPr>
          <w:rFonts w:hint="eastAsia" w:ascii="方正小标宋_GBK" w:eastAsia="方正小标宋_GBK"/>
          <w:szCs w:val="36"/>
        </w:rPr>
        <w:t>目   录</w:t>
      </w:r>
      <w:r>
        <w:tab/>
      </w:r>
      <w:r>
        <w:fldChar w:fldCharType="begin"/>
      </w:r>
      <w:r>
        <w:instrText xml:space="preserve"> PAGEREF _Toc3457 \h </w:instrText>
      </w:r>
      <w:r>
        <w:fldChar w:fldCharType="separate"/>
      </w:r>
      <w:r>
        <w:t>2</w:t>
      </w:r>
      <w:r>
        <w:fldChar w:fldCharType="end"/>
      </w:r>
      <w:r>
        <w:fldChar w:fldCharType="end"/>
      </w:r>
    </w:p>
    <w:p w14:paraId="4EA9B5FF">
      <w:pPr>
        <w:pStyle w:val="14"/>
        <w:tabs>
          <w:tab w:val="right" w:leader="dot" w:pos="8306"/>
        </w:tabs>
        <w:spacing w:line="500" w:lineRule="exact"/>
      </w:pPr>
      <w:r>
        <w:fldChar w:fldCharType="begin"/>
      </w:r>
      <w:r>
        <w:instrText xml:space="preserve"> HYPERLINK \l "_Toc16204" </w:instrText>
      </w:r>
      <w:r>
        <w:fldChar w:fldCharType="separate"/>
      </w:r>
      <w:r>
        <w:rPr>
          <w:rFonts w:hint="eastAsia" w:ascii="方正小标宋_GBK" w:hAnsi="宋体" w:eastAsia="方正小标宋_GBK"/>
          <w:szCs w:val="30"/>
        </w:rPr>
        <w:t>第一篇  询价邀请书</w:t>
      </w:r>
      <w:r>
        <w:tab/>
      </w:r>
      <w:r>
        <w:fldChar w:fldCharType="begin"/>
      </w:r>
      <w:r>
        <w:instrText xml:space="preserve"> PAGEREF _Toc16204 \h </w:instrText>
      </w:r>
      <w:r>
        <w:fldChar w:fldCharType="separate"/>
      </w:r>
      <w:r>
        <w:t>4</w:t>
      </w:r>
      <w:r>
        <w:fldChar w:fldCharType="end"/>
      </w:r>
      <w:r>
        <w:fldChar w:fldCharType="end"/>
      </w:r>
    </w:p>
    <w:p w14:paraId="7FA26A1D">
      <w:pPr>
        <w:pStyle w:val="6"/>
        <w:tabs>
          <w:tab w:val="right" w:leader="dot" w:pos="8306"/>
        </w:tabs>
        <w:spacing w:line="500" w:lineRule="exact"/>
        <w:ind w:left="1120"/>
      </w:pPr>
      <w:r>
        <w:fldChar w:fldCharType="begin"/>
      </w:r>
      <w:r>
        <w:instrText xml:space="preserve"> HYPERLINK \l "_Toc22275" </w:instrText>
      </w:r>
      <w:r>
        <w:fldChar w:fldCharType="separate"/>
      </w:r>
      <w:r>
        <w:rPr>
          <w:rFonts w:hint="eastAsia" w:ascii="方正仿宋_GBK" w:eastAsia="方正仿宋_GBK"/>
          <w:szCs w:val="24"/>
        </w:rPr>
        <w:t>一、询价内容</w:t>
      </w:r>
      <w:r>
        <w:tab/>
      </w:r>
      <w:r>
        <w:fldChar w:fldCharType="begin"/>
      </w:r>
      <w:r>
        <w:instrText xml:space="preserve"> PAGEREF _Toc22275 \h </w:instrText>
      </w:r>
      <w:r>
        <w:fldChar w:fldCharType="separate"/>
      </w:r>
      <w:r>
        <w:t>4</w:t>
      </w:r>
      <w:r>
        <w:fldChar w:fldCharType="end"/>
      </w:r>
      <w:r>
        <w:fldChar w:fldCharType="end"/>
      </w:r>
    </w:p>
    <w:p w14:paraId="63C30D09">
      <w:pPr>
        <w:pStyle w:val="6"/>
        <w:tabs>
          <w:tab w:val="right" w:leader="dot" w:pos="8306"/>
        </w:tabs>
        <w:spacing w:line="500" w:lineRule="exact"/>
        <w:ind w:left="1120"/>
      </w:pPr>
      <w:r>
        <w:fldChar w:fldCharType="begin"/>
      </w:r>
      <w:r>
        <w:instrText xml:space="preserve"> HYPERLINK \l "_Toc32132" </w:instrText>
      </w:r>
      <w:r>
        <w:fldChar w:fldCharType="separate"/>
      </w:r>
      <w:r>
        <w:rPr>
          <w:rFonts w:hint="eastAsia" w:ascii="方正仿宋_GBK" w:eastAsia="方正仿宋_GBK"/>
          <w:szCs w:val="24"/>
        </w:rPr>
        <w:t>二、资金来源</w:t>
      </w:r>
      <w:r>
        <w:tab/>
      </w:r>
      <w:r>
        <w:fldChar w:fldCharType="begin"/>
      </w:r>
      <w:r>
        <w:instrText xml:space="preserve"> PAGEREF _Toc32132 \h </w:instrText>
      </w:r>
      <w:r>
        <w:fldChar w:fldCharType="separate"/>
      </w:r>
      <w:r>
        <w:t>5</w:t>
      </w:r>
      <w:r>
        <w:fldChar w:fldCharType="end"/>
      </w:r>
      <w:r>
        <w:fldChar w:fldCharType="end"/>
      </w:r>
    </w:p>
    <w:p w14:paraId="0BE990C8">
      <w:pPr>
        <w:pStyle w:val="6"/>
        <w:tabs>
          <w:tab w:val="right" w:leader="dot" w:pos="8306"/>
        </w:tabs>
        <w:spacing w:line="500" w:lineRule="exact"/>
        <w:ind w:left="1120"/>
      </w:pPr>
      <w:r>
        <w:fldChar w:fldCharType="begin"/>
      </w:r>
      <w:r>
        <w:instrText xml:space="preserve"> HYPERLINK \l "_Toc8766" </w:instrText>
      </w:r>
      <w:r>
        <w:fldChar w:fldCharType="separate"/>
      </w:r>
      <w:r>
        <w:rPr>
          <w:rFonts w:hint="eastAsia" w:ascii="方正仿宋_GBK" w:eastAsia="方正仿宋_GBK"/>
          <w:szCs w:val="24"/>
        </w:rPr>
        <w:t>三、供应商资格要求</w:t>
      </w:r>
      <w:r>
        <w:tab/>
      </w:r>
      <w:r>
        <w:fldChar w:fldCharType="begin"/>
      </w:r>
      <w:r>
        <w:instrText xml:space="preserve"> PAGEREF _Toc8766 \h </w:instrText>
      </w:r>
      <w:r>
        <w:fldChar w:fldCharType="separate"/>
      </w:r>
      <w:r>
        <w:t>5</w:t>
      </w:r>
      <w:r>
        <w:fldChar w:fldCharType="end"/>
      </w:r>
      <w:r>
        <w:fldChar w:fldCharType="end"/>
      </w:r>
    </w:p>
    <w:p w14:paraId="60D00C06">
      <w:pPr>
        <w:pStyle w:val="6"/>
        <w:tabs>
          <w:tab w:val="right" w:leader="dot" w:pos="8306"/>
        </w:tabs>
        <w:spacing w:line="500" w:lineRule="exact"/>
        <w:ind w:left="1120"/>
      </w:pPr>
      <w:r>
        <w:fldChar w:fldCharType="begin"/>
      </w:r>
      <w:r>
        <w:instrText xml:space="preserve"> HYPERLINK \l "_Toc1995" </w:instrText>
      </w:r>
      <w:r>
        <w:fldChar w:fldCharType="separate"/>
      </w:r>
      <w:r>
        <w:rPr>
          <w:rFonts w:hint="eastAsia" w:ascii="方正仿宋_GBK" w:eastAsia="方正仿宋_GBK"/>
          <w:szCs w:val="24"/>
        </w:rPr>
        <w:t>四、询价有关说明</w:t>
      </w:r>
      <w:r>
        <w:tab/>
      </w:r>
      <w:r>
        <w:fldChar w:fldCharType="begin"/>
      </w:r>
      <w:r>
        <w:instrText xml:space="preserve"> PAGEREF _Toc1995 \h </w:instrText>
      </w:r>
      <w:r>
        <w:fldChar w:fldCharType="separate"/>
      </w:r>
      <w:r>
        <w:t>5</w:t>
      </w:r>
      <w:r>
        <w:fldChar w:fldCharType="end"/>
      </w:r>
      <w:r>
        <w:fldChar w:fldCharType="end"/>
      </w:r>
    </w:p>
    <w:p w14:paraId="691DD0DA">
      <w:pPr>
        <w:pStyle w:val="6"/>
        <w:tabs>
          <w:tab w:val="right" w:leader="dot" w:pos="8306"/>
        </w:tabs>
        <w:spacing w:line="500" w:lineRule="exact"/>
        <w:ind w:left="1120"/>
      </w:pPr>
      <w:r>
        <w:fldChar w:fldCharType="begin"/>
      </w:r>
      <w:r>
        <w:instrText xml:space="preserve"> HYPERLINK \l "_Toc18083" </w:instrText>
      </w:r>
      <w:r>
        <w:fldChar w:fldCharType="separate"/>
      </w:r>
      <w:r>
        <w:rPr>
          <w:rFonts w:hint="eastAsia" w:ascii="方正仿宋_GBK" w:hAnsi="宋体" w:eastAsia="方正仿宋_GBK"/>
          <w:szCs w:val="24"/>
        </w:rPr>
        <w:t>五、其它有关规定</w:t>
      </w:r>
      <w:r>
        <w:tab/>
      </w:r>
      <w:r>
        <w:fldChar w:fldCharType="begin"/>
      </w:r>
      <w:r>
        <w:instrText xml:space="preserve"> PAGEREF _Toc18083 \h </w:instrText>
      </w:r>
      <w:r>
        <w:fldChar w:fldCharType="separate"/>
      </w:r>
      <w:r>
        <w:t>6</w:t>
      </w:r>
      <w:r>
        <w:fldChar w:fldCharType="end"/>
      </w:r>
      <w:r>
        <w:fldChar w:fldCharType="end"/>
      </w:r>
    </w:p>
    <w:p w14:paraId="7996E3BD">
      <w:pPr>
        <w:pStyle w:val="6"/>
        <w:tabs>
          <w:tab w:val="right" w:leader="dot" w:pos="8306"/>
        </w:tabs>
        <w:spacing w:line="500" w:lineRule="exact"/>
        <w:ind w:left="1120"/>
      </w:pPr>
      <w:r>
        <w:fldChar w:fldCharType="begin"/>
      </w:r>
      <w:r>
        <w:instrText xml:space="preserve"> HYPERLINK \l "_Toc15245" </w:instrText>
      </w:r>
      <w:r>
        <w:fldChar w:fldCharType="separate"/>
      </w:r>
      <w:r>
        <w:rPr>
          <w:rFonts w:hint="eastAsia" w:ascii="方正仿宋_GBK" w:hAnsi="宋体" w:eastAsia="方正仿宋_GBK"/>
          <w:szCs w:val="24"/>
        </w:rPr>
        <w:t>六、联系方式</w:t>
      </w:r>
      <w:r>
        <w:tab/>
      </w:r>
      <w:r>
        <w:fldChar w:fldCharType="begin"/>
      </w:r>
      <w:r>
        <w:instrText xml:space="preserve"> PAGEREF _Toc15245 \h </w:instrText>
      </w:r>
      <w:r>
        <w:fldChar w:fldCharType="separate"/>
      </w:r>
      <w:r>
        <w:t>6</w:t>
      </w:r>
      <w:r>
        <w:fldChar w:fldCharType="end"/>
      </w:r>
      <w:r>
        <w:fldChar w:fldCharType="end"/>
      </w:r>
    </w:p>
    <w:p w14:paraId="2DDD378E">
      <w:pPr>
        <w:pStyle w:val="15"/>
        <w:tabs>
          <w:tab w:val="right" w:leader="dot" w:pos="8306"/>
        </w:tabs>
        <w:spacing w:line="500" w:lineRule="exact"/>
        <w:ind w:left="0" w:leftChars="0"/>
      </w:pPr>
      <w:r>
        <w:fldChar w:fldCharType="begin"/>
      </w:r>
      <w:r>
        <w:instrText xml:space="preserve"> HYPERLINK \l "_Toc2218" </w:instrText>
      </w:r>
      <w:r>
        <w:fldChar w:fldCharType="separate"/>
      </w:r>
      <w:r>
        <w:rPr>
          <w:rFonts w:hint="eastAsia" w:ascii="方正小标宋_GBK" w:hAnsi="宋体" w:eastAsia="方正小标宋_GBK"/>
          <w:szCs w:val="30"/>
        </w:rPr>
        <w:t>第二篇  供应商须知</w:t>
      </w:r>
      <w:r>
        <w:tab/>
      </w:r>
      <w:r>
        <w:fldChar w:fldCharType="begin"/>
      </w:r>
      <w:r>
        <w:instrText xml:space="preserve"> PAGEREF _Toc2218 \h </w:instrText>
      </w:r>
      <w:r>
        <w:fldChar w:fldCharType="separate"/>
      </w:r>
      <w:r>
        <w:t>7</w:t>
      </w:r>
      <w:r>
        <w:fldChar w:fldCharType="end"/>
      </w:r>
      <w:r>
        <w:fldChar w:fldCharType="end"/>
      </w:r>
    </w:p>
    <w:p w14:paraId="34EE159B">
      <w:pPr>
        <w:pStyle w:val="6"/>
        <w:tabs>
          <w:tab w:val="right" w:leader="dot" w:pos="8306"/>
        </w:tabs>
        <w:spacing w:line="500" w:lineRule="exact"/>
        <w:ind w:left="1120"/>
      </w:pPr>
      <w:r>
        <w:fldChar w:fldCharType="begin"/>
      </w:r>
      <w:r>
        <w:instrText xml:space="preserve"> HYPERLINK \l "_Toc7481" </w:instrText>
      </w:r>
      <w:r>
        <w:fldChar w:fldCharType="separate"/>
      </w:r>
      <w:r>
        <w:rPr>
          <w:rFonts w:hint="eastAsia" w:ascii="方正仿宋_GBK" w:eastAsia="方正仿宋_GBK"/>
          <w:szCs w:val="24"/>
        </w:rPr>
        <w:t>一、询价费用</w:t>
      </w:r>
      <w:r>
        <w:tab/>
      </w:r>
      <w:r>
        <w:fldChar w:fldCharType="begin"/>
      </w:r>
      <w:r>
        <w:instrText xml:space="preserve"> PAGEREF _Toc7481 \h </w:instrText>
      </w:r>
      <w:r>
        <w:fldChar w:fldCharType="separate"/>
      </w:r>
      <w:r>
        <w:t>7</w:t>
      </w:r>
      <w:r>
        <w:fldChar w:fldCharType="end"/>
      </w:r>
      <w:r>
        <w:fldChar w:fldCharType="end"/>
      </w:r>
    </w:p>
    <w:p w14:paraId="32965E09">
      <w:pPr>
        <w:pStyle w:val="6"/>
        <w:tabs>
          <w:tab w:val="right" w:leader="dot" w:pos="8306"/>
        </w:tabs>
        <w:spacing w:line="500" w:lineRule="exact"/>
        <w:ind w:left="1120"/>
      </w:pPr>
      <w:r>
        <w:fldChar w:fldCharType="begin"/>
      </w:r>
      <w:r>
        <w:instrText xml:space="preserve"> HYPERLINK \l "_Toc11661" </w:instrText>
      </w:r>
      <w:r>
        <w:fldChar w:fldCharType="separate"/>
      </w:r>
      <w:r>
        <w:rPr>
          <w:rFonts w:hint="eastAsia" w:ascii="方正仿宋_GBK" w:eastAsia="方正仿宋_GBK"/>
          <w:szCs w:val="24"/>
        </w:rPr>
        <w:t>二、询价文件</w:t>
      </w:r>
      <w:r>
        <w:tab/>
      </w:r>
      <w:r>
        <w:fldChar w:fldCharType="begin"/>
      </w:r>
      <w:r>
        <w:instrText xml:space="preserve"> PAGEREF _Toc11661 \h </w:instrText>
      </w:r>
      <w:r>
        <w:fldChar w:fldCharType="separate"/>
      </w:r>
      <w:r>
        <w:t>7</w:t>
      </w:r>
      <w:r>
        <w:fldChar w:fldCharType="end"/>
      </w:r>
      <w:r>
        <w:fldChar w:fldCharType="end"/>
      </w:r>
    </w:p>
    <w:p w14:paraId="78188B9D">
      <w:pPr>
        <w:pStyle w:val="6"/>
        <w:tabs>
          <w:tab w:val="right" w:leader="dot" w:pos="8306"/>
        </w:tabs>
        <w:spacing w:line="500" w:lineRule="exact"/>
        <w:ind w:left="1120"/>
      </w:pPr>
      <w:r>
        <w:fldChar w:fldCharType="begin"/>
      </w:r>
      <w:r>
        <w:instrText xml:space="preserve"> HYPERLINK \l "_Toc3450" </w:instrText>
      </w:r>
      <w:r>
        <w:fldChar w:fldCharType="separate"/>
      </w:r>
      <w:r>
        <w:rPr>
          <w:rFonts w:hint="eastAsia" w:ascii="方正仿宋_GBK" w:eastAsia="方正仿宋_GBK"/>
          <w:szCs w:val="24"/>
        </w:rPr>
        <w:t>三、询价要求</w:t>
      </w:r>
      <w:r>
        <w:tab/>
      </w:r>
      <w:r>
        <w:fldChar w:fldCharType="begin"/>
      </w:r>
      <w:r>
        <w:instrText xml:space="preserve"> PAGEREF _Toc3450 \h </w:instrText>
      </w:r>
      <w:r>
        <w:fldChar w:fldCharType="separate"/>
      </w:r>
      <w:r>
        <w:t>7</w:t>
      </w:r>
      <w:r>
        <w:fldChar w:fldCharType="end"/>
      </w:r>
      <w:r>
        <w:fldChar w:fldCharType="end"/>
      </w:r>
    </w:p>
    <w:p w14:paraId="6C999419">
      <w:pPr>
        <w:pStyle w:val="15"/>
        <w:tabs>
          <w:tab w:val="right" w:leader="dot" w:pos="8306"/>
        </w:tabs>
        <w:spacing w:line="500" w:lineRule="exact"/>
        <w:ind w:left="0" w:leftChars="0"/>
      </w:pPr>
      <w:r>
        <w:fldChar w:fldCharType="begin"/>
      </w:r>
      <w:r>
        <w:instrText xml:space="preserve"> HYPERLINK \l "_Toc2596" </w:instrText>
      </w:r>
      <w:r>
        <w:fldChar w:fldCharType="separate"/>
      </w:r>
      <w:r>
        <w:rPr>
          <w:rFonts w:hint="eastAsia" w:ascii="方正小标宋_GBK" w:hAnsi="宋体" w:eastAsia="方正小标宋_GBK"/>
          <w:szCs w:val="30"/>
        </w:rPr>
        <w:t>第三篇  项目技术需求</w:t>
      </w:r>
      <w:r>
        <w:tab/>
      </w:r>
      <w:r>
        <w:fldChar w:fldCharType="begin"/>
      </w:r>
      <w:r>
        <w:instrText xml:space="preserve"> PAGEREF _Toc2596 \h </w:instrText>
      </w:r>
      <w:r>
        <w:fldChar w:fldCharType="separate"/>
      </w:r>
      <w:r>
        <w:t>10</w:t>
      </w:r>
      <w:r>
        <w:fldChar w:fldCharType="end"/>
      </w:r>
      <w:r>
        <w:fldChar w:fldCharType="end"/>
      </w:r>
    </w:p>
    <w:p w14:paraId="650F2F9B">
      <w:pPr>
        <w:pStyle w:val="15"/>
        <w:tabs>
          <w:tab w:val="right" w:leader="dot" w:pos="8306"/>
        </w:tabs>
        <w:spacing w:line="500" w:lineRule="exact"/>
        <w:ind w:left="0" w:leftChars="0"/>
      </w:pPr>
      <w:r>
        <w:fldChar w:fldCharType="begin"/>
      </w:r>
      <w:r>
        <w:instrText xml:space="preserve"> HYPERLINK \l "_Toc19787" </w:instrText>
      </w:r>
      <w:r>
        <w:fldChar w:fldCharType="separate"/>
      </w:r>
      <w:r>
        <w:rPr>
          <w:rFonts w:hint="eastAsia" w:ascii="方正小标宋_GBK" w:hAnsi="宋体" w:eastAsia="方正小标宋_GBK"/>
          <w:szCs w:val="30"/>
        </w:rPr>
        <w:t>第四篇    项目服务需求</w:t>
      </w:r>
      <w:r>
        <w:tab/>
      </w:r>
      <w:r>
        <w:fldChar w:fldCharType="begin"/>
      </w:r>
      <w:r>
        <w:instrText xml:space="preserve"> PAGEREF _Toc19787 \h </w:instrText>
      </w:r>
      <w:r>
        <w:fldChar w:fldCharType="separate"/>
      </w:r>
      <w:r>
        <w:t>15</w:t>
      </w:r>
      <w:r>
        <w:fldChar w:fldCharType="end"/>
      </w:r>
      <w:r>
        <w:fldChar w:fldCharType="end"/>
      </w:r>
    </w:p>
    <w:p w14:paraId="51A1E750">
      <w:pPr>
        <w:pStyle w:val="6"/>
        <w:tabs>
          <w:tab w:val="right" w:leader="dot" w:pos="8306"/>
        </w:tabs>
        <w:spacing w:line="500" w:lineRule="exact"/>
        <w:ind w:left="1120"/>
      </w:pPr>
      <w:r>
        <w:fldChar w:fldCharType="begin"/>
      </w:r>
      <w:r>
        <w:instrText xml:space="preserve"> HYPERLINK \l "_Toc2812" </w:instrText>
      </w:r>
      <w:r>
        <w:fldChar w:fldCharType="separate"/>
      </w:r>
      <w:r>
        <w:rPr>
          <w:rFonts w:hint="eastAsia" w:ascii="方正仿宋_GBK" w:eastAsia="方正仿宋_GBK"/>
          <w:szCs w:val="24"/>
        </w:rPr>
        <w:t>一、服务期、交货时间、地点及验收方式</w:t>
      </w:r>
      <w:r>
        <w:tab/>
      </w:r>
      <w:r>
        <w:fldChar w:fldCharType="begin"/>
      </w:r>
      <w:r>
        <w:instrText xml:space="preserve"> PAGEREF _Toc2812 \h </w:instrText>
      </w:r>
      <w:r>
        <w:fldChar w:fldCharType="separate"/>
      </w:r>
      <w:r>
        <w:t>15</w:t>
      </w:r>
      <w:r>
        <w:fldChar w:fldCharType="end"/>
      </w:r>
      <w:r>
        <w:fldChar w:fldCharType="end"/>
      </w:r>
    </w:p>
    <w:p w14:paraId="6C29E5B3">
      <w:pPr>
        <w:pStyle w:val="6"/>
        <w:tabs>
          <w:tab w:val="right" w:leader="dot" w:pos="8306"/>
        </w:tabs>
        <w:spacing w:line="500" w:lineRule="exact"/>
        <w:ind w:left="1120"/>
      </w:pPr>
      <w:r>
        <w:fldChar w:fldCharType="begin"/>
      </w:r>
      <w:r>
        <w:instrText xml:space="preserve"> HYPERLINK \l "_Toc2736" </w:instrText>
      </w:r>
      <w:r>
        <w:fldChar w:fldCharType="separate"/>
      </w:r>
      <w:r>
        <w:rPr>
          <w:rFonts w:hint="eastAsia" w:ascii="方正仿宋_GBK" w:eastAsia="方正仿宋_GBK"/>
          <w:szCs w:val="24"/>
        </w:rPr>
        <w:t>二、质量保证及售后服务</w:t>
      </w:r>
      <w:r>
        <w:tab/>
      </w:r>
      <w:r>
        <w:fldChar w:fldCharType="begin"/>
      </w:r>
      <w:r>
        <w:instrText xml:space="preserve"> PAGEREF _Toc2736 \h </w:instrText>
      </w:r>
      <w:r>
        <w:fldChar w:fldCharType="separate"/>
      </w:r>
      <w:r>
        <w:t>15</w:t>
      </w:r>
      <w:r>
        <w:fldChar w:fldCharType="end"/>
      </w:r>
      <w:r>
        <w:fldChar w:fldCharType="end"/>
      </w:r>
    </w:p>
    <w:p w14:paraId="340D926C">
      <w:pPr>
        <w:pStyle w:val="6"/>
        <w:tabs>
          <w:tab w:val="right" w:leader="dot" w:pos="8306"/>
        </w:tabs>
        <w:spacing w:line="500" w:lineRule="exact"/>
        <w:ind w:left="1120"/>
      </w:pPr>
      <w:r>
        <w:fldChar w:fldCharType="begin"/>
      </w:r>
      <w:r>
        <w:instrText xml:space="preserve"> HYPERLINK \l "_Toc30384" </w:instrText>
      </w:r>
      <w:r>
        <w:fldChar w:fldCharType="separate"/>
      </w:r>
      <w:r>
        <w:rPr>
          <w:rFonts w:hint="eastAsia" w:ascii="方正仿宋_GBK" w:eastAsia="方正仿宋_GBK"/>
          <w:szCs w:val="24"/>
        </w:rPr>
        <w:t>三、付款方式</w:t>
      </w:r>
      <w:r>
        <w:tab/>
      </w:r>
      <w:r>
        <w:fldChar w:fldCharType="begin"/>
      </w:r>
      <w:r>
        <w:instrText xml:space="preserve"> PAGEREF _Toc30384 \h </w:instrText>
      </w:r>
      <w:r>
        <w:fldChar w:fldCharType="separate"/>
      </w:r>
      <w:r>
        <w:t>16</w:t>
      </w:r>
      <w:r>
        <w:fldChar w:fldCharType="end"/>
      </w:r>
      <w:r>
        <w:fldChar w:fldCharType="end"/>
      </w:r>
    </w:p>
    <w:p w14:paraId="7BB80EF3">
      <w:pPr>
        <w:pStyle w:val="6"/>
        <w:tabs>
          <w:tab w:val="right" w:leader="dot" w:pos="8306"/>
        </w:tabs>
        <w:spacing w:line="500" w:lineRule="exact"/>
        <w:ind w:left="1120"/>
      </w:pPr>
      <w:r>
        <w:fldChar w:fldCharType="begin"/>
      </w:r>
      <w:r>
        <w:instrText xml:space="preserve"> HYPERLINK \l "_Toc28938" </w:instrText>
      </w:r>
      <w:r>
        <w:fldChar w:fldCharType="separate"/>
      </w:r>
      <w:r>
        <w:rPr>
          <w:rFonts w:hint="eastAsia" w:ascii="方正仿宋_GBK" w:eastAsia="方正仿宋_GBK"/>
          <w:szCs w:val="24"/>
        </w:rPr>
        <w:t>四、知识产权</w:t>
      </w:r>
      <w:r>
        <w:tab/>
      </w:r>
      <w:r>
        <w:fldChar w:fldCharType="begin"/>
      </w:r>
      <w:r>
        <w:instrText xml:space="preserve"> PAGEREF _Toc28938 \h </w:instrText>
      </w:r>
      <w:r>
        <w:fldChar w:fldCharType="separate"/>
      </w:r>
      <w:r>
        <w:t>16</w:t>
      </w:r>
      <w:r>
        <w:fldChar w:fldCharType="end"/>
      </w:r>
      <w:r>
        <w:fldChar w:fldCharType="end"/>
      </w:r>
    </w:p>
    <w:p w14:paraId="7E96D8A7">
      <w:pPr>
        <w:pStyle w:val="6"/>
        <w:tabs>
          <w:tab w:val="right" w:leader="dot" w:pos="8306"/>
        </w:tabs>
        <w:spacing w:line="500" w:lineRule="exact"/>
        <w:ind w:left="1120"/>
      </w:pPr>
      <w:r>
        <w:fldChar w:fldCharType="begin"/>
      </w:r>
      <w:r>
        <w:instrText xml:space="preserve"> HYPERLINK \l "_Toc2010" </w:instrText>
      </w:r>
      <w:r>
        <w:fldChar w:fldCharType="separate"/>
      </w:r>
      <w:r>
        <w:rPr>
          <w:rFonts w:hint="eastAsia" w:ascii="方正仿宋_GBK" w:eastAsia="方正仿宋_GBK"/>
          <w:szCs w:val="24"/>
        </w:rPr>
        <w:t>五、培训</w:t>
      </w:r>
      <w:r>
        <w:tab/>
      </w:r>
      <w:r>
        <w:fldChar w:fldCharType="begin"/>
      </w:r>
      <w:r>
        <w:instrText xml:space="preserve"> PAGEREF _Toc2010 \h </w:instrText>
      </w:r>
      <w:r>
        <w:fldChar w:fldCharType="separate"/>
      </w:r>
      <w:r>
        <w:t>16</w:t>
      </w:r>
      <w:r>
        <w:fldChar w:fldCharType="end"/>
      </w:r>
      <w:r>
        <w:fldChar w:fldCharType="end"/>
      </w:r>
    </w:p>
    <w:p w14:paraId="0C27D815">
      <w:pPr>
        <w:pStyle w:val="6"/>
        <w:tabs>
          <w:tab w:val="right" w:leader="dot" w:pos="8306"/>
        </w:tabs>
        <w:spacing w:line="500" w:lineRule="exact"/>
        <w:ind w:left="1120"/>
      </w:pPr>
      <w:r>
        <w:fldChar w:fldCharType="begin"/>
      </w:r>
      <w:r>
        <w:instrText xml:space="preserve"> HYPERLINK \l "_Toc12034" </w:instrText>
      </w:r>
      <w:r>
        <w:fldChar w:fldCharType="separate"/>
      </w:r>
      <w:r>
        <w:rPr>
          <w:rFonts w:hint="eastAsia" w:ascii="方正仿宋_GBK" w:eastAsia="方正仿宋_GBK"/>
          <w:szCs w:val="24"/>
        </w:rPr>
        <w:t>六、其他</w:t>
      </w:r>
      <w:r>
        <w:tab/>
      </w:r>
      <w:r>
        <w:fldChar w:fldCharType="begin"/>
      </w:r>
      <w:r>
        <w:instrText xml:space="preserve"> PAGEREF _Toc12034 \h </w:instrText>
      </w:r>
      <w:r>
        <w:fldChar w:fldCharType="separate"/>
      </w:r>
      <w:r>
        <w:t>16</w:t>
      </w:r>
      <w:r>
        <w:fldChar w:fldCharType="end"/>
      </w:r>
      <w:r>
        <w:fldChar w:fldCharType="end"/>
      </w:r>
    </w:p>
    <w:p w14:paraId="6A0F26E9">
      <w:pPr>
        <w:pStyle w:val="15"/>
        <w:tabs>
          <w:tab w:val="right" w:leader="dot" w:pos="8306"/>
        </w:tabs>
        <w:spacing w:line="500" w:lineRule="exact"/>
        <w:ind w:left="0" w:leftChars="0"/>
      </w:pPr>
      <w:r>
        <w:fldChar w:fldCharType="begin"/>
      </w:r>
      <w:r>
        <w:instrText xml:space="preserve"> HYPERLINK \l "_Toc16181" </w:instrText>
      </w:r>
      <w:r>
        <w:fldChar w:fldCharType="separate"/>
      </w:r>
      <w:r>
        <w:rPr>
          <w:rFonts w:hint="eastAsia" w:ascii="方正小标宋_GBK" w:hAnsi="宋体" w:eastAsia="方正小标宋_GBK"/>
          <w:szCs w:val="30"/>
        </w:rPr>
        <w:t xml:space="preserve">第五篇   </w:t>
      </w:r>
      <w:r>
        <w:rPr>
          <w:rFonts w:hint="eastAsia" w:ascii="方正小标宋_GBK" w:hAnsi="宋体" w:eastAsia="方正小标宋_GBK"/>
          <w:szCs w:val="36"/>
        </w:rPr>
        <w:t>响应文件格式</w:t>
      </w:r>
      <w:r>
        <w:tab/>
      </w:r>
      <w:r>
        <w:fldChar w:fldCharType="begin"/>
      </w:r>
      <w:r>
        <w:instrText xml:space="preserve"> PAGEREF _Toc16181 \h </w:instrText>
      </w:r>
      <w:r>
        <w:fldChar w:fldCharType="separate"/>
      </w:r>
      <w:r>
        <w:t>17</w:t>
      </w:r>
      <w:r>
        <w:fldChar w:fldCharType="end"/>
      </w:r>
      <w:r>
        <w:fldChar w:fldCharType="end"/>
      </w:r>
    </w:p>
    <w:p w14:paraId="6735847F">
      <w:pPr>
        <w:pageBreakBefore/>
        <w:spacing w:before="312" w:beforeLines="100" w:after="312" w:afterLines="100" w:line="400" w:lineRule="exact"/>
        <w:jc w:val="center"/>
        <w:outlineLvl w:val="0"/>
        <w:rPr>
          <w:rFonts w:ascii="方正小标宋_GBK" w:hAnsi="宋体" w:eastAsia="方正小标宋_GBK"/>
          <w:szCs w:val="30"/>
        </w:rPr>
      </w:pPr>
      <w:r>
        <w:fldChar w:fldCharType="end"/>
      </w:r>
      <w:bookmarkStart w:id="5" w:name="_Toc19637"/>
      <w:bookmarkStart w:id="6" w:name="_Toc28778"/>
      <w:bookmarkStart w:id="7" w:name="_Toc19179"/>
      <w:bookmarkStart w:id="8" w:name="_Toc9545"/>
      <w:bookmarkStart w:id="9" w:name="_Toc957"/>
      <w:bookmarkStart w:id="10" w:name="_Toc16204"/>
      <w:bookmarkStart w:id="11" w:name="_Toc13752"/>
      <w:bookmarkStart w:id="12" w:name="_Toc22173"/>
      <w:bookmarkStart w:id="13" w:name="_Toc16655"/>
      <w:bookmarkStart w:id="14" w:name="_Toc6858"/>
      <w:bookmarkStart w:id="15" w:name="_Toc6865"/>
      <w:bookmarkStart w:id="16" w:name="_Toc1040"/>
      <w:bookmarkStart w:id="17" w:name="_Toc403569768"/>
      <w:bookmarkStart w:id="18" w:name="_Toc11641050"/>
      <w:bookmarkStart w:id="19" w:name="_Toc12789052"/>
      <w:r>
        <w:rPr>
          <w:rFonts w:hint="eastAsia" w:ascii="方正小标宋_GBK" w:hAnsi="宋体" w:eastAsia="方正小标宋_GBK"/>
          <w:sz w:val="36"/>
          <w:szCs w:val="30"/>
        </w:rPr>
        <w:t>第一篇  询价邀请书</w:t>
      </w:r>
      <w:bookmarkEnd w:id="5"/>
      <w:bookmarkEnd w:id="6"/>
      <w:bookmarkEnd w:id="7"/>
      <w:bookmarkEnd w:id="8"/>
      <w:bookmarkEnd w:id="9"/>
      <w:bookmarkEnd w:id="10"/>
      <w:bookmarkEnd w:id="11"/>
      <w:bookmarkEnd w:id="12"/>
      <w:bookmarkEnd w:id="13"/>
      <w:bookmarkEnd w:id="14"/>
      <w:bookmarkEnd w:id="15"/>
      <w:bookmarkEnd w:id="16"/>
    </w:p>
    <w:p w14:paraId="717FF19B">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重庆市合川区妇幼保健院按照《政府采购非招标采购方式管理办法》（财政部74号令），根据业务工作需要，对</w:t>
      </w:r>
      <w:r>
        <w:rPr>
          <w:rFonts w:hint="eastAsia" w:ascii="方正仿宋_GBK" w:hAnsi="宋体" w:eastAsia="方正仿宋_GBK"/>
          <w:color w:val="FF0000"/>
          <w:sz w:val="24"/>
          <w:szCs w:val="24"/>
          <w:u w:val="single"/>
          <w:lang w:eastAsia="zh-CN"/>
        </w:rPr>
        <w:t>数字影像服务</w:t>
      </w:r>
      <w:r>
        <w:rPr>
          <w:rFonts w:hint="eastAsia" w:ascii="方正仿宋_GBK" w:hAnsi="宋体" w:eastAsia="方正仿宋_GBK"/>
          <w:sz w:val="24"/>
          <w:szCs w:val="24"/>
        </w:rPr>
        <w:t>进行询价采购，欢迎有资格的供应商前来参加询价。</w:t>
      </w:r>
    </w:p>
    <w:p w14:paraId="34BCDF04">
      <w:pPr>
        <w:pStyle w:val="5"/>
        <w:spacing w:line="400" w:lineRule="exact"/>
        <w:ind w:firstLine="482" w:firstLineChars="200"/>
        <w:rPr>
          <w:rFonts w:ascii="方正仿宋_GBK" w:eastAsia="方正仿宋_GBK"/>
          <w:sz w:val="24"/>
          <w:szCs w:val="24"/>
        </w:rPr>
      </w:pPr>
      <w:r>
        <w:rPr>
          <w:rFonts w:hint="eastAsia" w:ascii="方正仿宋_GBK" w:eastAsia="方正仿宋_GBK"/>
          <w:sz w:val="24"/>
          <w:szCs w:val="24"/>
        </w:rPr>
        <w:t>一、询价内容</w:t>
      </w:r>
    </w:p>
    <w:bookmarkEnd w:id="17"/>
    <w:bookmarkEnd w:id="18"/>
    <w:bookmarkEnd w:id="19"/>
    <w:tbl>
      <w:tblPr>
        <w:tblStyle w:val="17"/>
        <w:tblpPr w:leftFromText="180" w:rightFromText="180" w:vertAnchor="text" w:horzAnchor="page" w:tblpX="1774" w:tblpY="385"/>
        <w:tblOverlap w:val="never"/>
        <w:tblW w:w="8207" w:type="dxa"/>
        <w:tblInd w:w="0" w:type="dxa"/>
        <w:tblLayout w:type="autofit"/>
        <w:tblCellMar>
          <w:top w:w="0" w:type="dxa"/>
          <w:left w:w="108" w:type="dxa"/>
          <w:bottom w:w="0" w:type="dxa"/>
          <w:right w:w="108" w:type="dxa"/>
        </w:tblCellMar>
      </w:tblPr>
      <w:tblGrid>
        <w:gridCol w:w="1076"/>
        <w:gridCol w:w="1404"/>
        <w:gridCol w:w="2607"/>
        <w:gridCol w:w="1425"/>
        <w:gridCol w:w="1695"/>
      </w:tblGrid>
      <w:tr w14:paraId="4CCB5BE7">
        <w:tblPrEx>
          <w:tblCellMar>
            <w:top w:w="0" w:type="dxa"/>
            <w:left w:w="108" w:type="dxa"/>
            <w:bottom w:w="0" w:type="dxa"/>
            <w:right w:w="108" w:type="dxa"/>
          </w:tblCellMar>
        </w:tblPrEx>
        <w:trPr>
          <w:trHeight w:val="792"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5D3F">
            <w:pPr>
              <w:widowControl/>
              <w:spacing w:line="300" w:lineRule="exact"/>
              <w:jc w:val="center"/>
              <w:textAlignment w:val="center"/>
              <w:rPr>
                <w:rFonts w:ascii="方正黑体_GBK" w:hAnsi="方正黑体_GBK" w:eastAsia="方正黑体_GBK" w:cs="方正黑体_GBK"/>
                <w:color w:val="000000"/>
                <w:sz w:val="21"/>
                <w:szCs w:val="21"/>
              </w:rPr>
            </w:pPr>
            <w:bookmarkStart w:id="20" w:name="_Toc22275"/>
            <w:bookmarkStart w:id="21" w:name="_Toc313893526"/>
            <w:bookmarkStart w:id="22" w:name="_Toc15322"/>
            <w:bookmarkStart w:id="23" w:name="_Toc403569769"/>
            <w:bookmarkStart w:id="24" w:name="_Toc11339"/>
            <w:bookmarkStart w:id="25" w:name="_Toc317775175"/>
            <w:bookmarkStart w:id="26" w:name="_Toc17196"/>
            <w:r>
              <w:rPr>
                <w:rFonts w:hint="eastAsia" w:ascii="方正黑体_GBK" w:hAnsi="方正黑体_GBK" w:eastAsia="方正黑体_GBK" w:cs="方正黑体_GBK"/>
                <w:color w:val="000000"/>
                <w:kern w:val="0"/>
                <w:sz w:val="21"/>
                <w:szCs w:val="21"/>
                <w:lang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9E50">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商品名称</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B0C8">
            <w:pPr>
              <w:widowControl/>
              <w:spacing w:line="300" w:lineRule="exact"/>
              <w:jc w:val="center"/>
              <w:textAlignment w:val="center"/>
              <w:rPr>
                <w:rFonts w:hint="default" w:ascii="方正黑体_GBK" w:hAnsi="方正黑体_GBK" w:eastAsia="方正黑体_GBK" w:cs="方正黑体_GBK"/>
                <w:color w:val="000000"/>
                <w:sz w:val="21"/>
                <w:szCs w:val="21"/>
                <w:lang w:val="en-US" w:eastAsia="zh-CN"/>
              </w:rPr>
            </w:pPr>
            <w:r>
              <w:rPr>
                <w:rFonts w:hint="eastAsia" w:ascii="方正黑体_GBK" w:hAnsi="方正黑体_GBK" w:eastAsia="方正黑体_GBK" w:cs="方正黑体_GBK"/>
                <w:color w:val="000000"/>
                <w:sz w:val="21"/>
                <w:szCs w:val="21"/>
                <w:lang w:val="en-US" w:eastAsia="zh-CN"/>
              </w:rPr>
              <w:t>服务期限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7436">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限制</w:t>
            </w:r>
            <w:r>
              <w:rPr>
                <w:rFonts w:hint="eastAsia" w:ascii="方正黑体_GBK" w:hAnsi="方正黑体_GBK" w:eastAsia="方正黑体_GBK" w:cs="方正黑体_GBK"/>
                <w:color w:val="000000"/>
                <w:kern w:val="0"/>
                <w:sz w:val="21"/>
                <w:szCs w:val="21"/>
                <w:lang w:eastAsia="zh-CN" w:bidi="ar"/>
              </w:rPr>
              <w:t>单</w:t>
            </w:r>
            <w:r>
              <w:rPr>
                <w:rFonts w:hint="eastAsia" w:ascii="方正黑体_GBK" w:hAnsi="方正黑体_GBK" w:eastAsia="方正黑体_GBK" w:cs="方正黑体_GBK"/>
                <w:color w:val="000000"/>
                <w:kern w:val="0"/>
                <w:sz w:val="21"/>
                <w:szCs w:val="21"/>
                <w:lang w:bidi="ar"/>
              </w:rPr>
              <w:t>价</w:t>
            </w:r>
          </w:p>
          <w:p w14:paraId="32BD5B6D">
            <w:pPr>
              <w:widowControl/>
              <w:spacing w:line="300" w:lineRule="exact"/>
              <w:jc w:val="center"/>
              <w:textAlignment w:val="center"/>
              <w:rPr>
                <w:rFonts w:ascii="方正黑体_GBK" w:hAnsi="方正黑体_GBK" w:eastAsia="方正黑体_GBK" w:cs="方正黑体_GBK"/>
                <w:b/>
                <w:bCs/>
                <w:color w:val="000000"/>
                <w:kern w:val="0"/>
                <w:sz w:val="21"/>
                <w:szCs w:val="21"/>
                <w:lang w:bidi="ar"/>
              </w:rPr>
            </w:pPr>
            <w:r>
              <w:rPr>
                <w:rFonts w:hint="eastAsia" w:ascii="方正黑体_GBK" w:hAnsi="方正黑体_GBK" w:eastAsia="方正黑体_GBK" w:cs="方正黑体_GBK"/>
                <w:color w:val="000000"/>
                <w:kern w:val="0"/>
                <w:sz w:val="21"/>
                <w:szCs w:val="21"/>
                <w:lang w:bidi="ar"/>
              </w:rPr>
              <w:t>（元</w:t>
            </w:r>
            <w:r>
              <w:rPr>
                <w:rFonts w:hint="eastAsia" w:ascii="方正黑体_GBK" w:hAnsi="方正黑体_GBK" w:eastAsia="方正黑体_GBK" w:cs="方正黑体_GBK"/>
                <w:color w:val="000000"/>
                <w:kern w:val="0"/>
                <w:sz w:val="21"/>
                <w:szCs w:val="21"/>
                <w:lang w:val="en-US" w:eastAsia="zh-CN" w:bidi="ar"/>
              </w:rPr>
              <w:t>/人次</w:t>
            </w:r>
            <w:r>
              <w:rPr>
                <w:rFonts w:hint="eastAsia" w:ascii="方正黑体_GBK" w:hAnsi="方正黑体_GBK" w:eastAsia="方正黑体_GBK" w:cs="方正黑体_GBK"/>
                <w:color w:val="000000"/>
                <w:kern w:val="0"/>
                <w:sz w:val="21"/>
                <w:szCs w:val="21"/>
                <w:lang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D869">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备注</w:t>
            </w:r>
          </w:p>
        </w:tc>
      </w:tr>
      <w:tr w14:paraId="1D3B1D04">
        <w:tblPrEx>
          <w:tblCellMar>
            <w:top w:w="0" w:type="dxa"/>
            <w:left w:w="108" w:type="dxa"/>
            <w:bottom w:w="0" w:type="dxa"/>
            <w:right w:w="108" w:type="dxa"/>
          </w:tblCellMar>
        </w:tblPrEx>
        <w:trPr>
          <w:trHeight w:val="2862" w:hRule="exac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82C5">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DB3">
            <w:pPr>
              <w:widowControl/>
              <w:spacing w:line="300" w:lineRule="exact"/>
              <w:jc w:val="center"/>
              <w:textAlignment w:val="center"/>
              <w:rPr>
                <w:rFonts w:hint="default" w:ascii="方正仿宋_GBK" w:hAnsi="方正仿宋_GBK" w:eastAsia="方正仿宋_GBK" w:cs="方正仿宋_GBK"/>
                <w:color w:val="000000"/>
                <w:sz w:val="21"/>
                <w:szCs w:val="21"/>
                <w:lang w:val="en-US"/>
              </w:rPr>
            </w:pPr>
            <w:r>
              <w:rPr>
                <w:rFonts w:hint="eastAsia" w:ascii="方正仿宋_GBK" w:hAnsi="方正仿宋_GBK" w:eastAsia="方正仿宋_GBK" w:cs="方正仿宋_GBK"/>
                <w:color w:val="000000"/>
                <w:sz w:val="21"/>
                <w:szCs w:val="21"/>
                <w:lang w:eastAsia="zh-CN"/>
              </w:rPr>
              <w:t>数字影像服务</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78FB">
            <w:pPr>
              <w:widowControl/>
              <w:spacing w:line="3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2B24">
            <w:pPr>
              <w:widowControl/>
              <w:spacing w:line="300" w:lineRule="exact"/>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宋体" w:eastAsia="方正仿宋_GBK"/>
                <w:sz w:val="24"/>
                <w:szCs w:val="24"/>
                <w:lang w:val="en-US" w:eastAsia="zh-CN"/>
              </w:rPr>
              <w:t>15.2</w:t>
            </w:r>
            <w:r>
              <w:rPr>
                <w:rFonts w:hint="eastAsia" w:ascii="方正仿宋_GBK" w:hAnsi="宋体" w:eastAsia="方正仿宋_GBK"/>
                <w:sz w:val="24"/>
                <w:szCs w:val="24"/>
                <w:lang w:eastAsia="zh-CN"/>
              </w:rPr>
              <w:t>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1A9">
            <w:pPr>
              <w:widowControl/>
              <w:spacing w:line="300" w:lineRule="exact"/>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eastAsia="zh-CN" w:bidi="ar"/>
              </w:rPr>
              <w:t>按人次数量进行收费，</w:t>
            </w:r>
            <w:r>
              <w:rPr>
                <w:rFonts w:hint="eastAsia" w:ascii="方正仿宋_GBK" w:hAnsi="方正仿宋_GBK" w:eastAsia="方正仿宋_GBK" w:cs="方正仿宋_GBK"/>
                <w:color w:val="000000"/>
                <w:kern w:val="0"/>
                <w:sz w:val="21"/>
                <w:szCs w:val="21"/>
                <w:lang w:val="en-US" w:eastAsia="zh-CN" w:bidi="ar"/>
              </w:rPr>
              <w:t>2年预估共计不超过5万元</w:t>
            </w:r>
          </w:p>
        </w:tc>
      </w:tr>
      <w:bookmarkEnd w:id="20"/>
      <w:bookmarkEnd w:id="21"/>
      <w:bookmarkEnd w:id="22"/>
      <w:bookmarkEnd w:id="23"/>
      <w:bookmarkEnd w:id="24"/>
      <w:bookmarkEnd w:id="25"/>
      <w:bookmarkEnd w:id="26"/>
    </w:tbl>
    <w:p w14:paraId="0993FB4C">
      <w:pPr>
        <w:pStyle w:val="5"/>
        <w:spacing w:line="400" w:lineRule="exact"/>
        <w:ind w:firstLine="482" w:firstLineChars="200"/>
        <w:rPr>
          <w:rFonts w:ascii="方正仿宋_GBK" w:eastAsia="方正仿宋_GBK"/>
          <w:sz w:val="24"/>
          <w:szCs w:val="24"/>
        </w:rPr>
      </w:pPr>
      <w:bookmarkStart w:id="27" w:name="_Toc4009"/>
      <w:bookmarkStart w:id="28" w:name="_Toc28674"/>
      <w:bookmarkStart w:id="29" w:name="_Toc32132"/>
      <w:bookmarkStart w:id="30" w:name="_Toc403569770"/>
      <w:bookmarkStart w:id="31" w:name="_Toc5500"/>
      <w:bookmarkStart w:id="32" w:name="_Toc373860293"/>
      <w:bookmarkStart w:id="33" w:name="_Toc317775178"/>
      <w:r>
        <w:rPr>
          <w:rFonts w:hint="eastAsia" w:ascii="方正仿宋_GBK" w:eastAsia="方正仿宋_GBK"/>
          <w:sz w:val="24"/>
          <w:szCs w:val="24"/>
        </w:rPr>
        <w:t>二、资金来源</w:t>
      </w:r>
      <w:bookmarkEnd w:id="27"/>
      <w:bookmarkEnd w:id="28"/>
      <w:bookmarkEnd w:id="29"/>
      <w:bookmarkEnd w:id="30"/>
      <w:bookmarkEnd w:id="31"/>
    </w:p>
    <w:p w14:paraId="38029B6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自筹资金，资金已到位。</w:t>
      </w:r>
    </w:p>
    <w:p w14:paraId="61556CC1">
      <w:pPr>
        <w:pStyle w:val="5"/>
        <w:spacing w:line="400" w:lineRule="exact"/>
        <w:ind w:firstLine="482" w:firstLineChars="200"/>
        <w:jc w:val="left"/>
        <w:rPr>
          <w:rFonts w:ascii="方正仿宋_GBK" w:eastAsia="方正仿宋_GBK"/>
          <w:sz w:val="24"/>
          <w:szCs w:val="24"/>
        </w:rPr>
      </w:pPr>
      <w:bookmarkStart w:id="34" w:name="_Toc7322"/>
      <w:bookmarkStart w:id="35" w:name="_Toc24721"/>
      <w:bookmarkStart w:id="36" w:name="_Toc8858"/>
      <w:bookmarkStart w:id="37" w:name="_Toc8766"/>
      <w:bookmarkStart w:id="38" w:name="_Toc403569771"/>
      <w:r>
        <w:rPr>
          <w:rFonts w:hint="eastAsia" w:ascii="方正仿宋_GBK" w:eastAsia="方正仿宋_GBK"/>
          <w:sz w:val="24"/>
          <w:szCs w:val="24"/>
        </w:rPr>
        <w:t>三、供应商资格要求</w:t>
      </w:r>
      <w:bookmarkEnd w:id="34"/>
      <w:bookmarkEnd w:id="35"/>
      <w:bookmarkEnd w:id="36"/>
      <w:bookmarkEnd w:id="37"/>
    </w:p>
    <w:p w14:paraId="17A024FB">
      <w:pPr>
        <w:spacing w:line="48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参与询价供应商是指向医院提供货物、工程或者服务的法人、其他组织或者自然人。以下简称供应商。合格的供应商应首先符合政府采购法第二十二条规定的基本条件，同时符合根据该项目特殊要求设置的特定资格条件。</w:t>
      </w:r>
      <w:bookmarkEnd w:id="38"/>
    </w:p>
    <w:p w14:paraId="390A6197">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29423C5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2976AB2A">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0AA6F88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53C78DD7">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10513B63">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5、参加政府询价活动前三年内，在经营活动中没有重大违法记录；</w:t>
      </w:r>
    </w:p>
    <w:p w14:paraId="4DBD20EC">
      <w:pPr>
        <w:spacing w:line="480" w:lineRule="exact"/>
        <w:ind w:firstLine="480" w:firstLineChars="200"/>
        <w:rPr>
          <w:rFonts w:eastAsia="方正仿宋_GBK"/>
        </w:rPr>
      </w:pPr>
      <w:r>
        <w:rPr>
          <w:rFonts w:hint="eastAsia" w:ascii="方正仿宋_GBK" w:hAnsi="宋体" w:eastAsia="方正仿宋_GBK"/>
          <w:sz w:val="24"/>
          <w:szCs w:val="24"/>
        </w:rPr>
        <w:t>6、法律、行政法规规定的其他条件。</w:t>
      </w:r>
    </w:p>
    <w:p w14:paraId="7ABC9614">
      <w:pPr>
        <w:widowControl/>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（二）特定资格条件</w:t>
      </w:r>
    </w:p>
    <w:p w14:paraId="675620F8">
      <w:pPr>
        <w:pStyle w:val="5"/>
        <w:spacing w:line="400" w:lineRule="exact"/>
        <w:ind w:firstLine="482" w:firstLineChars="200"/>
        <w:jc w:val="left"/>
        <w:rPr>
          <w:rFonts w:ascii="方正仿宋_GBK" w:hAnsi="宋体" w:eastAsia="方正仿宋_GBK"/>
          <w:sz w:val="24"/>
          <w:szCs w:val="24"/>
        </w:rPr>
      </w:pPr>
      <w:bookmarkStart w:id="39" w:name="_Toc1995"/>
      <w:bookmarkStart w:id="40" w:name="_Toc403569772"/>
      <w:r>
        <w:rPr>
          <w:rFonts w:hint="eastAsia" w:ascii="方正仿宋_GBK" w:hAnsi="宋体" w:eastAsia="方正仿宋_GBK"/>
          <w:sz w:val="24"/>
          <w:szCs w:val="24"/>
        </w:rPr>
        <w:t xml:space="preserve"> 无</w:t>
      </w:r>
    </w:p>
    <w:p w14:paraId="35267DED">
      <w:pPr>
        <w:pStyle w:val="5"/>
        <w:spacing w:line="400" w:lineRule="exact"/>
        <w:ind w:firstLine="482" w:firstLineChars="200"/>
        <w:jc w:val="left"/>
        <w:rPr>
          <w:rFonts w:ascii="方正仿宋_GBK" w:eastAsia="方正仿宋_GBK"/>
          <w:sz w:val="24"/>
          <w:szCs w:val="24"/>
        </w:rPr>
      </w:pPr>
      <w:r>
        <w:rPr>
          <w:rFonts w:hint="eastAsia" w:ascii="方正仿宋_GBK" w:eastAsia="方正仿宋_GBK"/>
          <w:sz w:val="24"/>
          <w:szCs w:val="24"/>
        </w:rPr>
        <w:t>四、询价有关说明</w:t>
      </w:r>
      <w:bookmarkEnd w:id="39"/>
    </w:p>
    <w:p w14:paraId="4BADA19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询价的供应商，请于公告发布之日起至提交首次响应文件截止时间之前，在行采家平台（http://www.gec123.com）网上下载本项目询价文件以及图纸、补遗等询价前公布的所有项目资料，无论供应商下载与否，均视为已知晓所有询价实质性要求内容。</w:t>
      </w:r>
    </w:p>
    <w:p w14:paraId="70219C3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（二）供应商须满足以下要件，其响应文件才被接受：</w:t>
      </w:r>
    </w:p>
    <w:p w14:paraId="3F3098CD">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7F09197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（三）资料递交地点：重庆市合川区妇幼保健院3号楼6楼财务科办公室</w:t>
      </w:r>
    </w:p>
    <w:p w14:paraId="19B47B5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（四）提交响应文件开始时间：公告发出即可提交</w:t>
      </w:r>
    </w:p>
    <w:p w14:paraId="56D6E56A">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w:t>
      </w:r>
      <w:r>
        <w:rPr>
          <w:rFonts w:ascii="方正仿宋_GBK" w:hAnsi="宋体" w:eastAsia="方正仿宋_GBK"/>
          <w:sz w:val="24"/>
          <w:szCs w:val="24"/>
        </w:rPr>
        <w:t xml:space="preserve">     </w:t>
      </w:r>
      <w:r>
        <w:rPr>
          <w:rFonts w:hint="eastAsia" w:ascii="方正仿宋_GBK" w:hAnsi="宋体" w:eastAsia="方正仿宋_GBK"/>
          <w:sz w:val="24"/>
          <w:szCs w:val="24"/>
        </w:rPr>
        <w:t>提交响应文件截止时间：</w:t>
      </w:r>
      <w:r>
        <w:rPr>
          <w:rFonts w:hint="eastAsia" w:ascii="方正仿宋_GBK" w:hAnsi="宋体" w:eastAsia="方正仿宋_GBK"/>
          <w:color w:val="FF0000"/>
          <w:sz w:val="24"/>
          <w:szCs w:val="24"/>
        </w:rPr>
        <w:t>2025年</w:t>
      </w:r>
      <w:r>
        <w:rPr>
          <w:rFonts w:hint="eastAsia" w:ascii="方正仿宋_GBK" w:hAnsi="宋体" w:eastAsia="方正仿宋_GBK"/>
          <w:color w:val="FF0000"/>
          <w:sz w:val="24"/>
          <w:szCs w:val="24"/>
          <w:lang w:val="en-US" w:eastAsia="zh-CN"/>
        </w:rPr>
        <w:t>12</w:t>
      </w:r>
      <w:r>
        <w:rPr>
          <w:rFonts w:hint="eastAsia" w:ascii="方正仿宋_GBK" w:hAnsi="宋体" w:eastAsia="方正仿宋_GBK"/>
          <w:color w:val="FF0000"/>
          <w:sz w:val="24"/>
          <w:szCs w:val="24"/>
        </w:rPr>
        <w:t>月</w:t>
      </w:r>
      <w:r>
        <w:rPr>
          <w:rFonts w:hint="eastAsia" w:ascii="方正仿宋_GBK" w:hAnsi="宋体" w:eastAsia="方正仿宋_GBK"/>
          <w:color w:val="FF0000"/>
          <w:sz w:val="24"/>
          <w:szCs w:val="24"/>
          <w:lang w:val="en-US" w:eastAsia="zh-CN"/>
        </w:rPr>
        <w:t>8</w:t>
      </w:r>
      <w:r>
        <w:rPr>
          <w:rFonts w:hint="eastAsia" w:ascii="方正仿宋_GBK" w:hAnsi="宋体" w:eastAsia="方正仿宋_GBK"/>
          <w:color w:val="FF0000"/>
          <w:sz w:val="24"/>
          <w:szCs w:val="24"/>
        </w:rPr>
        <w:t>日北京时间1</w:t>
      </w:r>
      <w:r>
        <w:rPr>
          <w:rFonts w:ascii="方正仿宋_GBK" w:hAnsi="宋体" w:eastAsia="方正仿宋_GBK"/>
          <w:color w:val="FF0000"/>
          <w:sz w:val="24"/>
          <w:szCs w:val="24"/>
        </w:rPr>
        <w:t>2</w:t>
      </w:r>
      <w:r>
        <w:rPr>
          <w:rFonts w:hint="eastAsia" w:ascii="方正仿宋_GBK" w:hAnsi="宋体" w:eastAsia="方正仿宋_GBK"/>
          <w:color w:val="FF0000"/>
          <w:sz w:val="24"/>
          <w:szCs w:val="24"/>
        </w:rPr>
        <w:t>:</w:t>
      </w:r>
      <w:r>
        <w:rPr>
          <w:rFonts w:ascii="方正仿宋_GBK" w:hAnsi="宋体" w:eastAsia="方正仿宋_GBK"/>
          <w:color w:val="FF0000"/>
          <w:sz w:val="24"/>
          <w:szCs w:val="24"/>
        </w:rPr>
        <w:t>0</w:t>
      </w:r>
      <w:r>
        <w:rPr>
          <w:rFonts w:hint="eastAsia" w:ascii="方正仿宋_GBK" w:hAnsi="宋体" w:eastAsia="方正仿宋_GBK"/>
          <w:color w:val="FF0000"/>
          <w:sz w:val="24"/>
          <w:szCs w:val="24"/>
        </w:rPr>
        <w:t>0时</w:t>
      </w:r>
    </w:p>
    <w:p w14:paraId="5EC99F0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将投标文件密封后在投标截止时间前交至重庆市合川区妇幼保健院3号楼6楼财务科办公室。如果是寄快递请发顺丰，纸质件资料收货地址：重庆市合川区合阳街道合阳大道1089号合川区妇幼保健院3号楼6楼招标办617室；收件人为：招标办；电话：（023）42419716，请自行掌控快递送件时间，响应文件必须在提交截止时间前送到资料递交地点。</w:t>
      </w:r>
    </w:p>
    <w:p w14:paraId="0BF8BD54">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（六）供应商制作的响应文件须按照要求制作，规定签字、盖章的地方必须按其规定签字、盖章，未按要求制作响应文件的进行废标处理。</w:t>
      </w:r>
      <w:bookmarkEnd w:id="32"/>
      <w:bookmarkEnd w:id="40"/>
    </w:p>
    <w:p w14:paraId="004E244E">
      <w:pPr>
        <w:pStyle w:val="5"/>
        <w:spacing w:line="380" w:lineRule="exact"/>
        <w:ind w:firstLine="482" w:firstLineChars="200"/>
        <w:rPr>
          <w:rFonts w:ascii="方正仿宋_GBK" w:hAnsi="宋体" w:eastAsia="方正仿宋_GBK"/>
          <w:sz w:val="24"/>
          <w:szCs w:val="24"/>
        </w:rPr>
      </w:pPr>
      <w:bookmarkStart w:id="41" w:name="_Toc7203"/>
      <w:bookmarkStart w:id="42" w:name="_Toc29260"/>
      <w:bookmarkStart w:id="43" w:name="_Toc403569774"/>
      <w:bookmarkStart w:id="44" w:name="_Toc16124"/>
      <w:bookmarkStart w:id="45" w:name="_Toc18083"/>
      <w:r>
        <w:rPr>
          <w:rFonts w:hint="eastAsia" w:ascii="方正仿宋_GBK" w:hAnsi="宋体" w:eastAsia="方正仿宋_GBK"/>
          <w:sz w:val="24"/>
          <w:szCs w:val="24"/>
        </w:rPr>
        <w:t>五、</w:t>
      </w:r>
      <w:bookmarkEnd w:id="33"/>
      <w:r>
        <w:rPr>
          <w:rFonts w:hint="eastAsia" w:ascii="方正仿宋_GBK" w:hAnsi="宋体" w:eastAsia="方正仿宋_GBK"/>
          <w:sz w:val="24"/>
          <w:szCs w:val="24"/>
        </w:rPr>
        <w:t>其它有关规定</w:t>
      </w:r>
      <w:bookmarkEnd w:id="41"/>
      <w:bookmarkEnd w:id="42"/>
      <w:bookmarkEnd w:id="43"/>
      <w:bookmarkEnd w:id="44"/>
      <w:bookmarkEnd w:id="45"/>
    </w:p>
    <w:p w14:paraId="6514E2AB">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1、单位负责人为同一个人的两个及两个以上法人，母公司、全资子公司及其控股公司，都不得在同一分包的货物询价中同时参与询价，否则均为无效响应。</w:t>
      </w:r>
    </w:p>
    <w:p w14:paraId="3D339C6B">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本项目在响应文件提交截止时间前发布的询价文件及补遗文件（如果有）一律在行采家”平台（http://www.gec123.com）网上发布，请各供应商注意下载；无论供应商下载与否，均视同供应商已知晓本项目询价文件、补遗文件（如果有）的内容。</w:t>
      </w:r>
    </w:p>
    <w:p w14:paraId="712C7D75">
      <w:pPr>
        <w:widowControl/>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3、超过响应文件截止时间递交的响应文件</w:t>
      </w:r>
      <w:r>
        <w:rPr>
          <w:rFonts w:hint="eastAsia" w:ascii="方正仿宋_GBK" w:hAnsi="宋体" w:eastAsia="方正仿宋_GBK"/>
          <w:sz w:val="24"/>
        </w:rPr>
        <w:t>、不按本询价文件规定封装和密封的询价，医院拒绝接受</w:t>
      </w:r>
      <w:r>
        <w:rPr>
          <w:rFonts w:hint="eastAsia" w:ascii="方正仿宋_GBK" w:hAnsi="宋体" w:eastAsia="方正仿宋_GBK"/>
          <w:sz w:val="24"/>
          <w:szCs w:val="24"/>
        </w:rPr>
        <w:t>。</w:t>
      </w:r>
    </w:p>
    <w:p w14:paraId="04AD8CF0">
      <w:pPr>
        <w:snapToGrid w:val="0"/>
        <w:spacing w:line="38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4、参与询价费用：无论询价结果如何，供应商参与本项目投标的所有费用均应由供应商自行承担。</w:t>
      </w:r>
    </w:p>
    <w:p w14:paraId="4B1FC9F8">
      <w:pPr>
        <w:pStyle w:val="5"/>
        <w:spacing w:line="380" w:lineRule="exact"/>
        <w:ind w:firstLine="482" w:firstLineChars="200"/>
        <w:rPr>
          <w:rFonts w:ascii="方正仿宋_GBK" w:hAnsi="宋体" w:eastAsia="方正仿宋_GBK"/>
          <w:sz w:val="24"/>
          <w:szCs w:val="24"/>
        </w:rPr>
      </w:pPr>
      <w:bookmarkStart w:id="46" w:name="_Toc15245"/>
      <w:bookmarkStart w:id="47" w:name="_Toc403569775"/>
      <w:bookmarkStart w:id="48" w:name="_Toc29255"/>
      <w:bookmarkStart w:id="49" w:name="_Toc22861"/>
      <w:bookmarkStart w:id="50" w:name="_Toc3451"/>
      <w:r>
        <w:rPr>
          <w:rFonts w:hint="eastAsia" w:ascii="方正仿宋_GBK" w:hAnsi="宋体" w:eastAsia="方正仿宋_GBK"/>
          <w:sz w:val="24"/>
          <w:szCs w:val="24"/>
        </w:rPr>
        <w:t>六、联系方式</w:t>
      </w:r>
      <w:bookmarkEnd w:id="46"/>
      <w:bookmarkEnd w:id="47"/>
      <w:bookmarkEnd w:id="48"/>
      <w:bookmarkEnd w:id="49"/>
      <w:bookmarkEnd w:id="50"/>
    </w:p>
    <w:p w14:paraId="264BF21D">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（一）医院：重庆市合川区妇幼保健院</w:t>
      </w:r>
    </w:p>
    <w:p w14:paraId="237C4FE2">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联系人：</w:t>
      </w:r>
      <w:r>
        <w:rPr>
          <w:rFonts w:hint="eastAsia" w:ascii="方正仿宋_GBK" w:hAnsi="宋体" w:eastAsia="方正仿宋_GBK"/>
          <w:color w:val="000000" w:themeColor="text1"/>
          <w:sz w:val="24"/>
          <w:szCs w:val="24"/>
          <w14:textFill>
            <w14:solidFill>
              <w14:schemeClr w14:val="tx1"/>
            </w14:solidFill>
          </w14:textFill>
        </w:rPr>
        <w:t>高老师（采购咨询）、尹老师</w:t>
      </w:r>
      <w:r>
        <w:rPr>
          <w:rFonts w:hint="eastAsia" w:ascii="方正仿宋_GBK" w:hAnsi="宋体" w:eastAsia="方正仿宋_GBK"/>
          <w:color w:val="000000" w:themeColor="text1"/>
          <w:sz w:val="24"/>
          <w14:textFill>
            <w14:solidFill>
              <w14:schemeClr w14:val="tx1"/>
            </w14:solidFill>
          </w14:textFill>
        </w:rPr>
        <w:t>（项目咨询）</w:t>
      </w:r>
    </w:p>
    <w:p w14:paraId="064F12BA">
      <w:pPr>
        <w:snapToGrid w:val="0"/>
        <w:spacing w:line="380" w:lineRule="exact"/>
        <w:ind w:firstLine="480" w:firstLineChars="200"/>
        <w:rPr>
          <w:rFonts w:ascii="方正仿宋_GBK"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电  话：</w:t>
      </w:r>
      <w:r>
        <w:rPr>
          <w:rFonts w:hint="eastAsia" w:ascii="方正仿宋_GBK" w:eastAsia="方正仿宋_GBK"/>
          <w:color w:val="000000" w:themeColor="text1"/>
          <w:sz w:val="24"/>
          <w14:textFill>
            <w14:solidFill>
              <w14:schemeClr w14:val="tx1"/>
            </w14:solidFill>
          </w14:textFill>
        </w:rPr>
        <w:t>023-42419716（采购咨询）</w:t>
      </w:r>
    </w:p>
    <w:p w14:paraId="063CFCE1">
      <w:pPr>
        <w:snapToGrid w:val="0"/>
        <w:spacing w:line="380" w:lineRule="exact"/>
        <w:ind w:firstLine="480" w:firstLineChars="200"/>
        <w:rPr>
          <w:rFonts w:ascii="方正仿宋_GBK" w:hAnsi="宋体" w:eastAsia="方正仿宋_GBK"/>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仿宋_GBK" w:hAnsi="宋体" w:eastAsia="方正仿宋_GBK"/>
          <w:color w:val="000000" w:themeColor="text1"/>
          <w:sz w:val="24"/>
          <w14:textFill>
            <w14:solidFill>
              <w14:schemeClr w14:val="tx1"/>
            </w14:solidFill>
          </w14:textFill>
        </w:rPr>
        <w:t>地  址：</w:t>
      </w:r>
      <w:r>
        <w:rPr>
          <w:rFonts w:ascii="方正仿宋_GBK" w:hAnsi="宋体" w:eastAsia="方正仿宋_GBK"/>
          <w:sz w:val="24"/>
          <w:szCs w:val="24"/>
        </w:rPr>
        <w:t>重庆市合川区合阳城街道办事处合阳大道1089</w:t>
      </w:r>
    </w:p>
    <w:p w14:paraId="7E670BB8">
      <w:pPr>
        <w:pStyle w:val="4"/>
        <w:spacing w:line="360" w:lineRule="auto"/>
        <w:jc w:val="center"/>
        <w:rPr>
          <w:rFonts w:ascii="方正小标宋_GBK" w:hAnsi="宋体" w:eastAsia="方正小标宋_GBK"/>
          <w:b w:val="0"/>
          <w:szCs w:val="30"/>
        </w:rPr>
      </w:pPr>
      <w:bookmarkStart w:id="51" w:name="_Toc2218"/>
      <w:bookmarkStart w:id="52" w:name="_Toc16594"/>
      <w:bookmarkStart w:id="53" w:name="_Toc26847"/>
      <w:bookmarkStart w:id="54" w:name="_Toc31510"/>
      <w:bookmarkStart w:id="55" w:name="_Toc8306"/>
      <w:bookmarkStart w:id="56" w:name="_Toc28752"/>
      <w:bookmarkStart w:id="57" w:name="_Toc12490"/>
      <w:bookmarkStart w:id="58" w:name="_Toc23205"/>
      <w:bookmarkStart w:id="59" w:name="_Toc30043"/>
      <w:bookmarkStart w:id="60" w:name="_Toc16392"/>
      <w:bookmarkStart w:id="61" w:name="_Toc26345"/>
      <w:bookmarkStart w:id="62" w:name="_Toc26732"/>
      <w:bookmarkStart w:id="63" w:name="_Toc403569776"/>
      <w:bookmarkStart w:id="64" w:name="_Toc102227313"/>
      <w:r>
        <w:rPr>
          <w:rFonts w:hint="eastAsia" w:ascii="方正小标宋_GBK" w:hAnsi="宋体" w:eastAsia="方正小标宋_GBK"/>
          <w:b w:val="0"/>
          <w:sz w:val="36"/>
          <w:szCs w:val="30"/>
        </w:rPr>
        <w:t>第二篇  供应商须知</w:t>
      </w:r>
      <w:bookmarkEnd w:id="51"/>
      <w:bookmarkEnd w:id="52"/>
    </w:p>
    <w:p w14:paraId="31A978C5">
      <w:pPr>
        <w:pStyle w:val="5"/>
        <w:spacing w:line="400" w:lineRule="exact"/>
        <w:ind w:firstLine="482" w:firstLineChars="200"/>
        <w:rPr>
          <w:rFonts w:ascii="方正仿宋_GBK" w:eastAsia="方正仿宋_GBK"/>
          <w:sz w:val="24"/>
          <w:szCs w:val="24"/>
        </w:rPr>
      </w:pPr>
      <w:bookmarkStart w:id="65" w:name="_Toc7481"/>
      <w:bookmarkStart w:id="66" w:name="_Toc22973"/>
      <w:r>
        <w:rPr>
          <w:rFonts w:hint="eastAsia" w:ascii="方正仿宋_GBK" w:eastAsia="方正仿宋_GBK"/>
          <w:sz w:val="24"/>
          <w:szCs w:val="24"/>
        </w:rPr>
        <w:t>一、</w:t>
      </w:r>
      <w:bookmarkEnd w:id="53"/>
      <w:bookmarkEnd w:id="54"/>
      <w:bookmarkEnd w:id="55"/>
      <w:bookmarkEnd w:id="56"/>
      <w:r>
        <w:rPr>
          <w:rFonts w:hint="eastAsia" w:ascii="方正仿宋_GBK" w:eastAsia="方正仿宋_GBK"/>
          <w:sz w:val="24"/>
          <w:szCs w:val="24"/>
        </w:rPr>
        <w:t>询价费用</w:t>
      </w:r>
      <w:bookmarkEnd w:id="57"/>
      <w:bookmarkEnd w:id="58"/>
      <w:bookmarkEnd w:id="59"/>
      <w:bookmarkEnd w:id="60"/>
      <w:bookmarkEnd w:id="61"/>
      <w:bookmarkEnd w:id="62"/>
      <w:bookmarkEnd w:id="65"/>
      <w:bookmarkEnd w:id="66"/>
    </w:p>
    <w:p w14:paraId="6B55F94A">
      <w:pPr>
        <w:pStyle w:val="21"/>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参与询价的供应商应承担其编制响应文件与递交响应文件所涉及的一切费用，不论询价结果如何，医院和询价代理机构在任何情况下无义务也无责任承担这些费用。</w:t>
      </w:r>
    </w:p>
    <w:p w14:paraId="6B909901">
      <w:pPr>
        <w:pStyle w:val="5"/>
        <w:tabs>
          <w:tab w:val="left" w:pos="2640"/>
        </w:tabs>
        <w:spacing w:line="400" w:lineRule="exact"/>
        <w:ind w:firstLine="482" w:firstLineChars="200"/>
        <w:rPr>
          <w:rFonts w:ascii="方正仿宋_GBK" w:eastAsia="方正仿宋_GBK"/>
          <w:sz w:val="24"/>
          <w:szCs w:val="24"/>
        </w:rPr>
      </w:pPr>
      <w:bookmarkStart w:id="67" w:name="_Toc12736"/>
      <w:bookmarkStart w:id="68" w:name="_Toc25466"/>
      <w:bookmarkStart w:id="69" w:name="_Toc7956"/>
      <w:bookmarkStart w:id="70" w:name="_Toc384"/>
      <w:bookmarkStart w:id="71" w:name="_Toc19271"/>
      <w:bookmarkStart w:id="72" w:name="_Toc11661"/>
      <w:bookmarkStart w:id="73" w:name="_Toc19488"/>
      <w:bookmarkStart w:id="74" w:name="_Toc13799"/>
      <w:bookmarkStart w:id="75" w:name="_Toc23307"/>
      <w:bookmarkStart w:id="76" w:name="_Toc2532"/>
      <w:bookmarkStart w:id="77" w:name="_Toc31473"/>
      <w:bookmarkStart w:id="78" w:name="_Toc24437"/>
      <w:r>
        <w:rPr>
          <w:rFonts w:hint="eastAsia" w:ascii="方正仿宋_GBK" w:eastAsia="方正仿宋_GBK"/>
          <w:sz w:val="24"/>
          <w:szCs w:val="24"/>
        </w:rPr>
        <w:t>二、</w:t>
      </w:r>
      <w:bookmarkEnd w:id="67"/>
      <w:bookmarkEnd w:id="68"/>
      <w:bookmarkEnd w:id="69"/>
      <w:bookmarkEnd w:id="70"/>
      <w:r>
        <w:rPr>
          <w:rFonts w:hint="eastAsia" w:ascii="方正仿宋_GBK" w:eastAsia="方正仿宋_GBK"/>
          <w:sz w:val="24"/>
          <w:szCs w:val="24"/>
        </w:rPr>
        <w:t>询价文件</w:t>
      </w:r>
      <w:bookmarkEnd w:id="71"/>
      <w:bookmarkEnd w:id="72"/>
      <w:bookmarkEnd w:id="73"/>
      <w:bookmarkEnd w:id="74"/>
      <w:bookmarkEnd w:id="75"/>
      <w:bookmarkEnd w:id="76"/>
      <w:bookmarkEnd w:id="77"/>
      <w:bookmarkEnd w:id="78"/>
      <w:r>
        <w:rPr>
          <w:rFonts w:ascii="方正仿宋_GBK" w:eastAsia="方正仿宋_GBK"/>
          <w:sz w:val="24"/>
          <w:szCs w:val="24"/>
        </w:rPr>
        <w:tab/>
      </w:r>
    </w:p>
    <w:p w14:paraId="5573929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1、询价文件由询价邀请书、供应商须知、项目技术需求、项目服务需求、响应文件格式要求六部分组成。</w:t>
      </w:r>
    </w:p>
    <w:p w14:paraId="717AF14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2、医院（或询价代理机构）所作的一切有效的书面通知、修改及补充，都是询价文件不可分割的部分。</w:t>
      </w:r>
    </w:p>
    <w:p w14:paraId="22BFA42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3、询价文件的解释</w:t>
      </w:r>
    </w:p>
    <w:p w14:paraId="6B91113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询价文件有疑问，必须在询价截止时间1个工作日前将加盖公章的纸质材料交医院财务科向医院（或询价代理机构）要求澄清，医院（或询价代理机构）可视具体情况做出处理或答复。如供应商未提出疑问，视为完全理解并同意本询价文件。一经进入询价程序，即视为供应商已详细阅读全部文件资料，完全理解询价文件所有条款内容并同意放弃对这方面有不明白及误解的权利。</w:t>
      </w:r>
    </w:p>
    <w:p w14:paraId="7685FC38">
      <w:pPr>
        <w:pStyle w:val="5"/>
        <w:spacing w:line="400" w:lineRule="exact"/>
        <w:ind w:firstLine="482" w:firstLineChars="200"/>
        <w:rPr>
          <w:rFonts w:ascii="方正仿宋_GBK" w:eastAsia="方正仿宋_GBK"/>
          <w:sz w:val="24"/>
          <w:szCs w:val="24"/>
        </w:rPr>
      </w:pPr>
      <w:bookmarkStart w:id="79" w:name="_Toc29776"/>
      <w:bookmarkStart w:id="80" w:name="_Toc13597"/>
      <w:bookmarkStart w:id="81" w:name="_Toc3450"/>
      <w:bookmarkStart w:id="82" w:name="_Toc11415"/>
      <w:bookmarkStart w:id="83" w:name="_Toc16256"/>
      <w:bookmarkStart w:id="84" w:name="_Toc17814"/>
      <w:bookmarkStart w:id="85" w:name="_Toc8619"/>
      <w:bookmarkStart w:id="86" w:name="_Toc15613"/>
      <w:bookmarkStart w:id="87" w:name="_Toc31424"/>
      <w:bookmarkStart w:id="88" w:name="_Toc8043"/>
      <w:bookmarkStart w:id="89" w:name="_Toc20"/>
      <w:bookmarkStart w:id="90" w:name="_Toc9698"/>
      <w:r>
        <w:rPr>
          <w:rFonts w:hint="eastAsia" w:ascii="方正仿宋_GBK" w:eastAsia="方正仿宋_GBK"/>
          <w:sz w:val="24"/>
          <w:szCs w:val="24"/>
        </w:rPr>
        <w:t>三、询价要求</w:t>
      </w:r>
      <w:bookmarkEnd w:id="79"/>
      <w:bookmarkEnd w:id="80"/>
      <w:bookmarkEnd w:id="81"/>
      <w:bookmarkEnd w:id="82"/>
      <w:bookmarkEnd w:id="83"/>
      <w:bookmarkEnd w:id="84"/>
      <w:bookmarkEnd w:id="85"/>
      <w:bookmarkEnd w:id="86"/>
      <w:bookmarkEnd w:id="87"/>
      <w:bookmarkEnd w:id="88"/>
      <w:bookmarkEnd w:id="89"/>
      <w:bookmarkEnd w:id="90"/>
    </w:p>
    <w:p w14:paraId="25A099D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22E3DCE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供应商应当按照询价文件的要求编制响应文件，并对询价文件提出的要求和条件作出实质性响应，响应文件原则上采用软面订本，同时应编制完整的页码、目录。</w:t>
      </w:r>
    </w:p>
    <w:p w14:paraId="68547CE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56D208F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规定的部分和供应商所作的一切有效补充、修改和承诺等文件组成，供应商应按照</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规定的目录顺序组织编写和装订，也可在基本格式基础上对表格进行扩展，未规定格式的由供应商自定格式。</w:t>
      </w:r>
    </w:p>
    <w:p w14:paraId="7FD3E49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1.2联合体（本项目不接受联合体参与询价）</w:t>
      </w:r>
    </w:p>
    <w:p w14:paraId="0524050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1.3参与询价有效期：响应文件及有关承诺文件有效期为询价开始时间起90天。</w:t>
      </w:r>
    </w:p>
    <w:p w14:paraId="50B647B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2、报价要求</w:t>
      </w:r>
    </w:p>
    <w:p w14:paraId="6D0FDD7A">
      <w:pPr>
        <w:spacing w:line="400" w:lineRule="exact"/>
        <w:ind w:firstLine="480" w:firstLineChars="200"/>
        <w:rPr>
          <w:rFonts w:ascii="方正仿宋_GBK" w:hAnsi="宋体" w:eastAsia="方正仿宋_GBK"/>
          <w:color w:val="FF0000"/>
          <w:sz w:val="24"/>
          <w:szCs w:val="24"/>
          <w:highlight w:val="yellow"/>
        </w:rPr>
      </w:pPr>
      <w:r>
        <w:rPr>
          <w:rFonts w:hint="eastAsia" w:ascii="方正仿宋_GBK" w:hAnsi="宋体" w:eastAsia="方正仿宋_GBK"/>
          <w:color w:val="FF0000"/>
          <w:sz w:val="24"/>
          <w:szCs w:val="24"/>
        </w:rPr>
        <w:t>本项目仅采用一次报价，报单价，报价以人民币报价、精确到小数点后两位数。与报价最低供应商成交为合作的供应商。报价实行包干（包括快递、人工、运输、安装、税费、管理费等一切费用）。因中选供应商自身原因造成漏报、少报皆由其自行承担责任，医院不再补偿。</w:t>
      </w:r>
    </w:p>
    <w:p w14:paraId="09BDAE5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2E821F9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5344E8E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14:paraId="7B1AAA5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482041A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color w:val="FF0000"/>
          <w:sz w:val="24"/>
          <w:szCs w:val="24"/>
          <w:highlight w:val="yellow"/>
          <w:u w:val="single"/>
        </w:rPr>
        <w:t>每一部分一式三份，分开装订</w:t>
      </w:r>
      <w:r>
        <w:rPr>
          <w:rFonts w:hint="eastAsia" w:ascii="方正仿宋_GBK" w:hAnsi="宋体" w:eastAsia="方正仿宋_GBK"/>
          <w:b/>
          <w:sz w:val="24"/>
          <w:szCs w:val="24"/>
          <w:highlight w:val="yellow"/>
          <w:u w:val="single"/>
        </w:rPr>
        <w:t>。</w:t>
      </w:r>
    </w:p>
    <w:p w14:paraId="4E19E6C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5.2在响应文件必须加盖骑缝章或每一页加盖公章，询价文件</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中规定签字、盖章的地方必须按其规定签字、盖章。</w:t>
      </w:r>
    </w:p>
    <w:p w14:paraId="12224AC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5.3、若中选供应商对响应文件的错处作必要修改，则应在修改处加盖中选供应商公章或由法定代表人或法定代表人授权代表签字确认。</w:t>
      </w:r>
    </w:p>
    <w:p w14:paraId="732070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5.4、电报、电话、传真形式的响应文件概不接受。</w:t>
      </w:r>
    </w:p>
    <w:p w14:paraId="2D97399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685BB9B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6.1响应文件的密封与标记</w:t>
      </w:r>
    </w:p>
    <w:p w14:paraId="3AE37C87">
      <w:pPr>
        <w:pStyle w:val="7"/>
        <w:spacing w:line="40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6.1.1、响应文件按照“资格及商务技术文件”、“ 经济文件”两部分分别封装，“ 经济文件”封装在一个密封袋内，“资格及商务技术文件”封装在一个密封袋内，</w:t>
      </w:r>
      <w:r>
        <w:rPr>
          <w:rFonts w:hint="eastAsia" w:ascii="方正仿宋_GBK" w:hAnsi="宋体" w:eastAsia="方正仿宋_GBK"/>
          <w:sz w:val="24"/>
        </w:rPr>
        <w:t>密封袋的封口须加盖中选供应商公章或</w:t>
      </w:r>
      <w:r>
        <w:rPr>
          <w:rFonts w:hint="eastAsia" w:ascii="方正仿宋_GBK" w:hAnsi="宋体" w:eastAsia="方正仿宋_GBK"/>
          <w:sz w:val="24"/>
          <w:szCs w:val="24"/>
        </w:rPr>
        <w:t>法定代表人</w:t>
      </w:r>
      <w:r>
        <w:rPr>
          <w:rFonts w:hint="eastAsia" w:ascii="方正仿宋_GBK" w:hAnsi="宋体" w:eastAsia="方正仿宋_GBK"/>
          <w:sz w:val="24"/>
        </w:rPr>
        <w:t>授权代表签字。</w:t>
      </w:r>
      <w:r>
        <w:rPr>
          <w:rFonts w:hint="eastAsia" w:ascii="方正仿宋_GBK" w:hAnsi="宋体" w:eastAsia="方正仿宋_GBK"/>
          <w:b/>
          <w:sz w:val="24"/>
        </w:rPr>
        <w:t>不按本询价文件规定封装和密封的投标，我院拒绝接受。</w:t>
      </w:r>
    </w:p>
    <w:p w14:paraId="3A27A30C">
      <w:pPr>
        <w:snapToGrid w:val="0"/>
        <w:spacing w:line="400" w:lineRule="exact"/>
        <w:ind w:left="3" w:leftChars="1" w:firstLine="480" w:firstLineChars="200"/>
        <w:rPr>
          <w:rFonts w:ascii="方正仿宋_GBK" w:hAnsi="宋体" w:eastAsia="方正仿宋_GBK"/>
          <w:sz w:val="24"/>
          <w:szCs w:val="24"/>
        </w:rPr>
      </w:pPr>
      <w:r>
        <w:rPr>
          <w:rFonts w:hint="eastAsia" w:ascii="方正仿宋_GBK" w:hAnsi="宋体" w:eastAsia="方正仿宋_GBK"/>
          <w:sz w:val="24"/>
          <w:szCs w:val="24"/>
        </w:rPr>
        <w:t>6.1.2、响应文件的制作：文件的每一部分各自装订成册，应按照</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规定目录的顺序编写目录，并应逐页编制页码。在每一本文件的</w:t>
      </w:r>
      <w:r>
        <w:rPr>
          <w:rFonts w:hint="eastAsia" w:ascii="方正仿宋_GBK" w:hAnsi="宋体" w:eastAsia="方正仿宋_GBK"/>
          <w:sz w:val="24"/>
          <w:szCs w:val="24"/>
          <w:highlight w:val="yellow"/>
        </w:rPr>
        <w:t>封面上注明“**文件”、项目名称、分包号、供应商名称地址、联系方式。</w:t>
      </w:r>
    </w:p>
    <w:p w14:paraId="206B9DCF">
      <w:pPr>
        <w:snapToGrid w:val="0"/>
        <w:spacing w:line="400" w:lineRule="exact"/>
        <w:ind w:left="3" w:leftChars="1" w:firstLine="480" w:firstLineChars="200"/>
        <w:rPr>
          <w:rFonts w:ascii="方正仿宋_GBK" w:hAnsi="宋体" w:eastAsia="方正仿宋_GBK"/>
          <w:sz w:val="24"/>
          <w:szCs w:val="24"/>
        </w:rPr>
      </w:pPr>
      <w:r>
        <w:rPr>
          <w:rFonts w:hint="eastAsia" w:ascii="方正仿宋_GBK" w:hAnsi="宋体" w:eastAsia="方正仿宋_GBK"/>
          <w:sz w:val="24"/>
          <w:szCs w:val="24"/>
        </w:rPr>
        <w:t>6.1.3、</w:t>
      </w:r>
      <w:r>
        <w:rPr>
          <w:rFonts w:hint="eastAsia" w:ascii="方正仿宋_GBK" w:eastAsia="方正仿宋_GBK"/>
          <w:sz w:val="24"/>
          <w:szCs w:val="24"/>
        </w:rPr>
        <w:t>密封袋的封面</w:t>
      </w:r>
      <w:r>
        <w:rPr>
          <w:rFonts w:hint="eastAsia" w:ascii="方正仿宋_GBK" w:hAnsi="宋体" w:eastAsia="方正仿宋_GBK"/>
          <w:sz w:val="24"/>
          <w:szCs w:val="24"/>
        </w:rPr>
        <w:t>可参照</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规定格式制作。</w:t>
      </w:r>
    </w:p>
    <w:p w14:paraId="74223E1B">
      <w:pPr>
        <w:pStyle w:val="9"/>
        <w:spacing w:line="400" w:lineRule="exact"/>
        <w:ind w:firstLine="482" w:firstLineChars="200"/>
        <w:rPr>
          <w:rFonts w:ascii="方正仿宋_GBK" w:hAnsi="方正仿宋_GBK" w:eastAsia="方正仿宋_GBK" w:cs="宋体"/>
          <w:b/>
          <w:kern w:val="0"/>
          <w:sz w:val="24"/>
          <w:szCs w:val="24"/>
        </w:rPr>
      </w:pPr>
      <w:r>
        <w:rPr>
          <w:rFonts w:hint="eastAsia" w:ascii="方正仿宋_GBK" w:hAnsi="宋体" w:eastAsia="方正仿宋_GBK"/>
          <w:b/>
          <w:sz w:val="24"/>
          <w:szCs w:val="24"/>
        </w:rPr>
        <w:t>如果未按上述要求进行制作和标记，询价机构对参与询价的文件误投、丢失或拆封不负责任。</w:t>
      </w:r>
    </w:p>
    <w:p w14:paraId="0C4BD20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6.2响应文件投递截止时间：参阅询价邀请书。</w:t>
      </w:r>
    </w:p>
    <w:p w14:paraId="1FCF204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639AA20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8、无效响应</w:t>
      </w:r>
    </w:p>
    <w:p w14:paraId="6CC0BCE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14:paraId="661D889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8.1不符合规定的基本资格条件或特定资格条件；</w:t>
      </w:r>
    </w:p>
    <w:p w14:paraId="2C7A721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8.2 供应商超出营业范围的；</w:t>
      </w:r>
    </w:p>
    <w:p w14:paraId="3CAB398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8.3响应文件不按规定签字、盖章；</w:t>
      </w:r>
    </w:p>
    <w:p w14:paraId="02346B9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8.4报价超过询价预算；</w:t>
      </w:r>
    </w:p>
    <w:p w14:paraId="6CE2EDA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8.5未实质性响应询价文件的响应文件的；</w:t>
      </w:r>
    </w:p>
    <w:p w14:paraId="3CA1D3A0">
      <w:pPr>
        <w:snapToGrid w:val="0"/>
        <w:spacing w:line="400" w:lineRule="exact"/>
        <w:ind w:firstLine="480" w:firstLineChars="200"/>
        <w:rPr>
          <w:rFonts w:ascii="方正仿宋_GBK" w:hAnsi="宋体" w:eastAsia="方正仿宋_GBK"/>
          <w:sz w:val="24"/>
          <w:szCs w:val="24"/>
        </w:rPr>
        <w:sectPr>
          <w:headerReference r:id="rId5" w:type="default"/>
          <w:footerReference r:id="rId6" w:type="default"/>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8.6供应商响应文件内容有与国家现行法律法规相违背的内容，或附有医院无法接受的条件。</w:t>
      </w:r>
    </w:p>
    <w:bookmarkEnd w:id="63"/>
    <w:bookmarkEnd w:id="64"/>
    <w:p w14:paraId="48DD6B7A">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center" w:pos="4706"/>
          <w:tab w:val="left" w:pos="5040"/>
          <w:tab w:val="left" w:pos="5460"/>
          <w:tab w:val="left" w:pos="5880"/>
          <w:tab w:val="left" w:pos="6300"/>
          <w:tab w:val="left" w:pos="6720"/>
          <w:tab w:val="left" w:pos="7395"/>
        </w:tabs>
        <w:spacing w:line="360" w:lineRule="auto"/>
        <w:jc w:val="left"/>
        <w:rPr>
          <w:rFonts w:ascii="方正小标宋_GBK" w:hAnsi="宋体" w:eastAsia="方正小标宋_GBK"/>
          <w:b w:val="0"/>
          <w:sz w:val="36"/>
          <w:szCs w:val="30"/>
        </w:rPr>
      </w:pPr>
      <w:bookmarkStart w:id="91" w:name="_Toc30905"/>
      <w:bookmarkStart w:id="92" w:name="_Toc23940"/>
      <w:bookmarkStart w:id="93" w:name="_Toc13569"/>
      <w:bookmarkStart w:id="94" w:name="_Toc2596"/>
      <w:bookmarkStart w:id="95" w:name="_Toc403569786"/>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hint="eastAsia" w:ascii="方正小标宋_GBK" w:hAnsi="宋体" w:eastAsia="方正小标宋_GBK"/>
          <w:b w:val="0"/>
          <w:sz w:val="36"/>
          <w:szCs w:val="30"/>
        </w:rPr>
        <w:t>第三篇  项目</w:t>
      </w:r>
      <w:r>
        <w:rPr>
          <w:rFonts w:hint="eastAsia" w:ascii="方正小标宋_GBK" w:hAnsi="宋体" w:eastAsia="方正小标宋_GBK"/>
          <w:b w:val="0"/>
          <w:sz w:val="36"/>
          <w:szCs w:val="30"/>
          <w:lang w:eastAsia="zh-CN"/>
        </w:rPr>
        <w:t>服务内容</w:t>
      </w:r>
      <w:r>
        <w:rPr>
          <w:rFonts w:hint="eastAsia" w:ascii="方正小标宋_GBK" w:hAnsi="宋体" w:eastAsia="方正小标宋_GBK"/>
          <w:b w:val="0"/>
          <w:sz w:val="36"/>
          <w:szCs w:val="30"/>
        </w:rPr>
        <w:t>需求</w:t>
      </w:r>
      <w:bookmarkEnd w:id="91"/>
      <w:bookmarkEnd w:id="92"/>
      <w:bookmarkEnd w:id="93"/>
      <w:bookmarkEnd w:id="94"/>
      <w:bookmarkEnd w:id="95"/>
      <w:r>
        <w:rPr>
          <w:rFonts w:ascii="方正小标宋_GBK" w:hAnsi="宋体" w:eastAsia="方正小标宋_GBK"/>
          <w:b w:val="0"/>
          <w:sz w:val="36"/>
          <w:szCs w:val="30"/>
        </w:rPr>
        <w:tab/>
      </w:r>
    </w:p>
    <w:p w14:paraId="0AC3A8B6">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服务内容</w:t>
      </w:r>
      <w:r>
        <w:rPr>
          <w:rFonts w:hint="eastAsia" w:ascii="方正黑体_GBK" w:hAnsi="方正黑体_GBK" w:eastAsia="方正黑体_GBK" w:cs="方正黑体_GBK"/>
          <w:sz w:val="32"/>
          <w:szCs w:val="32"/>
        </w:rPr>
        <w:t>要求：</w:t>
      </w:r>
    </w:p>
    <w:tbl>
      <w:tblPr>
        <w:tblStyle w:val="17"/>
        <w:tblW w:w="927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0"/>
      </w:tblGrid>
      <w:tr w14:paraId="28A6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136C4458">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sz w:val="24"/>
                <w:szCs w:val="24"/>
                <w:u w:val="none"/>
              </w:rPr>
            </w:pPr>
            <w:bookmarkStart w:id="96" w:name="_Toc19787"/>
            <w:bookmarkStart w:id="97" w:name="_Toc23599"/>
            <w:bookmarkStart w:id="98" w:name="_Toc26406"/>
            <w:bookmarkStart w:id="99" w:name="_Toc7391"/>
            <w:bookmarkStart w:id="100" w:name="_Toc403569789"/>
            <w:bookmarkStart w:id="101" w:name="_Toc12789058"/>
            <w:r>
              <w:rPr>
                <w:rFonts w:hint="eastAsia" w:ascii="方正仿宋_GBK" w:hAnsi="方正仿宋_GBK" w:eastAsia="方正仿宋_GBK" w:cs="方正仿宋_GBK"/>
                <w:b/>
                <w:bCs/>
                <w:i w:val="0"/>
                <w:iCs w:val="0"/>
                <w:color w:val="auto"/>
                <w:kern w:val="0"/>
                <w:sz w:val="24"/>
                <w:szCs w:val="24"/>
                <w:u w:val="none"/>
                <w:lang w:val="en-US" w:eastAsia="zh-CN" w:bidi="ar"/>
              </w:rPr>
              <w:t>（一）总体要求</w:t>
            </w:r>
          </w:p>
        </w:tc>
      </w:tr>
      <w:tr w14:paraId="79E5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270" w:type="dxa"/>
            <w:tcBorders>
              <w:tl2br w:val="nil"/>
              <w:tr2bl w:val="nil"/>
            </w:tcBorders>
            <w:noWrap w:val="0"/>
            <w:vAlign w:val="center"/>
          </w:tcPr>
          <w:p w14:paraId="02A9116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w:t>
            </w:r>
            <w:r>
              <w:rPr>
                <w:rFonts w:hint="eastAsia" w:ascii="方正仿宋_GBK" w:hAnsi="方正仿宋_GBK" w:eastAsia="方正仿宋_GBK" w:cs="方正仿宋_GBK"/>
                <w:i w:val="0"/>
                <w:iCs w:val="0"/>
                <w:color w:val="auto"/>
                <w:kern w:val="0"/>
                <w:sz w:val="24"/>
                <w:szCs w:val="24"/>
                <w:u w:val="none"/>
                <w:lang w:val="en-US" w:eastAsia="zh-CN" w:bidi="ar"/>
              </w:rPr>
              <w:t>1.供应商所投软件应满足《重庆市医疗保障局关于支持我市医学影像检查结果互认完善医疗服务价格项目有关事项的通知》(渝医保发〔2024〕3 号)文件中，关于“提供符合检查结果互认要求的数字影像存储、实现患者获取查阅下载等服务”的要求。</w:t>
            </w:r>
          </w:p>
        </w:tc>
      </w:tr>
      <w:tr w14:paraId="54A3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7026994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w:t>
            </w:r>
            <w:r>
              <w:rPr>
                <w:rFonts w:hint="eastAsia" w:ascii="方正仿宋_GBK" w:hAnsi="方正仿宋_GBK" w:eastAsia="方正仿宋_GBK" w:cs="方正仿宋_GBK"/>
                <w:i w:val="0"/>
                <w:iCs w:val="0"/>
                <w:color w:val="auto"/>
                <w:kern w:val="0"/>
                <w:sz w:val="24"/>
                <w:szCs w:val="24"/>
                <w:u w:val="none"/>
                <w:lang w:val="en-US" w:eastAsia="zh-CN" w:bidi="ar"/>
              </w:rPr>
              <w:t>2.供应商所投软件应符合重庆市卫生健康委员会印发的《重庆市数字医学影像服务技术规范》(渝卫办发〔2024〕30 号)要求，提供数字医学影像服务相关数据的采集、传输、存储、治理及应用等内容。</w:t>
            </w:r>
          </w:p>
        </w:tc>
      </w:tr>
      <w:tr w14:paraId="370C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31EF9E6F">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sz w:val="24"/>
                <w:szCs w:val="24"/>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（二）技术要求</w:t>
            </w:r>
          </w:p>
        </w:tc>
      </w:tr>
      <w:tr w14:paraId="7792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270" w:type="dxa"/>
            <w:tcBorders>
              <w:tl2br w:val="nil"/>
              <w:tr2bl w:val="nil"/>
            </w:tcBorders>
            <w:noWrap w:val="0"/>
            <w:vAlign w:val="center"/>
          </w:tcPr>
          <w:p w14:paraId="6DBF0C3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 按照《重庆市卫生健康行业统一数据采集工具运行管理规范》(渝卫办发〔2024〕16 号)的要求，依托重庆市卫生健康专网，使用专用采集工具从医疗机构的图像存储与传输系统(Picture Archiving and Communication System,PACS)进行采集。</w:t>
            </w:r>
          </w:p>
        </w:tc>
      </w:tr>
      <w:tr w14:paraId="4BBD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4584AA7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 采集的医学影像检查结果应符合重庆市医学影像医疗质量控制中心发布的《重庆市医学影像检查结果互认项目技术操作指南》的要求。</w:t>
            </w:r>
          </w:p>
        </w:tc>
      </w:tr>
      <w:tr w14:paraId="3F00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32BB595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 支持院内 HIS 系统与重庆市影像云对接，数据集中存储至重庆市卫生健康云, 保障数据的完整性与安全性，实现医学影像检查结果数据智能、高效、融合、经济的存储。</w:t>
            </w:r>
          </w:p>
        </w:tc>
      </w:tr>
      <w:tr w14:paraId="6D1F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270" w:type="dxa"/>
            <w:tcBorders>
              <w:tl2br w:val="nil"/>
              <w:tr2bl w:val="nil"/>
            </w:tcBorders>
            <w:noWrap w:val="0"/>
            <w:vAlign w:val="center"/>
          </w:tcPr>
          <w:p w14:paraId="2801F62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4. 支持数据云端分类存储，按临床医生和患者的访问频率将数据分成热数据与冷数据两种类型。热数据指高频率访问的医学影像数据，即 1 年以内有访问1的数据；冷数据指低频率访问的医学影像数据，即超过 1 年未访问的数据。</w:t>
            </w:r>
          </w:p>
        </w:tc>
      </w:tr>
      <w:tr w14:paraId="7FBB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270" w:type="dxa"/>
            <w:tcBorders>
              <w:tl2br w:val="nil"/>
              <w:tr2bl w:val="nil"/>
            </w:tcBorders>
            <w:noWrap w:val="0"/>
            <w:vAlign w:val="center"/>
          </w:tcPr>
          <w:p w14:paraId="5EF0ED2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5. 数据访问响应效率要求，1）热数据存储符合以下要求:数据可实时访问，首张影像加载访问延迟应小于 3 秒;采用可扩展的存储架构，当存储资源不足时应具备在线扩展能力，且不影响原存储系统的正常运行;采用多副本或纠删码的存储格式，保证业务 99.99%高可用。2）冷数据存储符合以下要求: 可实现数据延迟访问，访问延迟小于 2 小时;采用可扩展的存储架构，当存储资源不足时具备在线扩展能力，且不影响原存储系统的正常运行；采用多副本或纠删码的存储格式，保证业务 99.9%高可用。</w:t>
            </w:r>
          </w:p>
        </w:tc>
      </w:tr>
      <w:tr w14:paraId="3919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576AFC3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6. 数据备份期限应符合《关于印发电子病历应用管理规范(试行)的通知》(国卫办医发〔2017〕8 号)中关于电子病历存储的要求，按上传至卫生健康云的时间起算不低于 15 年。</w:t>
            </w:r>
          </w:p>
        </w:tc>
      </w:tr>
      <w:tr w14:paraId="6B1A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53B0985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7. 提供上传数据质量进行实时监测与反馈服务，具备对医疗机构影像检查结果数据质量监测的能力，保障数字医学影像资料及时性、连续性、一致性、完整性、准确性。</w:t>
            </w:r>
          </w:p>
        </w:tc>
      </w:tr>
      <w:tr w14:paraId="366E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410E8FD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8. 提供医学影像检查项目名称标准化治理服务，运用大语言模型与知识图谱相融合技术，完成医疗机构检查项目名称映射与验证，形成治理结果清单并反馈给医疗机构持续完善改进。</w:t>
            </w:r>
          </w:p>
        </w:tc>
      </w:tr>
      <w:tr w14:paraId="4607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3F51A07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9. 提供医疗机构放射检查数据云上数据质控服务，运用定制阅片器，对多序列医学影像检查数据进行有效序列筛选、质控等服务。</w:t>
            </w:r>
          </w:p>
        </w:tc>
      </w:tr>
      <w:tr w14:paraId="5AC6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21190FE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10. 实现跨院调阅患者在重庆市影像云存储的共享影像数据。</w:t>
            </w:r>
          </w:p>
        </w:tc>
      </w:tr>
      <w:tr w14:paraId="292F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270" w:type="dxa"/>
            <w:tcBorders>
              <w:tl2br w:val="nil"/>
              <w:tr2bl w:val="nil"/>
            </w:tcBorders>
            <w:noWrap w:val="0"/>
            <w:vAlign w:val="center"/>
          </w:tcPr>
          <w:p w14:paraId="5DA2BAB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11. 根据市卫健委工作安排，对接医疗机构公众号、【渝康健】小程序、【渝快办】APP。为患者提供全量无损影像数据查询浏览服务，居民可在“渝快办” APP 搜索“医检互认”查询本人历次检查结果。支持档案筛选功能和跨机构 聚合查询功能。</w:t>
            </w:r>
          </w:p>
        </w:tc>
      </w:tr>
      <w:tr w14:paraId="3A4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270" w:type="dxa"/>
            <w:tcBorders>
              <w:tl2br w:val="nil"/>
              <w:tr2bl w:val="nil"/>
            </w:tcBorders>
            <w:noWrap w:val="0"/>
            <w:vAlign w:val="center"/>
          </w:tcPr>
          <w:p w14:paraId="71F4D4E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12. 影像传输与存储的安全性具备系统严密的数据安全策略和多级权限管理体系；影像存储、影像浏览器、二维码及公众号链接等快捷浏览方式均通过安全和有效性检测，确保服务安全和有效。支持多种保证数据安全与合规的技术，包括防盗链、数据存储加密。</w:t>
            </w:r>
          </w:p>
        </w:tc>
      </w:tr>
      <w:tr w14:paraId="2030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288FCE1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13. PC 端基于 WEB 的 B/S 架构，兼容 IE、谷歌、火狐等主流浏览器，移动端兼容 IOS、安卓、鸿蒙系统的浏览器。</w:t>
            </w:r>
          </w:p>
        </w:tc>
      </w:tr>
      <w:tr w14:paraId="4F27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6877904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▲14. 采用多线程调阅技术，支持影像的后台调阅，当第一屏影像显示完成后可以进行图像处理，不需要等待全部影像传输完毕。</w:t>
            </w:r>
          </w:p>
        </w:tc>
      </w:tr>
      <w:tr w14:paraId="490B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3D41055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▲15. 影像传输支持 DICOM、JPEG 无损/有损压缩和断点续传技术，满足低带宽下传输可靠性和及时性。</w:t>
            </w:r>
          </w:p>
        </w:tc>
      </w:tr>
      <w:tr w14:paraId="4EE0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0EBC65B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16. 关于患者个人信息、用户登录信息以及患者病例等关键信息传输，支持SSL/TLS 加密，确保数据安全。</w:t>
            </w:r>
          </w:p>
        </w:tc>
      </w:tr>
      <w:tr w14:paraId="279C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7810303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17. 能够通过服务器动态扩容和负载均衡，增加并发用户数支持，最大支持不少于 1000 名用户并发访问。</w:t>
            </w:r>
          </w:p>
        </w:tc>
      </w:tr>
      <w:tr w14:paraId="391B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20EB413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18. 提供必要的安全、日志和监控服务，提高整个系统的可靠性。</w:t>
            </w:r>
          </w:p>
        </w:tc>
      </w:tr>
      <w:tr w14:paraId="36E0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03EEBBB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19. 全面支持中文且界面流程必须有相应的中文提示。</w:t>
            </w:r>
          </w:p>
        </w:tc>
      </w:tr>
      <w:tr w14:paraId="5B19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28CFF9C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20. 支持患者查看个人病例数据，经过患者授权后方可查看自己的检查影像和报告。</w:t>
            </w:r>
          </w:p>
        </w:tc>
      </w:tr>
      <w:tr w14:paraId="7E15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46B557E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21. 支持按照检查时间、设备类型进行筛选，也可以按患者姓名、患者编号搜索。</w:t>
            </w:r>
          </w:p>
        </w:tc>
      </w:tr>
      <w:tr w14:paraId="23A2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2BCD408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22. 支持个人保存常用搜索条件。</w:t>
            </w:r>
          </w:p>
        </w:tc>
      </w:tr>
      <w:tr w14:paraId="1097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7AB547E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▲23. 支持多种报告显示方式，包括文本类报告、图文报告、PDF 等。</w:t>
            </w:r>
          </w:p>
        </w:tc>
      </w:tr>
      <w:tr w14:paraId="3FAC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24D3FA5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▲24. 采用影像数据及时传递技术，能够在较低的带宽和手机流量消耗不高的情况下，无需加载完整影像序列实现对影像和报告的快速调阅。</w:t>
            </w:r>
          </w:p>
        </w:tc>
      </w:tr>
      <w:tr w14:paraId="71E0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624F153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▲25. 支持流量保护功能，用户可在移动网络和本地网络自由切换。</w:t>
            </w:r>
          </w:p>
        </w:tc>
      </w:tr>
      <w:tr w14:paraId="6A6D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70DD7A8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26. 提供图像常用快捷操作工具；支持显示设备类型、帧图像个数；支持显示或隐藏图像相关信息。</w:t>
            </w:r>
          </w:p>
        </w:tc>
      </w:tr>
      <w:tr w14:paraId="1E24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1EC4EA2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27. 支持平移、缩放、翻页、放大镜；支持调整窗宽窗位和预定义窗宽窗位。</w:t>
            </w:r>
          </w:p>
        </w:tc>
      </w:tr>
      <w:tr w14:paraId="66D1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35C96EC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28. 支持多种布局，包括 1×1，1×2，1×3，2×2，2×3，2×4，3×3，2×1，3×1；支持在多窗口布局中只针对指定的图像进行调整，而窗口中其它帧图像不同步此操作。</w:t>
            </w:r>
          </w:p>
        </w:tc>
      </w:tr>
      <w:tr w14:paraId="24BB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l2br w:val="nil"/>
              <w:tr2bl w:val="nil"/>
            </w:tcBorders>
            <w:noWrap w:val="0"/>
            <w:vAlign w:val="center"/>
          </w:tcPr>
          <w:p w14:paraId="3FE1763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29. 支持显示标注；显示参考线（仅适合 MR、CT 类型图像）；显示图像信息；显示患者信息；显示 DICOM 信息；显示图像对应的体位信息。</w:t>
            </w:r>
          </w:p>
        </w:tc>
      </w:tr>
      <w:tr w14:paraId="6BCF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6896ECA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▲30. 支持对比浏览，打开多个图像窗口，对图像进行操作，被对比的所有 2D 图像窗口同步此操作。</w:t>
            </w:r>
          </w:p>
        </w:tc>
      </w:tr>
      <w:tr w14:paraId="704B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3B23844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▲31. 支持动态回放，按照设置的播放速度动态播放帧图像。</w:t>
            </w:r>
          </w:p>
        </w:tc>
      </w:tr>
      <w:tr w14:paraId="3D4B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61D0F1E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32. 支持图像窗口重置，当帧图像被平移或缩放后，快速恢复到标准样式。</w:t>
            </w:r>
          </w:p>
        </w:tc>
      </w:tr>
      <w:tr w14:paraId="698F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70" w:type="dxa"/>
            <w:tcBorders>
              <w:tl2br w:val="nil"/>
              <w:tr2bl w:val="nil"/>
            </w:tcBorders>
            <w:noWrap w:val="0"/>
            <w:vAlign w:val="center"/>
          </w:tcPr>
          <w:p w14:paraId="3F8AC6D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▲33. 支持对图像序列窗口进行反色/旋转/翻转操作；支持临床常用的三维重建和可视化，包括 MPR、VR 显示。</w:t>
            </w:r>
          </w:p>
        </w:tc>
      </w:tr>
      <w:tr w14:paraId="341E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270" w:type="dxa"/>
            <w:tcBorders>
              <w:bottom w:val="single" w:color="auto" w:sz="4" w:space="0"/>
              <w:tl2br w:val="nil"/>
              <w:tr2bl w:val="nil"/>
            </w:tcBorders>
            <w:noWrap w:val="0"/>
            <w:vAlign w:val="center"/>
          </w:tcPr>
          <w:p w14:paraId="3140927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34. 提供选配部署高级影像三维后处理工作站服务。支持多种渲染预定义方案，包括但不限于：通用、骨骼、透明骨骼、主动脉、心脏、齿科、颈椎动脉、软组织、肺部、金属植入物等，满足适应不同器官渲染和疾病诊断需求；支持一键式心包提取，去骨，椭圆 ROI、方形 ROI 等三维后处理功能。</w:t>
            </w:r>
          </w:p>
        </w:tc>
      </w:tr>
      <w:tr w14:paraId="214B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1BC42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bookmarkStart w:id="290" w:name="_GoBack"/>
            <w:r>
              <w:rPr>
                <w:rFonts w:hint="eastAsia" w:ascii="方正仿宋_GBK" w:hAnsi="方正仿宋_GBK" w:eastAsia="方正仿宋_GBK" w:cs="方正仿宋_GBK"/>
                <w:i w:val="0"/>
                <w:iCs w:val="0"/>
                <w:color w:val="auto"/>
                <w:kern w:val="0"/>
                <w:sz w:val="24"/>
                <w:szCs w:val="24"/>
                <w:u w:val="none"/>
                <w:lang w:val="en-US" w:eastAsia="zh-CN" w:bidi="ar"/>
              </w:rPr>
              <w:t>35. 提供选配部署 AI 应用工作站服务；支持肺结节自动检测及良恶性判读，神经系统疾病筛查、多发硬化、肿瘤、血管疾病筛查，头部肿瘤自动勾勒诊断功能。</w:t>
            </w:r>
          </w:p>
        </w:tc>
      </w:tr>
      <w:bookmarkEnd w:id="290"/>
    </w:tbl>
    <w:p w14:paraId="0B1CA266">
      <w:pPr>
        <w:keepNext w:val="0"/>
        <w:keepLines w:val="0"/>
        <w:pageBreakBefore w:val="0"/>
        <w:kinsoku/>
        <w:wordWrap/>
        <w:overflowPunct/>
        <w:topLinePunct w:val="0"/>
        <w:autoSpaceDE/>
        <w:autoSpaceDN/>
        <w:bidi w:val="0"/>
        <w:adjustRightInd/>
        <w:snapToGrid w:val="0"/>
        <w:spacing w:line="560" w:lineRule="exact"/>
        <w:rPr>
          <w:rFonts w:hint="default" w:ascii="方正小标宋_GBK" w:hAnsi="宋体" w:eastAsia="方正小标宋_GBK"/>
          <w:b w:val="0"/>
          <w:sz w:val="36"/>
          <w:szCs w:val="36"/>
          <w:highlight w:val="yellow"/>
          <w:lang w:val="en-US"/>
        </w:rPr>
      </w:pPr>
      <w:r>
        <w:rPr>
          <w:rFonts w:hint="eastAsia" w:ascii="微软雅黑" w:hAnsi="微软雅黑" w:eastAsia="微软雅黑" w:cs="微软雅黑"/>
          <w:i w:val="0"/>
          <w:iCs w:val="0"/>
          <w:color w:val="auto"/>
          <w:kern w:val="0"/>
          <w:sz w:val="36"/>
          <w:szCs w:val="36"/>
          <w:highlight w:val="yellow"/>
          <w:u w:val="none"/>
          <w:lang w:val="en-US" w:eastAsia="zh-CN" w:bidi="ar"/>
        </w:rPr>
        <w:t>备注：第三篇中所有条款必须需全部响应，否则做废标处理，中标后发现与响应条款不相符，将取消中选资格。</w:t>
      </w:r>
    </w:p>
    <w:p w14:paraId="0422D420">
      <w:pPr>
        <w:pStyle w:val="4"/>
        <w:spacing w:line="360" w:lineRule="auto"/>
        <w:jc w:val="center"/>
        <w:rPr>
          <w:rFonts w:hint="eastAsia" w:ascii="方正小标宋_GBK" w:hAnsi="宋体" w:eastAsia="方正小标宋_GBK"/>
          <w:b w:val="0"/>
          <w:sz w:val="36"/>
          <w:szCs w:val="30"/>
        </w:rPr>
      </w:pPr>
    </w:p>
    <w:p w14:paraId="3766C6D8">
      <w:pPr>
        <w:pStyle w:val="4"/>
        <w:spacing w:line="360" w:lineRule="auto"/>
        <w:jc w:val="center"/>
        <w:rPr>
          <w:rFonts w:hint="eastAsia" w:ascii="方正小标宋_GBK" w:hAnsi="宋体" w:eastAsia="方正小标宋_GBK"/>
          <w:b w:val="0"/>
          <w:sz w:val="36"/>
          <w:szCs w:val="30"/>
          <w:lang w:eastAsia="zh-CN"/>
        </w:rPr>
      </w:pPr>
      <w:r>
        <w:rPr>
          <w:rFonts w:hint="eastAsia" w:ascii="方正小标宋_GBK" w:hAnsi="宋体" w:eastAsia="方正小标宋_GBK"/>
          <w:b w:val="0"/>
          <w:sz w:val="36"/>
          <w:szCs w:val="30"/>
        </w:rPr>
        <w:t xml:space="preserve">第四篇    </w:t>
      </w:r>
      <w:r>
        <w:rPr>
          <w:rFonts w:hint="eastAsia" w:ascii="方正小标宋_GBK" w:hAnsi="宋体" w:eastAsia="方正小标宋_GBK"/>
          <w:b w:val="0"/>
          <w:sz w:val="36"/>
          <w:szCs w:val="30"/>
          <w:lang w:val="en-US" w:eastAsia="zh-CN"/>
        </w:rPr>
        <w:t>商务</w:t>
      </w:r>
      <w:r>
        <w:rPr>
          <w:rFonts w:hint="eastAsia" w:ascii="方正小标宋_GBK" w:hAnsi="宋体" w:eastAsia="方正小标宋_GBK"/>
          <w:b w:val="0"/>
          <w:sz w:val="36"/>
          <w:szCs w:val="30"/>
        </w:rPr>
        <w:t>服务</w:t>
      </w:r>
      <w:bookmarkEnd w:id="96"/>
      <w:bookmarkEnd w:id="97"/>
      <w:bookmarkEnd w:id="98"/>
      <w:bookmarkEnd w:id="99"/>
      <w:r>
        <w:rPr>
          <w:rFonts w:hint="eastAsia" w:ascii="方正小标宋_GBK" w:hAnsi="宋体" w:eastAsia="方正小标宋_GBK"/>
          <w:b w:val="0"/>
          <w:sz w:val="36"/>
          <w:szCs w:val="30"/>
          <w:lang w:eastAsia="zh-CN"/>
        </w:rPr>
        <w:t>要求</w:t>
      </w:r>
    </w:p>
    <w:bookmarkEnd w:id="100"/>
    <w:bookmarkEnd w:id="101"/>
    <w:p w14:paraId="4A647487">
      <w:pPr>
        <w:pStyle w:val="5"/>
        <w:pageBreakBefore w:val="0"/>
        <w:widowControl w:val="0"/>
        <w:kinsoku/>
        <w:wordWrap/>
        <w:overflowPunct/>
        <w:topLinePunct w:val="0"/>
        <w:bidi w:val="0"/>
        <w:spacing w:line="400" w:lineRule="exact"/>
        <w:textAlignment w:val="auto"/>
        <w:rPr>
          <w:rFonts w:hint="eastAsia" w:ascii="方正仿宋_GBK" w:hAnsi="方正仿宋_GBK" w:eastAsia="方正仿宋_GBK" w:cs="方正仿宋_GBK"/>
          <w:sz w:val="24"/>
          <w:szCs w:val="24"/>
        </w:rPr>
      </w:pPr>
      <w:bookmarkStart w:id="102" w:name="_Toc15012"/>
      <w:bookmarkStart w:id="103" w:name="_Toc27249"/>
      <w:bookmarkStart w:id="104" w:name="_Toc14698"/>
      <w:bookmarkStart w:id="105" w:name="_Toc141259401"/>
      <w:bookmarkStart w:id="106" w:name="_Toc11134"/>
      <w:bookmarkStart w:id="107" w:name="_Toc12968"/>
      <w:bookmarkStart w:id="108" w:name="_Toc344475120"/>
      <w:bookmarkStart w:id="109" w:name="_Toc11641055"/>
      <w:bookmarkStart w:id="110" w:name="_Toc12789059"/>
      <w:bookmarkStart w:id="111" w:name="_Toc16449"/>
      <w:bookmarkStart w:id="112" w:name="_Toc403569797"/>
      <w:bookmarkStart w:id="113" w:name="_Toc19825"/>
      <w:bookmarkStart w:id="114" w:name="_Toc12789072"/>
      <w:bookmarkStart w:id="115" w:name="_Toc14535"/>
      <w:bookmarkStart w:id="116" w:name="_Toc16181"/>
      <w:r>
        <w:rPr>
          <w:rFonts w:hint="eastAsia" w:ascii="方正仿宋_GBK" w:hAnsi="方正仿宋_GBK" w:eastAsia="方正仿宋_GBK" w:cs="方正仿宋_GBK"/>
          <w:sz w:val="24"/>
          <w:szCs w:val="24"/>
        </w:rPr>
        <w:t>一、交货时间、地点、验收方式</w:t>
      </w:r>
      <w:bookmarkEnd w:id="102"/>
      <w:bookmarkEnd w:id="103"/>
      <w:bookmarkEnd w:id="104"/>
      <w:bookmarkEnd w:id="105"/>
      <w:bookmarkEnd w:id="106"/>
      <w:bookmarkEnd w:id="107"/>
      <w:r>
        <w:rPr>
          <w:rFonts w:hint="eastAsia" w:ascii="方正仿宋_GBK" w:hAnsi="方正仿宋_GBK" w:eastAsia="方正仿宋_GBK" w:cs="方正仿宋_GBK"/>
          <w:sz w:val="24"/>
          <w:szCs w:val="24"/>
        </w:rPr>
        <w:t>及其他服务</w:t>
      </w:r>
    </w:p>
    <w:p w14:paraId="4AB79D93">
      <w:pPr>
        <w:pageBreakBefore w:val="0"/>
        <w:widowControl w:val="0"/>
        <w:kinsoku/>
        <w:wordWrap/>
        <w:overflowPunct/>
        <w:topLinePunct w:val="0"/>
        <w:bidi w:val="0"/>
        <w:spacing w:line="40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（一）交货时间</w:t>
      </w:r>
    </w:p>
    <w:p w14:paraId="7C44A326">
      <w:pPr>
        <w:pageBreakBefore w:val="0"/>
        <w:widowControl w:val="0"/>
        <w:kinsoku/>
        <w:wordWrap/>
        <w:overflowPunct/>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中选人应在采购人通知送货后10个工作日内交货并完成安装调试。</w:t>
      </w:r>
    </w:p>
    <w:p w14:paraId="397EB6E6">
      <w:pPr>
        <w:pageBreakBefore w:val="0"/>
        <w:widowControl w:val="0"/>
        <w:kinsoku/>
        <w:wordWrap/>
        <w:overflowPunct/>
        <w:topLinePunct w:val="0"/>
        <w:bidi w:val="0"/>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（二）交货地点</w:t>
      </w:r>
    </w:p>
    <w:p w14:paraId="74A121FD">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重庆市合川区妇幼保健院指定地点。</w:t>
      </w:r>
    </w:p>
    <w:p w14:paraId="6309E97E">
      <w:pPr>
        <w:pageBreakBefore w:val="0"/>
        <w:widowControl w:val="0"/>
        <w:numPr>
          <w:ilvl w:val="255"/>
          <w:numId w:val="0"/>
        </w:numPr>
        <w:kinsoku/>
        <w:wordWrap/>
        <w:overflowPunct/>
        <w:topLinePunct w:val="0"/>
        <w:bidi w:val="0"/>
        <w:snapToGrid w:val="0"/>
        <w:spacing w:line="40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（三）验收方式</w:t>
      </w:r>
    </w:p>
    <w:p w14:paraId="4514FC3F">
      <w:pPr>
        <w:pageBreakBefore w:val="0"/>
        <w:widowControl w:val="0"/>
        <w:numPr>
          <w:ilvl w:val="255"/>
          <w:numId w:val="0"/>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17" w:name="_Toc521399411"/>
      <w:bookmarkStart w:id="118" w:name="_Toc478460240"/>
      <w:bookmarkStart w:id="119" w:name="_Toc27155"/>
      <w:bookmarkStart w:id="120" w:name="_Toc344475122"/>
      <w:bookmarkStart w:id="121" w:name="_Toc4253"/>
      <w:bookmarkStart w:id="122" w:name="_Toc478460685"/>
      <w:bookmarkStart w:id="123" w:name="_Toc22834"/>
      <w:r>
        <w:rPr>
          <w:rFonts w:hint="eastAsia" w:ascii="方正仿宋_GBK" w:hAnsi="方正仿宋_GBK" w:eastAsia="方正仿宋_GBK" w:cs="方正仿宋_GBK"/>
          <w:sz w:val="24"/>
          <w:szCs w:val="24"/>
        </w:rPr>
        <w:t>1、货物到达现场后，中选人应在使用单位人员在场情况下当面开箱，共同清点、检查外观，填写开箱记录，双方签字确认。</w:t>
      </w:r>
    </w:p>
    <w:p w14:paraId="0F7ED22F">
      <w:pPr>
        <w:pageBreakBefore w:val="0"/>
        <w:widowControl w:val="0"/>
        <w:numPr>
          <w:ilvl w:val="255"/>
          <w:numId w:val="0"/>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2、中选人应保证货物到达采购人所在地完好无损，如有缺漏、损坏，由中选人负责调换、补齐或赔偿。</w:t>
      </w:r>
    </w:p>
    <w:p w14:paraId="21C77802">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24" w:name="_Toc6910"/>
      <w:bookmarkStart w:id="125" w:name="_Toc7718"/>
      <w:r>
        <w:rPr>
          <w:rFonts w:hint="eastAsia" w:ascii="方正仿宋_GBK" w:hAnsi="方正仿宋_GBK" w:eastAsia="方正仿宋_GBK" w:cs="方正仿宋_GBK"/>
          <w:sz w:val="24"/>
          <w:szCs w:val="24"/>
        </w:rPr>
        <w:t>3、中选人应提供完备的技术资料、装箱单和合格证等，并派遣专业技术人员进行现场安装调试。验收合格条件如下：</w:t>
      </w:r>
      <w:bookmarkEnd w:id="124"/>
      <w:bookmarkEnd w:id="125"/>
    </w:p>
    <w:p w14:paraId="76E74C8C">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26" w:name="_Toc883"/>
      <w:bookmarkStart w:id="127" w:name="_Toc20266"/>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）在系统试运行期间所出现的问题得到解决，并运行正常。</w:t>
      </w:r>
      <w:bookmarkEnd w:id="126"/>
      <w:bookmarkEnd w:id="127"/>
    </w:p>
    <w:p w14:paraId="589C8951">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28" w:name="_Toc13857"/>
      <w:bookmarkStart w:id="129" w:name="_Toc5402"/>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）在规定时间内完成交货并验收，并经采购人确认。</w:t>
      </w:r>
      <w:bookmarkEnd w:id="128"/>
      <w:bookmarkEnd w:id="129"/>
    </w:p>
    <w:p w14:paraId="26156DB6">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30" w:name="_Toc14825"/>
      <w:bookmarkStart w:id="131" w:name="_Toc24320"/>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、中选人提供的货物未达到招标文件规定要求，且对采购人造成损失的，由中选人承担一切责任，并赔偿所造成的损失。</w:t>
      </w:r>
      <w:bookmarkEnd w:id="130"/>
      <w:bookmarkEnd w:id="131"/>
    </w:p>
    <w:p w14:paraId="02C47AE2">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32" w:name="_Toc29534"/>
      <w:bookmarkStart w:id="133" w:name="_Toc17743"/>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、采购人需要制造商对中选人交付的产品（包括</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质量、技术参数等）进行确认的，制造商应予以配合，并出具书面意见。</w:t>
      </w:r>
      <w:bookmarkEnd w:id="132"/>
      <w:bookmarkEnd w:id="133"/>
    </w:p>
    <w:p w14:paraId="78AF2019">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34" w:name="_Toc1104"/>
      <w:bookmarkStart w:id="135" w:name="_Toc11622"/>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、产品包装材料归采购人所有，中选人需负责用合法方式处理包装的木质框架。</w:t>
      </w:r>
      <w:bookmarkEnd w:id="134"/>
      <w:bookmarkEnd w:id="135"/>
    </w:p>
    <w:p w14:paraId="644D59A9">
      <w:pPr>
        <w:pStyle w:val="20"/>
        <w:pageBreakBefore w:val="0"/>
        <w:widowControl w:val="0"/>
        <w:kinsoku/>
        <w:wordWrap/>
        <w:overflowPunct/>
        <w:topLinePunct w:val="0"/>
        <w:bidi w:val="0"/>
        <w:spacing w:line="400" w:lineRule="exact"/>
        <w:ind w:firstLine="240" w:firstLineChars="100"/>
        <w:textAlignment w:val="auto"/>
        <w:rPr>
          <w:rFonts w:hint="eastAsia" w:ascii="方正仿宋_GBK" w:hAnsi="方正仿宋_GBK" w:eastAsia="方正仿宋_GBK" w:cs="方正仿宋_GBK"/>
          <w:color w:val="auto"/>
          <w:kern w:val="2"/>
        </w:rPr>
      </w:pPr>
      <w:r>
        <w:rPr>
          <w:rFonts w:hint="eastAsia" w:ascii="方正仿宋_GBK" w:hAnsi="方正仿宋_GBK" w:eastAsia="方正仿宋_GBK" w:cs="方正仿宋_GBK"/>
          <w:color w:val="auto"/>
          <w:kern w:val="2"/>
        </w:rPr>
        <w:t xml:space="preserve">  </w:t>
      </w:r>
      <w:r>
        <w:rPr>
          <w:rFonts w:hint="eastAsia" w:ascii="方正仿宋_GBK" w:hAnsi="方正仿宋_GBK" w:eastAsia="方正仿宋_GBK" w:cs="方正仿宋_GBK"/>
          <w:color w:val="auto"/>
          <w:kern w:val="2"/>
          <w:lang w:val="en-US" w:eastAsia="zh-CN"/>
        </w:rPr>
        <w:t>7</w:t>
      </w:r>
      <w:r>
        <w:rPr>
          <w:rFonts w:hint="eastAsia" w:ascii="方正仿宋_GBK" w:hAnsi="方正仿宋_GBK" w:eastAsia="方正仿宋_GBK" w:cs="方正仿宋_GBK"/>
          <w:color w:val="auto"/>
          <w:kern w:val="2"/>
        </w:rPr>
        <w:t>、采购人可以邀请国家认可的质量检测机构参加验收工作，费用由中标方支付。</w:t>
      </w:r>
    </w:p>
    <w:p w14:paraId="43ED8599">
      <w:pPr>
        <w:pStyle w:val="20"/>
        <w:pageBreakBefore w:val="0"/>
        <w:widowControl w:val="0"/>
        <w:kinsoku/>
        <w:wordWrap/>
        <w:overflowPunct/>
        <w:topLinePunct w:val="0"/>
        <w:bidi w:val="0"/>
        <w:spacing w:line="400" w:lineRule="exact"/>
        <w:ind w:firstLine="240" w:firstLineChars="100"/>
        <w:textAlignment w:val="auto"/>
        <w:rPr>
          <w:rFonts w:hint="eastAsia" w:ascii="方正仿宋_GBK" w:hAnsi="方正仿宋_GBK" w:eastAsia="方正仿宋_GBK" w:cs="方正仿宋_GBK"/>
          <w:color w:val="auto"/>
          <w:kern w:val="2"/>
        </w:rPr>
      </w:pPr>
      <w:r>
        <w:rPr>
          <w:rFonts w:hint="eastAsia" w:ascii="方正仿宋_GBK" w:hAnsi="方正仿宋_GBK" w:eastAsia="方正仿宋_GBK" w:cs="方正仿宋_GBK"/>
          <w:color w:val="auto"/>
          <w:kern w:val="2"/>
        </w:rPr>
        <w:t>（四）其他服务</w:t>
      </w:r>
    </w:p>
    <w:p w14:paraId="415F59A6">
      <w:pPr>
        <w:pStyle w:val="20"/>
        <w:pageBreakBefore w:val="0"/>
        <w:widowControl w:val="0"/>
        <w:kinsoku/>
        <w:wordWrap/>
        <w:overflowPunct/>
        <w:topLinePunct w:val="0"/>
        <w:bidi w:val="0"/>
        <w:spacing w:line="400" w:lineRule="exact"/>
        <w:ind w:firstLine="48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2"/>
        </w:rPr>
        <w:t>医院因后续有需要，有权要求中标供应商提供所有与该</w:t>
      </w:r>
      <w:r>
        <w:rPr>
          <w:rFonts w:hint="eastAsia" w:ascii="方正仿宋_GBK" w:hAnsi="方正仿宋_GBK" w:eastAsia="方正仿宋_GBK" w:cs="方正仿宋_GBK"/>
          <w:color w:val="auto"/>
          <w:kern w:val="2"/>
          <w:lang w:eastAsia="zh-CN"/>
        </w:rPr>
        <w:t>服务相关的</w:t>
      </w:r>
      <w:r>
        <w:rPr>
          <w:rFonts w:hint="eastAsia" w:ascii="方正仿宋_GBK" w:hAnsi="方正仿宋_GBK" w:eastAsia="方正仿宋_GBK" w:cs="方正仿宋_GBK"/>
          <w:color w:val="auto"/>
          <w:kern w:val="2"/>
        </w:rPr>
        <w:t>资料。</w:t>
      </w:r>
    </w:p>
    <w:bookmarkEnd w:id="117"/>
    <w:bookmarkEnd w:id="118"/>
    <w:bookmarkEnd w:id="119"/>
    <w:bookmarkEnd w:id="120"/>
    <w:bookmarkEnd w:id="121"/>
    <w:bookmarkEnd w:id="122"/>
    <w:bookmarkEnd w:id="123"/>
    <w:p w14:paraId="628853BB">
      <w:pPr>
        <w:pStyle w:val="5"/>
        <w:pageBreakBefore w:val="0"/>
        <w:widowControl w:val="0"/>
        <w:kinsoku/>
        <w:wordWrap/>
        <w:overflowPunct/>
        <w:topLinePunct w:val="0"/>
        <w:bidi w:val="0"/>
        <w:spacing w:line="400" w:lineRule="exact"/>
        <w:textAlignment w:val="auto"/>
        <w:rPr>
          <w:rFonts w:hint="eastAsia" w:ascii="方正仿宋_GBK" w:hAnsi="方正仿宋_GBK" w:eastAsia="方正仿宋_GBK" w:cs="方正仿宋_GBK"/>
          <w:sz w:val="24"/>
          <w:szCs w:val="24"/>
        </w:rPr>
      </w:pPr>
      <w:bookmarkStart w:id="136" w:name="_Toc1893"/>
      <w:bookmarkStart w:id="137" w:name="_Toc4632"/>
      <w:bookmarkStart w:id="138" w:name="_Toc141259402"/>
      <w:bookmarkStart w:id="139" w:name="_Toc29483"/>
      <w:bookmarkStart w:id="140" w:name="_Toc1260"/>
      <w:bookmarkStart w:id="141" w:name="_Toc2523"/>
      <w:bookmarkStart w:id="142" w:name="_Toc30266"/>
      <w:bookmarkStart w:id="143" w:name="_Toc521399414"/>
      <w:bookmarkStart w:id="144" w:name="_Toc23064"/>
      <w:bookmarkStart w:id="145" w:name="_Toc18901"/>
      <w:r>
        <w:rPr>
          <w:rFonts w:hint="eastAsia" w:ascii="方正仿宋_GBK" w:hAnsi="方正仿宋_GBK" w:eastAsia="方正仿宋_GBK" w:cs="方正仿宋_GBK"/>
          <w:sz w:val="24"/>
          <w:szCs w:val="24"/>
        </w:rPr>
        <w:t>二、质量保证及售后服务</w:t>
      </w:r>
      <w:bookmarkEnd w:id="136"/>
      <w:bookmarkEnd w:id="137"/>
      <w:bookmarkEnd w:id="138"/>
      <w:bookmarkEnd w:id="139"/>
      <w:bookmarkEnd w:id="140"/>
      <w:bookmarkEnd w:id="141"/>
      <w:bookmarkEnd w:id="142"/>
      <w:bookmarkEnd w:id="143"/>
      <w:bookmarkEnd w:id="144"/>
      <w:bookmarkEnd w:id="145"/>
    </w:p>
    <w:p w14:paraId="60C2B403">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46" w:name="_Toc9051"/>
      <w:bookmarkStart w:id="147" w:name="_Toc10119"/>
      <w:bookmarkStart w:id="148" w:name="_Toc478460242"/>
      <w:bookmarkStart w:id="149" w:name="_Toc478460688"/>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服务期限</w:t>
      </w:r>
      <w:bookmarkEnd w:id="146"/>
      <w:bookmarkEnd w:id="147"/>
      <w:bookmarkStart w:id="150" w:name="_Toc32465"/>
      <w:bookmarkStart w:id="151" w:name="_Toc24448"/>
      <w:r>
        <w:rPr>
          <w:rFonts w:hint="eastAsia" w:ascii="方正仿宋_GBK" w:hAnsi="方正仿宋_GBK" w:eastAsia="方正仿宋_GBK" w:cs="方正仿宋_GBK"/>
          <w:sz w:val="24"/>
          <w:szCs w:val="24"/>
          <w:lang w:eastAsia="zh-CN"/>
        </w:rPr>
        <w:t>：两</w:t>
      </w:r>
      <w:r>
        <w:rPr>
          <w:rFonts w:hint="eastAsia" w:ascii="方正仿宋_GBK" w:hAnsi="方正仿宋_GBK" w:eastAsia="方正仿宋_GBK" w:cs="方正仿宋_GBK"/>
          <w:sz w:val="24"/>
          <w:szCs w:val="24"/>
        </w:rPr>
        <w:t>年。</w:t>
      </w:r>
      <w:bookmarkEnd w:id="150"/>
      <w:bookmarkEnd w:id="151"/>
    </w:p>
    <w:p w14:paraId="17D3DB0A">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52" w:name="_Toc14950"/>
      <w:bookmarkStart w:id="153" w:name="_Toc599"/>
      <w:r>
        <w:rPr>
          <w:rFonts w:hint="eastAsia" w:ascii="方正仿宋_GBK" w:hAnsi="方正仿宋_GBK" w:eastAsia="方正仿宋_GBK" w:cs="方正仿宋_GBK"/>
          <w:sz w:val="24"/>
          <w:szCs w:val="24"/>
        </w:rPr>
        <w:t>（二）售后服务内容</w:t>
      </w:r>
      <w:bookmarkEnd w:id="152"/>
      <w:bookmarkEnd w:id="153"/>
    </w:p>
    <w:p w14:paraId="17E651AB">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54" w:name="_Toc26035"/>
      <w:bookmarkStart w:id="155" w:name="_Toc23117"/>
      <w:r>
        <w:rPr>
          <w:rFonts w:hint="eastAsia" w:ascii="方正仿宋_GBK" w:hAnsi="方正仿宋_GBK" w:eastAsia="方正仿宋_GBK" w:cs="方正仿宋_GBK"/>
          <w:sz w:val="24"/>
          <w:szCs w:val="24"/>
        </w:rPr>
        <w:t>1、供应商和制造商在</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期内应当为采购人提供以下技术支持和服务：</w:t>
      </w:r>
      <w:bookmarkEnd w:id="154"/>
      <w:bookmarkEnd w:id="155"/>
    </w:p>
    <w:p w14:paraId="1865F335">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56" w:name="_Toc16787"/>
      <w:bookmarkStart w:id="157" w:name="_Toc27277"/>
      <w:r>
        <w:rPr>
          <w:rFonts w:hint="eastAsia" w:ascii="方正仿宋_GBK" w:hAnsi="方正仿宋_GBK" w:eastAsia="方正仿宋_GBK" w:cs="方正仿宋_GBK"/>
          <w:sz w:val="24"/>
          <w:szCs w:val="24"/>
        </w:rPr>
        <w:t>（1）电话咨询</w:t>
      </w:r>
      <w:bookmarkEnd w:id="156"/>
      <w:bookmarkEnd w:id="157"/>
    </w:p>
    <w:p w14:paraId="49271FDA">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58" w:name="_Toc10561"/>
      <w:bookmarkStart w:id="159" w:name="_Toc11876"/>
      <w:r>
        <w:rPr>
          <w:rFonts w:hint="eastAsia" w:ascii="方正仿宋_GBK" w:hAnsi="方正仿宋_GBK" w:eastAsia="方正仿宋_GBK" w:cs="方正仿宋_GBK"/>
          <w:sz w:val="24"/>
          <w:szCs w:val="24"/>
        </w:rPr>
        <w:t>中选人和制造商应当为采购人提供技术援助电话，解答采购人在使用中遇到的问题，及时为采购人提出解决问题的建议。</w:t>
      </w:r>
      <w:bookmarkEnd w:id="158"/>
      <w:bookmarkEnd w:id="159"/>
    </w:p>
    <w:p w14:paraId="0FC7EFE4">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60" w:name="_Toc3613"/>
      <w:bookmarkStart w:id="161" w:name="_Toc608"/>
      <w:r>
        <w:rPr>
          <w:rFonts w:hint="eastAsia" w:ascii="方正仿宋_GBK" w:hAnsi="方正仿宋_GBK" w:eastAsia="方正仿宋_GBK" w:cs="方正仿宋_GBK"/>
          <w:sz w:val="24"/>
          <w:szCs w:val="24"/>
        </w:rPr>
        <w:t>（2）现场响应</w:t>
      </w:r>
      <w:bookmarkEnd w:id="160"/>
      <w:bookmarkEnd w:id="161"/>
    </w:p>
    <w:p w14:paraId="372344BA">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62" w:name="_Toc19578"/>
      <w:bookmarkStart w:id="163" w:name="_Toc17894"/>
      <w:r>
        <w:rPr>
          <w:rFonts w:hint="eastAsia" w:ascii="方正仿宋_GBK" w:hAnsi="方正仿宋_GBK" w:eastAsia="方正仿宋_GBK" w:cs="方正仿宋_GBK"/>
          <w:sz w:val="24"/>
          <w:szCs w:val="24"/>
        </w:rPr>
        <w:t>采购人遇到使用及技术问题，电话咨询不能解决的，中选人和制造商应在24小时内到达现场进行处理，确保产品正常工作；无法在48小时内解决的，应在72小时内提供备用产品及配件，使采购人能够正常使用。</w:t>
      </w:r>
      <w:bookmarkEnd w:id="162"/>
      <w:bookmarkEnd w:id="163"/>
    </w:p>
    <w:p w14:paraId="3160BDF4">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64" w:name="_Toc7161"/>
      <w:bookmarkStart w:id="165" w:name="_Toc20382"/>
      <w:r>
        <w:rPr>
          <w:rFonts w:hint="eastAsia" w:ascii="方正仿宋_GBK" w:hAnsi="方正仿宋_GBK" w:eastAsia="方正仿宋_GBK" w:cs="方正仿宋_GBK"/>
          <w:sz w:val="24"/>
          <w:szCs w:val="24"/>
        </w:rPr>
        <w:t>（3）技术升级</w:t>
      </w:r>
      <w:bookmarkEnd w:id="164"/>
      <w:bookmarkEnd w:id="165"/>
    </w:p>
    <w:p w14:paraId="6F142F8F">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66" w:name="_Toc15729"/>
      <w:bookmarkStart w:id="167" w:name="_Toc22913"/>
      <w:r>
        <w:rPr>
          <w:rFonts w:hint="eastAsia" w:ascii="方正仿宋_GBK" w:hAnsi="方正仿宋_GBK" w:eastAsia="方正仿宋_GBK" w:cs="方正仿宋_GBK"/>
          <w:sz w:val="24"/>
          <w:szCs w:val="24"/>
        </w:rPr>
        <w:t>中选人和制造商应对采购人购买的产品终身免费进行升级服务。</w:t>
      </w:r>
      <w:bookmarkEnd w:id="166"/>
      <w:bookmarkEnd w:id="167"/>
    </w:p>
    <w:bookmarkEnd w:id="148"/>
    <w:bookmarkEnd w:id="149"/>
    <w:p w14:paraId="107B4C6C">
      <w:pPr>
        <w:pStyle w:val="5"/>
        <w:pageBreakBefore w:val="0"/>
        <w:widowControl w:val="0"/>
        <w:kinsoku/>
        <w:wordWrap/>
        <w:overflowPunct/>
        <w:topLinePunct w:val="0"/>
        <w:bidi w:val="0"/>
        <w:spacing w:line="400" w:lineRule="exact"/>
        <w:ind w:firstLine="482" w:firstLineChars="200"/>
        <w:textAlignment w:val="auto"/>
        <w:rPr>
          <w:rFonts w:hint="eastAsia" w:ascii="方正仿宋_GBK" w:hAnsi="方正仿宋_GBK" w:eastAsia="方正仿宋_GBK" w:cs="方正仿宋_GBK"/>
          <w:sz w:val="24"/>
          <w:szCs w:val="24"/>
        </w:rPr>
      </w:pPr>
      <w:bookmarkStart w:id="168" w:name="_Toc1693"/>
      <w:bookmarkStart w:id="169" w:name="_Toc31212"/>
      <w:bookmarkStart w:id="170" w:name="_Toc31433"/>
      <w:bookmarkStart w:id="171" w:name="_Toc2927"/>
      <w:bookmarkStart w:id="172" w:name="_Toc18137"/>
      <w:bookmarkStart w:id="173" w:name="_Toc141259403"/>
      <w:bookmarkStart w:id="174" w:name="_Toc17320"/>
      <w:r>
        <w:rPr>
          <w:rFonts w:hint="eastAsia" w:ascii="方正仿宋_GBK" w:hAnsi="方正仿宋_GBK" w:eastAsia="方正仿宋_GBK" w:cs="方正仿宋_GBK"/>
          <w:sz w:val="24"/>
          <w:szCs w:val="24"/>
        </w:rPr>
        <w:t>三、付款方式</w:t>
      </w:r>
      <w:bookmarkEnd w:id="168"/>
      <w:bookmarkEnd w:id="169"/>
      <w:bookmarkEnd w:id="170"/>
      <w:bookmarkEnd w:id="171"/>
      <w:bookmarkEnd w:id="172"/>
      <w:bookmarkEnd w:id="173"/>
      <w:bookmarkEnd w:id="174"/>
    </w:p>
    <w:p w14:paraId="7BC03D03">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75" w:name="_Toc28354"/>
      <w:bookmarkStart w:id="176" w:name="_Toc9476"/>
      <w:bookmarkStart w:id="177" w:name="_Toc26956"/>
      <w:bookmarkStart w:id="178" w:name="_Toc30883"/>
      <w:bookmarkStart w:id="179" w:name="_Toc12278"/>
      <w:r>
        <w:rPr>
          <w:rFonts w:hint="eastAsia" w:ascii="方正仿宋_GBK" w:hAnsi="方正仿宋_GBK" w:eastAsia="方正仿宋_GBK" w:cs="方正仿宋_GBK"/>
          <w:sz w:val="24"/>
          <w:szCs w:val="24"/>
        </w:rPr>
        <w:t>中选人按采购合同</w:t>
      </w:r>
      <w:r>
        <w:rPr>
          <w:rFonts w:hint="eastAsia" w:ascii="方正仿宋_GBK" w:hAnsi="方正仿宋_GBK" w:eastAsia="方正仿宋_GBK" w:cs="方正仿宋_GBK"/>
          <w:sz w:val="24"/>
          <w:szCs w:val="24"/>
          <w:lang w:eastAsia="zh-CN"/>
        </w:rPr>
        <w:t>提供服务后，经相关科室验收</w:t>
      </w:r>
      <w:r>
        <w:rPr>
          <w:rFonts w:hint="eastAsia" w:ascii="方正仿宋_GBK" w:hAnsi="方正仿宋_GBK" w:eastAsia="方正仿宋_GBK" w:cs="方正仿宋_GBK"/>
          <w:sz w:val="24"/>
          <w:szCs w:val="24"/>
          <w:lang w:val="en-US" w:eastAsia="zh-CN"/>
        </w:rPr>
        <w:t>合格</w:t>
      </w:r>
      <w:r>
        <w:rPr>
          <w:rFonts w:hint="eastAsia" w:ascii="方正仿宋_GBK" w:hAnsi="方正仿宋_GBK" w:eastAsia="方正仿宋_GBK" w:cs="方正仿宋_GBK"/>
          <w:sz w:val="24"/>
          <w:szCs w:val="24"/>
          <w:lang w:eastAsia="zh-CN"/>
        </w:rPr>
        <w:t>后</w:t>
      </w:r>
      <w:r>
        <w:rPr>
          <w:rFonts w:hint="eastAsia" w:ascii="方正仿宋_GBK" w:hAnsi="方正仿宋_GBK" w:eastAsia="方正仿宋_GBK" w:cs="方正仿宋_GBK"/>
          <w:sz w:val="24"/>
          <w:szCs w:val="24"/>
          <w:lang w:val="en-US" w:eastAsia="zh-CN"/>
        </w:rPr>
        <w:t>以实际数量计算</w:t>
      </w:r>
      <w:r>
        <w:rPr>
          <w:rFonts w:hint="eastAsia" w:ascii="方正仿宋_GBK" w:hAnsi="方正仿宋_GBK" w:eastAsia="方正仿宋_GBK" w:cs="方正仿宋_GBK"/>
          <w:sz w:val="24"/>
          <w:szCs w:val="24"/>
          <w:lang w:eastAsia="zh-CN"/>
        </w:rPr>
        <w:t>按季度进行支付</w:t>
      </w:r>
      <w:r>
        <w:rPr>
          <w:rFonts w:hint="eastAsia" w:ascii="方正仿宋_GBK" w:hAnsi="方正仿宋_GBK" w:eastAsia="方正仿宋_GBK" w:cs="方正仿宋_GBK"/>
          <w:sz w:val="24"/>
          <w:szCs w:val="24"/>
        </w:rPr>
        <w:t>。</w:t>
      </w:r>
    </w:p>
    <w:p w14:paraId="6DBFACEB">
      <w:pPr>
        <w:pStyle w:val="5"/>
        <w:pageBreakBefore w:val="0"/>
        <w:widowControl w:val="0"/>
        <w:kinsoku/>
        <w:wordWrap/>
        <w:overflowPunct/>
        <w:topLinePunct w:val="0"/>
        <w:bidi w:val="0"/>
        <w:spacing w:line="400" w:lineRule="exact"/>
        <w:ind w:firstLine="482" w:firstLineChars="200"/>
        <w:textAlignment w:val="auto"/>
        <w:rPr>
          <w:rFonts w:hint="eastAsia" w:ascii="方正仿宋_GBK" w:hAnsi="方正仿宋_GBK" w:eastAsia="方正仿宋_GBK" w:cs="方正仿宋_GBK"/>
          <w:sz w:val="24"/>
          <w:szCs w:val="24"/>
        </w:rPr>
      </w:pPr>
      <w:bookmarkStart w:id="180" w:name="_Toc141259404"/>
      <w:r>
        <w:rPr>
          <w:rFonts w:hint="eastAsia" w:ascii="方正仿宋_GBK" w:hAnsi="方正仿宋_GBK" w:eastAsia="方正仿宋_GBK" w:cs="方正仿宋_GBK"/>
          <w:sz w:val="24"/>
          <w:szCs w:val="24"/>
        </w:rPr>
        <w:t>四、知识产权</w:t>
      </w:r>
      <w:bookmarkEnd w:id="175"/>
      <w:bookmarkEnd w:id="176"/>
      <w:bookmarkEnd w:id="177"/>
      <w:bookmarkEnd w:id="178"/>
      <w:bookmarkEnd w:id="179"/>
      <w:bookmarkEnd w:id="180"/>
    </w:p>
    <w:p w14:paraId="39A21443">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kern w:val="0"/>
          <w:sz w:val="24"/>
          <w:szCs w:val="24"/>
        </w:rPr>
        <w:t>采购人在中华人民共和国境内使用供应商提供的货物及服务时免受第三方提出的侵犯其专利权或其它知识产权的起诉。如果第三方提出侵权指控，中选人应承担由此而引起的一切法律责任和费用。</w:t>
      </w:r>
    </w:p>
    <w:p w14:paraId="5B3482EE">
      <w:pPr>
        <w:pStyle w:val="5"/>
        <w:pageBreakBefore w:val="0"/>
        <w:widowControl w:val="0"/>
        <w:kinsoku/>
        <w:wordWrap/>
        <w:overflowPunct/>
        <w:topLinePunct w:val="0"/>
        <w:bidi w:val="0"/>
        <w:spacing w:line="400" w:lineRule="exact"/>
        <w:ind w:firstLine="482" w:firstLineChars="200"/>
        <w:textAlignment w:val="auto"/>
        <w:rPr>
          <w:rFonts w:hint="eastAsia" w:ascii="方正仿宋_GBK" w:hAnsi="方正仿宋_GBK" w:eastAsia="方正仿宋_GBK" w:cs="方正仿宋_GBK"/>
          <w:sz w:val="24"/>
          <w:szCs w:val="24"/>
        </w:rPr>
      </w:pPr>
      <w:bookmarkStart w:id="181" w:name="_Toc141259405"/>
      <w:bookmarkStart w:id="182" w:name="_Toc29777"/>
      <w:bookmarkStart w:id="183" w:name="_Toc18263"/>
      <w:bookmarkStart w:id="184" w:name="_Toc12406"/>
      <w:bookmarkStart w:id="185" w:name="_Toc27736"/>
      <w:bookmarkStart w:id="186" w:name="_Toc28978"/>
      <w:r>
        <w:rPr>
          <w:rFonts w:hint="eastAsia" w:ascii="方正仿宋_GBK" w:hAnsi="方正仿宋_GBK" w:eastAsia="方正仿宋_GBK" w:cs="方正仿宋_GBK"/>
          <w:sz w:val="24"/>
          <w:szCs w:val="24"/>
        </w:rPr>
        <w:t>五、培训</w:t>
      </w:r>
      <w:bookmarkEnd w:id="181"/>
      <w:bookmarkEnd w:id="182"/>
      <w:bookmarkEnd w:id="183"/>
      <w:bookmarkEnd w:id="184"/>
      <w:bookmarkEnd w:id="185"/>
      <w:bookmarkEnd w:id="186"/>
    </w:p>
    <w:p w14:paraId="54F6FFF6">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kern w:val="0"/>
          <w:sz w:val="24"/>
          <w:szCs w:val="24"/>
        </w:rPr>
        <w:t>中选人对其提供产品的使用和操作应尽培训义务。中选人应提供对采购人的基本免费培训，使采购人使用人员能够正常操作，系统常见故障处理，以及相应应急响应措施；各个设备使用、软件使用、设备配置调试等。</w:t>
      </w:r>
    </w:p>
    <w:p w14:paraId="31D1C894">
      <w:pPr>
        <w:pStyle w:val="5"/>
        <w:pageBreakBefore w:val="0"/>
        <w:widowControl w:val="0"/>
        <w:kinsoku/>
        <w:wordWrap/>
        <w:overflowPunct/>
        <w:topLinePunct w:val="0"/>
        <w:bidi w:val="0"/>
        <w:spacing w:line="400" w:lineRule="exact"/>
        <w:ind w:firstLine="482" w:firstLineChars="200"/>
        <w:textAlignment w:val="auto"/>
        <w:rPr>
          <w:rFonts w:hint="eastAsia" w:ascii="方正仿宋_GBK" w:hAnsi="方正仿宋_GBK" w:eastAsia="方正仿宋_GBK" w:cs="方正仿宋_GBK"/>
          <w:sz w:val="24"/>
          <w:szCs w:val="24"/>
        </w:rPr>
      </w:pPr>
      <w:bookmarkStart w:id="187" w:name="_Toc1948"/>
      <w:bookmarkStart w:id="188" w:name="_Toc141259406"/>
      <w:bookmarkStart w:id="189" w:name="_Toc821"/>
      <w:bookmarkStart w:id="190" w:name="_Toc29855"/>
      <w:bookmarkStart w:id="191" w:name="_Toc17870"/>
      <w:bookmarkStart w:id="192" w:name="_Toc19728"/>
      <w:r>
        <w:rPr>
          <w:rFonts w:hint="eastAsia" w:ascii="方正仿宋_GBK" w:hAnsi="方正仿宋_GBK" w:eastAsia="方正仿宋_GBK" w:cs="方正仿宋_GBK"/>
          <w:sz w:val="24"/>
          <w:szCs w:val="24"/>
        </w:rPr>
        <w:t>六、其他</w:t>
      </w:r>
      <w:bookmarkEnd w:id="187"/>
      <w:bookmarkEnd w:id="188"/>
      <w:bookmarkEnd w:id="189"/>
      <w:bookmarkEnd w:id="190"/>
      <w:bookmarkEnd w:id="191"/>
      <w:bookmarkEnd w:id="192"/>
    </w:p>
    <w:p w14:paraId="340BE2B6">
      <w:pPr>
        <w:pageBreakBefore w:val="0"/>
        <w:widowControl w:val="0"/>
        <w:numPr>
          <w:ilvl w:val="0"/>
          <w:numId w:val="1"/>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供应商必须在投标文件中对以上条款和服务承诺明确列出，承诺内容必须达到本篇及招标文件其他条款的要求。</w:t>
      </w:r>
    </w:p>
    <w:bookmarkEnd w:id="108"/>
    <w:bookmarkEnd w:id="109"/>
    <w:bookmarkEnd w:id="110"/>
    <w:p w14:paraId="03094DDA">
      <w:pPr>
        <w:pageBreakBefore w:val="0"/>
        <w:widowControl w:val="0"/>
        <w:numPr>
          <w:ilvl w:val="0"/>
          <w:numId w:val="1"/>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color w:val="FF0000"/>
          <w:kern w:val="0"/>
          <w:sz w:val="24"/>
          <w:szCs w:val="24"/>
        </w:rPr>
        <w:t>供应商对“第三篇  项目技术需求”、“第四篇  项目服务需求”内容作出虚假响应，一经核实，纳入医院不诚信供应商管理，扣除中选人投标保证金，暂停虚假响应供应商在医院的一切业务，禁止≥3年参与我院的采购活动。</w:t>
      </w:r>
    </w:p>
    <w:p w14:paraId="73254FF3">
      <w:pPr>
        <w:pageBreakBefore w:val="0"/>
        <w:widowControl w:val="0"/>
        <w:numPr>
          <w:ilvl w:val="0"/>
          <w:numId w:val="1"/>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color w:val="FF0000"/>
          <w:kern w:val="0"/>
          <w:sz w:val="24"/>
          <w:szCs w:val="24"/>
        </w:rPr>
        <w:t>中选人无法履约或验收不合格的，采购人有权单方面解除中选人中标资格，并有权要求中选人按中标总额的20%向采购人支付违约金，纳入医院不诚信供应商管理，暂停虚假响应供应商在医院的一切业务，禁止≥3年参与我院的采购活动。</w:t>
      </w:r>
    </w:p>
    <w:p w14:paraId="2C599725">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（四）其他未尽事宜由供需双方在采购合同中详细约定。</w:t>
      </w:r>
    </w:p>
    <w:p w14:paraId="70C9E79D">
      <w:pPr>
        <w:pStyle w:val="4"/>
        <w:pageBreakBefore/>
        <w:spacing w:line="360" w:lineRule="auto"/>
        <w:jc w:val="center"/>
        <w:rPr>
          <w:rFonts w:ascii="方正仿宋_GBK" w:hAnsi="宋体" w:eastAsia="方正仿宋_GBK"/>
          <w:sz w:val="84"/>
          <w:szCs w:val="84"/>
        </w:rPr>
      </w:pPr>
      <w:r>
        <w:rPr>
          <w:rFonts w:hint="eastAsia" w:ascii="方正小标宋_GBK" w:hAnsi="宋体" w:eastAsia="方正小标宋_GBK"/>
          <w:b w:val="0"/>
          <w:sz w:val="36"/>
          <w:szCs w:val="30"/>
        </w:rPr>
        <w:t xml:space="preserve">第五篇   </w:t>
      </w:r>
      <w:r>
        <w:rPr>
          <w:rFonts w:hint="eastAsia" w:ascii="方正小标宋_GBK" w:hAnsi="宋体" w:eastAsia="方正小标宋_GBK"/>
          <w:b w:val="0"/>
          <w:color w:val="000000"/>
          <w:sz w:val="36"/>
          <w:szCs w:val="36"/>
        </w:rPr>
        <w:t>响应文件格式</w:t>
      </w:r>
      <w:bookmarkEnd w:id="111"/>
      <w:bookmarkEnd w:id="112"/>
      <w:bookmarkEnd w:id="113"/>
      <w:bookmarkEnd w:id="114"/>
      <w:bookmarkEnd w:id="115"/>
      <w:bookmarkEnd w:id="116"/>
    </w:p>
    <w:p w14:paraId="075D1825">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3AB43C64">
      <w:pPr>
        <w:spacing w:line="360" w:lineRule="auto"/>
        <w:jc w:val="center"/>
        <w:rPr>
          <w:rFonts w:ascii="方正仿宋_GBK" w:hAnsi="宋体" w:eastAsia="方正仿宋_GBK"/>
          <w:sz w:val="84"/>
          <w:szCs w:val="84"/>
        </w:rPr>
      </w:pPr>
    </w:p>
    <w:p w14:paraId="7C8AF141">
      <w:pPr>
        <w:spacing w:line="360" w:lineRule="auto"/>
        <w:ind w:left="-560" w:leftChars="-200" w:firstLine="1950" w:firstLineChars="650"/>
        <w:rPr>
          <w:rFonts w:ascii="方正仿宋_GBK" w:hAnsi="宋体" w:eastAsia="方正仿宋_GBK"/>
          <w:sz w:val="30"/>
          <w:szCs w:val="30"/>
        </w:rPr>
      </w:pPr>
    </w:p>
    <w:p w14:paraId="4395D6DA">
      <w:pPr>
        <w:spacing w:line="360" w:lineRule="auto"/>
        <w:ind w:left="-560" w:leftChars="-200" w:firstLine="1950" w:firstLineChars="650"/>
        <w:rPr>
          <w:rFonts w:ascii="方正仿宋_GBK" w:hAnsi="宋体" w:eastAsia="方正仿宋_GBK"/>
          <w:sz w:val="30"/>
          <w:szCs w:val="30"/>
        </w:rPr>
      </w:pPr>
    </w:p>
    <w:p w14:paraId="112B6091">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64596975">
      <w:pPr>
        <w:pStyle w:val="20"/>
        <w:spacing w:line="360" w:lineRule="auto"/>
        <w:ind w:firstLine="1200" w:firstLineChars="400"/>
      </w:pPr>
      <w:r>
        <w:rPr>
          <w:rFonts w:hint="eastAsia" w:ascii="方正仿宋_GBK" w:hAnsi="宋体" w:eastAsia="方正仿宋_GBK"/>
          <w:sz w:val="30"/>
          <w:szCs w:val="30"/>
        </w:rPr>
        <w:t>分包号：</w:t>
      </w:r>
    </w:p>
    <w:p w14:paraId="5F12C437">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0320E364">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供应商名称：</w:t>
      </w:r>
    </w:p>
    <w:p w14:paraId="1F3E04DB">
      <w:pPr>
        <w:spacing w:line="360" w:lineRule="auto"/>
        <w:ind w:firstLine="1200" w:firstLineChars="400"/>
        <w:rPr>
          <w:rFonts w:ascii="方正仿宋_GBK" w:hAnsi="宋体" w:eastAsia="方正仿宋_GBK"/>
          <w:sz w:val="30"/>
          <w:szCs w:val="30"/>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sz w:val="30"/>
          <w:szCs w:val="30"/>
        </w:rPr>
        <w:t>联系方式：</w:t>
      </w:r>
    </w:p>
    <w:p w14:paraId="514A68FB">
      <w:pPr>
        <w:pageBreakBefore/>
        <w:jc w:val="center"/>
        <w:rPr>
          <w:rFonts w:ascii="方正仿宋_GBK" w:hAnsi="宋体" w:eastAsia="方正仿宋_GBK"/>
          <w:sz w:val="24"/>
          <w:szCs w:val="24"/>
        </w:rPr>
      </w:pPr>
      <w:r>
        <w:rPr>
          <w:rFonts w:hint="eastAsia" w:ascii="方正仿宋_GBK" w:eastAsia="方正仿宋_GBK"/>
          <w:b/>
          <w:sz w:val="36"/>
          <w:szCs w:val="36"/>
        </w:rPr>
        <w:t>报价表</w:t>
      </w:r>
    </w:p>
    <w:p w14:paraId="421E4EF7">
      <w:pPr>
        <w:spacing w:line="360" w:lineRule="auto"/>
        <w:rPr>
          <w:rFonts w:ascii="方正仿宋_GBK" w:hAnsi="宋体" w:eastAsia="方正仿宋_GBK"/>
          <w:sz w:val="24"/>
          <w:szCs w:val="24"/>
        </w:rPr>
      </w:pPr>
    </w:p>
    <w:tbl>
      <w:tblPr>
        <w:tblStyle w:val="17"/>
        <w:tblpPr w:leftFromText="180" w:rightFromText="180" w:vertAnchor="text" w:horzAnchor="page" w:tblpX="1774" w:tblpY="385"/>
        <w:tblOverlap w:val="never"/>
        <w:tblW w:w="12755" w:type="dxa"/>
        <w:tblInd w:w="0" w:type="dxa"/>
        <w:tblLayout w:type="autofit"/>
        <w:tblCellMar>
          <w:top w:w="0" w:type="dxa"/>
          <w:left w:w="108" w:type="dxa"/>
          <w:bottom w:w="0" w:type="dxa"/>
          <w:right w:w="108" w:type="dxa"/>
        </w:tblCellMar>
      </w:tblPr>
      <w:tblGrid>
        <w:gridCol w:w="1694"/>
        <w:gridCol w:w="3095"/>
        <w:gridCol w:w="1518"/>
        <w:gridCol w:w="2810"/>
        <w:gridCol w:w="3638"/>
      </w:tblGrid>
      <w:tr w14:paraId="6BA8E9A8">
        <w:tblPrEx>
          <w:tblCellMar>
            <w:top w:w="0" w:type="dxa"/>
            <w:left w:w="108" w:type="dxa"/>
            <w:bottom w:w="0" w:type="dxa"/>
            <w:right w:w="108" w:type="dxa"/>
          </w:tblCellMar>
        </w:tblPrEx>
        <w:trPr>
          <w:trHeight w:val="739"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2072">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序号</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50E">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val="en-US" w:eastAsia="zh-CN" w:bidi="ar"/>
              </w:rPr>
              <w:t>项目</w:t>
            </w:r>
            <w:r>
              <w:rPr>
                <w:rFonts w:hint="eastAsia" w:ascii="方正黑体_GBK" w:hAnsi="方正黑体_GBK" w:eastAsia="方正黑体_GBK" w:cs="方正黑体_GBK"/>
                <w:color w:val="000000"/>
                <w:kern w:val="0"/>
                <w:sz w:val="21"/>
                <w:szCs w:val="21"/>
                <w:lang w:bidi="ar"/>
              </w:rPr>
              <w:t>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E18">
            <w:pPr>
              <w:widowControl/>
              <w:spacing w:line="300" w:lineRule="exact"/>
              <w:jc w:val="center"/>
              <w:textAlignment w:val="center"/>
              <w:rPr>
                <w:rFonts w:hint="default" w:ascii="方正黑体_GBK" w:hAnsi="方正黑体_GBK" w:eastAsia="方正黑体_GBK" w:cs="方正黑体_GBK"/>
                <w:color w:val="000000"/>
                <w:sz w:val="21"/>
                <w:szCs w:val="21"/>
                <w:lang w:val="en-US" w:eastAsia="zh-CN"/>
              </w:rPr>
            </w:pPr>
            <w:r>
              <w:rPr>
                <w:rFonts w:hint="eastAsia" w:ascii="方正黑体_GBK" w:hAnsi="方正黑体_GBK" w:eastAsia="方正黑体_GBK" w:cs="方正黑体_GBK"/>
                <w:color w:val="000000"/>
                <w:sz w:val="21"/>
                <w:szCs w:val="21"/>
                <w:lang w:val="en-US" w:eastAsia="zh-CN"/>
              </w:rPr>
              <w:t>期限</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69DC">
            <w:pPr>
              <w:widowControl/>
              <w:spacing w:line="300" w:lineRule="exact"/>
              <w:jc w:val="center"/>
              <w:textAlignment w:val="center"/>
              <w:rPr>
                <w:rFonts w:ascii="方正黑体_GBK" w:hAnsi="方正黑体_GBK" w:eastAsia="方正黑体_GBK" w:cs="方正黑体_GBK"/>
                <w:b/>
                <w:bCs/>
                <w:color w:val="000000"/>
                <w:kern w:val="0"/>
                <w:sz w:val="21"/>
                <w:szCs w:val="21"/>
                <w:lang w:bidi="ar"/>
              </w:rPr>
            </w:pPr>
            <w:r>
              <w:rPr>
                <w:rFonts w:hint="eastAsia" w:ascii="方正黑体_GBK" w:hAnsi="方正黑体_GBK" w:eastAsia="方正黑体_GBK" w:cs="方正黑体_GBK"/>
                <w:color w:val="000000"/>
                <w:kern w:val="0"/>
                <w:sz w:val="21"/>
                <w:szCs w:val="21"/>
                <w:lang w:bidi="ar"/>
              </w:rPr>
              <w:t>报价（元</w:t>
            </w:r>
            <w:r>
              <w:rPr>
                <w:rFonts w:hint="eastAsia" w:ascii="方正黑体_GBK" w:hAnsi="方正黑体_GBK" w:eastAsia="方正黑体_GBK" w:cs="方正黑体_GBK"/>
                <w:color w:val="000000"/>
                <w:kern w:val="0"/>
                <w:sz w:val="21"/>
                <w:szCs w:val="21"/>
                <w:lang w:val="en-US" w:eastAsia="zh-CN" w:bidi="ar"/>
              </w:rPr>
              <w:t>/人次</w:t>
            </w:r>
            <w:r>
              <w:rPr>
                <w:rFonts w:hint="eastAsia" w:ascii="方正黑体_GBK" w:hAnsi="方正黑体_GBK" w:eastAsia="方正黑体_GBK" w:cs="方正黑体_GBK"/>
                <w:color w:val="000000"/>
                <w:kern w:val="0"/>
                <w:sz w:val="21"/>
                <w:szCs w:val="21"/>
                <w:lang w:bidi="ar"/>
              </w:rPr>
              <w:t>）</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F3BE">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备注</w:t>
            </w:r>
          </w:p>
        </w:tc>
      </w:tr>
      <w:tr w14:paraId="61949BCE">
        <w:tblPrEx>
          <w:tblCellMar>
            <w:top w:w="0" w:type="dxa"/>
            <w:left w:w="108" w:type="dxa"/>
            <w:bottom w:w="0" w:type="dxa"/>
            <w:right w:w="108" w:type="dxa"/>
          </w:tblCellMar>
        </w:tblPrEx>
        <w:trPr>
          <w:trHeight w:val="2030" w:hRule="exac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0AF1">
            <w:pPr>
              <w:widowControl/>
              <w:spacing w:line="3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142">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数字影像服务</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F89">
            <w:pPr>
              <w:widowControl/>
              <w:spacing w:line="3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AE8B">
            <w:pPr>
              <w:widowControl/>
              <w:spacing w:line="300" w:lineRule="exact"/>
              <w:jc w:val="center"/>
              <w:textAlignment w:val="center"/>
              <w:rPr>
                <w:rFonts w:ascii="方正仿宋_GBK" w:hAnsi="方正仿宋_GBK" w:eastAsia="方正仿宋_GBK" w:cs="方正仿宋_GBK"/>
                <w:color w:val="000000"/>
                <w:kern w:val="0"/>
                <w:sz w:val="21"/>
                <w:szCs w:val="21"/>
                <w:lang w:bidi="ar"/>
              </w:rPr>
            </w:pP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E054">
            <w:pPr>
              <w:widowControl/>
              <w:spacing w:line="300" w:lineRule="exact"/>
              <w:jc w:val="center"/>
              <w:textAlignment w:val="center"/>
              <w:rPr>
                <w:rFonts w:ascii="方正仿宋_GBK" w:hAnsi="方正仿宋_GBK" w:eastAsia="方正仿宋_GBK" w:cs="方正仿宋_GBK"/>
                <w:color w:val="000000"/>
                <w:kern w:val="0"/>
                <w:sz w:val="21"/>
                <w:szCs w:val="21"/>
                <w:lang w:bidi="ar"/>
              </w:rPr>
            </w:pPr>
          </w:p>
        </w:tc>
      </w:tr>
    </w:tbl>
    <w:p w14:paraId="55008A57">
      <w:pPr>
        <w:snapToGrid w:val="0"/>
        <w:spacing w:line="500" w:lineRule="exact"/>
        <w:rPr>
          <w:rFonts w:ascii="方正仿宋_GBK" w:hAnsi="宋体" w:eastAsia="方正仿宋_GBK"/>
          <w:sz w:val="24"/>
          <w:szCs w:val="28"/>
        </w:rPr>
      </w:pPr>
    </w:p>
    <w:p w14:paraId="5F05C556">
      <w:pPr>
        <w:pStyle w:val="11"/>
        <w:rPr>
          <w:rFonts w:ascii="方正仿宋_GBK" w:hAnsi="宋体" w:eastAsia="方正仿宋_GBK"/>
          <w:sz w:val="24"/>
          <w:szCs w:val="28"/>
        </w:rPr>
      </w:pPr>
    </w:p>
    <w:p w14:paraId="649003BC">
      <w:pPr>
        <w:pStyle w:val="12"/>
        <w:rPr>
          <w:rFonts w:ascii="方正仿宋_GBK" w:hAnsi="宋体" w:eastAsia="方正仿宋_GBK"/>
          <w:sz w:val="24"/>
          <w:szCs w:val="28"/>
        </w:rPr>
      </w:pPr>
    </w:p>
    <w:p w14:paraId="2B093A8F">
      <w:pPr>
        <w:rPr>
          <w:rFonts w:ascii="方正仿宋_GBK" w:hAnsi="宋体" w:eastAsia="方正仿宋_GBK"/>
          <w:sz w:val="24"/>
          <w:szCs w:val="28"/>
        </w:rPr>
      </w:pPr>
    </w:p>
    <w:p w14:paraId="7E57087F">
      <w:pPr>
        <w:pStyle w:val="11"/>
        <w:rPr>
          <w:rFonts w:ascii="方正仿宋_GBK" w:hAnsi="宋体" w:eastAsia="方正仿宋_GBK"/>
          <w:sz w:val="24"/>
          <w:szCs w:val="28"/>
        </w:rPr>
      </w:pPr>
    </w:p>
    <w:p w14:paraId="18E67A5A">
      <w:pPr>
        <w:pStyle w:val="12"/>
        <w:rPr>
          <w:rFonts w:ascii="方正仿宋_GBK" w:hAnsi="宋体" w:eastAsia="方正仿宋_GBK"/>
          <w:sz w:val="24"/>
          <w:szCs w:val="28"/>
        </w:rPr>
      </w:pPr>
    </w:p>
    <w:p w14:paraId="04369C1F">
      <w:pPr>
        <w:rPr>
          <w:rFonts w:ascii="方正仿宋_GBK" w:hAnsi="宋体" w:eastAsia="方正仿宋_GBK"/>
          <w:sz w:val="24"/>
          <w:szCs w:val="28"/>
        </w:rPr>
      </w:pPr>
    </w:p>
    <w:p w14:paraId="551EA79E">
      <w:pPr>
        <w:pStyle w:val="11"/>
        <w:rPr>
          <w:rFonts w:ascii="方正仿宋_GBK" w:hAnsi="宋体" w:eastAsia="方正仿宋_GBK"/>
          <w:sz w:val="24"/>
          <w:szCs w:val="28"/>
        </w:rPr>
      </w:pPr>
    </w:p>
    <w:p w14:paraId="6A5397FF">
      <w:pPr>
        <w:pStyle w:val="12"/>
        <w:rPr>
          <w:rFonts w:ascii="方正仿宋_GBK" w:hAnsi="宋体" w:eastAsia="方正仿宋_GBK"/>
          <w:sz w:val="24"/>
          <w:szCs w:val="28"/>
        </w:rPr>
      </w:pPr>
    </w:p>
    <w:p w14:paraId="0589F91E">
      <w:pPr>
        <w:rPr>
          <w:rFonts w:ascii="方正仿宋_GBK" w:hAnsi="宋体" w:eastAsia="方正仿宋_GBK"/>
          <w:sz w:val="24"/>
          <w:szCs w:val="28"/>
        </w:rPr>
      </w:pPr>
    </w:p>
    <w:p w14:paraId="54031CFA">
      <w:pPr>
        <w:pStyle w:val="11"/>
        <w:rPr>
          <w:rFonts w:ascii="方正仿宋_GBK" w:hAnsi="宋体" w:eastAsia="方正仿宋_GBK"/>
          <w:sz w:val="24"/>
          <w:szCs w:val="28"/>
        </w:rPr>
      </w:pPr>
    </w:p>
    <w:p w14:paraId="5C8DAE73">
      <w:pPr>
        <w:pStyle w:val="12"/>
      </w:pPr>
    </w:p>
    <w:p w14:paraId="08AEF0B2">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注：1、请供应商完整填写本表；</w:t>
      </w:r>
      <w:r>
        <w:rPr>
          <w:rFonts w:ascii="方正仿宋_GBK" w:hAnsi="宋体" w:eastAsia="方正仿宋_GBK"/>
          <w:sz w:val="24"/>
          <w:szCs w:val="28"/>
        </w:rPr>
        <w:t>3</w:t>
      </w:r>
      <w:r>
        <w:rPr>
          <w:rFonts w:hint="eastAsia" w:ascii="方正仿宋_GBK" w:hAnsi="宋体" w:eastAsia="方正仿宋_GBK"/>
          <w:sz w:val="24"/>
          <w:szCs w:val="28"/>
        </w:rPr>
        <w:t>、该表可扩展</w:t>
      </w:r>
      <w:bookmarkStart w:id="193" w:name="OLE_LINK2"/>
      <w:bookmarkStart w:id="194" w:name="OLE_LINK1"/>
      <w:r>
        <w:rPr>
          <w:rFonts w:hint="eastAsia" w:ascii="方正仿宋_GBK" w:hAnsi="宋体" w:eastAsia="方正仿宋_GBK"/>
          <w:sz w:val="24"/>
          <w:szCs w:val="28"/>
        </w:rPr>
        <w:t>，并逐页签字或盖章。</w:t>
      </w:r>
      <w:bookmarkEnd w:id="193"/>
      <w:bookmarkEnd w:id="194"/>
    </w:p>
    <w:p w14:paraId="0664C59C">
      <w:pPr>
        <w:pStyle w:val="14"/>
        <w:spacing w:line="360" w:lineRule="auto"/>
        <w:jc w:val="both"/>
        <w:rPr>
          <w:rFonts w:ascii="方正仿宋_GBK" w:hAnsi="宋体" w:eastAsia="方正仿宋_GBK"/>
          <w:sz w:val="24"/>
          <w:szCs w:val="24"/>
        </w:rPr>
      </w:pPr>
      <w:r>
        <w:rPr>
          <w:rFonts w:hint="eastAsia" w:ascii="方正仿宋_GBK" w:hAnsi="宋体" w:eastAsia="方正仿宋_GBK"/>
          <w:sz w:val="24"/>
          <w:szCs w:val="24"/>
        </w:rPr>
        <w:t xml:space="preserve">            </w:t>
      </w:r>
    </w:p>
    <w:p w14:paraId="3B6E09EB">
      <w:pPr>
        <w:spacing w:line="360" w:lineRule="auto"/>
      </w:pPr>
      <w:r>
        <w:rPr>
          <w:rFonts w:hint="eastAsia" w:ascii="方正仿宋_GBK" w:hAnsi="宋体" w:eastAsia="方正仿宋_GBK"/>
          <w:sz w:val="24"/>
          <w:szCs w:val="24"/>
        </w:rPr>
        <w:t xml:space="preserve">                                                                    供应商名称（公章）：</w:t>
      </w:r>
    </w:p>
    <w:p w14:paraId="61397C21">
      <w:pPr>
        <w:spacing w:line="360" w:lineRule="auto"/>
        <w:ind w:right="480" w:firstLine="11040" w:firstLineChars="4600"/>
        <w:rPr>
          <w:rFonts w:ascii="方正仿宋_GBK" w:hAnsi="宋体" w:eastAsia="方正仿宋_GBK"/>
          <w:sz w:val="24"/>
          <w:szCs w:val="24"/>
        </w:rPr>
        <w:sectPr>
          <w:pgSz w:w="16840" w:h="11907" w:orient="landscape"/>
          <w:pgMar w:top="1304" w:right="1134" w:bottom="1191" w:left="1134" w:header="851" w:footer="992" w:gutter="0"/>
          <w:cols w:space="720" w:num="1"/>
          <w:docGrid w:linePitch="380" w:charSpace="-5735"/>
        </w:sectPr>
      </w:pPr>
      <w:r>
        <w:rPr>
          <w:rFonts w:hint="eastAsia" w:ascii="方正仿宋_GBK" w:hAnsi="宋体" w:eastAsia="方正仿宋_GBK"/>
          <w:sz w:val="24"/>
          <w:szCs w:val="24"/>
        </w:rPr>
        <w:t>年     月    日</w:t>
      </w:r>
      <w:bookmarkStart w:id="195" w:name="_Toc403569799"/>
      <w:bookmarkStart w:id="196" w:name="_Toc342913420"/>
      <w:bookmarkStart w:id="197" w:name="_Toc313008357"/>
      <w:bookmarkStart w:id="198" w:name="_Toc313888361"/>
    </w:p>
    <w:p w14:paraId="389B9250">
      <w:pPr>
        <w:pageBreakBefore/>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25803814">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w:t>
      </w:r>
    </w:p>
    <w:p w14:paraId="2511FBD2">
      <w:pPr>
        <w:spacing w:line="360" w:lineRule="auto"/>
        <w:ind w:left="-560" w:leftChars="-200" w:firstLine="1950" w:firstLineChars="650"/>
        <w:rPr>
          <w:rFonts w:ascii="方正仿宋_GBK" w:hAnsi="宋体" w:eastAsia="方正仿宋_GBK"/>
          <w:sz w:val="30"/>
          <w:szCs w:val="30"/>
        </w:rPr>
      </w:pPr>
    </w:p>
    <w:p w14:paraId="2FD6937F">
      <w:pPr>
        <w:spacing w:line="360" w:lineRule="auto"/>
        <w:ind w:left="-560" w:leftChars="-200" w:firstLine="1950" w:firstLineChars="650"/>
        <w:rPr>
          <w:rFonts w:ascii="方正仿宋_GBK" w:hAnsi="宋体" w:eastAsia="方正仿宋_GBK"/>
          <w:sz w:val="30"/>
          <w:szCs w:val="30"/>
        </w:rPr>
      </w:pPr>
    </w:p>
    <w:p w14:paraId="44919943">
      <w:pPr>
        <w:spacing w:line="360" w:lineRule="auto"/>
        <w:ind w:left="-560" w:leftChars="-200" w:firstLine="1950" w:firstLineChars="650"/>
        <w:rPr>
          <w:rFonts w:ascii="方正仿宋_GBK" w:hAnsi="宋体" w:eastAsia="方正仿宋_GBK"/>
          <w:sz w:val="30"/>
          <w:szCs w:val="30"/>
        </w:rPr>
      </w:pPr>
    </w:p>
    <w:p w14:paraId="00CEDA63">
      <w:pPr>
        <w:spacing w:line="360" w:lineRule="auto"/>
        <w:ind w:left="-560" w:leftChars="-200" w:firstLine="1950" w:firstLineChars="650"/>
        <w:rPr>
          <w:rFonts w:ascii="方正仿宋_GBK" w:hAnsi="宋体" w:eastAsia="方正仿宋_GBK"/>
          <w:sz w:val="30"/>
          <w:szCs w:val="30"/>
        </w:rPr>
      </w:pPr>
    </w:p>
    <w:p w14:paraId="5A1AB6DD">
      <w:pPr>
        <w:pStyle w:val="20"/>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1DAD4795">
      <w:pPr>
        <w:pStyle w:val="20"/>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分包号：</w:t>
      </w:r>
    </w:p>
    <w:p w14:paraId="5A7C6A64">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3887158D">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供应商名称：</w:t>
      </w:r>
    </w:p>
    <w:p w14:paraId="4E10D32D">
      <w:pPr>
        <w:spacing w:line="360" w:lineRule="auto"/>
        <w:ind w:firstLine="1200" w:firstLineChars="400"/>
        <w:rPr>
          <w:rFonts w:ascii="方正仿宋_GBK" w:hAnsi="宋体" w:eastAsia="方正仿宋_GBK"/>
          <w:sz w:val="24"/>
          <w:szCs w:val="24"/>
        </w:rPr>
      </w:pPr>
      <w:r>
        <w:rPr>
          <w:rFonts w:hint="eastAsia" w:ascii="方正仿宋_GBK" w:hAnsi="宋体" w:eastAsia="方正仿宋_GBK"/>
          <w:sz w:val="30"/>
          <w:szCs w:val="30"/>
        </w:rPr>
        <w:t>联系方式：</w:t>
      </w:r>
    </w:p>
    <w:p w14:paraId="5E48D5BF">
      <w:pPr>
        <w:pageBreakBefore/>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0D3C740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一、技术响应偏离表</w:t>
      </w:r>
    </w:p>
    <w:p w14:paraId="326824E6">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7D683A30">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3664C466">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390442D2">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p>
    <w:p w14:paraId="5E4FBFA3">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p>
    <w:p w14:paraId="600E470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3、营业执照副本复印件；</w:t>
      </w:r>
    </w:p>
    <w:p w14:paraId="231F6207">
      <w:pPr>
        <w:spacing w:line="440" w:lineRule="exact"/>
        <w:ind w:firstLine="480" w:firstLineChars="200"/>
        <w:rPr>
          <w:rFonts w:ascii="方正仿宋_GBK" w:eastAsia="方正仿宋_GBK"/>
        </w:rPr>
      </w:pPr>
      <w:r>
        <w:rPr>
          <w:rFonts w:hint="eastAsia" w:ascii="方正仿宋_GBK" w:hAnsi="宋体" w:eastAsia="方正仿宋_GBK"/>
          <w:sz w:val="24"/>
          <w:szCs w:val="24"/>
        </w:rPr>
        <w:t>4、基本资格条件承诺函（格式）</w:t>
      </w:r>
    </w:p>
    <w:p w14:paraId="7283E72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（二）特定资格条件或证明文件</w:t>
      </w:r>
    </w:p>
    <w:p w14:paraId="6019D3BF">
      <w:pPr>
        <w:pStyle w:val="20"/>
        <w:ind w:firstLine="480" w:firstLineChars="200"/>
        <w:rPr>
          <w:rFonts w:ascii="方正仿宋_GBK" w:eastAsia="方正仿宋_GBK"/>
          <w:color w:val="auto"/>
        </w:rPr>
      </w:pPr>
      <w:r>
        <w:rPr>
          <w:rFonts w:hint="eastAsia" w:ascii="方正仿宋_GBK" w:eastAsia="方正仿宋_GBK"/>
          <w:color w:val="auto"/>
        </w:rPr>
        <w:t>（根据第一篇中选供应商资格条件）</w:t>
      </w:r>
    </w:p>
    <w:p w14:paraId="443AC895">
      <w:pPr>
        <w:pageBreakBefore/>
        <w:snapToGrid w:val="0"/>
        <w:spacing w:line="360" w:lineRule="auto"/>
        <w:jc w:val="center"/>
        <w:rPr>
          <w:rFonts w:ascii="方正小标宋_GBK" w:eastAsia="方正小标宋_GBK"/>
          <w:sz w:val="32"/>
          <w:szCs w:val="32"/>
        </w:rPr>
      </w:pPr>
      <w:bookmarkStart w:id="199" w:name="_Toc23408"/>
      <w:bookmarkStart w:id="200" w:name="_Toc7248"/>
      <w:bookmarkStart w:id="201" w:name="_Toc30517"/>
      <w:bookmarkStart w:id="202" w:name="_Toc11826"/>
      <w:r>
        <w:rPr>
          <w:rFonts w:hint="eastAsia" w:ascii="方正小标宋_GBK" w:eastAsia="方正小标宋_GBK"/>
          <w:sz w:val="32"/>
          <w:szCs w:val="32"/>
        </w:rPr>
        <w:t>一、</w:t>
      </w:r>
      <w:bookmarkEnd w:id="195"/>
      <w:bookmarkEnd w:id="196"/>
      <w:bookmarkEnd w:id="197"/>
      <w:bookmarkEnd w:id="198"/>
      <w:bookmarkEnd w:id="199"/>
      <w:bookmarkEnd w:id="200"/>
      <w:bookmarkEnd w:id="201"/>
      <w:bookmarkEnd w:id="202"/>
      <w:r>
        <w:rPr>
          <w:rFonts w:hint="eastAsia" w:ascii="方正小标宋_GBK" w:eastAsia="方正小标宋_GBK"/>
          <w:sz w:val="32"/>
          <w:szCs w:val="32"/>
        </w:rPr>
        <w:t>技术</w:t>
      </w:r>
      <w:r>
        <w:rPr>
          <w:rFonts w:hint="eastAsia" w:ascii="方正小标宋_GBK" w:eastAsia="方正小标宋_GBK"/>
          <w:sz w:val="32"/>
          <w:szCs w:val="32"/>
          <w:lang w:val="en-US" w:eastAsia="zh-CN"/>
        </w:rPr>
        <w:t>服务</w:t>
      </w:r>
      <w:r>
        <w:rPr>
          <w:rFonts w:hint="eastAsia" w:ascii="方正小标宋_GBK" w:eastAsia="方正小标宋_GBK"/>
          <w:sz w:val="32"/>
          <w:szCs w:val="32"/>
        </w:rPr>
        <w:t>响应偏离表</w:t>
      </w:r>
    </w:p>
    <w:p w14:paraId="23A19460">
      <w:pPr>
        <w:pStyle w:val="8"/>
        <w:tabs>
          <w:tab w:val="left" w:pos="6300"/>
        </w:tabs>
        <w:snapToGrid w:val="0"/>
        <w:spacing w:line="500" w:lineRule="exact"/>
        <w:ind w:firstLine="480" w:firstLineChars="200"/>
        <w:outlineLvl w:val="0"/>
        <w:rPr>
          <w:rFonts w:ascii="方正仿宋_GBK" w:hAnsi="宋体" w:eastAsia="方正仿宋_GBK"/>
          <w:sz w:val="24"/>
        </w:rPr>
      </w:pPr>
      <w:bookmarkStart w:id="203" w:name="_Toc25678"/>
      <w:bookmarkStart w:id="204" w:name="_Toc30398"/>
      <w:bookmarkStart w:id="205" w:name="_Toc31912"/>
      <w:bookmarkStart w:id="206" w:name="_Toc29242"/>
      <w:bookmarkStart w:id="207" w:name="_Toc20644"/>
      <w:bookmarkStart w:id="208" w:name="_Toc29080"/>
      <w:r>
        <w:rPr>
          <w:rFonts w:hint="eastAsia" w:ascii="方正仿宋_GBK" w:hAnsi="宋体" w:eastAsia="方正仿宋_GBK"/>
          <w:sz w:val="24"/>
        </w:rPr>
        <w:t>询价项目名称：</w:t>
      </w:r>
      <w:bookmarkEnd w:id="203"/>
      <w:bookmarkEnd w:id="204"/>
      <w:bookmarkEnd w:id="205"/>
      <w:bookmarkEnd w:id="206"/>
      <w:bookmarkEnd w:id="207"/>
      <w:bookmarkEnd w:id="208"/>
      <w:r>
        <w:rPr>
          <w:rFonts w:hint="eastAsia" w:ascii="方正仿宋_GBK" w:hAnsi="宋体" w:eastAsia="方正仿宋_GBK"/>
          <w:sz w:val="24"/>
        </w:rPr>
        <w:t xml:space="preserve">                                </w:t>
      </w:r>
    </w:p>
    <w:tbl>
      <w:tblPr>
        <w:tblStyle w:val="1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74E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7E31C1D">
            <w:pPr>
              <w:tabs>
                <w:tab w:val="left" w:pos="6300"/>
              </w:tabs>
              <w:snapToGrid w:val="0"/>
              <w:spacing w:line="500" w:lineRule="exact"/>
              <w:jc w:val="center"/>
              <w:outlineLvl w:val="0"/>
              <w:rPr>
                <w:rFonts w:ascii="方正仿宋_GBK" w:hAnsi="宋体" w:eastAsia="方正仿宋_GBK"/>
                <w:sz w:val="21"/>
                <w:szCs w:val="21"/>
              </w:rPr>
            </w:pPr>
            <w:bookmarkStart w:id="209" w:name="_Toc31092"/>
            <w:bookmarkStart w:id="210" w:name="_Toc6024"/>
            <w:bookmarkStart w:id="211" w:name="_Toc32731"/>
            <w:bookmarkStart w:id="212" w:name="_Toc2430"/>
            <w:bookmarkStart w:id="213" w:name="_Toc15638"/>
            <w:bookmarkStart w:id="214" w:name="_Toc27459"/>
            <w:r>
              <w:rPr>
                <w:rFonts w:hint="eastAsia" w:ascii="方正仿宋_GBK" w:hAnsi="宋体" w:eastAsia="方正仿宋_GBK"/>
                <w:sz w:val="21"/>
                <w:szCs w:val="21"/>
              </w:rPr>
              <w:t>序号</w:t>
            </w:r>
            <w:bookmarkEnd w:id="209"/>
            <w:bookmarkEnd w:id="210"/>
            <w:bookmarkEnd w:id="211"/>
            <w:bookmarkEnd w:id="212"/>
            <w:bookmarkEnd w:id="213"/>
            <w:bookmarkEnd w:id="214"/>
          </w:p>
        </w:tc>
        <w:tc>
          <w:tcPr>
            <w:tcW w:w="2658" w:type="dxa"/>
            <w:vAlign w:val="center"/>
          </w:tcPr>
          <w:p w14:paraId="22F23392">
            <w:pPr>
              <w:tabs>
                <w:tab w:val="left" w:pos="6300"/>
              </w:tabs>
              <w:snapToGrid w:val="0"/>
              <w:spacing w:line="500" w:lineRule="exact"/>
              <w:jc w:val="center"/>
              <w:outlineLvl w:val="0"/>
              <w:rPr>
                <w:rFonts w:ascii="方正仿宋_GBK" w:hAnsi="宋体" w:eastAsia="方正仿宋_GBK"/>
                <w:sz w:val="21"/>
                <w:szCs w:val="21"/>
              </w:rPr>
            </w:pPr>
            <w:bookmarkStart w:id="215" w:name="_Toc31331"/>
            <w:bookmarkStart w:id="216" w:name="_Toc10456"/>
            <w:bookmarkStart w:id="217" w:name="_Toc15639"/>
            <w:bookmarkStart w:id="218" w:name="_Toc21860"/>
            <w:bookmarkStart w:id="219" w:name="_Toc22350"/>
            <w:bookmarkStart w:id="220" w:name="_Toc6574"/>
            <w:r>
              <w:rPr>
                <w:rFonts w:hint="eastAsia" w:ascii="方正仿宋_GBK" w:hAnsi="宋体" w:eastAsia="方正仿宋_GBK"/>
                <w:sz w:val="21"/>
                <w:szCs w:val="21"/>
              </w:rPr>
              <w:t>询价需求</w:t>
            </w:r>
            <w:bookmarkEnd w:id="215"/>
            <w:bookmarkEnd w:id="216"/>
            <w:bookmarkEnd w:id="217"/>
            <w:bookmarkEnd w:id="218"/>
            <w:bookmarkEnd w:id="219"/>
            <w:bookmarkEnd w:id="220"/>
          </w:p>
        </w:tc>
        <w:tc>
          <w:tcPr>
            <w:tcW w:w="2759" w:type="dxa"/>
            <w:vAlign w:val="center"/>
          </w:tcPr>
          <w:p w14:paraId="31D83BA5">
            <w:pPr>
              <w:tabs>
                <w:tab w:val="left" w:pos="6300"/>
              </w:tabs>
              <w:snapToGrid w:val="0"/>
              <w:spacing w:line="500" w:lineRule="exact"/>
              <w:jc w:val="center"/>
              <w:outlineLvl w:val="0"/>
              <w:rPr>
                <w:rFonts w:ascii="方正仿宋_GBK" w:hAnsi="宋体" w:eastAsia="方正仿宋_GBK"/>
                <w:sz w:val="21"/>
                <w:szCs w:val="21"/>
              </w:rPr>
            </w:pPr>
            <w:bookmarkStart w:id="221" w:name="_Toc18635"/>
            <w:bookmarkStart w:id="222" w:name="_Toc28874"/>
            <w:bookmarkStart w:id="223" w:name="_Toc21237"/>
            <w:bookmarkStart w:id="224" w:name="_Toc9281"/>
            <w:bookmarkStart w:id="225" w:name="_Toc9828"/>
            <w:bookmarkStart w:id="226" w:name="_Toc24944"/>
            <w:r>
              <w:rPr>
                <w:rFonts w:hint="eastAsia" w:ascii="方正仿宋_GBK" w:hAnsi="宋体" w:eastAsia="方正仿宋_GBK"/>
                <w:sz w:val="21"/>
                <w:szCs w:val="21"/>
              </w:rPr>
              <w:t>响应情况</w:t>
            </w:r>
            <w:bookmarkEnd w:id="221"/>
            <w:bookmarkEnd w:id="222"/>
            <w:bookmarkEnd w:id="223"/>
            <w:bookmarkEnd w:id="224"/>
            <w:bookmarkEnd w:id="225"/>
            <w:bookmarkEnd w:id="226"/>
          </w:p>
        </w:tc>
        <w:tc>
          <w:tcPr>
            <w:tcW w:w="2067" w:type="dxa"/>
            <w:vAlign w:val="center"/>
          </w:tcPr>
          <w:p w14:paraId="00431A62">
            <w:pPr>
              <w:tabs>
                <w:tab w:val="left" w:pos="6300"/>
              </w:tabs>
              <w:snapToGrid w:val="0"/>
              <w:spacing w:line="500" w:lineRule="exact"/>
              <w:jc w:val="center"/>
              <w:outlineLvl w:val="0"/>
              <w:rPr>
                <w:rFonts w:ascii="方正仿宋_GBK" w:hAnsi="宋体" w:eastAsia="方正仿宋_GBK"/>
                <w:sz w:val="21"/>
                <w:szCs w:val="21"/>
              </w:rPr>
            </w:pPr>
            <w:bookmarkStart w:id="227" w:name="_Toc8087"/>
            <w:bookmarkStart w:id="228" w:name="_Toc16868"/>
            <w:bookmarkStart w:id="229" w:name="_Toc9845"/>
            <w:bookmarkStart w:id="230" w:name="_Toc24171"/>
            <w:bookmarkStart w:id="231" w:name="_Toc24193"/>
            <w:bookmarkStart w:id="232" w:name="_Toc1579"/>
            <w:r>
              <w:rPr>
                <w:rFonts w:hint="eastAsia" w:ascii="方正仿宋_GBK" w:hAnsi="宋体" w:eastAsia="方正仿宋_GBK"/>
                <w:sz w:val="21"/>
                <w:szCs w:val="21"/>
              </w:rPr>
              <w:t>差异说明</w:t>
            </w:r>
            <w:bookmarkEnd w:id="227"/>
            <w:bookmarkEnd w:id="228"/>
            <w:bookmarkEnd w:id="229"/>
            <w:bookmarkEnd w:id="230"/>
            <w:bookmarkEnd w:id="231"/>
            <w:bookmarkEnd w:id="232"/>
          </w:p>
        </w:tc>
      </w:tr>
      <w:tr w14:paraId="4BC4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E8D1FFF">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B87A7B4">
            <w:pPr>
              <w:tabs>
                <w:tab w:val="left" w:pos="6300"/>
              </w:tabs>
              <w:snapToGrid w:val="0"/>
              <w:spacing w:line="500" w:lineRule="exact"/>
              <w:jc w:val="center"/>
              <w:outlineLvl w:val="0"/>
              <w:rPr>
                <w:rFonts w:hint="default" w:ascii="方正仿宋_GBK" w:hAnsi="宋体" w:eastAsia="方正仿宋_GBK"/>
                <w:sz w:val="21"/>
                <w:szCs w:val="21"/>
                <w:lang w:val="en-US" w:eastAsia="zh-CN"/>
              </w:rPr>
            </w:pPr>
            <w:r>
              <w:rPr>
                <w:rFonts w:hint="eastAsia" w:ascii="方正仿宋_GBK" w:hAnsi="宋体" w:eastAsia="方正仿宋_GBK"/>
                <w:color w:val="FF0000"/>
                <w:sz w:val="21"/>
                <w:szCs w:val="21"/>
                <w:lang w:val="en-US" w:eastAsia="zh-CN"/>
              </w:rPr>
              <w:t>按第三篇逐条响应，自行粘贴</w:t>
            </w:r>
          </w:p>
        </w:tc>
        <w:tc>
          <w:tcPr>
            <w:tcW w:w="2759" w:type="dxa"/>
            <w:vAlign w:val="center"/>
          </w:tcPr>
          <w:p w14:paraId="024AF132">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29545E6">
            <w:pPr>
              <w:tabs>
                <w:tab w:val="left" w:pos="6300"/>
              </w:tabs>
              <w:snapToGrid w:val="0"/>
              <w:spacing w:line="500" w:lineRule="exact"/>
              <w:jc w:val="center"/>
              <w:outlineLvl w:val="0"/>
              <w:rPr>
                <w:rFonts w:ascii="方正仿宋_GBK" w:hAnsi="宋体" w:eastAsia="方正仿宋_GBK"/>
                <w:sz w:val="21"/>
                <w:szCs w:val="21"/>
              </w:rPr>
            </w:pPr>
          </w:p>
        </w:tc>
      </w:tr>
      <w:tr w14:paraId="1C26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BFA268">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2D07BE3">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67A7B463">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46740CC0">
            <w:pPr>
              <w:tabs>
                <w:tab w:val="left" w:pos="6300"/>
              </w:tabs>
              <w:snapToGrid w:val="0"/>
              <w:spacing w:line="500" w:lineRule="exact"/>
              <w:jc w:val="center"/>
              <w:outlineLvl w:val="0"/>
              <w:rPr>
                <w:rFonts w:ascii="方正仿宋_GBK" w:hAnsi="宋体" w:eastAsia="方正仿宋_GBK"/>
                <w:sz w:val="21"/>
                <w:szCs w:val="21"/>
              </w:rPr>
            </w:pPr>
          </w:p>
        </w:tc>
      </w:tr>
      <w:tr w14:paraId="4096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960786">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6D1BAF26">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38D9775">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77D46DC1">
            <w:pPr>
              <w:tabs>
                <w:tab w:val="left" w:pos="6300"/>
              </w:tabs>
              <w:snapToGrid w:val="0"/>
              <w:spacing w:line="500" w:lineRule="exact"/>
              <w:jc w:val="center"/>
              <w:outlineLvl w:val="0"/>
              <w:rPr>
                <w:rFonts w:ascii="方正仿宋_GBK" w:hAnsi="宋体" w:eastAsia="方正仿宋_GBK"/>
                <w:sz w:val="21"/>
                <w:szCs w:val="21"/>
              </w:rPr>
            </w:pPr>
          </w:p>
        </w:tc>
      </w:tr>
      <w:tr w14:paraId="33AD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A6CE8C1">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8FCBC50">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3C61CAA">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A15734E">
            <w:pPr>
              <w:tabs>
                <w:tab w:val="left" w:pos="6300"/>
              </w:tabs>
              <w:snapToGrid w:val="0"/>
              <w:spacing w:line="500" w:lineRule="exact"/>
              <w:jc w:val="center"/>
              <w:outlineLvl w:val="0"/>
              <w:rPr>
                <w:rFonts w:ascii="方正仿宋_GBK" w:hAnsi="宋体" w:eastAsia="方正仿宋_GBK"/>
                <w:sz w:val="21"/>
                <w:szCs w:val="21"/>
              </w:rPr>
            </w:pPr>
          </w:p>
        </w:tc>
      </w:tr>
      <w:tr w14:paraId="064E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8E4AAF7">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1F085924">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BFE3BE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F5F286C">
            <w:pPr>
              <w:tabs>
                <w:tab w:val="left" w:pos="6300"/>
              </w:tabs>
              <w:snapToGrid w:val="0"/>
              <w:spacing w:line="500" w:lineRule="exact"/>
              <w:jc w:val="center"/>
              <w:outlineLvl w:val="0"/>
              <w:rPr>
                <w:rFonts w:ascii="方正仿宋_GBK" w:hAnsi="宋体" w:eastAsia="方正仿宋_GBK"/>
                <w:sz w:val="21"/>
                <w:szCs w:val="21"/>
              </w:rPr>
            </w:pPr>
          </w:p>
        </w:tc>
      </w:tr>
      <w:tr w14:paraId="432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FF3F14B">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BBFA705">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4D9B02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00282D1">
            <w:pPr>
              <w:tabs>
                <w:tab w:val="left" w:pos="6300"/>
              </w:tabs>
              <w:snapToGrid w:val="0"/>
              <w:spacing w:line="500" w:lineRule="exact"/>
              <w:jc w:val="center"/>
              <w:outlineLvl w:val="0"/>
              <w:rPr>
                <w:rFonts w:ascii="方正仿宋_GBK" w:hAnsi="宋体" w:eastAsia="方正仿宋_GBK"/>
                <w:sz w:val="21"/>
                <w:szCs w:val="21"/>
              </w:rPr>
            </w:pPr>
          </w:p>
        </w:tc>
      </w:tr>
      <w:tr w14:paraId="5E26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5D68461">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63EDE808">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1FCC380">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3DE887E">
            <w:pPr>
              <w:tabs>
                <w:tab w:val="left" w:pos="6300"/>
              </w:tabs>
              <w:snapToGrid w:val="0"/>
              <w:spacing w:line="500" w:lineRule="exact"/>
              <w:jc w:val="center"/>
              <w:outlineLvl w:val="0"/>
              <w:rPr>
                <w:rFonts w:ascii="方正仿宋_GBK" w:hAnsi="宋体" w:eastAsia="方正仿宋_GBK"/>
                <w:sz w:val="21"/>
                <w:szCs w:val="21"/>
              </w:rPr>
            </w:pPr>
          </w:p>
        </w:tc>
      </w:tr>
      <w:tr w14:paraId="7F1D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CBA8419">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63A32FF">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264CA588">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88E57F6">
            <w:pPr>
              <w:tabs>
                <w:tab w:val="left" w:pos="6300"/>
              </w:tabs>
              <w:snapToGrid w:val="0"/>
              <w:spacing w:line="500" w:lineRule="exact"/>
              <w:jc w:val="center"/>
              <w:outlineLvl w:val="0"/>
              <w:rPr>
                <w:rFonts w:ascii="方正仿宋_GBK" w:hAnsi="宋体" w:eastAsia="方正仿宋_GBK"/>
                <w:sz w:val="21"/>
                <w:szCs w:val="21"/>
              </w:rPr>
            </w:pPr>
          </w:p>
        </w:tc>
      </w:tr>
    </w:tbl>
    <w:p w14:paraId="4C3E03E9">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5C16162E">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6E029CA1">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79FB5D0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CE2425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01BA5A06">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项目技术需求”中所列技术要求（规格/型号、用途/适用范围、主要技术参数需求）进行比较和响应；</w:t>
      </w:r>
    </w:p>
    <w:p w14:paraId="2A0EFC8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2、该表必须按照询价要求逐条如实填写，根据响应情况在“差异说明”项填写正偏离或负偏离及原因，完全符合的填写“无差异”；</w:t>
      </w:r>
    </w:p>
    <w:p w14:paraId="132B396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15E6BBC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14:paraId="3E987397">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5、若“响应情况”栏中仅填写“无偏离”或“有偏离”等内容而未作实质性参数描述，该供应商将</w:t>
      </w:r>
      <w:r>
        <w:rPr>
          <w:rFonts w:hint="eastAsia" w:ascii="方正仿宋_GBK" w:hAnsi="宋体" w:eastAsia="方正仿宋_GBK"/>
          <w:sz w:val="24"/>
          <w:szCs w:val="24"/>
        </w:rPr>
        <w:t>失去成为成交供应商的资格，仅保留其合格供应商的身份。</w:t>
      </w:r>
      <w:bookmarkStart w:id="233" w:name="_Toc403569800"/>
      <w:bookmarkStart w:id="234" w:name="_Toc342913421"/>
      <w:bookmarkStart w:id="235" w:name="_Toc313888362"/>
      <w:bookmarkStart w:id="236" w:name="_Toc313008358"/>
    </w:p>
    <w:p w14:paraId="576E9D39">
      <w:pPr>
        <w:pageBreakBefore/>
        <w:snapToGrid w:val="0"/>
        <w:spacing w:line="360" w:lineRule="auto"/>
        <w:jc w:val="center"/>
        <w:rPr>
          <w:rFonts w:ascii="方正小标宋_GBK" w:eastAsia="方正小标宋_GBK"/>
          <w:sz w:val="32"/>
          <w:szCs w:val="32"/>
        </w:rPr>
      </w:pPr>
      <w:r>
        <w:rPr>
          <w:rFonts w:hint="eastAsia" w:ascii="方正小标宋_GBK" w:eastAsia="方正小标宋_GBK"/>
          <w:sz w:val="32"/>
          <w:szCs w:val="32"/>
        </w:rPr>
        <w:t>二、</w:t>
      </w:r>
      <w:bookmarkEnd w:id="233"/>
      <w:bookmarkEnd w:id="234"/>
      <w:bookmarkEnd w:id="235"/>
      <w:bookmarkEnd w:id="236"/>
      <w:r>
        <w:rPr>
          <w:rFonts w:hint="eastAsia" w:ascii="方正小标宋_GBK" w:eastAsia="方正小标宋_GBK"/>
          <w:sz w:val="32"/>
          <w:szCs w:val="32"/>
          <w:lang w:val="en-US" w:eastAsia="zh-CN"/>
        </w:rPr>
        <w:t>商务</w:t>
      </w:r>
      <w:r>
        <w:rPr>
          <w:rFonts w:hint="eastAsia" w:ascii="方正小标宋_GBK" w:eastAsia="方正小标宋_GBK"/>
          <w:sz w:val="32"/>
          <w:szCs w:val="32"/>
        </w:rPr>
        <w:t>服务响应偏离表</w:t>
      </w:r>
    </w:p>
    <w:p w14:paraId="43664D34">
      <w:pPr>
        <w:pStyle w:val="8"/>
        <w:tabs>
          <w:tab w:val="left" w:pos="6300"/>
        </w:tabs>
        <w:snapToGrid w:val="0"/>
        <w:spacing w:line="500" w:lineRule="exact"/>
        <w:outlineLvl w:val="0"/>
        <w:rPr>
          <w:rFonts w:ascii="方正小标宋_GBK" w:eastAsia="方正小标宋_GBK"/>
          <w:sz w:val="32"/>
          <w:szCs w:val="32"/>
        </w:rPr>
      </w:pPr>
      <w:bookmarkStart w:id="237" w:name="_Toc14773"/>
      <w:bookmarkStart w:id="238" w:name="_Toc31206"/>
      <w:r>
        <w:rPr>
          <w:rFonts w:hint="eastAsia" w:ascii="方正仿宋_GBK" w:hAnsi="宋体" w:eastAsia="方正仿宋_GBK"/>
          <w:sz w:val="24"/>
        </w:rPr>
        <w:t>询价项目名称：</w:t>
      </w:r>
      <w:bookmarkEnd w:id="237"/>
      <w:bookmarkEnd w:id="238"/>
    </w:p>
    <w:tbl>
      <w:tblPr>
        <w:tblStyle w:val="1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4B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14:paraId="4304D3F7">
            <w:pPr>
              <w:tabs>
                <w:tab w:val="left" w:pos="6300"/>
              </w:tabs>
              <w:snapToGrid w:val="0"/>
              <w:spacing w:line="360" w:lineRule="auto"/>
              <w:jc w:val="center"/>
              <w:outlineLvl w:val="0"/>
              <w:rPr>
                <w:rFonts w:ascii="方正仿宋_GBK" w:hAnsi="宋体" w:eastAsia="方正仿宋_GBK"/>
                <w:sz w:val="21"/>
                <w:szCs w:val="24"/>
              </w:rPr>
            </w:pPr>
            <w:bookmarkStart w:id="239" w:name="_Toc23212"/>
            <w:bookmarkStart w:id="240" w:name="_Toc11712"/>
            <w:bookmarkStart w:id="241" w:name="_Toc7565"/>
            <w:bookmarkStart w:id="242" w:name="_Toc3958"/>
            <w:bookmarkStart w:id="243" w:name="_Toc14470"/>
            <w:bookmarkStart w:id="244" w:name="_Toc26976"/>
            <w:bookmarkStart w:id="245" w:name="_Toc283382459"/>
            <w:r>
              <w:rPr>
                <w:rFonts w:hint="eastAsia" w:ascii="方正仿宋_GBK" w:hAnsi="宋体" w:eastAsia="方正仿宋_GBK"/>
                <w:sz w:val="21"/>
                <w:szCs w:val="24"/>
              </w:rPr>
              <w:t>序号</w:t>
            </w:r>
            <w:bookmarkEnd w:id="239"/>
            <w:bookmarkEnd w:id="240"/>
            <w:bookmarkEnd w:id="241"/>
            <w:bookmarkEnd w:id="242"/>
            <w:bookmarkEnd w:id="243"/>
            <w:bookmarkEnd w:id="244"/>
          </w:p>
        </w:tc>
        <w:tc>
          <w:tcPr>
            <w:tcW w:w="3179" w:type="dxa"/>
            <w:vAlign w:val="center"/>
          </w:tcPr>
          <w:p w14:paraId="309A802B">
            <w:pPr>
              <w:tabs>
                <w:tab w:val="left" w:pos="6300"/>
              </w:tabs>
              <w:snapToGrid w:val="0"/>
              <w:spacing w:line="360" w:lineRule="auto"/>
              <w:jc w:val="center"/>
              <w:outlineLvl w:val="0"/>
              <w:rPr>
                <w:rFonts w:ascii="方正仿宋_GBK" w:hAnsi="宋体" w:eastAsia="方正仿宋_GBK"/>
                <w:sz w:val="21"/>
                <w:szCs w:val="24"/>
              </w:rPr>
            </w:pPr>
            <w:bookmarkStart w:id="246" w:name="_Toc12292"/>
            <w:bookmarkStart w:id="247" w:name="_Toc19969"/>
            <w:bookmarkStart w:id="248" w:name="_Toc30230"/>
            <w:bookmarkStart w:id="249" w:name="_Toc4270"/>
            <w:bookmarkStart w:id="250" w:name="_Toc6787"/>
            <w:bookmarkStart w:id="251" w:name="_Toc11514"/>
            <w:r>
              <w:rPr>
                <w:rFonts w:hint="eastAsia" w:ascii="方正仿宋_GBK" w:hAnsi="宋体" w:eastAsia="方正仿宋_GBK"/>
                <w:sz w:val="21"/>
                <w:szCs w:val="24"/>
              </w:rPr>
              <w:t>项目需求</w:t>
            </w:r>
            <w:bookmarkEnd w:id="246"/>
            <w:bookmarkEnd w:id="247"/>
            <w:bookmarkEnd w:id="248"/>
            <w:bookmarkEnd w:id="249"/>
            <w:bookmarkEnd w:id="250"/>
            <w:bookmarkEnd w:id="251"/>
          </w:p>
        </w:tc>
        <w:tc>
          <w:tcPr>
            <w:tcW w:w="2434" w:type="dxa"/>
            <w:vAlign w:val="center"/>
          </w:tcPr>
          <w:p w14:paraId="7D7FCE8C">
            <w:pPr>
              <w:tabs>
                <w:tab w:val="left" w:pos="6300"/>
              </w:tabs>
              <w:snapToGrid w:val="0"/>
              <w:spacing w:line="360" w:lineRule="auto"/>
              <w:jc w:val="center"/>
              <w:outlineLvl w:val="0"/>
              <w:rPr>
                <w:rFonts w:ascii="方正仿宋_GBK" w:hAnsi="宋体" w:eastAsia="方正仿宋_GBK"/>
                <w:sz w:val="21"/>
                <w:szCs w:val="24"/>
              </w:rPr>
            </w:pPr>
            <w:bookmarkStart w:id="252" w:name="_Toc21505"/>
            <w:bookmarkStart w:id="253" w:name="_Toc12057"/>
            <w:bookmarkStart w:id="254" w:name="_Toc30513"/>
            <w:bookmarkStart w:id="255" w:name="_Toc21164"/>
            <w:bookmarkStart w:id="256" w:name="_Toc1367"/>
            <w:bookmarkStart w:id="257" w:name="_Toc28062"/>
            <w:r>
              <w:rPr>
                <w:rFonts w:hint="eastAsia" w:ascii="方正仿宋_GBK" w:hAnsi="宋体" w:eastAsia="方正仿宋_GBK"/>
                <w:sz w:val="21"/>
                <w:szCs w:val="24"/>
              </w:rPr>
              <w:t>响应情况</w:t>
            </w:r>
            <w:bookmarkEnd w:id="252"/>
            <w:bookmarkEnd w:id="253"/>
            <w:bookmarkEnd w:id="254"/>
            <w:bookmarkEnd w:id="255"/>
            <w:bookmarkEnd w:id="256"/>
            <w:bookmarkEnd w:id="257"/>
          </w:p>
        </w:tc>
        <w:tc>
          <w:tcPr>
            <w:tcW w:w="2355" w:type="dxa"/>
            <w:vAlign w:val="center"/>
          </w:tcPr>
          <w:p w14:paraId="55583978">
            <w:pPr>
              <w:tabs>
                <w:tab w:val="left" w:pos="6300"/>
              </w:tabs>
              <w:snapToGrid w:val="0"/>
              <w:spacing w:line="360" w:lineRule="auto"/>
              <w:jc w:val="center"/>
              <w:outlineLvl w:val="0"/>
              <w:rPr>
                <w:rFonts w:ascii="方正仿宋_GBK" w:hAnsi="宋体" w:eastAsia="方正仿宋_GBK"/>
                <w:sz w:val="21"/>
                <w:szCs w:val="24"/>
              </w:rPr>
            </w:pPr>
            <w:bookmarkStart w:id="258" w:name="_Toc8791"/>
            <w:bookmarkStart w:id="259" w:name="_Toc20948"/>
            <w:bookmarkStart w:id="260" w:name="_Toc26640"/>
            <w:bookmarkStart w:id="261" w:name="_Toc451"/>
            <w:bookmarkStart w:id="262" w:name="_Toc24777"/>
            <w:bookmarkStart w:id="263" w:name="_Toc9832"/>
            <w:r>
              <w:rPr>
                <w:rFonts w:hint="eastAsia" w:ascii="方正仿宋_GBK" w:hAnsi="宋体" w:eastAsia="方正仿宋_GBK"/>
                <w:sz w:val="21"/>
                <w:szCs w:val="24"/>
              </w:rPr>
              <w:t>偏离说明</w:t>
            </w:r>
            <w:bookmarkEnd w:id="258"/>
            <w:bookmarkEnd w:id="259"/>
            <w:bookmarkEnd w:id="260"/>
            <w:bookmarkEnd w:id="261"/>
            <w:bookmarkEnd w:id="262"/>
            <w:bookmarkEnd w:id="263"/>
          </w:p>
        </w:tc>
      </w:tr>
      <w:tr w14:paraId="0054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E7D232">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3716817">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color w:val="FF0000"/>
                <w:sz w:val="21"/>
                <w:szCs w:val="21"/>
                <w:lang w:val="en-US" w:eastAsia="zh-CN"/>
              </w:rPr>
              <w:t>按第四篇逐条响应，自行粘贴</w:t>
            </w:r>
          </w:p>
        </w:tc>
        <w:tc>
          <w:tcPr>
            <w:tcW w:w="2434" w:type="dxa"/>
            <w:vAlign w:val="center"/>
          </w:tcPr>
          <w:p w14:paraId="4CB913B7">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7FCAC976">
            <w:pPr>
              <w:tabs>
                <w:tab w:val="left" w:pos="6300"/>
              </w:tabs>
              <w:snapToGrid w:val="0"/>
              <w:spacing w:line="360" w:lineRule="auto"/>
              <w:jc w:val="center"/>
              <w:outlineLvl w:val="0"/>
              <w:rPr>
                <w:rFonts w:ascii="方正仿宋_GBK" w:hAnsi="宋体" w:eastAsia="方正仿宋_GBK"/>
                <w:sz w:val="21"/>
                <w:szCs w:val="24"/>
              </w:rPr>
            </w:pPr>
          </w:p>
        </w:tc>
      </w:tr>
      <w:tr w14:paraId="7CFC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9060C83">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FA21949">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087606F">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9B72607">
            <w:pPr>
              <w:tabs>
                <w:tab w:val="left" w:pos="6300"/>
              </w:tabs>
              <w:snapToGrid w:val="0"/>
              <w:spacing w:line="360" w:lineRule="auto"/>
              <w:jc w:val="center"/>
              <w:outlineLvl w:val="0"/>
              <w:rPr>
                <w:rFonts w:ascii="方正仿宋_GBK" w:hAnsi="宋体" w:eastAsia="方正仿宋_GBK"/>
                <w:sz w:val="21"/>
                <w:szCs w:val="24"/>
              </w:rPr>
            </w:pPr>
          </w:p>
        </w:tc>
      </w:tr>
      <w:tr w14:paraId="298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F3009C">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BB5CCB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A2A9AEA">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1EBF5538">
            <w:pPr>
              <w:tabs>
                <w:tab w:val="left" w:pos="6300"/>
              </w:tabs>
              <w:snapToGrid w:val="0"/>
              <w:spacing w:line="360" w:lineRule="auto"/>
              <w:jc w:val="center"/>
              <w:outlineLvl w:val="0"/>
              <w:rPr>
                <w:rFonts w:ascii="方正仿宋_GBK" w:hAnsi="宋体" w:eastAsia="方正仿宋_GBK"/>
                <w:sz w:val="21"/>
                <w:szCs w:val="24"/>
              </w:rPr>
            </w:pPr>
          </w:p>
        </w:tc>
      </w:tr>
      <w:tr w14:paraId="6523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7F56E9">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299191D2">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664481A">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2D453DC1">
            <w:pPr>
              <w:tabs>
                <w:tab w:val="left" w:pos="6300"/>
              </w:tabs>
              <w:snapToGrid w:val="0"/>
              <w:spacing w:line="360" w:lineRule="auto"/>
              <w:jc w:val="center"/>
              <w:outlineLvl w:val="0"/>
              <w:rPr>
                <w:rFonts w:ascii="方正仿宋_GBK" w:hAnsi="宋体" w:eastAsia="方正仿宋_GBK"/>
                <w:sz w:val="21"/>
                <w:szCs w:val="24"/>
              </w:rPr>
            </w:pPr>
          </w:p>
        </w:tc>
      </w:tr>
      <w:tr w14:paraId="40F1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82599D">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AE522A6">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31A2E8D">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AAB6E50">
            <w:pPr>
              <w:tabs>
                <w:tab w:val="left" w:pos="6300"/>
              </w:tabs>
              <w:snapToGrid w:val="0"/>
              <w:spacing w:line="360" w:lineRule="auto"/>
              <w:jc w:val="center"/>
              <w:outlineLvl w:val="0"/>
              <w:rPr>
                <w:rFonts w:ascii="方正仿宋_GBK" w:hAnsi="宋体" w:eastAsia="方正仿宋_GBK"/>
                <w:sz w:val="21"/>
                <w:szCs w:val="24"/>
              </w:rPr>
            </w:pPr>
          </w:p>
        </w:tc>
      </w:tr>
      <w:tr w14:paraId="1E0A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C54AB6">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3FF717C3">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15C05AB">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59B691C">
            <w:pPr>
              <w:tabs>
                <w:tab w:val="left" w:pos="6300"/>
              </w:tabs>
              <w:snapToGrid w:val="0"/>
              <w:spacing w:line="360" w:lineRule="auto"/>
              <w:jc w:val="center"/>
              <w:outlineLvl w:val="0"/>
              <w:rPr>
                <w:rFonts w:ascii="方正仿宋_GBK" w:hAnsi="宋体" w:eastAsia="方正仿宋_GBK"/>
                <w:sz w:val="21"/>
                <w:szCs w:val="24"/>
              </w:rPr>
            </w:pPr>
          </w:p>
        </w:tc>
      </w:tr>
    </w:tbl>
    <w:p w14:paraId="168FFC20">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1FB1C9E8">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（供应商公章）                                 （签字或盖章）</w:t>
      </w:r>
    </w:p>
    <w:p w14:paraId="112A838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EFC4FD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5BB6C7F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项目服务需求”中所列服务要求进行比较和响应；</w:t>
      </w:r>
    </w:p>
    <w:p w14:paraId="577F75E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2、该表必须按照询价要求逐条如实填写，根据响应情况在“差异说明”项填写正偏离或负偏离及原因，完全符合的填写“无差异”；</w:t>
      </w:r>
    </w:p>
    <w:p w14:paraId="358DA22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bookmarkEnd w:id="245"/>
      <w:bookmarkStart w:id="264" w:name="_Toc403569801"/>
      <w:bookmarkStart w:id="265" w:name="_Toc313888363"/>
      <w:bookmarkStart w:id="266" w:name="_Toc313008359"/>
      <w:bookmarkStart w:id="267" w:name="_Toc342913422"/>
    </w:p>
    <w:p w14:paraId="1B85AED6">
      <w:pPr>
        <w:pageBreakBefore/>
        <w:tabs>
          <w:tab w:val="left" w:pos="6300"/>
        </w:tabs>
        <w:snapToGrid w:val="0"/>
        <w:spacing w:line="50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rPr>
        <w:t>三、资格条件及其他</w:t>
      </w:r>
      <w:bookmarkEnd w:id="264"/>
      <w:bookmarkEnd w:id="265"/>
      <w:bookmarkEnd w:id="266"/>
      <w:bookmarkEnd w:id="267"/>
    </w:p>
    <w:p w14:paraId="4660FA9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38A325C8">
      <w:pPr>
        <w:tabs>
          <w:tab w:val="left" w:pos="6300"/>
        </w:tabs>
        <w:snapToGrid w:val="0"/>
        <w:spacing w:line="360" w:lineRule="auto"/>
        <w:ind w:left="480"/>
        <w:rPr>
          <w:rFonts w:ascii="方正仿宋_GBK" w:hAnsi="宋体" w:eastAsia="方正仿宋_GBK"/>
          <w:sz w:val="24"/>
          <w:szCs w:val="24"/>
        </w:rPr>
      </w:pPr>
      <w:r>
        <w:rPr>
          <w:rFonts w:hint="eastAsia" w:ascii="方正仿宋_GBK" w:hAnsi="宋体" w:eastAsia="方正仿宋_GBK"/>
          <w:sz w:val="24"/>
          <w:szCs w:val="24"/>
        </w:rPr>
        <w:t>1、法定代表人身份证明书</w:t>
      </w:r>
    </w:p>
    <w:p w14:paraId="5F88122B">
      <w:pPr>
        <w:tabs>
          <w:tab w:val="left" w:pos="6300"/>
        </w:tabs>
        <w:snapToGrid w:val="0"/>
        <w:spacing w:line="360" w:lineRule="auto"/>
        <w:ind w:left="480"/>
        <w:rPr>
          <w:rFonts w:ascii="方正仿宋_GBK" w:hAnsi="宋体" w:eastAsia="方正仿宋_GBK"/>
          <w:sz w:val="24"/>
          <w:szCs w:val="24"/>
        </w:rPr>
      </w:pPr>
      <w:r>
        <w:rPr>
          <w:rFonts w:hint="eastAsia" w:ascii="方正仿宋_GBK" w:hAnsi="宋体" w:eastAsia="方正仿宋_GBK"/>
          <w:sz w:val="24"/>
          <w:szCs w:val="24"/>
        </w:rPr>
        <w:t>2、法定代表人授权委托书</w:t>
      </w:r>
    </w:p>
    <w:p w14:paraId="6BE12F2A">
      <w:pPr>
        <w:tabs>
          <w:tab w:val="left" w:pos="6300"/>
        </w:tabs>
        <w:snapToGrid w:val="0"/>
        <w:spacing w:line="360" w:lineRule="auto"/>
        <w:ind w:left="480"/>
        <w:rPr>
          <w:rFonts w:ascii="方正仿宋_GBK" w:hAnsi="宋体" w:eastAsia="方正仿宋_GBK"/>
          <w:sz w:val="24"/>
          <w:szCs w:val="24"/>
        </w:rPr>
      </w:pPr>
      <w:r>
        <w:rPr>
          <w:rFonts w:hint="eastAsia" w:ascii="方正仿宋_GBK" w:hAnsi="宋体" w:eastAsia="方正仿宋_GBK"/>
          <w:sz w:val="24"/>
          <w:szCs w:val="24"/>
        </w:rPr>
        <w:t>3、营业执照复印件</w:t>
      </w:r>
    </w:p>
    <w:p w14:paraId="4A0A42FB">
      <w:pPr>
        <w:pStyle w:val="20"/>
        <w:ind w:firstLine="480" w:firstLineChars="200"/>
        <w:rPr>
          <w:rFonts w:ascii="方正仿宋_GBK" w:hAnsi="宋体" w:eastAsia="方正仿宋_GBK" w:cs="Times New Roman"/>
          <w:color w:val="auto"/>
          <w:kern w:val="2"/>
        </w:rPr>
      </w:pPr>
      <w:r>
        <w:rPr>
          <w:rFonts w:hint="eastAsia" w:ascii="方正仿宋_GBK" w:hAnsi="宋体" w:eastAsia="方正仿宋_GBK" w:cs="Times New Roman"/>
          <w:color w:val="auto"/>
          <w:kern w:val="2"/>
        </w:rPr>
        <w:t>4、基本资格条件承诺函</w:t>
      </w:r>
    </w:p>
    <w:p w14:paraId="1B832ECF">
      <w:pPr>
        <w:pageBreakBefore/>
        <w:snapToGrid w:val="0"/>
        <w:spacing w:line="360" w:lineRule="auto"/>
        <w:jc w:val="center"/>
        <w:rPr>
          <w:rFonts w:ascii="方正小标宋_GBK" w:eastAsia="方正小标宋_GBK"/>
          <w:sz w:val="32"/>
          <w:szCs w:val="32"/>
        </w:rPr>
      </w:pPr>
      <w:bookmarkStart w:id="268" w:name="_Toc28358"/>
      <w:bookmarkStart w:id="269" w:name="_Toc7595"/>
      <w:bookmarkStart w:id="270" w:name="_Toc27987"/>
      <w:bookmarkStart w:id="271" w:name="_Toc29012"/>
      <w:r>
        <w:rPr>
          <w:rFonts w:hint="eastAsia" w:ascii="方正小标宋_GBK" w:eastAsia="方正小标宋_GBK"/>
          <w:sz w:val="32"/>
          <w:szCs w:val="32"/>
        </w:rPr>
        <w:t>1.1法定代表人身份证明书（格式）</w:t>
      </w:r>
      <w:bookmarkEnd w:id="268"/>
      <w:bookmarkEnd w:id="269"/>
      <w:bookmarkEnd w:id="270"/>
      <w:bookmarkEnd w:id="271"/>
    </w:p>
    <w:p w14:paraId="5F24D096">
      <w:pPr>
        <w:tabs>
          <w:tab w:val="left" w:pos="6300"/>
        </w:tabs>
        <w:snapToGrid w:val="0"/>
        <w:spacing w:line="360" w:lineRule="auto"/>
        <w:rPr>
          <w:rFonts w:ascii="方正仿宋_GBK" w:hAnsi="宋体" w:eastAsia="方正仿宋_GBK"/>
          <w:sz w:val="24"/>
          <w:szCs w:val="24"/>
        </w:rPr>
      </w:pPr>
    </w:p>
    <w:p w14:paraId="5CD00F01">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38EBD47C">
      <w:pPr>
        <w:tabs>
          <w:tab w:val="left" w:pos="6300"/>
        </w:tabs>
        <w:snapToGrid w:val="0"/>
        <w:spacing w:line="360" w:lineRule="auto"/>
        <w:ind w:firstLine="573"/>
        <w:rPr>
          <w:rFonts w:ascii="方正仿宋_GBK" w:hAnsi="宋体" w:eastAsia="方正仿宋_GBK"/>
          <w:sz w:val="24"/>
          <w:szCs w:val="24"/>
        </w:rPr>
      </w:pPr>
    </w:p>
    <w:p w14:paraId="7894D504">
      <w:pPr>
        <w:tabs>
          <w:tab w:val="left" w:pos="6300"/>
        </w:tabs>
        <w:snapToGrid w:val="0"/>
        <w:spacing w:line="360" w:lineRule="auto"/>
        <w:ind w:firstLine="573"/>
        <w:outlineLvl w:val="0"/>
        <w:rPr>
          <w:rFonts w:ascii="方正仿宋_GBK" w:hAnsi="宋体" w:eastAsia="方正仿宋_GBK"/>
          <w:sz w:val="24"/>
          <w:szCs w:val="24"/>
        </w:rPr>
      </w:pPr>
      <w:bookmarkStart w:id="272" w:name="_Toc14101"/>
      <w:bookmarkStart w:id="273" w:name="_Toc18407"/>
      <w:bookmarkStart w:id="274" w:name="_Toc4600"/>
      <w:bookmarkStart w:id="275" w:name="_Toc28673"/>
      <w:bookmarkStart w:id="276" w:name="_Toc23275"/>
      <w:bookmarkStart w:id="277" w:name="_Toc14031"/>
      <w:r>
        <w:rPr>
          <w:rFonts w:hint="eastAsia" w:ascii="方正仿宋_GBK" w:hAnsi="宋体" w:eastAsia="方正仿宋_GBK"/>
          <w:sz w:val="24"/>
          <w:szCs w:val="24"/>
        </w:rPr>
        <w:t>特此证明。</w:t>
      </w:r>
      <w:bookmarkEnd w:id="272"/>
      <w:bookmarkEnd w:id="273"/>
      <w:bookmarkEnd w:id="274"/>
      <w:bookmarkEnd w:id="275"/>
      <w:bookmarkEnd w:id="276"/>
      <w:bookmarkEnd w:id="277"/>
    </w:p>
    <w:p w14:paraId="2DE208DF">
      <w:pPr>
        <w:tabs>
          <w:tab w:val="left" w:pos="6300"/>
        </w:tabs>
        <w:snapToGrid w:val="0"/>
        <w:spacing w:line="360" w:lineRule="auto"/>
        <w:rPr>
          <w:rFonts w:ascii="方正仿宋_GBK" w:hAnsi="宋体" w:eastAsia="方正仿宋_GBK"/>
          <w:sz w:val="24"/>
          <w:szCs w:val="24"/>
        </w:rPr>
      </w:pPr>
    </w:p>
    <w:p w14:paraId="7B610F52">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w:t>
      </w:r>
      <w:bookmarkStart w:id="278" w:name="_Toc28540"/>
      <w:bookmarkStart w:id="279" w:name="_Toc21033"/>
      <w:bookmarkStart w:id="280" w:name="_Toc8047"/>
      <w:bookmarkStart w:id="281" w:name="_Toc10722"/>
      <w:bookmarkStart w:id="282" w:name="_Toc3999"/>
      <w:bookmarkStart w:id="283" w:name="_Toc9179"/>
      <w:r>
        <w:rPr>
          <w:rFonts w:hint="eastAsia" w:ascii="方正仿宋_GBK" w:hAnsi="宋体" w:eastAsia="方正仿宋_GBK"/>
          <w:sz w:val="24"/>
          <w:szCs w:val="24"/>
        </w:rPr>
        <w:t>（供应商全称）</w:t>
      </w:r>
      <w:bookmarkEnd w:id="278"/>
      <w:bookmarkEnd w:id="279"/>
      <w:bookmarkEnd w:id="280"/>
      <w:bookmarkEnd w:id="281"/>
      <w:bookmarkEnd w:id="282"/>
      <w:bookmarkEnd w:id="283"/>
    </w:p>
    <w:p w14:paraId="546918AF">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75297D65">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3D061D69">
      <w:pPr>
        <w:tabs>
          <w:tab w:val="left" w:pos="6300"/>
        </w:tabs>
        <w:snapToGrid w:val="0"/>
        <w:spacing w:line="360" w:lineRule="auto"/>
        <w:rPr>
          <w:rFonts w:ascii="方正仿宋_GBK" w:hAnsi="宋体" w:eastAsia="方正仿宋_GBK"/>
          <w:sz w:val="24"/>
          <w:szCs w:val="24"/>
        </w:rPr>
      </w:pPr>
    </w:p>
    <w:p w14:paraId="3170B577">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1BA14D37">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6FD83AEF">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3DC30EB5">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1DDC262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6AC81776">
      <w:pPr>
        <w:tabs>
          <w:tab w:val="left" w:pos="6300"/>
        </w:tabs>
        <w:snapToGrid w:val="0"/>
        <w:spacing w:line="500" w:lineRule="exact"/>
        <w:ind w:firstLine="570"/>
        <w:rPr>
          <w:rFonts w:ascii="方正仿宋_GBK" w:eastAsia="方正仿宋_GBK"/>
        </w:rPr>
      </w:pPr>
      <w:r>
        <w:rPr>
          <w:rFonts w:hint="eastAsia" w:ascii="方正仿宋_GBK" w:hAnsi="宋体" w:eastAsia="方正仿宋_GBK"/>
          <w:sz w:val="24"/>
          <w:szCs w:val="28"/>
        </w:rPr>
        <w:t>（附：法定代表人身份证正反面复印件）</w:t>
      </w:r>
    </w:p>
    <w:p w14:paraId="26547E00">
      <w:pPr>
        <w:pageBreakBefore/>
        <w:snapToGrid w:val="0"/>
        <w:spacing w:line="360" w:lineRule="auto"/>
        <w:jc w:val="center"/>
        <w:rPr>
          <w:rFonts w:ascii="方正小标宋_GBK" w:eastAsia="方正小标宋_GBK"/>
          <w:sz w:val="32"/>
          <w:szCs w:val="32"/>
        </w:rPr>
      </w:pPr>
      <w:bookmarkStart w:id="284" w:name="_Toc701"/>
      <w:bookmarkStart w:id="285" w:name="_Toc989"/>
      <w:bookmarkStart w:id="286" w:name="_Toc26607"/>
      <w:bookmarkStart w:id="287" w:name="_Toc10015"/>
      <w:r>
        <w:rPr>
          <w:rFonts w:hint="eastAsia" w:ascii="方正小标宋_GBK" w:eastAsia="方正小标宋_GBK"/>
          <w:sz w:val="32"/>
          <w:szCs w:val="32"/>
        </w:rPr>
        <w:t>1.2法定代表人授权委托书（格式）</w:t>
      </w:r>
      <w:bookmarkEnd w:id="284"/>
      <w:bookmarkEnd w:id="285"/>
      <w:bookmarkEnd w:id="286"/>
      <w:bookmarkEnd w:id="287"/>
    </w:p>
    <w:p w14:paraId="336B9CAE">
      <w:pPr>
        <w:tabs>
          <w:tab w:val="left" w:pos="6300"/>
        </w:tabs>
        <w:snapToGrid w:val="0"/>
        <w:spacing w:line="360" w:lineRule="auto"/>
        <w:rPr>
          <w:rFonts w:ascii="方正仿宋_GBK" w:hAnsi="宋体" w:eastAsia="方正仿宋_GBK"/>
          <w:sz w:val="24"/>
          <w:szCs w:val="24"/>
        </w:rPr>
      </w:pPr>
    </w:p>
    <w:p w14:paraId="5CA58772">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2878DCEA">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6ED3EA53">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致：_____________________（询价代理机构名称）</w:t>
      </w:r>
    </w:p>
    <w:p w14:paraId="2F28A7BF">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0FF0FD46">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_________（供应商法定代表人姓名）特授权_________（被授权人姓名及身份证代码）代表我单位全权办理对上述项目的谈判、签约等具体工作，并签署全部有关的文件、协议及合同。</w:t>
      </w:r>
    </w:p>
    <w:p w14:paraId="1977F1F1">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6D890AF3">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2B625A35">
      <w:pPr>
        <w:tabs>
          <w:tab w:val="left" w:pos="6300"/>
        </w:tabs>
        <w:snapToGrid w:val="0"/>
        <w:spacing w:line="360" w:lineRule="auto"/>
        <w:rPr>
          <w:rFonts w:ascii="方正仿宋_GBK" w:hAnsi="宋体" w:eastAsia="方正仿宋_GBK"/>
          <w:sz w:val="24"/>
          <w:szCs w:val="24"/>
        </w:rPr>
      </w:pPr>
    </w:p>
    <w:p w14:paraId="4046B376">
      <w:pPr>
        <w:tabs>
          <w:tab w:val="left" w:pos="6300"/>
        </w:tabs>
        <w:snapToGrid w:val="0"/>
        <w:spacing w:line="360" w:lineRule="auto"/>
        <w:rPr>
          <w:rFonts w:ascii="方正仿宋_GBK" w:hAnsi="宋体" w:eastAsia="方正仿宋_GBK"/>
          <w:sz w:val="24"/>
          <w:szCs w:val="24"/>
        </w:rPr>
      </w:pPr>
    </w:p>
    <w:p w14:paraId="32D832CE">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14048418">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7BBB81C0">
      <w:pPr>
        <w:tabs>
          <w:tab w:val="left" w:pos="6300"/>
        </w:tabs>
        <w:snapToGrid w:val="0"/>
        <w:spacing w:line="500" w:lineRule="exact"/>
        <w:ind w:firstLine="570"/>
        <w:rPr>
          <w:rFonts w:ascii="方正仿宋_GBK" w:hAnsi="宋体" w:eastAsia="方正仿宋_GBK"/>
          <w:sz w:val="24"/>
          <w:szCs w:val="28"/>
        </w:rPr>
      </w:pPr>
    </w:p>
    <w:p w14:paraId="3DF727BB">
      <w:pPr>
        <w:tabs>
          <w:tab w:val="left" w:pos="6300"/>
        </w:tabs>
        <w:snapToGrid w:val="0"/>
        <w:spacing w:line="500" w:lineRule="exact"/>
        <w:ind w:firstLine="570"/>
        <w:rPr>
          <w:rFonts w:ascii="方正仿宋_GBK" w:hAnsi="宋体" w:eastAsia="方正仿宋_GBK"/>
          <w:sz w:val="24"/>
          <w:szCs w:val="28"/>
        </w:rPr>
      </w:pPr>
      <w:bookmarkStart w:id="288" w:name="OLE_LINK4"/>
      <w:bookmarkStart w:id="289" w:name="OLE_LINK3"/>
      <w:r>
        <w:rPr>
          <w:rFonts w:hint="eastAsia" w:ascii="方正仿宋_GBK" w:hAnsi="宋体" w:eastAsia="方正仿宋_GBK"/>
          <w:sz w:val="24"/>
          <w:szCs w:val="28"/>
        </w:rPr>
        <w:t>（附：被授权人身份证正反面复印件）</w:t>
      </w:r>
      <w:bookmarkEnd w:id="288"/>
      <w:bookmarkEnd w:id="289"/>
    </w:p>
    <w:p w14:paraId="59E89460">
      <w:pPr>
        <w:tabs>
          <w:tab w:val="left" w:pos="6300"/>
        </w:tabs>
        <w:snapToGrid w:val="0"/>
        <w:spacing w:line="360" w:lineRule="auto"/>
        <w:rPr>
          <w:rFonts w:ascii="方正仿宋_GBK" w:hAnsi="宋体" w:eastAsia="方正仿宋_GBK"/>
          <w:sz w:val="24"/>
          <w:szCs w:val="24"/>
        </w:rPr>
      </w:pPr>
    </w:p>
    <w:p w14:paraId="2A56A37B">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2DC81D0F">
      <w:pPr>
        <w:snapToGrid w:val="0"/>
        <w:spacing w:line="360" w:lineRule="auto"/>
        <w:ind w:firstLine="6480" w:firstLineChars="2700"/>
        <w:jc w:val="center"/>
        <w:rPr>
          <w:rFonts w:ascii="方正仿宋_GBK" w:hAnsi="宋体" w:eastAsia="方正仿宋_GBK"/>
          <w:sz w:val="24"/>
          <w:szCs w:val="24"/>
        </w:rPr>
      </w:pPr>
      <w:r>
        <w:rPr>
          <w:rFonts w:hint="eastAsia" w:ascii="方正仿宋_GBK" w:hAnsi="宋体" w:eastAsia="方正仿宋_GBK"/>
          <w:sz w:val="24"/>
          <w:szCs w:val="28"/>
        </w:rPr>
        <w:t>年   月   日</w:t>
      </w:r>
      <w:r>
        <w:rPr>
          <w:rFonts w:hint="eastAsia" w:ascii="方正仿宋_GBK" w:hAnsi="宋体" w:eastAsia="方正仿宋_GBK"/>
          <w:sz w:val="24"/>
          <w:szCs w:val="24"/>
        </w:rPr>
        <w:br w:type="page"/>
      </w:r>
      <w:r>
        <w:rPr>
          <w:rFonts w:hint="eastAsia" w:ascii="方正小标宋_GBK" w:eastAsia="方正小标宋_GBK"/>
          <w:sz w:val="32"/>
          <w:szCs w:val="32"/>
        </w:rPr>
        <w:t>1.3营业执照复印件</w:t>
      </w:r>
    </w:p>
    <w:p w14:paraId="07D4B672">
      <w:pPr>
        <w:pageBreakBefore/>
        <w:jc w:val="center"/>
        <w:rPr>
          <w:sz w:val="24"/>
          <w:szCs w:val="18"/>
        </w:rPr>
      </w:pPr>
      <w:r>
        <w:rPr>
          <w:rFonts w:hint="eastAsia" w:ascii="方正小标宋_GBK" w:eastAsia="方正小标宋_GBK"/>
          <w:sz w:val="32"/>
          <w:szCs w:val="32"/>
        </w:rPr>
        <w:t>1.4基本资格条件承诺函</w:t>
      </w:r>
    </w:p>
    <w:p w14:paraId="5CB26D36">
      <w:pPr>
        <w:jc w:val="left"/>
        <w:rPr>
          <w:sz w:val="24"/>
          <w:szCs w:val="18"/>
        </w:rPr>
      </w:pPr>
    </w:p>
    <w:p w14:paraId="27AC8844">
      <w:pPr>
        <w:adjustRightInd w:val="0"/>
        <w:snapToGrid w:val="0"/>
        <w:spacing w:line="560" w:lineRule="exact"/>
        <w:ind w:firstLine="480" w:firstLineChars="200"/>
        <w:rPr>
          <w:sz w:val="24"/>
          <w:szCs w:val="18"/>
        </w:rPr>
      </w:pPr>
    </w:p>
    <w:p w14:paraId="4D44298E">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致</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ascii="方正仿宋_GBK" w:eastAsia="方正仿宋_GBK"/>
          <w:sz w:val="24"/>
          <w:szCs w:val="24"/>
          <w:u w:val="single"/>
        </w:rPr>
        <w:t xml:space="preserve"> </w:t>
      </w:r>
      <w:r>
        <w:rPr>
          <w:rFonts w:hint="eastAsia" w:ascii="方正仿宋_GBK" w:eastAsia="方正仿宋_GBK"/>
          <w:sz w:val="24"/>
          <w:szCs w:val="24"/>
        </w:rPr>
        <w:t>:</w:t>
      </w:r>
    </w:p>
    <w:p w14:paraId="64253667">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__________ (供应商名称)郑重承诺:</w:t>
      </w:r>
    </w:p>
    <w:p w14:paraId="2C3E9353">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1.我方具有良好的商业信誉和健全的财务会计制度，具有履行合同所必需的设备和专业技术能力,具有依法缴纳税收和社会.保障金的良好记录,参加本项目询价活动前三年内无重大违法活动记录。</w:t>
      </w:r>
    </w:p>
    <w:p w14:paraId="1AB3B8B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)“失信被执行人”、“重大税收违法案件当事人名单”中，也未列入中国政府询价网( </w:t>
      </w:r>
      <w:r>
        <w:rPr>
          <w:rFonts w:hint="eastAsia" w:ascii="方正仿宋_GBK" w:eastAsia="方正仿宋_GBK"/>
          <w:sz w:val="24"/>
          <w:szCs w:val="24"/>
        </w:rPr>
        <w:drawing>
          <wp:inline distT="0" distB="0" distL="0" distR="0">
            <wp:extent cx="189865" cy="146685"/>
            <wp:effectExtent l="0" t="0" r="635" b="5715"/>
            <wp:docPr id="5" name="图片 5"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wwwccgp.gov.cn)“政府询价严重违法失信行为记录名单”中。</w:t>
      </w:r>
    </w:p>
    <w:p w14:paraId="4CAA9399">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3.我方在询价项目评审(评标)环节结束后，随时接受医院、询价代理机构的检查验证，配合提供相关证明材料，证明符合《中华人民共和国政府询价法》规定的中选供应商基本资格条件。</w:t>
      </w:r>
    </w:p>
    <w:p w14:paraId="6BC052CB">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5D7CFDCC">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7451B52B">
      <w:pPr>
        <w:pStyle w:val="20"/>
      </w:pPr>
    </w:p>
    <w:p w14:paraId="5F9C2A74">
      <w:pPr>
        <w:snapToGrid w:val="0"/>
        <w:spacing w:line="560" w:lineRule="exact"/>
        <w:ind w:firstLine="6000" w:firstLineChars="2500"/>
        <w:rPr>
          <w:rFonts w:ascii="方正仿宋_GBK" w:eastAsia="方正仿宋_GBK"/>
          <w:sz w:val="24"/>
          <w:szCs w:val="24"/>
        </w:rPr>
      </w:pPr>
      <w:r>
        <w:rPr>
          <w:rFonts w:hint="eastAsia" w:ascii="方正仿宋_GBK" w:eastAsia="方正仿宋_GBK"/>
          <w:sz w:val="24"/>
          <w:szCs w:val="24"/>
        </w:rPr>
        <w:t>(供应商公章)</w:t>
      </w:r>
    </w:p>
    <w:p w14:paraId="7DDE4D51">
      <w:pPr>
        <w:snapToGrid w:val="0"/>
        <w:spacing w:line="560" w:lineRule="exact"/>
        <w:ind w:firstLine="6000" w:firstLineChars="2500"/>
        <w:rPr>
          <w:rFonts w:ascii="方正仿宋_GBK" w:hAnsi="宋体" w:eastAsia="方正仿宋_GBK"/>
        </w:rPr>
      </w:pPr>
      <w:r>
        <w:rPr>
          <w:rFonts w:hint="eastAsia" w:ascii="方正仿宋_GBK" w:eastAsia="方正仿宋_GBK"/>
          <w:sz w:val="24"/>
          <w:szCs w:val="24"/>
        </w:rPr>
        <w:t>年  月  日</w:t>
      </w:r>
    </w:p>
    <w:p w14:paraId="1EA59817">
      <w:pPr>
        <w:pageBreakBefore/>
        <w:numPr>
          <w:ilvl w:val="255"/>
          <w:numId w:val="0"/>
        </w:numPr>
        <w:spacing w:line="360" w:lineRule="auto"/>
        <w:ind w:firstLine="480" w:firstLineChars="200"/>
      </w:pPr>
      <w:r>
        <w:rPr>
          <w:rFonts w:hint="eastAsia" w:ascii="方正仿宋_GBK" w:hAnsi="宋体" w:eastAsia="方正仿宋_GBK"/>
          <w:sz w:val="24"/>
          <w:szCs w:val="24"/>
        </w:rPr>
        <w:t>（二）特定资格条件证书或证明文件</w:t>
      </w: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0722594"/>
    </w:sdtPr>
    <w:sdtContent>
      <w:sdt>
        <w:sdtPr>
          <w:id w:val="1264495695"/>
        </w:sdtPr>
        <w:sdtContent>
          <w:p w14:paraId="55FB4EC2">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14:paraId="31F9BB1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324549"/>
    </w:sdtPr>
    <w:sdtContent>
      <w:sdt>
        <w:sdtPr>
          <w:id w:val="1728636285"/>
        </w:sdtPr>
        <w:sdtContent>
          <w:p w14:paraId="5A109247">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14:paraId="2B2644C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22D6">
    <w:pPr>
      <w:pStyle w:val="13"/>
      <w:jc w:val="both"/>
    </w:pPr>
    <w:r>
      <w:rPr>
        <w:rFonts w:hint="eastAsia" w:ascii="方正仿宋_GBK" w:eastAsia="方正仿宋_GBK"/>
        <w:color w:val="FF0000"/>
        <w:sz w:val="21"/>
        <w:szCs w:val="21"/>
      </w:rPr>
      <w:t>重庆市合川区妇幼保健院                                                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5E68">
    <w:pPr>
      <w:pStyle w:val="13"/>
      <w:jc w:val="both"/>
    </w:pPr>
    <w:r>
      <w:rPr>
        <w:rFonts w:hint="eastAsia" w:ascii="方正仿宋_GBK" w:eastAsia="方正仿宋_GBK"/>
        <w:color w:val="FF0000"/>
        <w:sz w:val="21"/>
        <w:szCs w:val="21"/>
      </w:rPr>
      <w:t>重庆市合川区妇幼保健院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712C"/>
    <w:multiLevelType w:val="singleLevel"/>
    <w:tmpl w:val="CA9F71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s>
  <w:rsids>
    <w:rsidRoot w:val="00A70E28"/>
    <w:rsid w:val="00030397"/>
    <w:rsid w:val="00030436"/>
    <w:rsid w:val="000307C3"/>
    <w:rsid w:val="000521BB"/>
    <w:rsid w:val="00052DDF"/>
    <w:rsid w:val="00084454"/>
    <w:rsid w:val="000D463D"/>
    <w:rsid w:val="000F532E"/>
    <w:rsid w:val="001066D1"/>
    <w:rsid w:val="0011333D"/>
    <w:rsid w:val="00135FFB"/>
    <w:rsid w:val="00174315"/>
    <w:rsid w:val="00187DF1"/>
    <w:rsid w:val="00196EC2"/>
    <w:rsid w:val="001B11E0"/>
    <w:rsid w:val="001D3A95"/>
    <w:rsid w:val="001D4A96"/>
    <w:rsid w:val="001D6072"/>
    <w:rsid w:val="001E7331"/>
    <w:rsid w:val="002914D1"/>
    <w:rsid w:val="002A2619"/>
    <w:rsid w:val="002B18E6"/>
    <w:rsid w:val="002F202B"/>
    <w:rsid w:val="002F373B"/>
    <w:rsid w:val="0030753E"/>
    <w:rsid w:val="00311FA8"/>
    <w:rsid w:val="00312B06"/>
    <w:rsid w:val="00326450"/>
    <w:rsid w:val="00326909"/>
    <w:rsid w:val="00352EA8"/>
    <w:rsid w:val="003A7A3F"/>
    <w:rsid w:val="003B2BE6"/>
    <w:rsid w:val="004036E3"/>
    <w:rsid w:val="004156D6"/>
    <w:rsid w:val="00425739"/>
    <w:rsid w:val="00450C7B"/>
    <w:rsid w:val="0048565A"/>
    <w:rsid w:val="004946B5"/>
    <w:rsid w:val="004E198A"/>
    <w:rsid w:val="00501EFE"/>
    <w:rsid w:val="00512788"/>
    <w:rsid w:val="005252AC"/>
    <w:rsid w:val="005339DE"/>
    <w:rsid w:val="005C42D9"/>
    <w:rsid w:val="00604D2B"/>
    <w:rsid w:val="00605844"/>
    <w:rsid w:val="006265B1"/>
    <w:rsid w:val="00673DB3"/>
    <w:rsid w:val="00676497"/>
    <w:rsid w:val="00692173"/>
    <w:rsid w:val="006D3669"/>
    <w:rsid w:val="006D3EEE"/>
    <w:rsid w:val="006E160F"/>
    <w:rsid w:val="006E2FFB"/>
    <w:rsid w:val="006F1DD7"/>
    <w:rsid w:val="00704540"/>
    <w:rsid w:val="00715AD3"/>
    <w:rsid w:val="0072090E"/>
    <w:rsid w:val="0074416F"/>
    <w:rsid w:val="00773C57"/>
    <w:rsid w:val="00794ECC"/>
    <w:rsid w:val="00795A63"/>
    <w:rsid w:val="007B2F3D"/>
    <w:rsid w:val="00801B0A"/>
    <w:rsid w:val="00810201"/>
    <w:rsid w:val="00820D1F"/>
    <w:rsid w:val="008439AB"/>
    <w:rsid w:val="008A101C"/>
    <w:rsid w:val="008D3810"/>
    <w:rsid w:val="008E24EA"/>
    <w:rsid w:val="008E2806"/>
    <w:rsid w:val="008F4033"/>
    <w:rsid w:val="008F5AD4"/>
    <w:rsid w:val="00903968"/>
    <w:rsid w:val="00903AD3"/>
    <w:rsid w:val="009270B6"/>
    <w:rsid w:val="00963F3F"/>
    <w:rsid w:val="00972615"/>
    <w:rsid w:val="00995CA8"/>
    <w:rsid w:val="009978A7"/>
    <w:rsid w:val="009B4961"/>
    <w:rsid w:val="009D524B"/>
    <w:rsid w:val="009E6CB7"/>
    <w:rsid w:val="009F0D29"/>
    <w:rsid w:val="009F7E10"/>
    <w:rsid w:val="00A021E6"/>
    <w:rsid w:val="00A13F97"/>
    <w:rsid w:val="00A23731"/>
    <w:rsid w:val="00A5262D"/>
    <w:rsid w:val="00A54FD5"/>
    <w:rsid w:val="00A70E28"/>
    <w:rsid w:val="00A83971"/>
    <w:rsid w:val="00A84098"/>
    <w:rsid w:val="00A97FF0"/>
    <w:rsid w:val="00AC025B"/>
    <w:rsid w:val="00AC4AB4"/>
    <w:rsid w:val="00AF49BB"/>
    <w:rsid w:val="00B0210E"/>
    <w:rsid w:val="00B043B2"/>
    <w:rsid w:val="00B112A1"/>
    <w:rsid w:val="00B11AE3"/>
    <w:rsid w:val="00B16DF4"/>
    <w:rsid w:val="00B7143B"/>
    <w:rsid w:val="00B83AC8"/>
    <w:rsid w:val="00B860FD"/>
    <w:rsid w:val="00BA49F4"/>
    <w:rsid w:val="00BB0A9D"/>
    <w:rsid w:val="00BB6176"/>
    <w:rsid w:val="00BB64AD"/>
    <w:rsid w:val="00BE7FBA"/>
    <w:rsid w:val="00BF03FB"/>
    <w:rsid w:val="00C10613"/>
    <w:rsid w:val="00C434A0"/>
    <w:rsid w:val="00C52765"/>
    <w:rsid w:val="00C5306F"/>
    <w:rsid w:val="00C669AF"/>
    <w:rsid w:val="00C7723D"/>
    <w:rsid w:val="00C81D68"/>
    <w:rsid w:val="00C90439"/>
    <w:rsid w:val="00CA34E7"/>
    <w:rsid w:val="00CB0E34"/>
    <w:rsid w:val="00CB4593"/>
    <w:rsid w:val="00CB7525"/>
    <w:rsid w:val="00CC4542"/>
    <w:rsid w:val="00CF5006"/>
    <w:rsid w:val="00D2220D"/>
    <w:rsid w:val="00D32A2B"/>
    <w:rsid w:val="00D40148"/>
    <w:rsid w:val="00D440E3"/>
    <w:rsid w:val="00D613AB"/>
    <w:rsid w:val="00D72810"/>
    <w:rsid w:val="00D73C01"/>
    <w:rsid w:val="00D935E7"/>
    <w:rsid w:val="00DE0760"/>
    <w:rsid w:val="00DE20E2"/>
    <w:rsid w:val="00E266EB"/>
    <w:rsid w:val="00E5181D"/>
    <w:rsid w:val="00E647DA"/>
    <w:rsid w:val="00EB1CD6"/>
    <w:rsid w:val="00EE0B1C"/>
    <w:rsid w:val="00EE1BDF"/>
    <w:rsid w:val="00F163FD"/>
    <w:rsid w:val="00F3776E"/>
    <w:rsid w:val="00F733B2"/>
    <w:rsid w:val="00F91249"/>
    <w:rsid w:val="00F9324C"/>
    <w:rsid w:val="00FB4459"/>
    <w:rsid w:val="00FC1144"/>
    <w:rsid w:val="00FC6BE4"/>
    <w:rsid w:val="00FD3B68"/>
    <w:rsid w:val="00FD4F5D"/>
    <w:rsid w:val="00FF2A51"/>
    <w:rsid w:val="014359D0"/>
    <w:rsid w:val="015C3E59"/>
    <w:rsid w:val="01603547"/>
    <w:rsid w:val="018F700C"/>
    <w:rsid w:val="019A7776"/>
    <w:rsid w:val="01DE543F"/>
    <w:rsid w:val="01EE0AE5"/>
    <w:rsid w:val="028F0615"/>
    <w:rsid w:val="029D0CBB"/>
    <w:rsid w:val="038C52B0"/>
    <w:rsid w:val="03A57F3B"/>
    <w:rsid w:val="03B671A3"/>
    <w:rsid w:val="04445AD1"/>
    <w:rsid w:val="048E12E1"/>
    <w:rsid w:val="04952D3C"/>
    <w:rsid w:val="04EF1A87"/>
    <w:rsid w:val="051869D3"/>
    <w:rsid w:val="055C2C86"/>
    <w:rsid w:val="05E26F51"/>
    <w:rsid w:val="05FC2D9C"/>
    <w:rsid w:val="06503EDF"/>
    <w:rsid w:val="06A833D6"/>
    <w:rsid w:val="06E808E2"/>
    <w:rsid w:val="07C200B8"/>
    <w:rsid w:val="083F5EEB"/>
    <w:rsid w:val="08895007"/>
    <w:rsid w:val="08AE59AD"/>
    <w:rsid w:val="08F25603"/>
    <w:rsid w:val="091E2865"/>
    <w:rsid w:val="096D7B44"/>
    <w:rsid w:val="09A129E2"/>
    <w:rsid w:val="0A83012B"/>
    <w:rsid w:val="0AC04C4A"/>
    <w:rsid w:val="0AC3681D"/>
    <w:rsid w:val="0B9C53AF"/>
    <w:rsid w:val="0C000C73"/>
    <w:rsid w:val="0C8575FB"/>
    <w:rsid w:val="0C9561C7"/>
    <w:rsid w:val="0CFB3069"/>
    <w:rsid w:val="0E3972EC"/>
    <w:rsid w:val="0EA224A6"/>
    <w:rsid w:val="0F403FAD"/>
    <w:rsid w:val="0FFF0BE6"/>
    <w:rsid w:val="10174381"/>
    <w:rsid w:val="104742CA"/>
    <w:rsid w:val="10511C21"/>
    <w:rsid w:val="111927C8"/>
    <w:rsid w:val="11211F6C"/>
    <w:rsid w:val="1123745A"/>
    <w:rsid w:val="117D68B3"/>
    <w:rsid w:val="12742288"/>
    <w:rsid w:val="13001549"/>
    <w:rsid w:val="1321386E"/>
    <w:rsid w:val="1349413E"/>
    <w:rsid w:val="14231BF5"/>
    <w:rsid w:val="146948F6"/>
    <w:rsid w:val="149865F3"/>
    <w:rsid w:val="154F7F00"/>
    <w:rsid w:val="15AA46E1"/>
    <w:rsid w:val="15EF7BE4"/>
    <w:rsid w:val="161D6E9D"/>
    <w:rsid w:val="168F574E"/>
    <w:rsid w:val="16DA0303"/>
    <w:rsid w:val="172717D1"/>
    <w:rsid w:val="173311D2"/>
    <w:rsid w:val="1768016C"/>
    <w:rsid w:val="17AD5A18"/>
    <w:rsid w:val="192057E4"/>
    <w:rsid w:val="19DD58DE"/>
    <w:rsid w:val="19F4792E"/>
    <w:rsid w:val="1A980548"/>
    <w:rsid w:val="1AB833AC"/>
    <w:rsid w:val="1AD15B58"/>
    <w:rsid w:val="1ADF413A"/>
    <w:rsid w:val="1AFA6DD7"/>
    <w:rsid w:val="1B424996"/>
    <w:rsid w:val="1B6908FA"/>
    <w:rsid w:val="1B6F3710"/>
    <w:rsid w:val="1B857FA2"/>
    <w:rsid w:val="1C0E3781"/>
    <w:rsid w:val="1C395C6B"/>
    <w:rsid w:val="1D5E07B2"/>
    <w:rsid w:val="1E064534"/>
    <w:rsid w:val="1E11274A"/>
    <w:rsid w:val="1E144DE8"/>
    <w:rsid w:val="1E2C1308"/>
    <w:rsid w:val="1E2E4137"/>
    <w:rsid w:val="1E370A68"/>
    <w:rsid w:val="1ECF548E"/>
    <w:rsid w:val="1F100F4A"/>
    <w:rsid w:val="1F8950E7"/>
    <w:rsid w:val="1FAF6192"/>
    <w:rsid w:val="1FE819F5"/>
    <w:rsid w:val="1FED3894"/>
    <w:rsid w:val="20891DD7"/>
    <w:rsid w:val="213A15D5"/>
    <w:rsid w:val="22F660E9"/>
    <w:rsid w:val="235015FA"/>
    <w:rsid w:val="235968A0"/>
    <w:rsid w:val="240E5EA1"/>
    <w:rsid w:val="242B219E"/>
    <w:rsid w:val="24CA587E"/>
    <w:rsid w:val="25246C6A"/>
    <w:rsid w:val="25AF53DD"/>
    <w:rsid w:val="267B7132"/>
    <w:rsid w:val="269B185D"/>
    <w:rsid w:val="274263AC"/>
    <w:rsid w:val="27E34FFB"/>
    <w:rsid w:val="27F7073E"/>
    <w:rsid w:val="28256EC4"/>
    <w:rsid w:val="285D262A"/>
    <w:rsid w:val="28757F4C"/>
    <w:rsid w:val="2A5619A4"/>
    <w:rsid w:val="2B45472B"/>
    <w:rsid w:val="2BFC429D"/>
    <w:rsid w:val="2C154F49"/>
    <w:rsid w:val="2C1C13E7"/>
    <w:rsid w:val="2CE17792"/>
    <w:rsid w:val="2CEA19F5"/>
    <w:rsid w:val="2DCA18CA"/>
    <w:rsid w:val="2F1542D3"/>
    <w:rsid w:val="2F1A7CF7"/>
    <w:rsid w:val="2F782E6E"/>
    <w:rsid w:val="2F872F8E"/>
    <w:rsid w:val="2FDE7412"/>
    <w:rsid w:val="30057BF4"/>
    <w:rsid w:val="300F0DD4"/>
    <w:rsid w:val="30F77407"/>
    <w:rsid w:val="31660D54"/>
    <w:rsid w:val="31F108F2"/>
    <w:rsid w:val="32B60A48"/>
    <w:rsid w:val="33721193"/>
    <w:rsid w:val="33A921AB"/>
    <w:rsid w:val="343B01DB"/>
    <w:rsid w:val="35B07CA0"/>
    <w:rsid w:val="35D15FBA"/>
    <w:rsid w:val="360F0280"/>
    <w:rsid w:val="384408FD"/>
    <w:rsid w:val="384C33D9"/>
    <w:rsid w:val="39534219"/>
    <w:rsid w:val="39E13E5C"/>
    <w:rsid w:val="3ADD0DB1"/>
    <w:rsid w:val="3B4878D0"/>
    <w:rsid w:val="3B90048D"/>
    <w:rsid w:val="3BBD04D4"/>
    <w:rsid w:val="3C155566"/>
    <w:rsid w:val="3D0A6207"/>
    <w:rsid w:val="3D1033BA"/>
    <w:rsid w:val="3DBF1E7D"/>
    <w:rsid w:val="3DFA56C3"/>
    <w:rsid w:val="3E8A4316"/>
    <w:rsid w:val="3EAE3321"/>
    <w:rsid w:val="3EFD3E96"/>
    <w:rsid w:val="3F280A95"/>
    <w:rsid w:val="3FF74B1F"/>
    <w:rsid w:val="40552625"/>
    <w:rsid w:val="40643585"/>
    <w:rsid w:val="40961FB2"/>
    <w:rsid w:val="40C328A3"/>
    <w:rsid w:val="414C2BA9"/>
    <w:rsid w:val="414C68E6"/>
    <w:rsid w:val="416B6F90"/>
    <w:rsid w:val="418856D1"/>
    <w:rsid w:val="41AF622D"/>
    <w:rsid w:val="41B360D2"/>
    <w:rsid w:val="41E27AF9"/>
    <w:rsid w:val="4243011A"/>
    <w:rsid w:val="42AD0B38"/>
    <w:rsid w:val="43947AAD"/>
    <w:rsid w:val="44366721"/>
    <w:rsid w:val="44684C88"/>
    <w:rsid w:val="44A416FC"/>
    <w:rsid w:val="4509617B"/>
    <w:rsid w:val="4580407B"/>
    <w:rsid w:val="46231290"/>
    <w:rsid w:val="464E37B6"/>
    <w:rsid w:val="4730741A"/>
    <w:rsid w:val="475E22CC"/>
    <w:rsid w:val="477C0514"/>
    <w:rsid w:val="47934889"/>
    <w:rsid w:val="47E16F96"/>
    <w:rsid w:val="483551EA"/>
    <w:rsid w:val="4948194D"/>
    <w:rsid w:val="4976094B"/>
    <w:rsid w:val="4ABE1DEC"/>
    <w:rsid w:val="4B103A0A"/>
    <w:rsid w:val="4B2B1777"/>
    <w:rsid w:val="4BD54C5F"/>
    <w:rsid w:val="4C66249D"/>
    <w:rsid w:val="4CA13BC3"/>
    <w:rsid w:val="4D6F5732"/>
    <w:rsid w:val="4DF341E2"/>
    <w:rsid w:val="4DF42E1C"/>
    <w:rsid w:val="4EBF01E7"/>
    <w:rsid w:val="4F1C1370"/>
    <w:rsid w:val="4FBB438F"/>
    <w:rsid w:val="50094384"/>
    <w:rsid w:val="503D5499"/>
    <w:rsid w:val="50C562DC"/>
    <w:rsid w:val="51255D72"/>
    <w:rsid w:val="512A7EF8"/>
    <w:rsid w:val="523323C8"/>
    <w:rsid w:val="528539FA"/>
    <w:rsid w:val="532F0F48"/>
    <w:rsid w:val="538C4CE3"/>
    <w:rsid w:val="54771E39"/>
    <w:rsid w:val="547D4B43"/>
    <w:rsid w:val="55006BAB"/>
    <w:rsid w:val="550A14E9"/>
    <w:rsid w:val="55B07EC1"/>
    <w:rsid w:val="55B45371"/>
    <w:rsid w:val="55EC17D6"/>
    <w:rsid w:val="562C6C4B"/>
    <w:rsid w:val="56694933"/>
    <w:rsid w:val="568A5054"/>
    <w:rsid w:val="571A5CF4"/>
    <w:rsid w:val="572020E4"/>
    <w:rsid w:val="57354838"/>
    <w:rsid w:val="5761780A"/>
    <w:rsid w:val="578079AD"/>
    <w:rsid w:val="58031385"/>
    <w:rsid w:val="5889637F"/>
    <w:rsid w:val="5A2B2502"/>
    <w:rsid w:val="5A327ACF"/>
    <w:rsid w:val="5A6E44C2"/>
    <w:rsid w:val="5A977A54"/>
    <w:rsid w:val="5ACC064C"/>
    <w:rsid w:val="5B2A0B21"/>
    <w:rsid w:val="5B843643"/>
    <w:rsid w:val="5B8F0B6B"/>
    <w:rsid w:val="5C246971"/>
    <w:rsid w:val="5C2C2B48"/>
    <w:rsid w:val="5C2F2F69"/>
    <w:rsid w:val="5C4B2F35"/>
    <w:rsid w:val="5CC86CE3"/>
    <w:rsid w:val="5D51273D"/>
    <w:rsid w:val="5E327FF5"/>
    <w:rsid w:val="5E654AED"/>
    <w:rsid w:val="5E99390A"/>
    <w:rsid w:val="5ED2336B"/>
    <w:rsid w:val="5EF17D1E"/>
    <w:rsid w:val="5EF8238E"/>
    <w:rsid w:val="5F4F7855"/>
    <w:rsid w:val="5F7C0525"/>
    <w:rsid w:val="5FAC08F6"/>
    <w:rsid w:val="60C45EAA"/>
    <w:rsid w:val="610309B8"/>
    <w:rsid w:val="612274F5"/>
    <w:rsid w:val="61D759C0"/>
    <w:rsid w:val="61F72EFA"/>
    <w:rsid w:val="622E0E04"/>
    <w:rsid w:val="629B6165"/>
    <w:rsid w:val="62BA4DD3"/>
    <w:rsid w:val="6369771D"/>
    <w:rsid w:val="63A02F6F"/>
    <w:rsid w:val="6412530E"/>
    <w:rsid w:val="64BB432B"/>
    <w:rsid w:val="64FE2EC4"/>
    <w:rsid w:val="65B51517"/>
    <w:rsid w:val="65D76186"/>
    <w:rsid w:val="6623085F"/>
    <w:rsid w:val="668E1A80"/>
    <w:rsid w:val="6795000B"/>
    <w:rsid w:val="67EA7CCE"/>
    <w:rsid w:val="6833216E"/>
    <w:rsid w:val="688167D5"/>
    <w:rsid w:val="68912427"/>
    <w:rsid w:val="68A175AA"/>
    <w:rsid w:val="68A66D41"/>
    <w:rsid w:val="68A8061E"/>
    <w:rsid w:val="68F457F5"/>
    <w:rsid w:val="69811CDE"/>
    <w:rsid w:val="69F56F7F"/>
    <w:rsid w:val="6A750B4A"/>
    <w:rsid w:val="6B1261BF"/>
    <w:rsid w:val="6B163F02"/>
    <w:rsid w:val="6C301E5B"/>
    <w:rsid w:val="6C9C3206"/>
    <w:rsid w:val="6C9E741A"/>
    <w:rsid w:val="6CC918B5"/>
    <w:rsid w:val="6CD83DB8"/>
    <w:rsid w:val="6D1507B5"/>
    <w:rsid w:val="6D1F33CF"/>
    <w:rsid w:val="6D5F65D4"/>
    <w:rsid w:val="6DA12A23"/>
    <w:rsid w:val="6E186B28"/>
    <w:rsid w:val="6E635792"/>
    <w:rsid w:val="6FE23448"/>
    <w:rsid w:val="6FE4258E"/>
    <w:rsid w:val="6FF17162"/>
    <w:rsid w:val="701044EB"/>
    <w:rsid w:val="70D4689A"/>
    <w:rsid w:val="71B4754E"/>
    <w:rsid w:val="71FB4C93"/>
    <w:rsid w:val="7254624C"/>
    <w:rsid w:val="729A01E8"/>
    <w:rsid w:val="72F91100"/>
    <w:rsid w:val="73BB3912"/>
    <w:rsid w:val="73E82865"/>
    <w:rsid w:val="73FA3C2B"/>
    <w:rsid w:val="74D82752"/>
    <w:rsid w:val="74E52381"/>
    <w:rsid w:val="74EC4156"/>
    <w:rsid w:val="75AB09B2"/>
    <w:rsid w:val="75C56E66"/>
    <w:rsid w:val="75DE5519"/>
    <w:rsid w:val="75EB2713"/>
    <w:rsid w:val="76177B23"/>
    <w:rsid w:val="76276F5E"/>
    <w:rsid w:val="77213A1B"/>
    <w:rsid w:val="782A3C80"/>
    <w:rsid w:val="783B1B25"/>
    <w:rsid w:val="7874331C"/>
    <w:rsid w:val="79934F67"/>
    <w:rsid w:val="79DA33F2"/>
    <w:rsid w:val="79DF7F85"/>
    <w:rsid w:val="7A65450D"/>
    <w:rsid w:val="7A811039"/>
    <w:rsid w:val="7B372C53"/>
    <w:rsid w:val="7C780BDC"/>
    <w:rsid w:val="7C8137C4"/>
    <w:rsid w:val="7CCC326B"/>
    <w:rsid w:val="7CEC65EB"/>
    <w:rsid w:val="7D1907AC"/>
    <w:rsid w:val="7D284642"/>
    <w:rsid w:val="7D4E2D65"/>
    <w:rsid w:val="7D51534A"/>
    <w:rsid w:val="7D6C09D3"/>
    <w:rsid w:val="7D7500AA"/>
    <w:rsid w:val="7D950F88"/>
    <w:rsid w:val="7DC257F8"/>
    <w:rsid w:val="7DE22C68"/>
    <w:rsid w:val="7E1626EC"/>
    <w:rsid w:val="7F44134D"/>
    <w:rsid w:val="7F5B137F"/>
    <w:rsid w:val="7F5E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widowControl w:val="0"/>
      <w:spacing w:after="120"/>
    </w:pPr>
    <w:rPr>
      <w:rFonts w:ascii="宋体" w:hAnsi="宋体"/>
      <w:sz w:val="28"/>
      <w:szCs w:val="20"/>
      <w:lang w:eastAsia="en-US"/>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next w:val="1"/>
    <w:qFormat/>
    <w:uiPriority w:val="0"/>
    <w:pPr>
      <w:snapToGrid w:val="0"/>
      <w:spacing w:line="560" w:lineRule="atLeast"/>
      <w:ind w:firstLine="540"/>
    </w:pPr>
  </w:style>
  <w:style w:type="paragraph" w:styleId="10">
    <w:name w:val="Balloon Text"/>
    <w:basedOn w:val="1"/>
    <w:link w:val="22"/>
    <w:qFormat/>
    <w:uiPriority w:val="0"/>
    <w:rPr>
      <w:sz w:val="18"/>
      <w:szCs w:val="18"/>
    </w:rPr>
  </w:style>
  <w:style w:type="paragraph" w:styleId="11">
    <w:name w:val="footer"/>
    <w:basedOn w:val="1"/>
    <w:next w:val="12"/>
    <w:link w:val="27"/>
    <w:qFormat/>
    <w:uiPriority w:val="99"/>
    <w:pPr>
      <w:tabs>
        <w:tab w:val="center" w:pos="4153"/>
        <w:tab w:val="right" w:pos="8306"/>
      </w:tabs>
      <w:snapToGrid w:val="0"/>
      <w:jc w:val="left"/>
    </w:pPr>
    <w:rPr>
      <w:sz w:val="18"/>
    </w:rPr>
  </w:style>
  <w:style w:type="paragraph" w:customStyle="1" w:styleId="12">
    <w:name w:val="索引 51"/>
    <w:basedOn w:val="1"/>
    <w:next w:val="1"/>
    <w:qFormat/>
    <w:uiPriority w:val="0"/>
    <w:pPr>
      <w:ind w:left="168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rPr>
      <w:sz w:val="24"/>
    </w:rPr>
  </w:style>
  <w:style w:type="character" w:styleId="19">
    <w:name w:val="Hyperlink"/>
    <w:basedOn w:val="18"/>
    <w:qFormat/>
    <w:uiPriority w:val="99"/>
    <w:rPr>
      <w:color w:val="666666"/>
      <w:u w:val="non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1"/>
    <w:basedOn w:val="1"/>
    <w:next w:val="7"/>
    <w:qFormat/>
    <w:uiPriority w:val="0"/>
    <w:rPr>
      <w:rFonts w:ascii="宋体" w:hAnsi="Courier New"/>
      <w:sz w:val="21"/>
    </w:rPr>
  </w:style>
  <w:style w:type="character" w:customStyle="1" w:styleId="22">
    <w:name w:val="批注框文本 字符"/>
    <w:basedOn w:val="18"/>
    <w:link w:val="10"/>
    <w:qFormat/>
    <w:uiPriority w:val="0"/>
    <w:rPr>
      <w:rFonts w:ascii="Times New Roman" w:hAnsi="Times New Roman" w:eastAsia="宋体" w:cs="Times New Roman"/>
      <w:kern w:val="2"/>
      <w:sz w:val="18"/>
      <w:szCs w:val="18"/>
    </w:rPr>
  </w:style>
  <w:style w:type="character" w:customStyle="1" w:styleId="23">
    <w:name w:val="font01"/>
    <w:basedOn w:val="18"/>
    <w:qFormat/>
    <w:uiPriority w:val="0"/>
    <w:rPr>
      <w:rFonts w:hint="eastAsia" w:ascii="方正仿宋_GBK" w:hAnsi="方正仿宋_GBK" w:eastAsia="方正仿宋_GBK" w:cs="方正仿宋_GBK"/>
      <w:color w:val="000000"/>
      <w:sz w:val="21"/>
      <w:szCs w:val="21"/>
      <w:u w:val="none"/>
    </w:rPr>
  </w:style>
  <w:style w:type="character" w:customStyle="1" w:styleId="24">
    <w:name w:val="font31"/>
    <w:basedOn w:val="18"/>
    <w:qFormat/>
    <w:uiPriority w:val="0"/>
    <w:rPr>
      <w:rFonts w:hint="eastAsia" w:ascii="方正仿宋_GBK" w:hAnsi="方正仿宋_GBK" w:eastAsia="方正仿宋_GBK" w:cs="方正仿宋_GBK"/>
      <w:color w:val="000000"/>
      <w:sz w:val="24"/>
      <w:szCs w:val="24"/>
      <w:u w:val="none"/>
    </w:rPr>
  </w:style>
  <w:style w:type="character" w:customStyle="1" w:styleId="25">
    <w:name w:val="font21"/>
    <w:basedOn w:val="18"/>
    <w:qFormat/>
    <w:uiPriority w:val="0"/>
    <w:rPr>
      <w:rFonts w:hint="eastAsia" w:ascii="方正仿宋_GBK" w:hAnsi="方正仿宋_GBK" w:eastAsia="方正仿宋_GBK" w:cs="方正仿宋_GBK"/>
      <w:color w:val="000000"/>
      <w:sz w:val="24"/>
      <w:szCs w:val="24"/>
      <w:u w:val="none"/>
    </w:rPr>
  </w:style>
  <w:style w:type="paragraph" w:styleId="26">
    <w:name w:val="List Paragraph"/>
    <w:basedOn w:val="1"/>
    <w:qFormat/>
    <w:uiPriority w:val="99"/>
    <w:pPr>
      <w:ind w:firstLine="420" w:firstLineChars="200"/>
    </w:pPr>
    <w:rPr>
      <w:sz w:val="21"/>
      <w:szCs w:val="24"/>
    </w:rPr>
  </w:style>
  <w:style w:type="character" w:customStyle="1" w:styleId="27">
    <w:name w:val="页脚 字符"/>
    <w:basedOn w:val="18"/>
    <w:link w:val="11"/>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F598A-D9D5-40A7-B9B2-EAC1EE406EA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8654</Words>
  <Characters>9162</Characters>
  <Lines>75</Lines>
  <Paragraphs>21</Paragraphs>
  <TotalTime>5</TotalTime>
  <ScaleCrop>false</ScaleCrop>
  <LinksUpToDate>false</LinksUpToDate>
  <CharactersWithSpaces>10097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2024-06-12T02:44:00Z</dcterms:created>
  <dc:creator>Administrator</dc:creator>
  <cp:lastModifiedBy>高文琼</cp:lastModifiedBy>
  <cp:lastPrinted>2022-12-15T00:55:00Z</cp:lastPrinted>
  <dcterms:modified xsi:type="dcterms:W3CDTF">2025-12-02T07:31:11Z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E4C9138EFD5E47C599BC40CF2709F9D8_13</vt:lpwstr>
  </property>
  <property fmtid="{D5CDD505-2E9C-101B-9397-08002B2CF9AE}" pid="4" name="KSOSaveFontToCloudKey">
    <vt:lpwstr>454024206_btnclosed</vt:lpwstr>
  </property>
  <property fmtid="{D5CDD505-2E9C-101B-9397-08002B2CF9AE}" pid="5" name="KSOTemplateDocerSaveRecord">
    <vt:lpwstr>eyJoZGlkIjoiZTkwZjc5NDI0ZDRmMmU3N2YyOTRiZGMwZWU0NzE5ZTMiLCJ1c2VySWQiOiI0NTQzODgxMDIifQ==</vt:lpwstr>
  </property>
</Properties>
</file>