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98B95">
      <w:p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p>
    <w:p w14:paraId="544C8B40">
      <w:pPr>
        <w:jc w:val="center"/>
        <w:rPr>
          <w:rFonts w:hint="eastAsia" w:ascii="微软雅黑" w:hAnsi="微软雅黑" w:eastAsia="微软雅黑" w:cs="微软雅黑"/>
          <w:color w:val="auto"/>
          <w:highlight w:val="none"/>
        </w:rPr>
      </w:pPr>
    </w:p>
    <w:p w14:paraId="1786FD77">
      <w:pPr>
        <w:jc w:val="center"/>
        <w:outlineLvl w:val="0"/>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rPr>
        <w:t>竞争性磋商</w:t>
      </w:r>
    </w:p>
    <w:p w14:paraId="30B68CE8">
      <w:pPr>
        <w:jc w:val="center"/>
        <w:outlineLvl w:val="0"/>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rPr>
        <w:t>文件</w:t>
      </w:r>
    </w:p>
    <w:p w14:paraId="66486F7A">
      <w:pPr>
        <w:spacing w:line="700" w:lineRule="exact"/>
        <w:rPr>
          <w:rFonts w:hint="eastAsia" w:ascii="微软雅黑" w:hAnsi="微软雅黑" w:eastAsia="微软雅黑" w:cs="微软雅黑"/>
          <w:color w:val="auto"/>
          <w:sz w:val="32"/>
          <w:highlight w:val="none"/>
        </w:rPr>
      </w:pPr>
    </w:p>
    <w:p w14:paraId="33F795BE">
      <w:pPr>
        <w:spacing w:line="700" w:lineRule="exact"/>
        <w:rPr>
          <w:rFonts w:hint="eastAsia" w:ascii="微软雅黑" w:hAnsi="微软雅黑" w:eastAsia="微软雅黑" w:cs="微软雅黑"/>
          <w:color w:val="auto"/>
          <w:sz w:val="32"/>
          <w:highlight w:val="none"/>
        </w:rPr>
      </w:pPr>
    </w:p>
    <w:p w14:paraId="3C38596A">
      <w:pPr>
        <w:spacing w:line="700" w:lineRule="exact"/>
        <w:ind w:firstLine="1080" w:firstLineChars="300"/>
        <w:rPr>
          <w:rFonts w:hint="eastAsia" w:ascii="微软雅黑" w:hAnsi="微软雅黑" w:eastAsia="微软雅黑" w:cs="微软雅黑"/>
          <w:color w:val="auto"/>
          <w:sz w:val="36"/>
          <w:szCs w:val="30"/>
          <w:highlight w:val="none"/>
          <w:lang w:val="en-US"/>
        </w:rPr>
      </w:pPr>
      <w:r>
        <w:rPr>
          <w:rFonts w:hint="eastAsia" w:ascii="微软雅黑" w:hAnsi="微软雅黑" w:eastAsia="微软雅黑" w:cs="微软雅黑"/>
          <w:color w:val="auto"/>
          <w:sz w:val="36"/>
          <w:szCs w:val="30"/>
          <w:highlight w:val="none"/>
        </w:rPr>
        <w:t>项  目   号：</w:t>
      </w:r>
      <w:r>
        <w:rPr>
          <w:rFonts w:hint="eastAsia" w:ascii="微软雅黑" w:hAnsi="微软雅黑" w:eastAsia="微软雅黑" w:cs="微软雅黑"/>
          <w:color w:val="auto"/>
          <w:sz w:val="36"/>
          <w:szCs w:val="30"/>
          <w:highlight w:val="none"/>
          <w:lang w:val="en-US" w:eastAsia="zh-CN"/>
        </w:rPr>
        <w:t>2025MDX074</w:t>
      </w:r>
    </w:p>
    <w:p w14:paraId="6A47C6EE">
      <w:pPr>
        <w:spacing w:line="700" w:lineRule="exact"/>
        <w:ind w:firstLine="1080" w:firstLineChars="300"/>
        <w:rPr>
          <w:rFonts w:hint="eastAsia"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 目 名 称：</w:t>
      </w:r>
      <w:r>
        <w:rPr>
          <w:rFonts w:hint="eastAsia" w:ascii="微软雅黑" w:hAnsi="微软雅黑" w:eastAsia="微软雅黑" w:cs="微软雅黑"/>
          <w:color w:val="auto"/>
          <w:sz w:val="36"/>
          <w:szCs w:val="30"/>
          <w:highlight w:val="none"/>
          <w:lang w:val="en-US" w:eastAsia="zh-CN"/>
        </w:rPr>
        <w:t>重庆市荣昌区规划和自然资源局干货类</w:t>
      </w:r>
    </w:p>
    <w:p w14:paraId="58CB049C">
      <w:pPr>
        <w:spacing w:line="700" w:lineRule="exact"/>
        <w:ind w:firstLine="2880" w:firstLineChars="80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lang w:val="en-US" w:eastAsia="zh-CN"/>
        </w:rPr>
        <w:t>（蛋米油除外）配送供应</w:t>
      </w:r>
    </w:p>
    <w:p w14:paraId="7F7CAAFC">
      <w:pPr>
        <w:spacing w:line="700" w:lineRule="exact"/>
        <w:rPr>
          <w:rFonts w:hint="eastAsia" w:ascii="微软雅黑" w:hAnsi="微软雅黑" w:eastAsia="微软雅黑" w:cs="微软雅黑"/>
          <w:color w:val="auto"/>
          <w:sz w:val="36"/>
          <w:szCs w:val="30"/>
          <w:highlight w:val="none"/>
        </w:rPr>
      </w:pPr>
    </w:p>
    <w:p w14:paraId="1AEC2294">
      <w:pPr>
        <w:spacing w:line="700" w:lineRule="exact"/>
        <w:ind w:firstLine="1749" w:firstLineChars="486"/>
        <w:rPr>
          <w:rFonts w:hint="eastAsia" w:ascii="微软雅黑" w:hAnsi="微软雅黑" w:eastAsia="微软雅黑" w:cs="微软雅黑"/>
          <w:color w:val="auto"/>
          <w:sz w:val="36"/>
          <w:szCs w:val="30"/>
          <w:highlight w:val="none"/>
        </w:rPr>
      </w:pPr>
    </w:p>
    <w:p w14:paraId="0819322F">
      <w:pPr>
        <w:spacing w:line="700" w:lineRule="exact"/>
        <w:ind w:firstLine="1749" w:firstLineChars="486"/>
        <w:rPr>
          <w:rFonts w:hint="eastAsia" w:ascii="微软雅黑" w:hAnsi="微软雅黑" w:eastAsia="微软雅黑" w:cs="微软雅黑"/>
          <w:color w:val="auto"/>
          <w:sz w:val="36"/>
          <w:szCs w:val="30"/>
          <w:highlight w:val="none"/>
        </w:rPr>
      </w:pPr>
    </w:p>
    <w:p w14:paraId="6FF73C23">
      <w:pPr>
        <w:spacing w:line="700" w:lineRule="exact"/>
        <w:ind w:firstLine="1749" w:firstLineChars="486"/>
        <w:rPr>
          <w:rFonts w:hint="eastAsia" w:ascii="微软雅黑" w:hAnsi="微软雅黑" w:eastAsia="微软雅黑" w:cs="微软雅黑"/>
          <w:color w:val="auto"/>
          <w:sz w:val="36"/>
          <w:szCs w:val="30"/>
          <w:highlight w:val="none"/>
        </w:rPr>
      </w:pPr>
    </w:p>
    <w:p w14:paraId="7ACB09A4">
      <w:pPr>
        <w:spacing w:line="700" w:lineRule="exact"/>
        <w:ind w:firstLine="1080" w:firstLineChars="300"/>
        <w:rPr>
          <w:rFonts w:hint="eastAsia"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采   购   人：</w:t>
      </w:r>
      <w:r>
        <w:rPr>
          <w:rFonts w:hint="eastAsia" w:ascii="微软雅黑" w:hAnsi="微软雅黑" w:eastAsia="微软雅黑" w:cs="微软雅黑"/>
          <w:color w:val="auto"/>
          <w:sz w:val="36"/>
          <w:szCs w:val="30"/>
          <w:highlight w:val="none"/>
          <w:lang w:eastAsia="zh-CN"/>
        </w:rPr>
        <w:t>重庆市荣昌区规划和自然资源局</w:t>
      </w:r>
    </w:p>
    <w:p w14:paraId="5A3DCD64">
      <w:pPr>
        <w:spacing w:line="700" w:lineRule="exact"/>
        <w:ind w:firstLine="1080" w:firstLineChars="30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采购代理机构：重庆麦迪逊招投标代理有限公司</w:t>
      </w:r>
    </w:p>
    <w:p w14:paraId="4E12455F">
      <w:pPr>
        <w:spacing w:line="720" w:lineRule="exact"/>
        <w:jc w:val="center"/>
        <w:outlineLvl w:val="0"/>
        <w:rPr>
          <w:rFonts w:hint="eastAsia" w:ascii="微软雅黑" w:hAnsi="微软雅黑" w:eastAsia="微软雅黑" w:cs="微软雅黑"/>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 w:val="48"/>
          <w:szCs w:val="32"/>
          <w:highlight w:val="none"/>
        </w:rPr>
        <w:t>二〇二五年十</w:t>
      </w:r>
      <w:r>
        <w:rPr>
          <w:rFonts w:hint="eastAsia" w:ascii="微软雅黑" w:hAnsi="微软雅黑" w:eastAsia="微软雅黑" w:cs="微软雅黑"/>
          <w:color w:val="auto"/>
          <w:sz w:val="48"/>
          <w:szCs w:val="32"/>
          <w:highlight w:val="none"/>
          <w:lang w:eastAsia="zh-CN"/>
        </w:rPr>
        <w:t>二</w:t>
      </w:r>
      <w:r>
        <w:rPr>
          <w:rFonts w:hint="eastAsia" w:ascii="微软雅黑" w:hAnsi="微软雅黑" w:eastAsia="微软雅黑" w:cs="微软雅黑"/>
          <w:color w:val="auto"/>
          <w:sz w:val="48"/>
          <w:szCs w:val="32"/>
          <w:highlight w:val="none"/>
        </w:rPr>
        <w:t>月</w:t>
      </w:r>
    </w:p>
    <w:p w14:paraId="1F09AAF6">
      <w:pPr>
        <w:spacing w:line="480" w:lineRule="exact"/>
        <w:jc w:val="center"/>
        <w:outlineLvl w:val="0"/>
        <w:rPr>
          <w:rFonts w:hint="eastAsia" w:ascii="微软雅黑" w:hAnsi="微软雅黑" w:eastAsia="微软雅黑" w:cs="微软雅黑"/>
          <w:color w:val="auto"/>
          <w:sz w:val="44"/>
          <w:szCs w:val="28"/>
          <w:highlight w:val="none"/>
        </w:rPr>
        <w:sectPr>
          <w:footerReference r:id="rId7" w:type="default"/>
          <w:pgSz w:w="11907" w:h="16840"/>
          <w:pgMar w:top="1134" w:right="1191" w:bottom="1134" w:left="1304" w:header="851" w:footer="992" w:gutter="0"/>
          <w:pgNumType w:fmt="numberInDash" w:start="1"/>
          <w:cols w:space="720" w:num="1"/>
          <w:docGrid w:linePitch="380" w:charSpace="-5735"/>
        </w:sectPr>
      </w:pPr>
    </w:p>
    <w:p w14:paraId="708D8293">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7EE935AD">
      <w:pPr>
        <w:pStyle w:val="48"/>
        <w:tabs>
          <w:tab w:val="right" w:leader="dot" w:pos="9412"/>
        </w:tabs>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_Toc10779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采购邀请书</w:t>
      </w:r>
      <w:r>
        <w:tab/>
      </w:r>
      <w:r>
        <w:fldChar w:fldCharType="begin"/>
      </w:r>
      <w:r>
        <w:instrText xml:space="preserve"> PAGEREF _Toc10779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45314106">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_Toc21642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一、竞争性磋商内容</w:t>
      </w:r>
      <w:r>
        <w:tab/>
      </w:r>
      <w:r>
        <w:fldChar w:fldCharType="begin"/>
      </w:r>
      <w:r>
        <w:instrText xml:space="preserve"> PAGEREF _Toc21642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6BC0AF5A">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_Toc16952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二、资金来源</w:t>
      </w:r>
      <w:r>
        <w:tab/>
      </w:r>
      <w:r>
        <w:fldChar w:fldCharType="begin"/>
      </w:r>
      <w:r>
        <w:instrText xml:space="preserve"> PAGEREF _Toc16952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223A0F1B">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_Toc14064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三、供应商资格条件</w:t>
      </w:r>
      <w:r>
        <w:tab/>
      </w:r>
      <w:r>
        <w:fldChar w:fldCharType="begin"/>
      </w:r>
      <w:r>
        <w:instrText xml:space="preserve"> PAGEREF _Toc14064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18ACB06E">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_Toc20846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四、磋商有关说明</w:t>
      </w:r>
      <w:r>
        <w:tab/>
      </w:r>
      <w:r>
        <w:fldChar w:fldCharType="begin"/>
      </w:r>
      <w:r>
        <w:instrText xml:space="preserve"> PAGEREF _Toc20846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6D70FF86">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_Toc16948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五、采购项目需落实的政府采购政策</w:t>
      </w:r>
      <w:r>
        <w:tab/>
      </w:r>
      <w:r>
        <w:fldChar w:fldCharType="begin"/>
      </w:r>
      <w:r>
        <w:instrText xml:space="preserve"> PAGEREF _Toc16948 \h </w:instrText>
      </w:r>
      <w:r>
        <w:fldChar w:fldCharType="separate"/>
      </w:r>
      <w:r>
        <w:t>- 2 -</w:t>
      </w:r>
      <w:r>
        <w:fldChar w:fldCharType="end"/>
      </w:r>
      <w:r>
        <w:rPr>
          <w:rFonts w:hint="eastAsia" w:ascii="微软雅黑" w:hAnsi="微软雅黑" w:eastAsia="微软雅黑" w:cs="微软雅黑"/>
          <w:color w:val="auto"/>
          <w:szCs w:val="21"/>
          <w:highlight w:val="none"/>
        </w:rPr>
        <w:fldChar w:fldCharType="end"/>
      </w:r>
    </w:p>
    <w:p w14:paraId="7CFC1C65">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_Toc28813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六、其它有关规定</w:t>
      </w:r>
      <w:r>
        <w:tab/>
      </w:r>
      <w:r>
        <w:fldChar w:fldCharType="begin"/>
      </w:r>
      <w:r>
        <w:instrText xml:space="preserve"> PAGEREF _Toc28813 \h </w:instrText>
      </w:r>
      <w:r>
        <w:fldChar w:fldCharType="separate"/>
      </w:r>
      <w:r>
        <w:t>- 2 -</w:t>
      </w:r>
      <w:r>
        <w:fldChar w:fldCharType="end"/>
      </w:r>
      <w:r>
        <w:rPr>
          <w:rFonts w:hint="eastAsia" w:ascii="微软雅黑" w:hAnsi="微软雅黑" w:eastAsia="微软雅黑" w:cs="微软雅黑"/>
          <w:color w:val="auto"/>
          <w:szCs w:val="21"/>
          <w:highlight w:val="none"/>
        </w:rPr>
        <w:fldChar w:fldCharType="end"/>
      </w:r>
    </w:p>
    <w:p w14:paraId="41AE9581">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_Toc24368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七、联系方式</w:t>
      </w:r>
      <w:r>
        <w:tab/>
      </w:r>
      <w:r>
        <w:fldChar w:fldCharType="begin"/>
      </w:r>
      <w:r>
        <w:instrText xml:space="preserve"> PAGEREF _Toc24368 \h </w:instrText>
      </w:r>
      <w:r>
        <w:fldChar w:fldCharType="separate"/>
      </w:r>
      <w:r>
        <w:t>- 3 -</w:t>
      </w:r>
      <w:r>
        <w:fldChar w:fldCharType="end"/>
      </w:r>
      <w:r>
        <w:rPr>
          <w:rFonts w:hint="eastAsia" w:ascii="微软雅黑" w:hAnsi="微软雅黑" w:eastAsia="微软雅黑" w:cs="微软雅黑"/>
          <w:color w:val="auto"/>
          <w:szCs w:val="21"/>
          <w:highlight w:val="none"/>
        </w:rPr>
        <w:fldChar w:fldCharType="end"/>
      </w:r>
    </w:p>
    <w:p w14:paraId="332CBADB">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_Toc29485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第二篇  采购服务需求</w:t>
      </w:r>
      <w:r>
        <w:tab/>
      </w:r>
      <w:r>
        <w:fldChar w:fldCharType="begin"/>
      </w:r>
      <w:r>
        <w:instrText xml:space="preserve"> PAGEREF _Toc29485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128FFD4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_Toc28858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一、采购一览表</w:t>
      </w:r>
      <w:r>
        <w:tab/>
      </w:r>
      <w:r>
        <w:fldChar w:fldCharType="begin"/>
      </w:r>
      <w:r>
        <w:instrText xml:space="preserve"> PAGEREF _Toc28858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3272CC71">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_Toc32763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二、</w:t>
      </w:r>
      <w:r>
        <w:rPr>
          <w:rFonts w:hint="eastAsia" w:ascii="微软雅黑" w:hAnsi="微软雅黑" w:eastAsia="微软雅黑" w:cs="微软雅黑"/>
          <w:szCs w:val="24"/>
          <w:highlight w:val="none"/>
        </w:rPr>
        <w:t>项目服务要</w:t>
      </w:r>
      <w:r>
        <w:rPr>
          <w:rFonts w:hint="eastAsia" w:ascii="微软雅黑" w:hAnsi="微软雅黑" w:eastAsia="微软雅黑" w:cs="微软雅黑"/>
          <w:szCs w:val="24"/>
          <w:highlight w:val="none"/>
          <w:lang w:val="en-US" w:eastAsia="zh-CN"/>
        </w:rPr>
        <w:t>求</w:t>
      </w:r>
      <w:r>
        <w:tab/>
      </w:r>
      <w:r>
        <w:fldChar w:fldCharType="begin"/>
      </w:r>
      <w:r>
        <w:instrText xml:space="preserve"> PAGEREF _Toc32763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41D88F13">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_Toc23852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三、项目配送要求</w:t>
      </w:r>
      <w:r>
        <w:tab/>
      </w:r>
      <w:r>
        <w:fldChar w:fldCharType="begin"/>
      </w:r>
      <w:r>
        <w:instrText xml:space="preserve"> PAGEREF _Toc23852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092198DF">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_Toc31913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采购商务需求</w:t>
      </w:r>
      <w:r>
        <w:tab/>
      </w:r>
      <w:r>
        <w:fldChar w:fldCharType="begin"/>
      </w:r>
      <w:r>
        <w:instrText xml:space="preserve"> PAGEREF _Toc31913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48CA6E40">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_Toc12593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rPr>
        <w:t>服务时间、服务地点及验收方式</w:t>
      </w:r>
      <w:r>
        <w:tab/>
      </w:r>
      <w:r>
        <w:fldChar w:fldCharType="begin"/>
      </w:r>
      <w:r>
        <w:instrText xml:space="preserve"> PAGEREF _Toc12593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2C3D32E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_Toc29196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二</w:t>
      </w:r>
      <w:r>
        <w:rPr>
          <w:rFonts w:hint="eastAsia" w:ascii="微软雅黑" w:hAnsi="微软雅黑" w:eastAsia="微软雅黑" w:cs="微软雅黑"/>
          <w:szCs w:val="24"/>
        </w:rPr>
        <w:t>、报价要求</w:t>
      </w:r>
      <w:r>
        <w:tab/>
      </w:r>
      <w:r>
        <w:fldChar w:fldCharType="begin"/>
      </w:r>
      <w:r>
        <w:instrText xml:space="preserve"> PAGEREF _Toc29196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237C04F6">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_Toc3538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三、</w:t>
      </w:r>
      <w:r>
        <w:rPr>
          <w:rFonts w:hint="eastAsia" w:ascii="微软雅黑" w:hAnsi="微软雅黑" w:eastAsia="微软雅黑" w:cs="微软雅黑"/>
          <w:szCs w:val="24"/>
        </w:rPr>
        <w:t>付款方式</w:t>
      </w:r>
      <w:r>
        <w:tab/>
      </w:r>
      <w:r>
        <w:fldChar w:fldCharType="begin"/>
      </w:r>
      <w:r>
        <w:instrText xml:space="preserve"> PAGEREF _Toc3538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2E4866E9">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_Toc29289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四</w:t>
      </w:r>
      <w:r>
        <w:rPr>
          <w:rFonts w:hint="eastAsia" w:ascii="微软雅黑" w:hAnsi="微软雅黑" w:eastAsia="微软雅黑" w:cs="微软雅黑"/>
          <w:szCs w:val="24"/>
        </w:rPr>
        <w:t>、</w:t>
      </w:r>
      <w:r>
        <w:rPr>
          <w:rFonts w:hint="eastAsia" w:ascii="微软雅黑" w:hAnsi="微软雅黑" w:eastAsia="微软雅黑" w:cs="微软雅黑"/>
          <w:szCs w:val="24"/>
          <w:lang w:val="en-US" w:eastAsia="zh-CN"/>
        </w:rPr>
        <w:t>履约保证金</w:t>
      </w:r>
      <w:r>
        <w:tab/>
      </w:r>
      <w:r>
        <w:fldChar w:fldCharType="begin"/>
      </w:r>
      <w:r>
        <w:instrText xml:space="preserve"> PAGEREF _Toc29289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7C9A7F02">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_Toc25629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五</w:t>
      </w:r>
      <w:r>
        <w:rPr>
          <w:rFonts w:hint="eastAsia" w:ascii="微软雅黑" w:hAnsi="微软雅黑" w:eastAsia="微软雅黑" w:cs="微软雅黑"/>
          <w:szCs w:val="24"/>
        </w:rPr>
        <w:t>、知识产权</w:t>
      </w:r>
      <w:r>
        <w:tab/>
      </w:r>
      <w:r>
        <w:fldChar w:fldCharType="begin"/>
      </w:r>
      <w:r>
        <w:instrText xml:space="preserve"> PAGEREF _Toc25629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4D03A750">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_Toc6920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六</w:t>
      </w:r>
      <w:r>
        <w:rPr>
          <w:rFonts w:hint="eastAsia" w:ascii="微软雅黑" w:hAnsi="微软雅黑" w:eastAsia="微软雅黑" w:cs="微软雅黑"/>
          <w:szCs w:val="24"/>
        </w:rPr>
        <w:t>、其他</w:t>
      </w:r>
      <w:r>
        <w:tab/>
      </w:r>
      <w:r>
        <w:fldChar w:fldCharType="begin"/>
      </w:r>
      <w:r>
        <w:instrText xml:space="preserve"> PAGEREF _Toc6920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37ECD03B">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_Toc21215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磋商程序及方法、评审标准、无效响应和</w:t>
      </w:r>
      <w:r>
        <w:rPr>
          <w:rFonts w:hint="eastAsia" w:ascii="微软雅黑" w:hAnsi="微软雅黑" w:eastAsia="微软雅黑" w:cs="微软雅黑"/>
          <w:szCs w:val="36"/>
          <w:highlight w:val="none"/>
        </w:rPr>
        <w:t>采购终止</w:t>
      </w:r>
      <w:r>
        <w:tab/>
      </w:r>
      <w:r>
        <w:fldChar w:fldCharType="begin"/>
      </w:r>
      <w:r>
        <w:instrText xml:space="preserve"> PAGEREF _Toc21215 \h </w:instrText>
      </w:r>
      <w:r>
        <w:fldChar w:fldCharType="separate"/>
      </w:r>
      <w:r>
        <w:t>- 7 -</w:t>
      </w:r>
      <w:r>
        <w:fldChar w:fldCharType="end"/>
      </w:r>
      <w:r>
        <w:rPr>
          <w:rFonts w:hint="eastAsia" w:ascii="微软雅黑" w:hAnsi="微软雅黑" w:eastAsia="微软雅黑" w:cs="微软雅黑"/>
          <w:color w:val="auto"/>
          <w:szCs w:val="21"/>
          <w:highlight w:val="none"/>
        </w:rPr>
        <w:fldChar w:fldCharType="end"/>
      </w:r>
    </w:p>
    <w:p w14:paraId="6637C342">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_Toc21380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一、磋商程序及方法</w:t>
      </w:r>
      <w:r>
        <w:tab/>
      </w:r>
      <w:r>
        <w:fldChar w:fldCharType="begin"/>
      </w:r>
      <w:r>
        <w:instrText xml:space="preserve"> PAGEREF _Toc21380 \h </w:instrText>
      </w:r>
      <w:r>
        <w:fldChar w:fldCharType="separate"/>
      </w:r>
      <w:r>
        <w:t>- 7 -</w:t>
      </w:r>
      <w:r>
        <w:fldChar w:fldCharType="end"/>
      </w:r>
      <w:r>
        <w:rPr>
          <w:rFonts w:hint="eastAsia" w:ascii="微软雅黑" w:hAnsi="微软雅黑" w:eastAsia="微软雅黑" w:cs="微软雅黑"/>
          <w:color w:val="auto"/>
          <w:szCs w:val="21"/>
          <w:highlight w:val="none"/>
        </w:rPr>
        <w:fldChar w:fldCharType="end"/>
      </w:r>
    </w:p>
    <w:p w14:paraId="0118C085">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_Toc24386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tab/>
      </w:r>
      <w:r>
        <w:fldChar w:fldCharType="begin"/>
      </w:r>
      <w:r>
        <w:instrText xml:space="preserve"> PAGEREF _Toc24386 \h </w:instrText>
      </w:r>
      <w:r>
        <w:fldChar w:fldCharType="separate"/>
      </w:r>
      <w:r>
        <w:t>- 9 -</w:t>
      </w:r>
      <w:r>
        <w:fldChar w:fldCharType="end"/>
      </w:r>
      <w:r>
        <w:rPr>
          <w:rFonts w:hint="eastAsia" w:ascii="微软雅黑" w:hAnsi="微软雅黑" w:eastAsia="微软雅黑" w:cs="微软雅黑"/>
          <w:color w:val="auto"/>
          <w:szCs w:val="21"/>
          <w:highlight w:val="none"/>
        </w:rPr>
        <w:fldChar w:fldCharType="end"/>
      </w:r>
    </w:p>
    <w:p w14:paraId="0A1A9418">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_Toc16499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tab/>
      </w:r>
      <w:r>
        <w:fldChar w:fldCharType="begin"/>
      </w:r>
      <w:r>
        <w:instrText xml:space="preserve"> PAGEREF _Toc16499 \h </w:instrText>
      </w:r>
      <w:r>
        <w:fldChar w:fldCharType="separate"/>
      </w:r>
      <w:r>
        <w:t>- 10 -</w:t>
      </w:r>
      <w:r>
        <w:fldChar w:fldCharType="end"/>
      </w:r>
      <w:r>
        <w:rPr>
          <w:rFonts w:hint="eastAsia" w:ascii="微软雅黑" w:hAnsi="微软雅黑" w:eastAsia="微软雅黑" w:cs="微软雅黑"/>
          <w:color w:val="auto"/>
          <w:szCs w:val="21"/>
          <w:highlight w:val="none"/>
        </w:rPr>
        <w:fldChar w:fldCharType="end"/>
      </w:r>
    </w:p>
    <w:p w14:paraId="61D6D69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_Toc18259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_Toc18259 \h </w:instrText>
      </w:r>
      <w:r>
        <w:fldChar w:fldCharType="separate"/>
      </w:r>
      <w:r>
        <w:t>- 10 -</w:t>
      </w:r>
      <w:r>
        <w:fldChar w:fldCharType="end"/>
      </w:r>
      <w:r>
        <w:rPr>
          <w:rFonts w:hint="eastAsia" w:ascii="微软雅黑" w:hAnsi="微软雅黑" w:eastAsia="微软雅黑" w:cs="微软雅黑"/>
          <w:color w:val="auto"/>
          <w:szCs w:val="21"/>
          <w:highlight w:val="none"/>
        </w:rPr>
        <w:fldChar w:fldCharType="end"/>
      </w:r>
    </w:p>
    <w:p w14:paraId="53D820B1">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_Toc19535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第五篇  供应商须知</w:t>
      </w:r>
      <w:r>
        <w:tab/>
      </w:r>
      <w:r>
        <w:fldChar w:fldCharType="begin"/>
      </w:r>
      <w:r>
        <w:instrText xml:space="preserve"> PAGEREF _Toc19535 \h </w:instrText>
      </w:r>
      <w:r>
        <w:fldChar w:fldCharType="separate"/>
      </w:r>
      <w:r>
        <w:t>- 12 -</w:t>
      </w:r>
      <w:r>
        <w:fldChar w:fldCharType="end"/>
      </w:r>
      <w:r>
        <w:rPr>
          <w:rFonts w:hint="eastAsia" w:ascii="微软雅黑" w:hAnsi="微软雅黑" w:eastAsia="微软雅黑" w:cs="微软雅黑"/>
          <w:color w:val="auto"/>
          <w:szCs w:val="21"/>
          <w:highlight w:val="none"/>
        </w:rPr>
        <w:fldChar w:fldCharType="end"/>
      </w:r>
    </w:p>
    <w:p w14:paraId="0CB17735">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_Toc26039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一、磋商费用</w:t>
      </w:r>
      <w:r>
        <w:tab/>
      </w:r>
      <w:r>
        <w:fldChar w:fldCharType="begin"/>
      </w:r>
      <w:r>
        <w:instrText xml:space="preserve"> PAGEREF _Toc26039 \h </w:instrText>
      </w:r>
      <w:r>
        <w:fldChar w:fldCharType="separate"/>
      </w:r>
      <w:r>
        <w:t>- 12 -</w:t>
      </w:r>
      <w:r>
        <w:fldChar w:fldCharType="end"/>
      </w:r>
      <w:r>
        <w:rPr>
          <w:rFonts w:hint="eastAsia" w:ascii="微软雅黑" w:hAnsi="微软雅黑" w:eastAsia="微软雅黑" w:cs="微软雅黑"/>
          <w:color w:val="auto"/>
          <w:szCs w:val="21"/>
          <w:highlight w:val="none"/>
        </w:rPr>
        <w:fldChar w:fldCharType="end"/>
      </w:r>
    </w:p>
    <w:p w14:paraId="043EE7A1">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二、竞争性磋商文件</w:t>
      </w:r>
      <w:r>
        <w:tab/>
      </w:r>
      <w:r>
        <w:fldChar w:fldCharType="begin"/>
      </w:r>
      <w:r>
        <w:instrText xml:space="preserve"> PAGEREF _Toc214 \h </w:instrText>
      </w:r>
      <w:r>
        <w:fldChar w:fldCharType="separate"/>
      </w:r>
      <w:r>
        <w:t>- 12 -</w:t>
      </w:r>
      <w:r>
        <w:fldChar w:fldCharType="end"/>
      </w:r>
      <w:r>
        <w:rPr>
          <w:rFonts w:hint="eastAsia" w:ascii="微软雅黑" w:hAnsi="微软雅黑" w:eastAsia="微软雅黑" w:cs="微软雅黑"/>
          <w:color w:val="auto"/>
          <w:szCs w:val="21"/>
          <w:highlight w:val="none"/>
        </w:rPr>
        <w:fldChar w:fldCharType="end"/>
      </w:r>
    </w:p>
    <w:p w14:paraId="63EA235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_Toc6177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三、磋商要求</w:t>
      </w:r>
      <w:r>
        <w:tab/>
      </w:r>
      <w:r>
        <w:fldChar w:fldCharType="begin"/>
      </w:r>
      <w:r>
        <w:instrText xml:space="preserve"> PAGEREF _Toc6177 \h </w:instrText>
      </w:r>
      <w:r>
        <w:fldChar w:fldCharType="separate"/>
      </w:r>
      <w:r>
        <w:t>- 12 -</w:t>
      </w:r>
      <w:r>
        <w:fldChar w:fldCharType="end"/>
      </w:r>
      <w:r>
        <w:rPr>
          <w:rFonts w:hint="eastAsia" w:ascii="微软雅黑" w:hAnsi="微软雅黑" w:eastAsia="微软雅黑" w:cs="微软雅黑"/>
          <w:color w:val="auto"/>
          <w:szCs w:val="21"/>
          <w:highlight w:val="none"/>
        </w:rPr>
        <w:fldChar w:fldCharType="end"/>
      </w:r>
    </w:p>
    <w:p w14:paraId="688BFEBE">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_Toc31800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四、成交供应商的确认和变更</w:t>
      </w:r>
      <w:r>
        <w:tab/>
      </w:r>
      <w:r>
        <w:fldChar w:fldCharType="begin"/>
      </w:r>
      <w:r>
        <w:instrText xml:space="preserve"> PAGEREF _Toc31800 \h </w:instrText>
      </w:r>
      <w:r>
        <w:fldChar w:fldCharType="separate"/>
      </w:r>
      <w:r>
        <w:t>- 13 -</w:t>
      </w:r>
      <w:r>
        <w:fldChar w:fldCharType="end"/>
      </w:r>
      <w:r>
        <w:rPr>
          <w:rFonts w:hint="eastAsia" w:ascii="微软雅黑" w:hAnsi="微软雅黑" w:eastAsia="微软雅黑" w:cs="微软雅黑"/>
          <w:color w:val="auto"/>
          <w:szCs w:val="21"/>
          <w:highlight w:val="none"/>
        </w:rPr>
        <w:fldChar w:fldCharType="end"/>
      </w:r>
    </w:p>
    <w:p w14:paraId="2FDC6C78">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_Toc26172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_Toc26172 \h </w:instrText>
      </w:r>
      <w:r>
        <w:fldChar w:fldCharType="separate"/>
      </w:r>
      <w:r>
        <w:t>- 13 -</w:t>
      </w:r>
      <w:r>
        <w:fldChar w:fldCharType="end"/>
      </w:r>
      <w:r>
        <w:rPr>
          <w:rFonts w:hint="eastAsia" w:ascii="微软雅黑" w:hAnsi="微软雅黑" w:eastAsia="微软雅黑" w:cs="微软雅黑"/>
          <w:color w:val="auto"/>
          <w:szCs w:val="21"/>
          <w:highlight w:val="none"/>
        </w:rPr>
        <w:fldChar w:fldCharType="end"/>
      </w:r>
    </w:p>
    <w:p w14:paraId="54940C93">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_Toc26819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六、关于质疑和投诉</w:t>
      </w:r>
      <w:r>
        <w:tab/>
      </w:r>
      <w:r>
        <w:fldChar w:fldCharType="begin"/>
      </w:r>
      <w:r>
        <w:instrText xml:space="preserve"> PAGEREF _Toc26819 \h </w:instrText>
      </w:r>
      <w:r>
        <w:fldChar w:fldCharType="separate"/>
      </w:r>
      <w:r>
        <w:t>- 14 -</w:t>
      </w:r>
      <w:r>
        <w:fldChar w:fldCharType="end"/>
      </w:r>
      <w:r>
        <w:rPr>
          <w:rFonts w:hint="eastAsia" w:ascii="微软雅黑" w:hAnsi="微软雅黑" w:eastAsia="微软雅黑" w:cs="微软雅黑"/>
          <w:color w:val="auto"/>
          <w:szCs w:val="21"/>
          <w:highlight w:val="none"/>
        </w:rPr>
        <w:fldChar w:fldCharType="end"/>
      </w:r>
    </w:p>
    <w:p w14:paraId="3FF87B5C">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_Toc21802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七、招标代理服务费</w:t>
      </w:r>
      <w:r>
        <w:tab/>
      </w:r>
      <w:r>
        <w:fldChar w:fldCharType="begin"/>
      </w:r>
      <w:r>
        <w:instrText xml:space="preserve"> PAGEREF _Toc21802 \h </w:instrText>
      </w:r>
      <w:r>
        <w:fldChar w:fldCharType="separate"/>
      </w:r>
      <w:r>
        <w:t>- 15 -</w:t>
      </w:r>
      <w:r>
        <w:fldChar w:fldCharType="end"/>
      </w:r>
      <w:r>
        <w:rPr>
          <w:rFonts w:hint="eastAsia" w:ascii="微软雅黑" w:hAnsi="微软雅黑" w:eastAsia="微软雅黑" w:cs="微软雅黑"/>
          <w:color w:val="auto"/>
          <w:szCs w:val="21"/>
          <w:highlight w:val="none"/>
        </w:rPr>
        <w:fldChar w:fldCharType="end"/>
      </w:r>
    </w:p>
    <w:p w14:paraId="47D5E969">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_Toc21234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八、签订合同</w:t>
      </w:r>
      <w:r>
        <w:tab/>
      </w:r>
      <w:r>
        <w:fldChar w:fldCharType="begin"/>
      </w:r>
      <w:r>
        <w:instrText xml:space="preserve"> PAGEREF _Toc21234 \h </w:instrText>
      </w:r>
      <w:r>
        <w:fldChar w:fldCharType="separate"/>
      </w:r>
      <w:r>
        <w:t>- 15 -</w:t>
      </w:r>
      <w:r>
        <w:fldChar w:fldCharType="end"/>
      </w:r>
      <w:r>
        <w:rPr>
          <w:rFonts w:hint="eastAsia" w:ascii="微软雅黑" w:hAnsi="微软雅黑" w:eastAsia="微软雅黑" w:cs="微软雅黑"/>
          <w:color w:val="auto"/>
          <w:szCs w:val="21"/>
          <w:highlight w:val="none"/>
        </w:rPr>
        <w:fldChar w:fldCharType="end"/>
      </w:r>
    </w:p>
    <w:p w14:paraId="06495E20">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_Toc29645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第六篇  合同主要条款和格式合同（样本）</w:t>
      </w:r>
      <w:r>
        <w:tab/>
      </w:r>
      <w:r>
        <w:fldChar w:fldCharType="begin"/>
      </w:r>
      <w:r>
        <w:instrText xml:space="preserve"> PAGEREF _Toc29645 \h </w:instrText>
      </w:r>
      <w:r>
        <w:fldChar w:fldCharType="separate"/>
      </w:r>
      <w:r>
        <w:t>- 16 -</w:t>
      </w:r>
      <w:r>
        <w:fldChar w:fldCharType="end"/>
      </w:r>
      <w:r>
        <w:rPr>
          <w:rFonts w:hint="eastAsia" w:ascii="微软雅黑" w:hAnsi="微软雅黑" w:eastAsia="微软雅黑" w:cs="微软雅黑"/>
          <w:color w:val="auto"/>
          <w:szCs w:val="21"/>
          <w:highlight w:val="none"/>
        </w:rPr>
        <w:fldChar w:fldCharType="end"/>
      </w:r>
    </w:p>
    <w:p w14:paraId="16F6680F">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_Toc22803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第七篇  响应文件编制要求</w:t>
      </w:r>
      <w:r>
        <w:tab/>
      </w:r>
      <w:r>
        <w:fldChar w:fldCharType="begin"/>
      </w:r>
      <w:r>
        <w:instrText xml:space="preserve"> PAGEREF _Toc22803 \h </w:instrText>
      </w:r>
      <w:r>
        <w:fldChar w:fldCharType="separate"/>
      </w:r>
      <w:r>
        <w:t>- 18 -</w:t>
      </w:r>
      <w:r>
        <w:fldChar w:fldCharType="end"/>
      </w:r>
      <w:r>
        <w:rPr>
          <w:rFonts w:hint="eastAsia" w:ascii="微软雅黑" w:hAnsi="微软雅黑" w:eastAsia="微软雅黑" w:cs="微软雅黑"/>
          <w:color w:val="auto"/>
          <w:szCs w:val="21"/>
          <w:highlight w:val="none"/>
        </w:rPr>
        <w:fldChar w:fldCharType="end"/>
      </w:r>
    </w:p>
    <w:p w14:paraId="70A79BE4">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_Toc20076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一、经济部分</w:t>
      </w:r>
      <w:r>
        <w:tab/>
      </w:r>
      <w:r>
        <w:fldChar w:fldCharType="begin"/>
      </w:r>
      <w:r>
        <w:instrText xml:space="preserve"> PAGEREF _Toc20076 \h </w:instrText>
      </w:r>
      <w:r>
        <w:fldChar w:fldCharType="separate"/>
      </w:r>
      <w:r>
        <w:t>- 19 -</w:t>
      </w:r>
      <w:r>
        <w:fldChar w:fldCharType="end"/>
      </w:r>
      <w:r>
        <w:rPr>
          <w:rFonts w:hint="eastAsia" w:ascii="微软雅黑" w:hAnsi="微软雅黑" w:eastAsia="微软雅黑" w:cs="微软雅黑"/>
          <w:color w:val="auto"/>
          <w:szCs w:val="21"/>
          <w:highlight w:val="none"/>
        </w:rPr>
        <w:fldChar w:fldCharType="end"/>
      </w:r>
    </w:p>
    <w:p w14:paraId="07EB808E">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_Toc18643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二、服务部分</w:t>
      </w:r>
      <w:r>
        <w:tab/>
      </w:r>
      <w:r>
        <w:fldChar w:fldCharType="begin"/>
      </w:r>
      <w:r>
        <w:instrText xml:space="preserve"> PAGEREF _Toc18643 \h </w:instrText>
      </w:r>
      <w:r>
        <w:fldChar w:fldCharType="separate"/>
      </w:r>
      <w:r>
        <w:t>- 20 -</w:t>
      </w:r>
      <w:r>
        <w:fldChar w:fldCharType="end"/>
      </w:r>
      <w:r>
        <w:rPr>
          <w:rFonts w:hint="eastAsia" w:ascii="微软雅黑" w:hAnsi="微软雅黑" w:eastAsia="微软雅黑" w:cs="微软雅黑"/>
          <w:color w:val="auto"/>
          <w:szCs w:val="21"/>
          <w:highlight w:val="none"/>
        </w:rPr>
        <w:fldChar w:fldCharType="end"/>
      </w:r>
    </w:p>
    <w:p w14:paraId="767A71B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_Toc11384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三、商务部分</w:t>
      </w:r>
      <w:r>
        <w:tab/>
      </w:r>
      <w:r>
        <w:fldChar w:fldCharType="begin"/>
      </w:r>
      <w:r>
        <w:instrText xml:space="preserve"> PAGEREF _Toc11384 \h </w:instrText>
      </w:r>
      <w:r>
        <w:fldChar w:fldCharType="separate"/>
      </w:r>
      <w:r>
        <w:t>- 22 -</w:t>
      </w:r>
      <w:r>
        <w:fldChar w:fldCharType="end"/>
      </w:r>
      <w:r>
        <w:rPr>
          <w:rFonts w:hint="eastAsia" w:ascii="微软雅黑" w:hAnsi="微软雅黑" w:eastAsia="微软雅黑" w:cs="微软雅黑"/>
          <w:color w:val="auto"/>
          <w:szCs w:val="21"/>
          <w:highlight w:val="none"/>
        </w:rPr>
        <w:fldChar w:fldCharType="end"/>
      </w:r>
    </w:p>
    <w:p w14:paraId="30CAF644">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_Toc8818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tab/>
      </w:r>
      <w:r>
        <w:fldChar w:fldCharType="begin"/>
      </w:r>
      <w:r>
        <w:instrText xml:space="preserve"> PAGEREF _Toc8818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73B268AC">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_Toc20855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五、其他应提供的资料</w:t>
      </w:r>
      <w:r>
        <w:tab/>
      </w:r>
      <w:r>
        <w:fldChar w:fldCharType="begin"/>
      </w:r>
      <w:r>
        <w:instrText xml:space="preserve"> PAGEREF _Toc20855 \h </w:instrText>
      </w:r>
      <w:r>
        <w:fldChar w:fldCharType="separate"/>
      </w:r>
      <w:r>
        <w:t>- 29 -</w:t>
      </w:r>
      <w:r>
        <w:fldChar w:fldCharType="end"/>
      </w:r>
      <w:r>
        <w:rPr>
          <w:rFonts w:hint="eastAsia" w:ascii="微软雅黑" w:hAnsi="微软雅黑" w:eastAsia="微软雅黑" w:cs="微软雅黑"/>
          <w:color w:val="auto"/>
          <w:szCs w:val="21"/>
          <w:highlight w:val="none"/>
        </w:rPr>
        <w:fldChar w:fldCharType="end"/>
      </w:r>
    </w:p>
    <w:p w14:paraId="22523BD0">
      <w:pPr>
        <w:pStyle w:val="48"/>
        <w:tabs>
          <w:tab w:val="right" w:leader="dot" w:pos="9402"/>
        </w:tabs>
        <w:spacing w:line="480" w:lineRule="exact"/>
        <w:ind w:left="560"/>
        <w:jc w:val="center"/>
        <w:rPr>
          <w:rFonts w:hint="eastAsia" w:ascii="微软雅黑" w:hAnsi="微软雅黑" w:eastAsia="微软雅黑" w:cs="微软雅黑"/>
          <w:color w:val="auto"/>
          <w:sz w:val="18"/>
          <w:szCs w:val="22"/>
          <w:highlight w:val="none"/>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highlight w:val="none"/>
        </w:rPr>
        <w:fldChar w:fldCharType="end"/>
      </w:r>
    </w:p>
    <w:p w14:paraId="0631403C">
      <w:pPr>
        <w:pStyle w:val="3"/>
        <w:spacing w:line="360" w:lineRule="auto"/>
        <w:jc w:val="center"/>
        <w:rPr>
          <w:rFonts w:hint="eastAsia" w:ascii="微软雅黑" w:hAnsi="微软雅黑" w:eastAsia="微软雅黑" w:cs="微软雅黑"/>
          <w:b w:val="0"/>
          <w:color w:val="auto"/>
          <w:szCs w:val="30"/>
          <w:highlight w:val="none"/>
        </w:rPr>
      </w:pPr>
      <w:bookmarkStart w:id="0" w:name="_Toc8176"/>
      <w:bookmarkStart w:id="1" w:name="_Toc10779"/>
      <w:bookmarkStart w:id="2" w:name="_Toc12789052"/>
      <w:bookmarkStart w:id="3" w:name="_Toc11641050"/>
      <w:r>
        <w:rPr>
          <w:rFonts w:hint="eastAsia" w:ascii="微软雅黑" w:hAnsi="微软雅黑" w:eastAsia="微软雅黑" w:cs="微软雅黑"/>
          <w:b w:val="0"/>
          <w:color w:val="auto"/>
          <w:sz w:val="36"/>
          <w:szCs w:val="30"/>
          <w:highlight w:val="none"/>
        </w:rPr>
        <w:t>第一篇  采购邀请书</w:t>
      </w:r>
      <w:bookmarkEnd w:id="0"/>
      <w:bookmarkEnd w:id="1"/>
      <w:bookmarkEnd w:id="2"/>
      <w:bookmarkEnd w:id="3"/>
    </w:p>
    <w:p w14:paraId="2A79E0D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重庆麦迪逊招投标代理有限公司接受</w:t>
      </w:r>
      <w:r>
        <w:rPr>
          <w:rFonts w:hint="eastAsia" w:ascii="微软雅黑" w:hAnsi="微软雅黑" w:eastAsia="微软雅黑" w:cs="微软雅黑"/>
          <w:color w:val="auto"/>
          <w:sz w:val="24"/>
          <w:szCs w:val="24"/>
          <w:highlight w:val="none"/>
          <w:lang w:eastAsia="zh-CN"/>
        </w:rPr>
        <w:t>重庆市荣昌区规划和自然资源局的委托，参照政府采购法及相关规定对</w:t>
      </w:r>
      <w:r>
        <w:rPr>
          <w:rFonts w:hint="eastAsia" w:ascii="微软雅黑" w:hAnsi="微软雅黑" w:eastAsia="微软雅黑" w:cs="微软雅黑"/>
          <w:color w:val="auto"/>
          <w:sz w:val="24"/>
          <w:szCs w:val="24"/>
          <w:highlight w:val="none"/>
          <w:lang w:val="en-US" w:eastAsia="zh-CN"/>
        </w:rPr>
        <w:t>重庆市荣昌区规划和自然资源局干货类（蛋米油除外）配送供应</w:t>
      </w:r>
      <w:r>
        <w:rPr>
          <w:rFonts w:hint="eastAsia" w:ascii="微软雅黑" w:hAnsi="微软雅黑" w:eastAsia="微软雅黑" w:cs="微软雅黑"/>
          <w:color w:val="auto"/>
          <w:sz w:val="24"/>
          <w:szCs w:val="24"/>
          <w:highlight w:val="none"/>
        </w:rPr>
        <w:t>进行竞争性磋商采购。欢迎有资格的供应商前来参与磋商。</w:t>
      </w:r>
    </w:p>
    <w:p w14:paraId="20B2E87E">
      <w:pPr>
        <w:pStyle w:val="4"/>
        <w:spacing w:before="0" w:after="0" w:line="400" w:lineRule="exact"/>
        <w:rPr>
          <w:rFonts w:hint="eastAsia" w:ascii="微软雅黑" w:hAnsi="微软雅黑" w:eastAsia="微软雅黑" w:cs="微软雅黑"/>
          <w:color w:val="auto"/>
          <w:sz w:val="24"/>
          <w:szCs w:val="24"/>
          <w:highlight w:val="none"/>
        </w:rPr>
      </w:pPr>
      <w:bookmarkStart w:id="4" w:name="_Toc21642"/>
      <w:bookmarkStart w:id="5" w:name="_Toc317775175"/>
      <w:bookmarkStart w:id="6" w:name="_Toc313893526"/>
      <w:bookmarkStart w:id="7" w:name="_Toc7816"/>
      <w:r>
        <w:rPr>
          <w:rFonts w:hint="eastAsia" w:ascii="微软雅黑" w:hAnsi="微软雅黑" w:eastAsia="微软雅黑" w:cs="微软雅黑"/>
          <w:color w:val="auto"/>
          <w:sz w:val="24"/>
          <w:szCs w:val="24"/>
          <w:highlight w:val="none"/>
        </w:rPr>
        <w:t>一、竞争性磋商内容</w:t>
      </w:r>
      <w:bookmarkEnd w:id="4"/>
      <w:bookmarkEnd w:id="5"/>
      <w:bookmarkEnd w:id="6"/>
      <w:bookmarkEnd w:id="7"/>
    </w:p>
    <w:tbl>
      <w:tblPr>
        <w:tblStyle w:val="60"/>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464"/>
        <w:gridCol w:w="1163"/>
        <w:gridCol w:w="1548"/>
        <w:gridCol w:w="2122"/>
      </w:tblGrid>
      <w:tr w14:paraId="17E3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532" w:type="pct"/>
            <w:tcBorders>
              <w:top w:val="single" w:color="auto" w:sz="4" w:space="0"/>
              <w:left w:val="single" w:color="auto" w:sz="4" w:space="0"/>
              <w:right w:val="single" w:color="auto" w:sz="4" w:space="0"/>
            </w:tcBorders>
            <w:noWrap w:val="0"/>
            <w:vAlign w:val="center"/>
          </w:tcPr>
          <w:p w14:paraId="254D753A">
            <w:pPr>
              <w:widowControl/>
              <w:spacing w:line="440" w:lineRule="exact"/>
              <w:jc w:val="center"/>
              <w:rPr>
                <w:rFonts w:hint="eastAsia" w:ascii="微软雅黑" w:hAnsi="微软雅黑" w:eastAsia="微软雅黑" w:cs="微软雅黑"/>
                <w:b/>
                <w:bCs/>
                <w:kern w:val="0"/>
                <w:sz w:val="24"/>
                <w:szCs w:val="24"/>
              </w:rPr>
            </w:pPr>
            <w:bookmarkStart w:id="8" w:name="_Toc6218"/>
            <w:bookmarkStart w:id="9" w:name="_Toc373860293"/>
            <w:bookmarkStart w:id="10" w:name="_Toc317775178"/>
            <w:r>
              <w:rPr>
                <w:rFonts w:hint="eastAsia" w:ascii="微软雅黑" w:hAnsi="微软雅黑" w:eastAsia="微软雅黑" w:cs="微软雅黑"/>
                <w:b/>
                <w:bCs/>
                <w:kern w:val="0"/>
                <w:sz w:val="24"/>
                <w:szCs w:val="24"/>
              </w:rPr>
              <w:t>项目名称</w:t>
            </w:r>
          </w:p>
        </w:tc>
        <w:tc>
          <w:tcPr>
            <w:tcW w:w="806" w:type="pct"/>
            <w:tcBorders>
              <w:top w:val="single" w:color="auto" w:sz="4" w:space="0"/>
              <w:left w:val="single" w:color="auto" w:sz="4" w:space="0"/>
              <w:right w:val="single" w:color="auto" w:sz="4" w:space="0"/>
            </w:tcBorders>
            <w:noWrap w:val="0"/>
            <w:vAlign w:val="center"/>
          </w:tcPr>
          <w:p w14:paraId="6154F47D">
            <w:pPr>
              <w:widowControl/>
              <w:spacing w:line="4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采购预算</w:t>
            </w:r>
          </w:p>
          <w:p w14:paraId="67ED4759">
            <w:pPr>
              <w:widowControl/>
              <w:spacing w:line="4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（万元）</w:t>
            </w:r>
          </w:p>
        </w:tc>
        <w:tc>
          <w:tcPr>
            <w:tcW w:w="640" w:type="pct"/>
            <w:tcBorders>
              <w:top w:val="single" w:color="auto" w:sz="4" w:space="0"/>
              <w:left w:val="single" w:color="auto" w:sz="4" w:space="0"/>
              <w:right w:val="single" w:color="auto" w:sz="4" w:space="0"/>
            </w:tcBorders>
            <w:noWrap w:val="0"/>
            <w:vAlign w:val="center"/>
          </w:tcPr>
          <w:p w14:paraId="017CB968">
            <w:pPr>
              <w:widowControl/>
              <w:spacing w:line="440" w:lineRule="exact"/>
              <w:jc w:val="center"/>
              <w:rPr>
                <w:rFonts w:hint="eastAsia" w:ascii="微软雅黑" w:hAnsi="微软雅黑" w:eastAsia="微软雅黑" w:cs="微软雅黑"/>
                <w:b/>
                <w:bCs/>
                <w:kern w:val="0"/>
                <w:sz w:val="24"/>
                <w:szCs w:val="24"/>
                <w:lang w:val="en-US" w:eastAsia="zh-CN"/>
              </w:rPr>
            </w:pPr>
            <w:r>
              <w:rPr>
                <w:rFonts w:hint="eastAsia" w:ascii="微软雅黑" w:hAnsi="微软雅黑" w:eastAsia="微软雅黑" w:cs="微软雅黑"/>
                <w:b/>
                <w:bCs/>
                <w:kern w:val="0"/>
                <w:sz w:val="24"/>
                <w:szCs w:val="24"/>
                <w:lang w:val="en-US" w:eastAsia="zh-CN"/>
              </w:rPr>
              <w:t>最高限价折扣</w:t>
            </w:r>
          </w:p>
        </w:tc>
        <w:tc>
          <w:tcPr>
            <w:tcW w:w="852" w:type="pct"/>
            <w:tcBorders>
              <w:top w:val="single" w:color="auto" w:sz="4" w:space="0"/>
              <w:left w:val="single" w:color="auto" w:sz="4" w:space="0"/>
              <w:right w:val="single" w:color="auto" w:sz="4" w:space="0"/>
            </w:tcBorders>
            <w:noWrap w:val="0"/>
            <w:vAlign w:val="center"/>
          </w:tcPr>
          <w:p w14:paraId="6BC4B0B2">
            <w:pPr>
              <w:widowControl/>
              <w:spacing w:line="4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成交供应商数量（名）</w:t>
            </w:r>
          </w:p>
        </w:tc>
        <w:tc>
          <w:tcPr>
            <w:tcW w:w="1168" w:type="pct"/>
            <w:tcBorders>
              <w:top w:val="single" w:color="auto" w:sz="4" w:space="0"/>
              <w:left w:val="single" w:color="auto" w:sz="4" w:space="0"/>
              <w:right w:val="single" w:color="auto" w:sz="4" w:space="0"/>
            </w:tcBorders>
            <w:noWrap w:val="0"/>
            <w:vAlign w:val="center"/>
          </w:tcPr>
          <w:p w14:paraId="463AC70D">
            <w:pPr>
              <w:widowControl/>
              <w:spacing w:line="440" w:lineRule="exact"/>
              <w:jc w:val="center"/>
              <w:rPr>
                <w:rFonts w:hint="eastAsia" w:ascii="微软雅黑" w:hAnsi="微软雅黑" w:eastAsia="微软雅黑" w:cs="微软雅黑"/>
                <w:b/>
                <w:bCs/>
                <w:kern w:val="0"/>
                <w:sz w:val="24"/>
                <w:szCs w:val="24"/>
                <w:lang w:eastAsia="zh-CN"/>
              </w:rPr>
            </w:pPr>
            <w:r>
              <w:rPr>
                <w:rFonts w:hint="eastAsia" w:ascii="微软雅黑" w:hAnsi="微软雅黑" w:eastAsia="微软雅黑" w:cs="微软雅黑"/>
                <w:b/>
                <w:bCs/>
                <w:kern w:val="0"/>
                <w:sz w:val="24"/>
                <w:szCs w:val="24"/>
                <w:lang w:val="en-US" w:eastAsia="zh-CN"/>
              </w:rPr>
              <w:t>备注</w:t>
            </w:r>
          </w:p>
        </w:tc>
      </w:tr>
      <w:tr w14:paraId="75BE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32" w:type="pct"/>
            <w:tcBorders>
              <w:top w:val="single" w:color="auto" w:sz="4" w:space="0"/>
              <w:left w:val="single" w:color="auto" w:sz="4" w:space="0"/>
              <w:bottom w:val="single" w:color="auto" w:sz="4" w:space="0"/>
              <w:right w:val="single" w:color="auto" w:sz="4" w:space="0"/>
            </w:tcBorders>
            <w:noWrap w:val="0"/>
            <w:vAlign w:val="center"/>
          </w:tcPr>
          <w:p w14:paraId="0337FC8F">
            <w:pPr>
              <w:widowControl/>
              <w:jc w:val="center"/>
              <w:rPr>
                <w:rFonts w:hint="eastAsia" w:ascii="微软雅黑" w:hAnsi="微软雅黑" w:eastAsia="微软雅黑" w:cs="微软雅黑"/>
                <w:color w:val="auto"/>
                <w:sz w:val="21"/>
                <w:szCs w:val="21"/>
              </w:rPr>
            </w:pPr>
            <w:bookmarkStart w:id="11" w:name="_Hlk344477914"/>
            <w:bookmarkStart w:id="199" w:name="_GoBack"/>
            <w:r>
              <w:rPr>
                <w:rFonts w:hint="eastAsia" w:ascii="微软雅黑" w:hAnsi="微软雅黑" w:eastAsia="微软雅黑" w:cs="微软雅黑"/>
                <w:color w:val="auto"/>
                <w:kern w:val="0"/>
                <w:sz w:val="24"/>
                <w:szCs w:val="24"/>
                <w:lang w:val="en-US" w:eastAsia="zh-CN"/>
              </w:rPr>
              <w:t>重庆市荣昌区规划和自然资源局干货类（蛋米油除外）配送供应</w:t>
            </w:r>
            <w:bookmarkEnd w:id="199"/>
          </w:p>
        </w:tc>
        <w:tc>
          <w:tcPr>
            <w:tcW w:w="806" w:type="pct"/>
            <w:tcBorders>
              <w:top w:val="single" w:color="auto" w:sz="4" w:space="0"/>
              <w:left w:val="single" w:color="auto" w:sz="4" w:space="0"/>
              <w:bottom w:val="single" w:color="auto" w:sz="4" w:space="0"/>
              <w:right w:val="single" w:color="auto" w:sz="4" w:space="0"/>
            </w:tcBorders>
            <w:noWrap w:val="0"/>
            <w:vAlign w:val="center"/>
          </w:tcPr>
          <w:p w14:paraId="1A31E17B">
            <w:pPr>
              <w:widowControl/>
              <w:jc w:val="center"/>
              <w:rPr>
                <w:rFonts w:hint="eastAsia" w:ascii="微软雅黑" w:hAnsi="微软雅黑" w:eastAsia="微软雅黑" w:cs="微软雅黑"/>
                <w:color w:val="auto"/>
                <w:kern w:val="0"/>
                <w:sz w:val="21"/>
                <w:szCs w:val="24"/>
                <w:lang w:val="en-US" w:eastAsia="zh-CN"/>
              </w:rPr>
            </w:pPr>
            <w:r>
              <w:rPr>
                <w:rFonts w:hint="eastAsia" w:ascii="微软雅黑" w:hAnsi="微软雅黑" w:eastAsia="微软雅黑" w:cs="微软雅黑"/>
                <w:color w:val="auto"/>
                <w:kern w:val="0"/>
                <w:sz w:val="24"/>
                <w:szCs w:val="24"/>
                <w:lang w:val="en-US" w:eastAsia="zh-CN"/>
              </w:rPr>
              <w:t>45</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0100C299">
            <w:pPr>
              <w:widowControl/>
              <w:spacing w:line="440" w:lineRule="exact"/>
              <w:jc w:val="center"/>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95%</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0B15C13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168" w:type="pct"/>
            <w:tcBorders>
              <w:left w:val="single" w:color="auto" w:sz="4" w:space="0"/>
              <w:right w:val="single" w:color="auto" w:sz="4" w:space="0"/>
            </w:tcBorders>
            <w:noWrap w:val="0"/>
            <w:vAlign w:val="center"/>
          </w:tcPr>
          <w:p w14:paraId="7C13DBA7">
            <w:pPr>
              <w:widowControl/>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w:t>
            </w:r>
          </w:p>
        </w:tc>
      </w:tr>
      <w:bookmarkEnd w:id="11"/>
    </w:tbl>
    <w:p w14:paraId="25253039">
      <w:pPr>
        <w:pStyle w:val="4"/>
        <w:spacing w:before="0" w:after="0" w:line="400" w:lineRule="exact"/>
        <w:rPr>
          <w:rFonts w:hint="eastAsia" w:ascii="微软雅黑" w:hAnsi="微软雅黑" w:eastAsia="微软雅黑" w:cs="微软雅黑"/>
          <w:color w:val="auto"/>
          <w:sz w:val="24"/>
          <w:szCs w:val="24"/>
          <w:highlight w:val="none"/>
        </w:rPr>
      </w:pPr>
      <w:bookmarkStart w:id="12" w:name="_Toc16952"/>
      <w:r>
        <w:rPr>
          <w:rFonts w:hint="eastAsia" w:ascii="微软雅黑" w:hAnsi="微软雅黑" w:eastAsia="微软雅黑" w:cs="微软雅黑"/>
          <w:color w:val="auto"/>
          <w:sz w:val="24"/>
          <w:szCs w:val="24"/>
          <w:highlight w:val="none"/>
        </w:rPr>
        <w:t>二、资金来源</w:t>
      </w:r>
      <w:bookmarkEnd w:id="8"/>
      <w:bookmarkEnd w:id="12"/>
    </w:p>
    <w:p w14:paraId="1EB7C231">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采购人自有资金。</w:t>
      </w:r>
    </w:p>
    <w:p w14:paraId="0AA19038">
      <w:pPr>
        <w:pStyle w:val="4"/>
        <w:spacing w:before="0" w:after="0" w:line="400" w:lineRule="exact"/>
        <w:rPr>
          <w:rFonts w:hint="eastAsia" w:ascii="微软雅黑" w:hAnsi="微软雅黑" w:eastAsia="微软雅黑" w:cs="微软雅黑"/>
          <w:color w:val="auto"/>
          <w:sz w:val="24"/>
          <w:szCs w:val="24"/>
          <w:highlight w:val="none"/>
        </w:rPr>
      </w:pPr>
      <w:bookmarkStart w:id="13" w:name="_Toc14064"/>
      <w:bookmarkStart w:id="14" w:name="_Toc29970"/>
      <w:r>
        <w:rPr>
          <w:rFonts w:hint="eastAsia" w:ascii="微软雅黑" w:hAnsi="微软雅黑" w:eastAsia="微软雅黑" w:cs="微软雅黑"/>
          <w:color w:val="auto"/>
          <w:sz w:val="24"/>
          <w:szCs w:val="24"/>
          <w:highlight w:val="none"/>
        </w:rPr>
        <w:t>三、供应商资格条件</w:t>
      </w:r>
      <w:bookmarkEnd w:id="13"/>
      <w:bookmarkEnd w:id="14"/>
    </w:p>
    <w:p w14:paraId="73267395">
      <w:pPr>
        <w:spacing w:line="380" w:lineRule="exact"/>
        <w:ind w:firstLine="480" w:firstLineChars="200"/>
        <w:rPr>
          <w:rFonts w:hint="eastAsia" w:ascii="微软雅黑" w:hAnsi="微软雅黑" w:eastAsia="微软雅黑" w:cs="微软雅黑"/>
          <w:color w:val="auto"/>
          <w:sz w:val="24"/>
          <w:szCs w:val="24"/>
          <w:highlight w:val="none"/>
        </w:rPr>
      </w:pPr>
      <w:bookmarkStart w:id="15" w:name="_Hlk37688792"/>
      <w:r>
        <w:rPr>
          <w:rFonts w:hint="eastAsia" w:ascii="微软雅黑" w:hAnsi="微软雅黑" w:eastAsia="微软雅黑" w:cs="微软雅黑"/>
          <w:color w:val="auto"/>
          <w:sz w:val="24"/>
          <w:szCs w:val="24"/>
          <w:highlight w:val="none"/>
        </w:rPr>
        <w:t>（一）满足《中华人民共和国政府采购法》第二十二条规定；</w:t>
      </w:r>
    </w:p>
    <w:p w14:paraId="252D00A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（二）落实政府采购政策需满足的资格要求：</w:t>
      </w:r>
      <w:r>
        <w:rPr>
          <w:rFonts w:hint="eastAsia" w:ascii="微软雅黑" w:hAnsi="微软雅黑" w:eastAsia="微软雅黑" w:cs="微软雅黑"/>
          <w:color w:val="auto"/>
          <w:sz w:val="24"/>
          <w:szCs w:val="24"/>
          <w:highlight w:val="none"/>
          <w:lang w:val="en-US" w:eastAsia="zh-CN"/>
        </w:rPr>
        <w:t>无</w:t>
      </w:r>
      <w:r>
        <w:rPr>
          <w:rFonts w:hint="eastAsia" w:ascii="微软雅黑" w:hAnsi="微软雅黑" w:eastAsia="微软雅黑" w:cs="微软雅黑"/>
          <w:color w:val="auto"/>
          <w:sz w:val="24"/>
          <w:szCs w:val="24"/>
          <w:highlight w:val="none"/>
        </w:rPr>
        <w:t>。</w:t>
      </w:r>
    </w:p>
    <w:p w14:paraId="4A7F0BAA">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（三）本项目的特定资格要求：</w:t>
      </w:r>
      <w:r>
        <w:rPr>
          <w:rFonts w:hint="eastAsia" w:ascii="微软雅黑" w:hAnsi="微软雅黑" w:eastAsia="微软雅黑" w:cs="微软雅黑"/>
          <w:color w:val="auto"/>
          <w:sz w:val="24"/>
          <w:szCs w:val="24"/>
          <w:highlight w:val="none"/>
          <w:lang w:val="en-US" w:eastAsia="zh-CN"/>
        </w:rPr>
        <w:t>供应商需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行政主管部门颁发的有效的《食品经营许可证》复印件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或食品经营备案回执复印件</w:t>
      </w:r>
      <w:r>
        <w:rPr>
          <w:rFonts w:hint="eastAsia" w:ascii="微软雅黑" w:hAnsi="微软雅黑" w:eastAsia="微软雅黑" w:cs="微软雅黑"/>
          <w:color w:val="auto"/>
          <w:sz w:val="24"/>
          <w:szCs w:val="24"/>
          <w:highlight w:val="none"/>
          <w:lang w:eastAsia="zh-CN"/>
        </w:rPr>
        <w:t>）并加盖供应商公章</w:t>
      </w:r>
      <w:r>
        <w:rPr>
          <w:rFonts w:hint="eastAsia" w:ascii="微软雅黑" w:hAnsi="微软雅黑" w:eastAsia="微软雅黑" w:cs="微软雅黑"/>
          <w:color w:val="auto"/>
          <w:sz w:val="24"/>
          <w:szCs w:val="24"/>
          <w:highlight w:val="none"/>
        </w:rPr>
        <w:t>。</w:t>
      </w:r>
    </w:p>
    <w:bookmarkEnd w:id="15"/>
    <w:p w14:paraId="06EF6269">
      <w:pPr>
        <w:pStyle w:val="4"/>
        <w:spacing w:before="0" w:after="0" w:line="480" w:lineRule="exact"/>
        <w:rPr>
          <w:rFonts w:hint="eastAsia" w:ascii="微软雅黑" w:hAnsi="微软雅黑" w:eastAsia="微软雅黑" w:cs="微软雅黑"/>
          <w:color w:val="auto"/>
          <w:sz w:val="24"/>
          <w:szCs w:val="24"/>
          <w:highlight w:val="none"/>
        </w:rPr>
      </w:pPr>
      <w:bookmarkStart w:id="16" w:name="_Toc16508"/>
      <w:bookmarkStart w:id="17" w:name="_Toc20846"/>
      <w:r>
        <w:rPr>
          <w:rFonts w:hint="eastAsia" w:ascii="微软雅黑" w:hAnsi="微软雅黑" w:eastAsia="微软雅黑" w:cs="微软雅黑"/>
          <w:color w:val="auto"/>
          <w:sz w:val="24"/>
          <w:szCs w:val="24"/>
          <w:highlight w:val="none"/>
        </w:rPr>
        <w:t>四、磋商有关说明</w:t>
      </w:r>
      <w:bookmarkEnd w:id="9"/>
      <w:bookmarkEnd w:id="16"/>
      <w:bookmarkEnd w:id="17"/>
    </w:p>
    <w:bookmarkEnd w:id="10"/>
    <w:p w14:paraId="289F0DF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磋商的供应商，请于公告发布之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8E7A2EE">
      <w:pPr>
        <w:spacing w:line="380" w:lineRule="exact"/>
        <w:ind w:firstLine="480" w:firstLineChars="200"/>
        <w:rPr>
          <w:rFonts w:hint="eastAsia" w:ascii="微软雅黑" w:hAnsi="微软雅黑" w:eastAsia="微软雅黑" w:cs="微软雅黑"/>
          <w:color w:val="auto"/>
          <w:sz w:val="24"/>
          <w:szCs w:val="24"/>
          <w:highlight w:val="none"/>
        </w:rPr>
      </w:pPr>
      <w:bookmarkStart w:id="18" w:name="_Toc499216279"/>
      <w:bookmarkStart w:id="19" w:name="_Toc373860294"/>
      <w:bookmarkStart w:id="20" w:name="_Toc460146763"/>
      <w:bookmarkStart w:id="21" w:name="_Toc499131150"/>
      <w:r>
        <w:rPr>
          <w:rFonts w:hint="eastAsia" w:ascii="微软雅黑" w:hAnsi="微软雅黑" w:eastAsia="微软雅黑" w:cs="微软雅黑"/>
          <w:color w:val="auto"/>
          <w:sz w:val="24"/>
          <w:szCs w:val="24"/>
          <w:highlight w:val="none"/>
        </w:rPr>
        <w:t>（二）报名及竞争性磋商文件的购买方式</w:t>
      </w:r>
    </w:p>
    <w:p w14:paraId="69627B5F">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1.现场报名及购买竞争性磋商文件：凡有意参加磋商的供应商，请于2025年</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日至202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01</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06日</w:t>
      </w:r>
      <w:r>
        <w:rPr>
          <w:rFonts w:hint="eastAsia" w:ascii="微软雅黑" w:hAnsi="微软雅黑" w:eastAsia="微软雅黑" w:cs="微软雅黑"/>
          <w:color w:val="auto"/>
          <w:sz w:val="24"/>
          <w:szCs w:val="24"/>
          <w:highlight w:val="none"/>
        </w:rPr>
        <w:t>上午9：00时至12：00时，下午14：00至17：00时（法定公休日、法定节假日除外）携带《磋商文件发售登记表》（加盖供应商公章）到重庆麦迪逊招投标代理有限公司（重庆市江北区海尔路金科廊桥水岸4号附46号）报名。</w:t>
      </w:r>
    </w:p>
    <w:p w14:paraId="0223CF8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非现场报名及购买竞争性磋商文件：在报名和磋商文件发售期内，供应商将《磋商文件发售登记表》（加盖供应商公章）扫描后发送至2933731547@qq.com（邮箱）。磋商文件购买费用可在开标现场于递交响应文件截止时间前缴纳。</w:t>
      </w:r>
    </w:p>
    <w:p w14:paraId="32DDCDC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（三）竞争性磋商文件售价300元/份（售后不退）。此费由供应商在报名时缴纳，否则采购人和采购代理机构有权拒收其响应文件。</w:t>
      </w:r>
    </w:p>
    <w:p w14:paraId="022C33A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（四）供应商须满足以下两种要件，其响应文件才被接受：</w:t>
      </w:r>
    </w:p>
    <w:p w14:paraId="74C718EF">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1、按时递交了响应文件；</w:t>
      </w:r>
    </w:p>
    <w:p w14:paraId="151485A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2、按时报名签到。</w:t>
      </w:r>
    </w:p>
    <w:p w14:paraId="039F835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（五）递交响应文件地点：重庆市荣昌区规划和自然资源局</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具体会议室待通知</w:t>
      </w:r>
      <w:r>
        <w:rPr>
          <w:rFonts w:hint="eastAsia" w:ascii="微软雅黑" w:hAnsi="微软雅黑" w:eastAsia="微软雅黑" w:cs="微软雅黑"/>
          <w:color w:val="auto"/>
          <w:sz w:val="24"/>
          <w:szCs w:val="24"/>
          <w:highlight w:val="none"/>
          <w:lang w:eastAsia="zh-CN"/>
        </w:rPr>
        <w:t>）</w:t>
      </w:r>
    </w:p>
    <w:p w14:paraId="6516656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（六）响应文件递交截止时间：</w:t>
      </w:r>
      <w:r>
        <w:rPr>
          <w:rFonts w:hint="eastAsia" w:ascii="微软雅黑" w:hAnsi="微软雅黑" w:eastAsia="微软雅黑" w:cs="微软雅黑"/>
          <w:color w:val="auto"/>
          <w:sz w:val="24"/>
          <w:szCs w:val="24"/>
          <w:highlight w:val="none"/>
          <w:lang w:val="en-US" w:eastAsia="zh-CN"/>
        </w:rPr>
        <w:t>2026年01月09日北京时间14:00</w:t>
      </w:r>
    </w:p>
    <w:p w14:paraId="3020AA2E">
      <w:pPr>
        <w:spacing w:line="380" w:lineRule="exact"/>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（七）磋商开始时间：2026年01月09日北京时间14:00</w:t>
      </w:r>
    </w:p>
    <w:p w14:paraId="3324A14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（八）磋商地点：同递交响应文件地点</w:t>
      </w:r>
      <w:bookmarkEnd w:id="18"/>
      <w:bookmarkEnd w:id="19"/>
      <w:bookmarkEnd w:id="20"/>
      <w:bookmarkEnd w:id="21"/>
      <w:bookmarkStart w:id="22" w:name="_Toc17290279"/>
    </w:p>
    <w:p w14:paraId="1F4B4F59">
      <w:pPr>
        <w:pStyle w:val="4"/>
        <w:spacing w:before="0" w:after="0" w:line="380" w:lineRule="exact"/>
        <w:rPr>
          <w:rFonts w:hint="eastAsia" w:ascii="微软雅黑" w:hAnsi="微软雅黑" w:eastAsia="微软雅黑" w:cs="微软雅黑"/>
          <w:color w:val="auto"/>
          <w:sz w:val="24"/>
          <w:szCs w:val="24"/>
          <w:highlight w:val="none"/>
        </w:rPr>
      </w:pPr>
      <w:bookmarkStart w:id="23" w:name="_Toc16948"/>
      <w:bookmarkStart w:id="24" w:name="_Toc14631"/>
      <w:r>
        <w:rPr>
          <w:rFonts w:hint="eastAsia" w:ascii="微软雅黑" w:hAnsi="微软雅黑" w:eastAsia="微软雅黑" w:cs="微软雅黑"/>
          <w:color w:val="auto"/>
          <w:sz w:val="24"/>
          <w:szCs w:val="24"/>
          <w:highlight w:val="none"/>
        </w:rPr>
        <w:t>五、</w:t>
      </w:r>
      <w:bookmarkStart w:id="25" w:name="_Toc479668114"/>
      <w:bookmarkStart w:id="26" w:name="_Toc480466698"/>
      <w:r>
        <w:rPr>
          <w:rFonts w:hint="eastAsia" w:ascii="微软雅黑" w:hAnsi="微软雅黑" w:eastAsia="微软雅黑" w:cs="微软雅黑"/>
          <w:color w:val="auto"/>
          <w:sz w:val="24"/>
          <w:szCs w:val="24"/>
          <w:highlight w:val="none"/>
        </w:rPr>
        <w:t>采购项目需落实的政府采购政策</w:t>
      </w:r>
      <w:bookmarkEnd w:id="22"/>
      <w:bookmarkEnd w:id="23"/>
      <w:bookmarkEnd w:id="24"/>
      <w:bookmarkEnd w:id="25"/>
      <w:bookmarkEnd w:id="26"/>
    </w:p>
    <w:p w14:paraId="272FD22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09E5E0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（二）按照《财政部 工业和信息化部关于印发&lt;政府采购促进中小企业发展暂行办法&gt;的通知》（财库〔2020〕46号）的规定，落实促进中小企业发展政策。</w:t>
      </w:r>
    </w:p>
    <w:p w14:paraId="068981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（三）按照《财政部、司法部关于政府采购支持监狱企业发展有关问题的通知》（财库〔2014〕68号）的规定，落实支持监狱企业发展政策。</w:t>
      </w:r>
    </w:p>
    <w:p w14:paraId="642FED9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（四）按照《三部门联合发布关于促进残疾人就业政府采购政策的通知》（财库〔2017〕 141号）的规定，落实支持残疾人福利性单位发展政策。</w:t>
      </w:r>
    </w:p>
    <w:p w14:paraId="1DBA409A">
      <w:pPr>
        <w:pStyle w:val="4"/>
        <w:spacing w:before="0" w:after="0" w:line="380" w:lineRule="exact"/>
        <w:rPr>
          <w:rFonts w:hint="eastAsia" w:ascii="微软雅黑" w:hAnsi="微软雅黑" w:eastAsia="微软雅黑" w:cs="微软雅黑"/>
          <w:color w:val="auto"/>
          <w:sz w:val="24"/>
          <w:szCs w:val="24"/>
          <w:highlight w:val="none"/>
        </w:rPr>
      </w:pPr>
      <w:bookmarkStart w:id="27" w:name="_Toc32219"/>
      <w:bookmarkStart w:id="28" w:name="_Toc28813"/>
      <w:bookmarkStart w:id="29" w:name="_Toc499131151"/>
      <w:bookmarkStart w:id="30" w:name="_Toc499216280"/>
      <w:bookmarkStart w:id="31" w:name="_Toc457584285"/>
      <w:r>
        <w:rPr>
          <w:rFonts w:hint="eastAsia" w:ascii="微软雅黑" w:hAnsi="微软雅黑" w:eastAsia="微软雅黑" w:cs="微软雅黑"/>
          <w:color w:val="auto"/>
          <w:sz w:val="24"/>
          <w:szCs w:val="24"/>
          <w:highlight w:val="none"/>
        </w:rPr>
        <w:t>六、其它有关规定</w:t>
      </w:r>
      <w:bookmarkEnd w:id="27"/>
      <w:bookmarkEnd w:id="28"/>
      <w:bookmarkEnd w:id="29"/>
      <w:bookmarkEnd w:id="30"/>
      <w:bookmarkEnd w:id="31"/>
    </w:p>
    <w:p w14:paraId="0D4D14C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（一）单位负责人为同一人或者存在直接控股、管理关系的不同供应商，不得参加同一合同项下的采购活动，否则均为无效响应。</w:t>
      </w:r>
    </w:p>
    <w:p w14:paraId="612234E2">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（二）为采购项目提供整体设计、规范编制或者项目管理、监理、检测等服务的供应商，不得再参加该采购项目的其他采购活动，否则均为无效响应。</w:t>
      </w:r>
    </w:p>
    <w:p w14:paraId="7853BD35">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3F8E84C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（四）超过响应文件截止时间递交的响应文件为无效文件，恕不接收。</w:t>
      </w:r>
    </w:p>
    <w:p w14:paraId="598991B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（五）磋商费用：无论磋商结果如何，供应商参与本项目磋商的所有费用均应由供应商自行承担。</w:t>
      </w:r>
    </w:p>
    <w:p w14:paraId="0DA76915">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（六）列入失信被执行人、重大税收违法案件当事人名单、政府采购严重违法失信行为记录名单及其他不符合《中华人民共和国政府采购法》第二十二条规定条件的供应商，将拒绝其参与政府采购活动。</w:t>
      </w:r>
    </w:p>
    <w:p w14:paraId="6A76F111">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1.供应商可通过信用中国网站（</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"http://www.creditchina.gov.cn"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sz w:val="24"/>
          <w:szCs w:val="24"/>
          <w:highlight w:val="none"/>
        </w:rPr>
        <w:t>www.creditchina.gov.cn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）查询以下内容</w:t>
      </w:r>
    </w:p>
    <w:p w14:paraId="700AF9F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1.1“失信被执行人”；</w:t>
      </w:r>
    </w:p>
    <w:p w14:paraId="7025061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1.2“重大税收违法案件当事人名单”；</w:t>
      </w:r>
    </w:p>
    <w:p w14:paraId="5767C6E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2.供应商可通过中国政府采购网（www.ccgp.gov.cn）查询“政府采购严重违法失信行为记录名单”</w:t>
      </w:r>
    </w:p>
    <w:p w14:paraId="43471D7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（七）本项目不接受联合体磋商，否则按无效处理。</w:t>
      </w:r>
    </w:p>
    <w:p w14:paraId="1A42D80B">
      <w:pPr>
        <w:snapToGrid w:val="0"/>
        <w:spacing w:line="380" w:lineRule="exact"/>
        <w:ind w:firstLine="480" w:firstLineChars="200"/>
        <w:rPr>
          <w:rFonts w:hint="eastAsia" w:ascii="微软雅黑" w:hAnsi="微软雅黑" w:eastAsia="微软雅黑" w:cs="微软雅黑"/>
          <w:strike/>
          <w:color w:val="auto"/>
          <w:sz w:val="24"/>
          <w:szCs w:val="24"/>
          <w:highlight w:val="none"/>
        </w:rPr>
      </w:pPr>
      <w:r>
        <w:rPr>
          <w:rFonts w:hint="eastAsia" w:ascii="微软雅黑" w:hAnsi="微软雅黑" w:eastAsia="微软雅黑" w:cs="微软雅黑"/>
          <w:color w:val="auto"/>
          <w:sz w:val="24"/>
          <w:szCs w:val="24"/>
          <w:highlight w:val="none"/>
        </w:rPr>
        <w:t>（八）本项目不接受合同分包，否则按无效处理。</w:t>
      </w:r>
    </w:p>
    <w:p w14:paraId="1166E81A">
      <w:pPr>
        <w:pStyle w:val="4"/>
        <w:spacing w:before="0" w:after="0" w:line="380" w:lineRule="exact"/>
        <w:rPr>
          <w:rFonts w:hint="eastAsia" w:ascii="微软雅黑" w:hAnsi="微软雅黑" w:eastAsia="微软雅黑" w:cs="微软雅黑"/>
          <w:color w:val="auto"/>
          <w:sz w:val="24"/>
          <w:szCs w:val="24"/>
          <w:highlight w:val="none"/>
        </w:rPr>
      </w:pPr>
      <w:bookmarkStart w:id="32" w:name="_Toc499131152"/>
      <w:bookmarkStart w:id="33" w:name="_Toc24368"/>
      <w:bookmarkStart w:id="34" w:name="_Toc9554"/>
      <w:bookmarkStart w:id="35" w:name="_Toc499216281"/>
      <w:r>
        <w:rPr>
          <w:rFonts w:hint="eastAsia" w:ascii="微软雅黑" w:hAnsi="微软雅黑" w:eastAsia="微软雅黑" w:cs="微软雅黑"/>
          <w:color w:val="auto"/>
          <w:sz w:val="24"/>
          <w:szCs w:val="24"/>
          <w:highlight w:val="none"/>
        </w:rPr>
        <w:t>七、联系方式</w:t>
      </w:r>
      <w:bookmarkEnd w:id="32"/>
      <w:bookmarkEnd w:id="33"/>
      <w:bookmarkEnd w:id="34"/>
      <w:bookmarkEnd w:id="35"/>
    </w:p>
    <w:p w14:paraId="33E2F99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（一）采购代理机构：重庆麦迪逊招投标代理有限公司</w:t>
      </w:r>
    </w:p>
    <w:p w14:paraId="258D44D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联系人：张申</w:t>
      </w:r>
    </w:p>
    <w:p w14:paraId="3797783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w:t>
      </w:r>
      <w:bookmarkStart w:id="36" w:name="OLE_LINK7"/>
      <w:r>
        <w:rPr>
          <w:rFonts w:hint="eastAsia" w:ascii="微软雅黑" w:hAnsi="微软雅黑" w:eastAsia="微软雅黑" w:cs="微软雅黑"/>
          <w:color w:val="auto"/>
          <w:sz w:val="24"/>
          <w:szCs w:val="24"/>
          <w:highlight w:val="none"/>
        </w:rPr>
        <w:t xml:space="preserve">67631626  </w:t>
      </w:r>
      <w:bookmarkEnd w:id="36"/>
      <w:r>
        <w:rPr>
          <w:rFonts w:hint="eastAsia" w:ascii="微软雅黑" w:hAnsi="微软雅黑" w:eastAsia="微软雅黑" w:cs="微软雅黑"/>
          <w:color w:val="auto"/>
          <w:sz w:val="24"/>
          <w:szCs w:val="24"/>
          <w:highlight w:val="none"/>
        </w:rPr>
        <w:t>17830565948</w:t>
      </w:r>
    </w:p>
    <w:p w14:paraId="48EB12E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址：重庆市江北区海尔路金科廊桥水岸4号附46号</w:t>
      </w:r>
    </w:p>
    <w:p w14:paraId="7D41ABC4">
      <w:pPr>
        <w:spacing w:line="380" w:lineRule="exact"/>
        <w:ind w:firstLine="42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1"/>
          <w:szCs w:val="21"/>
          <w:highlight w:val="none"/>
        </w:rPr>
        <w:t>（二）采购人：</w:t>
      </w:r>
      <w:r>
        <w:rPr>
          <w:rFonts w:hint="eastAsia" w:ascii="微软雅黑" w:hAnsi="微软雅黑" w:eastAsia="微软雅黑" w:cs="微软雅黑"/>
          <w:color w:val="auto"/>
          <w:sz w:val="24"/>
          <w:szCs w:val="24"/>
          <w:highlight w:val="none"/>
          <w:lang w:eastAsia="zh-CN"/>
        </w:rPr>
        <w:t>重庆市荣昌区规划和自然资源局</w:t>
      </w:r>
    </w:p>
    <w:p w14:paraId="16BD97BC">
      <w:pPr>
        <w:spacing w:line="38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喻老师、罗老师</w:t>
      </w:r>
    </w:p>
    <w:p w14:paraId="139EA76C">
      <w:pPr>
        <w:spacing w:line="38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val="en-US" w:eastAsia="zh-CN"/>
        </w:rPr>
        <w:t xml:space="preserve">（023） 46736032 </w:t>
      </w:r>
    </w:p>
    <w:p w14:paraId="165F2E7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址：重庆市荣昌区昌元街道海棠社区迎宾大道20号</w:t>
      </w:r>
    </w:p>
    <w:p w14:paraId="03D3A027">
      <w:pPr>
        <w:snapToGrid w:val="0"/>
        <w:spacing w:line="360" w:lineRule="auto"/>
        <w:rPr>
          <w:rFonts w:hint="eastAsia" w:ascii="微软雅黑" w:hAnsi="微软雅黑" w:eastAsia="微软雅黑" w:cs="微软雅黑"/>
          <w:b/>
          <w:color w:val="auto"/>
          <w:sz w:val="24"/>
          <w:szCs w:val="24"/>
          <w:highlight w:val="none"/>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395C6086">
      <w:pPr>
        <w:pStyle w:val="3"/>
        <w:spacing w:before="0" w:after="0" w:line="360" w:lineRule="auto"/>
        <w:jc w:val="center"/>
        <w:rPr>
          <w:rFonts w:hint="eastAsia" w:ascii="微软雅黑" w:hAnsi="微软雅黑" w:eastAsia="微软雅黑" w:cs="微软雅黑"/>
          <w:b w:val="0"/>
          <w:color w:val="auto"/>
          <w:sz w:val="30"/>
          <w:szCs w:val="30"/>
          <w:highlight w:val="none"/>
        </w:rPr>
      </w:pPr>
      <w:bookmarkStart w:id="37" w:name="_Toc29485"/>
      <w:bookmarkStart w:id="38" w:name="_Toc2345"/>
      <w:r>
        <w:rPr>
          <w:rFonts w:hint="eastAsia" w:ascii="微软雅黑" w:hAnsi="微软雅黑" w:eastAsia="微软雅黑" w:cs="微软雅黑"/>
          <w:b w:val="0"/>
          <w:color w:val="auto"/>
          <w:sz w:val="36"/>
          <w:szCs w:val="30"/>
          <w:highlight w:val="none"/>
        </w:rPr>
        <w:t>第二篇  采购服务需求</w:t>
      </w:r>
      <w:bookmarkEnd w:id="37"/>
      <w:bookmarkEnd w:id="38"/>
    </w:p>
    <w:p w14:paraId="27EFCA07">
      <w:pPr>
        <w:pStyle w:val="4"/>
        <w:spacing w:before="0" w:after="0" w:line="400" w:lineRule="exact"/>
        <w:rPr>
          <w:rFonts w:hint="eastAsia" w:ascii="微软雅黑" w:hAnsi="微软雅黑" w:eastAsia="微软雅黑" w:cs="微软雅黑"/>
          <w:color w:val="auto"/>
          <w:sz w:val="24"/>
          <w:szCs w:val="24"/>
          <w:highlight w:val="none"/>
        </w:rPr>
      </w:pPr>
      <w:bookmarkStart w:id="39" w:name="_Toc24101"/>
      <w:bookmarkStart w:id="40" w:name="_Toc28858"/>
      <w:bookmarkStart w:id="41" w:name="_Toc12789058"/>
      <w:r>
        <w:rPr>
          <w:rFonts w:hint="eastAsia" w:ascii="微软雅黑" w:hAnsi="微软雅黑" w:eastAsia="微软雅黑" w:cs="微软雅黑"/>
          <w:color w:val="auto"/>
          <w:sz w:val="24"/>
          <w:szCs w:val="24"/>
          <w:highlight w:val="none"/>
        </w:rPr>
        <w:t>一、</w:t>
      </w:r>
      <w:bookmarkEnd w:id="39"/>
      <w:r>
        <w:rPr>
          <w:rFonts w:hint="eastAsia" w:ascii="微软雅黑" w:hAnsi="微软雅黑" w:eastAsia="微软雅黑" w:cs="微软雅黑"/>
          <w:color w:val="auto"/>
          <w:sz w:val="24"/>
          <w:szCs w:val="24"/>
          <w:highlight w:val="none"/>
        </w:rPr>
        <w:t>采购一览表</w:t>
      </w:r>
      <w:bookmarkEnd w:id="40"/>
    </w:p>
    <w:tbl>
      <w:tblPr>
        <w:tblStyle w:val="60"/>
        <w:tblpPr w:leftFromText="180" w:rightFromText="180" w:vertAnchor="text" w:horzAnchor="page" w:tblpX="1317" w:tblpY="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4"/>
        <w:gridCol w:w="4776"/>
        <w:gridCol w:w="1187"/>
      </w:tblGrid>
      <w:tr w14:paraId="6199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3624" w:type="dxa"/>
            <w:noWrap w:val="0"/>
            <w:vAlign w:val="center"/>
          </w:tcPr>
          <w:p w14:paraId="5C34E894">
            <w:pPr>
              <w:snapToGrid w:val="0"/>
              <w:spacing w:line="400" w:lineRule="exact"/>
              <w:jc w:val="center"/>
              <w:rPr>
                <w:rFonts w:hint="default" w:ascii="微软雅黑" w:hAnsi="微软雅黑" w:eastAsia="微软雅黑" w:cs="微软雅黑"/>
                <w:sz w:val="24"/>
                <w:szCs w:val="28"/>
                <w:highlight w:val="none"/>
                <w:lang w:val="en-US" w:eastAsia="zh-CN"/>
              </w:rPr>
            </w:pPr>
            <w:r>
              <w:rPr>
                <w:rFonts w:hint="eastAsia" w:ascii="微软雅黑" w:hAnsi="微软雅黑" w:eastAsia="微软雅黑" w:cs="微软雅黑"/>
                <w:sz w:val="24"/>
                <w:szCs w:val="28"/>
                <w:highlight w:val="none"/>
                <w:lang w:val="en-US" w:eastAsia="zh-CN"/>
              </w:rPr>
              <w:t>项目名称</w:t>
            </w:r>
          </w:p>
        </w:tc>
        <w:tc>
          <w:tcPr>
            <w:tcW w:w="4776" w:type="dxa"/>
            <w:noWrap w:val="0"/>
            <w:vAlign w:val="center"/>
          </w:tcPr>
          <w:p w14:paraId="16E9DF64">
            <w:pPr>
              <w:snapToGrid w:val="0"/>
              <w:spacing w:line="400" w:lineRule="exact"/>
              <w:jc w:val="center"/>
              <w:rPr>
                <w:rFonts w:hint="eastAsia" w:ascii="微软雅黑" w:hAnsi="微软雅黑" w:eastAsia="微软雅黑" w:cs="微软雅黑"/>
                <w:sz w:val="24"/>
                <w:szCs w:val="28"/>
                <w:highlight w:val="none"/>
                <w:lang w:val="en-US" w:eastAsia="zh-CN"/>
              </w:rPr>
            </w:pPr>
            <w:r>
              <w:rPr>
                <w:rFonts w:hint="eastAsia" w:ascii="微软雅黑" w:hAnsi="微软雅黑" w:eastAsia="微软雅黑" w:cs="微软雅黑"/>
                <w:sz w:val="24"/>
                <w:szCs w:val="28"/>
                <w:highlight w:val="none"/>
                <w:lang w:val="en-US" w:eastAsia="zh-CN"/>
              </w:rPr>
              <w:t>内容</w:t>
            </w:r>
          </w:p>
        </w:tc>
        <w:tc>
          <w:tcPr>
            <w:tcW w:w="1187" w:type="dxa"/>
            <w:noWrap w:val="0"/>
            <w:vAlign w:val="center"/>
          </w:tcPr>
          <w:p w14:paraId="193614C9">
            <w:pPr>
              <w:snapToGrid w:val="0"/>
              <w:spacing w:line="400" w:lineRule="exact"/>
              <w:jc w:val="center"/>
              <w:rPr>
                <w:rFonts w:hint="eastAsia" w:ascii="微软雅黑" w:hAnsi="微软雅黑" w:eastAsia="微软雅黑" w:cs="微软雅黑"/>
                <w:sz w:val="24"/>
                <w:szCs w:val="28"/>
                <w:highlight w:val="none"/>
                <w:lang w:val="en-US" w:eastAsia="zh-CN"/>
              </w:rPr>
            </w:pPr>
            <w:r>
              <w:rPr>
                <w:rFonts w:hint="eastAsia" w:ascii="微软雅黑" w:hAnsi="微软雅黑" w:eastAsia="微软雅黑" w:cs="微软雅黑"/>
                <w:sz w:val="24"/>
                <w:szCs w:val="28"/>
                <w:highlight w:val="none"/>
                <w:lang w:val="en-US" w:eastAsia="zh-CN"/>
              </w:rPr>
              <w:t>备注</w:t>
            </w:r>
          </w:p>
        </w:tc>
      </w:tr>
      <w:tr w14:paraId="43F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624" w:type="dxa"/>
            <w:noWrap w:val="0"/>
            <w:vAlign w:val="center"/>
          </w:tcPr>
          <w:p w14:paraId="598038E7">
            <w:pPr>
              <w:snapToGrid w:val="0"/>
              <w:spacing w:line="400" w:lineRule="exact"/>
              <w:jc w:val="center"/>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val="en-US" w:eastAsia="zh-CN"/>
              </w:rPr>
              <w:t>重庆市荣昌区规划和自然资源局干货类（蛋米油除外）配送供应</w:t>
            </w:r>
          </w:p>
        </w:tc>
        <w:tc>
          <w:tcPr>
            <w:tcW w:w="4776" w:type="dxa"/>
            <w:noWrap w:val="0"/>
            <w:vAlign w:val="center"/>
          </w:tcPr>
          <w:p w14:paraId="7CB4FC4D">
            <w:pPr>
              <w:snapToGrid w:val="0"/>
              <w:spacing w:line="400" w:lineRule="exact"/>
              <w:jc w:val="center"/>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val="en-US" w:eastAsia="zh-CN"/>
              </w:rPr>
              <w:t>预包装食品、</w:t>
            </w:r>
            <w:r>
              <w:rPr>
                <w:rFonts w:hint="eastAsia" w:ascii="微软雅黑" w:hAnsi="微软雅黑" w:eastAsia="微软雅黑" w:cs="微软雅黑"/>
                <w:sz w:val="24"/>
                <w:szCs w:val="28"/>
                <w:highlight w:val="none"/>
                <w:lang w:eastAsia="zh-CN"/>
              </w:rPr>
              <w:t>干货调料、生粉豆制品、半成品、调味品（食盐、味精、酱油、醋、糖等）</w:t>
            </w:r>
          </w:p>
        </w:tc>
        <w:tc>
          <w:tcPr>
            <w:tcW w:w="1187" w:type="dxa"/>
            <w:noWrap w:val="0"/>
            <w:vAlign w:val="center"/>
          </w:tcPr>
          <w:p w14:paraId="77BEE00B">
            <w:pPr>
              <w:kinsoku/>
              <w:overflowPunct/>
              <w:topLinePunct w:val="0"/>
              <w:bidi w:val="0"/>
              <w:adjustRightInd w:val="0"/>
              <w:snapToGrid w:val="0"/>
              <w:spacing w:line="240" w:lineRule="auto"/>
              <w:jc w:val="left"/>
              <w:textAlignment w:val="auto"/>
              <w:rPr>
                <w:rFonts w:hint="eastAsia" w:ascii="宋体" w:hAnsi="宋体" w:eastAsia="宋体" w:cs="宋体"/>
                <w:b w:val="0"/>
                <w:bCs w:val="0"/>
                <w:color w:val="auto"/>
                <w:sz w:val="24"/>
                <w:szCs w:val="24"/>
                <w:highlight w:val="none"/>
              </w:rPr>
            </w:pPr>
          </w:p>
        </w:tc>
      </w:tr>
    </w:tbl>
    <w:p w14:paraId="79E472C3">
      <w:pPr>
        <w:pStyle w:val="4"/>
        <w:spacing w:before="0" w:after="0" w:line="380" w:lineRule="exact"/>
        <w:rPr>
          <w:rFonts w:hint="eastAsia" w:ascii="微软雅黑" w:hAnsi="微软雅黑" w:eastAsia="微软雅黑" w:cs="微软雅黑"/>
          <w:color w:val="auto"/>
          <w:sz w:val="24"/>
          <w:szCs w:val="24"/>
          <w:highlight w:val="none"/>
        </w:rPr>
      </w:pPr>
      <w:bookmarkStart w:id="42" w:name="_Toc32763"/>
      <w:bookmarkStart w:id="43" w:name="_Toc30936"/>
      <w:bookmarkStart w:id="44" w:name="_Toc4140"/>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项目服务要</w:t>
      </w:r>
      <w:r>
        <w:rPr>
          <w:rFonts w:hint="eastAsia" w:ascii="微软雅黑" w:hAnsi="微软雅黑" w:eastAsia="微软雅黑" w:cs="微软雅黑"/>
          <w:color w:val="auto"/>
          <w:sz w:val="24"/>
          <w:szCs w:val="24"/>
          <w:highlight w:val="none"/>
          <w:lang w:val="en-US" w:eastAsia="zh-CN"/>
        </w:rPr>
        <w:t>求</w:t>
      </w:r>
      <w:bookmarkEnd w:id="42"/>
      <w:bookmarkEnd w:id="43"/>
    </w:p>
    <w:p w14:paraId="53ED85FD">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lang w:eastAsia="zh-CN"/>
        </w:rPr>
        <w:t>（一）配送时</w:t>
      </w:r>
      <w:r>
        <w:rPr>
          <w:rFonts w:hint="eastAsia" w:ascii="微软雅黑" w:hAnsi="微软雅黑" w:eastAsia="微软雅黑" w:cs="微软雅黑"/>
          <w:sz w:val="24"/>
          <w:szCs w:val="28"/>
          <w:highlight w:val="none"/>
          <w:lang w:eastAsia="zh-CN"/>
        </w:rPr>
        <w:t>间：供应商应</w:t>
      </w:r>
      <w:r>
        <w:rPr>
          <w:rFonts w:hint="eastAsia" w:ascii="微软雅黑" w:hAnsi="微软雅黑" w:eastAsia="微软雅黑" w:cs="微软雅黑"/>
          <w:sz w:val="24"/>
          <w:szCs w:val="28"/>
          <w:highlight w:val="none"/>
          <w:lang w:val="en-US" w:eastAsia="zh-CN"/>
        </w:rPr>
        <w:t>每周配送一次</w:t>
      </w:r>
      <w:r>
        <w:rPr>
          <w:rFonts w:hint="eastAsia" w:ascii="微软雅黑" w:hAnsi="微软雅黑" w:eastAsia="微软雅黑" w:cs="微软雅黑"/>
          <w:sz w:val="24"/>
          <w:szCs w:val="28"/>
          <w:highlight w:val="none"/>
          <w:lang w:eastAsia="zh-CN"/>
        </w:rPr>
        <w:t>将采购人所需干货类食材按时送到采购人指定地点（食堂），配送金额根据供应商报价折扣据实结算。</w:t>
      </w:r>
    </w:p>
    <w:p w14:paraId="18280266">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eastAsia="zh-CN"/>
        </w:rPr>
        <w:t>（二）供应商按照采购人提供的干货类清单进行配送，供应商接受配送任务后，应按要求向采购人食堂提供符合要求的货物。</w:t>
      </w:r>
    </w:p>
    <w:p w14:paraId="5828C17A">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val="zh-CN" w:eastAsia="zh-CN"/>
        </w:rPr>
        <w:t>（三）供应商</w:t>
      </w:r>
      <w:r>
        <w:rPr>
          <w:rFonts w:hint="eastAsia" w:ascii="微软雅黑" w:hAnsi="微软雅黑" w:eastAsia="微软雅黑" w:cs="微软雅黑"/>
          <w:sz w:val="24"/>
          <w:szCs w:val="28"/>
          <w:highlight w:val="none"/>
          <w:lang w:eastAsia="zh-CN"/>
        </w:rPr>
        <w:t>需</w:t>
      </w:r>
      <w:r>
        <w:rPr>
          <w:rFonts w:hint="eastAsia" w:ascii="微软雅黑" w:hAnsi="微软雅黑" w:eastAsia="微软雅黑" w:cs="微软雅黑"/>
          <w:sz w:val="24"/>
          <w:szCs w:val="28"/>
          <w:highlight w:val="none"/>
          <w:lang w:val="zh-CN" w:eastAsia="zh-CN"/>
        </w:rPr>
        <w:t>制定应急物资采购保障预案，保证临时接待等原因补货需在</w:t>
      </w:r>
      <w:r>
        <w:rPr>
          <w:rFonts w:hint="eastAsia" w:ascii="微软雅黑" w:hAnsi="微软雅黑" w:eastAsia="微软雅黑" w:cs="微软雅黑"/>
          <w:sz w:val="24"/>
          <w:szCs w:val="28"/>
          <w:highlight w:val="none"/>
          <w:lang w:val="en-US" w:eastAsia="zh-CN"/>
        </w:rPr>
        <w:t>1小时</w:t>
      </w:r>
      <w:r>
        <w:rPr>
          <w:rFonts w:hint="eastAsia" w:ascii="微软雅黑" w:hAnsi="微软雅黑" w:eastAsia="微软雅黑" w:cs="微软雅黑"/>
          <w:sz w:val="24"/>
          <w:szCs w:val="28"/>
          <w:highlight w:val="none"/>
          <w:lang w:val="zh-CN" w:eastAsia="zh-CN"/>
        </w:rPr>
        <w:t>内将所需物资筹集配送到位。</w:t>
      </w:r>
      <w:r>
        <w:rPr>
          <w:rFonts w:hint="eastAsia" w:ascii="微软雅黑" w:hAnsi="微软雅黑" w:eastAsia="微软雅黑" w:cs="微软雅黑"/>
          <w:sz w:val="24"/>
          <w:szCs w:val="28"/>
          <w:highlight w:val="none"/>
          <w:lang w:eastAsia="zh-CN"/>
        </w:rPr>
        <w:t>若食堂需要市场紧俏的原材料，供应商须尽力配合购买。</w:t>
      </w:r>
    </w:p>
    <w:p w14:paraId="4150E5AD">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highlight w:val="none"/>
          <w:lang w:eastAsia="zh-CN"/>
        </w:rPr>
        <w:t>（四）对于质量及数量有问题的食品</w:t>
      </w:r>
      <w:r>
        <w:rPr>
          <w:rFonts w:hint="eastAsia" w:ascii="微软雅黑" w:hAnsi="微软雅黑" w:eastAsia="微软雅黑" w:cs="微软雅黑"/>
          <w:sz w:val="24"/>
          <w:szCs w:val="28"/>
          <w:lang w:eastAsia="zh-CN"/>
        </w:rPr>
        <w:t>要保证退货，并及时更换符合质量标准的食品。对采购人要求的原料规格市场确实缺货的，经采购人研究同意后，可临时调整配送规格，价格按实际情况浮动。要努力提高有关工作人员的服务水平，不得强制向采购人食堂配送不符质量标准的食品。</w:t>
      </w:r>
    </w:p>
    <w:p w14:paraId="616CDB87">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eastAsia="zh-CN"/>
        </w:rPr>
        <w:t>（五）供应商向采购人食堂提供符合品相及规格要求的货物，必须是经过质量监督管理部门检验并取得合格证明的产品、必须符合食品安全法相关规定，不能低于国家强制标准。因质量问题发生的食物中毒等安全事故，由成交供应商承担经济赔偿责任以及全部法律责任，每批次产品提供时应交存货物质量合格证明，干副、调料</w:t>
      </w:r>
      <w:r>
        <w:rPr>
          <w:rFonts w:hint="eastAsia" w:ascii="微软雅黑" w:hAnsi="微软雅黑" w:eastAsia="微软雅黑" w:cs="微软雅黑"/>
          <w:sz w:val="24"/>
          <w:szCs w:val="28"/>
          <w:lang w:val="en-US" w:eastAsia="zh-CN"/>
        </w:rPr>
        <w:t>类物资包装上须注明的生产日期、保质期、规格、生产地等相关内容，</w:t>
      </w:r>
      <w:r>
        <w:rPr>
          <w:rFonts w:hint="eastAsia" w:ascii="微软雅黑" w:hAnsi="微软雅黑" w:eastAsia="微软雅黑" w:cs="微软雅黑"/>
          <w:sz w:val="24"/>
          <w:szCs w:val="28"/>
          <w:lang w:val="zh-CN" w:eastAsia="zh-CN"/>
        </w:rPr>
        <w:t>物资干燥、无虫、无杂质、无霉变、无硫磺等刺激性气味</w:t>
      </w:r>
      <w:r>
        <w:rPr>
          <w:rFonts w:hint="eastAsia" w:ascii="微软雅黑" w:hAnsi="微软雅黑" w:eastAsia="微软雅黑" w:cs="微软雅黑"/>
          <w:sz w:val="24"/>
          <w:szCs w:val="28"/>
          <w:lang w:val="en-US" w:eastAsia="zh-CN"/>
        </w:rPr>
        <w:t>。干菜、大料、干货等散装的货物不能有发霉、变质的现象</w:t>
      </w:r>
      <w:r>
        <w:rPr>
          <w:rFonts w:hint="eastAsia" w:ascii="微软雅黑" w:hAnsi="微软雅黑" w:eastAsia="微软雅黑" w:cs="微软雅黑"/>
          <w:sz w:val="24"/>
          <w:szCs w:val="28"/>
          <w:lang w:eastAsia="zh-CN"/>
        </w:rPr>
        <w:t>。</w:t>
      </w:r>
    </w:p>
    <w:p w14:paraId="0BD7F29A">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eastAsia="zh-CN"/>
        </w:rPr>
        <w:t>（六）供应商应保证及时提供合格安全的产品。一旦发现伪劣假冒产品，经相关部门质量监测认证后，由配送公司承担一切法律责任。采购人有权单方解除合同并要求配送公司赔偿所造成的所有损失，罚没履约保证金。</w:t>
      </w:r>
    </w:p>
    <w:p w14:paraId="1BE32F4C">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eastAsia="zh-CN"/>
        </w:rPr>
        <w:t>（七）供应商所配送的干货类食材包装上注明保质期的商品，其保质期距该商品自身规定的保质期应当还有一半以上的时间。</w:t>
      </w:r>
    </w:p>
    <w:p w14:paraId="038E115B">
      <w:pPr>
        <w:snapToGrid w:val="0"/>
        <w:spacing w:line="400" w:lineRule="exact"/>
        <w:ind w:firstLine="480" w:firstLineChars="20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szCs w:val="28"/>
          <w:lang w:eastAsia="zh-CN"/>
        </w:rPr>
        <w:t>（八）因配送物资质量导致出现食品安全事情，成交供应商有义务协助处理相关事宜。</w:t>
      </w:r>
    </w:p>
    <w:p w14:paraId="2011A190">
      <w:pPr>
        <w:pStyle w:val="4"/>
        <w:spacing w:before="0" w:after="0" w:line="380" w:lineRule="exact"/>
        <w:rPr>
          <w:rFonts w:hint="eastAsia" w:ascii="微软雅黑" w:hAnsi="微软雅黑" w:eastAsia="微软雅黑" w:cs="微软雅黑"/>
          <w:color w:val="auto"/>
          <w:sz w:val="24"/>
          <w:szCs w:val="24"/>
          <w:highlight w:val="none"/>
          <w:lang w:val="en-US" w:eastAsia="zh-CN"/>
        </w:rPr>
      </w:pPr>
      <w:bookmarkStart w:id="45" w:name="_Toc3348"/>
      <w:bookmarkStart w:id="46" w:name="_Toc23852"/>
      <w:r>
        <w:rPr>
          <w:rFonts w:hint="eastAsia" w:ascii="微软雅黑" w:hAnsi="微软雅黑" w:eastAsia="微软雅黑" w:cs="微软雅黑"/>
          <w:color w:val="auto"/>
          <w:sz w:val="24"/>
          <w:szCs w:val="24"/>
          <w:highlight w:val="none"/>
          <w:lang w:val="en-US" w:eastAsia="zh-CN"/>
        </w:rPr>
        <w:t>三、项目配送要求</w:t>
      </w:r>
      <w:bookmarkEnd w:id="45"/>
      <w:bookmarkEnd w:id="46"/>
    </w:p>
    <w:p w14:paraId="17F82603">
      <w:pPr>
        <w:snapToGrid w:val="0"/>
        <w:spacing w:line="380" w:lineRule="exact"/>
        <w:ind w:firstLine="480" w:firstLineChars="200"/>
        <w:rPr>
          <w:rFonts w:hint="eastAsia" w:ascii="微软雅黑" w:hAnsi="微软雅黑" w:eastAsia="微软雅黑" w:cs="微软雅黑"/>
          <w:color w:val="000000"/>
          <w:kern w:val="0"/>
          <w:sz w:val="24"/>
          <w:szCs w:val="24"/>
          <w:highlight w:val="none"/>
          <w:lang w:eastAsia="zh-CN"/>
        </w:rPr>
      </w:pPr>
      <w:r>
        <w:rPr>
          <w:rFonts w:hint="eastAsia" w:ascii="微软雅黑" w:hAnsi="微软雅黑" w:eastAsia="微软雅黑" w:cs="微软雅黑"/>
          <w:color w:val="000000"/>
          <w:kern w:val="0"/>
          <w:sz w:val="24"/>
          <w:szCs w:val="24"/>
          <w:highlight w:val="none"/>
          <w:lang w:eastAsia="zh-CN"/>
        </w:rPr>
        <w:t>（一）供应商所提供的食材应当符合《中华人民共和国食品安全法》的相关规定。</w:t>
      </w:r>
    </w:p>
    <w:p w14:paraId="21CA0154">
      <w:pPr>
        <w:snapToGrid w:val="0"/>
        <w:spacing w:line="380" w:lineRule="exact"/>
        <w:ind w:firstLine="480" w:firstLineChars="200"/>
        <w:rPr>
          <w:rFonts w:hint="eastAsia" w:ascii="微软雅黑" w:hAnsi="微软雅黑" w:eastAsia="微软雅黑" w:cs="微软雅黑"/>
          <w:color w:val="000000"/>
          <w:kern w:val="0"/>
          <w:sz w:val="24"/>
          <w:szCs w:val="24"/>
          <w:highlight w:val="none"/>
          <w:lang w:eastAsia="zh-CN"/>
        </w:rPr>
      </w:pPr>
      <w:r>
        <w:rPr>
          <w:rFonts w:hint="eastAsia" w:ascii="微软雅黑" w:hAnsi="微软雅黑" w:eastAsia="微软雅黑" w:cs="微软雅黑"/>
          <w:color w:val="000000"/>
          <w:kern w:val="0"/>
          <w:sz w:val="24"/>
          <w:szCs w:val="24"/>
          <w:highlight w:val="none"/>
          <w:lang w:eastAsia="zh-CN"/>
        </w:rPr>
        <w:t>（二）供应商所提供的食材应当符合国家及行业的相关标准。</w:t>
      </w:r>
    </w:p>
    <w:p w14:paraId="630D6CA9">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000000"/>
          <w:kern w:val="0"/>
          <w:sz w:val="24"/>
          <w:szCs w:val="24"/>
          <w:highlight w:val="none"/>
          <w:lang w:eastAsia="zh-CN"/>
        </w:rPr>
        <w:t>（三）供应商应按照上述服务内容的要求针对本项目制定服务方案，包括但不限于服务实施总体方案、服务人员配备方案、干货类食材供应及采购方案、运输储存保障方案、应急情况处理预案等。</w:t>
      </w:r>
    </w:p>
    <w:p w14:paraId="45122657">
      <w:pPr>
        <w:pStyle w:val="3"/>
        <w:spacing w:before="0" w:after="0" w:line="360" w:lineRule="auto"/>
        <w:jc w:val="both"/>
        <w:rPr>
          <w:rFonts w:hint="eastAsia" w:ascii="微软雅黑" w:hAnsi="微软雅黑" w:eastAsia="微软雅黑" w:cs="微软雅黑"/>
          <w:b w:val="0"/>
          <w:color w:val="auto"/>
          <w:sz w:val="36"/>
          <w:szCs w:val="30"/>
          <w:highlight w:val="none"/>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p>
    <w:p w14:paraId="6154D8D7">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47" w:name="_Toc31913"/>
      <w:r>
        <w:rPr>
          <w:rFonts w:hint="eastAsia" w:ascii="微软雅黑" w:hAnsi="微软雅黑" w:eastAsia="微软雅黑" w:cs="微软雅黑"/>
          <w:b w:val="0"/>
          <w:color w:val="auto"/>
          <w:sz w:val="36"/>
          <w:szCs w:val="30"/>
          <w:highlight w:val="none"/>
        </w:rPr>
        <w:t>第三篇  采购商务需求</w:t>
      </w:r>
      <w:bookmarkEnd w:id="41"/>
      <w:bookmarkEnd w:id="44"/>
      <w:bookmarkEnd w:id="47"/>
    </w:p>
    <w:p w14:paraId="5BD7FFA2">
      <w:pPr>
        <w:pStyle w:val="4"/>
        <w:spacing w:before="0" w:after="0" w:line="440" w:lineRule="exact"/>
        <w:rPr>
          <w:rFonts w:hint="eastAsia" w:ascii="微软雅黑" w:hAnsi="微软雅黑" w:eastAsia="微软雅黑" w:cs="微软雅黑"/>
          <w:color w:val="000000"/>
          <w:sz w:val="24"/>
          <w:szCs w:val="24"/>
        </w:rPr>
      </w:pPr>
      <w:bookmarkStart w:id="48" w:name="_Toc21524"/>
      <w:bookmarkStart w:id="49" w:name="_Toc344475120"/>
      <w:bookmarkStart w:id="50" w:name="_Toc12593"/>
      <w:r>
        <w:rPr>
          <w:rFonts w:hint="eastAsia" w:ascii="微软雅黑" w:hAnsi="微软雅黑" w:eastAsia="微软雅黑" w:cs="微软雅黑"/>
          <w:color w:val="auto"/>
          <w:sz w:val="24"/>
          <w:szCs w:val="24"/>
          <w:highlight w:val="none"/>
        </w:rPr>
        <w:t>一、</w:t>
      </w:r>
      <w:bookmarkEnd w:id="48"/>
      <w:bookmarkEnd w:id="49"/>
      <w:r>
        <w:rPr>
          <w:rFonts w:hint="eastAsia" w:ascii="微软雅黑" w:hAnsi="微软雅黑" w:eastAsia="微软雅黑" w:cs="微软雅黑"/>
          <w:color w:val="000000"/>
          <w:sz w:val="24"/>
          <w:szCs w:val="24"/>
        </w:rPr>
        <w:t>服务时间、服务地点及验收方式</w:t>
      </w:r>
      <w:bookmarkEnd w:id="50"/>
    </w:p>
    <w:p w14:paraId="52DA2DBF">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（一）服务时间</w:t>
      </w:r>
    </w:p>
    <w:p w14:paraId="1395F906">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服务期</w:t>
      </w:r>
      <w:r>
        <w:rPr>
          <w:rFonts w:hint="eastAsia" w:ascii="微软雅黑" w:hAnsi="微软雅黑" w:eastAsia="微软雅黑" w:cs="微软雅黑"/>
          <w:color w:val="auto"/>
          <w:kern w:val="0"/>
          <w:sz w:val="24"/>
          <w:szCs w:val="24"/>
          <w:lang w:val="en-US" w:eastAsia="zh-CN"/>
        </w:rPr>
        <w:t>一</w:t>
      </w:r>
      <w:r>
        <w:rPr>
          <w:rFonts w:hint="eastAsia" w:ascii="微软雅黑" w:hAnsi="微软雅黑" w:eastAsia="微软雅黑" w:cs="微软雅黑"/>
          <w:color w:val="auto"/>
          <w:kern w:val="0"/>
          <w:sz w:val="24"/>
          <w:szCs w:val="24"/>
        </w:rPr>
        <w:t>年。当出现成交供应商考核不达标等情况，采购人可单方面终止合同，且不承担任何赔偿责任。</w:t>
      </w:r>
    </w:p>
    <w:p w14:paraId="65AA07CD">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（二）服务地点</w:t>
      </w:r>
    </w:p>
    <w:p w14:paraId="55BECB48">
      <w:pPr>
        <w:snapToGrid w:val="0"/>
        <w:spacing w:line="400" w:lineRule="exact"/>
        <w:ind w:firstLine="720" w:firstLineChars="30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采购人指定地点。</w:t>
      </w:r>
    </w:p>
    <w:p w14:paraId="276ED8DE">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（三）验收方式</w:t>
      </w:r>
    </w:p>
    <w:p w14:paraId="3D82550C">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成交供应商必须按照采购人通知的时间(自然原因造成的人力不可抗拒因素除外)数量、品种、品质要求准时送货到指定地点。每日或每批次提供的原料，成交供应商应在验收人员在情况下当面接受检验，经验收签单后才能视为有效供货。</w:t>
      </w:r>
    </w:p>
    <w:p w14:paraId="03C39CDB">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验收方式</w:t>
      </w:r>
    </w:p>
    <w:p w14:paraId="162649CA">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w:t>
      </w:r>
      <w:r>
        <w:rPr>
          <w:rFonts w:hint="eastAsia" w:ascii="微软雅黑" w:hAnsi="微软雅黑" w:eastAsia="微软雅黑" w:cs="微软雅黑"/>
          <w:color w:val="000000"/>
          <w:sz w:val="24"/>
          <w:highlight w:val="none"/>
          <w:lang w:val="en-US" w:eastAsia="zh-CN"/>
        </w:rPr>
        <w:t>1</w:t>
      </w:r>
      <w:r>
        <w:rPr>
          <w:rFonts w:hint="eastAsia" w:ascii="微软雅黑" w:hAnsi="微软雅黑" w:eastAsia="微软雅黑" w:cs="微软雅黑"/>
          <w:color w:val="000000"/>
          <w:sz w:val="24"/>
          <w:highlight w:val="none"/>
          <w:lang w:eastAsia="zh-CN"/>
        </w:rPr>
        <w:t>）包装类调味品或食品，包装袋上应具备SC认证；</w:t>
      </w:r>
    </w:p>
    <w:p w14:paraId="5AC3C4B5">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w:t>
      </w:r>
      <w:r>
        <w:rPr>
          <w:rFonts w:hint="eastAsia" w:ascii="微软雅黑" w:hAnsi="微软雅黑" w:eastAsia="微软雅黑" w:cs="微软雅黑"/>
          <w:color w:val="000000"/>
          <w:sz w:val="24"/>
          <w:highlight w:val="none"/>
          <w:lang w:val="en-US" w:eastAsia="zh-CN"/>
        </w:rPr>
        <w:t>2</w:t>
      </w:r>
      <w:r>
        <w:rPr>
          <w:rFonts w:hint="eastAsia" w:ascii="微软雅黑" w:hAnsi="微软雅黑" w:eastAsia="微软雅黑" w:cs="微软雅黑"/>
          <w:color w:val="000000"/>
          <w:sz w:val="24"/>
          <w:highlight w:val="none"/>
          <w:lang w:eastAsia="zh-CN"/>
        </w:rPr>
        <w:t>）包装类调味品或食品不能为临过期产品，保质期的实际剩余期限不能低于总保质期的 1/2,调味或食品内包装上的生产日期应与外包装的生产日期保持一致；</w:t>
      </w:r>
    </w:p>
    <w:p w14:paraId="55235462">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w:t>
      </w:r>
      <w:r>
        <w:rPr>
          <w:rFonts w:hint="eastAsia" w:ascii="微软雅黑" w:hAnsi="微软雅黑" w:eastAsia="微软雅黑" w:cs="微软雅黑"/>
          <w:color w:val="000000"/>
          <w:sz w:val="24"/>
          <w:highlight w:val="none"/>
          <w:lang w:val="en-US" w:eastAsia="zh-CN"/>
        </w:rPr>
        <w:t>3</w:t>
      </w:r>
      <w:r>
        <w:rPr>
          <w:rFonts w:hint="eastAsia" w:ascii="微软雅黑" w:hAnsi="微软雅黑" w:eastAsia="微软雅黑" w:cs="微软雅黑"/>
          <w:color w:val="000000"/>
          <w:sz w:val="24"/>
          <w:highlight w:val="none"/>
          <w:lang w:eastAsia="zh-CN"/>
        </w:rPr>
        <w:t>）包装内食品应为同行业内知名品牌，应为荣昌区超市在售货物；</w:t>
      </w:r>
    </w:p>
    <w:p w14:paraId="2808E0E6">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w:t>
      </w:r>
      <w:r>
        <w:rPr>
          <w:rFonts w:hint="eastAsia" w:ascii="微软雅黑" w:hAnsi="微软雅黑" w:eastAsia="微软雅黑" w:cs="微软雅黑"/>
          <w:color w:val="000000"/>
          <w:sz w:val="24"/>
          <w:highlight w:val="none"/>
          <w:lang w:val="en-US" w:eastAsia="zh-CN"/>
        </w:rPr>
        <w:t>4</w:t>
      </w:r>
      <w:r>
        <w:rPr>
          <w:rFonts w:hint="eastAsia" w:ascii="微软雅黑" w:hAnsi="微软雅黑" w:eastAsia="微软雅黑" w:cs="微软雅黑"/>
          <w:color w:val="000000"/>
          <w:sz w:val="24"/>
          <w:highlight w:val="none"/>
          <w:lang w:eastAsia="zh-CN"/>
        </w:rPr>
        <w:t>）散装干货类食品，应色泽好、无杂质、无异味、无霉变等现象。</w:t>
      </w:r>
    </w:p>
    <w:p w14:paraId="1A9A8537">
      <w:pPr>
        <w:pStyle w:val="4"/>
        <w:numPr>
          <w:ilvl w:val="0"/>
          <w:numId w:val="0"/>
        </w:numPr>
        <w:spacing w:before="0" w:after="0" w:line="400" w:lineRule="exact"/>
        <w:rPr>
          <w:rFonts w:hint="eastAsia" w:ascii="微软雅黑" w:hAnsi="微软雅黑" w:eastAsia="微软雅黑" w:cs="微软雅黑"/>
          <w:b/>
          <w:sz w:val="24"/>
          <w:szCs w:val="24"/>
        </w:rPr>
      </w:pPr>
      <w:bookmarkStart w:id="51" w:name="_Toc25378"/>
      <w:bookmarkStart w:id="52" w:name="_Toc24641"/>
      <w:bookmarkStart w:id="53" w:name="_Toc29196"/>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rPr>
        <w:t>、</w:t>
      </w:r>
      <w:bookmarkEnd w:id="51"/>
      <w:bookmarkEnd w:id="52"/>
      <w:bookmarkStart w:id="54" w:name="_Toc23423"/>
      <w:bookmarkStart w:id="55" w:name="_Toc19"/>
      <w:bookmarkStart w:id="56" w:name="_Toc483557553"/>
      <w:bookmarkStart w:id="57" w:name="_Toc31746"/>
      <w:bookmarkStart w:id="58" w:name="_Toc68094767"/>
      <w:bookmarkStart w:id="59" w:name="_Toc344475122"/>
      <w:bookmarkStart w:id="60" w:name="_Toc22856"/>
      <w:bookmarkStart w:id="61" w:name="_Toc22324"/>
      <w:bookmarkStart w:id="62" w:name="_Toc9744"/>
      <w:bookmarkStart w:id="63" w:name="_Toc109312217"/>
      <w:bookmarkStart w:id="64" w:name="_Toc14380"/>
      <w:r>
        <w:rPr>
          <w:rFonts w:hint="eastAsia" w:ascii="微软雅黑" w:hAnsi="微软雅黑" w:eastAsia="微软雅黑" w:cs="微软雅黑"/>
          <w:b/>
          <w:sz w:val="24"/>
          <w:szCs w:val="24"/>
        </w:rPr>
        <w:t>报价要求</w:t>
      </w:r>
      <w:bookmarkEnd w:id="53"/>
      <w:bookmarkEnd w:id="54"/>
    </w:p>
    <w:p w14:paraId="2893CF37">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（一）本次磋商报价为折扣系数报价</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最高折扣限价为95%</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val="en-US" w:eastAsia="zh-CN"/>
        </w:rPr>
        <w:t>据实结算一年以内实际金额达到</w:t>
      </w:r>
      <w:r>
        <w:rPr>
          <w:rFonts w:hint="eastAsia" w:ascii="微软雅黑" w:hAnsi="微软雅黑" w:eastAsia="微软雅黑" w:cs="微软雅黑"/>
          <w:kern w:val="0"/>
          <w:sz w:val="24"/>
          <w:szCs w:val="24"/>
        </w:rPr>
        <w:t>4</w:t>
      </w:r>
      <w:r>
        <w:rPr>
          <w:rFonts w:hint="eastAsia" w:ascii="微软雅黑" w:hAnsi="微软雅黑" w:eastAsia="微软雅黑" w:cs="微软雅黑"/>
          <w:kern w:val="0"/>
          <w:sz w:val="24"/>
          <w:szCs w:val="24"/>
          <w:lang w:val="en-US" w:eastAsia="zh-CN"/>
        </w:rPr>
        <w:t>5</w:t>
      </w:r>
      <w:r>
        <w:rPr>
          <w:rFonts w:hint="eastAsia" w:ascii="微软雅黑" w:hAnsi="微软雅黑" w:eastAsia="微软雅黑" w:cs="微软雅黑"/>
          <w:kern w:val="0"/>
          <w:sz w:val="24"/>
          <w:szCs w:val="24"/>
        </w:rPr>
        <w:t>万视为合同到期</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rPr>
        <w:t>包括原材料的产品价（含税）、产品的包装费、运费、装卸费、搬运、人工、仓储费、验收费、保险费、税费等。（若供应商填报的折扣</w:t>
      </w:r>
      <w:r>
        <w:rPr>
          <w:rFonts w:hint="eastAsia" w:ascii="微软雅黑" w:hAnsi="微软雅黑" w:eastAsia="微软雅黑" w:cs="微软雅黑"/>
          <w:kern w:val="0"/>
          <w:sz w:val="24"/>
          <w:szCs w:val="24"/>
          <w:lang w:val="en-US" w:eastAsia="zh-CN"/>
        </w:rPr>
        <w:t>报价</w:t>
      </w:r>
      <w:r>
        <w:rPr>
          <w:rFonts w:hint="eastAsia" w:ascii="微软雅黑" w:hAnsi="微软雅黑" w:eastAsia="微软雅黑" w:cs="微软雅黑"/>
          <w:kern w:val="0"/>
          <w:sz w:val="24"/>
          <w:szCs w:val="24"/>
        </w:rPr>
        <w:t>为</w:t>
      </w:r>
      <w:r>
        <w:rPr>
          <w:rFonts w:hint="eastAsia" w:ascii="微软雅黑" w:hAnsi="微软雅黑" w:eastAsia="微软雅黑" w:cs="微软雅黑"/>
          <w:kern w:val="0"/>
          <w:sz w:val="24"/>
          <w:szCs w:val="24"/>
          <w:lang w:val="en-US" w:eastAsia="zh-CN"/>
        </w:rPr>
        <w:t>90%</w:t>
      </w:r>
      <w:r>
        <w:rPr>
          <w:rFonts w:hint="eastAsia" w:ascii="微软雅黑" w:hAnsi="微软雅黑" w:eastAsia="微软雅黑" w:cs="微软雅黑"/>
          <w:kern w:val="0"/>
          <w:sz w:val="24"/>
          <w:szCs w:val="24"/>
        </w:rPr>
        <w:t>，以市场询价的零售即时价格10元/斤为例，则采购人与供应商实际签订合同的供货价格为10*0.9</w:t>
      </w:r>
      <w:r>
        <w:rPr>
          <w:rFonts w:hint="eastAsia" w:ascii="微软雅黑" w:hAnsi="微软雅黑" w:eastAsia="微软雅黑" w:cs="微软雅黑"/>
          <w:kern w:val="0"/>
          <w:sz w:val="24"/>
          <w:szCs w:val="24"/>
          <w:lang w:val="en-US" w:eastAsia="zh-CN"/>
        </w:rPr>
        <w:t>0</w:t>
      </w:r>
      <w:r>
        <w:rPr>
          <w:rFonts w:hint="eastAsia" w:ascii="微软雅黑" w:hAnsi="微软雅黑" w:eastAsia="微软雅黑" w:cs="微软雅黑"/>
          <w:kern w:val="0"/>
          <w:sz w:val="24"/>
          <w:szCs w:val="24"/>
        </w:rPr>
        <w:t>=9元/斤）。</w:t>
      </w:r>
    </w:p>
    <w:p w14:paraId="2C2FE5FC">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（二）本次磋商报价</w:t>
      </w:r>
      <w:r>
        <w:rPr>
          <w:rFonts w:hint="eastAsia" w:ascii="微软雅黑" w:hAnsi="微软雅黑" w:eastAsia="微软雅黑" w:cs="微软雅黑"/>
          <w:color w:val="auto"/>
          <w:kern w:val="0"/>
          <w:sz w:val="24"/>
          <w:szCs w:val="24"/>
        </w:rPr>
        <w:t>以采购人所在地</w:t>
      </w:r>
      <w:r>
        <w:rPr>
          <w:rFonts w:hint="eastAsia" w:ascii="微软雅黑" w:hAnsi="微软雅黑" w:eastAsia="微软雅黑" w:cs="微软雅黑"/>
          <w:kern w:val="0"/>
          <w:sz w:val="24"/>
          <w:szCs w:val="24"/>
        </w:rPr>
        <w:t>“永辉超市、新世纪超市（</w:t>
      </w:r>
      <w:r>
        <w:rPr>
          <w:rFonts w:hint="eastAsia" w:ascii="微软雅黑" w:hAnsi="微软雅黑" w:eastAsia="微软雅黑" w:cs="微软雅黑"/>
          <w:kern w:val="0"/>
          <w:sz w:val="24"/>
          <w:szCs w:val="24"/>
          <w:lang w:val="en-US" w:eastAsia="zh-CN"/>
        </w:rPr>
        <w:t>荣昌区</w:t>
      </w:r>
      <w:r>
        <w:rPr>
          <w:rFonts w:hint="eastAsia" w:ascii="微软雅黑" w:hAnsi="微软雅黑" w:eastAsia="微软雅黑" w:cs="微软雅黑"/>
          <w:kern w:val="0"/>
          <w:sz w:val="24"/>
          <w:szCs w:val="24"/>
        </w:rPr>
        <w:t>内门店）</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lang w:val="en-US" w:eastAsia="zh-CN"/>
        </w:rPr>
        <w:t>永立百货</w:t>
      </w:r>
      <w:r>
        <w:rPr>
          <w:rFonts w:hint="eastAsia" w:ascii="微软雅黑" w:hAnsi="微软雅黑" w:eastAsia="微软雅黑" w:cs="微软雅黑"/>
          <w:kern w:val="0"/>
          <w:sz w:val="24"/>
          <w:szCs w:val="24"/>
          <w:highlight w:val="none"/>
        </w:rPr>
        <w:t>”</w:t>
      </w:r>
      <w:r>
        <w:rPr>
          <w:rFonts w:hint="eastAsia" w:ascii="微软雅黑" w:hAnsi="微软雅黑" w:eastAsia="微软雅黑" w:cs="微软雅黑"/>
          <w:kern w:val="0"/>
          <w:sz w:val="24"/>
          <w:szCs w:val="24"/>
        </w:rPr>
        <w:t>各货品的实际销售价格为基准价（促销价格和特价除外），供应商自行填报折扣系数。</w:t>
      </w:r>
    </w:p>
    <w:p w14:paraId="41C0F964">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三</w:t>
      </w:r>
      <w:r>
        <w:rPr>
          <w:rFonts w:hint="eastAsia" w:ascii="微软雅黑" w:hAnsi="微软雅黑" w:eastAsia="微软雅黑" w:cs="微软雅黑"/>
          <w:color w:val="auto"/>
          <w:kern w:val="0"/>
          <w:sz w:val="24"/>
          <w:szCs w:val="24"/>
        </w:rPr>
        <w:t>）询定价：以采购人所在地“永辉超市、新世纪超市（</w:t>
      </w:r>
      <w:r>
        <w:rPr>
          <w:rFonts w:hint="eastAsia" w:ascii="微软雅黑" w:hAnsi="微软雅黑" w:eastAsia="微软雅黑" w:cs="微软雅黑"/>
          <w:color w:val="auto"/>
          <w:kern w:val="0"/>
          <w:sz w:val="24"/>
          <w:szCs w:val="24"/>
          <w:lang w:val="en-US" w:eastAsia="zh-CN"/>
        </w:rPr>
        <w:t>荣昌区</w:t>
      </w:r>
      <w:r>
        <w:rPr>
          <w:rFonts w:hint="eastAsia" w:ascii="微软雅黑" w:hAnsi="微软雅黑" w:eastAsia="微软雅黑" w:cs="微软雅黑"/>
          <w:color w:val="auto"/>
          <w:kern w:val="0"/>
          <w:sz w:val="24"/>
          <w:szCs w:val="24"/>
        </w:rPr>
        <w:t>内门店）</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永立百货</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rPr>
        <w:t>等单位中任意选1家单位”对当月即将采购的货品进行询价；单价定价金额以该货品在询定价当天在采购人所在地“永辉超市、新世纪超市（</w:t>
      </w:r>
      <w:r>
        <w:rPr>
          <w:rFonts w:hint="eastAsia" w:ascii="微软雅黑" w:hAnsi="微软雅黑" w:eastAsia="微软雅黑" w:cs="微软雅黑"/>
          <w:color w:val="auto"/>
          <w:kern w:val="0"/>
          <w:sz w:val="24"/>
          <w:szCs w:val="24"/>
          <w:lang w:val="en-US" w:eastAsia="zh-CN"/>
        </w:rPr>
        <w:t>荣昌区</w:t>
      </w:r>
      <w:r>
        <w:rPr>
          <w:rFonts w:hint="eastAsia" w:ascii="微软雅黑" w:hAnsi="微软雅黑" w:eastAsia="微软雅黑" w:cs="微软雅黑"/>
          <w:color w:val="auto"/>
          <w:kern w:val="0"/>
          <w:sz w:val="24"/>
          <w:szCs w:val="24"/>
        </w:rPr>
        <w:t>内门店）</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永立百货</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rPr>
        <w:t>等单位中任意1家单位”的市场零售价的算数平均价作为“单价定价”（特价商品除外）。但价格不得高于市场行情；市场询价没有的品种由双方协商单价定价。</w:t>
      </w:r>
    </w:p>
    <w:p w14:paraId="68A8FBCE">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四</w:t>
      </w:r>
      <w:r>
        <w:rPr>
          <w:rFonts w:hint="eastAsia" w:ascii="微软雅黑" w:hAnsi="微软雅黑" w:eastAsia="微软雅黑" w:cs="微软雅黑"/>
          <w:color w:val="auto"/>
          <w:kern w:val="0"/>
          <w:sz w:val="24"/>
          <w:szCs w:val="24"/>
        </w:rPr>
        <w:t>）结算单价：以采购人和成交供应商双方确认的各食材的定价金额乘以折扣报价作为“结算单价”，结算单价=单价定价×折扣报价；</w:t>
      </w:r>
    </w:p>
    <w:p w14:paraId="5AC7ACD8">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五</w:t>
      </w:r>
      <w:r>
        <w:rPr>
          <w:rFonts w:hint="eastAsia" w:ascii="微软雅黑" w:hAnsi="微软雅黑" w:eastAsia="微软雅黑" w:cs="微软雅黑"/>
          <w:color w:val="auto"/>
          <w:kern w:val="0"/>
          <w:sz w:val="24"/>
          <w:szCs w:val="24"/>
        </w:rPr>
        <w:t>）结算金额：当月最终结算金额=Σ（各品类结算单价×各品类实际配送数量）-考核扣除金额（如有）。</w:t>
      </w:r>
    </w:p>
    <w:p w14:paraId="2C3A8065">
      <w:pPr>
        <w:pStyle w:val="4"/>
        <w:numPr>
          <w:ilvl w:val="0"/>
          <w:numId w:val="0"/>
        </w:numPr>
        <w:spacing w:before="0" w:after="0" w:line="400" w:lineRule="exact"/>
        <w:rPr>
          <w:rFonts w:hint="eastAsia" w:ascii="微软雅黑" w:hAnsi="微软雅黑" w:eastAsia="微软雅黑" w:cs="微软雅黑"/>
          <w:b/>
          <w:sz w:val="24"/>
          <w:szCs w:val="24"/>
        </w:rPr>
      </w:pPr>
      <w:bookmarkStart w:id="65" w:name="_Toc14171"/>
      <w:bookmarkStart w:id="66" w:name="_Toc3538"/>
      <w:r>
        <w:rPr>
          <w:rFonts w:hint="eastAsia" w:ascii="微软雅黑" w:hAnsi="微软雅黑" w:eastAsia="微软雅黑" w:cs="微软雅黑"/>
          <w:b/>
          <w:sz w:val="24"/>
          <w:szCs w:val="24"/>
          <w:lang w:val="en-US" w:eastAsia="zh-CN"/>
        </w:rPr>
        <w:t>三、</w:t>
      </w:r>
      <w:r>
        <w:rPr>
          <w:rFonts w:hint="eastAsia" w:ascii="微软雅黑" w:hAnsi="微软雅黑" w:eastAsia="微软雅黑" w:cs="微软雅黑"/>
          <w:b/>
          <w:sz w:val="24"/>
          <w:szCs w:val="24"/>
        </w:rPr>
        <w:t>付款方式</w:t>
      </w:r>
      <w:bookmarkEnd w:id="55"/>
      <w:bookmarkEnd w:id="56"/>
      <w:bookmarkEnd w:id="57"/>
      <w:bookmarkEnd w:id="58"/>
      <w:bookmarkEnd w:id="59"/>
      <w:bookmarkEnd w:id="60"/>
      <w:bookmarkEnd w:id="61"/>
      <w:bookmarkEnd w:id="62"/>
      <w:bookmarkEnd w:id="63"/>
      <w:bookmarkEnd w:id="64"/>
      <w:bookmarkEnd w:id="65"/>
      <w:bookmarkEnd w:id="66"/>
      <w:r>
        <w:rPr>
          <w:rFonts w:hint="eastAsia" w:ascii="微软雅黑" w:hAnsi="微软雅黑" w:eastAsia="微软雅黑" w:cs="微软雅黑"/>
          <w:b/>
          <w:sz w:val="24"/>
          <w:szCs w:val="24"/>
        </w:rPr>
        <w:t xml:space="preserve"> </w:t>
      </w:r>
    </w:p>
    <w:p w14:paraId="129B2047">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由采购人支付该项目合同款项，付款方式如下：</w:t>
      </w:r>
    </w:p>
    <w:p w14:paraId="2A03B187">
      <w:pPr>
        <w:snapToGrid w:val="0"/>
        <w:spacing w:line="40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（一）成交供应商按照采购合同交货后，采购人验收人在供货单上签字确认</w:t>
      </w:r>
      <w:r>
        <w:rPr>
          <w:rFonts w:hint="eastAsia" w:ascii="微软雅黑" w:hAnsi="微软雅黑" w:eastAsia="微软雅黑" w:cs="微软雅黑"/>
          <w:color w:val="auto"/>
          <w:kern w:val="0"/>
          <w:sz w:val="24"/>
          <w:szCs w:val="24"/>
          <w:lang w:eastAsia="zh-CN"/>
        </w:rPr>
        <w:t>。</w:t>
      </w:r>
    </w:p>
    <w:p w14:paraId="234F4BB3">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（二）成交供应商送货当日开具送货单，每个月向采购人申请付款(包含双方签字的供货单和对应发票);</w:t>
      </w:r>
      <w:r>
        <w:rPr>
          <w:rFonts w:hint="eastAsia" w:ascii="微软雅黑" w:hAnsi="微软雅黑" w:eastAsia="微软雅黑" w:cs="微软雅黑"/>
          <w:color w:val="auto"/>
          <w:kern w:val="0"/>
          <w:sz w:val="24"/>
          <w:szCs w:val="24"/>
          <w:lang w:eastAsia="zh-CN"/>
        </w:rPr>
        <w:t>，</w:t>
      </w:r>
      <w:r>
        <w:rPr>
          <w:rFonts w:hint="eastAsia" w:ascii="微软雅黑" w:hAnsi="微软雅黑" w:eastAsia="微软雅黑" w:cs="微软雅黑"/>
          <w:color w:val="auto"/>
          <w:kern w:val="0"/>
          <w:sz w:val="24"/>
          <w:szCs w:val="24"/>
        </w:rPr>
        <w:t>成交供应商需根据采购人确认的价格开具发票。</w:t>
      </w:r>
    </w:p>
    <w:p w14:paraId="5ECEA46D">
      <w:pPr>
        <w:snapToGrid w:val="0"/>
        <w:spacing w:line="400" w:lineRule="exact"/>
        <w:ind w:firstLine="480" w:firstLineChars="200"/>
        <w:rPr>
          <w:rFonts w:hint="eastAsia" w:ascii="微软雅黑" w:hAnsi="微软雅黑" w:eastAsia="微软雅黑" w:cs="微软雅黑"/>
        </w:rPr>
      </w:pPr>
      <w:r>
        <w:rPr>
          <w:rFonts w:hint="eastAsia" w:ascii="微软雅黑" w:hAnsi="微软雅黑" w:eastAsia="微软雅黑" w:cs="微软雅黑"/>
          <w:color w:val="auto"/>
          <w:kern w:val="0"/>
          <w:sz w:val="24"/>
          <w:szCs w:val="24"/>
        </w:rPr>
        <w:t>（三）采购人对成交供应商提供的付款资料审核通过后,采购人按月以转账方式无息支付采购资金。</w:t>
      </w:r>
    </w:p>
    <w:p w14:paraId="50E08730">
      <w:pPr>
        <w:pStyle w:val="4"/>
        <w:spacing w:before="0" w:after="0" w:line="400" w:lineRule="exact"/>
        <w:rPr>
          <w:rFonts w:hint="eastAsia" w:ascii="微软雅黑" w:hAnsi="微软雅黑" w:eastAsia="微软雅黑" w:cs="微软雅黑"/>
          <w:sz w:val="24"/>
          <w:szCs w:val="24"/>
          <w:lang w:val="en-US" w:eastAsia="zh-CN"/>
        </w:rPr>
      </w:pPr>
      <w:bookmarkStart w:id="67" w:name="_Toc109312219"/>
      <w:bookmarkStart w:id="68" w:name="_Toc1380"/>
      <w:bookmarkStart w:id="69" w:name="_Toc22814"/>
      <w:bookmarkStart w:id="70" w:name="_Toc13378"/>
      <w:bookmarkStart w:id="71" w:name="_Toc2414"/>
      <w:bookmarkStart w:id="72" w:name="_Toc3365"/>
      <w:bookmarkStart w:id="73" w:name="_Toc344475123"/>
      <w:bookmarkStart w:id="74" w:name="_Toc25291"/>
      <w:bookmarkStart w:id="75" w:name="_Toc29289"/>
      <w:r>
        <w:rPr>
          <w:rFonts w:hint="eastAsia" w:ascii="微软雅黑" w:hAnsi="微软雅黑" w:eastAsia="微软雅黑" w:cs="微软雅黑"/>
          <w:sz w:val="24"/>
          <w:szCs w:val="24"/>
          <w:lang w:val="en-US" w:eastAsia="zh-CN"/>
        </w:rPr>
        <w:t>四</w:t>
      </w:r>
      <w:r>
        <w:rPr>
          <w:rFonts w:hint="eastAsia" w:ascii="微软雅黑" w:hAnsi="微软雅黑" w:eastAsia="微软雅黑" w:cs="微软雅黑"/>
          <w:sz w:val="24"/>
          <w:szCs w:val="24"/>
        </w:rPr>
        <w:t>、</w:t>
      </w:r>
      <w:bookmarkEnd w:id="67"/>
      <w:bookmarkEnd w:id="68"/>
      <w:bookmarkEnd w:id="69"/>
      <w:bookmarkEnd w:id="70"/>
      <w:bookmarkEnd w:id="71"/>
      <w:bookmarkEnd w:id="72"/>
      <w:bookmarkEnd w:id="73"/>
      <w:bookmarkEnd w:id="74"/>
      <w:r>
        <w:rPr>
          <w:rFonts w:hint="eastAsia" w:ascii="微软雅黑" w:hAnsi="微软雅黑" w:eastAsia="微软雅黑" w:cs="微软雅黑"/>
          <w:sz w:val="24"/>
          <w:szCs w:val="24"/>
          <w:lang w:val="en-US" w:eastAsia="zh-CN"/>
        </w:rPr>
        <w:t>履约保证金</w:t>
      </w:r>
      <w:bookmarkEnd w:id="75"/>
    </w:p>
    <w:p w14:paraId="0888CE17">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（一）成交通知书发出后、合同签订前成交供应商向采购人提交1万元的履约保证金。</w:t>
      </w:r>
    </w:p>
    <w:p w14:paraId="2012F38D">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（二）履约保证金的缴纳形式：以支票、汇票、本票或者金融机构、担保机构出具的保函等非现金形式提交。</w:t>
      </w:r>
    </w:p>
    <w:p w14:paraId="7ED39AD6">
      <w:pPr>
        <w:snapToGrid w:val="0"/>
        <w:spacing w:line="400" w:lineRule="exact"/>
        <w:ind w:firstLine="480" w:firstLineChars="200"/>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（三）履约保证金的退还：合同期满成交供应商履约完成并通过采购人的考核，采购人在合同期满后1个月内退还。</w:t>
      </w:r>
    </w:p>
    <w:p w14:paraId="7796D6D8">
      <w:pPr>
        <w:pStyle w:val="4"/>
        <w:spacing w:before="0" w:after="0" w:line="400" w:lineRule="exact"/>
        <w:rPr>
          <w:rFonts w:hint="eastAsia" w:ascii="微软雅黑" w:hAnsi="微软雅黑" w:eastAsia="微软雅黑" w:cs="微软雅黑"/>
          <w:sz w:val="24"/>
          <w:szCs w:val="24"/>
        </w:rPr>
      </w:pPr>
      <w:bookmarkStart w:id="76" w:name="_Toc25629"/>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、知识产权</w:t>
      </w:r>
      <w:bookmarkEnd w:id="76"/>
    </w:p>
    <w:p w14:paraId="1B319FEB">
      <w:pPr>
        <w:snapToGrid w:val="0"/>
        <w:spacing w:line="400" w:lineRule="exact"/>
        <w:ind w:firstLine="480" w:firstLineChars="200"/>
        <w:rPr>
          <w:rFonts w:hint="eastAsia" w:ascii="微软雅黑" w:hAnsi="微软雅黑" w:eastAsia="微软雅黑" w:cs="微软雅黑"/>
          <w:kern w:val="0"/>
          <w:sz w:val="24"/>
          <w:szCs w:val="24"/>
        </w:rPr>
      </w:pPr>
      <w:bookmarkStart w:id="77" w:name="_Toc344475124"/>
      <w:bookmarkStart w:id="78" w:name="_Toc16170746"/>
      <w:bookmarkStart w:id="79" w:name="_Toc15151"/>
      <w:bookmarkStart w:id="80" w:name="_Toc11573"/>
      <w:bookmarkStart w:id="81" w:name="_Toc31598"/>
      <w:bookmarkStart w:id="82" w:name="_Toc5788"/>
      <w:bookmarkStart w:id="83" w:name="_Toc18467"/>
      <w:bookmarkStart w:id="84" w:name="_Toc3137"/>
      <w:bookmarkStart w:id="85" w:name="_Toc17728"/>
      <w:bookmarkStart w:id="86" w:name="_Toc267320053"/>
      <w:bookmarkStart w:id="87" w:name="_Toc13988"/>
      <w:bookmarkStart w:id="88" w:name="_Toc25963"/>
      <w:bookmarkStart w:id="89" w:name="_Toc110"/>
      <w:bookmarkStart w:id="90" w:name="_Toc27211"/>
      <w:bookmarkStart w:id="91" w:name="_Toc20598"/>
      <w:bookmarkStart w:id="92" w:name="_Toc2708"/>
      <w:bookmarkStart w:id="93" w:name="_Toc2464"/>
      <w:bookmarkStart w:id="94" w:name="_Toc25671"/>
      <w:bookmarkStart w:id="95" w:name="_Toc14591"/>
      <w:bookmarkStart w:id="96" w:name="_Toc28491"/>
      <w:bookmarkStart w:id="97" w:name="_Toc603"/>
      <w:bookmarkStart w:id="98" w:name="_Toc8552"/>
      <w:bookmarkStart w:id="99" w:name="_Toc33201419"/>
      <w:r>
        <w:rPr>
          <w:rFonts w:hint="eastAsia" w:ascii="微软雅黑" w:hAnsi="微软雅黑" w:eastAsia="微软雅黑" w:cs="微软雅黑"/>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320BA95C">
      <w:pPr>
        <w:pStyle w:val="4"/>
        <w:spacing w:before="0" w:after="0" w:line="400" w:lineRule="exact"/>
        <w:rPr>
          <w:rFonts w:hint="eastAsia" w:ascii="微软雅黑" w:hAnsi="微软雅黑" w:eastAsia="微软雅黑" w:cs="微软雅黑"/>
          <w:b/>
          <w:color w:val="auto"/>
          <w:sz w:val="24"/>
          <w:szCs w:val="24"/>
        </w:rPr>
      </w:pPr>
      <w:bookmarkStart w:id="100" w:name="_Toc6920"/>
      <w:bookmarkStart w:id="101" w:name="_Toc532648280"/>
      <w:bookmarkStart w:id="102" w:name="_Toc26121"/>
      <w:bookmarkStart w:id="103" w:name="_Toc9638"/>
      <w:bookmarkStart w:id="104" w:name="_Toc109312221"/>
      <w:bookmarkStart w:id="105" w:name="_Toc6061"/>
      <w:bookmarkStart w:id="106" w:name="_Toc68094771"/>
      <w:bookmarkStart w:id="107" w:name="_Toc267320054"/>
      <w:bookmarkStart w:id="108" w:name="_Toc23869"/>
      <w:bookmarkStart w:id="109" w:name="_Toc24713"/>
      <w:bookmarkStart w:id="110" w:name="_Toc1859"/>
      <w:r>
        <w:rPr>
          <w:rFonts w:hint="eastAsia" w:ascii="微软雅黑" w:hAnsi="微软雅黑" w:eastAsia="微软雅黑" w:cs="微软雅黑"/>
          <w:b/>
          <w:color w:val="auto"/>
          <w:sz w:val="24"/>
          <w:szCs w:val="24"/>
          <w:lang w:val="en-US" w:eastAsia="zh-CN"/>
        </w:rPr>
        <w:t>六</w:t>
      </w:r>
      <w:r>
        <w:rPr>
          <w:rFonts w:hint="eastAsia" w:ascii="微软雅黑" w:hAnsi="微软雅黑" w:eastAsia="微软雅黑" w:cs="微软雅黑"/>
          <w:b/>
          <w:color w:val="auto"/>
          <w:sz w:val="24"/>
          <w:szCs w:val="24"/>
        </w:rPr>
        <w:t>、其他</w:t>
      </w:r>
      <w:bookmarkEnd w:id="100"/>
      <w:bookmarkEnd w:id="101"/>
      <w:bookmarkEnd w:id="102"/>
      <w:bookmarkEnd w:id="103"/>
      <w:bookmarkEnd w:id="104"/>
      <w:bookmarkEnd w:id="105"/>
      <w:bookmarkEnd w:id="106"/>
      <w:bookmarkEnd w:id="107"/>
      <w:bookmarkEnd w:id="108"/>
      <w:bookmarkEnd w:id="109"/>
      <w:bookmarkEnd w:id="110"/>
    </w:p>
    <w:p w14:paraId="4F81ACA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000000"/>
          <w:sz w:val="24"/>
        </w:rPr>
        <w:t>其他未尽事宜，由供需双方在采购合同中详细约定</w:t>
      </w:r>
      <w:r>
        <w:rPr>
          <w:rFonts w:hint="eastAsia" w:ascii="微软雅黑" w:hAnsi="微软雅黑" w:eastAsia="微软雅黑" w:cs="微软雅黑"/>
          <w:color w:val="auto"/>
          <w:kern w:val="0"/>
          <w:sz w:val="24"/>
          <w:szCs w:val="24"/>
          <w:highlight w:val="none"/>
        </w:rPr>
        <w:t>。</w:t>
      </w:r>
    </w:p>
    <w:p w14:paraId="3CC8B0FF">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p>
    <w:p w14:paraId="7A3B00EC">
      <w:pPr>
        <w:pStyle w:val="23"/>
        <w:adjustRightInd w:val="0"/>
        <w:snapToGrid w:val="0"/>
        <w:spacing w:line="240" w:lineRule="auto"/>
        <w:ind w:firstLine="0"/>
        <w:rPr>
          <w:rFonts w:hint="eastAsia" w:ascii="微软雅黑" w:hAnsi="微软雅黑" w:eastAsia="微软雅黑" w:cs="微软雅黑"/>
          <w:color w:val="auto"/>
          <w:szCs w:val="24"/>
          <w:highlight w:val="none"/>
        </w:rPr>
      </w:pPr>
    </w:p>
    <w:p w14:paraId="449F5937">
      <w:pP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Cs w:val="24"/>
          <w:highlight w:val="none"/>
        </w:rPr>
        <w:br w:type="page"/>
      </w:r>
    </w:p>
    <w:p w14:paraId="302E7A02">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11" w:name="_Toc21215"/>
      <w:bookmarkStart w:id="112" w:name="_Toc22387"/>
      <w:r>
        <w:rPr>
          <w:rFonts w:hint="eastAsia" w:ascii="微软雅黑" w:hAnsi="微软雅黑" w:eastAsia="微软雅黑" w:cs="微软雅黑"/>
          <w:b w:val="0"/>
          <w:color w:val="auto"/>
          <w:sz w:val="36"/>
          <w:szCs w:val="30"/>
          <w:highlight w:val="none"/>
        </w:rPr>
        <w:t>第四篇  磋商程序及方法、评审标准、无效响应和</w:t>
      </w:r>
      <w:r>
        <w:rPr>
          <w:rFonts w:hint="eastAsia" w:ascii="微软雅黑" w:hAnsi="微软雅黑" w:eastAsia="微软雅黑" w:cs="微软雅黑"/>
          <w:b w:val="0"/>
          <w:color w:val="auto"/>
          <w:sz w:val="36"/>
          <w:szCs w:val="36"/>
          <w:highlight w:val="none"/>
        </w:rPr>
        <w:t>采购终止</w:t>
      </w:r>
      <w:bookmarkEnd w:id="111"/>
      <w:bookmarkEnd w:id="112"/>
    </w:p>
    <w:p w14:paraId="020B6F34">
      <w:pPr>
        <w:pStyle w:val="4"/>
        <w:spacing w:before="0" w:after="0" w:line="440" w:lineRule="exact"/>
        <w:rPr>
          <w:rFonts w:hint="eastAsia" w:ascii="微软雅黑" w:hAnsi="微软雅黑" w:eastAsia="微软雅黑" w:cs="微软雅黑"/>
          <w:color w:val="auto"/>
          <w:sz w:val="24"/>
          <w:szCs w:val="24"/>
          <w:highlight w:val="none"/>
        </w:rPr>
      </w:pPr>
      <w:bookmarkStart w:id="113" w:name="_Toc21380"/>
      <w:bookmarkStart w:id="114" w:name="_Toc10878"/>
      <w:r>
        <w:rPr>
          <w:rFonts w:hint="eastAsia" w:ascii="微软雅黑" w:hAnsi="微软雅黑" w:eastAsia="微软雅黑" w:cs="微软雅黑"/>
          <w:color w:val="auto"/>
          <w:sz w:val="24"/>
          <w:szCs w:val="24"/>
          <w:highlight w:val="none"/>
        </w:rPr>
        <w:t>一、磋商程序及方法</w:t>
      </w:r>
      <w:bookmarkEnd w:id="113"/>
      <w:bookmarkEnd w:id="114"/>
    </w:p>
    <w:p w14:paraId="0BB5D48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（一）磋商按竞争性磋商文件规定的时间和地点进行，供应商须有法定代表人或其授权代表参加并签到。竞争性磋商以签到的形式确定磋商顺序，由本项目依法组建的磋商小组分别与各供应商进行磋商。</w:t>
      </w:r>
    </w:p>
    <w:p w14:paraId="59A68F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（二）磋商小组对各供应商的资格条件、响应文件的有效性、完整性和响应程度进行审查。各供应商只有在完全符合要求的前提下，才能参与正式磋商。</w:t>
      </w:r>
    </w:p>
    <w:p w14:paraId="65D7CC1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ABF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BD073D">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8CB7F2F">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DB079D">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4FE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021DE0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w:t>
            </w:r>
          </w:p>
        </w:tc>
        <w:tc>
          <w:tcPr>
            <w:tcW w:w="709" w:type="dxa"/>
            <w:vMerge w:val="restart"/>
            <w:vAlign w:val="center"/>
          </w:tcPr>
          <w:p w14:paraId="2E4FF25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《中华人民共和国政府采购法》第二十二条规定</w:t>
            </w:r>
          </w:p>
        </w:tc>
        <w:tc>
          <w:tcPr>
            <w:tcW w:w="3118" w:type="dxa"/>
            <w:vAlign w:val="center"/>
          </w:tcPr>
          <w:p w14:paraId="4C118D4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984" w:type="dxa"/>
            <w:vAlign w:val="center"/>
          </w:tcPr>
          <w:p w14:paraId="5865236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B0BD4A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2.供应商法定代表人身份证明和法定代表人授权代表委托书。</w:t>
            </w:r>
          </w:p>
        </w:tc>
      </w:tr>
      <w:tr w14:paraId="1951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9ABE54">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2C8476E1">
            <w:pPr>
              <w:rPr>
                <w:rFonts w:hint="eastAsia" w:ascii="微软雅黑" w:hAnsi="微软雅黑" w:eastAsia="微软雅黑" w:cs="微软雅黑"/>
                <w:color w:val="auto"/>
                <w:sz w:val="21"/>
                <w:szCs w:val="21"/>
                <w:highlight w:val="none"/>
                <w:lang w:val="zh-CN"/>
              </w:rPr>
            </w:pPr>
          </w:p>
        </w:tc>
        <w:tc>
          <w:tcPr>
            <w:tcW w:w="3118" w:type="dxa"/>
            <w:vAlign w:val="center"/>
          </w:tcPr>
          <w:p w14:paraId="70D171D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4984" w:type="dxa"/>
            <w:vMerge w:val="restart"/>
            <w:vAlign w:val="center"/>
          </w:tcPr>
          <w:p w14:paraId="2E088E8F">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szCs w:val="24"/>
                <w:highlight w:val="none"/>
              </w:rPr>
              <w:t>供应商提供承诺函（见格式文件）</w:t>
            </w:r>
          </w:p>
        </w:tc>
      </w:tr>
      <w:tr w14:paraId="74A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5D6F92">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628E2F98">
            <w:pPr>
              <w:rPr>
                <w:rFonts w:hint="eastAsia" w:ascii="微软雅黑" w:hAnsi="微软雅黑" w:eastAsia="微软雅黑" w:cs="微软雅黑"/>
                <w:color w:val="auto"/>
                <w:sz w:val="21"/>
                <w:szCs w:val="21"/>
                <w:highlight w:val="none"/>
                <w:lang w:val="zh-CN"/>
              </w:rPr>
            </w:pPr>
          </w:p>
        </w:tc>
        <w:tc>
          <w:tcPr>
            <w:tcW w:w="3118" w:type="dxa"/>
            <w:vAlign w:val="center"/>
          </w:tcPr>
          <w:p w14:paraId="03C4C84B">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4984" w:type="dxa"/>
            <w:vMerge w:val="continue"/>
            <w:vAlign w:val="center"/>
          </w:tcPr>
          <w:p w14:paraId="2F449234">
            <w:pPr>
              <w:rPr>
                <w:rFonts w:hint="eastAsia" w:ascii="微软雅黑" w:hAnsi="微软雅黑" w:eastAsia="微软雅黑" w:cs="微软雅黑"/>
                <w:color w:val="auto"/>
                <w:sz w:val="21"/>
                <w:szCs w:val="21"/>
                <w:highlight w:val="none"/>
              </w:rPr>
            </w:pPr>
          </w:p>
        </w:tc>
      </w:tr>
      <w:tr w14:paraId="7C44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8A0EA4">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47607DB9">
            <w:pPr>
              <w:rPr>
                <w:rFonts w:hint="eastAsia" w:ascii="微软雅黑" w:hAnsi="微软雅黑" w:eastAsia="微软雅黑" w:cs="微软雅黑"/>
                <w:color w:val="auto"/>
                <w:sz w:val="21"/>
                <w:szCs w:val="21"/>
                <w:highlight w:val="none"/>
                <w:lang w:val="zh-CN"/>
              </w:rPr>
            </w:pPr>
          </w:p>
        </w:tc>
        <w:tc>
          <w:tcPr>
            <w:tcW w:w="3118" w:type="dxa"/>
            <w:vAlign w:val="center"/>
          </w:tcPr>
          <w:p w14:paraId="5BC3FB5F">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4984" w:type="dxa"/>
            <w:vMerge w:val="continue"/>
            <w:vAlign w:val="center"/>
          </w:tcPr>
          <w:p w14:paraId="088F4B33">
            <w:pPr>
              <w:rPr>
                <w:rFonts w:hint="eastAsia" w:ascii="微软雅黑" w:hAnsi="微软雅黑" w:eastAsia="微软雅黑" w:cs="微软雅黑"/>
                <w:color w:val="auto"/>
                <w:sz w:val="21"/>
                <w:szCs w:val="21"/>
                <w:highlight w:val="none"/>
              </w:rPr>
            </w:pPr>
          </w:p>
        </w:tc>
      </w:tr>
      <w:tr w14:paraId="1BD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1FB602">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5196563F">
            <w:pPr>
              <w:rPr>
                <w:rFonts w:hint="eastAsia" w:ascii="微软雅黑" w:hAnsi="微软雅黑" w:eastAsia="微软雅黑" w:cs="微软雅黑"/>
                <w:color w:val="auto"/>
                <w:sz w:val="21"/>
                <w:szCs w:val="21"/>
                <w:highlight w:val="none"/>
                <w:lang w:val="zh-CN"/>
              </w:rPr>
            </w:pPr>
          </w:p>
        </w:tc>
        <w:tc>
          <w:tcPr>
            <w:tcW w:w="3118" w:type="dxa"/>
            <w:vAlign w:val="center"/>
          </w:tcPr>
          <w:p w14:paraId="0F77A1E8">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5.参加政府采购活动前三年内，在经营活动中没有重大违法记录（注）</w:t>
            </w:r>
          </w:p>
        </w:tc>
        <w:tc>
          <w:tcPr>
            <w:tcW w:w="4984" w:type="dxa"/>
            <w:vMerge w:val="continue"/>
            <w:vAlign w:val="center"/>
          </w:tcPr>
          <w:p w14:paraId="7B8AEDC9">
            <w:pPr>
              <w:rPr>
                <w:rFonts w:hint="eastAsia" w:ascii="微软雅黑" w:hAnsi="微软雅黑" w:eastAsia="微软雅黑" w:cs="微软雅黑"/>
                <w:b/>
                <w:color w:val="auto"/>
                <w:sz w:val="21"/>
                <w:szCs w:val="21"/>
                <w:highlight w:val="none"/>
              </w:rPr>
            </w:pPr>
          </w:p>
        </w:tc>
      </w:tr>
      <w:tr w14:paraId="342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CB7B70">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704B5066">
            <w:pPr>
              <w:rPr>
                <w:rFonts w:hint="eastAsia" w:ascii="微软雅黑" w:hAnsi="微软雅黑" w:eastAsia="微软雅黑" w:cs="微软雅黑"/>
                <w:color w:val="auto"/>
                <w:sz w:val="21"/>
                <w:szCs w:val="21"/>
                <w:highlight w:val="none"/>
              </w:rPr>
            </w:pPr>
          </w:p>
        </w:tc>
        <w:tc>
          <w:tcPr>
            <w:tcW w:w="3118" w:type="dxa"/>
            <w:vAlign w:val="center"/>
          </w:tcPr>
          <w:p w14:paraId="14585BA8">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4984" w:type="dxa"/>
            <w:vAlign w:val="center"/>
          </w:tcPr>
          <w:p w14:paraId="1CC10696">
            <w:pPr>
              <w:rPr>
                <w:rFonts w:hint="eastAsia" w:ascii="微软雅黑" w:hAnsi="微软雅黑" w:eastAsia="微软雅黑" w:cs="微软雅黑"/>
                <w:color w:val="auto"/>
                <w:sz w:val="21"/>
                <w:szCs w:val="21"/>
                <w:highlight w:val="none"/>
              </w:rPr>
            </w:pPr>
          </w:p>
        </w:tc>
      </w:tr>
      <w:tr w14:paraId="58C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2D8FA45">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1905F798">
            <w:pPr>
              <w:rPr>
                <w:rFonts w:hint="eastAsia" w:ascii="微软雅黑" w:hAnsi="微软雅黑" w:eastAsia="微软雅黑" w:cs="微软雅黑"/>
                <w:color w:val="auto"/>
                <w:sz w:val="21"/>
                <w:szCs w:val="21"/>
                <w:highlight w:val="none"/>
              </w:rPr>
            </w:pPr>
          </w:p>
        </w:tc>
        <w:tc>
          <w:tcPr>
            <w:tcW w:w="3118" w:type="dxa"/>
            <w:vAlign w:val="center"/>
          </w:tcPr>
          <w:p w14:paraId="14F8437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7.本项目的特定资格要求</w:t>
            </w:r>
          </w:p>
        </w:tc>
        <w:tc>
          <w:tcPr>
            <w:tcW w:w="4984" w:type="dxa"/>
            <w:vAlign w:val="center"/>
          </w:tcPr>
          <w:p w14:paraId="1341A78B">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按“第一篇三、供应商资格要求（三）本项目的特定资格要求”的要求提交（如果有）。</w:t>
            </w:r>
          </w:p>
        </w:tc>
      </w:tr>
      <w:tr w14:paraId="181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88FD63">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w:t>
            </w:r>
          </w:p>
        </w:tc>
        <w:tc>
          <w:tcPr>
            <w:tcW w:w="3827" w:type="dxa"/>
            <w:gridSpan w:val="2"/>
            <w:vAlign w:val="center"/>
          </w:tcPr>
          <w:p w14:paraId="1F6D8EE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落实政府采购政策需满足的资格要求</w:t>
            </w:r>
          </w:p>
        </w:tc>
        <w:tc>
          <w:tcPr>
            <w:tcW w:w="4984" w:type="dxa"/>
            <w:vAlign w:val="center"/>
          </w:tcPr>
          <w:p w14:paraId="4910799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按“第一篇三、供应商资格要求（二）落实政府采购政策需满足的资格要求”的要求提交（如果有）。</w:t>
            </w:r>
          </w:p>
        </w:tc>
      </w:tr>
    </w:tbl>
    <w:p w14:paraId="7922CC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719E42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E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53342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3544" w:type="dxa"/>
            <w:gridSpan w:val="2"/>
            <w:vAlign w:val="center"/>
          </w:tcPr>
          <w:p w14:paraId="5E041FD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评审因素</w:t>
            </w:r>
          </w:p>
        </w:tc>
        <w:tc>
          <w:tcPr>
            <w:tcW w:w="5409" w:type="dxa"/>
            <w:vAlign w:val="center"/>
          </w:tcPr>
          <w:p w14:paraId="5F46885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评审标准</w:t>
            </w:r>
          </w:p>
        </w:tc>
      </w:tr>
      <w:tr w14:paraId="6A0A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C01A9E1">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560" w:type="dxa"/>
            <w:vMerge w:val="restart"/>
            <w:vAlign w:val="center"/>
          </w:tcPr>
          <w:p w14:paraId="56DEDF6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有效性审查</w:t>
            </w:r>
          </w:p>
        </w:tc>
        <w:tc>
          <w:tcPr>
            <w:tcW w:w="1984" w:type="dxa"/>
            <w:vAlign w:val="center"/>
          </w:tcPr>
          <w:p w14:paraId="3F2E2566">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响应文件签署</w:t>
            </w:r>
          </w:p>
        </w:tc>
        <w:tc>
          <w:tcPr>
            <w:tcW w:w="5409" w:type="dxa"/>
            <w:vAlign w:val="center"/>
          </w:tcPr>
          <w:p w14:paraId="685D9AD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响应文件上法定代表人或其授权代表人的签字齐全。</w:t>
            </w:r>
          </w:p>
        </w:tc>
      </w:tr>
      <w:tr w14:paraId="6DA3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DED3482">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500429EE">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AC96CF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法定代表人身份证明及授权委托书</w:t>
            </w:r>
          </w:p>
        </w:tc>
        <w:tc>
          <w:tcPr>
            <w:tcW w:w="5409" w:type="dxa"/>
            <w:vAlign w:val="center"/>
          </w:tcPr>
          <w:p w14:paraId="2C665A4F">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法定代表人身份证明及授权委托书有效，符合竞争性磋商文件规定的格式，签字或盖章齐全。</w:t>
            </w:r>
          </w:p>
        </w:tc>
      </w:tr>
      <w:tr w14:paraId="00C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72CC0A">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050A7AB9">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7E12AB93">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响应方案</w:t>
            </w:r>
          </w:p>
        </w:tc>
        <w:tc>
          <w:tcPr>
            <w:tcW w:w="5409" w:type="dxa"/>
            <w:vAlign w:val="center"/>
          </w:tcPr>
          <w:p w14:paraId="2D4D123A">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每个分包只能有一个响应方案。</w:t>
            </w:r>
          </w:p>
        </w:tc>
      </w:tr>
      <w:tr w14:paraId="7BD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BFA930">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01CA475F">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820B79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报价唯一</w:t>
            </w:r>
          </w:p>
        </w:tc>
        <w:tc>
          <w:tcPr>
            <w:tcW w:w="5409" w:type="dxa"/>
            <w:vAlign w:val="center"/>
          </w:tcPr>
          <w:p w14:paraId="2A2F837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只能在采购预算范围内报价，只能有一个有效报价，不得提交选择性报价。</w:t>
            </w:r>
          </w:p>
        </w:tc>
      </w:tr>
      <w:tr w14:paraId="6A8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78CE51A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560" w:type="dxa"/>
            <w:vMerge w:val="restart"/>
            <w:vAlign w:val="center"/>
          </w:tcPr>
          <w:p w14:paraId="1E204286">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完整性审查</w:t>
            </w:r>
          </w:p>
        </w:tc>
        <w:tc>
          <w:tcPr>
            <w:tcW w:w="1984" w:type="dxa"/>
            <w:vAlign w:val="center"/>
          </w:tcPr>
          <w:p w14:paraId="56A4DF1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响应文件份数</w:t>
            </w:r>
          </w:p>
        </w:tc>
        <w:tc>
          <w:tcPr>
            <w:tcW w:w="5409" w:type="dxa"/>
            <w:vAlign w:val="center"/>
          </w:tcPr>
          <w:p w14:paraId="0E0ED84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响应文件正、副本数量（含电子文档）符合竞争性磋商文件要求。</w:t>
            </w:r>
          </w:p>
        </w:tc>
      </w:tr>
      <w:tr w14:paraId="770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1D34A7">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1560" w:type="dxa"/>
            <w:vMerge w:val="restart"/>
            <w:vAlign w:val="center"/>
          </w:tcPr>
          <w:p w14:paraId="3E79A5C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竞争性磋商文件的响应程度审查</w:t>
            </w:r>
          </w:p>
        </w:tc>
        <w:tc>
          <w:tcPr>
            <w:tcW w:w="1984" w:type="dxa"/>
            <w:vAlign w:val="center"/>
          </w:tcPr>
          <w:p w14:paraId="5BD9F5E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响应文件内容</w:t>
            </w:r>
          </w:p>
        </w:tc>
        <w:tc>
          <w:tcPr>
            <w:tcW w:w="5409" w:type="dxa"/>
            <w:vAlign w:val="center"/>
          </w:tcPr>
          <w:p w14:paraId="53BC39C5">
            <w:pPr>
              <w:pStyle w:val="34"/>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对竞争性磋商文件第二、三篇规定的磋商内容作出响应。</w:t>
            </w:r>
          </w:p>
        </w:tc>
      </w:tr>
      <w:tr w14:paraId="0423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3751D8C">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3EFB31CA">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5B1F97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磋商有效期</w:t>
            </w:r>
          </w:p>
        </w:tc>
        <w:tc>
          <w:tcPr>
            <w:tcW w:w="5409" w:type="dxa"/>
            <w:vAlign w:val="center"/>
          </w:tcPr>
          <w:p w14:paraId="57BCE17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满足磋商文件规定。</w:t>
            </w:r>
          </w:p>
        </w:tc>
      </w:tr>
    </w:tbl>
    <w:p w14:paraId="59F1D49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D76008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FFC4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917452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（五）在磋商过程中磋商的任何一方不得向他人透露与磋商有关的技术资料、价格或其他信息。</w:t>
      </w:r>
    </w:p>
    <w:p w14:paraId="1CC4B47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14C4E7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（七）供应商在磋商时作出的所有书面承诺须由法定代表人或其授权代表签字。</w:t>
      </w:r>
    </w:p>
    <w:p w14:paraId="276BE4A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12FD34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2CA1BBF">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2E974215">
      <w:pPr>
        <w:pStyle w:val="4"/>
        <w:spacing w:before="0" w:after="0" w:line="440" w:lineRule="exact"/>
        <w:rPr>
          <w:rFonts w:hint="eastAsia" w:ascii="微软雅黑" w:hAnsi="微软雅黑" w:eastAsia="微软雅黑" w:cs="微软雅黑"/>
          <w:color w:val="auto"/>
          <w:sz w:val="24"/>
          <w:szCs w:val="24"/>
          <w:highlight w:val="none"/>
        </w:rPr>
      </w:pPr>
      <w:bookmarkStart w:id="115" w:name="_Toc24386"/>
      <w:bookmarkStart w:id="116" w:name="_Toc12424"/>
      <w:r>
        <w:rPr>
          <w:rFonts w:hint="eastAsia" w:ascii="微软雅黑" w:hAnsi="微软雅黑" w:eastAsia="微软雅黑" w:cs="微软雅黑"/>
          <w:color w:val="auto"/>
          <w:sz w:val="24"/>
          <w:szCs w:val="24"/>
          <w:highlight w:val="none"/>
        </w:rPr>
        <w:t>二、评审标准</w:t>
      </w:r>
      <w:bookmarkEnd w:id="115"/>
      <w:bookmarkEnd w:id="116"/>
      <w:bookmarkStart w:id="117" w:name="_Toc32029"/>
      <w:bookmarkStart w:id="118" w:name="_Toc102227320"/>
      <w:bookmarkStart w:id="119" w:name="_Toc342913394"/>
    </w:p>
    <w:tbl>
      <w:tblPr>
        <w:tblStyle w:val="60"/>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1"/>
        <w:gridCol w:w="1151"/>
        <w:gridCol w:w="4454"/>
        <w:gridCol w:w="3006"/>
      </w:tblGrid>
      <w:tr w14:paraId="4C6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9" w:type="dxa"/>
            <w:noWrap w:val="0"/>
            <w:vAlign w:val="center"/>
          </w:tcPr>
          <w:p w14:paraId="6401FD58">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061" w:type="dxa"/>
            <w:noWrap w:val="0"/>
            <w:vAlign w:val="center"/>
          </w:tcPr>
          <w:p w14:paraId="51C3693B">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评分因素及权重</w:t>
            </w:r>
          </w:p>
        </w:tc>
        <w:tc>
          <w:tcPr>
            <w:tcW w:w="1151" w:type="dxa"/>
            <w:noWrap w:val="0"/>
            <w:vAlign w:val="center"/>
          </w:tcPr>
          <w:p w14:paraId="4B723DE1">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分值</w:t>
            </w:r>
          </w:p>
        </w:tc>
        <w:tc>
          <w:tcPr>
            <w:tcW w:w="4454" w:type="dxa"/>
            <w:noWrap w:val="0"/>
            <w:vAlign w:val="center"/>
          </w:tcPr>
          <w:p w14:paraId="38AFE82C">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评分标准</w:t>
            </w:r>
          </w:p>
        </w:tc>
        <w:tc>
          <w:tcPr>
            <w:tcW w:w="3006" w:type="dxa"/>
            <w:noWrap w:val="0"/>
            <w:vAlign w:val="center"/>
          </w:tcPr>
          <w:p w14:paraId="7E2E15D3">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r>
      <w:tr w14:paraId="3657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78ED155F">
            <w:pPr>
              <w:adjustRightInd w:val="0"/>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061" w:type="dxa"/>
            <w:noWrap w:val="0"/>
            <w:vAlign w:val="center"/>
          </w:tcPr>
          <w:p w14:paraId="00012526">
            <w:pPr>
              <w:jc w:val="lef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磋商报价</w:t>
            </w:r>
          </w:p>
          <w:p w14:paraId="3AB3F1CE">
            <w:pPr>
              <w:ind w:firstLine="28"/>
              <w:jc w:val="left"/>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sz w:val="21"/>
                <w:szCs w:val="21"/>
              </w:rPr>
              <w:t>（</w:t>
            </w:r>
            <w:r>
              <w:rPr>
                <w:rFonts w:hint="eastAsia" w:ascii="微软雅黑" w:hAnsi="微软雅黑" w:eastAsia="微软雅黑" w:cs="微软雅黑"/>
                <w:bCs/>
                <w:color w:val="auto"/>
                <w:sz w:val="21"/>
                <w:szCs w:val="21"/>
                <w:lang w:val="en-US" w:eastAsia="zh-CN"/>
              </w:rPr>
              <w:t>1</w:t>
            </w:r>
            <w:r>
              <w:rPr>
                <w:rFonts w:hint="eastAsia" w:ascii="微软雅黑" w:hAnsi="微软雅黑" w:eastAsia="微软雅黑" w:cs="微软雅黑"/>
                <w:bCs/>
                <w:color w:val="auto"/>
                <w:sz w:val="21"/>
                <w:szCs w:val="21"/>
              </w:rPr>
              <w:t>0%）</w:t>
            </w:r>
          </w:p>
        </w:tc>
        <w:tc>
          <w:tcPr>
            <w:tcW w:w="1151" w:type="dxa"/>
            <w:noWrap w:val="0"/>
            <w:vAlign w:val="center"/>
          </w:tcPr>
          <w:p w14:paraId="013B7B10">
            <w:pPr>
              <w:ind w:firstLine="28"/>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Cs/>
                <w:color w:val="auto"/>
                <w:sz w:val="21"/>
                <w:szCs w:val="21"/>
                <w:lang w:val="en-US" w:eastAsia="zh-CN"/>
              </w:rPr>
              <w:t>报价</w:t>
            </w:r>
          </w:p>
          <w:p w14:paraId="287E0716">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sz w:val="21"/>
                <w:szCs w:val="21"/>
                <w:lang w:val="en-US" w:eastAsia="zh-CN"/>
              </w:rPr>
              <w:t>（1</w:t>
            </w:r>
            <w:r>
              <w:rPr>
                <w:rFonts w:hint="eastAsia" w:ascii="微软雅黑" w:hAnsi="微软雅黑" w:eastAsia="微软雅黑" w:cs="微软雅黑"/>
                <w:bCs/>
                <w:color w:val="auto"/>
                <w:sz w:val="21"/>
                <w:szCs w:val="21"/>
              </w:rPr>
              <w:t>0分</w:t>
            </w:r>
            <w:r>
              <w:rPr>
                <w:rFonts w:hint="eastAsia" w:ascii="微软雅黑" w:hAnsi="微软雅黑" w:eastAsia="微软雅黑" w:cs="微软雅黑"/>
                <w:bCs/>
                <w:color w:val="auto"/>
                <w:sz w:val="21"/>
                <w:szCs w:val="21"/>
                <w:lang w:val="en-US" w:eastAsia="zh-CN"/>
              </w:rPr>
              <w:t>）</w:t>
            </w:r>
          </w:p>
        </w:tc>
        <w:tc>
          <w:tcPr>
            <w:tcW w:w="4454" w:type="dxa"/>
            <w:noWrap w:val="0"/>
            <w:vAlign w:val="center"/>
          </w:tcPr>
          <w:p w14:paraId="542505B8">
            <w:pPr>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有效的磋商折扣报价中的最低折扣报价为磋商基准折扣报价，按照下列公式计算每个供应商的磋商折扣报价得分。</w:t>
            </w:r>
          </w:p>
          <w:p w14:paraId="7B5DBEA7">
            <w:pPr>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磋商折扣报价得分＝（磋商基准折扣报价/最后磋商折扣报价）×价格权重×100。</w:t>
            </w:r>
          </w:p>
        </w:tc>
        <w:tc>
          <w:tcPr>
            <w:tcW w:w="3006" w:type="dxa"/>
            <w:noWrap w:val="0"/>
            <w:vAlign w:val="center"/>
          </w:tcPr>
          <w:p w14:paraId="57C3477C">
            <w:pPr>
              <w:ind w:firstLine="56" w:firstLineChars="28"/>
              <w:rPr>
                <w:rFonts w:hint="eastAsia" w:ascii="微软雅黑" w:hAnsi="微软雅黑" w:eastAsia="微软雅黑" w:cs="微软雅黑"/>
                <w:color w:val="auto"/>
                <w:sz w:val="20"/>
                <w:lang w:val="en-US" w:eastAsia="zh-CN"/>
              </w:rPr>
            </w:pPr>
            <w:r>
              <w:rPr>
                <w:rFonts w:hint="eastAsia" w:ascii="微软雅黑" w:hAnsi="微软雅黑" w:eastAsia="微软雅黑" w:cs="微软雅黑"/>
                <w:color w:val="auto"/>
                <w:sz w:val="20"/>
                <w:lang w:val="en-US" w:eastAsia="zh-CN"/>
              </w:rPr>
              <w:t>1、折扣报价最多保留小数点后2位，超过两位以四舍五入为准；</w:t>
            </w:r>
          </w:p>
          <w:p w14:paraId="22EBD449">
            <w:pPr>
              <w:ind w:firstLine="56" w:firstLineChars="28"/>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0"/>
                <w:lang w:val="en-US" w:eastAsia="zh-CN"/>
              </w:rPr>
              <w:t>2、对小微企业的价格用扣除后的价格参与评审，详见“注:关于小微企业报价扣除比例说明”。</w:t>
            </w:r>
          </w:p>
        </w:tc>
      </w:tr>
      <w:tr w14:paraId="3205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9" w:type="dxa"/>
            <w:vMerge w:val="restart"/>
            <w:noWrap w:val="0"/>
            <w:vAlign w:val="center"/>
          </w:tcPr>
          <w:p w14:paraId="73B6E56B">
            <w:pPr>
              <w:adjustRightInd w:val="0"/>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061" w:type="dxa"/>
            <w:vMerge w:val="restart"/>
            <w:noWrap w:val="0"/>
            <w:vAlign w:val="center"/>
          </w:tcPr>
          <w:p w14:paraId="71334BFB">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服务部分</w:t>
            </w:r>
          </w:p>
          <w:p w14:paraId="01F8D104">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60</w:t>
            </w:r>
            <w:r>
              <w:rPr>
                <w:rFonts w:hint="eastAsia" w:ascii="微软雅黑" w:hAnsi="微软雅黑" w:eastAsia="微软雅黑" w:cs="微软雅黑"/>
                <w:color w:val="auto"/>
                <w:sz w:val="21"/>
                <w:szCs w:val="21"/>
              </w:rPr>
              <w:t>%</w:t>
            </w:r>
            <w:r>
              <w:rPr>
                <w:rFonts w:hint="eastAsia" w:ascii="微软雅黑" w:hAnsi="微软雅黑" w:eastAsia="微软雅黑" w:cs="微软雅黑"/>
                <w:sz w:val="21"/>
                <w:szCs w:val="21"/>
              </w:rPr>
              <w:t>）</w:t>
            </w:r>
          </w:p>
        </w:tc>
        <w:tc>
          <w:tcPr>
            <w:tcW w:w="1151" w:type="dxa"/>
            <w:noWrap w:val="0"/>
            <w:vAlign w:val="center"/>
          </w:tcPr>
          <w:p w14:paraId="3AF344D8">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配送方案（1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3858781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对供应商配送方案（合理性、科学性、可操作、实用性,）进行综合评审：</w:t>
            </w:r>
          </w:p>
          <w:p w14:paraId="70DE082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内容不存在瑕疵得15分；</w:t>
            </w:r>
          </w:p>
          <w:p w14:paraId="729B3EE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存在1处瑕疵得10分；</w:t>
            </w:r>
          </w:p>
          <w:p w14:paraId="7F7EAA8E">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6ED42A5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restart"/>
            <w:noWrap w:val="0"/>
            <w:vAlign w:val="center"/>
          </w:tcPr>
          <w:p w14:paraId="21FF8482">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1.提供相关方案（格式自定）</w:t>
            </w:r>
          </w:p>
          <w:p w14:paraId="3F5617A6">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2.本项内容中所称的“缺陷”指下述任意一种情形：</w:t>
            </w:r>
          </w:p>
          <w:p w14:paraId="6DC19934">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①内容表述不完整或缺少关键分析点；</w:t>
            </w:r>
          </w:p>
          <w:p w14:paraId="5C121943">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②计划及措施不科学；</w:t>
            </w:r>
          </w:p>
          <w:p w14:paraId="5B903A6C">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③内容表述前后矛盾、无连贯性、内容存在逻辑漏洞；</w:t>
            </w:r>
          </w:p>
          <w:p w14:paraId="3A8A575C">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④常识性错误；</w:t>
            </w:r>
          </w:p>
          <w:p w14:paraId="1B915C46">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⑤技术措施保障安排并不适用本项目特性或非专门针对本项目制定；</w:t>
            </w:r>
          </w:p>
          <w:p w14:paraId="0C67947C">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⑥方案中提出的措施举措不利于本项目目标的实现；</w:t>
            </w:r>
          </w:p>
          <w:p w14:paraId="10A2EB4D">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⑦现有技术条件下不可能实现采购目标。</w:t>
            </w:r>
          </w:p>
        </w:tc>
      </w:tr>
      <w:tr w14:paraId="2689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29" w:type="dxa"/>
            <w:vMerge w:val="continue"/>
            <w:noWrap w:val="0"/>
            <w:vAlign w:val="center"/>
          </w:tcPr>
          <w:p w14:paraId="7C6E9610">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73DF6FB6">
            <w:pPr>
              <w:adjustRightInd w:val="0"/>
              <w:snapToGrid w:val="0"/>
              <w:rPr>
                <w:rFonts w:hint="eastAsia" w:ascii="微软雅黑" w:hAnsi="微软雅黑" w:eastAsia="微软雅黑" w:cs="微软雅黑"/>
                <w:sz w:val="21"/>
                <w:szCs w:val="21"/>
              </w:rPr>
            </w:pPr>
          </w:p>
        </w:tc>
        <w:tc>
          <w:tcPr>
            <w:tcW w:w="1151" w:type="dxa"/>
            <w:noWrap w:val="0"/>
            <w:vAlign w:val="center"/>
          </w:tcPr>
          <w:p w14:paraId="6015750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质量及安全保证措施（1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11924D35">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供应商提供</w:t>
            </w:r>
            <w:r>
              <w:rPr>
                <w:rFonts w:hint="eastAsia" w:ascii="微软雅黑" w:hAnsi="微软雅黑" w:eastAsia="微软雅黑" w:cs="微软雅黑"/>
                <w:sz w:val="21"/>
                <w:szCs w:val="21"/>
              </w:rPr>
              <w:t>的食品卫生安全保障措施</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食品安全培训计划、服务考核细则；</w:t>
            </w:r>
          </w:p>
          <w:p w14:paraId="17B922A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内容不存在瑕疵得15分；</w:t>
            </w:r>
          </w:p>
          <w:p w14:paraId="08921FF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存在1处瑕疵得10分；</w:t>
            </w:r>
          </w:p>
          <w:p w14:paraId="072B11B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5509F2CD">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continue"/>
            <w:noWrap w:val="0"/>
            <w:vAlign w:val="center"/>
          </w:tcPr>
          <w:p w14:paraId="06B38216">
            <w:pPr>
              <w:rPr>
                <w:rFonts w:hint="eastAsia" w:ascii="微软雅黑" w:hAnsi="微软雅黑" w:eastAsia="微软雅黑" w:cs="微软雅黑"/>
                <w:sz w:val="21"/>
                <w:szCs w:val="21"/>
              </w:rPr>
            </w:pPr>
          </w:p>
        </w:tc>
      </w:tr>
      <w:tr w14:paraId="7C5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29" w:type="dxa"/>
            <w:vMerge w:val="continue"/>
            <w:noWrap w:val="0"/>
            <w:vAlign w:val="center"/>
          </w:tcPr>
          <w:p w14:paraId="19DB9409">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7C65560B">
            <w:pPr>
              <w:adjustRightInd w:val="0"/>
              <w:snapToGrid w:val="0"/>
              <w:rPr>
                <w:rFonts w:hint="eastAsia" w:ascii="微软雅黑" w:hAnsi="微软雅黑" w:eastAsia="微软雅黑" w:cs="微软雅黑"/>
                <w:sz w:val="21"/>
                <w:szCs w:val="21"/>
              </w:rPr>
            </w:pPr>
          </w:p>
        </w:tc>
        <w:tc>
          <w:tcPr>
            <w:tcW w:w="1151" w:type="dxa"/>
            <w:noWrap w:val="0"/>
            <w:vAlign w:val="center"/>
          </w:tcPr>
          <w:p w14:paraId="583AE9F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管理与服务组织（1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5362184B">
            <w:pPr>
              <w:numPr>
                <w:ilvl w:val="0"/>
                <w:numId w:val="0"/>
              </w:num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供应商提供的的管理与服务组织实施方案中的日常物资保障、员工日常管理、教育等制度，工作岗位合作措施：</w:t>
            </w:r>
          </w:p>
          <w:p w14:paraId="4D44D63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5FF5335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分；</w:t>
            </w:r>
          </w:p>
          <w:p w14:paraId="2A53F6E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50EFD16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continue"/>
            <w:noWrap w:val="0"/>
            <w:vAlign w:val="center"/>
          </w:tcPr>
          <w:p w14:paraId="5A7C152F">
            <w:pPr>
              <w:rPr>
                <w:rFonts w:hint="eastAsia" w:ascii="微软雅黑" w:hAnsi="微软雅黑" w:eastAsia="微软雅黑" w:cs="微软雅黑"/>
                <w:sz w:val="21"/>
                <w:szCs w:val="21"/>
              </w:rPr>
            </w:pPr>
          </w:p>
        </w:tc>
      </w:tr>
      <w:tr w14:paraId="16BE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14:paraId="6F3427A2">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00B72C02">
            <w:pPr>
              <w:adjustRightInd w:val="0"/>
              <w:snapToGrid w:val="0"/>
              <w:rPr>
                <w:rFonts w:hint="eastAsia" w:ascii="微软雅黑" w:hAnsi="微软雅黑" w:eastAsia="微软雅黑" w:cs="微软雅黑"/>
                <w:sz w:val="21"/>
                <w:szCs w:val="21"/>
              </w:rPr>
            </w:pPr>
          </w:p>
        </w:tc>
        <w:tc>
          <w:tcPr>
            <w:tcW w:w="1151" w:type="dxa"/>
            <w:noWrap w:val="0"/>
            <w:vAlign w:val="center"/>
          </w:tcPr>
          <w:p w14:paraId="50440559">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应急预案（1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151BBD74">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供应商提供</w:t>
            </w:r>
            <w:r>
              <w:rPr>
                <w:rFonts w:hint="eastAsia" w:ascii="微软雅黑" w:hAnsi="微软雅黑" w:eastAsia="微软雅黑" w:cs="微软雅黑"/>
                <w:sz w:val="21"/>
                <w:szCs w:val="21"/>
              </w:rPr>
              <w:t>的应急预案体系：</w:t>
            </w:r>
          </w:p>
          <w:p w14:paraId="4CCCE41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内容不存在瑕疵得15分；</w:t>
            </w:r>
          </w:p>
          <w:p w14:paraId="3C38008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存在1处瑕疵得10分；</w:t>
            </w:r>
          </w:p>
          <w:p w14:paraId="12EA674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15CA6C2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continue"/>
            <w:noWrap w:val="0"/>
            <w:vAlign w:val="center"/>
          </w:tcPr>
          <w:p w14:paraId="4D75F044">
            <w:pPr>
              <w:rPr>
                <w:rFonts w:hint="eastAsia" w:ascii="微软雅黑" w:hAnsi="微软雅黑" w:eastAsia="微软雅黑" w:cs="微软雅黑"/>
                <w:sz w:val="21"/>
                <w:szCs w:val="21"/>
              </w:rPr>
            </w:pPr>
          </w:p>
        </w:tc>
      </w:tr>
      <w:tr w14:paraId="180F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9" w:type="dxa"/>
            <w:vMerge w:val="restart"/>
            <w:noWrap w:val="0"/>
            <w:vAlign w:val="center"/>
          </w:tcPr>
          <w:p w14:paraId="71B78292">
            <w:pPr>
              <w:adjustRightInd w:val="0"/>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061" w:type="dxa"/>
            <w:vMerge w:val="restart"/>
            <w:noWrap w:val="0"/>
            <w:vAlign w:val="center"/>
          </w:tcPr>
          <w:p w14:paraId="1322F8B9">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商务部分</w:t>
            </w:r>
          </w:p>
          <w:p w14:paraId="09A16117">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w:t>
            </w:r>
            <w:r>
              <w:rPr>
                <w:rFonts w:hint="eastAsia" w:ascii="微软雅黑" w:hAnsi="微软雅黑" w:eastAsia="微软雅黑" w:cs="微软雅黑"/>
                <w:sz w:val="21"/>
                <w:szCs w:val="21"/>
              </w:rPr>
              <w:t>）</w:t>
            </w:r>
          </w:p>
        </w:tc>
        <w:tc>
          <w:tcPr>
            <w:tcW w:w="1151" w:type="dxa"/>
            <w:noWrap w:val="0"/>
            <w:vAlign w:val="center"/>
          </w:tcPr>
          <w:p w14:paraId="6BBF85F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配送能力（</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5D6C599D">
            <w:pPr>
              <w:numPr>
                <w:ilvl w:val="0"/>
                <w:numId w:val="0"/>
              </w:numPr>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提供</w:t>
            </w:r>
            <w:r>
              <w:rPr>
                <w:rFonts w:hint="eastAsia" w:ascii="微软雅黑" w:hAnsi="微软雅黑" w:eastAsia="微软雅黑" w:cs="微软雅黑"/>
                <w:sz w:val="21"/>
                <w:szCs w:val="21"/>
              </w:rPr>
              <w:t>配送车辆1台得</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分,每增加1台加</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本项最多得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3006" w:type="dxa"/>
            <w:noWrap w:val="0"/>
            <w:vAlign w:val="center"/>
          </w:tcPr>
          <w:p w14:paraId="63CEBEA6">
            <w:pPr>
              <w:ind w:firstLine="56" w:firstLineChars="28"/>
              <w:rPr>
                <w:rFonts w:hint="eastAsia" w:ascii="微软雅黑" w:hAnsi="微软雅黑" w:eastAsia="微软雅黑" w:cs="微软雅黑"/>
                <w:sz w:val="20"/>
                <w:lang w:eastAsia="zh-CN"/>
              </w:rPr>
            </w:pPr>
            <w:r>
              <w:rPr>
                <w:rFonts w:hint="eastAsia" w:ascii="微软雅黑" w:hAnsi="微软雅黑" w:eastAsia="微软雅黑" w:cs="微软雅黑"/>
                <w:sz w:val="20"/>
              </w:rPr>
              <w:t>1.自有车辆的提供行驶证复印件（行驶证所有人为供应商单位）</w:t>
            </w:r>
            <w:r>
              <w:rPr>
                <w:rFonts w:hint="eastAsia" w:ascii="微软雅黑" w:hAnsi="微软雅黑" w:eastAsia="微软雅黑" w:cs="微软雅黑"/>
                <w:sz w:val="20"/>
                <w:lang w:eastAsia="zh-CN"/>
              </w:rPr>
              <w:t>；</w:t>
            </w:r>
          </w:p>
          <w:p w14:paraId="201CE536">
            <w:pPr>
              <w:ind w:left="78" w:leftChars="28"/>
              <w:rPr>
                <w:rFonts w:hint="eastAsia" w:ascii="微软雅黑" w:hAnsi="微软雅黑" w:eastAsia="微软雅黑" w:cs="微软雅黑"/>
                <w:sz w:val="20"/>
                <w:lang w:eastAsia="zh-CN"/>
              </w:rPr>
            </w:pPr>
            <w:r>
              <w:rPr>
                <w:rFonts w:hint="eastAsia" w:ascii="微软雅黑" w:hAnsi="微软雅黑" w:eastAsia="微软雅黑" w:cs="微软雅黑"/>
                <w:sz w:val="20"/>
              </w:rPr>
              <w:t>2.租用车辆的提供行驶证复印件及租赁合同复印件</w:t>
            </w:r>
            <w:r>
              <w:rPr>
                <w:rFonts w:hint="eastAsia" w:ascii="微软雅黑" w:hAnsi="微软雅黑" w:eastAsia="微软雅黑" w:cs="微软雅黑"/>
                <w:sz w:val="20"/>
                <w:lang w:eastAsia="zh-CN"/>
              </w:rPr>
              <w:t>（</w:t>
            </w:r>
            <w:r>
              <w:rPr>
                <w:rFonts w:hint="eastAsia" w:ascii="微软雅黑" w:hAnsi="微软雅黑" w:eastAsia="微软雅黑" w:cs="微软雅黑"/>
                <w:color w:val="auto"/>
                <w:sz w:val="20"/>
                <w:lang w:val="en-US" w:eastAsia="zh-CN"/>
              </w:rPr>
              <w:t>租赁协议需在有效期内</w:t>
            </w:r>
            <w:r>
              <w:rPr>
                <w:rFonts w:hint="eastAsia" w:ascii="微软雅黑" w:hAnsi="微软雅黑" w:eastAsia="微软雅黑" w:cs="微软雅黑"/>
                <w:sz w:val="20"/>
                <w:lang w:eastAsia="zh-CN"/>
              </w:rPr>
              <w:t>）</w:t>
            </w:r>
            <w:r>
              <w:rPr>
                <w:rFonts w:hint="eastAsia" w:ascii="微软雅黑" w:hAnsi="微软雅黑" w:eastAsia="微软雅黑" w:cs="微软雅黑"/>
                <w:sz w:val="20"/>
                <w:lang w:val="en-US" w:eastAsia="zh-CN"/>
              </w:rPr>
              <w:t>。</w:t>
            </w:r>
          </w:p>
        </w:tc>
      </w:tr>
      <w:tr w14:paraId="7018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29" w:type="dxa"/>
            <w:vMerge w:val="continue"/>
            <w:noWrap w:val="0"/>
            <w:vAlign w:val="center"/>
          </w:tcPr>
          <w:p w14:paraId="631F923E">
            <w:pPr>
              <w:pStyle w:val="4"/>
              <w:spacing w:before="0" w:after="0" w:line="240" w:lineRule="auto"/>
              <w:rPr>
                <w:rFonts w:hint="eastAsia" w:ascii="微软雅黑" w:hAnsi="微软雅黑" w:eastAsia="微软雅黑" w:cs="微软雅黑"/>
                <w:sz w:val="21"/>
                <w:szCs w:val="21"/>
              </w:rPr>
            </w:pPr>
          </w:p>
        </w:tc>
        <w:tc>
          <w:tcPr>
            <w:tcW w:w="1061" w:type="dxa"/>
            <w:vMerge w:val="continue"/>
            <w:noWrap w:val="0"/>
            <w:vAlign w:val="center"/>
          </w:tcPr>
          <w:p w14:paraId="4A00C2BA">
            <w:pPr>
              <w:adjustRightInd w:val="0"/>
              <w:snapToGrid w:val="0"/>
              <w:rPr>
                <w:rFonts w:hint="eastAsia" w:ascii="微软雅黑" w:hAnsi="微软雅黑" w:eastAsia="微软雅黑" w:cs="微软雅黑"/>
                <w:sz w:val="21"/>
                <w:szCs w:val="21"/>
              </w:rPr>
            </w:pPr>
          </w:p>
        </w:tc>
        <w:tc>
          <w:tcPr>
            <w:tcW w:w="1151" w:type="dxa"/>
            <w:noWrap w:val="0"/>
            <w:vAlign w:val="center"/>
          </w:tcPr>
          <w:p w14:paraId="72F8C15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经营业绩（</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p>
        </w:tc>
        <w:tc>
          <w:tcPr>
            <w:tcW w:w="4454" w:type="dxa"/>
            <w:noWrap w:val="0"/>
            <w:vAlign w:val="center"/>
          </w:tcPr>
          <w:p w14:paraId="1423A5E0">
            <w:pPr>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highlight w:val="none"/>
              </w:rPr>
              <w:t>供应商</w:t>
            </w:r>
            <w:r>
              <w:rPr>
                <w:rFonts w:hint="eastAsia" w:ascii="微软雅黑" w:hAnsi="微软雅黑" w:eastAsia="微软雅黑" w:cs="微软雅黑"/>
                <w:color w:val="auto"/>
                <w:sz w:val="21"/>
                <w:szCs w:val="21"/>
                <w:highlight w:val="none"/>
                <w:lang w:val="en-US" w:eastAsia="zh-CN"/>
              </w:rPr>
              <w:t>2022</w:t>
            </w:r>
            <w:r>
              <w:rPr>
                <w:rFonts w:hint="eastAsia" w:ascii="微软雅黑" w:hAnsi="微软雅黑" w:eastAsia="微软雅黑" w:cs="微软雅黑"/>
                <w:color w:val="auto"/>
                <w:sz w:val="21"/>
                <w:szCs w:val="21"/>
                <w:highlight w:val="none"/>
              </w:rPr>
              <w:t>年1月1日至今（以合同时间为准）具有食材干货类（蛋米油除外）供应配送业绩</w:t>
            </w:r>
            <w:r>
              <w:rPr>
                <w:rFonts w:hint="eastAsia" w:ascii="微软雅黑" w:hAnsi="微软雅黑" w:eastAsia="微软雅黑" w:cs="微软雅黑"/>
                <w:color w:val="auto"/>
                <w:sz w:val="21"/>
                <w:szCs w:val="21"/>
                <w:highlight w:val="none"/>
                <w:lang w:eastAsia="zh-CN"/>
              </w:rPr>
              <w:t>的</w:t>
            </w:r>
            <w:r>
              <w:rPr>
                <w:rFonts w:hint="eastAsia" w:ascii="微软雅黑" w:hAnsi="微软雅黑" w:eastAsia="微软雅黑" w:cs="微软雅黑"/>
                <w:color w:val="auto"/>
                <w:sz w:val="21"/>
                <w:szCs w:val="21"/>
                <w:highlight w:val="none"/>
              </w:rPr>
              <w:t>，每个得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rPr>
              <w:t>最多</w:t>
            </w:r>
            <w:r>
              <w:rPr>
                <w:rFonts w:hint="eastAsia" w:ascii="微软雅黑" w:hAnsi="微软雅黑" w:eastAsia="微软雅黑" w:cs="微软雅黑"/>
                <w:color w:val="auto"/>
                <w:sz w:val="21"/>
                <w:szCs w:val="21"/>
                <w:highlight w:val="none"/>
                <w:lang w:val="en-US" w:eastAsia="zh-CN"/>
              </w:rPr>
              <w:t>得20</w:t>
            </w:r>
            <w:r>
              <w:rPr>
                <w:rFonts w:hint="eastAsia" w:ascii="微软雅黑" w:hAnsi="微软雅黑" w:eastAsia="微软雅黑" w:cs="微软雅黑"/>
                <w:color w:val="auto"/>
                <w:sz w:val="21"/>
                <w:szCs w:val="21"/>
                <w:highlight w:val="none"/>
              </w:rPr>
              <w:t>分。</w:t>
            </w:r>
          </w:p>
        </w:tc>
        <w:tc>
          <w:tcPr>
            <w:tcW w:w="3006" w:type="dxa"/>
            <w:noWrap w:val="0"/>
            <w:vAlign w:val="center"/>
          </w:tcPr>
          <w:p w14:paraId="62A9DD06">
            <w:pPr>
              <w:rPr>
                <w:rFonts w:hint="eastAsia" w:ascii="微软雅黑" w:hAnsi="微软雅黑" w:eastAsia="微软雅黑" w:cs="微软雅黑"/>
                <w:sz w:val="20"/>
              </w:rPr>
            </w:pPr>
            <w:r>
              <w:rPr>
                <w:rFonts w:hint="eastAsia" w:ascii="微软雅黑" w:hAnsi="微软雅黑" w:eastAsia="微软雅黑" w:cs="微软雅黑"/>
                <w:sz w:val="20"/>
                <w:lang w:val="en-US" w:eastAsia="zh-CN"/>
              </w:rPr>
              <w:t>同一单位不同时间段只认定为一份有效合同，</w:t>
            </w:r>
            <w:r>
              <w:rPr>
                <w:rFonts w:hint="eastAsia" w:ascii="微软雅黑" w:hAnsi="微软雅黑" w:eastAsia="微软雅黑" w:cs="微软雅黑"/>
                <w:sz w:val="20"/>
              </w:rPr>
              <w:t>提供合同复印件加盖供应商鲜章。</w:t>
            </w:r>
          </w:p>
        </w:tc>
      </w:tr>
      <w:tr w14:paraId="2481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9" w:type="dxa"/>
            <w:vMerge w:val="continue"/>
            <w:noWrap w:val="0"/>
            <w:vAlign w:val="center"/>
          </w:tcPr>
          <w:p w14:paraId="174C4375">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5EFAC31C">
            <w:pPr>
              <w:adjustRightInd w:val="0"/>
              <w:snapToGrid w:val="0"/>
              <w:rPr>
                <w:rFonts w:hint="eastAsia" w:ascii="微软雅黑" w:hAnsi="微软雅黑" w:eastAsia="微软雅黑" w:cs="微软雅黑"/>
                <w:sz w:val="21"/>
                <w:szCs w:val="21"/>
              </w:rPr>
            </w:pPr>
          </w:p>
        </w:tc>
        <w:tc>
          <w:tcPr>
            <w:tcW w:w="1151" w:type="dxa"/>
            <w:noWrap w:val="0"/>
            <w:vAlign w:val="center"/>
          </w:tcPr>
          <w:p w14:paraId="08ACA198">
            <w:p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sz w:val="21"/>
                <w:szCs w:val="21"/>
                <w:lang w:val="en-US" w:eastAsia="zh-CN"/>
              </w:rPr>
              <w:t>人员（5分）</w:t>
            </w:r>
          </w:p>
        </w:tc>
        <w:tc>
          <w:tcPr>
            <w:tcW w:w="4454" w:type="dxa"/>
            <w:noWrap w:val="0"/>
            <w:vAlign w:val="center"/>
          </w:tcPr>
          <w:p w14:paraId="4072F2C4">
            <w:pPr>
              <w:numPr>
                <w:ilvl w:val="0"/>
                <w:numId w:val="0"/>
              </w:numPr>
              <w:ind w:left="0" w:leftChars="0" w:firstLine="0" w:firstLineChars="0"/>
              <w:textAlignment w:val="baseline"/>
              <w:rPr>
                <w:rFonts w:hint="eastAsia" w:ascii="微软雅黑" w:hAnsi="微软雅黑" w:eastAsia="微软雅黑" w:cs="微软雅黑"/>
                <w:lang w:val="en-US" w:eastAsia="zh-CN"/>
              </w:rPr>
            </w:pPr>
            <w:r>
              <w:rPr>
                <w:rFonts w:hint="eastAsia" w:ascii="微软雅黑" w:hAnsi="微软雅黑" w:eastAsia="微软雅黑" w:cs="微软雅黑"/>
                <w:color w:val="auto"/>
                <w:sz w:val="21"/>
                <w:szCs w:val="21"/>
                <w:highlight w:val="none"/>
                <w:lang w:val="en-US" w:eastAsia="zh-CN"/>
              </w:rPr>
              <w:t>食材配送人员具备健康证的得5分。</w:t>
            </w:r>
          </w:p>
        </w:tc>
        <w:tc>
          <w:tcPr>
            <w:tcW w:w="3006" w:type="dxa"/>
            <w:noWrap w:val="0"/>
            <w:vAlign w:val="center"/>
          </w:tcPr>
          <w:p w14:paraId="2635EC47">
            <w:pPr>
              <w:textAlignment w:val="baseline"/>
              <w:rPr>
                <w:rFonts w:hint="eastAsia" w:ascii="微软雅黑" w:hAnsi="微软雅黑" w:eastAsia="微软雅黑" w:cs="微软雅黑"/>
                <w:sz w:val="20"/>
              </w:rPr>
            </w:pPr>
            <w:r>
              <w:rPr>
                <w:rFonts w:hint="eastAsia" w:ascii="微软雅黑" w:hAnsi="微软雅黑" w:eastAsia="微软雅黑" w:cs="微软雅黑"/>
                <w:sz w:val="20"/>
                <w:lang w:val="en-US" w:eastAsia="zh-CN"/>
              </w:rPr>
              <w:t>提供人员健康证复印件加盖供应商公章（鲜章）</w:t>
            </w:r>
            <w:r>
              <w:rPr>
                <w:rFonts w:hint="eastAsia" w:ascii="微软雅黑" w:hAnsi="微软雅黑" w:eastAsia="微软雅黑" w:cs="微软雅黑"/>
                <w:sz w:val="20"/>
                <w:lang w:eastAsia="zh-CN"/>
              </w:rPr>
              <w:t>。</w:t>
            </w:r>
          </w:p>
        </w:tc>
      </w:tr>
    </w:tbl>
    <w:p w14:paraId="168948A0">
      <w:pPr>
        <w:spacing w:line="440" w:lineRule="exact"/>
        <w:ind w:firstLine="480" w:firstLineChars="200"/>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rPr>
        <w:t>注：磋商小组认为</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的报价明显低于其他通过符合性审查</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不能证明其报价合理性的，评标委员会应当将其作为无效投标处理。</w:t>
      </w:r>
    </w:p>
    <w:p w14:paraId="057B785B">
      <w:pPr>
        <w:pStyle w:val="4"/>
        <w:spacing w:before="0" w:after="0" w:line="400" w:lineRule="exact"/>
        <w:rPr>
          <w:rFonts w:hint="eastAsia" w:ascii="微软雅黑" w:hAnsi="微软雅黑" w:eastAsia="微软雅黑" w:cs="微软雅黑"/>
          <w:color w:val="auto"/>
          <w:sz w:val="24"/>
          <w:szCs w:val="24"/>
          <w:highlight w:val="none"/>
        </w:rPr>
      </w:pPr>
      <w:bookmarkStart w:id="120" w:name="_Toc16499"/>
      <w:r>
        <w:rPr>
          <w:rFonts w:hint="eastAsia" w:ascii="微软雅黑" w:hAnsi="微软雅黑" w:eastAsia="微软雅黑" w:cs="微软雅黑"/>
          <w:color w:val="auto"/>
          <w:sz w:val="24"/>
          <w:szCs w:val="24"/>
          <w:highlight w:val="none"/>
        </w:rPr>
        <w:t>三、无效响应</w:t>
      </w:r>
      <w:bookmarkEnd w:id="117"/>
      <w:bookmarkEnd w:id="120"/>
    </w:p>
    <w:p w14:paraId="6CC4F86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供应商发生以下条款情况之一者，视为无效响应，其响应文件将被拒绝：</w:t>
      </w:r>
    </w:p>
    <w:p w14:paraId="5B7B3E5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（一）供应商不符合规定的基本资格条件或特定资格条件的；</w:t>
      </w:r>
    </w:p>
    <w:p w14:paraId="22149529">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（二）供应商的法定代表人或其授权代表未参加磋商；</w:t>
      </w:r>
    </w:p>
    <w:p w14:paraId="0AAB06C9">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（三）供应商所提交的响应文件不按第七篇“响应文件编制要求”规定签字、盖章；</w:t>
      </w:r>
    </w:p>
    <w:p w14:paraId="5E300C0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（四）供应商的最后报价超过采购预算的；</w:t>
      </w:r>
    </w:p>
    <w:p w14:paraId="744A85E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（五）法定代表人为同一个人的两个及两个以上法人，母公司、全资子公司及其控股公司，在同一分包采购中同时参与磋商；</w:t>
      </w:r>
    </w:p>
    <w:p w14:paraId="69FF66C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（六）单位负责人为同一人或者存在直接控股、管理关系的不同供应商，参加同一合同项下的政府采购活动的；</w:t>
      </w:r>
    </w:p>
    <w:p w14:paraId="0615B56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w:t>
      </w:r>
    </w:p>
    <w:p w14:paraId="09DC3E1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（八）供应商的服务期、质量保证期及磋商有效期不满足竞争性磋商文件要求的；</w:t>
      </w:r>
    </w:p>
    <w:p w14:paraId="6146580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（九）供应商响应文件内容有与国家现行法律法规相违背的内容，或附有采购人无法接受的条件。</w:t>
      </w:r>
    </w:p>
    <w:p w14:paraId="62AD2CA3">
      <w:pPr>
        <w:pStyle w:val="4"/>
        <w:spacing w:before="0" w:after="0" w:line="400" w:lineRule="exact"/>
        <w:rPr>
          <w:rFonts w:hint="eastAsia" w:ascii="微软雅黑" w:hAnsi="微软雅黑" w:eastAsia="微软雅黑" w:cs="微软雅黑"/>
          <w:color w:val="auto"/>
          <w:sz w:val="24"/>
          <w:szCs w:val="24"/>
          <w:highlight w:val="none"/>
        </w:rPr>
      </w:pPr>
      <w:bookmarkStart w:id="121" w:name="_Toc18259"/>
      <w:bookmarkStart w:id="122" w:name="_Toc9907"/>
      <w:r>
        <w:rPr>
          <w:rFonts w:hint="eastAsia" w:ascii="微软雅黑" w:hAnsi="微软雅黑" w:eastAsia="微软雅黑" w:cs="微软雅黑"/>
          <w:color w:val="auto"/>
          <w:sz w:val="24"/>
          <w:szCs w:val="24"/>
          <w:highlight w:val="none"/>
        </w:rPr>
        <w:t>四、</w:t>
      </w:r>
      <w:bookmarkEnd w:id="118"/>
      <w:bookmarkEnd w:id="119"/>
      <w:r>
        <w:rPr>
          <w:rFonts w:hint="eastAsia" w:ascii="微软雅黑" w:hAnsi="微软雅黑" w:eastAsia="微软雅黑" w:cs="微软雅黑"/>
          <w:color w:val="auto"/>
          <w:sz w:val="24"/>
          <w:szCs w:val="24"/>
          <w:highlight w:val="none"/>
        </w:rPr>
        <w:t>采购终止</w:t>
      </w:r>
      <w:bookmarkEnd w:id="121"/>
      <w:bookmarkEnd w:id="122"/>
    </w:p>
    <w:p w14:paraId="2896465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出现下列情形之一的，采购人或者采购代理机构应当终止竞争性磋商采购活动，发布项目终止公告并说明原因，重新开展采购活动：</w:t>
      </w:r>
    </w:p>
    <w:p w14:paraId="2815BC12">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（一）因情况变化，不再符合规定的竞争性磋商采购方式适用情形的；</w:t>
      </w:r>
    </w:p>
    <w:p w14:paraId="64DCBC0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032743CD">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785B2439">
      <w:pPr>
        <w:spacing w:line="360" w:lineRule="auto"/>
        <w:rPr>
          <w:rFonts w:hint="eastAsia" w:ascii="微软雅黑" w:hAnsi="微软雅黑" w:eastAsia="微软雅黑" w:cs="微软雅黑"/>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CCDD0DA">
      <w:pPr>
        <w:pStyle w:val="3"/>
        <w:spacing w:line="240" w:lineRule="auto"/>
        <w:jc w:val="center"/>
        <w:rPr>
          <w:rFonts w:hint="eastAsia" w:ascii="微软雅黑" w:hAnsi="微软雅黑" w:eastAsia="微软雅黑" w:cs="微软雅黑"/>
          <w:b w:val="0"/>
          <w:color w:val="auto"/>
          <w:szCs w:val="30"/>
          <w:highlight w:val="none"/>
        </w:rPr>
      </w:pPr>
      <w:bookmarkStart w:id="123" w:name="_Toc19535"/>
      <w:bookmarkStart w:id="124" w:name="_Toc102227313"/>
      <w:bookmarkStart w:id="125" w:name="_Toc14757"/>
      <w:r>
        <w:rPr>
          <w:rFonts w:hint="eastAsia" w:ascii="微软雅黑" w:hAnsi="微软雅黑" w:eastAsia="微软雅黑" w:cs="微软雅黑"/>
          <w:b w:val="0"/>
          <w:color w:val="auto"/>
          <w:sz w:val="36"/>
          <w:szCs w:val="30"/>
          <w:highlight w:val="none"/>
        </w:rPr>
        <w:t>第五篇  供应商须知</w:t>
      </w:r>
      <w:bookmarkEnd w:id="123"/>
      <w:bookmarkEnd w:id="124"/>
      <w:bookmarkEnd w:id="125"/>
    </w:p>
    <w:p w14:paraId="5ED21269">
      <w:pPr>
        <w:pStyle w:val="4"/>
        <w:spacing w:before="0" w:after="0" w:line="240" w:lineRule="auto"/>
        <w:rPr>
          <w:rFonts w:hint="eastAsia" w:ascii="微软雅黑" w:hAnsi="微软雅黑" w:eastAsia="微软雅黑" w:cs="微软雅黑"/>
          <w:color w:val="auto"/>
          <w:sz w:val="24"/>
          <w:szCs w:val="24"/>
          <w:highlight w:val="none"/>
        </w:rPr>
      </w:pPr>
      <w:bookmarkStart w:id="126" w:name="_Toc342913389"/>
      <w:bookmarkStart w:id="127" w:name="_Toc26039"/>
      <w:bookmarkStart w:id="128" w:name="_Toc22686"/>
      <w:r>
        <w:rPr>
          <w:rFonts w:hint="eastAsia" w:ascii="微软雅黑" w:hAnsi="微软雅黑" w:eastAsia="微软雅黑" w:cs="微软雅黑"/>
          <w:color w:val="auto"/>
          <w:sz w:val="24"/>
          <w:szCs w:val="24"/>
          <w:highlight w:val="none"/>
        </w:rPr>
        <w:t>一、磋商</w:t>
      </w:r>
      <w:bookmarkEnd w:id="126"/>
      <w:r>
        <w:rPr>
          <w:rFonts w:hint="eastAsia" w:ascii="微软雅黑" w:hAnsi="微软雅黑" w:eastAsia="微软雅黑" w:cs="微软雅黑"/>
          <w:color w:val="auto"/>
          <w:sz w:val="24"/>
          <w:szCs w:val="24"/>
          <w:highlight w:val="none"/>
        </w:rPr>
        <w:t>费用</w:t>
      </w:r>
      <w:bookmarkEnd w:id="127"/>
      <w:bookmarkEnd w:id="128"/>
    </w:p>
    <w:p w14:paraId="3C193078">
      <w:pPr>
        <w:pStyle w:val="163"/>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参与磋商的供应商应承担其编制响应文件与递交响应文件所涉及的一切费用，不论磋商结果如何，采购人在任何情况下无义务也无责任承担这些费用。</w:t>
      </w:r>
    </w:p>
    <w:p w14:paraId="2D653BC5">
      <w:pPr>
        <w:pStyle w:val="4"/>
        <w:tabs>
          <w:tab w:val="left" w:pos="2640"/>
        </w:tabs>
        <w:spacing w:before="0" w:after="0" w:line="400" w:lineRule="exact"/>
        <w:rPr>
          <w:rFonts w:hint="eastAsia" w:ascii="微软雅黑" w:hAnsi="微软雅黑" w:eastAsia="微软雅黑" w:cs="微软雅黑"/>
          <w:color w:val="auto"/>
          <w:sz w:val="24"/>
          <w:szCs w:val="24"/>
          <w:highlight w:val="none"/>
        </w:rPr>
      </w:pPr>
      <w:bookmarkStart w:id="129" w:name="_Toc214"/>
      <w:bookmarkStart w:id="130" w:name="_Toc499216297"/>
      <w:bookmarkStart w:id="131" w:name="_Toc342913391"/>
      <w:bookmarkStart w:id="132" w:name="_Toc8049"/>
      <w:bookmarkStart w:id="133" w:name="_Toc499131167"/>
      <w:r>
        <w:rPr>
          <w:rFonts w:hint="eastAsia" w:ascii="微软雅黑" w:hAnsi="微软雅黑" w:eastAsia="微软雅黑" w:cs="微软雅黑"/>
          <w:color w:val="auto"/>
          <w:sz w:val="24"/>
          <w:szCs w:val="24"/>
          <w:highlight w:val="none"/>
        </w:rPr>
        <w:t>二、竞争性磋商文件</w:t>
      </w:r>
      <w:bookmarkEnd w:id="129"/>
      <w:bookmarkEnd w:id="130"/>
      <w:bookmarkEnd w:id="131"/>
      <w:bookmarkEnd w:id="132"/>
      <w:bookmarkEnd w:id="133"/>
    </w:p>
    <w:p w14:paraId="1FB2B5AE">
      <w:pPr>
        <w:pStyle w:val="163"/>
        <w:spacing w:line="400" w:lineRule="exact"/>
        <w:ind w:firstLine="480" w:firstLineChars="200"/>
        <w:rPr>
          <w:rFonts w:hint="eastAsia" w:ascii="微软雅黑" w:hAnsi="微软雅黑" w:eastAsia="微软雅黑" w:cs="微软雅黑"/>
          <w:color w:val="auto"/>
          <w:sz w:val="24"/>
          <w:szCs w:val="24"/>
          <w:highlight w:val="none"/>
        </w:rPr>
      </w:pPr>
      <w:bookmarkStart w:id="134" w:name="_Toc318159780"/>
      <w:bookmarkStart w:id="135" w:name="_Toc318159160"/>
      <w:bookmarkStart w:id="136" w:name="_Toc318159349"/>
      <w:bookmarkStart w:id="137" w:name="_Toc318166429"/>
      <w:r>
        <w:rPr>
          <w:rFonts w:hint="eastAsia" w:ascii="微软雅黑" w:hAnsi="微软雅黑" w:eastAsia="微软雅黑" w:cs="微软雅黑"/>
          <w:color w:val="auto"/>
          <w:sz w:val="24"/>
          <w:szCs w:val="24"/>
          <w:highlight w:val="none"/>
        </w:rPr>
        <w:t>（一）竞争性磋商文件由采购邀请书；采购服务需求；采购商务需求；磋商程序及方法、评审标准、无效响应和采购终止；供应商须知；合同草案条款；响应文件编制要求七部分组成。</w:t>
      </w:r>
    </w:p>
    <w:p w14:paraId="25F0A822">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（二）采购人所作的一切有效的书面通知、修改及补充，都是竞争性磋商文件不可分割的部分。</w:t>
      </w:r>
    </w:p>
    <w:p w14:paraId="1C6EE49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（三）竞争性磋商文件的解释</w:t>
      </w:r>
    </w:p>
    <w:p w14:paraId="654520B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80509D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（四）本竞争性磋商文件中，磋商小组根据与供应商进行磋商可能实质性变动的内容为竞争性磋商文件第二、三、六篇全部内容。</w:t>
      </w:r>
    </w:p>
    <w:p w14:paraId="64572C29">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34"/>
    <w:bookmarkEnd w:id="135"/>
    <w:bookmarkEnd w:id="136"/>
    <w:bookmarkEnd w:id="137"/>
    <w:p w14:paraId="7F45FD6D">
      <w:pPr>
        <w:pStyle w:val="4"/>
        <w:spacing w:before="0" w:after="0" w:line="400" w:lineRule="exact"/>
        <w:rPr>
          <w:rFonts w:hint="eastAsia" w:ascii="微软雅黑" w:hAnsi="微软雅黑" w:eastAsia="微软雅黑" w:cs="微软雅黑"/>
          <w:color w:val="auto"/>
          <w:sz w:val="24"/>
          <w:szCs w:val="24"/>
          <w:highlight w:val="none"/>
        </w:rPr>
      </w:pPr>
      <w:bookmarkStart w:id="138" w:name="_Toc342913392"/>
      <w:bookmarkStart w:id="139" w:name="_Toc102227318"/>
      <w:bookmarkStart w:id="140" w:name="_Toc499216298"/>
      <w:bookmarkStart w:id="141" w:name="_Toc6177"/>
      <w:bookmarkStart w:id="142" w:name="_Toc179714297"/>
      <w:bookmarkStart w:id="143" w:name="_Toc7730"/>
      <w:bookmarkStart w:id="144" w:name="_Toc499131168"/>
      <w:r>
        <w:rPr>
          <w:rFonts w:hint="eastAsia" w:ascii="微软雅黑" w:hAnsi="微软雅黑" w:eastAsia="微软雅黑" w:cs="微软雅黑"/>
          <w:color w:val="auto"/>
          <w:sz w:val="24"/>
          <w:szCs w:val="24"/>
          <w:highlight w:val="none"/>
        </w:rPr>
        <w:t>三、磋商要求</w:t>
      </w:r>
      <w:bookmarkEnd w:id="138"/>
      <w:bookmarkEnd w:id="139"/>
      <w:bookmarkEnd w:id="140"/>
      <w:bookmarkEnd w:id="141"/>
      <w:bookmarkEnd w:id="142"/>
      <w:bookmarkEnd w:id="143"/>
      <w:bookmarkEnd w:id="144"/>
    </w:p>
    <w:p w14:paraId="3B184B50">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2E0E1AB3">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23084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5102C33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092E29">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53CD8C6">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本项目不接受联合体投标。</w:t>
      </w:r>
    </w:p>
    <w:p w14:paraId="6A5503C3">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（三）磋商有效期：响应文件及有关承诺文件有效期为提交响应文件截止时间起90天。</w:t>
      </w:r>
    </w:p>
    <w:p w14:paraId="5A7E35E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36E654CE">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1、若供应商所递交的响应文件或最后报价中的价格出现大写金额和小写金额不一致的错误，以大写金额修正为准。</w:t>
      </w:r>
    </w:p>
    <w:p w14:paraId="3D5028AB">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7350D0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（五）提交响应文件的份数和签署</w:t>
      </w:r>
    </w:p>
    <w:p w14:paraId="594278E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1、响应文件一式四份，其中正本一份，副本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6624ECD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2、在响应文件正本中，竞争性磋商文件第七篇响应文件编制要求中规定签字、盖章的地方必须按其规定签字、盖章。</w:t>
      </w:r>
    </w:p>
    <w:p w14:paraId="319ED36A">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（六）响应文件的递交</w:t>
      </w:r>
    </w:p>
    <w:p w14:paraId="35216525">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响应文件的密封</w:t>
      </w:r>
    </w:p>
    <w:p w14:paraId="5D321BE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14:paraId="66653020">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1.2封套的封口处应加盖供应商公章或由法定代表人授权代表签字。</w:t>
      </w:r>
    </w:p>
    <w:p w14:paraId="52F4393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2.如果未按上述规定进行密封，采购代理机构对响应文件误投、丢失或提前拆封不负责任。</w:t>
      </w:r>
    </w:p>
    <w:p w14:paraId="7E436A3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（七）供应商参与人员</w:t>
      </w:r>
    </w:p>
    <w:p w14:paraId="7B4E902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各个供应商应当派1-2名代表参与磋商，至少1人应为法定代表人或具有法定代表人授权委托书的授权代表。</w:t>
      </w:r>
    </w:p>
    <w:p w14:paraId="0FFD0FCC">
      <w:pPr>
        <w:pStyle w:val="4"/>
        <w:spacing w:before="0" w:after="0" w:line="400" w:lineRule="exact"/>
        <w:rPr>
          <w:rFonts w:hint="eastAsia" w:ascii="微软雅黑" w:hAnsi="微软雅黑" w:eastAsia="微软雅黑" w:cs="微软雅黑"/>
          <w:color w:val="auto"/>
          <w:sz w:val="24"/>
          <w:szCs w:val="24"/>
          <w:highlight w:val="none"/>
        </w:rPr>
      </w:pPr>
      <w:bookmarkStart w:id="145" w:name="_Toc11507"/>
      <w:bookmarkStart w:id="146" w:name="_Toc499216299"/>
      <w:bookmarkStart w:id="147" w:name="_Toc499131169"/>
      <w:bookmarkStart w:id="148" w:name="_Toc31800"/>
      <w:r>
        <w:rPr>
          <w:rFonts w:hint="eastAsia" w:ascii="微软雅黑" w:hAnsi="微软雅黑" w:eastAsia="微软雅黑" w:cs="微软雅黑"/>
          <w:color w:val="auto"/>
          <w:sz w:val="24"/>
          <w:szCs w:val="24"/>
          <w:highlight w:val="none"/>
        </w:rPr>
        <w:t>四、成交供应商的确认和变更</w:t>
      </w:r>
      <w:bookmarkEnd w:id="145"/>
      <w:bookmarkEnd w:id="146"/>
      <w:bookmarkEnd w:id="147"/>
      <w:bookmarkEnd w:id="148"/>
    </w:p>
    <w:p w14:paraId="7A53C0A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（一）成交供应商的确认</w:t>
      </w:r>
    </w:p>
    <w:p w14:paraId="7A139632">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75E4F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31DE9C3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441CEAAA">
      <w:pPr>
        <w:pStyle w:val="4"/>
        <w:spacing w:before="0" w:after="0" w:line="400" w:lineRule="exact"/>
        <w:rPr>
          <w:rFonts w:hint="eastAsia" w:ascii="微软雅黑" w:hAnsi="微软雅黑" w:eastAsia="微软雅黑" w:cs="微软雅黑"/>
          <w:color w:val="auto"/>
          <w:sz w:val="24"/>
          <w:szCs w:val="24"/>
          <w:highlight w:val="none"/>
        </w:rPr>
      </w:pPr>
      <w:bookmarkStart w:id="149" w:name="_Toc499216300"/>
      <w:bookmarkStart w:id="150" w:name="_Toc102227321"/>
      <w:bookmarkStart w:id="151" w:name="_Toc499131170"/>
      <w:bookmarkStart w:id="152" w:name="_Toc342913395"/>
      <w:bookmarkStart w:id="153" w:name="_Toc4502"/>
      <w:bookmarkStart w:id="154" w:name="_Toc26172"/>
      <w:r>
        <w:rPr>
          <w:rFonts w:hint="eastAsia" w:ascii="微软雅黑" w:hAnsi="微软雅黑" w:eastAsia="微软雅黑" w:cs="微软雅黑"/>
          <w:color w:val="auto"/>
          <w:sz w:val="24"/>
          <w:szCs w:val="24"/>
          <w:highlight w:val="none"/>
        </w:rPr>
        <w:t>五、成交通知</w:t>
      </w:r>
      <w:bookmarkEnd w:id="149"/>
      <w:bookmarkEnd w:id="150"/>
      <w:bookmarkEnd w:id="151"/>
      <w:bookmarkEnd w:id="152"/>
      <w:bookmarkEnd w:id="153"/>
      <w:bookmarkEnd w:id="154"/>
    </w:p>
    <w:p w14:paraId="24634411">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（一）成交供应商确定后，采购代理机构将在</w:t>
      </w:r>
      <w:r>
        <w:rPr>
          <w:rFonts w:hint="eastAsia" w:ascii="微软雅黑" w:hAnsi="微软雅黑" w:eastAsia="微软雅黑" w:cs="微软雅黑"/>
          <w:color w:val="auto"/>
          <w:sz w:val="24"/>
          <w:highlight w:val="none"/>
        </w:rPr>
        <w:t>“行采家”（http://www.gec123.com）网</w:t>
      </w:r>
      <w:r>
        <w:rPr>
          <w:rFonts w:hint="eastAsia" w:ascii="微软雅黑" w:hAnsi="微软雅黑" w:eastAsia="微软雅黑" w:cs="微软雅黑"/>
          <w:color w:val="auto"/>
          <w:sz w:val="24"/>
          <w:szCs w:val="24"/>
          <w:highlight w:val="none"/>
        </w:rPr>
        <w:t>上发布成交结果公告。</w:t>
      </w:r>
    </w:p>
    <w:p w14:paraId="0F36FE85">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（二）结果公告发出同时，采购代理机构将以书面形式发出《成交通知书》。《成交通知书》一经发出即发生法律效力。</w:t>
      </w:r>
    </w:p>
    <w:p w14:paraId="4BCEEC9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5C57202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（四）如有供应商对成交结果提出质疑的，在质疑处理完毕后发出成交通知书。</w:t>
      </w:r>
    </w:p>
    <w:p w14:paraId="1578E344">
      <w:pPr>
        <w:pStyle w:val="4"/>
        <w:spacing w:before="0" w:after="0" w:line="400" w:lineRule="exact"/>
        <w:rPr>
          <w:rFonts w:hint="eastAsia" w:ascii="微软雅黑" w:hAnsi="微软雅黑" w:eastAsia="微软雅黑" w:cs="微软雅黑"/>
          <w:color w:val="auto"/>
          <w:sz w:val="24"/>
          <w:szCs w:val="24"/>
          <w:highlight w:val="none"/>
        </w:rPr>
      </w:pPr>
      <w:bookmarkStart w:id="155" w:name="_Toc23341"/>
      <w:bookmarkStart w:id="156" w:name="_Toc499131171"/>
      <w:bookmarkStart w:id="157" w:name="_Toc499216301"/>
      <w:bookmarkStart w:id="158" w:name="_Toc26819"/>
      <w:r>
        <w:rPr>
          <w:rFonts w:hint="eastAsia" w:ascii="微软雅黑" w:hAnsi="微软雅黑" w:eastAsia="微软雅黑" w:cs="微软雅黑"/>
          <w:color w:val="auto"/>
          <w:sz w:val="24"/>
          <w:szCs w:val="24"/>
          <w:highlight w:val="none"/>
        </w:rPr>
        <w:t>六、关于质疑和投诉</w:t>
      </w:r>
      <w:bookmarkEnd w:id="155"/>
      <w:bookmarkEnd w:id="156"/>
      <w:bookmarkEnd w:id="157"/>
      <w:bookmarkEnd w:id="158"/>
    </w:p>
    <w:p w14:paraId="59B3678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w:t>
      </w:r>
    </w:p>
    <w:p w14:paraId="529810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供应商认为采购文件、采购过程和成交结果使自己的权益收到伤害的，可向采购人或采购代理机构以书面形式提出质疑。</w:t>
      </w:r>
    </w:p>
    <w:p w14:paraId="2EAC59F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2503A4F5">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1.质疑时限、内容</w:t>
      </w:r>
    </w:p>
    <w:p w14:paraId="17DC1124">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8A4627">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1.2供应商提出质疑应当提交质疑函和必要的证明材料，质疑函应当包括下列内容：</w:t>
      </w:r>
    </w:p>
    <w:p w14:paraId="03B2293A">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1.2.1供应商的姓名或者名称、地址、邮编、联系人及联系电话；</w:t>
      </w:r>
    </w:p>
    <w:p w14:paraId="64E44EA4">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1.2.2质疑项目的名称、项目号以及采购执行编号；</w:t>
      </w:r>
    </w:p>
    <w:p w14:paraId="25A9C8BD">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1.2.3具体、明确的质疑事项和与质疑事项相关的请求；</w:t>
      </w:r>
    </w:p>
    <w:p w14:paraId="7D86C85B">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1.2.4事实依据；</w:t>
      </w:r>
    </w:p>
    <w:p w14:paraId="36C15920">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1.2.5必要的法律依据；</w:t>
      </w:r>
    </w:p>
    <w:p w14:paraId="3284E316">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1.2.6提出质疑的日期；</w:t>
      </w:r>
    </w:p>
    <w:p w14:paraId="2F08A141">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1.2.7营业执照（或事业单位法人证书，或个体工商户营业执照或有效的自然人身份证明）复印件；</w:t>
      </w:r>
    </w:p>
    <w:p w14:paraId="791F016B">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1.2.8法定代表人授权委托书原件、法定代表人身份证复印件和其授权代表的身份证复印件（供应商为自然人的提供自然人身份证复印件）；</w:t>
      </w:r>
    </w:p>
    <w:p w14:paraId="358658AA">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1.3供应商为自然人的，质疑函应当由本人签字；供应商为法人或者其他组织的，质疑函应当由法定代表人、主要负责人，或者其授权代表签字或者盖章，并加盖公章。</w:t>
      </w:r>
    </w:p>
    <w:p w14:paraId="7E042FB8">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01A7AE5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采购人、采购代理机构应当在收到供应商的书面质疑后七个工作日内作出答复，并以书面形式通知质疑供应商和其他有关供应商。</w:t>
      </w:r>
    </w:p>
    <w:p w14:paraId="18D8FDD4">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3.其他</w:t>
      </w:r>
    </w:p>
    <w:p w14:paraId="578E71E7">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3.1供应商应按照《政府采购质疑和投诉办法》（财政部令第94号）及相关法律法规要求，在法定质疑期内一次性提出针对同一采购程序环节的质疑。</w:t>
      </w:r>
    </w:p>
    <w:p w14:paraId="0EB47FA1">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3D90F10C">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（二）投诉</w:t>
      </w:r>
    </w:p>
    <w:p w14:paraId="7C7C1D9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0892272">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67FB468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CE98F1">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color w:val="auto"/>
          <w:sz w:val="24"/>
          <w:szCs w:val="24"/>
          <w:highlight w:val="none"/>
        </w:rPr>
        <w:t>。</w:t>
      </w:r>
    </w:p>
    <w:p w14:paraId="69CE29D8">
      <w:pPr>
        <w:pStyle w:val="4"/>
        <w:spacing w:before="0" w:after="0" w:line="400" w:lineRule="exact"/>
        <w:rPr>
          <w:rFonts w:hint="eastAsia" w:ascii="微软雅黑" w:hAnsi="微软雅黑" w:eastAsia="微软雅黑" w:cs="微软雅黑"/>
          <w:color w:val="auto"/>
          <w:sz w:val="24"/>
          <w:szCs w:val="24"/>
          <w:highlight w:val="none"/>
        </w:rPr>
      </w:pPr>
      <w:bookmarkStart w:id="159" w:name="_Toc22866"/>
      <w:bookmarkStart w:id="160" w:name="_Toc21802"/>
      <w:r>
        <w:rPr>
          <w:rFonts w:hint="eastAsia" w:ascii="微软雅黑" w:hAnsi="微软雅黑" w:eastAsia="微软雅黑" w:cs="微软雅黑"/>
          <w:color w:val="auto"/>
          <w:sz w:val="24"/>
          <w:szCs w:val="24"/>
          <w:highlight w:val="none"/>
        </w:rPr>
        <w:t>七、招标代理服务费</w:t>
      </w:r>
      <w:bookmarkEnd w:id="159"/>
      <w:bookmarkEnd w:id="160"/>
    </w:p>
    <w:p w14:paraId="25282A92">
      <w:pPr>
        <w:pStyle w:val="163"/>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（1）供应商成交后向采购代理机构缴纳采购代理服务费，本项目采购代理服务费</w:t>
      </w:r>
      <w:r>
        <w:rPr>
          <w:rFonts w:hint="eastAsia" w:ascii="微软雅黑" w:hAnsi="微软雅黑" w:eastAsia="微软雅黑" w:cs="微软雅黑"/>
          <w:color w:val="auto"/>
          <w:sz w:val="24"/>
          <w:szCs w:val="22"/>
          <w:highlight w:val="none"/>
          <w:lang w:val="en-US" w:eastAsia="zh-CN"/>
        </w:rPr>
        <w:t>为中标折扣×预算金额×1.5%（低于3000按3000收取）</w:t>
      </w:r>
      <w:r>
        <w:rPr>
          <w:rFonts w:hint="eastAsia" w:ascii="微软雅黑" w:hAnsi="微软雅黑" w:eastAsia="微软雅黑" w:cs="微软雅黑"/>
          <w:color w:val="auto"/>
          <w:sz w:val="24"/>
          <w:szCs w:val="22"/>
          <w:highlight w:val="none"/>
        </w:rPr>
        <w:t>。</w:t>
      </w:r>
    </w:p>
    <w:p w14:paraId="587C1EFB">
      <w:pPr>
        <w:pStyle w:val="163"/>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（2）服务费以现金、支票或汇票支付。</w:t>
      </w:r>
    </w:p>
    <w:p w14:paraId="2CBD625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（二）招标代理服务费缴纳账号：</w:t>
      </w:r>
    </w:p>
    <w:p w14:paraId="787297AB">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户  名：重庆麦迪逊招投标代理有限公司</w:t>
      </w:r>
    </w:p>
    <w:p w14:paraId="5F3162D2">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开户行：中信银行上清寺支行</w:t>
      </w:r>
    </w:p>
    <w:p w14:paraId="04A8FB1E">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账  号：7421910182600037951</w:t>
      </w:r>
    </w:p>
    <w:p w14:paraId="61B665CB">
      <w:pPr>
        <w:pStyle w:val="4"/>
        <w:spacing w:before="0" w:after="0" w:line="400" w:lineRule="exact"/>
        <w:rPr>
          <w:rFonts w:hint="eastAsia" w:ascii="微软雅黑" w:hAnsi="微软雅黑" w:eastAsia="微软雅黑" w:cs="微软雅黑"/>
          <w:color w:val="auto"/>
          <w:sz w:val="24"/>
          <w:szCs w:val="24"/>
          <w:highlight w:val="none"/>
        </w:rPr>
      </w:pPr>
      <w:bookmarkStart w:id="161" w:name="_Toc102227322"/>
      <w:bookmarkStart w:id="162" w:name="_Toc18899"/>
      <w:bookmarkStart w:id="163" w:name="_Toc342913396"/>
      <w:bookmarkStart w:id="164" w:name="_Toc21234"/>
      <w:bookmarkStart w:id="165" w:name="_Toc12789059"/>
      <w:bookmarkStart w:id="166" w:name="_Toc11641055"/>
      <w:r>
        <w:rPr>
          <w:rFonts w:hint="eastAsia" w:ascii="微软雅黑" w:hAnsi="微软雅黑" w:eastAsia="微软雅黑" w:cs="微软雅黑"/>
          <w:color w:val="auto"/>
          <w:sz w:val="24"/>
          <w:szCs w:val="24"/>
          <w:highlight w:val="none"/>
        </w:rPr>
        <w:t>八、签订</w:t>
      </w:r>
      <w:bookmarkEnd w:id="161"/>
      <w:r>
        <w:rPr>
          <w:rFonts w:hint="eastAsia" w:ascii="微软雅黑" w:hAnsi="微软雅黑" w:eastAsia="微软雅黑" w:cs="微软雅黑"/>
          <w:color w:val="auto"/>
          <w:sz w:val="24"/>
          <w:szCs w:val="24"/>
          <w:highlight w:val="none"/>
        </w:rPr>
        <w:t>合同</w:t>
      </w:r>
      <w:bookmarkEnd w:id="162"/>
      <w:bookmarkEnd w:id="163"/>
      <w:bookmarkEnd w:id="164"/>
    </w:p>
    <w:p w14:paraId="2D6C09E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（一）采购人与成交供应商应当在成交通知书发出之日起30日内，按照采购文件确定的合同文本以及采购标的、规格型号、采购金额、采购数量、技术和服务要求等事项签订政府采购合同。</w:t>
      </w:r>
    </w:p>
    <w:p w14:paraId="24C548C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（二）竞争性磋商文件、成交供应商的响应文件及有效承诺文件等，均为签订合同的依据。</w:t>
      </w:r>
    </w:p>
    <w:p w14:paraId="3F869E7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（三）如成交供应商放弃成交项目或在签订合同时擅自改变成交状态的，采购人将按照相关法律法规处理。</w:t>
      </w:r>
    </w:p>
    <w:p w14:paraId="2A7910D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5BB00355">
      <w:pPr>
        <w:spacing w:line="400" w:lineRule="exact"/>
        <w:ind w:firstLine="480" w:firstLineChars="200"/>
        <w:rPr>
          <w:rFonts w:hint="eastAsia" w:ascii="微软雅黑" w:hAnsi="微软雅黑" w:eastAsia="微软雅黑" w:cs="微软雅黑"/>
          <w:b w:val="0"/>
          <w:color w:val="auto"/>
          <w:sz w:val="36"/>
          <w:szCs w:val="30"/>
          <w:highlight w:val="none"/>
        </w:rPr>
      </w:pPr>
      <w:r>
        <w:rPr>
          <w:rFonts w:hint="eastAsia" w:ascii="微软雅黑" w:hAnsi="微软雅黑" w:eastAsia="微软雅黑" w:cs="微软雅黑"/>
          <w:color w:val="auto"/>
          <w:sz w:val="24"/>
          <w:szCs w:val="24"/>
          <w:highlight w:val="none"/>
        </w:rPr>
        <w:t>（五）除不可抗力等因素外，成交通知书发出后，采购人改变成交结果，或者成交供应商拒绝签订政府采购合同的，应当承担相应的法律责任。</w:t>
      </w:r>
      <w:bookmarkEnd w:id="165"/>
      <w:bookmarkEnd w:id="166"/>
    </w:p>
    <w:p w14:paraId="1012F448">
      <w:pPr>
        <w:pStyle w:val="3"/>
        <w:spacing w:line="240" w:lineRule="auto"/>
        <w:jc w:val="center"/>
        <w:rPr>
          <w:rFonts w:hint="eastAsia" w:ascii="微软雅黑" w:hAnsi="微软雅黑" w:eastAsia="微软雅黑" w:cs="微软雅黑"/>
          <w:b w:val="0"/>
          <w:color w:val="auto"/>
          <w:sz w:val="36"/>
          <w:szCs w:val="30"/>
          <w:highlight w:val="none"/>
        </w:rPr>
        <w:sectPr>
          <w:footerReference r:id="rId12" w:type="default"/>
          <w:footerReference r:id="rId13" w:type="even"/>
          <w:pgSz w:w="11907" w:h="16840"/>
          <w:pgMar w:top="1134" w:right="1191" w:bottom="1134" w:left="1304" w:header="964" w:footer="992" w:gutter="0"/>
          <w:pgNumType w:fmt="numberInDash"/>
          <w:cols w:space="720" w:num="1"/>
          <w:docGrid w:linePitch="312" w:charSpace="0"/>
        </w:sectPr>
      </w:pPr>
    </w:p>
    <w:p w14:paraId="70CA3ED8">
      <w:pPr>
        <w:pStyle w:val="3"/>
        <w:spacing w:line="240" w:lineRule="auto"/>
        <w:jc w:val="center"/>
        <w:rPr>
          <w:rFonts w:hint="eastAsia" w:ascii="微软雅黑" w:hAnsi="微软雅黑" w:eastAsia="微软雅黑" w:cs="微软雅黑"/>
          <w:color w:val="auto"/>
          <w:szCs w:val="30"/>
          <w:highlight w:val="none"/>
        </w:rPr>
      </w:pPr>
      <w:bookmarkStart w:id="167" w:name="_Toc1141"/>
      <w:bookmarkStart w:id="168" w:name="_Toc29645"/>
      <w:r>
        <w:rPr>
          <w:rFonts w:hint="eastAsia" w:ascii="微软雅黑" w:hAnsi="微软雅黑" w:eastAsia="微软雅黑" w:cs="微软雅黑"/>
          <w:b w:val="0"/>
          <w:color w:val="auto"/>
          <w:sz w:val="36"/>
          <w:szCs w:val="30"/>
          <w:highlight w:val="none"/>
        </w:rPr>
        <w:t>第六篇  合同主要条款和格式合同（样本）</w:t>
      </w:r>
      <w:bookmarkEnd w:id="167"/>
      <w:bookmarkEnd w:id="168"/>
    </w:p>
    <w:p w14:paraId="19D9EB44">
      <w:pPr>
        <w:snapToGrid w:val="0"/>
        <w:ind w:right="-568" w:rightChars="-203"/>
        <w:jc w:val="center"/>
        <w:rPr>
          <w:rFonts w:hint="eastAsia" w:ascii="微软雅黑" w:hAnsi="微软雅黑" w:eastAsia="微软雅黑" w:cs="微软雅黑"/>
          <w:b/>
          <w:color w:val="auto"/>
          <w:sz w:val="44"/>
          <w:highlight w:val="none"/>
        </w:rPr>
      </w:pPr>
      <w:bookmarkStart w:id="169" w:name="_Toc12789072"/>
      <w:r>
        <w:rPr>
          <w:rFonts w:hint="eastAsia" w:ascii="微软雅黑" w:hAnsi="微软雅黑" w:eastAsia="微软雅黑" w:cs="微软雅黑"/>
          <w:b/>
          <w:color w:val="auto"/>
          <w:sz w:val="44"/>
          <w:highlight w:val="none"/>
        </w:rPr>
        <w:t>重庆市政府采购合同</w:t>
      </w:r>
    </w:p>
    <w:p w14:paraId="582360D9">
      <w:pPr>
        <w:snapToGrid w:val="0"/>
        <w:ind w:right="-568" w:rightChars="-203"/>
        <w:jc w:val="center"/>
        <w:rPr>
          <w:rFonts w:hint="eastAsia" w:ascii="微软雅黑" w:hAnsi="微软雅黑" w:eastAsia="微软雅黑" w:cs="微软雅黑"/>
          <w:b/>
          <w:color w:val="auto"/>
          <w:sz w:val="44"/>
          <w:highlight w:val="none"/>
        </w:rPr>
      </w:pPr>
      <w:r>
        <w:rPr>
          <w:rFonts w:hint="eastAsia" w:ascii="微软雅黑" w:hAnsi="微软雅黑" w:eastAsia="微软雅黑" w:cs="微软雅黑"/>
          <w:bCs/>
          <w:color w:val="auto"/>
          <w:sz w:val="32"/>
          <w:szCs w:val="32"/>
          <w:highlight w:val="none"/>
        </w:rPr>
        <w:t>（最终以实际签订合同格式为准）</w:t>
      </w:r>
    </w:p>
    <w:p w14:paraId="60475A2B">
      <w:pPr>
        <w:spacing w:line="500" w:lineRule="exact"/>
        <w:ind w:firstLine="640"/>
        <w:jc w:val="center"/>
        <w:outlineLvl w:val="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（项目号：     ）</w:t>
      </w:r>
    </w:p>
    <w:p w14:paraId="2C5B0EB2">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甲方（需方）：___________________________      计价单位：____________</w:t>
      </w:r>
    </w:p>
    <w:p w14:paraId="3C4F8BCB">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52B2CF60">
      <w:pPr>
        <w:spacing w:line="500" w:lineRule="exact"/>
        <w:ind w:firstLine="480"/>
        <w:rPr>
          <w:rFonts w:hint="eastAsia" w:ascii="微软雅黑" w:hAnsi="微软雅黑" w:eastAsia="微软雅黑" w:cs="微软雅黑"/>
          <w:color w:val="auto"/>
          <w:sz w:val="24"/>
          <w:highlight w:val="none"/>
        </w:rPr>
      </w:pPr>
    </w:p>
    <w:p w14:paraId="30CA6D8B">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CB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D934E7">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项目名称</w:t>
            </w:r>
          </w:p>
        </w:tc>
        <w:tc>
          <w:tcPr>
            <w:tcW w:w="984" w:type="dxa"/>
            <w:vAlign w:val="center"/>
          </w:tcPr>
          <w:p w14:paraId="07CF5FBB">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数量</w:t>
            </w:r>
          </w:p>
        </w:tc>
        <w:tc>
          <w:tcPr>
            <w:tcW w:w="1298" w:type="dxa"/>
            <w:gridSpan w:val="2"/>
            <w:vAlign w:val="center"/>
          </w:tcPr>
          <w:p w14:paraId="39984C4B">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综合单价</w:t>
            </w:r>
          </w:p>
        </w:tc>
        <w:tc>
          <w:tcPr>
            <w:tcW w:w="1134" w:type="dxa"/>
            <w:vAlign w:val="center"/>
          </w:tcPr>
          <w:p w14:paraId="22B3BE67">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总价</w:t>
            </w:r>
          </w:p>
        </w:tc>
        <w:tc>
          <w:tcPr>
            <w:tcW w:w="1559" w:type="dxa"/>
            <w:vAlign w:val="center"/>
          </w:tcPr>
          <w:p w14:paraId="649C3122">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服务时间</w:t>
            </w:r>
          </w:p>
        </w:tc>
        <w:tc>
          <w:tcPr>
            <w:tcW w:w="1567" w:type="dxa"/>
            <w:vAlign w:val="center"/>
          </w:tcPr>
          <w:p w14:paraId="5715DCA3">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服务地点</w:t>
            </w:r>
          </w:p>
        </w:tc>
      </w:tr>
      <w:tr w14:paraId="711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8B66661">
            <w:pPr>
              <w:spacing w:line="240" w:lineRule="atLeast"/>
              <w:jc w:val="center"/>
              <w:rPr>
                <w:rFonts w:hint="eastAsia" w:ascii="微软雅黑" w:hAnsi="微软雅黑" w:eastAsia="微软雅黑" w:cs="微软雅黑"/>
                <w:color w:val="auto"/>
                <w:szCs w:val="21"/>
                <w:highlight w:val="none"/>
              </w:rPr>
            </w:pPr>
          </w:p>
        </w:tc>
        <w:tc>
          <w:tcPr>
            <w:tcW w:w="984" w:type="dxa"/>
            <w:vAlign w:val="center"/>
          </w:tcPr>
          <w:p w14:paraId="78825F64">
            <w:pPr>
              <w:spacing w:line="240" w:lineRule="atLeast"/>
              <w:jc w:val="center"/>
              <w:rPr>
                <w:rFonts w:hint="eastAsia" w:ascii="微软雅黑" w:hAnsi="微软雅黑" w:eastAsia="微软雅黑" w:cs="微软雅黑"/>
                <w:color w:val="auto"/>
                <w:szCs w:val="21"/>
                <w:highlight w:val="none"/>
              </w:rPr>
            </w:pPr>
          </w:p>
        </w:tc>
        <w:tc>
          <w:tcPr>
            <w:tcW w:w="1298" w:type="dxa"/>
            <w:gridSpan w:val="2"/>
            <w:vAlign w:val="center"/>
          </w:tcPr>
          <w:p w14:paraId="3C927C75">
            <w:pPr>
              <w:spacing w:line="240" w:lineRule="atLeast"/>
              <w:jc w:val="center"/>
              <w:rPr>
                <w:rFonts w:hint="eastAsia" w:ascii="微软雅黑" w:hAnsi="微软雅黑" w:eastAsia="微软雅黑" w:cs="微软雅黑"/>
                <w:color w:val="auto"/>
                <w:szCs w:val="21"/>
                <w:highlight w:val="none"/>
              </w:rPr>
            </w:pPr>
          </w:p>
        </w:tc>
        <w:tc>
          <w:tcPr>
            <w:tcW w:w="1134" w:type="dxa"/>
            <w:vAlign w:val="center"/>
          </w:tcPr>
          <w:p w14:paraId="5ABD7B87">
            <w:pPr>
              <w:spacing w:line="240" w:lineRule="atLeast"/>
              <w:jc w:val="center"/>
              <w:rPr>
                <w:rFonts w:hint="eastAsia" w:ascii="微软雅黑" w:hAnsi="微软雅黑" w:eastAsia="微软雅黑" w:cs="微软雅黑"/>
                <w:color w:val="auto"/>
                <w:szCs w:val="21"/>
                <w:highlight w:val="none"/>
              </w:rPr>
            </w:pPr>
          </w:p>
        </w:tc>
        <w:tc>
          <w:tcPr>
            <w:tcW w:w="1559" w:type="dxa"/>
            <w:vAlign w:val="center"/>
          </w:tcPr>
          <w:p w14:paraId="3238E0E1">
            <w:pPr>
              <w:spacing w:line="240" w:lineRule="atLeast"/>
              <w:jc w:val="center"/>
              <w:rPr>
                <w:rFonts w:hint="eastAsia" w:ascii="微软雅黑" w:hAnsi="微软雅黑" w:eastAsia="微软雅黑" w:cs="微软雅黑"/>
                <w:color w:val="auto"/>
                <w:szCs w:val="21"/>
                <w:highlight w:val="none"/>
              </w:rPr>
            </w:pPr>
          </w:p>
        </w:tc>
        <w:tc>
          <w:tcPr>
            <w:tcW w:w="1567" w:type="dxa"/>
            <w:vAlign w:val="center"/>
          </w:tcPr>
          <w:p w14:paraId="4B17F4B9">
            <w:pPr>
              <w:spacing w:line="240" w:lineRule="atLeast"/>
              <w:jc w:val="center"/>
              <w:rPr>
                <w:rFonts w:hint="eastAsia" w:ascii="微软雅黑" w:hAnsi="微软雅黑" w:eastAsia="微软雅黑" w:cs="微软雅黑"/>
                <w:color w:val="auto"/>
                <w:szCs w:val="21"/>
                <w:highlight w:val="none"/>
              </w:rPr>
            </w:pPr>
          </w:p>
        </w:tc>
      </w:tr>
      <w:tr w14:paraId="0C0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F4DD7C">
            <w:pPr>
              <w:spacing w:line="240" w:lineRule="atLeast"/>
              <w:jc w:val="center"/>
              <w:rPr>
                <w:rFonts w:hint="eastAsia" w:ascii="微软雅黑" w:hAnsi="微软雅黑" w:eastAsia="微软雅黑" w:cs="微软雅黑"/>
                <w:color w:val="auto"/>
                <w:szCs w:val="21"/>
                <w:highlight w:val="none"/>
              </w:rPr>
            </w:pPr>
          </w:p>
        </w:tc>
        <w:tc>
          <w:tcPr>
            <w:tcW w:w="984" w:type="dxa"/>
            <w:vAlign w:val="center"/>
          </w:tcPr>
          <w:p w14:paraId="19E1BC16">
            <w:pPr>
              <w:spacing w:line="240" w:lineRule="atLeast"/>
              <w:jc w:val="center"/>
              <w:rPr>
                <w:rFonts w:hint="eastAsia" w:ascii="微软雅黑" w:hAnsi="微软雅黑" w:eastAsia="微软雅黑" w:cs="微软雅黑"/>
                <w:color w:val="auto"/>
                <w:szCs w:val="21"/>
                <w:highlight w:val="none"/>
              </w:rPr>
            </w:pPr>
          </w:p>
        </w:tc>
        <w:tc>
          <w:tcPr>
            <w:tcW w:w="1298" w:type="dxa"/>
            <w:gridSpan w:val="2"/>
            <w:vAlign w:val="center"/>
          </w:tcPr>
          <w:p w14:paraId="03F949E6">
            <w:pPr>
              <w:spacing w:line="240" w:lineRule="atLeast"/>
              <w:jc w:val="center"/>
              <w:rPr>
                <w:rFonts w:hint="eastAsia" w:ascii="微软雅黑" w:hAnsi="微软雅黑" w:eastAsia="微软雅黑" w:cs="微软雅黑"/>
                <w:color w:val="auto"/>
                <w:szCs w:val="21"/>
                <w:highlight w:val="none"/>
              </w:rPr>
            </w:pPr>
          </w:p>
        </w:tc>
        <w:tc>
          <w:tcPr>
            <w:tcW w:w="1134" w:type="dxa"/>
            <w:vAlign w:val="center"/>
          </w:tcPr>
          <w:p w14:paraId="0D94AEFC">
            <w:pPr>
              <w:spacing w:line="240" w:lineRule="atLeast"/>
              <w:jc w:val="center"/>
              <w:rPr>
                <w:rFonts w:hint="eastAsia" w:ascii="微软雅黑" w:hAnsi="微软雅黑" w:eastAsia="微软雅黑" w:cs="微软雅黑"/>
                <w:color w:val="auto"/>
                <w:szCs w:val="21"/>
                <w:highlight w:val="none"/>
              </w:rPr>
            </w:pPr>
          </w:p>
        </w:tc>
        <w:tc>
          <w:tcPr>
            <w:tcW w:w="1559" w:type="dxa"/>
            <w:vAlign w:val="center"/>
          </w:tcPr>
          <w:p w14:paraId="1C09B664">
            <w:pPr>
              <w:spacing w:line="240" w:lineRule="atLeast"/>
              <w:jc w:val="center"/>
              <w:rPr>
                <w:rFonts w:hint="eastAsia" w:ascii="微软雅黑" w:hAnsi="微软雅黑" w:eastAsia="微软雅黑" w:cs="微软雅黑"/>
                <w:color w:val="auto"/>
                <w:szCs w:val="21"/>
                <w:highlight w:val="none"/>
              </w:rPr>
            </w:pPr>
          </w:p>
        </w:tc>
        <w:tc>
          <w:tcPr>
            <w:tcW w:w="1567" w:type="dxa"/>
            <w:vAlign w:val="center"/>
          </w:tcPr>
          <w:p w14:paraId="3BA6E0B0">
            <w:pPr>
              <w:spacing w:line="240" w:lineRule="atLeast"/>
              <w:jc w:val="center"/>
              <w:rPr>
                <w:rFonts w:hint="eastAsia" w:ascii="微软雅黑" w:hAnsi="微软雅黑" w:eastAsia="微软雅黑" w:cs="微软雅黑"/>
                <w:color w:val="auto"/>
                <w:szCs w:val="21"/>
                <w:highlight w:val="none"/>
              </w:rPr>
            </w:pPr>
          </w:p>
        </w:tc>
      </w:tr>
      <w:tr w14:paraId="592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1BF760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合计人民币（小写）：</w:t>
            </w:r>
          </w:p>
        </w:tc>
      </w:tr>
      <w:tr w14:paraId="0A9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76436D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合计人民币（大写）：</w:t>
            </w:r>
          </w:p>
        </w:tc>
      </w:tr>
      <w:tr w14:paraId="008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2C7A849">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一、服务要求</w:t>
            </w:r>
          </w:p>
        </w:tc>
      </w:tr>
      <w:tr w14:paraId="357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9A83809">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二、考核方式</w:t>
            </w:r>
          </w:p>
        </w:tc>
      </w:tr>
      <w:tr w14:paraId="071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443E761">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三、付款方式：</w:t>
            </w:r>
          </w:p>
          <w:p w14:paraId="2C104443">
            <w:pPr>
              <w:rPr>
                <w:rFonts w:hint="eastAsia" w:ascii="微软雅黑" w:hAnsi="微软雅黑" w:eastAsia="微软雅黑" w:cs="微软雅黑"/>
                <w:color w:val="auto"/>
                <w:highlight w:val="none"/>
              </w:rPr>
            </w:pPr>
          </w:p>
        </w:tc>
      </w:tr>
      <w:tr w14:paraId="713F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A6EE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四、违约责任：</w:t>
            </w:r>
          </w:p>
          <w:p w14:paraId="09ED576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按《中华人民共和国民法典》、《中华人民共和国政府采购法》执行，或按双方约定。</w:t>
            </w:r>
          </w:p>
        </w:tc>
      </w:tr>
      <w:tr w14:paraId="08A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0EB0C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五、其他约定事项：</w:t>
            </w:r>
          </w:p>
          <w:p w14:paraId="3DA0940A">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1.采购文件及其澄清文件、响应文件和承诺是本合同不可分割的部分。</w:t>
            </w:r>
          </w:p>
          <w:p w14:paraId="545C23F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2.本合同如发生争议由双方协商解决，协商不成向需方所在人民法院提请诉讼。</w:t>
            </w:r>
          </w:p>
          <w:p w14:paraId="6DDD916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3.本合同一式__份， 需方__份，供方__份，具同等法律效力。</w:t>
            </w:r>
          </w:p>
          <w:p w14:paraId="681F025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4.其他：</w:t>
            </w:r>
          </w:p>
        </w:tc>
      </w:tr>
      <w:tr w14:paraId="33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3AD3E9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需方：</w:t>
            </w:r>
          </w:p>
          <w:p w14:paraId="7846D6E2">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地址：</w:t>
            </w:r>
          </w:p>
          <w:p w14:paraId="50AE868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p w14:paraId="526AB3A4">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授权代表：</w:t>
            </w:r>
          </w:p>
        </w:tc>
        <w:tc>
          <w:tcPr>
            <w:tcW w:w="4984" w:type="dxa"/>
            <w:gridSpan w:val="5"/>
          </w:tcPr>
          <w:p w14:paraId="627A7DEE">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供方：</w:t>
            </w:r>
          </w:p>
          <w:p w14:paraId="103E0E1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地址：</w:t>
            </w:r>
          </w:p>
          <w:p w14:paraId="37B07C0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电话：</w:t>
            </w:r>
          </w:p>
          <w:p w14:paraId="0891E372">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传真：</w:t>
            </w:r>
          </w:p>
          <w:p w14:paraId="5FCF3EEA">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开户银行：</w:t>
            </w:r>
          </w:p>
          <w:p w14:paraId="2CAD812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账号：</w:t>
            </w:r>
          </w:p>
          <w:p w14:paraId="1741AA5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授权代表：</w:t>
            </w:r>
          </w:p>
          <w:p w14:paraId="4D2F886B">
            <w:pPr>
              <w:widowControl/>
              <w:spacing w:line="24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（本栏请用计算机打印以便于准确付款）</w:t>
            </w:r>
          </w:p>
        </w:tc>
      </w:tr>
      <w:tr w14:paraId="22D6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6EC254C">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备注：</w:t>
            </w:r>
          </w:p>
          <w:p w14:paraId="0C5FC382">
            <w:pPr>
              <w:spacing w:line="240" w:lineRule="atLeast"/>
              <w:rPr>
                <w:rFonts w:hint="eastAsia" w:ascii="微软雅黑" w:hAnsi="微软雅黑" w:eastAsia="微软雅黑" w:cs="微软雅黑"/>
                <w:color w:val="auto"/>
                <w:szCs w:val="21"/>
                <w:highlight w:val="none"/>
              </w:rPr>
            </w:pPr>
          </w:p>
          <w:p w14:paraId="50DBFF1C">
            <w:pPr>
              <w:spacing w:line="240" w:lineRule="atLeast"/>
              <w:rPr>
                <w:rFonts w:hint="eastAsia" w:ascii="微软雅黑" w:hAnsi="微软雅黑" w:eastAsia="微软雅黑" w:cs="微软雅黑"/>
                <w:color w:val="auto"/>
                <w:szCs w:val="21"/>
                <w:highlight w:val="none"/>
              </w:rPr>
            </w:pPr>
          </w:p>
        </w:tc>
      </w:tr>
    </w:tbl>
    <w:p w14:paraId="1FE284D3">
      <w:pPr>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签约时间：           年   月   日      签约地点：</w:t>
      </w:r>
    </w:p>
    <w:p w14:paraId="500E6646">
      <w:pPr>
        <w:ind w:firstLine="480" w:firstLineChars="200"/>
        <w:rPr>
          <w:rFonts w:hint="eastAsia" w:ascii="微软雅黑" w:hAnsi="微软雅黑" w:eastAsia="微软雅黑" w:cs="微软雅黑"/>
          <w:b/>
          <w:bCs/>
          <w:color w:val="auto"/>
          <w:sz w:val="24"/>
          <w:szCs w:val="24"/>
          <w:highlight w:val="none"/>
        </w:rPr>
      </w:pPr>
    </w:p>
    <w:p w14:paraId="53765A2E">
      <w:pPr>
        <w:rPr>
          <w:rFonts w:hint="eastAsia" w:ascii="微软雅黑" w:hAnsi="微软雅黑" w:eastAsia="微软雅黑" w:cs="微软雅黑"/>
          <w:color w:val="auto"/>
          <w:highlight w:val="none"/>
        </w:rPr>
      </w:pPr>
    </w:p>
    <w:p w14:paraId="7E6E6CE0">
      <w:pPr>
        <w:rPr>
          <w:rFonts w:hint="eastAsia" w:ascii="微软雅黑" w:hAnsi="微软雅黑" w:eastAsia="微软雅黑" w:cs="微软雅黑"/>
          <w:color w:val="auto"/>
          <w:highlight w:val="none"/>
        </w:rPr>
      </w:pPr>
    </w:p>
    <w:p w14:paraId="6D53C93B">
      <w:pPr>
        <w:rPr>
          <w:rFonts w:hint="eastAsia" w:ascii="微软雅黑" w:hAnsi="微软雅黑" w:eastAsia="微软雅黑" w:cs="微软雅黑"/>
          <w:color w:val="auto"/>
          <w:highlight w:val="none"/>
        </w:rPr>
      </w:pPr>
    </w:p>
    <w:p w14:paraId="425BC003">
      <w:pPr>
        <w:rPr>
          <w:rFonts w:hint="eastAsia" w:ascii="微软雅黑" w:hAnsi="微软雅黑" w:eastAsia="微软雅黑" w:cs="微软雅黑"/>
          <w:color w:val="auto"/>
          <w:highlight w:val="none"/>
        </w:rPr>
      </w:pPr>
    </w:p>
    <w:p w14:paraId="54E21C5D">
      <w:pPr>
        <w:rPr>
          <w:rFonts w:hint="eastAsia" w:ascii="微软雅黑" w:hAnsi="微软雅黑" w:eastAsia="微软雅黑" w:cs="微软雅黑"/>
          <w:color w:val="auto"/>
          <w:highlight w:val="none"/>
        </w:rPr>
      </w:pPr>
    </w:p>
    <w:p w14:paraId="0166FD7F">
      <w:pPr>
        <w:rPr>
          <w:rFonts w:hint="eastAsia" w:ascii="微软雅黑" w:hAnsi="微软雅黑" w:eastAsia="微软雅黑" w:cs="微软雅黑"/>
          <w:color w:val="auto"/>
          <w:highlight w:val="none"/>
        </w:rPr>
      </w:pPr>
    </w:p>
    <w:p w14:paraId="08F75C92">
      <w:pPr>
        <w:pStyle w:val="3"/>
        <w:spacing w:before="0" w:after="0" w:line="360" w:lineRule="auto"/>
        <w:jc w:val="center"/>
        <w:rPr>
          <w:rFonts w:hint="eastAsia" w:ascii="微软雅黑" w:hAnsi="微软雅黑" w:eastAsia="微软雅黑" w:cs="微软雅黑"/>
          <w:b w:val="0"/>
          <w:color w:val="auto"/>
          <w:sz w:val="36"/>
          <w:szCs w:val="30"/>
          <w:highlight w:val="none"/>
        </w:rPr>
        <w:sectPr>
          <w:footerReference r:id="rId14" w:type="default"/>
          <w:pgSz w:w="11907" w:h="16840"/>
          <w:pgMar w:top="1134" w:right="1191" w:bottom="1134" w:left="1304" w:header="851" w:footer="992" w:gutter="0"/>
          <w:pgNumType w:fmt="numberInDash"/>
          <w:cols w:space="720" w:num="1"/>
          <w:docGrid w:linePitch="380" w:charSpace="-5735"/>
        </w:sectPr>
      </w:pPr>
    </w:p>
    <w:p w14:paraId="1043F606">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70" w:name="_Toc2385"/>
      <w:bookmarkStart w:id="171" w:name="_Toc22803"/>
      <w:r>
        <w:rPr>
          <w:rFonts w:hint="eastAsia" w:ascii="微软雅黑" w:hAnsi="微软雅黑" w:eastAsia="微软雅黑" w:cs="微软雅黑"/>
          <w:b w:val="0"/>
          <w:color w:val="auto"/>
          <w:sz w:val="36"/>
          <w:szCs w:val="30"/>
          <w:highlight w:val="none"/>
        </w:rPr>
        <w:t xml:space="preserve">第七篇  </w:t>
      </w:r>
      <w:bookmarkEnd w:id="169"/>
      <w:r>
        <w:rPr>
          <w:rFonts w:hint="eastAsia" w:ascii="微软雅黑" w:hAnsi="微软雅黑" w:eastAsia="微软雅黑" w:cs="微软雅黑"/>
          <w:b w:val="0"/>
          <w:color w:val="auto"/>
          <w:sz w:val="36"/>
          <w:szCs w:val="30"/>
          <w:highlight w:val="none"/>
        </w:rPr>
        <w:t>响应文件编制要求</w:t>
      </w:r>
      <w:bookmarkEnd w:id="170"/>
      <w:bookmarkEnd w:id="171"/>
    </w:p>
    <w:p w14:paraId="1A41F87B">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一、经济部分</w:t>
      </w:r>
    </w:p>
    <w:p w14:paraId="6FE65847">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（一）竞争性磋商报价函</w:t>
      </w:r>
    </w:p>
    <w:p w14:paraId="06B1C41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二、服务部分</w:t>
      </w:r>
    </w:p>
    <w:p w14:paraId="6CBD57FC">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（一）服务方案</w:t>
      </w:r>
    </w:p>
    <w:p w14:paraId="36E55B6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（二）服务响应偏离表</w:t>
      </w:r>
    </w:p>
    <w:p w14:paraId="17EF636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三、商务部分</w:t>
      </w:r>
    </w:p>
    <w:p w14:paraId="55C4D44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（一）商务响应偏离表</w:t>
      </w:r>
    </w:p>
    <w:p w14:paraId="7B10D00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（二）其它优惠服务承诺（格式自定）</w:t>
      </w:r>
    </w:p>
    <w:p w14:paraId="4F08AE3F">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1B1198B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0D1C07D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07664DE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7AC8501D">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71B672A0">
      <w:pPr>
        <w:pStyle w:val="22"/>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（五）特定资格条件</w:t>
      </w:r>
    </w:p>
    <w:p w14:paraId="7F585B5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五、其他应提供的资料</w:t>
      </w:r>
    </w:p>
    <w:p w14:paraId="7664A21D">
      <w:pPr>
        <w:snapToGrid w:val="0"/>
        <w:spacing w:line="4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其他与项目有关的资料</w:t>
      </w:r>
    </w:p>
    <w:p w14:paraId="650882BE">
      <w:pPr>
        <w:pStyle w:val="4"/>
        <w:spacing w:before="0" w:after="0" w:line="360" w:lineRule="auto"/>
        <w:rPr>
          <w:rFonts w:hint="eastAsia" w:ascii="微软雅黑" w:hAnsi="微软雅黑" w:eastAsia="微软雅黑" w:cs="微软雅黑"/>
          <w:color w:val="auto"/>
          <w:sz w:val="24"/>
          <w:szCs w:val="24"/>
          <w:highlight w:val="none"/>
        </w:rPr>
      </w:pPr>
      <w:bookmarkStart w:id="172" w:name="_Toc342913419"/>
      <w:bookmarkStart w:id="173" w:name="_Toc20076"/>
      <w:bookmarkStart w:id="174" w:name="_Toc313888360"/>
      <w:bookmarkStart w:id="175" w:name="_Toc4326"/>
      <w:bookmarkStart w:id="176" w:name="_Toc313008356"/>
      <w:bookmarkStart w:id="177" w:name="_Toc12789073"/>
      <w:bookmarkStart w:id="178" w:name="_Toc283382454"/>
      <w:r>
        <w:rPr>
          <w:rFonts w:hint="eastAsia" w:ascii="微软雅黑" w:hAnsi="微软雅黑" w:eastAsia="微软雅黑" w:cs="微软雅黑"/>
          <w:color w:val="auto"/>
          <w:sz w:val="24"/>
          <w:szCs w:val="24"/>
          <w:highlight w:val="none"/>
        </w:rPr>
        <w:t>一、经济部分</w:t>
      </w:r>
      <w:bookmarkEnd w:id="172"/>
      <w:bookmarkEnd w:id="173"/>
      <w:bookmarkEnd w:id="174"/>
      <w:bookmarkEnd w:id="175"/>
      <w:bookmarkEnd w:id="176"/>
    </w:p>
    <w:bookmarkEnd w:id="177"/>
    <w:bookmarkEnd w:id="178"/>
    <w:p w14:paraId="128CA8F7">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（一）竞争性磋商报价函</w:t>
      </w:r>
    </w:p>
    <w:p w14:paraId="393ABB76">
      <w:pPr>
        <w:tabs>
          <w:tab w:val="left" w:pos="6300"/>
        </w:tabs>
        <w:snapToGrid w:val="0"/>
        <w:spacing w:line="480" w:lineRule="exact"/>
        <w:jc w:val="center"/>
        <w:outlineLvl w:val="0"/>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竞争性磋商报价函</w:t>
      </w:r>
    </w:p>
    <w:p w14:paraId="1D366C65">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（采购代理机构名称）</w:t>
      </w:r>
      <w:r>
        <w:rPr>
          <w:rFonts w:hint="eastAsia" w:ascii="微软雅黑" w:hAnsi="微软雅黑" w:eastAsia="微软雅黑" w:cs="微软雅黑"/>
          <w:color w:val="auto"/>
          <w:sz w:val="24"/>
          <w:szCs w:val="24"/>
          <w:highlight w:val="none"/>
        </w:rPr>
        <w:t>：</w:t>
      </w:r>
    </w:p>
    <w:p w14:paraId="4BE91FF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我方收到____________________________（磋商项目名称）的竞争性磋商文件，经详细研究，决定参加该项目的磋商。</w:t>
      </w:r>
    </w:p>
    <w:p w14:paraId="497BB57F">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1、愿意按照竞争性磋商文件中的一切要求，提供本项目的服务，折扣报价为大写：</w:t>
      </w:r>
      <w:r>
        <w:rPr>
          <w:rFonts w:hint="eastAsia" w:ascii="微软雅黑" w:hAnsi="微软雅黑" w:eastAsia="微软雅黑" w:cs="微软雅黑"/>
          <w:color w:val="auto"/>
          <w:sz w:val="24"/>
          <w:szCs w:val="24"/>
          <w:highlight w:val="none"/>
          <w:lang w:val="en-US" w:eastAsia="zh-CN"/>
        </w:rPr>
        <w:t>百分之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%。以我公司最后报价为准。（折扣</w:t>
      </w:r>
      <w:r>
        <w:rPr>
          <w:rFonts w:hint="eastAsia" w:ascii="微软雅黑" w:hAnsi="微软雅黑" w:eastAsia="微软雅黑" w:cs="微软雅黑"/>
          <w:color w:val="auto"/>
          <w:sz w:val="24"/>
          <w:szCs w:val="24"/>
          <w:highlight w:val="none"/>
          <w:lang w:val="en-US" w:eastAsia="zh-CN"/>
        </w:rPr>
        <w:t>报价</w:t>
      </w:r>
      <w:r>
        <w:rPr>
          <w:rFonts w:hint="eastAsia" w:ascii="微软雅黑" w:hAnsi="微软雅黑" w:eastAsia="微软雅黑" w:cs="微软雅黑"/>
          <w:color w:val="auto"/>
          <w:sz w:val="24"/>
          <w:szCs w:val="24"/>
          <w:highlight w:val="none"/>
        </w:rPr>
        <w:t>最多保留小数点后2位，超过两位以四舍五入为准）。</w:t>
      </w:r>
    </w:p>
    <w:p w14:paraId="29EEAB8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份，电子文档</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p>
    <w:p w14:paraId="4436D3C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3、我方承诺：本次磋商的有效期为提交响应文件截止时间起90天。</w:t>
      </w:r>
    </w:p>
    <w:p w14:paraId="06663CB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4、我方完全理解和接受贵方竞争性磋商文件的一切规定和要求及评审办法。</w:t>
      </w:r>
    </w:p>
    <w:p w14:paraId="1B33719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5、在整个竞争性磋商过程中，我方若有违规行为，接受按照《中华人民共和国政府采购法》及其实施条例等规定给予惩罚。</w:t>
      </w:r>
    </w:p>
    <w:p w14:paraId="1F99DADE">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6、我方若成为成交供应商，将按照最终磋商结果签订合同，并且严格履行合同义务。本承诺函将成为合同不可分割的一部分，与合同具有同等的法律效力。</w:t>
      </w:r>
    </w:p>
    <w:p w14:paraId="6C6E39C8">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8"/>
          <w:highlight w:val="none"/>
        </w:rPr>
        <w:t>我方理解，最低报价不是成交的唯一条件。</w:t>
      </w:r>
    </w:p>
    <w:p w14:paraId="5BABA44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8、我方同意按竞争性磋商文件规定。如果我方成为成交供应商，保证在接到成交通知书后，向采购代理机构交纳竞争性磋商文件规定的采购代理服务费。</w:t>
      </w:r>
    </w:p>
    <w:p w14:paraId="62C9B338">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6EED6879">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4CDD0D6">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06D1645B">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p>
    <w:p w14:paraId="2A03BCE5">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C725BC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7A36EEA6">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286E5A1B">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47775EF5">
      <w:pPr>
        <w:snapToGrid w:val="0"/>
        <w:spacing w:line="312" w:lineRule="auto"/>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22FE26B7">
      <w:pPr>
        <w:pStyle w:val="4"/>
        <w:spacing w:before="0" w:after="0" w:line="360" w:lineRule="auto"/>
        <w:rPr>
          <w:rFonts w:hint="eastAsia" w:ascii="微软雅黑" w:hAnsi="微软雅黑" w:eastAsia="微软雅黑" w:cs="微软雅黑"/>
          <w:color w:val="auto"/>
          <w:sz w:val="24"/>
          <w:szCs w:val="24"/>
          <w:highlight w:val="none"/>
        </w:rPr>
      </w:pPr>
      <w:bookmarkStart w:id="179" w:name="_Toc18643"/>
      <w:bookmarkStart w:id="180" w:name="_Toc23131"/>
      <w:bookmarkStart w:id="181" w:name="_Toc313888361"/>
      <w:bookmarkStart w:id="182" w:name="_Toc342913420"/>
      <w:bookmarkStart w:id="183" w:name="_Toc313008357"/>
      <w:r>
        <w:rPr>
          <w:rFonts w:hint="eastAsia" w:ascii="微软雅黑" w:hAnsi="微软雅黑" w:eastAsia="微软雅黑" w:cs="微软雅黑"/>
          <w:color w:val="auto"/>
          <w:sz w:val="24"/>
          <w:szCs w:val="24"/>
          <w:highlight w:val="none"/>
        </w:rPr>
        <w:t>二、服务部分</w:t>
      </w:r>
      <w:bookmarkEnd w:id="179"/>
      <w:bookmarkEnd w:id="180"/>
      <w:bookmarkEnd w:id="181"/>
      <w:bookmarkEnd w:id="182"/>
      <w:bookmarkEnd w:id="183"/>
    </w:p>
    <w:p w14:paraId="0B2000B1">
      <w:pPr>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（一）服务方案（格式自定）</w:t>
      </w:r>
    </w:p>
    <w:p w14:paraId="65C74158">
      <w:pPr>
        <w:tabs>
          <w:tab w:val="left" w:pos="6300"/>
        </w:tabs>
        <w:snapToGrid w:val="0"/>
        <w:spacing w:line="500" w:lineRule="exact"/>
        <w:ind w:firstLine="57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br w:type="page"/>
      </w:r>
      <w:r>
        <w:rPr>
          <w:rFonts w:hint="eastAsia" w:ascii="微软雅黑" w:hAnsi="微软雅黑" w:eastAsia="微软雅黑" w:cs="微软雅黑"/>
          <w:color w:val="auto"/>
          <w:sz w:val="24"/>
          <w:szCs w:val="24"/>
          <w:highlight w:val="none"/>
        </w:rPr>
        <w:t>（二）服务响应偏离表</w:t>
      </w:r>
    </w:p>
    <w:p w14:paraId="2822ABE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项目号：                                </w:t>
      </w:r>
    </w:p>
    <w:p w14:paraId="55299C13">
      <w:pPr>
        <w:pStyle w:val="34"/>
        <w:tabs>
          <w:tab w:val="left" w:pos="6300"/>
        </w:tabs>
        <w:snapToGrid w:val="0"/>
        <w:spacing w:line="500" w:lineRule="exact"/>
        <w:ind w:firstLine="480" w:firstLineChars="200"/>
        <w:outlineLvl w:val="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磋商项目名称</w:t>
      </w:r>
      <w:r>
        <w:rPr>
          <w:rFonts w:hint="eastAsia" w:ascii="微软雅黑" w:hAnsi="微软雅黑" w:eastAsia="微软雅黑" w:cs="微软雅黑"/>
          <w:color w:val="auto"/>
          <w:sz w:val="24"/>
          <w:highlight w:val="none"/>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C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5578F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2658" w:type="dxa"/>
            <w:vAlign w:val="center"/>
          </w:tcPr>
          <w:p w14:paraId="420E836E">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2759" w:type="dxa"/>
            <w:vAlign w:val="center"/>
          </w:tcPr>
          <w:p w14:paraId="41D4FBC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2067" w:type="dxa"/>
            <w:vAlign w:val="center"/>
          </w:tcPr>
          <w:p w14:paraId="22CC2C4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553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EBAC2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70385EDC">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D9C001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24BBD74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27A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604B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358F0C4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4BD639E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7477813E">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0AD0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C601B8B">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7E0D6B2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3D39D57">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4847F00A">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703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1F372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4892F38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4896977B">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543E2C7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560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8D981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1F0FE55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FDE560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4F9659E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290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48D34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3DDCFDA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1FB49A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00466E8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6C8C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1D413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625BF2B5">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7C7B032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1634397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60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2D32C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0602DE2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712604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57046E4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307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507EC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131D2CC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14BB1D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2FF3A136">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4EFD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C8CEA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22AB9E6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2CE98E5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1705A7A6">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bl>
    <w:p w14:paraId="657AE386">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                            </w:t>
      </w:r>
      <w:r>
        <w:rPr>
          <w:rFonts w:hint="eastAsia" w:ascii="微软雅黑" w:hAnsi="微软雅黑" w:eastAsia="微软雅黑" w:cs="微软雅黑"/>
          <w:color w:val="auto"/>
          <w:sz w:val="24"/>
          <w:szCs w:val="24"/>
          <w:highlight w:val="none"/>
        </w:rPr>
        <w:t>法定代表人（或其授权代表）或自然人</w:t>
      </w:r>
      <w:r>
        <w:rPr>
          <w:rFonts w:hint="eastAsia" w:ascii="微软雅黑" w:hAnsi="微软雅黑" w:eastAsia="微软雅黑" w:cs="微软雅黑"/>
          <w:color w:val="auto"/>
          <w:sz w:val="24"/>
          <w:szCs w:val="28"/>
          <w:highlight w:val="none"/>
        </w:rPr>
        <w:t>：</w:t>
      </w:r>
    </w:p>
    <w:p w14:paraId="36777315">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1F86B995">
      <w:pPr>
        <w:spacing w:line="500" w:lineRule="exact"/>
        <w:ind w:firstLine="720" w:firstLineChars="3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（签字或盖章）</w:t>
      </w:r>
    </w:p>
    <w:p w14:paraId="0E8A5183">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B65D3E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3C7EF91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84" w:name="_Toc313888362"/>
      <w:bookmarkStart w:id="185" w:name="_Toc313008358"/>
      <w:bookmarkStart w:id="186" w:name="_Toc342913421"/>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本表即为对本项目“第二篇  项目服务需求”中所列条款进行比较和响应；</w:t>
      </w:r>
    </w:p>
    <w:p w14:paraId="6E25EB32">
      <w:pPr>
        <w:snapToGrid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2.本表可扩展。</w:t>
      </w:r>
    </w:p>
    <w:p w14:paraId="3FBCDE31">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4BA4CF8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0CBB0E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F1D447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20D7BBE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0F507BBD">
      <w:pPr>
        <w:pStyle w:val="4"/>
        <w:spacing w:before="0" w:after="0" w:line="360" w:lineRule="auto"/>
        <w:rPr>
          <w:rFonts w:hint="eastAsia" w:ascii="微软雅黑" w:hAnsi="微软雅黑" w:eastAsia="微软雅黑" w:cs="微软雅黑"/>
          <w:color w:val="auto"/>
          <w:sz w:val="24"/>
          <w:szCs w:val="24"/>
          <w:highlight w:val="none"/>
        </w:rPr>
      </w:pPr>
      <w:bookmarkStart w:id="187" w:name="_Toc13646"/>
      <w:bookmarkStart w:id="188" w:name="_Toc11384"/>
      <w:r>
        <w:rPr>
          <w:rFonts w:hint="eastAsia" w:ascii="微软雅黑" w:hAnsi="微软雅黑" w:eastAsia="微软雅黑" w:cs="微软雅黑"/>
          <w:color w:val="auto"/>
          <w:sz w:val="24"/>
          <w:szCs w:val="24"/>
          <w:highlight w:val="none"/>
        </w:rPr>
        <w:t>三、商务部分</w:t>
      </w:r>
      <w:bookmarkEnd w:id="184"/>
      <w:bookmarkEnd w:id="185"/>
      <w:bookmarkEnd w:id="186"/>
      <w:bookmarkEnd w:id="187"/>
      <w:bookmarkEnd w:id="188"/>
    </w:p>
    <w:p w14:paraId="1DA7CDF1">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89" w:name="_Toc283382459"/>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szCs w:val="24"/>
          <w:highlight w:val="none"/>
        </w:rPr>
        <w:t>商务响应偏离表</w:t>
      </w:r>
    </w:p>
    <w:p w14:paraId="4994469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项目号：                                </w:t>
      </w:r>
    </w:p>
    <w:p w14:paraId="5864862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5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37BD067">
            <w:pPr>
              <w:snapToGrid w:val="0"/>
              <w:spacing w:line="360" w:lineRule="auto"/>
              <w:ind w:firstLine="465"/>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序号</w:t>
            </w:r>
          </w:p>
        </w:tc>
        <w:tc>
          <w:tcPr>
            <w:tcW w:w="3179" w:type="dxa"/>
            <w:vAlign w:val="center"/>
          </w:tcPr>
          <w:p w14:paraId="5FF6BC6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磋商项目商务需求</w:t>
            </w:r>
          </w:p>
        </w:tc>
        <w:tc>
          <w:tcPr>
            <w:tcW w:w="2434" w:type="dxa"/>
            <w:vAlign w:val="center"/>
          </w:tcPr>
          <w:p w14:paraId="17A6DC7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响应情况</w:t>
            </w:r>
          </w:p>
        </w:tc>
        <w:tc>
          <w:tcPr>
            <w:tcW w:w="2355" w:type="dxa"/>
            <w:vAlign w:val="center"/>
          </w:tcPr>
          <w:p w14:paraId="77639BC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偏离说明</w:t>
            </w:r>
          </w:p>
        </w:tc>
      </w:tr>
      <w:tr w14:paraId="787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A1569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0783D00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66CF4E1D">
            <w:pPr>
              <w:tabs>
                <w:tab w:val="left" w:pos="6300"/>
              </w:tabs>
              <w:snapToGrid w:val="0"/>
              <w:spacing w:line="360" w:lineRule="auto"/>
              <w:outlineLvl w:val="0"/>
              <w:rPr>
                <w:rFonts w:hint="eastAsia" w:ascii="微软雅黑" w:hAnsi="微软雅黑" w:eastAsia="微软雅黑" w:cs="微软雅黑"/>
                <w:color w:val="auto"/>
                <w:sz w:val="21"/>
                <w:szCs w:val="24"/>
                <w:highlight w:val="none"/>
              </w:rPr>
            </w:pPr>
          </w:p>
        </w:tc>
        <w:tc>
          <w:tcPr>
            <w:tcW w:w="2355" w:type="dxa"/>
            <w:vAlign w:val="center"/>
          </w:tcPr>
          <w:p w14:paraId="39F49EA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1D54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D359C6">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3D27F1D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4075E17B">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055808C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090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D29A62">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18797FF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082DE7F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6428B70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21A7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7F0717">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4C3FE70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4A8DEF8C">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422BB41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32B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99F6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78C40B8D">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13FC0CB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4780C94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5A0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DFA067">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0F1960A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5B9D498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3C1A5A4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bl>
    <w:p w14:paraId="2C6C0C26">
      <w:pPr>
        <w:snapToGrid w:val="0"/>
        <w:spacing w:line="360" w:lineRule="auto"/>
        <w:ind w:firstLine="465"/>
        <w:rPr>
          <w:rFonts w:hint="eastAsia" w:ascii="微软雅黑" w:hAnsi="微软雅黑" w:eastAsia="微软雅黑" w:cs="微软雅黑"/>
          <w:color w:val="auto"/>
          <w:sz w:val="24"/>
          <w:szCs w:val="24"/>
          <w:highlight w:val="none"/>
        </w:rPr>
      </w:pPr>
    </w:p>
    <w:p w14:paraId="481AD0DE">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                          </w:t>
      </w:r>
      <w:r>
        <w:rPr>
          <w:rFonts w:hint="eastAsia" w:ascii="微软雅黑" w:hAnsi="微软雅黑" w:eastAsia="微软雅黑" w:cs="微软雅黑"/>
          <w:color w:val="auto"/>
          <w:sz w:val="24"/>
          <w:szCs w:val="24"/>
          <w:highlight w:val="none"/>
        </w:rPr>
        <w:t>法定代表人（或其授权代表）或自然人：</w:t>
      </w:r>
    </w:p>
    <w:p w14:paraId="47CB9DEE">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69767FA9">
      <w:pPr>
        <w:spacing w:line="500" w:lineRule="exact"/>
        <w:ind w:firstLine="360" w:firstLineChars="1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（签署或盖章）</w:t>
      </w:r>
    </w:p>
    <w:p w14:paraId="020C6C30">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19F0F3B">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3E182134">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本表即为对本项目“第三篇  项目商务需求”中所列条款进行比较和响应；</w:t>
      </w:r>
    </w:p>
    <w:p w14:paraId="18D5BE98">
      <w:pPr>
        <w:snapToGrid w:val="0"/>
        <w:spacing w:line="400" w:lineRule="exact"/>
        <w:ind w:firstLine="480" w:firstLineChars="200"/>
        <w:rPr>
          <w:rFonts w:hint="eastAsia" w:ascii="微软雅黑" w:hAnsi="微软雅黑" w:eastAsia="微软雅黑" w:cs="微软雅黑"/>
          <w:b/>
          <w:color w:val="auto"/>
          <w:highlight w:val="none"/>
        </w:rPr>
        <w:sectPr>
          <w:headerReference r:id="rId15"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highlight w:val="none"/>
        </w:rPr>
        <w:t>2.本表可扩展。</w:t>
      </w:r>
    </w:p>
    <w:p w14:paraId="31F6389E">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（二）其它优惠承诺（格式自定）</w:t>
      </w:r>
    </w:p>
    <w:p w14:paraId="4DE6C516">
      <w:pPr>
        <w:spacing w:line="360" w:lineRule="auto"/>
        <w:ind w:firstLine="480" w:firstLineChars="200"/>
        <w:rPr>
          <w:rFonts w:hint="eastAsia" w:ascii="微软雅黑" w:hAnsi="微软雅黑" w:eastAsia="微软雅黑" w:cs="微软雅黑"/>
          <w:color w:val="auto"/>
          <w:sz w:val="24"/>
          <w:highlight w:val="none"/>
        </w:rPr>
      </w:pPr>
    </w:p>
    <w:p w14:paraId="2923C5F8">
      <w:pPr>
        <w:spacing w:line="360" w:lineRule="auto"/>
        <w:ind w:firstLine="480" w:firstLineChars="200"/>
        <w:rPr>
          <w:rFonts w:hint="eastAsia" w:ascii="微软雅黑" w:hAnsi="微软雅黑" w:eastAsia="微软雅黑" w:cs="微软雅黑"/>
          <w:color w:val="auto"/>
          <w:sz w:val="24"/>
          <w:highlight w:val="none"/>
        </w:rPr>
      </w:pPr>
    </w:p>
    <w:p w14:paraId="5C6E80ED">
      <w:pPr>
        <w:spacing w:line="360" w:lineRule="auto"/>
        <w:ind w:firstLine="480" w:firstLineChars="200"/>
        <w:rPr>
          <w:rFonts w:hint="eastAsia" w:ascii="微软雅黑" w:hAnsi="微软雅黑" w:eastAsia="微软雅黑" w:cs="微软雅黑"/>
          <w:color w:val="auto"/>
          <w:sz w:val="24"/>
          <w:highlight w:val="none"/>
        </w:rPr>
      </w:pPr>
    </w:p>
    <w:p w14:paraId="1654E907">
      <w:pPr>
        <w:spacing w:line="360" w:lineRule="auto"/>
        <w:ind w:firstLine="480" w:firstLineChars="200"/>
        <w:rPr>
          <w:rFonts w:hint="eastAsia" w:ascii="微软雅黑" w:hAnsi="微软雅黑" w:eastAsia="微软雅黑" w:cs="微软雅黑"/>
          <w:color w:val="auto"/>
          <w:sz w:val="24"/>
          <w:highlight w:val="none"/>
        </w:rPr>
      </w:pPr>
    </w:p>
    <w:p w14:paraId="527C7EB8">
      <w:pPr>
        <w:spacing w:line="360" w:lineRule="auto"/>
        <w:ind w:firstLine="480" w:firstLineChars="200"/>
        <w:rPr>
          <w:rFonts w:hint="eastAsia" w:ascii="微软雅黑" w:hAnsi="微软雅黑" w:eastAsia="微软雅黑" w:cs="微软雅黑"/>
          <w:color w:val="auto"/>
          <w:sz w:val="24"/>
          <w:highlight w:val="none"/>
        </w:rPr>
      </w:pPr>
    </w:p>
    <w:p w14:paraId="0D163622">
      <w:pPr>
        <w:spacing w:line="360" w:lineRule="auto"/>
        <w:ind w:firstLine="480" w:firstLineChars="200"/>
        <w:rPr>
          <w:rFonts w:hint="eastAsia" w:ascii="微软雅黑" w:hAnsi="微软雅黑" w:eastAsia="微软雅黑" w:cs="微软雅黑"/>
          <w:color w:val="auto"/>
          <w:sz w:val="24"/>
          <w:highlight w:val="none"/>
        </w:rPr>
      </w:pPr>
    </w:p>
    <w:p w14:paraId="28276F4D">
      <w:pPr>
        <w:spacing w:line="360" w:lineRule="auto"/>
        <w:ind w:firstLine="480" w:firstLineChars="200"/>
        <w:rPr>
          <w:rFonts w:hint="eastAsia" w:ascii="微软雅黑" w:hAnsi="微软雅黑" w:eastAsia="微软雅黑" w:cs="微软雅黑"/>
          <w:color w:val="auto"/>
          <w:sz w:val="24"/>
          <w:highlight w:val="none"/>
        </w:rPr>
      </w:pPr>
    </w:p>
    <w:p w14:paraId="0BE59240">
      <w:pPr>
        <w:spacing w:line="360" w:lineRule="auto"/>
        <w:ind w:firstLine="480" w:firstLineChars="200"/>
        <w:rPr>
          <w:rFonts w:hint="eastAsia" w:ascii="微软雅黑" w:hAnsi="微软雅黑" w:eastAsia="微软雅黑" w:cs="微软雅黑"/>
          <w:color w:val="auto"/>
          <w:sz w:val="24"/>
          <w:highlight w:val="none"/>
        </w:rPr>
      </w:pPr>
    </w:p>
    <w:p w14:paraId="01285A59">
      <w:pPr>
        <w:spacing w:line="360" w:lineRule="auto"/>
        <w:ind w:firstLine="480" w:firstLineChars="200"/>
        <w:rPr>
          <w:rFonts w:hint="eastAsia" w:ascii="微软雅黑" w:hAnsi="微软雅黑" w:eastAsia="微软雅黑" w:cs="微软雅黑"/>
          <w:color w:val="auto"/>
          <w:sz w:val="24"/>
          <w:highlight w:val="none"/>
        </w:rPr>
      </w:pPr>
    </w:p>
    <w:p w14:paraId="041ECB8C">
      <w:pPr>
        <w:spacing w:line="360" w:lineRule="auto"/>
        <w:ind w:firstLine="480" w:firstLineChars="200"/>
        <w:rPr>
          <w:rFonts w:hint="eastAsia" w:ascii="微软雅黑" w:hAnsi="微软雅黑" w:eastAsia="微软雅黑" w:cs="微软雅黑"/>
          <w:color w:val="auto"/>
          <w:sz w:val="24"/>
          <w:highlight w:val="none"/>
        </w:rPr>
      </w:pPr>
    </w:p>
    <w:p w14:paraId="2C736AB7">
      <w:pPr>
        <w:spacing w:line="360" w:lineRule="auto"/>
        <w:ind w:firstLine="480" w:firstLineChars="200"/>
        <w:rPr>
          <w:rFonts w:hint="eastAsia" w:ascii="微软雅黑" w:hAnsi="微软雅黑" w:eastAsia="微软雅黑" w:cs="微软雅黑"/>
          <w:color w:val="auto"/>
          <w:sz w:val="24"/>
          <w:highlight w:val="none"/>
        </w:rPr>
      </w:pPr>
    </w:p>
    <w:p w14:paraId="62D1BDEF">
      <w:pPr>
        <w:spacing w:line="360" w:lineRule="auto"/>
        <w:ind w:firstLine="480" w:firstLineChars="200"/>
        <w:rPr>
          <w:rFonts w:hint="eastAsia" w:ascii="微软雅黑" w:hAnsi="微软雅黑" w:eastAsia="微软雅黑" w:cs="微软雅黑"/>
          <w:color w:val="auto"/>
          <w:sz w:val="24"/>
          <w:highlight w:val="none"/>
        </w:rPr>
      </w:pPr>
    </w:p>
    <w:p w14:paraId="2370775E">
      <w:pPr>
        <w:spacing w:line="360" w:lineRule="auto"/>
        <w:ind w:firstLine="480" w:firstLineChars="200"/>
        <w:rPr>
          <w:rFonts w:hint="eastAsia" w:ascii="微软雅黑" w:hAnsi="微软雅黑" w:eastAsia="微软雅黑" w:cs="微软雅黑"/>
          <w:color w:val="auto"/>
          <w:sz w:val="24"/>
          <w:highlight w:val="none"/>
        </w:rPr>
      </w:pPr>
    </w:p>
    <w:p w14:paraId="2CA024C5">
      <w:pPr>
        <w:spacing w:line="360" w:lineRule="auto"/>
        <w:ind w:firstLine="480" w:firstLineChars="200"/>
        <w:rPr>
          <w:rFonts w:hint="eastAsia" w:ascii="微软雅黑" w:hAnsi="微软雅黑" w:eastAsia="微软雅黑" w:cs="微软雅黑"/>
          <w:color w:val="auto"/>
          <w:sz w:val="24"/>
          <w:highlight w:val="none"/>
        </w:rPr>
      </w:pPr>
    </w:p>
    <w:p w14:paraId="16AF6852">
      <w:pPr>
        <w:spacing w:line="360" w:lineRule="auto"/>
        <w:ind w:firstLine="480" w:firstLineChars="200"/>
        <w:rPr>
          <w:rFonts w:hint="eastAsia" w:ascii="微软雅黑" w:hAnsi="微软雅黑" w:eastAsia="微软雅黑" w:cs="微软雅黑"/>
          <w:color w:val="auto"/>
          <w:sz w:val="24"/>
          <w:highlight w:val="none"/>
        </w:rPr>
      </w:pPr>
    </w:p>
    <w:p w14:paraId="6241C197">
      <w:pPr>
        <w:spacing w:line="360" w:lineRule="auto"/>
        <w:ind w:firstLine="480" w:firstLineChars="200"/>
        <w:rPr>
          <w:rFonts w:hint="eastAsia" w:ascii="微软雅黑" w:hAnsi="微软雅黑" w:eastAsia="微软雅黑" w:cs="微软雅黑"/>
          <w:color w:val="auto"/>
          <w:sz w:val="24"/>
          <w:highlight w:val="none"/>
        </w:rPr>
      </w:pPr>
    </w:p>
    <w:p w14:paraId="0FACB9B7">
      <w:pPr>
        <w:spacing w:line="360" w:lineRule="auto"/>
        <w:ind w:firstLine="480" w:firstLineChars="200"/>
        <w:rPr>
          <w:rFonts w:hint="eastAsia" w:ascii="微软雅黑" w:hAnsi="微软雅黑" w:eastAsia="微软雅黑" w:cs="微软雅黑"/>
          <w:color w:val="auto"/>
          <w:sz w:val="24"/>
          <w:highlight w:val="none"/>
        </w:rPr>
      </w:pPr>
    </w:p>
    <w:p w14:paraId="705D5E9F">
      <w:pPr>
        <w:spacing w:line="360" w:lineRule="auto"/>
        <w:ind w:firstLine="480" w:firstLineChars="200"/>
        <w:rPr>
          <w:rFonts w:hint="eastAsia" w:ascii="微软雅黑" w:hAnsi="微软雅黑" w:eastAsia="微软雅黑" w:cs="微软雅黑"/>
          <w:color w:val="auto"/>
          <w:sz w:val="24"/>
          <w:highlight w:val="none"/>
        </w:rPr>
      </w:pPr>
    </w:p>
    <w:p w14:paraId="4903DBFE">
      <w:pPr>
        <w:spacing w:line="360" w:lineRule="auto"/>
        <w:ind w:firstLine="480" w:firstLineChars="200"/>
        <w:rPr>
          <w:rFonts w:hint="eastAsia" w:ascii="微软雅黑" w:hAnsi="微软雅黑" w:eastAsia="微软雅黑" w:cs="微软雅黑"/>
          <w:color w:val="auto"/>
          <w:sz w:val="24"/>
          <w:highlight w:val="none"/>
        </w:rPr>
      </w:pPr>
    </w:p>
    <w:p w14:paraId="341B7E35">
      <w:pPr>
        <w:spacing w:line="360" w:lineRule="auto"/>
        <w:ind w:firstLine="480" w:firstLineChars="200"/>
        <w:rPr>
          <w:rFonts w:hint="eastAsia" w:ascii="微软雅黑" w:hAnsi="微软雅黑" w:eastAsia="微软雅黑" w:cs="微软雅黑"/>
          <w:color w:val="auto"/>
          <w:sz w:val="24"/>
          <w:highlight w:val="none"/>
        </w:rPr>
      </w:pPr>
    </w:p>
    <w:p w14:paraId="1DC5966A">
      <w:pPr>
        <w:spacing w:line="360" w:lineRule="auto"/>
        <w:ind w:firstLine="480" w:firstLineChars="200"/>
        <w:rPr>
          <w:rFonts w:hint="eastAsia" w:ascii="微软雅黑" w:hAnsi="微软雅黑" w:eastAsia="微软雅黑" w:cs="微软雅黑"/>
          <w:color w:val="auto"/>
          <w:sz w:val="24"/>
          <w:highlight w:val="none"/>
        </w:rPr>
      </w:pPr>
    </w:p>
    <w:p w14:paraId="40282E35">
      <w:pPr>
        <w:spacing w:line="360" w:lineRule="auto"/>
        <w:rPr>
          <w:rFonts w:hint="eastAsia" w:ascii="微软雅黑" w:hAnsi="微软雅黑" w:eastAsia="微软雅黑" w:cs="微软雅黑"/>
          <w:color w:val="auto"/>
          <w:sz w:val="24"/>
          <w:highlight w:val="none"/>
        </w:rPr>
      </w:pPr>
    </w:p>
    <w:bookmarkEnd w:id="189"/>
    <w:p w14:paraId="60818EF4">
      <w:pPr>
        <w:pStyle w:val="4"/>
        <w:spacing w:before="0" w:after="0" w:line="360" w:lineRule="auto"/>
        <w:rPr>
          <w:rFonts w:hint="eastAsia" w:ascii="微软雅黑" w:hAnsi="微软雅黑" w:eastAsia="微软雅黑" w:cs="微软雅黑"/>
          <w:color w:val="auto"/>
          <w:highlight w:val="none"/>
        </w:rPr>
      </w:pPr>
      <w:bookmarkStart w:id="190" w:name="_Toc313888363"/>
      <w:bookmarkStart w:id="191" w:name="_Toc313008359"/>
      <w:bookmarkStart w:id="192" w:name="_Toc342913422"/>
      <w:bookmarkStart w:id="193" w:name="_Toc8818"/>
      <w:bookmarkStart w:id="194" w:name="_Toc14002"/>
      <w:r>
        <w:rPr>
          <w:rFonts w:hint="eastAsia" w:ascii="微软雅黑" w:hAnsi="微软雅黑" w:eastAsia="微软雅黑" w:cs="微软雅黑"/>
          <w:color w:val="auto"/>
          <w:sz w:val="24"/>
          <w:szCs w:val="24"/>
          <w:highlight w:val="none"/>
        </w:rPr>
        <w:t>四、资格条件及其他</w:t>
      </w:r>
      <w:bookmarkEnd w:id="190"/>
      <w:bookmarkEnd w:id="191"/>
      <w:bookmarkEnd w:id="192"/>
      <w:bookmarkEnd w:id="193"/>
      <w:bookmarkEnd w:id="194"/>
    </w:p>
    <w:p w14:paraId="65560F7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319C267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E7D769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E3AFE8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4471E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4D30029">
      <w:pPr>
        <w:widowControl/>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（二）法定代表人身份证明书（格式）</w:t>
      </w:r>
    </w:p>
    <w:p w14:paraId="5DBA234C">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8E904EF">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2E6F150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685621C">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（采购代理机构名称）：</w:t>
      </w:r>
    </w:p>
    <w:p w14:paraId="7611C67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（职务名称）职务，是（供应商名称）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w:t>
      </w:r>
    </w:p>
    <w:p w14:paraId="22F73AC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19636F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7AC7595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CBABCD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2EA601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47514B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7AA9945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6ABB25A">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13E619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电子邮箱：XXXXXX@XXXXX（若授权他人办理并签署响应文件的可不填写）</w:t>
      </w:r>
    </w:p>
    <w:p w14:paraId="7D5E2F0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（附：法定代表人身份证正反面复印件）</w:t>
      </w:r>
    </w:p>
    <w:p w14:paraId="213EC99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0C808D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08AE7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919330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6C7F3F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FE821F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76AE1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（三）法定代表人授权委托书（格式）</w:t>
      </w:r>
    </w:p>
    <w:p w14:paraId="0A55C2C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71CF82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4D6981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38EA432">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（采购代理机构名称）：</w:t>
      </w:r>
    </w:p>
    <w:p w14:paraId="723DF91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（供应商法定代表人名称）是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（供应商名称）的法定代表人，特授权</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（被授权人姓名及身份证代码）代表我单位全权办理上述项目的磋商、签约等具体工作，并签署全部有关文件、协议及合同。</w:t>
      </w:r>
    </w:p>
    <w:p w14:paraId="4E8ABD67">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3B90F99A">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在撤消授权的书面通知以前，本授权书一直有效。被授权人在授权书有效期内签署的所有文件不因授权的撤消而失效。</w:t>
      </w:r>
    </w:p>
    <w:p w14:paraId="43C452F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DB005FA">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4E23AC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被授权人：                                 供应商法定代表人：</w:t>
      </w:r>
    </w:p>
    <w:p w14:paraId="35F516B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（签字或盖章）                                （签字或盖章）</w:t>
      </w:r>
    </w:p>
    <w:p w14:paraId="167650F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40BDFD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6969D4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（附：被授权人身份证正反面复印件）</w:t>
      </w:r>
    </w:p>
    <w:p w14:paraId="3B1CC81F">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A36157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7E3608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8FA3DFC">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5328AF75">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5ADFFD36">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p>
    <w:p w14:paraId="5E01D50F">
      <w:pPr>
        <w:tabs>
          <w:tab w:val="left" w:pos="6300"/>
        </w:tabs>
        <w:snapToGrid w:val="0"/>
        <w:spacing w:line="500" w:lineRule="exact"/>
        <w:ind w:right="480"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电子邮箱：XXXXXX@XXXXX（若法定代表人办理并签署响应文件的可不填写）</w:t>
      </w:r>
    </w:p>
    <w:p w14:paraId="0757957E">
      <w:pPr>
        <w:tabs>
          <w:tab w:val="left" w:pos="6300"/>
        </w:tabs>
        <w:snapToGrid w:val="0"/>
        <w:spacing w:line="500" w:lineRule="exact"/>
        <w:ind w:right="480"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注：若为联合体参与磋商的，法定代表人授权委托书由联合体主办方</w:t>
      </w:r>
      <w:r>
        <w:rPr>
          <w:rFonts w:hint="eastAsia" w:ascii="微软雅黑" w:hAnsi="微软雅黑" w:eastAsia="微软雅黑" w:cs="微软雅黑"/>
          <w:color w:val="auto"/>
          <w:kern w:val="0"/>
          <w:sz w:val="24"/>
          <w:szCs w:val="24"/>
          <w:highlight w:val="none"/>
        </w:rPr>
        <w:t>（主体）</w:t>
      </w:r>
      <w:r>
        <w:rPr>
          <w:rFonts w:hint="eastAsia" w:ascii="微软雅黑" w:hAnsi="微软雅黑" w:eastAsia="微软雅黑" w:cs="微软雅黑"/>
          <w:color w:val="auto"/>
          <w:sz w:val="24"/>
          <w:szCs w:val="24"/>
          <w:highlight w:val="none"/>
        </w:rPr>
        <w:t>出具。</w:t>
      </w:r>
    </w:p>
    <w:p w14:paraId="460EAB9C">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Cs w:val="22"/>
          <w:highlight w:val="none"/>
        </w:rPr>
        <w:t>（四）基本资格条件承诺函</w:t>
      </w:r>
    </w:p>
    <w:p w14:paraId="3BDA5949">
      <w:pPr>
        <w:spacing w:line="530" w:lineRule="exact"/>
        <w:ind w:firstLine="720" w:firstLineChars="200"/>
        <w:jc w:val="center"/>
        <w:outlineLvl w:val="0"/>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基本资格条件承诺函</w:t>
      </w:r>
    </w:p>
    <w:p w14:paraId="42A028A6">
      <w:pPr>
        <w:tabs>
          <w:tab w:val="left" w:pos="6300"/>
        </w:tabs>
        <w:snapToGrid w:val="0"/>
        <w:spacing w:line="530" w:lineRule="exact"/>
        <w:rPr>
          <w:rFonts w:hint="eastAsia" w:ascii="微软雅黑" w:hAnsi="微软雅黑" w:eastAsia="微软雅黑" w:cs="微软雅黑"/>
          <w:color w:val="auto"/>
          <w:sz w:val="24"/>
          <w:highlight w:val="none"/>
        </w:rPr>
      </w:pPr>
    </w:p>
    <w:p w14:paraId="15444E0F">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致</w:t>
      </w:r>
      <w:r>
        <w:rPr>
          <w:rFonts w:hint="eastAsia" w:ascii="微软雅黑" w:hAnsi="微软雅黑" w:eastAsia="微软雅黑" w:cs="微软雅黑"/>
          <w:color w:val="auto"/>
          <w:sz w:val="24"/>
          <w:szCs w:val="22"/>
          <w:highlight w:val="none"/>
          <w:u w:val="single"/>
        </w:rPr>
        <w:t xml:space="preserve">                   </w:t>
      </w:r>
      <w:r>
        <w:rPr>
          <w:rFonts w:hint="eastAsia" w:ascii="微软雅黑" w:hAnsi="微软雅黑" w:eastAsia="微软雅黑" w:cs="微软雅黑"/>
          <w:color w:val="auto"/>
          <w:sz w:val="24"/>
          <w:szCs w:val="22"/>
          <w:highlight w:val="none"/>
        </w:rPr>
        <w:t>（采购代理机构名称）：</w:t>
      </w:r>
    </w:p>
    <w:p w14:paraId="7873628C">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 xml:space="preserve">   </w:t>
      </w:r>
      <w:r>
        <w:rPr>
          <w:rFonts w:hint="eastAsia" w:ascii="微软雅黑" w:hAnsi="微软雅黑" w:eastAsia="微软雅黑" w:cs="微软雅黑"/>
          <w:color w:val="auto"/>
          <w:sz w:val="24"/>
          <w:szCs w:val="22"/>
          <w:highlight w:val="none"/>
          <w:u w:val="single"/>
        </w:rPr>
        <w:t xml:space="preserve">                   </w:t>
      </w:r>
      <w:r>
        <w:rPr>
          <w:rFonts w:hint="eastAsia" w:ascii="微软雅黑" w:hAnsi="微软雅黑" w:eastAsia="微软雅黑" w:cs="微软雅黑"/>
          <w:color w:val="auto"/>
          <w:sz w:val="24"/>
          <w:szCs w:val="22"/>
          <w:highlight w:val="none"/>
        </w:rPr>
        <w:t>（投标人名称）郑重承诺：</w:t>
      </w:r>
    </w:p>
    <w:p w14:paraId="7D989189">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szCs w:val="22"/>
          <w:highlight w:val="none"/>
          <w:lang w:val="zh-CN"/>
        </w:rPr>
        <w:t>有依法缴纳税收和社会保障金的良好记录</w:t>
      </w:r>
      <w:r>
        <w:rPr>
          <w:rFonts w:hint="eastAsia" w:ascii="微软雅黑" w:hAnsi="微软雅黑" w:eastAsia="微软雅黑" w:cs="微软雅黑"/>
          <w:color w:val="auto"/>
          <w:sz w:val="24"/>
          <w:szCs w:val="22"/>
          <w:highlight w:val="none"/>
        </w:rPr>
        <w:t>，参加本项目采购活动前三年内无重大违法活动记录。</w:t>
      </w:r>
    </w:p>
    <w:p w14:paraId="61143E90">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60B0F5A6">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3.我方在采购项目评审（评标）环节结束后，随时接受采购人、采购代理机构的检查验证，配合提供相关证明材料，证明符合《中华人民共和国政府采购法》规定的投标人基本资格条件。</w:t>
      </w:r>
    </w:p>
    <w:p w14:paraId="7FCCCB40">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我方对以上承诺负全部法律责任。</w:t>
      </w:r>
    </w:p>
    <w:p w14:paraId="6E9E504E">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特此承诺。</w:t>
      </w:r>
    </w:p>
    <w:p w14:paraId="4A7BBC7E">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p>
    <w:p w14:paraId="07FB06DE">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（供应商公章）</w:t>
      </w:r>
    </w:p>
    <w:p w14:paraId="44432500">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年   月   日</w:t>
      </w:r>
    </w:p>
    <w:p w14:paraId="5EEF4D3C">
      <w:pPr>
        <w:pStyle w:val="22"/>
        <w:rPr>
          <w:rFonts w:hint="eastAsia" w:ascii="微软雅黑" w:hAnsi="微软雅黑" w:eastAsia="微软雅黑" w:cs="微软雅黑"/>
          <w:color w:val="auto"/>
          <w:sz w:val="24"/>
          <w:szCs w:val="22"/>
          <w:highlight w:val="none"/>
        </w:rPr>
      </w:pPr>
    </w:p>
    <w:p w14:paraId="1D72E7A4">
      <w:pPr>
        <w:pStyle w:val="22"/>
        <w:rPr>
          <w:rFonts w:hint="eastAsia" w:ascii="微软雅黑" w:hAnsi="微软雅黑" w:eastAsia="微软雅黑" w:cs="微软雅黑"/>
          <w:color w:val="auto"/>
          <w:sz w:val="24"/>
          <w:szCs w:val="22"/>
          <w:highlight w:val="none"/>
        </w:rPr>
      </w:pPr>
    </w:p>
    <w:p w14:paraId="5C2D472F">
      <w:pPr>
        <w:pStyle w:val="22"/>
        <w:rPr>
          <w:rFonts w:hint="eastAsia" w:ascii="微软雅黑" w:hAnsi="微软雅黑" w:eastAsia="微软雅黑" w:cs="微软雅黑"/>
          <w:color w:val="auto"/>
          <w:sz w:val="24"/>
          <w:szCs w:val="22"/>
          <w:highlight w:val="none"/>
        </w:rPr>
      </w:pPr>
    </w:p>
    <w:p w14:paraId="5010B04A">
      <w:pPr>
        <w:pStyle w:val="22"/>
        <w:rPr>
          <w:rFonts w:hint="eastAsia" w:ascii="微软雅黑" w:hAnsi="微软雅黑" w:eastAsia="微软雅黑" w:cs="微软雅黑"/>
          <w:color w:val="auto"/>
          <w:sz w:val="24"/>
          <w:szCs w:val="22"/>
          <w:highlight w:val="none"/>
        </w:rPr>
      </w:pPr>
    </w:p>
    <w:p w14:paraId="2B47D509">
      <w:pPr>
        <w:pStyle w:val="22"/>
        <w:rPr>
          <w:rFonts w:hint="eastAsia" w:ascii="微软雅黑" w:hAnsi="微软雅黑" w:eastAsia="微软雅黑" w:cs="微软雅黑"/>
          <w:color w:val="auto"/>
          <w:sz w:val="24"/>
          <w:szCs w:val="22"/>
          <w:highlight w:val="none"/>
        </w:rPr>
      </w:pPr>
    </w:p>
    <w:p w14:paraId="7DC47F0D">
      <w:pPr>
        <w:pStyle w:val="22"/>
        <w:rPr>
          <w:rFonts w:hint="eastAsia" w:ascii="微软雅黑" w:hAnsi="微软雅黑" w:eastAsia="微软雅黑" w:cs="微软雅黑"/>
          <w:color w:val="auto"/>
          <w:sz w:val="24"/>
          <w:szCs w:val="22"/>
          <w:highlight w:val="none"/>
        </w:rPr>
      </w:pPr>
    </w:p>
    <w:p w14:paraId="764B0C2E">
      <w:pPr>
        <w:pStyle w:val="22"/>
        <w:rPr>
          <w:rFonts w:hint="eastAsia" w:ascii="微软雅黑" w:hAnsi="微软雅黑" w:eastAsia="微软雅黑" w:cs="微软雅黑"/>
          <w:color w:val="auto"/>
          <w:sz w:val="24"/>
          <w:szCs w:val="22"/>
          <w:highlight w:val="none"/>
        </w:rPr>
      </w:pPr>
    </w:p>
    <w:p w14:paraId="381F47A8">
      <w:pPr>
        <w:pStyle w:val="22"/>
        <w:rPr>
          <w:rFonts w:hint="eastAsia" w:ascii="微软雅黑" w:hAnsi="微软雅黑" w:eastAsia="微软雅黑" w:cs="微软雅黑"/>
          <w:color w:val="auto"/>
          <w:sz w:val="24"/>
          <w:szCs w:val="22"/>
          <w:highlight w:val="none"/>
        </w:rPr>
      </w:pPr>
    </w:p>
    <w:p w14:paraId="230CD71E">
      <w:pPr>
        <w:pStyle w:val="22"/>
        <w:rPr>
          <w:rFonts w:hint="eastAsia" w:ascii="微软雅黑" w:hAnsi="微软雅黑" w:eastAsia="微软雅黑" w:cs="微软雅黑"/>
          <w:color w:val="auto"/>
          <w:sz w:val="24"/>
          <w:szCs w:val="22"/>
          <w:highlight w:val="none"/>
        </w:rPr>
      </w:pPr>
    </w:p>
    <w:p w14:paraId="3EA560A2">
      <w:pPr>
        <w:pStyle w:val="22"/>
        <w:rPr>
          <w:rFonts w:hint="eastAsia" w:ascii="微软雅黑" w:hAnsi="微软雅黑" w:eastAsia="微软雅黑" w:cs="微软雅黑"/>
          <w:color w:val="auto"/>
          <w:sz w:val="24"/>
          <w:szCs w:val="22"/>
          <w:highlight w:val="none"/>
        </w:rPr>
      </w:pPr>
    </w:p>
    <w:p w14:paraId="6978EC4F">
      <w:pPr>
        <w:pStyle w:val="22"/>
        <w:rPr>
          <w:rFonts w:hint="eastAsia" w:ascii="微软雅黑" w:hAnsi="微软雅黑" w:eastAsia="微软雅黑" w:cs="微软雅黑"/>
          <w:color w:val="auto"/>
          <w:sz w:val="24"/>
          <w:szCs w:val="22"/>
          <w:highlight w:val="none"/>
        </w:rPr>
      </w:pPr>
    </w:p>
    <w:p w14:paraId="5F0E7B26">
      <w:pPr>
        <w:pStyle w:val="22"/>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2"/>
          <w:highlight w:val="none"/>
        </w:rPr>
        <w:t>（五）特定资格条件</w:t>
      </w:r>
    </w:p>
    <w:p w14:paraId="49974296">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4AE24FE8">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72041D5">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5B8A7E51">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B1CBF84">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48EC1FD7">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258E62B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26E81CA">
      <w:pPr>
        <w:tabs>
          <w:tab w:val="left" w:pos="6300"/>
        </w:tabs>
        <w:snapToGrid w:val="0"/>
        <w:spacing w:line="360" w:lineRule="auto"/>
        <w:rPr>
          <w:rFonts w:hint="eastAsia" w:ascii="微软雅黑" w:hAnsi="微软雅黑" w:eastAsia="微软雅黑" w:cs="微软雅黑"/>
          <w:color w:val="auto"/>
          <w:sz w:val="24"/>
          <w:szCs w:val="24"/>
          <w:highlight w:val="none"/>
        </w:rPr>
      </w:pPr>
    </w:p>
    <w:p w14:paraId="447604C4">
      <w:pPr>
        <w:pStyle w:val="22"/>
        <w:rPr>
          <w:rFonts w:hint="eastAsia" w:ascii="微软雅黑" w:hAnsi="微软雅黑" w:eastAsia="微软雅黑" w:cs="微软雅黑"/>
          <w:color w:val="auto"/>
          <w:sz w:val="24"/>
          <w:szCs w:val="24"/>
          <w:highlight w:val="none"/>
        </w:rPr>
      </w:pPr>
    </w:p>
    <w:p w14:paraId="7EA199A2">
      <w:pPr>
        <w:rPr>
          <w:rFonts w:hint="eastAsia" w:ascii="微软雅黑" w:hAnsi="微软雅黑" w:eastAsia="微软雅黑" w:cs="微软雅黑"/>
          <w:color w:val="auto"/>
          <w:sz w:val="24"/>
          <w:szCs w:val="24"/>
          <w:highlight w:val="none"/>
        </w:rPr>
      </w:pPr>
    </w:p>
    <w:p w14:paraId="188FD22B">
      <w:pPr>
        <w:pStyle w:val="22"/>
        <w:rPr>
          <w:rFonts w:hint="eastAsia" w:ascii="微软雅黑" w:hAnsi="微软雅黑" w:eastAsia="微软雅黑" w:cs="微软雅黑"/>
          <w:color w:val="auto"/>
          <w:sz w:val="24"/>
          <w:szCs w:val="24"/>
          <w:highlight w:val="none"/>
        </w:rPr>
      </w:pPr>
    </w:p>
    <w:p w14:paraId="607E67E7">
      <w:pPr>
        <w:rPr>
          <w:rFonts w:hint="eastAsia" w:ascii="微软雅黑" w:hAnsi="微软雅黑" w:eastAsia="微软雅黑" w:cs="微软雅黑"/>
          <w:color w:val="auto"/>
          <w:sz w:val="24"/>
          <w:szCs w:val="24"/>
          <w:highlight w:val="none"/>
        </w:rPr>
      </w:pPr>
    </w:p>
    <w:p w14:paraId="6C64F02B">
      <w:pPr>
        <w:pStyle w:val="22"/>
        <w:rPr>
          <w:rFonts w:hint="eastAsia" w:ascii="微软雅黑" w:hAnsi="微软雅黑" w:eastAsia="微软雅黑" w:cs="微软雅黑"/>
          <w:color w:val="auto"/>
          <w:sz w:val="24"/>
          <w:szCs w:val="24"/>
          <w:highlight w:val="none"/>
        </w:rPr>
      </w:pPr>
    </w:p>
    <w:p w14:paraId="775E86FF">
      <w:pPr>
        <w:rPr>
          <w:rFonts w:hint="eastAsia" w:ascii="微软雅黑" w:hAnsi="微软雅黑" w:eastAsia="微软雅黑" w:cs="微软雅黑"/>
          <w:color w:val="auto"/>
          <w:sz w:val="24"/>
          <w:szCs w:val="24"/>
          <w:highlight w:val="none"/>
        </w:rPr>
      </w:pPr>
    </w:p>
    <w:p w14:paraId="006DDBB4">
      <w:pPr>
        <w:pStyle w:val="22"/>
        <w:rPr>
          <w:rFonts w:hint="eastAsia" w:ascii="微软雅黑" w:hAnsi="微软雅黑" w:eastAsia="微软雅黑" w:cs="微软雅黑"/>
          <w:color w:val="auto"/>
          <w:sz w:val="24"/>
          <w:szCs w:val="24"/>
          <w:highlight w:val="none"/>
        </w:rPr>
      </w:pPr>
    </w:p>
    <w:p w14:paraId="11922DA2">
      <w:pPr>
        <w:rPr>
          <w:rFonts w:hint="eastAsia" w:ascii="微软雅黑" w:hAnsi="微软雅黑" w:eastAsia="微软雅黑" w:cs="微软雅黑"/>
          <w:color w:val="auto"/>
          <w:sz w:val="24"/>
          <w:szCs w:val="24"/>
          <w:highlight w:val="none"/>
        </w:rPr>
      </w:pPr>
    </w:p>
    <w:p w14:paraId="2FED5DE5">
      <w:pPr>
        <w:pStyle w:val="22"/>
        <w:rPr>
          <w:rFonts w:hint="eastAsia" w:ascii="微软雅黑" w:hAnsi="微软雅黑" w:eastAsia="微软雅黑" w:cs="微软雅黑"/>
          <w:color w:val="auto"/>
          <w:sz w:val="24"/>
          <w:szCs w:val="24"/>
          <w:highlight w:val="none"/>
        </w:rPr>
      </w:pPr>
    </w:p>
    <w:p w14:paraId="4037E874">
      <w:pPr>
        <w:rPr>
          <w:rFonts w:hint="eastAsia" w:ascii="微软雅黑" w:hAnsi="微软雅黑" w:eastAsia="微软雅黑" w:cs="微软雅黑"/>
          <w:color w:val="auto"/>
          <w:sz w:val="24"/>
          <w:szCs w:val="24"/>
          <w:highlight w:val="none"/>
        </w:rPr>
      </w:pPr>
    </w:p>
    <w:p w14:paraId="3BDD8C8F">
      <w:pPr>
        <w:pStyle w:val="22"/>
        <w:rPr>
          <w:rFonts w:hint="eastAsia" w:ascii="微软雅黑" w:hAnsi="微软雅黑" w:eastAsia="微软雅黑" w:cs="微软雅黑"/>
          <w:color w:val="auto"/>
          <w:sz w:val="24"/>
          <w:szCs w:val="24"/>
          <w:highlight w:val="none"/>
        </w:rPr>
      </w:pPr>
    </w:p>
    <w:p w14:paraId="3D662703">
      <w:pPr>
        <w:rPr>
          <w:rFonts w:hint="eastAsia" w:ascii="微软雅黑" w:hAnsi="微软雅黑" w:eastAsia="微软雅黑" w:cs="微软雅黑"/>
          <w:color w:val="auto"/>
          <w:sz w:val="24"/>
          <w:szCs w:val="24"/>
          <w:highlight w:val="none"/>
        </w:rPr>
      </w:pPr>
    </w:p>
    <w:p w14:paraId="12F3687F">
      <w:pPr>
        <w:pStyle w:val="22"/>
        <w:rPr>
          <w:rFonts w:hint="eastAsia" w:ascii="微软雅黑" w:hAnsi="微软雅黑" w:eastAsia="微软雅黑" w:cs="微软雅黑"/>
          <w:color w:val="auto"/>
          <w:sz w:val="24"/>
          <w:szCs w:val="24"/>
          <w:highlight w:val="none"/>
        </w:rPr>
      </w:pPr>
    </w:p>
    <w:p w14:paraId="1EFC91C7">
      <w:pPr>
        <w:rPr>
          <w:rFonts w:hint="eastAsia" w:ascii="微软雅黑" w:hAnsi="微软雅黑" w:eastAsia="微软雅黑" w:cs="微软雅黑"/>
          <w:color w:val="auto"/>
          <w:sz w:val="24"/>
          <w:szCs w:val="24"/>
          <w:highlight w:val="none"/>
        </w:rPr>
      </w:pPr>
    </w:p>
    <w:p w14:paraId="5A713743">
      <w:pPr>
        <w:pStyle w:val="22"/>
        <w:rPr>
          <w:rFonts w:hint="eastAsia" w:ascii="微软雅黑" w:hAnsi="微软雅黑" w:eastAsia="微软雅黑" w:cs="微软雅黑"/>
          <w:color w:val="auto"/>
          <w:sz w:val="24"/>
          <w:szCs w:val="24"/>
          <w:highlight w:val="none"/>
        </w:rPr>
      </w:pPr>
    </w:p>
    <w:p w14:paraId="4461F97B">
      <w:pPr>
        <w:rPr>
          <w:rFonts w:hint="eastAsia" w:ascii="微软雅黑" w:hAnsi="微软雅黑" w:eastAsia="微软雅黑" w:cs="微软雅黑"/>
          <w:color w:val="auto"/>
          <w:sz w:val="24"/>
          <w:szCs w:val="24"/>
          <w:highlight w:val="none"/>
        </w:rPr>
      </w:pPr>
    </w:p>
    <w:p w14:paraId="7DACABFC">
      <w:pPr>
        <w:pStyle w:val="22"/>
        <w:rPr>
          <w:rFonts w:hint="eastAsia" w:ascii="微软雅黑" w:hAnsi="微软雅黑" w:eastAsia="微软雅黑" w:cs="微软雅黑"/>
          <w:color w:val="auto"/>
          <w:sz w:val="24"/>
          <w:szCs w:val="24"/>
          <w:highlight w:val="none"/>
        </w:rPr>
      </w:pPr>
    </w:p>
    <w:p w14:paraId="644EED9D">
      <w:pPr>
        <w:rPr>
          <w:rFonts w:hint="eastAsia" w:ascii="微软雅黑" w:hAnsi="微软雅黑" w:eastAsia="微软雅黑" w:cs="微软雅黑"/>
          <w:color w:val="auto"/>
          <w:sz w:val="24"/>
          <w:szCs w:val="24"/>
          <w:highlight w:val="none"/>
        </w:rPr>
      </w:pPr>
    </w:p>
    <w:p w14:paraId="42FE7EAB">
      <w:pPr>
        <w:pStyle w:val="22"/>
        <w:rPr>
          <w:rFonts w:hint="eastAsia" w:ascii="微软雅黑" w:hAnsi="微软雅黑" w:eastAsia="微软雅黑" w:cs="微软雅黑"/>
          <w:color w:val="auto"/>
          <w:sz w:val="24"/>
          <w:szCs w:val="24"/>
          <w:highlight w:val="none"/>
        </w:rPr>
      </w:pPr>
    </w:p>
    <w:p w14:paraId="384E4FC5">
      <w:pPr>
        <w:rPr>
          <w:rFonts w:hint="eastAsia" w:ascii="微软雅黑" w:hAnsi="微软雅黑" w:eastAsia="微软雅黑" w:cs="微软雅黑"/>
          <w:color w:val="auto"/>
          <w:sz w:val="24"/>
          <w:szCs w:val="24"/>
          <w:highlight w:val="none"/>
        </w:rPr>
      </w:pPr>
    </w:p>
    <w:p w14:paraId="2F5716C1">
      <w:pPr>
        <w:rPr>
          <w:rFonts w:hint="eastAsia" w:ascii="微软雅黑" w:hAnsi="微软雅黑" w:eastAsia="微软雅黑" w:cs="微软雅黑"/>
          <w:color w:val="auto"/>
          <w:highlight w:val="none"/>
        </w:rPr>
      </w:pPr>
    </w:p>
    <w:p w14:paraId="3B10A9F4">
      <w:pPr>
        <w:pStyle w:val="4"/>
        <w:spacing w:before="0" w:after="0" w:line="360" w:lineRule="auto"/>
        <w:rPr>
          <w:rFonts w:hint="eastAsia" w:ascii="微软雅黑" w:hAnsi="微软雅黑" w:eastAsia="微软雅黑" w:cs="微软雅黑"/>
          <w:color w:val="auto"/>
          <w:sz w:val="24"/>
          <w:szCs w:val="24"/>
          <w:highlight w:val="none"/>
        </w:rPr>
      </w:pPr>
      <w:bookmarkStart w:id="195" w:name="_Toc14422"/>
      <w:bookmarkStart w:id="196" w:name="_Toc4922"/>
      <w:bookmarkStart w:id="197" w:name="_Toc22950"/>
      <w:bookmarkStart w:id="198" w:name="_Toc20855"/>
      <w:r>
        <w:rPr>
          <w:rFonts w:hint="eastAsia" w:ascii="微软雅黑" w:hAnsi="微软雅黑" w:eastAsia="微软雅黑" w:cs="微软雅黑"/>
          <w:color w:val="auto"/>
          <w:sz w:val="24"/>
          <w:szCs w:val="24"/>
          <w:highlight w:val="none"/>
        </w:rPr>
        <w:t>五、其他应提供的资料</w:t>
      </w:r>
      <w:bookmarkEnd w:id="195"/>
      <w:bookmarkEnd w:id="196"/>
      <w:bookmarkEnd w:id="197"/>
      <w:bookmarkEnd w:id="198"/>
    </w:p>
    <w:p w14:paraId="6090494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其他与项目有关的资料（自附）：供应商总体情况介绍、其他与本项目有关的资料等。</w:t>
      </w:r>
    </w:p>
    <w:p w14:paraId="1A586E62">
      <w:pPr>
        <w:spacing w:line="360" w:lineRule="auto"/>
        <w:ind w:firstLine="480" w:firstLineChars="200"/>
        <w:rPr>
          <w:rFonts w:hint="eastAsia" w:ascii="微软雅黑" w:hAnsi="微软雅黑" w:eastAsia="微软雅黑" w:cs="微软雅黑"/>
          <w:color w:val="auto"/>
          <w:sz w:val="24"/>
          <w:szCs w:val="24"/>
          <w:highlight w:val="none"/>
        </w:rPr>
      </w:pPr>
    </w:p>
    <w:p w14:paraId="4D8F588D">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F4506D9">
      <w:pPr>
        <w:spacing w:line="360" w:lineRule="auto"/>
        <w:ind w:firstLine="480" w:firstLineChars="200"/>
        <w:jc w:val="center"/>
        <w:rPr>
          <w:rFonts w:hint="eastAsia" w:ascii="微软雅黑" w:hAnsi="微软雅黑" w:eastAsia="微软雅黑" w:cs="微软雅黑"/>
          <w:color w:val="auto"/>
          <w:sz w:val="24"/>
          <w:szCs w:val="24"/>
          <w:highlight w:val="none"/>
        </w:rPr>
      </w:pPr>
    </w:p>
    <w:p w14:paraId="66245C57">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BF76793">
      <w:pPr>
        <w:spacing w:line="360" w:lineRule="auto"/>
        <w:ind w:firstLine="480" w:firstLineChars="200"/>
        <w:jc w:val="center"/>
        <w:rPr>
          <w:rFonts w:hint="eastAsia" w:ascii="微软雅黑" w:hAnsi="微软雅黑" w:eastAsia="微软雅黑" w:cs="微软雅黑"/>
          <w:color w:val="auto"/>
          <w:sz w:val="24"/>
          <w:szCs w:val="24"/>
          <w:highlight w:val="none"/>
        </w:rPr>
      </w:pPr>
    </w:p>
    <w:p w14:paraId="7D4D3071">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548482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105BA32">
      <w:pPr>
        <w:spacing w:line="360" w:lineRule="auto"/>
        <w:ind w:firstLine="480" w:firstLineChars="200"/>
        <w:jc w:val="center"/>
        <w:rPr>
          <w:rFonts w:hint="eastAsia" w:ascii="微软雅黑" w:hAnsi="微软雅黑" w:eastAsia="微软雅黑" w:cs="微软雅黑"/>
          <w:color w:val="auto"/>
          <w:sz w:val="24"/>
          <w:szCs w:val="24"/>
          <w:highlight w:val="none"/>
        </w:rPr>
      </w:pPr>
    </w:p>
    <w:p w14:paraId="23C4CD75">
      <w:pPr>
        <w:spacing w:line="360" w:lineRule="auto"/>
        <w:ind w:firstLine="480" w:firstLineChars="200"/>
        <w:jc w:val="center"/>
        <w:rPr>
          <w:rFonts w:hint="eastAsia" w:ascii="微软雅黑" w:hAnsi="微软雅黑" w:eastAsia="微软雅黑" w:cs="微软雅黑"/>
          <w:color w:val="auto"/>
          <w:sz w:val="24"/>
          <w:szCs w:val="24"/>
          <w:highlight w:val="none"/>
        </w:rPr>
      </w:pPr>
    </w:p>
    <w:p w14:paraId="500ACB4F">
      <w:pPr>
        <w:spacing w:line="360" w:lineRule="auto"/>
        <w:ind w:firstLine="480" w:firstLineChars="200"/>
        <w:jc w:val="center"/>
        <w:rPr>
          <w:rFonts w:hint="eastAsia" w:ascii="微软雅黑" w:hAnsi="微软雅黑" w:eastAsia="微软雅黑" w:cs="微软雅黑"/>
          <w:color w:val="auto"/>
          <w:sz w:val="24"/>
          <w:szCs w:val="24"/>
          <w:highlight w:val="none"/>
        </w:rPr>
      </w:pPr>
    </w:p>
    <w:p w14:paraId="49266C51">
      <w:pPr>
        <w:spacing w:line="360" w:lineRule="auto"/>
        <w:ind w:firstLine="480" w:firstLineChars="200"/>
        <w:jc w:val="center"/>
        <w:rPr>
          <w:rFonts w:hint="eastAsia" w:ascii="微软雅黑" w:hAnsi="微软雅黑" w:eastAsia="微软雅黑" w:cs="微软雅黑"/>
          <w:color w:val="auto"/>
          <w:sz w:val="24"/>
          <w:szCs w:val="24"/>
          <w:highlight w:val="none"/>
        </w:rPr>
      </w:pPr>
    </w:p>
    <w:p w14:paraId="6216385D">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97D38E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23FDC094">
      <w:pPr>
        <w:spacing w:line="360" w:lineRule="auto"/>
        <w:ind w:firstLine="480" w:firstLineChars="200"/>
        <w:jc w:val="center"/>
        <w:rPr>
          <w:rFonts w:hint="eastAsia" w:ascii="微软雅黑" w:hAnsi="微软雅黑" w:eastAsia="微软雅黑" w:cs="微软雅黑"/>
          <w:color w:val="auto"/>
          <w:sz w:val="24"/>
          <w:szCs w:val="24"/>
          <w:highlight w:val="none"/>
        </w:rPr>
      </w:pPr>
    </w:p>
    <w:p w14:paraId="58D1B77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07952CA">
      <w:pPr>
        <w:spacing w:line="360" w:lineRule="auto"/>
        <w:ind w:firstLine="480" w:firstLineChars="200"/>
        <w:jc w:val="center"/>
        <w:rPr>
          <w:rFonts w:hint="eastAsia" w:ascii="微软雅黑" w:hAnsi="微软雅黑" w:eastAsia="微软雅黑" w:cs="微软雅黑"/>
          <w:color w:val="auto"/>
          <w:sz w:val="24"/>
          <w:szCs w:val="24"/>
          <w:highlight w:val="none"/>
        </w:rPr>
      </w:pPr>
    </w:p>
    <w:p w14:paraId="4969C615">
      <w:pPr>
        <w:spacing w:line="360" w:lineRule="auto"/>
        <w:ind w:firstLine="480" w:firstLineChars="200"/>
        <w:jc w:val="center"/>
        <w:outlineLvl w:val="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（结束）</w:t>
      </w:r>
    </w:p>
    <w:p w14:paraId="79E0DE08">
      <w:pPr>
        <w:snapToGrid w:val="0"/>
        <w:spacing w:line="440" w:lineRule="exact"/>
        <w:ind w:firstLine="480" w:firstLineChars="200"/>
        <w:jc w:val="center"/>
        <w:rPr>
          <w:rFonts w:hint="eastAsia" w:ascii="微软雅黑" w:hAnsi="微软雅黑" w:eastAsia="微软雅黑" w:cs="微软雅黑"/>
          <w:color w:val="auto"/>
          <w:sz w:val="24"/>
          <w:highlight w:val="none"/>
        </w:rPr>
      </w:pPr>
    </w:p>
    <w:sectPr>
      <w:headerReference r:id="rId1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80F3C52" w:usb2="00000016" w:usb3="00000000" w:csb0="0004001F" w:csb1="00000000"/>
    <w:embedRegular r:id="rId1" w:fontKey="{415112F9-CA1D-48D3-AA74-17924FA7A60D}"/>
  </w:font>
  <w:font w:name="方正仿宋_GBK">
    <w:panose1 w:val="03000509000000000000"/>
    <w:charset w:val="86"/>
    <w:family w:val="script"/>
    <w:pitch w:val="default"/>
    <w:sig w:usb0="00000001" w:usb1="080E0000" w:usb2="00000000" w:usb3="00000000" w:csb0="00040000" w:csb1="00000000"/>
    <w:embedRegular r:id="rId2" w:fontKey="{18290AA3-82B0-4747-9AE1-161E18466481}"/>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D66E">
    <w:pPr>
      <w:pStyle w:val="37"/>
      <w:framePr w:wrap="around" w:vAnchor="text" w:hAnchor="margin" w:xAlign="center" w:y="1"/>
      <w:rPr>
        <w:rStyle w:val="63"/>
      </w:rPr>
    </w:pPr>
    <w:r>
      <w:fldChar w:fldCharType="begin"/>
    </w:r>
    <w:r>
      <w:rPr>
        <w:rStyle w:val="63"/>
      </w:rPr>
      <w:instrText xml:space="preserve">PAGE  </w:instrText>
    </w:r>
    <w:r>
      <w:fldChar w:fldCharType="end"/>
    </w:r>
  </w:p>
  <w:p w14:paraId="39220E8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1062">
    <w:pPr>
      <w:pStyle w:val="37"/>
      <w:framePr w:wrap="around" w:vAnchor="text" w:hAnchor="margin" w:xAlign="center" w:y="1"/>
      <w:rPr>
        <w:rStyle w:val="63"/>
      </w:rPr>
    </w:pPr>
  </w:p>
  <w:p w14:paraId="7ED84A14">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6816">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8BFC">
    <w:pPr>
      <w:pStyle w:val="37"/>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03A22C5A">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41DC">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9A97">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BF38">
    <w:pPr>
      <w:pStyle w:val="37"/>
      <w:framePr w:wrap="around" w:vAnchor="text" w:hAnchor="margin" w:xAlign="center" w:y="1"/>
      <w:rPr>
        <w:rStyle w:val="63"/>
      </w:rPr>
    </w:pPr>
    <w:r>
      <w:fldChar w:fldCharType="begin"/>
    </w:r>
    <w:r>
      <w:rPr>
        <w:rStyle w:val="63"/>
      </w:rPr>
      <w:instrText xml:space="preserve">PAGE  </w:instrText>
    </w:r>
    <w:r>
      <w:fldChar w:fldCharType="end"/>
    </w:r>
  </w:p>
  <w:p w14:paraId="3ACB9DE3">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CAD6">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- 36 -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A460">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D7B">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BE32">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0851">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EF0A">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4BE1">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10"/>
  </w:num>
  <w:num w:numId="5">
    <w:abstractNumId w:val="0"/>
  </w:num>
  <w:num w:numId="6">
    <w:abstractNumId w:val="5"/>
  </w:num>
  <w:num w:numId="7">
    <w:abstractNumId w:val="9"/>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59C1"/>
    <w:rsid w:val="000075E8"/>
    <w:rsid w:val="00007FA2"/>
    <w:rsid w:val="00011B4B"/>
    <w:rsid w:val="00015708"/>
    <w:rsid w:val="00016B79"/>
    <w:rsid w:val="00017816"/>
    <w:rsid w:val="000266D5"/>
    <w:rsid w:val="00027708"/>
    <w:rsid w:val="0003632F"/>
    <w:rsid w:val="00036C88"/>
    <w:rsid w:val="0004286B"/>
    <w:rsid w:val="0004789B"/>
    <w:rsid w:val="0005298B"/>
    <w:rsid w:val="0005417C"/>
    <w:rsid w:val="000553B6"/>
    <w:rsid w:val="00056012"/>
    <w:rsid w:val="000576E1"/>
    <w:rsid w:val="000634EA"/>
    <w:rsid w:val="00063981"/>
    <w:rsid w:val="00063F67"/>
    <w:rsid w:val="00067325"/>
    <w:rsid w:val="00067AFD"/>
    <w:rsid w:val="0008040E"/>
    <w:rsid w:val="000811E5"/>
    <w:rsid w:val="00090C5A"/>
    <w:rsid w:val="00091B1C"/>
    <w:rsid w:val="00094414"/>
    <w:rsid w:val="0009618A"/>
    <w:rsid w:val="000A164E"/>
    <w:rsid w:val="000A7A1B"/>
    <w:rsid w:val="000B42F4"/>
    <w:rsid w:val="000B625D"/>
    <w:rsid w:val="000B7377"/>
    <w:rsid w:val="000B7F54"/>
    <w:rsid w:val="000C5DE9"/>
    <w:rsid w:val="000C6A03"/>
    <w:rsid w:val="000D5D73"/>
    <w:rsid w:val="000E01C9"/>
    <w:rsid w:val="000E0A99"/>
    <w:rsid w:val="000E3259"/>
    <w:rsid w:val="000F01B8"/>
    <w:rsid w:val="000F1B07"/>
    <w:rsid w:val="000F1EAB"/>
    <w:rsid w:val="000F5463"/>
    <w:rsid w:val="000F5BBB"/>
    <w:rsid w:val="000F6F90"/>
    <w:rsid w:val="000F7DBF"/>
    <w:rsid w:val="0010014A"/>
    <w:rsid w:val="00100639"/>
    <w:rsid w:val="00102123"/>
    <w:rsid w:val="00103CA4"/>
    <w:rsid w:val="00104944"/>
    <w:rsid w:val="0010750E"/>
    <w:rsid w:val="00115489"/>
    <w:rsid w:val="00116856"/>
    <w:rsid w:val="00120259"/>
    <w:rsid w:val="0012290C"/>
    <w:rsid w:val="001266BF"/>
    <w:rsid w:val="0013175C"/>
    <w:rsid w:val="00133D16"/>
    <w:rsid w:val="00134D29"/>
    <w:rsid w:val="00144004"/>
    <w:rsid w:val="0014434C"/>
    <w:rsid w:val="001447A6"/>
    <w:rsid w:val="00145043"/>
    <w:rsid w:val="00147468"/>
    <w:rsid w:val="00147792"/>
    <w:rsid w:val="00147FB4"/>
    <w:rsid w:val="0015011C"/>
    <w:rsid w:val="00150429"/>
    <w:rsid w:val="001563A3"/>
    <w:rsid w:val="001572BD"/>
    <w:rsid w:val="001605D3"/>
    <w:rsid w:val="00167555"/>
    <w:rsid w:val="00167F98"/>
    <w:rsid w:val="00172A27"/>
    <w:rsid w:val="00174748"/>
    <w:rsid w:val="0017764B"/>
    <w:rsid w:val="00177859"/>
    <w:rsid w:val="00177975"/>
    <w:rsid w:val="00180ACB"/>
    <w:rsid w:val="00181BDA"/>
    <w:rsid w:val="001834AA"/>
    <w:rsid w:val="0018435C"/>
    <w:rsid w:val="00184A56"/>
    <w:rsid w:val="00186623"/>
    <w:rsid w:val="00187754"/>
    <w:rsid w:val="001879FD"/>
    <w:rsid w:val="00197DB3"/>
    <w:rsid w:val="001A6DCC"/>
    <w:rsid w:val="001B3248"/>
    <w:rsid w:val="001B3DBD"/>
    <w:rsid w:val="001B4377"/>
    <w:rsid w:val="001B68D1"/>
    <w:rsid w:val="001D2321"/>
    <w:rsid w:val="001D2DCD"/>
    <w:rsid w:val="001D5055"/>
    <w:rsid w:val="001D630C"/>
    <w:rsid w:val="001D7039"/>
    <w:rsid w:val="001D7AFF"/>
    <w:rsid w:val="001E201B"/>
    <w:rsid w:val="001E561F"/>
    <w:rsid w:val="001E56C5"/>
    <w:rsid w:val="001E5CAC"/>
    <w:rsid w:val="001E6C93"/>
    <w:rsid w:val="001E725F"/>
    <w:rsid w:val="001F1AF7"/>
    <w:rsid w:val="001F1BA3"/>
    <w:rsid w:val="001F289A"/>
    <w:rsid w:val="001F4964"/>
    <w:rsid w:val="001F7063"/>
    <w:rsid w:val="00202B04"/>
    <w:rsid w:val="00204936"/>
    <w:rsid w:val="00207A43"/>
    <w:rsid w:val="002100EE"/>
    <w:rsid w:val="00210DC9"/>
    <w:rsid w:val="00212401"/>
    <w:rsid w:val="00214955"/>
    <w:rsid w:val="0021704D"/>
    <w:rsid w:val="00222097"/>
    <w:rsid w:val="00231ED2"/>
    <w:rsid w:val="002348E0"/>
    <w:rsid w:val="00234CF9"/>
    <w:rsid w:val="002352F2"/>
    <w:rsid w:val="00235C2F"/>
    <w:rsid w:val="002405C7"/>
    <w:rsid w:val="00250E69"/>
    <w:rsid w:val="002643C1"/>
    <w:rsid w:val="00265203"/>
    <w:rsid w:val="00265DE8"/>
    <w:rsid w:val="00271D47"/>
    <w:rsid w:val="002721EA"/>
    <w:rsid w:val="00276295"/>
    <w:rsid w:val="00277F62"/>
    <w:rsid w:val="00280E8A"/>
    <w:rsid w:val="00281FB1"/>
    <w:rsid w:val="00285164"/>
    <w:rsid w:val="002859AD"/>
    <w:rsid w:val="002905E7"/>
    <w:rsid w:val="00291DB8"/>
    <w:rsid w:val="00294873"/>
    <w:rsid w:val="002A14DA"/>
    <w:rsid w:val="002A4956"/>
    <w:rsid w:val="002A6710"/>
    <w:rsid w:val="002B7904"/>
    <w:rsid w:val="002C2507"/>
    <w:rsid w:val="002C2E6E"/>
    <w:rsid w:val="002C45CE"/>
    <w:rsid w:val="002D2A9A"/>
    <w:rsid w:val="002D541D"/>
    <w:rsid w:val="002D7725"/>
    <w:rsid w:val="002E25C8"/>
    <w:rsid w:val="002E46D1"/>
    <w:rsid w:val="002E6F8D"/>
    <w:rsid w:val="002F3DE3"/>
    <w:rsid w:val="002F632E"/>
    <w:rsid w:val="00310AF9"/>
    <w:rsid w:val="00310DDE"/>
    <w:rsid w:val="00311291"/>
    <w:rsid w:val="003126FE"/>
    <w:rsid w:val="00312C54"/>
    <w:rsid w:val="0031465E"/>
    <w:rsid w:val="00315742"/>
    <w:rsid w:val="003163B3"/>
    <w:rsid w:val="00320E03"/>
    <w:rsid w:val="00322A7A"/>
    <w:rsid w:val="00324505"/>
    <w:rsid w:val="00332C62"/>
    <w:rsid w:val="00340CF8"/>
    <w:rsid w:val="00341DEB"/>
    <w:rsid w:val="003434CB"/>
    <w:rsid w:val="00346A3D"/>
    <w:rsid w:val="003505D3"/>
    <w:rsid w:val="00350C20"/>
    <w:rsid w:val="003548FA"/>
    <w:rsid w:val="00355A74"/>
    <w:rsid w:val="003564A8"/>
    <w:rsid w:val="0036037C"/>
    <w:rsid w:val="003608BC"/>
    <w:rsid w:val="00361427"/>
    <w:rsid w:val="00361B09"/>
    <w:rsid w:val="00362A65"/>
    <w:rsid w:val="00363B1B"/>
    <w:rsid w:val="0036458B"/>
    <w:rsid w:val="003712DE"/>
    <w:rsid w:val="00371D2F"/>
    <w:rsid w:val="0038033A"/>
    <w:rsid w:val="00384161"/>
    <w:rsid w:val="00387610"/>
    <w:rsid w:val="00395C2F"/>
    <w:rsid w:val="003973D3"/>
    <w:rsid w:val="003A0892"/>
    <w:rsid w:val="003A449E"/>
    <w:rsid w:val="003A71F3"/>
    <w:rsid w:val="003B19F5"/>
    <w:rsid w:val="003C4B53"/>
    <w:rsid w:val="003C5554"/>
    <w:rsid w:val="003D0E0A"/>
    <w:rsid w:val="003D1495"/>
    <w:rsid w:val="003D3746"/>
    <w:rsid w:val="003D3B22"/>
    <w:rsid w:val="003E2343"/>
    <w:rsid w:val="003E4961"/>
    <w:rsid w:val="003E654B"/>
    <w:rsid w:val="003F3398"/>
    <w:rsid w:val="00401EB1"/>
    <w:rsid w:val="00402B32"/>
    <w:rsid w:val="00403E9F"/>
    <w:rsid w:val="00410C93"/>
    <w:rsid w:val="00410F37"/>
    <w:rsid w:val="00411B4A"/>
    <w:rsid w:val="00417E99"/>
    <w:rsid w:val="00420063"/>
    <w:rsid w:val="00421719"/>
    <w:rsid w:val="00424C3B"/>
    <w:rsid w:val="00426680"/>
    <w:rsid w:val="00427935"/>
    <w:rsid w:val="0043516A"/>
    <w:rsid w:val="00436B53"/>
    <w:rsid w:val="00436FB9"/>
    <w:rsid w:val="004450B2"/>
    <w:rsid w:val="0044695E"/>
    <w:rsid w:val="00450385"/>
    <w:rsid w:val="00450E17"/>
    <w:rsid w:val="00453CE3"/>
    <w:rsid w:val="00460393"/>
    <w:rsid w:val="00460DBE"/>
    <w:rsid w:val="00462878"/>
    <w:rsid w:val="00463EEB"/>
    <w:rsid w:val="00465B7A"/>
    <w:rsid w:val="00471D13"/>
    <w:rsid w:val="00472285"/>
    <w:rsid w:val="00472AA2"/>
    <w:rsid w:val="004760D1"/>
    <w:rsid w:val="00476443"/>
    <w:rsid w:val="00486477"/>
    <w:rsid w:val="00492BEA"/>
    <w:rsid w:val="00493769"/>
    <w:rsid w:val="004953EC"/>
    <w:rsid w:val="00495813"/>
    <w:rsid w:val="0049687D"/>
    <w:rsid w:val="004A0D29"/>
    <w:rsid w:val="004A0DE1"/>
    <w:rsid w:val="004A2410"/>
    <w:rsid w:val="004A27AC"/>
    <w:rsid w:val="004A27FB"/>
    <w:rsid w:val="004B176E"/>
    <w:rsid w:val="004C1DD0"/>
    <w:rsid w:val="004C4E79"/>
    <w:rsid w:val="004C64E4"/>
    <w:rsid w:val="004D287A"/>
    <w:rsid w:val="004D7F78"/>
    <w:rsid w:val="004E156F"/>
    <w:rsid w:val="004E3D35"/>
    <w:rsid w:val="004E55DB"/>
    <w:rsid w:val="004E7464"/>
    <w:rsid w:val="004F161C"/>
    <w:rsid w:val="004F1D05"/>
    <w:rsid w:val="004F4F7F"/>
    <w:rsid w:val="004F68B2"/>
    <w:rsid w:val="00501A6B"/>
    <w:rsid w:val="00502B2F"/>
    <w:rsid w:val="00512D00"/>
    <w:rsid w:val="00512E1B"/>
    <w:rsid w:val="00514179"/>
    <w:rsid w:val="00524D15"/>
    <w:rsid w:val="00544BEA"/>
    <w:rsid w:val="00546089"/>
    <w:rsid w:val="005460D5"/>
    <w:rsid w:val="0055072B"/>
    <w:rsid w:val="00566A85"/>
    <w:rsid w:val="00573563"/>
    <w:rsid w:val="00573AE3"/>
    <w:rsid w:val="005760FC"/>
    <w:rsid w:val="00580FCB"/>
    <w:rsid w:val="005813CB"/>
    <w:rsid w:val="00584D76"/>
    <w:rsid w:val="005865EB"/>
    <w:rsid w:val="00586747"/>
    <w:rsid w:val="005902D9"/>
    <w:rsid w:val="00596AB7"/>
    <w:rsid w:val="005A1EA7"/>
    <w:rsid w:val="005A3F94"/>
    <w:rsid w:val="005A5FAF"/>
    <w:rsid w:val="005B0724"/>
    <w:rsid w:val="005B0D3B"/>
    <w:rsid w:val="005B1E46"/>
    <w:rsid w:val="005B244A"/>
    <w:rsid w:val="005C1B86"/>
    <w:rsid w:val="005C3034"/>
    <w:rsid w:val="005C42AC"/>
    <w:rsid w:val="005C4F84"/>
    <w:rsid w:val="005D007B"/>
    <w:rsid w:val="005D37D0"/>
    <w:rsid w:val="005D5E93"/>
    <w:rsid w:val="005D703E"/>
    <w:rsid w:val="005E4A48"/>
    <w:rsid w:val="005E5525"/>
    <w:rsid w:val="005F0202"/>
    <w:rsid w:val="005F3B5B"/>
    <w:rsid w:val="00601B93"/>
    <w:rsid w:val="00605D32"/>
    <w:rsid w:val="00613410"/>
    <w:rsid w:val="00613EB3"/>
    <w:rsid w:val="0061771F"/>
    <w:rsid w:val="00617986"/>
    <w:rsid w:val="00620429"/>
    <w:rsid w:val="00631B3A"/>
    <w:rsid w:val="0064583B"/>
    <w:rsid w:val="00645D87"/>
    <w:rsid w:val="00654A48"/>
    <w:rsid w:val="0065651B"/>
    <w:rsid w:val="006607ED"/>
    <w:rsid w:val="00664607"/>
    <w:rsid w:val="006665C4"/>
    <w:rsid w:val="00670089"/>
    <w:rsid w:val="006709FC"/>
    <w:rsid w:val="006712CE"/>
    <w:rsid w:val="00672738"/>
    <w:rsid w:val="006742A1"/>
    <w:rsid w:val="00674DC6"/>
    <w:rsid w:val="00680AE4"/>
    <w:rsid w:val="006814EA"/>
    <w:rsid w:val="00684E51"/>
    <w:rsid w:val="00687669"/>
    <w:rsid w:val="00690F4F"/>
    <w:rsid w:val="00692B16"/>
    <w:rsid w:val="00692BFC"/>
    <w:rsid w:val="006934DC"/>
    <w:rsid w:val="00695313"/>
    <w:rsid w:val="006969AF"/>
    <w:rsid w:val="006A022D"/>
    <w:rsid w:val="006A100B"/>
    <w:rsid w:val="006A1321"/>
    <w:rsid w:val="006A143A"/>
    <w:rsid w:val="006A1E48"/>
    <w:rsid w:val="006A3285"/>
    <w:rsid w:val="006B175D"/>
    <w:rsid w:val="006B5758"/>
    <w:rsid w:val="006B72DE"/>
    <w:rsid w:val="006C28D5"/>
    <w:rsid w:val="006C5FC1"/>
    <w:rsid w:val="006D1555"/>
    <w:rsid w:val="006D3E38"/>
    <w:rsid w:val="006D44E1"/>
    <w:rsid w:val="006E14C4"/>
    <w:rsid w:val="006E21FA"/>
    <w:rsid w:val="006E3DD7"/>
    <w:rsid w:val="006F0D8B"/>
    <w:rsid w:val="006F0FB7"/>
    <w:rsid w:val="006F2111"/>
    <w:rsid w:val="006F7DCF"/>
    <w:rsid w:val="00704E5D"/>
    <w:rsid w:val="00705739"/>
    <w:rsid w:val="00715FB5"/>
    <w:rsid w:val="007171A6"/>
    <w:rsid w:val="0071799D"/>
    <w:rsid w:val="00725F63"/>
    <w:rsid w:val="00726088"/>
    <w:rsid w:val="00730B6A"/>
    <w:rsid w:val="00736D88"/>
    <w:rsid w:val="00736DD2"/>
    <w:rsid w:val="00737A25"/>
    <w:rsid w:val="00740462"/>
    <w:rsid w:val="007461A7"/>
    <w:rsid w:val="0074681C"/>
    <w:rsid w:val="00746EC2"/>
    <w:rsid w:val="007537A2"/>
    <w:rsid w:val="007622BD"/>
    <w:rsid w:val="00765050"/>
    <w:rsid w:val="007654E2"/>
    <w:rsid w:val="0076555E"/>
    <w:rsid w:val="00766551"/>
    <w:rsid w:val="00771E46"/>
    <w:rsid w:val="007823AE"/>
    <w:rsid w:val="007847D0"/>
    <w:rsid w:val="00791915"/>
    <w:rsid w:val="00792A3C"/>
    <w:rsid w:val="007959AC"/>
    <w:rsid w:val="007A20E0"/>
    <w:rsid w:val="007A34DE"/>
    <w:rsid w:val="007A3739"/>
    <w:rsid w:val="007B2204"/>
    <w:rsid w:val="007B4B60"/>
    <w:rsid w:val="007C1500"/>
    <w:rsid w:val="007C1A35"/>
    <w:rsid w:val="007C4793"/>
    <w:rsid w:val="007D7E65"/>
    <w:rsid w:val="007E19E0"/>
    <w:rsid w:val="007F04B5"/>
    <w:rsid w:val="007F0EC1"/>
    <w:rsid w:val="007F7FBB"/>
    <w:rsid w:val="008041D4"/>
    <w:rsid w:val="0080517B"/>
    <w:rsid w:val="00805933"/>
    <w:rsid w:val="008110EC"/>
    <w:rsid w:val="0081156A"/>
    <w:rsid w:val="00811D97"/>
    <w:rsid w:val="00814B88"/>
    <w:rsid w:val="0081510B"/>
    <w:rsid w:val="008152CC"/>
    <w:rsid w:val="0082236F"/>
    <w:rsid w:val="00827398"/>
    <w:rsid w:val="00832637"/>
    <w:rsid w:val="00842974"/>
    <w:rsid w:val="00851EF4"/>
    <w:rsid w:val="0085550A"/>
    <w:rsid w:val="008610AB"/>
    <w:rsid w:val="008616EF"/>
    <w:rsid w:val="008624B7"/>
    <w:rsid w:val="00863C25"/>
    <w:rsid w:val="008641B7"/>
    <w:rsid w:val="00864DC1"/>
    <w:rsid w:val="00867BD6"/>
    <w:rsid w:val="008705BC"/>
    <w:rsid w:val="00875A42"/>
    <w:rsid w:val="00875B12"/>
    <w:rsid w:val="008857CC"/>
    <w:rsid w:val="008904A8"/>
    <w:rsid w:val="00895BFD"/>
    <w:rsid w:val="008A4DF4"/>
    <w:rsid w:val="008B5345"/>
    <w:rsid w:val="008C083D"/>
    <w:rsid w:val="008C510F"/>
    <w:rsid w:val="008E3606"/>
    <w:rsid w:val="008E65E6"/>
    <w:rsid w:val="008E66B8"/>
    <w:rsid w:val="008E6A1D"/>
    <w:rsid w:val="008F1988"/>
    <w:rsid w:val="008F1E3D"/>
    <w:rsid w:val="008F6252"/>
    <w:rsid w:val="009023F3"/>
    <w:rsid w:val="009026EE"/>
    <w:rsid w:val="00903540"/>
    <w:rsid w:val="0090383C"/>
    <w:rsid w:val="00905E07"/>
    <w:rsid w:val="00912132"/>
    <w:rsid w:val="00915390"/>
    <w:rsid w:val="009211CD"/>
    <w:rsid w:val="00922FAD"/>
    <w:rsid w:val="00924F0A"/>
    <w:rsid w:val="0092708B"/>
    <w:rsid w:val="0092751A"/>
    <w:rsid w:val="0093049D"/>
    <w:rsid w:val="00930640"/>
    <w:rsid w:val="00934DEC"/>
    <w:rsid w:val="00937713"/>
    <w:rsid w:val="00944CC5"/>
    <w:rsid w:val="009450FB"/>
    <w:rsid w:val="0094660F"/>
    <w:rsid w:val="0094759E"/>
    <w:rsid w:val="00963016"/>
    <w:rsid w:val="00965929"/>
    <w:rsid w:val="00966820"/>
    <w:rsid w:val="009702E8"/>
    <w:rsid w:val="00971E57"/>
    <w:rsid w:val="009723CF"/>
    <w:rsid w:val="00974E85"/>
    <w:rsid w:val="00980037"/>
    <w:rsid w:val="00983B43"/>
    <w:rsid w:val="00991B37"/>
    <w:rsid w:val="009938C9"/>
    <w:rsid w:val="009A0AF8"/>
    <w:rsid w:val="009A5F56"/>
    <w:rsid w:val="009B6096"/>
    <w:rsid w:val="009C3034"/>
    <w:rsid w:val="009D3162"/>
    <w:rsid w:val="009D3181"/>
    <w:rsid w:val="009E348B"/>
    <w:rsid w:val="009E737D"/>
    <w:rsid w:val="009F2896"/>
    <w:rsid w:val="00A03977"/>
    <w:rsid w:val="00A053AD"/>
    <w:rsid w:val="00A11B64"/>
    <w:rsid w:val="00A17AB3"/>
    <w:rsid w:val="00A214ED"/>
    <w:rsid w:val="00A22467"/>
    <w:rsid w:val="00A26FF7"/>
    <w:rsid w:val="00A42803"/>
    <w:rsid w:val="00A445DC"/>
    <w:rsid w:val="00A44BEA"/>
    <w:rsid w:val="00A47655"/>
    <w:rsid w:val="00A52D1B"/>
    <w:rsid w:val="00A569E8"/>
    <w:rsid w:val="00A668DA"/>
    <w:rsid w:val="00A711C6"/>
    <w:rsid w:val="00A72D85"/>
    <w:rsid w:val="00A72F4E"/>
    <w:rsid w:val="00A75A98"/>
    <w:rsid w:val="00A81327"/>
    <w:rsid w:val="00A84863"/>
    <w:rsid w:val="00A87AD4"/>
    <w:rsid w:val="00A9245E"/>
    <w:rsid w:val="00A95D95"/>
    <w:rsid w:val="00A977EC"/>
    <w:rsid w:val="00AA3FD1"/>
    <w:rsid w:val="00AB11B3"/>
    <w:rsid w:val="00AB4740"/>
    <w:rsid w:val="00AB5772"/>
    <w:rsid w:val="00AB5ED3"/>
    <w:rsid w:val="00AB5EFC"/>
    <w:rsid w:val="00AB6B0C"/>
    <w:rsid w:val="00AB70CD"/>
    <w:rsid w:val="00AC06E5"/>
    <w:rsid w:val="00AC18B5"/>
    <w:rsid w:val="00AC4898"/>
    <w:rsid w:val="00AC48B3"/>
    <w:rsid w:val="00AC7AC9"/>
    <w:rsid w:val="00AD5B41"/>
    <w:rsid w:val="00AD628D"/>
    <w:rsid w:val="00AD71EA"/>
    <w:rsid w:val="00AE1920"/>
    <w:rsid w:val="00AE5BC9"/>
    <w:rsid w:val="00AF01B3"/>
    <w:rsid w:val="00AF0F13"/>
    <w:rsid w:val="00AF5DC2"/>
    <w:rsid w:val="00AF6E93"/>
    <w:rsid w:val="00AF7992"/>
    <w:rsid w:val="00B003D0"/>
    <w:rsid w:val="00B00AB3"/>
    <w:rsid w:val="00B01F32"/>
    <w:rsid w:val="00B02BCE"/>
    <w:rsid w:val="00B037C8"/>
    <w:rsid w:val="00B04EB9"/>
    <w:rsid w:val="00B05B88"/>
    <w:rsid w:val="00B10333"/>
    <w:rsid w:val="00B11996"/>
    <w:rsid w:val="00B14C52"/>
    <w:rsid w:val="00B16CF5"/>
    <w:rsid w:val="00B17214"/>
    <w:rsid w:val="00B200AA"/>
    <w:rsid w:val="00B218F5"/>
    <w:rsid w:val="00B2651E"/>
    <w:rsid w:val="00B30645"/>
    <w:rsid w:val="00B37061"/>
    <w:rsid w:val="00B437AD"/>
    <w:rsid w:val="00B478C3"/>
    <w:rsid w:val="00B51FF9"/>
    <w:rsid w:val="00B5237E"/>
    <w:rsid w:val="00B52715"/>
    <w:rsid w:val="00B530C4"/>
    <w:rsid w:val="00B53D7F"/>
    <w:rsid w:val="00B60EA8"/>
    <w:rsid w:val="00B61348"/>
    <w:rsid w:val="00B6263F"/>
    <w:rsid w:val="00B63B8A"/>
    <w:rsid w:val="00B650D0"/>
    <w:rsid w:val="00B67114"/>
    <w:rsid w:val="00B70750"/>
    <w:rsid w:val="00B75449"/>
    <w:rsid w:val="00B82F5C"/>
    <w:rsid w:val="00B90943"/>
    <w:rsid w:val="00BA0749"/>
    <w:rsid w:val="00BA527C"/>
    <w:rsid w:val="00BA63C3"/>
    <w:rsid w:val="00BB47D5"/>
    <w:rsid w:val="00BB7494"/>
    <w:rsid w:val="00BB7DF4"/>
    <w:rsid w:val="00BC1F19"/>
    <w:rsid w:val="00BC2390"/>
    <w:rsid w:val="00BC7017"/>
    <w:rsid w:val="00BE07A9"/>
    <w:rsid w:val="00BF0A79"/>
    <w:rsid w:val="00BF46A7"/>
    <w:rsid w:val="00BF5230"/>
    <w:rsid w:val="00BF57C6"/>
    <w:rsid w:val="00C003DA"/>
    <w:rsid w:val="00C00BB6"/>
    <w:rsid w:val="00C07C0D"/>
    <w:rsid w:val="00C1090C"/>
    <w:rsid w:val="00C11F65"/>
    <w:rsid w:val="00C1309C"/>
    <w:rsid w:val="00C21250"/>
    <w:rsid w:val="00C240C8"/>
    <w:rsid w:val="00C26513"/>
    <w:rsid w:val="00C31E18"/>
    <w:rsid w:val="00C328C9"/>
    <w:rsid w:val="00C3379E"/>
    <w:rsid w:val="00C33DD6"/>
    <w:rsid w:val="00C36B21"/>
    <w:rsid w:val="00C37BFE"/>
    <w:rsid w:val="00C37F72"/>
    <w:rsid w:val="00C420C1"/>
    <w:rsid w:val="00C45963"/>
    <w:rsid w:val="00C472B8"/>
    <w:rsid w:val="00C52B3E"/>
    <w:rsid w:val="00C53124"/>
    <w:rsid w:val="00C53B2E"/>
    <w:rsid w:val="00C6074B"/>
    <w:rsid w:val="00C6160A"/>
    <w:rsid w:val="00C65711"/>
    <w:rsid w:val="00C66C91"/>
    <w:rsid w:val="00C7417D"/>
    <w:rsid w:val="00C76ECD"/>
    <w:rsid w:val="00C834D3"/>
    <w:rsid w:val="00C84E04"/>
    <w:rsid w:val="00C85DAD"/>
    <w:rsid w:val="00C910BE"/>
    <w:rsid w:val="00C922BE"/>
    <w:rsid w:val="00CA5844"/>
    <w:rsid w:val="00CA7415"/>
    <w:rsid w:val="00CA7A6C"/>
    <w:rsid w:val="00CB265C"/>
    <w:rsid w:val="00CB3659"/>
    <w:rsid w:val="00CB4540"/>
    <w:rsid w:val="00CB7A07"/>
    <w:rsid w:val="00CC59BB"/>
    <w:rsid w:val="00CD12CE"/>
    <w:rsid w:val="00CD635D"/>
    <w:rsid w:val="00CD7CED"/>
    <w:rsid w:val="00CE04C7"/>
    <w:rsid w:val="00CE2FDC"/>
    <w:rsid w:val="00CE3AD7"/>
    <w:rsid w:val="00CF156B"/>
    <w:rsid w:val="00CF15EF"/>
    <w:rsid w:val="00CF1E02"/>
    <w:rsid w:val="00CF49F2"/>
    <w:rsid w:val="00CF52F6"/>
    <w:rsid w:val="00CF597A"/>
    <w:rsid w:val="00CF6D82"/>
    <w:rsid w:val="00CF735D"/>
    <w:rsid w:val="00D05BAA"/>
    <w:rsid w:val="00D13B7A"/>
    <w:rsid w:val="00D222B0"/>
    <w:rsid w:val="00D22C4B"/>
    <w:rsid w:val="00D230C7"/>
    <w:rsid w:val="00D23E7D"/>
    <w:rsid w:val="00D2405F"/>
    <w:rsid w:val="00D309EC"/>
    <w:rsid w:val="00D30C7F"/>
    <w:rsid w:val="00D35FEF"/>
    <w:rsid w:val="00D36C8A"/>
    <w:rsid w:val="00D40903"/>
    <w:rsid w:val="00D4180A"/>
    <w:rsid w:val="00D41BA9"/>
    <w:rsid w:val="00D52376"/>
    <w:rsid w:val="00D56278"/>
    <w:rsid w:val="00D612C2"/>
    <w:rsid w:val="00D67918"/>
    <w:rsid w:val="00D745E0"/>
    <w:rsid w:val="00D76AA3"/>
    <w:rsid w:val="00D80604"/>
    <w:rsid w:val="00D82F49"/>
    <w:rsid w:val="00D82F98"/>
    <w:rsid w:val="00D82FF3"/>
    <w:rsid w:val="00D851AC"/>
    <w:rsid w:val="00D94123"/>
    <w:rsid w:val="00DA086B"/>
    <w:rsid w:val="00DA1D7A"/>
    <w:rsid w:val="00DA6834"/>
    <w:rsid w:val="00DA7E05"/>
    <w:rsid w:val="00DB4794"/>
    <w:rsid w:val="00DB4C8E"/>
    <w:rsid w:val="00DB5C3E"/>
    <w:rsid w:val="00DB6061"/>
    <w:rsid w:val="00DB628E"/>
    <w:rsid w:val="00DC520B"/>
    <w:rsid w:val="00DC528D"/>
    <w:rsid w:val="00DC6E98"/>
    <w:rsid w:val="00DD6BB2"/>
    <w:rsid w:val="00DD7AEF"/>
    <w:rsid w:val="00DE0164"/>
    <w:rsid w:val="00DE052C"/>
    <w:rsid w:val="00DE1E39"/>
    <w:rsid w:val="00DE225C"/>
    <w:rsid w:val="00DE647B"/>
    <w:rsid w:val="00DE6D35"/>
    <w:rsid w:val="00DF47D6"/>
    <w:rsid w:val="00DF4977"/>
    <w:rsid w:val="00DF5425"/>
    <w:rsid w:val="00DF782C"/>
    <w:rsid w:val="00E030A0"/>
    <w:rsid w:val="00E0425A"/>
    <w:rsid w:val="00E05709"/>
    <w:rsid w:val="00E075A1"/>
    <w:rsid w:val="00E124E3"/>
    <w:rsid w:val="00E14812"/>
    <w:rsid w:val="00E14F50"/>
    <w:rsid w:val="00E15DDE"/>
    <w:rsid w:val="00E20AFA"/>
    <w:rsid w:val="00E2339E"/>
    <w:rsid w:val="00E25841"/>
    <w:rsid w:val="00E3245B"/>
    <w:rsid w:val="00E32DCD"/>
    <w:rsid w:val="00E3707B"/>
    <w:rsid w:val="00E42243"/>
    <w:rsid w:val="00E47188"/>
    <w:rsid w:val="00E50412"/>
    <w:rsid w:val="00E50685"/>
    <w:rsid w:val="00E5683F"/>
    <w:rsid w:val="00E57F6B"/>
    <w:rsid w:val="00E65CEE"/>
    <w:rsid w:val="00E6602F"/>
    <w:rsid w:val="00E71D9E"/>
    <w:rsid w:val="00E7342C"/>
    <w:rsid w:val="00E75C2B"/>
    <w:rsid w:val="00E76363"/>
    <w:rsid w:val="00E91D81"/>
    <w:rsid w:val="00E92BC2"/>
    <w:rsid w:val="00EA010E"/>
    <w:rsid w:val="00EA196B"/>
    <w:rsid w:val="00EA1B81"/>
    <w:rsid w:val="00EB1E33"/>
    <w:rsid w:val="00EB3E74"/>
    <w:rsid w:val="00EC0881"/>
    <w:rsid w:val="00EC4706"/>
    <w:rsid w:val="00EE6B83"/>
    <w:rsid w:val="00EF0E4B"/>
    <w:rsid w:val="00F032F3"/>
    <w:rsid w:val="00F07DBD"/>
    <w:rsid w:val="00F16313"/>
    <w:rsid w:val="00F20FF1"/>
    <w:rsid w:val="00F35457"/>
    <w:rsid w:val="00F3595B"/>
    <w:rsid w:val="00F36D58"/>
    <w:rsid w:val="00F426A6"/>
    <w:rsid w:val="00F429FD"/>
    <w:rsid w:val="00F4623C"/>
    <w:rsid w:val="00F46E44"/>
    <w:rsid w:val="00F53FC5"/>
    <w:rsid w:val="00F54BED"/>
    <w:rsid w:val="00F55639"/>
    <w:rsid w:val="00F5631F"/>
    <w:rsid w:val="00F56399"/>
    <w:rsid w:val="00F56F6C"/>
    <w:rsid w:val="00F66EA7"/>
    <w:rsid w:val="00F7192A"/>
    <w:rsid w:val="00F75A55"/>
    <w:rsid w:val="00F7750A"/>
    <w:rsid w:val="00F80006"/>
    <w:rsid w:val="00F80084"/>
    <w:rsid w:val="00F83EF8"/>
    <w:rsid w:val="00F852E7"/>
    <w:rsid w:val="00F86B36"/>
    <w:rsid w:val="00F9102D"/>
    <w:rsid w:val="00F95676"/>
    <w:rsid w:val="00F96D16"/>
    <w:rsid w:val="00FA5C8C"/>
    <w:rsid w:val="00FA77AC"/>
    <w:rsid w:val="00FB020B"/>
    <w:rsid w:val="00FB1B2D"/>
    <w:rsid w:val="00FB29AA"/>
    <w:rsid w:val="00FC401C"/>
    <w:rsid w:val="00FD159B"/>
    <w:rsid w:val="00FD2470"/>
    <w:rsid w:val="00FD5823"/>
    <w:rsid w:val="00FE1C27"/>
    <w:rsid w:val="00FE3D3F"/>
    <w:rsid w:val="00FE5C31"/>
    <w:rsid w:val="00FF01B8"/>
    <w:rsid w:val="00FF0DB0"/>
    <w:rsid w:val="00FF1B0E"/>
    <w:rsid w:val="00FF7182"/>
    <w:rsid w:val="00FF748B"/>
    <w:rsid w:val="01537761"/>
    <w:rsid w:val="019F1BEA"/>
    <w:rsid w:val="02385113"/>
    <w:rsid w:val="03431A16"/>
    <w:rsid w:val="03870C41"/>
    <w:rsid w:val="03F4661F"/>
    <w:rsid w:val="041E6B80"/>
    <w:rsid w:val="051A39C4"/>
    <w:rsid w:val="0539096E"/>
    <w:rsid w:val="05C74083"/>
    <w:rsid w:val="06617C50"/>
    <w:rsid w:val="06881105"/>
    <w:rsid w:val="06B6404D"/>
    <w:rsid w:val="0702568C"/>
    <w:rsid w:val="07ED4665"/>
    <w:rsid w:val="0828233C"/>
    <w:rsid w:val="090D0F93"/>
    <w:rsid w:val="0A1A3ECA"/>
    <w:rsid w:val="0A8330D0"/>
    <w:rsid w:val="0B824656"/>
    <w:rsid w:val="0B9C646E"/>
    <w:rsid w:val="0D295C5D"/>
    <w:rsid w:val="0E0407B3"/>
    <w:rsid w:val="0EBB145C"/>
    <w:rsid w:val="0ECF04EF"/>
    <w:rsid w:val="0FB74441"/>
    <w:rsid w:val="10117659"/>
    <w:rsid w:val="1016089B"/>
    <w:rsid w:val="110A4454"/>
    <w:rsid w:val="119778EC"/>
    <w:rsid w:val="11AB679D"/>
    <w:rsid w:val="125333A9"/>
    <w:rsid w:val="12F351F3"/>
    <w:rsid w:val="12F851A5"/>
    <w:rsid w:val="140D2764"/>
    <w:rsid w:val="14534F01"/>
    <w:rsid w:val="14546340"/>
    <w:rsid w:val="147A5E14"/>
    <w:rsid w:val="14B417A4"/>
    <w:rsid w:val="151D556C"/>
    <w:rsid w:val="15C628C6"/>
    <w:rsid w:val="16A21FE6"/>
    <w:rsid w:val="16B64105"/>
    <w:rsid w:val="181E06E3"/>
    <w:rsid w:val="18ED7A84"/>
    <w:rsid w:val="19256147"/>
    <w:rsid w:val="197B268B"/>
    <w:rsid w:val="198E43CB"/>
    <w:rsid w:val="19A37C3E"/>
    <w:rsid w:val="1A1853CA"/>
    <w:rsid w:val="1AD803B6"/>
    <w:rsid w:val="1BC30B00"/>
    <w:rsid w:val="1D735C93"/>
    <w:rsid w:val="1E160282"/>
    <w:rsid w:val="1EDA2E07"/>
    <w:rsid w:val="21412B62"/>
    <w:rsid w:val="2190797B"/>
    <w:rsid w:val="21D25B60"/>
    <w:rsid w:val="22266D38"/>
    <w:rsid w:val="22543FB4"/>
    <w:rsid w:val="2332119B"/>
    <w:rsid w:val="23E402AA"/>
    <w:rsid w:val="23F36740"/>
    <w:rsid w:val="2425476E"/>
    <w:rsid w:val="25B25F0B"/>
    <w:rsid w:val="26861C2E"/>
    <w:rsid w:val="26D1102D"/>
    <w:rsid w:val="27B23E85"/>
    <w:rsid w:val="280453D6"/>
    <w:rsid w:val="283142C2"/>
    <w:rsid w:val="2A9B3CEA"/>
    <w:rsid w:val="2AA463D0"/>
    <w:rsid w:val="2B4363C9"/>
    <w:rsid w:val="2B691C5A"/>
    <w:rsid w:val="2B9B5109"/>
    <w:rsid w:val="2CD205E4"/>
    <w:rsid w:val="2CE50DA8"/>
    <w:rsid w:val="2D6565A7"/>
    <w:rsid w:val="2DC00C23"/>
    <w:rsid w:val="2E1628D7"/>
    <w:rsid w:val="2E825712"/>
    <w:rsid w:val="2F472C0F"/>
    <w:rsid w:val="2FD7071E"/>
    <w:rsid w:val="305428A6"/>
    <w:rsid w:val="30692FEA"/>
    <w:rsid w:val="313B3AEA"/>
    <w:rsid w:val="313E2CBD"/>
    <w:rsid w:val="32793E47"/>
    <w:rsid w:val="33616CE7"/>
    <w:rsid w:val="3369683F"/>
    <w:rsid w:val="33A33275"/>
    <w:rsid w:val="33F00BB9"/>
    <w:rsid w:val="34285CA6"/>
    <w:rsid w:val="35513748"/>
    <w:rsid w:val="35632ED3"/>
    <w:rsid w:val="361E009E"/>
    <w:rsid w:val="362971F0"/>
    <w:rsid w:val="373F0CDA"/>
    <w:rsid w:val="377B5BBB"/>
    <w:rsid w:val="37CC31C3"/>
    <w:rsid w:val="37EB237B"/>
    <w:rsid w:val="383160CD"/>
    <w:rsid w:val="38DC182B"/>
    <w:rsid w:val="38F779E9"/>
    <w:rsid w:val="395E4634"/>
    <w:rsid w:val="39C73BB6"/>
    <w:rsid w:val="3A8D2324"/>
    <w:rsid w:val="3AA63598"/>
    <w:rsid w:val="3B284248"/>
    <w:rsid w:val="3B5976EE"/>
    <w:rsid w:val="3C7E155F"/>
    <w:rsid w:val="3D5B6432"/>
    <w:rsid w:val="3DBC4147"/>
    <w:rsid w:val="3E1E2270"/>
    <w:rsid w:val="3E256F9E"/>
    <w:rsid w:val="3E612A12"/>
    <w:rsid w:val="3EED2A1A"/>
    <w:rsid w:val="3FE570B2"/>
    <w:rsid w:val="40B92968"/>
    <w:rsid w:val="40EF7861"/>
    <w:rsid w:val="414F2693"/>
    <w:rsid w:val="418F661E"/>
    <w:rsid w:val="43B74C3F"/>
    <w:rsid w:val="4427152B"/>
    <w:rsid w:val="446B68BB"/>
    <w:rsid w:val="451C2ED9"/>
    <w:rsid w:val="45A24FAB"/>
    <w:rsid w:val="45E27158"/>
    <w:rsid w:val="46C774AF"/>
    <w:rsid w:val="47EF5E2D"/>
    <w:rsid w:val="48450C86"/>
    <w:rsid w:val="48DB5C65"/>
    <w:rsid w:val="48F52FA6"/>
    <w:rsid w:val="495F5FFE"/>
    <w:rsid w:val="49FB758F"/>
    <w:rsid w:val="4A7012CC"/>
    <w:rsid w:val="4AE9336C"/>
    <w:rsid w:val="4C316612"/>
    <w:rsid w:val="4E170F9F"/>
    <w:rsid w:val="4E6F53FF"/>
    <w:rsid w:val="4F8C27A1"/>
    <w:rsid w:val="4FB428E6"/>
    <w:rsid w:val="50441F2A"/>
    <w:rsid w:val="506D1CB4"/>
    <w:rsid w:val="50A3796F"/>
    <w:rsid w:val="51DD55F7"/>
    <w:rsid w:val="52940757"/>
    <w:rsid w:val="52A2248F"/>
    <w:rsid w:val="52B6596E"/>
    <w:rsid w:val="52D92ACB"/>
    <w:rsid w:val="52DF0C6C"/>
    <w:rsid w:val="53824CF2"/>
    <w:rsid w:val="53985050"/>
    <w:rsid w:val="543231A8"/>
    <w:rsid w:val="54B21870"/>
    <w:rsid w:val="57254A3C"/>
    <w:rsid w:val="579371FC"/>
    <w:rsid w:val="58067FB6"/>
    <w:rsid w:val="589A2E73"/>
    <w:rsid w:val="5B1561C6"/>
    <w:rsid w:val="5B473BE3"/>
    <w:rsid w:val="5B8930BB"/>
    <w:rsid w:val="5C041109"/>
    <w:rsid w:val="5CC61DC5"/>
    <w:rsid w:val="5D5C1A16"/>
    <w:rsid w:val="5DE835D3"/>
    <w:rsid w:val="5E6D2BB5"/>
    <w:rsid w:val="5EFE52E9"/>
    <w:rsid w:val="5F177572"/>
    <w:rsid w:val="5FA931AC"/>
    <w:rsid w:val="5FC53964"/>
    <w:rsid w:val="60292161"/>
    <w:rsid w:val="622B4960"/>
    <w:rsid w:val="63391954"/>
    <w:rsid w:val="64264E79"/>
    <w:rsid w:val="667B72BA"/>
    <w:rsid w:val="66A66EF1"/>
    <w:rsid w:val="672F1B5D"/>
    <w:rsid w:val="67474AFB"/>
    <w:rsid w:val="67712461"/>
    <w:rsid w:val="68884560"/>
    <w:rsid w:val="699C4E40"/>
    <w:rsid w:val="69D72220"/>
    <w:rsid w:val="6B661BE3"/>
    <w:rsid w:val="6BC77CCC"/>
    <w:rsid w:val="6C2D33C6"/>
    <w:rsid w:val="6C9E63F1"/>
    <w:rsid w:val="6DCD19EE"/>
    <w:rsid w:val="6EA34E15"/>
    <w:rsid w:val="6F024630"/>
    <w:rsid w:val="6F42666A"/>
    <w:rsid w:val="6F9F62D9"/>
    <w:rsid w:val="6FE969BF"/>
    <w:rsid w:val="6FFD0CEF"/>
    <w:rsid w:val="701D538E"/>
    <w:rsid w:val="71797E0F"/>
    <w:rsid w:val="71B016C1"/>
    <w:rsid w:val="71B744D2"/>
    <w:rsid w:val="72B312A9"/>
    <w:rsid w:val="73770BE4"/>
    <w:rsid w:val="7390000D"/>
    <w:rsid w:val="749A50BB"/>
    <w:rsid w:val="74B024A1"/>
    <w:rsid w:val="74DF296A"/>
    <w:rsid w:val="750045C2"/>
    <w:rsid w:val="761D3A84"/>
    <w:rsid w:val="765765AF"/>
    <w:rsid w:val="76974326"/>
    <w:rsid w:val="76EF2DED"/>
    <w:rsid w:val="777D3759"/>
    <w:rsid w:val="7932050F"/>
    <w:rsid w:val="79B82E51"/>
    <w:rsid w:val="79E05B4F"/>
    <w:rsid w:val="7A7A3E6A"/>
    <w:rsid w:val="7B3E6B40"/>
    <w:rsid w:val="7BD0785E"/>
    <w:rsid w:val="7BF8B509"/>
    <w:rsid w:val="7C8408D3"/>
    <w:rsid w:val="7CAFF90B"/>
    <w:rsid w:val="7CB738AB"/>
    <w:rsid w:val="7CC144AC"/>
    <w:rsid w:val="7D1A4AA9"/>
    <w:rsid w:val="7D3E0A52"/>
    <w:rsid w:val="7DA16864"/>
    <w:rsid w:val="7DB53010"/>
    <w:rsid w:val="7E104ACC"/>
    <w:rsid w:val="7EF30A1A"/>
    <w:rsid w:val="7F865F3A"/>
    <w:rsid w:val="9BFE96E5"/>
    <w:rsid w:val="9DE30272"/>
    <w:rsid w:val="AEEBBF2F"/>
    <w:rsid w:val="EFFBFB3B"/>
    <w:rsid w:val="FEFE7831"/>
    <w:rsid w:val="FFFF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link w:val="8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link w:val="10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11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2"/>
    <w:qFormat/>
    <w:uiPriority w:val="0"/>
    <w:pPr>
      <w:adjustRightInd/>
      <w:spacing w:line="240" w:lineRule="auto"/>
      <w:textAlignment w:val="auto"/>
    </w:pPr>
  </w:style>
  <w:style w:type="paragraph" w:styleId="59">
    <w:name w:val="Body Text First Indent 2"/>
    <w:basedOn w:val="24"/>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4"/>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4"/>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5"/>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2"/>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7"/>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tabs>
        <w:tab w:val="left" w:pos="709"/>
        <w:tab w:val="left" w:pos="1620"/>
      </w:tabs>
      <w:ind w:left="1620" w:hanging="360"/>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2"/>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2"/>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4"/>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9"/>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23"/>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7"/>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paragraph" w:customStyle="1" w:styleId="248">
    <w:name w:val="表格文字"/>
    <w:basedOn w:val="22"/>
    <w:next w:val="22"/>
    <w:qFormat/>
    <w:uiPriority w:val="0"/>
    <w:rPr>
      <w:spacing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rPr>
  </w:style>
  <w:style w:type="character" w:customStyle="1" w:styleId="250">
    <w:name w:val="NormalCharacter"/>
    <w:link w:val="251"/>
    <w:qFormat/>
    <w:uiPriority w:val="0"/>
    <w:rPr>
      <w:rFonts w:ascii="Times New Roman" w:hAnsi="Times New Roman" w:eastAsia="宋体" w:cstheme="minorBidi"/>
      <w:kern w:val="2"/>
      <w:sz w:val="21"/>
      <w:szCs w:val="22"/>
      <w:lang w:val="en-US" w:eastAsia="zh-CN" w:bidi="ar-SA"/>
    </w:rPr>
  </w:style>
  <w:style w:type="paragraph" w:customStyle="1" w:styleId="251">
    <w:name w:val="UserStyle_1"/>
    <w:link w:val="250"/>
    <w:qFormat/>
    <w:uiPriority w:val="0"/>
    <w:pPr>
      <w:spacing w:line="240" w:lineRule="atLeast"/>
      <w:ind w:firstLine="200" w:firstLineChars="200"/>
      <w:jc w:val="both"/>
    </w:pPr>
    <w:rPr>
      <w:rFonts w:ascii="Times New Roman" w:hAnsi="Times New Roman" w:eastAsia="宋体" w:cstheme="minorBidi"/>
      <w:kern w:val="2"/>
      <w:sz w:val="21"/>
      <w:szCs w:val="22"/>
      <w:lang w:val="en-US" w:eastAsia="zh-CN" w:bidi="ar-SA"/>
    </w:rPr>
  </w:style>
  <w:style w:type="paragraph" w:customStyle="1" w:styleId="252">
    <w:name w:val="NormalIndent"/>
    <w:basedOn w:val="1"/>
    <w:next w:val="253"/>
    <w:qFormat/>
    <w:uiPriority w:val="99"/>
    <w:pPr>
      <w:ind w:firstLine="420" w:firstLineChars="200"/>
    </w:pPr>
  </w:style>
  <w:style w:type="paragraph" w:customStyle="1" w:styleId="253">
    <w:name w:val="Heading4"/>
    <w:basedOn w:val="1"/>
    <w:next w:val="1"/>
    <w:qFormat/>
    <w:uiPriority w:val="99"/>
    <w:pPr>
      <w:spacing w:before="100" w:beforeAutospacing="1" w:after="100" w:afterAutospacing="1"/>
      <w:jc w:val="left"/>
    </w:pPr>
    <w:rPr>
      <w:rFonts w:ascii="宋体" w:hAnsi="宋体"/>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560</Words>
  <Characters>587</Characters>
  <Lines>157</Lines>
  <Paragraphs>44</Paragraphs>
  <TotalTime>10</TotalTime>
  <ScaleCrop>false</ScaleCrop>
  <LinksUpToDate>false</LinksUpToDate>
  <CharactersWithSpaces>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2025-04-18T09:57:00Z</dcterms:created>
  <dc:creator>罗成</dc:creator>
  <cp:lastModifiedBy>麦迪逊张申</cp:lastModifiedBy>
  <cp:lastPrinted>2024-04-19T10:39:00Z</cp:lastPrinted>
  <dcterms:modified xsi:type="dcterms:W3CDTF">2025-12-29T12:09:59Z</dcterms:modified>
  <dc:title>竞争性谈判文件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8566C4109A4F43D4AEEC014A64D6EE10_13</vt:lpwstr>
  </property>
  <property fmtid="{D5CDD505-2E9C-101B-9397-08002B2CF9AE}" pid="4" name="KSOTemplateDocerSaveRecord">
    <vt:lpwstr>eyJoZGlkIjoiODM1ZWM4NDhiMDQwMmFiZWQzOTBiZTQ3MGZmZGU2NzIiLCJ1c2VySWQiOiIxMzI1NDUyNjQxIn0=</vt:lpwstr>
  </property>
</Properties>
</file>