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E3D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  <w:t>补遗文件（二</w:t>
      </w:r>
      <w:bookmarkStart w:id="5" w:name="_GoBack"/>
      <w:bookmarkEnd w:id="5"/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  <w:t>）</w:t>
      </w:r>
    </w:p>
    <w:p w14:paraId="78AD6A6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各潜在比选申请人：</w:t>
      </w:r>
    </w:p>
    <w:p w14:paraId="1D8A14E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香林华府小区1栋1-3单元电梯换新项目补遗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通知如下：</w:t>
      </w:r>
    </w:p>
    <w:p w14:paraId="6DC38CC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1、原招标文件“第二章 比选申请人须知 比选申请人须知前附表中10.3质保期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：整机质保期5年，整机免费维保期5年（不含年检费）。质保期从重庆市特种设备检测研究院验收合格之日起，质保期内使用配件必须为原厂配件。修改为： 整机质保期5年，整机免费维保期2年（不含年检费）。质保期从重庆市特种设备检测研究院验收合格之日起，质保期内使用配件必须为原厂配件。</w:t>
      </w:r>
    </w:p>
    <w:p w14:paraId="4168B33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2、原招标文件“</w:t>
      </w:r>
      <w:bookmarkStart w:id="0" w:name="_Toc22217"/>
      <w:bookmarkStart w:id="1" w:name="_Toc22375"/>
      <w:bookmarkStart w:id="2" w:name="_Toc2072_WPSOffice_Level1"/>
      <w:bookmarkStart w:id="3" w:name="_Toc493057869"/>
      <w:r>
        <w:rPr>
          <w:rFonts w:hint="eastAsia" w:ascii="宋体" w:hAnsi="宋体" w:eastAsia="宋体"/>
          <w:color w:val="auto"/>
          <w:kern w:val="0"/>
          <w:sz w:val="28"/>
          <w:szCs w:val="28"/>
        </w:rPr>
        <w:t>第三章 评选办法</w:t>
      </w:r>
      <w:bookmarkEnd w:id="0"/>
      <w:bookmarkEnd w:id="1"/>
      <w:bookmarkEnd w:id="2"/>
      <w:bookmarkEnd w:id="3"/>
      <w:r>
        <w:rPr>
          <w:rFonts w:hint="eastAsia" w:ascii="宋体" w:hAnsi="宋体" w:eastAsia="宋体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eastAsia="宋体"/>
          <w:color w:val="auto"/>
          <w:kern w:val="0"/>
          <w:sz w:val="28"/>
          <w:szCs w:val="28"/>
          <w:lang w:eastAsia="zh-CN"/>
        </w:rPr>
        <w:t>综合评标法</w:t>
      </w:r>
      <w:r>
        <w:rPr>
          <w:rFonts w:hint="eastAsia" w:ascii="宋体" w:hAnsi="宋体" w:eastAsia="宋体"/>
          <w:color w:val="auto"/>
          <w:kern w:val="0"/>
          <w:sz w:val="28"/>
          <w:szCs w:val="28"/>
        </w:rPr>
        <w:t>）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三、评审标准”</w:t>
      </w:r>
    </w:p>
    <w:p w14:paraId="0E37C25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（一）评审因素</w:t>
      </w:r>
    </w:p>
    <w:tbl>
      <w:tblPr>
        <w:tblStyle w:val="2"/>
        <w:tblW w:w="49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08"/>
        <w:gridCol w:w="774"/>
        <w:gridCol w:w="5207"/>
        <w:gridCol w:w="1886"/>
      </w:tblGrid>
      <w:tr w14:paraId="1C30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40" w:type="dxa"/>
            <w:noWrap w:val="0"/>
            <w:vAlign w:val="center"/>
          </w:tcPr>
          <w:p w14:paraId="47937F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7B3470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评分因素及权重</w:t>
            </w:r>
          </w:p>
        </w:tc>
        <w:tc>
          <w:tcPr>
            <w:tcW w:w="774" w:type="dxa"/>
            <w:noWrap w:val="0"/>
            <w:vAlign w:val="center"/>
          </w:tcPr>
          <w:p w14:paraId="0A81B6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5208" w:type="dxa"/>
            <w:noWrap w:val="0"/>
            <w:vAlign w:val="center"/>
          </w:tcPr>
          <w:p w14:paraId="380002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886" w:type="dxa"/>
            <w:noWrap w:val="0"/>
            <w:vAlign w:val="center"/>
          </w:tcPr>
          <w:p w14:paraId="667D82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</w:p>
        </w:tc>
      </w:tr>
      <w:tr w14:paraId="7420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noWrap w:val="0"/>
            <w:vAlign w:val="center"/>
          </w:tcPr>
          <w:p w14:paraId="3640E0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4CC4A1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投标报价</w:t>
            </w:r>
          </w:p>
          <w:p w14:paraId="1882B7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0B9FCF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</w:p>
        </w:tc>
        <w:tc>
          <w:tcPr>
            <w:tcW w:w="5208" w:type="dxa"/>
            <w:noWrap w:val="0"/>
            <w:vAlign w:val="center"/>
          </w:tcPr>
          <w:p w14:paraId="08A2BB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所有通过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形式评审、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资格评审和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评审合格的投标人的投标报价的算术平均值为评审基准价。投标报价等于评审基准价的得满分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分。在此基础上，投标总报价与评审准基价相比，每增加1%扣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分，每减少1%扣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分，扣完为止。</w:t>
            </w:r>
          </w:p>
          <w:p w14:paraId="6F2B3E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按插入法计算得分。</w:t>
            </w:r>
          </w:p>
          <w:p w14:paraId="17F35F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以上计算取小数点后两位，第三位四舍五入。</w:t>
            </w:r>
          </w:p>
          <w:p w14:paraId="4537E4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在评审基准价计算完成后（除计算错误外），在后续的评审中不得再对其做出调整。</w:t>
            </w:r>
          </w:p>
        </w:tc>
        <w:tc>
          <w:tcPr>
            <w:tcW w:w="1886" w:type="dxa"/>
            <w:noWrap w:val="0"/>
            <w:vAlign w:val="center"/>
          </w:tcPr>
          <w:p w14:paraId="694791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left="-38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73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restart"/>
            <w:noWrap w:val="0"/>
            <w:vAlign w:val="center"/>
          </w:tcPr>
          <w:p w14:paraId="2C06F9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B5A5D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部分</w:t>
            </w:r>
          </w:p>
          <w:p w14:paraId="5A5758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4C848E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15分</w:t>
            </w:r>
          </w:p>
        </w:tc>
        <w:tc>
          <w:tcPr>
            <w:tcW w:w="5208" w:type="dxa"/>
            <w:noWrap w:val="0"/>
            <w:vAlign w:val="center"/>
          </w:tcPr>
          <w:p w14:paraId="5E9BAB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2C39D7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供应商自行踏勘现场，结合现场条件特点，有针对性的编制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施工方案，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生产周期、运输包装、安装组织施工、质量控制、工期计划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  <w:p w14:paraId="54368C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由评委会对其方案的优劣程度进行横向比较评分，优得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4-9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1-3分，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未提供得0分。</w:t>
            </w:r>
          </w:p>
        </w:tc>
        <w:tc>
          <w:tcPr>
            <w:tcW w:w="1886" w:type="dxa"/>
            <w:noWrap w:val="0"/>
            <w:vAlign w:val="center"/>
          </w:tcPr>
          <w:p w14:paraId="4FCA4A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提供安装施工方案，格式自拟。</w:t>
            </w:r>
          </w:p>
          <w:p w14:paraId="390EA2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评委评分取算术平均值为该投标人施工方案得分。</w:t>
            </w:r>
          </w:p>
        </w:tc>
      </w:tr>
      <w:tr w14:paraId="4E62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  <w:noWrap w:val="0"/>
            <w:vAlign w:val="center"/>
          </w:tcPr>
          <w:p w14:paraId="235990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A2559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ED194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6分</w:t>
            </w:r>
          </w:p>
        </w:tc>
        <w:tc>
          <w:tcPr>
            <w:tcW w:w="5208" w:type="dxa"/>
            <w:noWrap w:val="0"/>
            <w:vAlign w:val="center"/>
          </w:tcPr>
          <w:p w14:paraId="15532C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所投产品主机、控制柜、调速装置、控制装置、层门门锁、轿门门锁、限速器、安全钳、安全电路、上行超速保护装置、轿厢意外移动保护装置、缓冲器为原厂原品牌制造的，每项得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1886" w:type="dxa"/>
            <w:noWrap w:val="0"/>
            <w:vAlign w:val="center"/>
          </w:tcPr>
          <w:p w14:paraId="6CEEE1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需提供整机型式试验报告并加盖供应商公章</w:t>
            </w:r>
          </w:p>
        </w:tc>
      </w:tr>
      <w:tr w14:paraId="5F5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40" w:type="dxa"/>
            <w:vMerge w:val="continue"/>
            <w:noWrap w:val="0"/>
            <w:vAlign w:val="center"/>
          </w:tcPr>
          <w:p w14:paraId="6C4F81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C59AC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A7EA3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56D9EC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投标产品电梯光幕对光幕防护等级和光束数目进行横向对比，达到IP65且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分，达到IP6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其他不得分。</w:t>
            </w:r>
          </w:p>
        </w:tc>
        <w:tc>
          <w:tcPr>
            <w:tcW w:w="1886" w:type="dxa"/>
            <w:noWrap w:val="0"/>
            <w:vAlign w:val="center"/>
          </w:tcPr>
          <w:p w14:paraId="5A4F3E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4F58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40" w:type="dxa"/>
            <w:vMerge w:val="continue"/>
            <w:noWrap w:val="0"/>
            <w:vAlign w:val="center"/>
          </w:tcPr>
          <w:p w14:paraId="3CBD20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5DE77A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2C4B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5ADC11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所投产品门机防护等级为IP65及以上得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分,门机防护等级为IP54得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2C6038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7C09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restart"/>
            <w:noWrap w:val="0"/>
            <w:vAlign w:val="center"/>
          </w:tcPr>
          <w:p w14:paraId="2BCD4D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EF872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商务部分</w:t>
            </w:r>
          </w:p>
          <w:p w14:paraId="6CF0AD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2673C9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  <w:tc>
          <w:tcPr>
            <w:tcW w:w="5208" w:type="dxa"/>
            <w:noWrap w:val="0"/>
            <w:vAlign w:val="center"/>
          </w:tcPr>
          <w:p w14:paraId="0C239B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售后服务方案</w:t>
            </w:r>
          </w:p>
          <w:p w14:paraId="52C2A3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根据项目具体实际情况，撰写制订售后服务方案（方案包括：售后服务团队介绍、售后服务专用工具、售后服务应急措施、售后服务承诺、售后服务日常工作等），加盖竞选人公章。</w:t>
            </w:r>
          </w:p>
          <w:p w14:paraId="5C7AA6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①方案真实完整、详细、可操作性强，工作内容、方法完善合理与本项目相适应，得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6-10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46BD99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②方案较完整、详细、可操作性一般，工作内容、方法较清晰合理与本项目相适应，得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3-5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30B53B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③方案基本完整、详细、可操作性弱，工作内容、方法基本清晰合理与本项目相适应，得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7ED5F3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④无方案，得0分。</w:t>
            </w:r>
          </w:p>
        </w:tc>
        <w:tc>
          <w:tcPr>
            <w:tcW w:w="1886" w:type="dxa"/>
            <w:noWrap w:val="0"/>
            <w:vAlign w:val="center"/>
          </w:tcPr>
          <w:p w14:paraId="106E3B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投标人自拟售后服务方案。</w:t>
            </w:r>
          </w:p>
          <w:p w14:paraId="650CBB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评委评分取算术平均值为该投标人售后服务方案得分。</w:t>
            </w:r>
          </w:p>
        </w:tc>
      </w:tr>
      <w:tr w14:paraId="661C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0" w:type="dxa"/>
            <w:vMerge w:val="continue"/>
            <w:noWrap w:val="0"/>
            <w:vAlign w:val="center"/>
          </w:tcPr>
          <w:p w14:paraId="1E913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6D817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B1F60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8" w:type="dxa"/>
            <w:noWrap w:val="0"/>
            <w:vAlign w:val="center"/>
          </w:tcPr>
          <w:p w14:paraId="600747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所投品牌电梯制造商2022年度-2024年度主营业务收入≥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分；主营业务收入≥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分；主营业务收入≥100亿元＜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150得1分，其余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55B44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需提供2022年度-2024年度经会计师事务所或审计机构审计的有效财务审计报告，包括现金流量表、利润表、资产负债表的复印件加盖供应商公章。</w:t>
            </w:r>
          </w:p>
        </w:tc>
      </w:tr>
      <w:tr w14:paraId="7A6F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0" w:type="dxa"/>
            <w:vMerge w:val="continue"/>
            <w:noWrap w:val="0"/>
            <w:vAlign w:val="center"/>
          </w:tcPr>
          <w:p w14:paraId="12C68A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0DB02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8BDB2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8" w:type="dxa"/>
            <w:noWrap w:val="0"/>
            <w:vAlign w:val="center"/>
          </w:tcPr>
          <w:p w14:paraId="7CC478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电梯代理商纳税等级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近三年连续三年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为A级得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连续2年为A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其余不得分</w:t>
            </w:r>
          </w:p>
        </w:tc>
        <w:tc>
          <w:tcPr>
            <w:tcW w:w="1886" w:type="dxa"/>
            <w:noWrap w:val="0"/>
            <w:vAlign w:val="center"/>
          </w:tcPr>
          <w:p w14:paraId="36059F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提供有效的证明材料，并加盖供应商公章。</w:t>
            </w:r>
          </w:p>
        </w:tc>
      </w:tr>
      <w:tr w14:paraId="2AE3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40" w:type="dxa"/>
            <w:vMerge w:val="continue"/>
            <w:noWrap w:val="0"/>
            <w:vAlign w:val="center"/>
          </w:tcPr>
          <w:p w14:paraId="270ADD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44B3C0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F9328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20488F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电梯代理商社保缴纳人数≥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0人＜人数≤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0D7EA5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提供供应商近3个月的社保证明材料，并加盖供应商公章。</w:t>
            </w:r>
          </w:p>
        </w:tc>
      </w:tr>
      <w:tr w14:paraId="124F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40" w:type="dxa"/>
            <w:vMerge w:val="continue"/>
            <w:noWrap w:val="0"/>
            <w:vAlign w:val="center"/>
          </w:tcPr>
          <w:p w14:paraId="27D450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583356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E5526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228615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特种设备操作人员人数≥20人得2分，20人＜人数≤10人的得1分，其余不得分。</w:t>
            </w:r>
          </w:p>
        </w:tc>
        <w:tc>
          <w:tcPr>
            <w:tcW w:w="1886" w:type="dxa"/>
            <w:noWrap w:val="0"/>
            <w:vAlign w:val="center"/>
          </w:tcPr>
          <w:p w14:paraId="03BB2A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提供特种设备操作证及供应商为其缴纳社保证明材料，并加盖供应商公章。</w:t>
            </w:r>
          </w:p>
        </w:tc>
      </w:tr>
      <w:tr w14:paraId="2D22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40" w:type="dxa"/>
            <w:vMerge w:val="continue"/>
            <w:noWrap w:val="0"/>
            <w:vAlign w:val="center"/>
          </w:tcPr>
          <w:p w14:paraId="6E841E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1054F1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4010C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4分</w:t>
            </w:r>
          </w:p>
        </w:tc>
        <w:tc>
          <w:tcPr>
            <w:tcW w:w="5208" w:type="dxa"/>
            <w:noWrap w:val="0"/>
            <w:vAlign w:val="center"/>
          </w:tcPr>
          <w:p w14:paraId="211F8A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供应商提供自2024年1月1日至询比截止日期间的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100万及以上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电梯供货安装业绩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提供的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电梯业绩需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是此次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品牌及梯型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，提供1个的得1分，最高得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</w:t>
            </w:r>
          </w:p>
        </w:tc>
        <w:tc>
          <w:tcPr>
            <w:tcW w:w="1886" w:type="dxa"/>
            <w:noWrap w:val="0"/>
            <w:vAlign w:val="center"/>
          </w:tcPr>
          <w:p w14:paraId="097957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提供合同复印件并加盖供应商公章</w:t>
            </w:r>
          </w:p>
        </w:tc>
      </w:tr>
      <w:tr w14:paraId="4E4D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40" w:type="dxa"/>
            <w:vMerge w:val="continue"/>
            <w:noWrap w:val="0"/>
            <w:vAlign w:val="center"/>
          </w:tcPr>
          <w:p w14:paraId="6B416F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5D24BE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0A23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1分</w:t>
            </w:r>
          </w:p>
        </w:tc>
        <w:tc>
          <w:tcPr>
            <w:tcW w:w="5208" w:type="dxa"/>
            <w:noWrap w:val="0"/>
            <w:vAlign w:val="center"/>
          </w:tcPr>
          <w:p w14:paraId="29A337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在满足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整机免费维保期5年（不含年检费）的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基础上，每增加1年免费维保时间得0.5分，最高得1分。</w:t>
            </w:r>
          </w:p>
        </w:tc>
        <w:tc>
          <w:tcPr>
            <w:tcW w:w="1886" w:type="dxa"/>
            <w:noWrap w:val="0"/>
            <w:vAlign w:val="center"/>
          </w:tcPr>
          <w:p w14:paraId="30E0FD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提供维保时间承诺函。</w:t>
            </w:r>
          </w:p>
        </w:tc>
      </w:tr>
    </w:tbl>
    <w:p w14:paraId="212809C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26E8AB4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修改为：</w:t>
      </w:r>
    </w:p>
    <w:p w14:paraId="56DBEFD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（一）评审因素</w:t>
      </w:r>
    </w:p>
    <w:tbl>
      <w:tblPr>
        <w:tblStyle w:val="2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08"/>
        <w:gridCol w:w="774"/>
        <w:gridCol w:w="5203"/>
        <w:gridCol w:w="1886"/>
      </w:tblGrid>
      <w:tr w14:paraId="337C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36" w:type="dxa"/>
            <w:noWrap w:val="0"/>
            <w:vAlign w:val="center"/>
          </w:tcPr>
          <w:p w14:paraId="5F6485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4" w:name="_Hlk142327729"/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411DFF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评分因素及权重</w:t>
            </w:r>
          </w:p>
        </w:tc>
        <w:tc>
          <w:tcPr>
            <w:tcW w:w="774" w:type="dxa"/>
            <w:noWrap w:val="0"/>
            <w:vAlign w:val="center"/>
          </w:tcPr>
          <w:p w14:paraId="069B87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5204" w:type="dxa"/>
            <w:noWrap w:val="0"/>
            <w:vAlign w:val="center"/>
          </w:tcPr>
          <w:p w14:paraId="5F35FC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886" w:type="dxa"/>
            <w:noWrap w:val="0"/>
            <w:vAlign w:val="center"/>
          </w:tcPr>
          <w:p w14:paraId="201211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</w:p>
        </w:tc>
      </w:tr>
      <w:tr w14:paraId="0DC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6" w:type="dxa"/>
            <w:noWrap w:val="0"/>
            <w:vAlign w:val="center"/>
          </w:tcPr>
          <w:p w14:paraId="4FB28B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16BD1C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投标报价</w:t>
            </w:r>
          </w:p>
          <w:p w14:paraId="7B982F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102E22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</w:p>
        </w:tc>
        <w:tc>
          <w:tcPr>
            <w:tcW w:w="5204" w:type="dxa"/>
            <w:noWrap w:val="0"/>
            <w:vAlign w:val="center"/>
          </w:tcPr>
          <w:p w14:paraId="23A3D5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所有通过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形式评审、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资格评审和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评审合格的投标人的投标报价的算术平均值为评审基准价。投标报价等于评审基准价的得满分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分。在此基础上，投标总报价与评审准基价相比，每增加1%扣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分，每减少1%扣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分，扣完为止。</w:t>
            </w:r>
          </w:p>
          <w:p w14:paraId="10B8BA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按插入法计算得分。</w:t>
            </w:r>
          </w:p>
          <w:p w14:paraId="41C090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以上计算取小数点后两位，第三位四舍五入。</w:t>
            </w:r>
          </w:p>
          <w:p w14:paraId="2E5B60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在评审基准价计算完成后（除计算错误外），在后续的评审中不得再对其做出调整。</w:t>
            </w:r>
          </w:p>
        </w:tc>
        <w:tc>
          <w:tcPr>
            <w:tcW w:w="1886" w:type="dxa"/>
            <w:noWrap w:val="0"/>
            <w:vAlign w:val="center"/>
          </w:tcPr>
          <w:p w14:paraId="314143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left="-38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B8A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restart"/>
            <w:noWrap w:val="0"/>
            <w:vAlign w:val="center"/>
          </w:tcPr>
          <w:p w14:paraId="560C5E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54D616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部分</w:t>
            </w:r>
          </w:p>
          <w:p w14:paraId="5DE3DA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4F3FDA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15分</w:t>
            </w:r>
          </w:p>
        </w:tc>
        <w:tc>
          <w:tcPr>
            <w:tcW w:w="5204" w:type="dxa"/>
            <w:noWrap w:val="0"/>
            <w:vAlign w:val="center"/>
          </w:tcPr>
          <w:p w14:paraId="7B824C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00A164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供应商自行踏勘现场，结合现场条件特点，有针对性的编制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施工方案，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生产周期、运输包装、安装组织施工、质量控制、工期计划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  <w:p w14:paraId="439C88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由评委会对其方案的优劣程度进行横向比较评分，优得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4-9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1-3分，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未提供得0分。</w:t>
            </w:r>
          </w:p>
        </w:tc>
        <w:tc>
          <w:tcPr>
            <w:tcW w:w="1886" w:type="dxa"/>
            <w:noWrap w:val="0"/>
            <w:vAlign w:val="center"/>
          </w:tcPr>
          <w:p w14:paraId="067C81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提供安装施工方案，格式自拟。</w:t>
            </w:r>
          </w:p>
          <w:p w14:paraId="541A6E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评委评分取算术平均值为该投标人施工方案得分。</w:t>
            </w:r>
          </w:p>
        </w:tc>
      </w:tr>
      <w:tr w14:paraId="1A4A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continue"/>
            <w:noWrap w:val="0"/>
            <w:vAlign w:val="center"/>
          </w:tcPr>
          <w:p w14:paraId="4CB9DB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252731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A0533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6分</w:t>
            </w:r>
          </w:p>
        </w:tc>
        <w:tc>
          <w:tcPr>
            <w:tcW w:w="5204" w:type="dxa"/>
            <w:noWrap w:val="0"/>
            <w:vAlign w:val="center"/>
          </w:tcPr>
          <w:p w14:paraId="5BD8FF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所投产品主机、控制柜、调速装置、控制装置、层门门锁、轿门门锁、限速器、安全钳、安全电路、上行超速保护装置、轿厢意外移动保护装置、缓冲器为原厂原品牌制造的，每项得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1886" w:type="dxa"/>
            <w:noWrap w:val="0"/>
            <w:vAlign w:val="center"/>
          </w:tcPr>
          <w:p w14:paraId="1B3FAD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需提供整机型式试验报告并加盖供应商公章</w:t>
            </w:r>
          </w:p>
        </w:tc>
      </w:tr>
      <w:tr w14:paraId="2282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36" w:type="dxa"/>
            <w:vMerge w:val="continue"/>
            <w:noWrap w:val="0"/>
            <w:vAlign w:val="center"/>
          </w:tcPr>
          <w:p w14:paraId="20933B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62DA99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0155C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4E915B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投标产品电梯光幕对光幕防护等级和光束数目进行横向对比，达到IP65且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分，达到IP6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其他不得分。</w:t>
            </w:r>
          </w:p>
        </w:tc>
        <w:tc>
          <w:tcPr>
            <w:tcW w:w="1886" w:type="dxa"/>
            <w:noWrap w:val="0"/>
            <w:vAlign w:val="center"/>
          </w:tcPr>
          <w:p w14:paraId="70A076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59C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36" w:type="dxa"/>
            <w:vMerge w:val="continue"/>
            <w:noWrap w:val="0"/>
            <w:vAlign w:val="center"/>
          </w:tcPr>
          <w:p w14:paraId="042198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2669C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09E52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2414B3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所投产品门机防护等级为IP65及以上得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分,门机防护等级为IP54得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324F4D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02E2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</w:trPr>
        <w:tc>
          <w:tcPr>
            <w:tcW w:w="836" w:type="dxa"/>
            <w:vMerge w:val="restart"/>
            <w:noWrap w:val="0"/>
            <w:vAlign w:val="center"/>
          </w:tcPr>
          <w:p w14:paraId="4ACFF6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9BE00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商务部分</w:t>
            </w:r>
          </w:p>
          <w:p w14:paraId="3B6DEC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2B680B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13分</w:t>
            </w:r>
          </w:p>
        </w:tc>
        <w:tc>
          <w:tcPr>
            <w:tcW w:w="5204" w:type="dxa"/>
            <w:noWrap w:val="0"/>
            <w:vAlign w:val="center"/>
          </w:tcPr>
          <w:p w14:paraId="1D3E0C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售后服务方案</w:t>
            </w:r>
          </w:p>
          <w:p w14:paraId="7DFD5D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根据项目具体实际情况，撰写制订售后服务方案（方案包括：售后服务团队介绍、售后服务专用工具、售后服务应急措施、售后服务承诺、售后服务日常工作等），加盖竞选人公章。</w:t>
            </w:r>
          </w:p>
          <w:p w14:paraId="14CE22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①方案真实完整、详细、可操作性强，工作内容、方法完善合理与本项目相适应，得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6-13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59A557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②方案较完整、详细、可操作性一般，工作内容、方法较清晰合理与本项目相适应，得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3-5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37F26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③方案基本完整、详细、可操作性弱，工作内容、方法基本清晰合理与本项目相适应，得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66A623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④无方案，得0分。</w:t>
            </w:r>
          </w:p>
        </w:tc>
        <w:tc>
          <w:tcPr>
            <w:tcW w:w="1886" w:type="dxa"/>
            <w:noWrap w:val="0"/>
            <w:vAlign w:val="center"/>
          </w:tcPr>
          <w:p w14:paraId="18489C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投标人自拟售后服务方案。</w:t>
            </w:r>
          </w:p>
          <w:p w14:paraId="0CB18E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评委评分取算术平均值为该投标人售后服务方案得分。</w:t>
            </w:r>
          </w:p>
        </w:tc>
      </w:tr>
      <w:tr w14:paraId="3067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F1DC6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77DC3E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5DC33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4" w:type="dxa"/>
            <w:noWrap w:val="0"/>
            <w:vAlign w:val="center"/>
          </w:tcPr>
          <w:p w14:paraId="767BA9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电梯代理商纳税等级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近三年连续三年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为A级得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连续2年为A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其余不得分</w:t>
            </w:r>
          </w:p>
        </w:tc>
        <w:tc>
          <w:tcPr>
            <w:tcW w:w="1886" w:type="dxa"/>
            <w:noWrap w:val="0"/>
            <w:vAlign w:val="center"/>
          </w:tcPr>
          <w:p w14:paraId="2277A4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提供有效的证明材料，并加盖供应商公章。</w:t>
            </w:r>
          </w:p>
        </w:tc>
      </w:tr>
      <w:tr w14:paraId="423C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E5B4D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1F6884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79BCD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3A2C0D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电梯代理商社保缴纳人数≥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0人＜人数≤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74580A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提供供应商近3个月的社保证明材料，并加盖供应商公章。</w:t>
            </w:r>
          </w:p>
        </w:tc>
      </w:tr>
      <w:tr w14:paraId="1265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36" w:type="dxa"/>
            <w:vMerge w:val="continue"/>
            <w:noWrap w:val="0"/>
            <w:vAlign w:val="center"/>
          </w:tcPr>
          <w:p w14:paraId="07618D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411A74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848E2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5B2875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特种设备操作人员人数≥20人得2分，20人＜人数≤10人的得1分，其余不得分。</w:t>
            </w:r>
          </w:p>
        </w:tc>
        <w:tc>
          <w:tcPr>
            <w:tcW w:w="1886" w:type="dxa"/>
            <w:noWrap w:val="0"/>
            <w:vAlign w:val="center"/>
          </w:tcPr>
          <w:p w14:paraId="5E941B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提供特种设备操作证及供应商为其缴纳社保证明材料，并加盖供应商公章。</w:t>
            </w:r>
          </w:p>
        </w:tc>
      </w:tr>
      <w:tr w14:paraId="5ED9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C45D6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626480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CB1B9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4分</w:t>
            </w:r>
          </w:p>
        </w:tc>
        <w:tc>
          <w:tcPr>
            <w:tcW w:w="5204" w:type="dxa"/>
            <w:noWrap w:val="0"/>
            <w:vAlign w:val="center"/>
          </w:tcPr>
          <w:p w14:paraId="79C20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供应商提供自2024年1月1日至询比截止日期间的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100万及以上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电梯供货安装业绩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提供的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电梯业绩需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是此次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品牌及梯型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，提供1个的得1分，最高得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</w:t>
            </w:r>
          </w:p>
        </w:tc>
        <w:tc>
          <w:tcPr>
            <w:tcW w:w="1886" w:type="dxa"/>
            <w:noWrap w:val="0"/>
            <w:vAlign w:val="center"/>
          </w:tcPr>
          <w:p w14:paraId="1FDA08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提供合同复印件并加盖供应商公章</w:t>
            </w:r>
          </w:p>
        </w:tc>
      </w:tr>
      <w:tr w14:paraId="6D8C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36" w:type="dxa"/>
            <w:vMerge w:val="continue"/>
            <w:noWrap w:val="0"/>
            <w:vAlign w:val="center"/>
          </w:tcPr>
          <w:p w14:paraId="28235E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4E6997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BE424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1分</w:t>
            </w:r>
          </w:p>
        </w:tc>
        <w:tc>
          <w:tcPr>
            <w:tcW w:w="5204" w:type="dxa"/>
            <w:noWrap w:val="0"/>
            <w:vAlign w:val="center"/>
          </w:tcPr>
          <w:p w14:paraId="479B46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在满足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整机质保期5年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基础上，每增加1年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整机质保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时间得0.5分，最高得1分。</w:t>
            </w:r>
          </w:p>
        </w:tc>
        <w:tc>
          <w:tcPr>
            <w:tcW w:w="1886" w:type="dxa"/>
            <w:noWrap w:val="0"/>
            <w:vAlign w:val="center"/>
          </w:tcPr>
          <w:p w14:paraId="36C24E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整机质保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时间承诺函。</w:t>
            </w:r>
          </w:p>
        </w:tc>
      </w:tr>
      <w:bookmarkEnd w:id="4"/>
    </w:tbl>
    <w:p w14:paraId="680C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若招标文件与补遗文件不一致，以本次补遗文件为准。</w:t>
      </w:r>
    </w:p>
    <w:p w14:paraId="5498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42FAB"/>
    <w:rsid w:val="37242FAB"/>
    <w:rsid w:val="3FB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2025-10-24T02:12:00Z</dcterms:created>
  <dc:creator>hj</dc:creator>
  <cp:lastModifiedBy>hj</cp:lastModifiedBy>
  <dcterms:modified xsi:type="dcterms:W3CDTF">2025-10-24T02:17:34Z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F3CC4282C017403984562D04BD2B4198_11</vt:lpwstr>
  </property>
  <property fmtid="{D5CDD505-2E9C-101B-9397-08002B2CF9AE}" pid="4" name="KSOTemplateDocerSaveRecord">
    <vt:lpwstr>eyJoZGlkIjoiNTgyM2I2NDY1ZjNmMzExMDA1OWMyNzkzMTE1OGEzMDYiLCJ1c2VySWQiOiIyNjUxNDEzNzYifQ==</vt:lpwstr>
  </property>
</Properties>
</file>