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D249A">
      <w:pPr>
        <w:tabs>
          <w:tab w:val="left" w:pos="4174"/>
        </w:tabs>
        <w:jc w:val="left"/>
        <w:rPr>
          <w:rFonts w:hint="eastAsia" w:ascii="宋体" w:hAnsi="宋体" w:cs="宋体"/>
          <w:color w:val="auto"/>
          <w:sz w:val="24"/>
          <w:szCs w:val="24"/>
          <w:highlight w:val="none"/>
        </w:rPr>
      </w:pPr>
    </w:p>
    <w:p w14:paraId="1EDF7044">
      <w:pPr>
        <w:tabs>
          <w:tab w:val="left" w:pos="4174"/>
        </w:tabs>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C9F0FBB">
      <w:pPr>
        <w:jc w:val="center"/>
        <w:outlineLvl w:val="0"/>
        <w:rPr>
          <w:rFonts w:ascii="宋体" w:hAnsi="宋体" w:cs="宋体"/>
          <w:color w:val="auto"/>
          <w:spacing w:val="80"/>
          <w:sz w:val="96"/>
          <w:szCs w:val="96"/>
          <w:highlight w:val="none"/>
        </w:rPr>
      </w:pPr>
      <w:r>
        <w:rPr>
          <w:rFonts w:hint="eastAsia" w:ascii="宋体" w:hAnsi="宋体" w:cs="宋体"/>
          <w:color w:val="auto"/>
          <w:spacing w:val="80"/>
          <w:sz w:val="96"/>
          <w:szCs w:val="96"/>
          <w:highlight w:val="none"/>
        </w:rPr>
        <w:t>竞争性磋商文件</w:t>
      </w:r>
    </w:p>
    <w:p w14:paraId="3EE5FFEE">
      <w:pPr>
        <w:tabs>
          <w:tab w:val="center" w:pos="4766"/>
          <w:tab w:val="right" w:pos="9412"/>
        </w:tabs>
        <w:jc w:val="left"/>
        <w:rPr>
          <w:rFonts w:ascii="宋体" w:hAnsi="宋体" w:cs="宋体"/>
          <w:color w:val="auto"/>
          <w:sz w:val="40"/>
          <w:szCs w:val="40"/>
          <w:highlight w:val="none"/>
        </w:rPr>
      </w:pPr>
      <w:r>
        <w:rPr>
          <w:rFonts w:hint="eastAsia" w:ascii="宋体" w:hAnsi="宋体" w:cs="宋体"/>
          <w:color w:val="auto"/>
          <w:sz w:val="40"/>
          <w:szCs w:val="40"/>
          <w:highlight w:val="none"/>
        </w:rPr>
        <w:tab/>
      </w:r>
    </w:p>
    <w:p w14:paraId="00A90A4B">
      <w:pPr>
        <w:tabs>
          <w:tab w:val="center" w:pos="4766"/>
          <w:tab w:val="right" w:pos="9412"/>
        </w:tabs>
        <w:jc w:val="left"/>
        <w:rPr>
          <w:rFonts w:ascii="宋体" w:hAnsi="宋体" w:cs="宋体"/>
          <w:color w:val="auto"/>
          <w:sz w:val="40"/>
          <w:szCs w:val="40"/>
          <w:highlight w:val="none"/>
        </w:rPr>
      </w:pPr>
    </w:p>
    <w:p w14:paraId="2DAACD76">
      <w:pPr>
        <w:tabs>
          <w:tab w:val="center" w:pos="4766"/>
          <w:tab w:val="right" w:pos="9412"/>
        </w:tabs>
        <w:jc w:val="left"/>
        <w:rPr>
          <w:rFonts w:ascii="宋体" w:hAnsi="宋体" w:cs="宋体"/>
          <w:color w:val="auto"/>
          <w:sz w:val="40"/>
          <w:szCs w:val="40"/>
          <w:highlight w:val="none"/>
        </w:rPr>
      </w:pPr>
    </w:p>
    <w:p w14:paraId="4B492B9C">
      <w:pPr>
        <w:tabs>
          <w:tab w:val="center" w:pos="4766"/>
          <w:tab w:val="right" w:pos="9412"/>
        </w:tabs>
        <w:jc w:val="center"/>
        <w:rPr>
          <w:rFonts w:ascii="宋体" w:hAnsi="宋体" w:cs="宋体"/>
          <w:color w:val="auto"/>
          <w:sz w:val="40"/>
          <w:szCs w:val="40"/>
          <w:highlight w:val="none"/>
        </w:rPr>
      </w:pPr>
      <w:r>
        <w:rPr>
          <w:rFonts w:hint="eastAsia" w:ascii="宋体" w:hAnsi="宋体" w:cs="宋体"/>
          <w:color w:val="auto"/>
          <w:sz w:val="40"/>
          <w:szCs w:val="40"/>
          <w:highlight w:val="none"/>
        </w:rPr>
        <w:drawing>
          <wp:inline distT="0" distB="0" distL="114300" distR="114300">
            <wp:extent cx="1905000" cy="1762125"/>
            <wp:effectExtent l="0" t="0" r="0" b="9525"/>
            <wp:docPr id="1" name="图片 1" descr="fbe40ee4982cf200ef9ed2230b20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e40ee4982cf200ef9ed2230b20b83"/>
                    <pic:cNvPicPr>
                      <a:picLocks noChangeAspect="1"/>
                    </pic:cNvPicPr>
                  </pic:nvPicPr>
                  <pic:blipFill>
                    <a:blip r:embed="rId20"/>
                    <a:stretch>
                      <a:fillRect/>
                    </a:stretch>
                  </pic:blipFill>
                  <pic:spPr>
                    <a:xfrm>
                      <a:off x="0" y="0"/>
                      <a:ext cx="1905000" cy="1762125"/>
                    </a:xfrm>
                    <a:prstGeom prst="rect">
                      <a:avLst/>
                    </a:prstGeom>
                  </pic:spPr>
                </pic:pic>
              </a:graphicData>
            </a:graphic>
          </wp:inline>
        </w:drawing>
      </w:r>
    </w:p>
    <w:p w14:paraId="2CBA43B9">
      <w:pPr>
        <w:spacing w:line="700" w:lineRule="exact"/>
        <w:rPr>
          <w:rFonts w:ascii="宋体" w:hAnsi="宋体" w:cs="宋体"/>
          <w:color w:val="auto"/>
          <w:sz w:val="32"/>
          <w:szCs w:val="32"/>
          <w:highlight w:val="none"/>
        </w:rPr>
      </w:pPr>
    </w:p>
    <w:p w14:paraId="61354876">
      <w:pPr>
        <w:spacing w:line="700" w:lineRule="exact"/>
        <w:ind w:firstLine="960" w:firstLineChars="300"/>
        <w:rPr>
          <w:rFonts w:ascii="宋体" w:hAnsi="宋体" w:cs="宋体"/>
          <w:color w:val="auto"/>
          <w:sz w:val="32"/>
          <w:szCs w:val="32"/>
          <w:highlight w:val="none"/>
        </w:rPr>
      </w:pPr>
    </w:p>
    <w:p w14:paraId="604197A3">
      <w:pPr>
        <w:spacing w:line="700" w:lineRule="exact"/>
        <w:ind w:firstLine="1280" w:firstLineChars="400"/>
        <w:rPr>
          <w:rFonts w:hint="eastAsia" w:ascii="宋体" w:hAnsi="宋体" w:eastAsia="宋体" w:cs="宋体"/>
          <w:color w:val="auto"/>
          <w:sz w:val="32"/>
          <w:szCs w:val="32"/>
          <w:highlight w:val="none"/>
        </w:rPr>
      </w:pPr>
      <w:r>
        <w:rPr>
          <w:rFonts w:hint="eastAsia" w:ascii="宋体" w:hAnsi="宋体" w:cs="宋体"/>
          <w:color w:val="auto"/>
          <w:sz w:val="32"/>
          <w:szCs w:val="32"/>
          <w:highlight w:val="none"/>
          <w:lang w:val="en-US" w:eastAsia="zh-CN"/>
        </w:rPr>
        <w:t xml:space="preserve"> </w:t>
      </w:r>
      <w:r>
        <w:rPr>
          <w:rFonts w:hint="eastAsia" w:ascii="宋体" w:hAnsi="宋体" w:cs="宋体"/>
          <w:color w:val="auto"/>
          <w:sz w:val="32"/>
          <w:szCs w:val="32"/>
          <w:highlight w:val="none"/>
        </w:rPr>
        <w:t xml:space="preserve"> </w:t>
      </w:r>
    </w:p>
    <w:p w14:paraId="715F38D0">
      <w:pPr>
        <w:spacing w:line="360" w:lineRule="auto"/>
        <w:ind w:firstLine="1120" w:firstLineChars="350"/>
        <w:outlineLvl w:val="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项目执行编号:DCZB-CQ-1273</w:t>
      </w:r>
    </w:p>
    <w:p w14:paraId="78245F50">
      <w:pPr>
        <w:spacing w:line="360" w:lineRule="auto"/>
        <w:ind w:firstLine="1120" w:firstLineChars="350"/>
        <w:outlineLvl w:val="0"/>
        <w:rPr>
          <w:rFonts w:ascii="宋体" w:hAnsi="宋体" w:cs="宋体"/>
          <w:color w:val="auto"/>
          <w:sz w:val="32"/>
          <w:szCs w:val="32"/>
          <w:highlight w:val="none"/>
        </w:rPr>
      </w:pPr>
      <w:r>
        <w:rPr>
          <w:rFonts w:hint="eastAsia" w:ascii="宋体" w:hAnsi="宋体" w:eastAsia="宋体" w:cs="宋体"/>
          <w:color w:val="auto"/>
          <w:sz w:val="32"/>
          <w:szCs w:val="32"/>
          <w:highlight w:val="none"/>
        </w:rPr>
        <w:t>项</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目</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名</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称：</w:t>
      </w:r>
      <w:r>
        <w:rPr>
          <w:rFonts w:hint="eastAsia" w:ascii="宋体" w:hAnsi="宋体" w:cs="宋体"/>
          <w:color w:val="auto"/>
          <w:sz w:val="32"/>
          <w:szCs w:val="32"/>
          <w:highlight w:val="none"/>
          <w:lang w:eastAsia="zh-CN"/>
        </w:rPr>
        <w:t>2025年忠县流动人员人事档案数字处理和维护项目</w:t>
      </w:r>
    </w:p>
    <w:p w14:paraId="16755E42">
      <w:pPr>
        <w:spacing w:line="360" w:lineRule="auto"/>
        <w:ind w:firstLine="960" w:firstLineChars="300"/>
        <w:rPr>
          <w:rFonts w:ascii="宋体" w:hAnsi="宋体" w:cs="宋体"/>
          <w:color w:val="auto"/>
          <w:sz w:val="32"/>
          <w:szCs w:val="32"/>
          <w:highlight w:val="none"/>
        </w:rPr>
      </w:pPr>
    </w:p>
    <w:p w14:paraId="003DF0EB">
      <w:pPr>
        <w:spacing w:line="360" w:lineRule="auto"/>
        <w:ind w:firstLine="1280" w:firstLineChars="400"/>
        <w:rPr>
          <w:rFonts w:hint="default" w:ascii="宋体" w:hAnsi="宋体" w:eastAsia="宋体" w:cs="宋体"/>
          <w:color w:val="auto"/>
          <w:sz w:val="32"/>
          <w:szCs w:val="32"/>
          <w:highlight w:val="none"/>
          <w:lang w:val="en-US" w:eastAsia="zh-CN"/>
        </w:rPr>
      </w:pPr>
      <w:r>
        <w:rPr>
          <w:rFonts w:hint="eastAsia" w:ascii="宋体" w:hAnsi="宋体" w:cs="宋体"/>
          <w:color w:val="auto"/>
          <w:sz w:val="32"/>
          <w:szCs w:val="32"/>
          <w:highlight w:val="none"/>
        </w:rPr>
        <w:t>采   购   人：</w:t>
      </w:r>
      <w:r>
        <w:rPr>
          <w:rFonts w:hint="eastAsia" w:ascii="宋体" w:hAnsi="宋体" w:eastAsia="宋体" w:cs="宋体"/>
          <w:color w:val="auto"/>
          <w:sz w:val="32"/>
          <w:szCs w:val="32"/>
          <w:highlight w:val="none"/>
          <w:lang w:eastAsia="zh-CN"/>
        </w:rPr>
        <w:t>忠县就业和人才中心</w:t>
      </w:r>
      <w:r>
        <w:rPr>
          <w:rFonts w:hint="eastAsia" w:ascii="宋体" w:hAnsi="宋体" w:cs="宋体"/>
          <w:color w:val="auto"/>
          <w:sz w:val="32"/>
          <w:szCs w:val="32"/>
          <w:highlight w:val="none"/>
          <w:lang w:val="en-US" w:eastAsia="zh-CN"/>
        </w:rPr>
        <w:t xml:space="preserve"> </w:t>
      </w:r>
    </w:p>
    <w:p w14:paraId="27266A07">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采购代理机构：重庆鼎创招标代理有限公司</w:t>
      </w:r>
    </w:p>
    <w:p w14:paraId="0EA875F2">
      <w:pPr>
        <w:spacing w:line="700" w:lineRule="exact"/>
        <w:rPr>
          <w:rFonts w:hint="eastAsia" w:ascii="宋体" w:hAnsi="宋体" w:cs="宋体"/>
          <w:color w:val="auto"/>
          <w:sz w:val="32"/>
          <w:szCs w:val="32"/>
          <w:highlight w:val="none"/>
        </w:rPr>
      </w:pPr>
    </w:p>
    <w:p w14:paraId="4D5CC407">
      <w:pPr>
        <w:spacing w:line="720" w:lineRule="exact"/>
        <w:jc w:val="center"/>
        <w:outlineLvl w:val="0"/>
        <w:rPr>
          <w:rFonts w:ascii="宋体" w:hAnsi="宋体" w:cs="宋体"/>
          <w:color w:val="auto"/>
          <w:sz w:val="32"/>
          <w:szCs w:val="32"/>
          <w:highlight w:val="none"/>
        </w:rPr>
      </w:pPr>
      <w:r>
        <w:rPr>
          <w:rFonts w:hint="eastAsia" w:ascii="宋体" w:hAnsi="宋体" w:cs="宋体"/>
          <w:color w:val="auto"/>
          <w:sz w:val="32"/>
          <w:szCs w:val="32"/>
          <w:highlight w:val="none"/>
        </w:rPr>
        <w:t>二〇二</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六</w:t>
      </w:r>
      <w:r>
        <w:rPr>
          <w:rFonts w:hint="eastAsia" w:ascii="宋体" w:hAnsi="宋体" w:cs="宋体"/>
          <w:color w:val="auto"/>
          <w:sz w:val="32"/>
          <w:szCs w:val="32"/>
          <w:highlight w:val="none"/>
        </w:rPr>
        <w:t>月</w:t>
      </w:r>
    </w:p>
    <w:p w14:paraId="28633436">
      <w:pPr>
        <w:spacing w:line="720" w:lineRule="exact"/>
        <w:jc w:val="center"/>
        <w:outlineLvl w:val="0"/>
        <w:rPr>
          <w:rFonts w:ascii="宋体" w:hAnsi="宋体" w:cs="宋体"/>
          <w:color w:val="auto"/>
          <w:sz w:val="36"/>
          <w:szCs w:val="36"/>
          <w:highlight w:val="none"/>
        </w:rPr>
        <w:sectPr>
          <w:headerReference r:id="rId4" w:type="first"/>
          <w:footerReference r:id="rId6" w:type="first"/>
          <w:headerReference r:id="rId3" w:type="default"/>
          <w:footerReference r:id="rId5" w:type="even"/>
          <w:pgSz w:w="11907" w:h="16840"/>
          <w:pgMar w:top="1134" w:right="1191" w:bottom="1134" w:left="1304" w:header="851" w:footer="992" w:gutter="0"/>
          <w:pgNumType w:start="1"/>
          <w:cols w:space="720" w:num="1"/>
          <w:rtlGutter w:val="1"/>
          <w:docGrid w:linePitch="380" w:charSpace="-5735"/>
        </w:sectPr>
      </w:pPr>
    </w:p>
    <w:p w14:paraId="005D843A">
      <w:pPr>
        <w:jc w:val="center"/>
        <w:outlineLvl w:val="0"/>
        <w:rPr>
          <w:rFonts w:ascii="宋体" w:hAnsi="宋体" w:cs="宋体"/>
          <w:color w:val="auto"/>
          <w:sz w:val="36"/>
          <w:szCs w:val="36"/>
          <w:highlight w:val="none"/>
        </w:rPr>
      </w:pPr>
      <w:r>
        <w:rPr>
          <w:rFonts w:hint="eastAsia" w:ascii="宋体" w:hAnsi="宋体" w:cs="宋体"/>
          <w:color w:val="auto"/>
          <w:sz w:val="36"/>
          <w:szCs w:val="36"/>
          <w:highlight w:val="none"/>
        </w:rPr>
        <w:t>目   录</w:t>
      </w:r>
    </w:p>
    <w:p w14:paraId="07F9E5B3">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TOC \o "1-3" \h \z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_Toc19633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第一篇  采购邀请书</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_Toc19633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50C6269">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_Toc21596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一、竞争性磋商内容</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_Toc21596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3AF42BC">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_Toc821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二、资金来源</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_Toc821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EAE7723">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_Toc3343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三、供应商资格要求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_Toc3343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5DA3267">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_Toc13444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四、磋商有关说明</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_Toc13444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9BD5B86">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_Toc5770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五、保证金（本项目无）</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_Toc5770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E4BEB8B">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_Toc12533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六、采购项目需落实的政府采购政策</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_Toc12533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531ED0D">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_Toc816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七、其它有关规定</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_Toc816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100B6624">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_Toc16188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八、联系方式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_Toc16188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6</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0973C9C">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_Toc27987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rPr>
        <w:t xml:space="preserve">第二篇 </w:t>
      </w:r>
      <w:r>
        <w:rPr>
          <w:rFonts w:hint="eastAsia" w:asciiTheme="minorEastAsia" w:hAnsiTheme="minorEastAsia" w:eastAsiaTheme="minorEastAsia" w:cstheme="minorEastAsia"/>
          <w:color w:val="auto"/>
          <w:sz w:val="28"/>
          <w:szCs w:val="28"/>
          <w:highlight w:val="none"/>
        </w:rPr>
        <w:t>采购服务需求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_Toc27987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7</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D98B12D">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_Toc3338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※一、项目</w:t>
      </w:r>
      <w:r>
        <w:rPr>
          <w:rFonts w:hint="eastAsia" w:asciiTheme="minorEastAsia" w:hAnsiTheme="minorEastAsia" w:eastAsiaTheme="minorEastAsia" w:cstheme="minorEastAsia"/>
          <w:color w:val="auto"/>
          <w:sz w:val="28"/>
          <w:szCs w:val="28"/>
          <w:highlight w:val="none"/>
          <w:lang w:val="en-US" w:eastAsia="zh-CN"/>
        </w:rPr>
        <w:t>一览表</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_Toc3338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7</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85EA09A">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_Toc32227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二</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项目概况</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_Toc32227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7</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B80E54B">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_Toc4488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三</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项目主要内容及需求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_Toc4488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7</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22ECA09">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_Toc24952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第三篇  采购商务需求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_Toc24952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A18EED7">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_Toc22719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※一、服务期、地点及验收方式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_Toc22719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5F23A29">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_Toc26265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※二、报价要求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_Toc26265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C24F597">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_Toc10028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※三、质量保证及售后服务</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_Toc10028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640CBFD">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_Toc6014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四</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付款方式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_Toc6014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1A1B30A5">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_Toc7957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五、</w:t>
      </w:r>
      <w:r>
        <w:rPr>
          <w:rFonts w:hint="eastAsia" w:asciiTheme="minorEastAsia" w:hAnsiTheme="minorEastAsia" w:eastAsiaTheme="minorEastAsia" w:cstheme="minorEastAsia"/>
          <w:color w:val="auto"/>
          <w:sz w:val="28"/>
          <w:szCs w:val="28"/>
          <w:highlight w:val="none"/>
        </w:rPr>
        <w:t>知识产权</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_Toc7957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488F683">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_Toc29340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pacing w:val="0"/>
          <w:sz w:val="28"/>
          <w:szCs w:val="28"/>
          <w:highlight w:val="none"/>
          <w:lang w:val="en-US" w:eastAsia="zh-CN"/>
        </w:rPr>
        <w:t>六、</w:t>
      </w:r>
      <w:r>
        <w:rPr>
          <w:rFonts w:hint="eastAsia" w:asciiTheme="minorEastAsia" w:hAnsiTheme="minorEastAsia" w:eastAsiaTheme="minorEastAsia" w:cstheme="minorEastAsia"/>
          <w:color w:val="auto"/>
          <w:sz w:val="28"/>
          <w:szCs w:val="28"/>
          <w:highlight w:val="none"/>
          <w:lang w:val="en-US" w:eastAsia="zh-CN"/>
        </w:rPr>
        <w:t>其他</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_Toc29340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B4B3A4C">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_Toc7508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第四篇  磋商程序及方法、评审标准、无效响应和采购终止</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_Toc7508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9477166">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_Toc16562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一、磋商程序及方法</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_Toc16562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F69E843">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_Toc29111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二、评审标准</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_Toc29111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37</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7F838D4">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_Toc15418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三、无效响应</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_Toc15418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40</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01DF16C">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_Toc30504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四、采购终止</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_Toc30504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41</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1746A195">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_Toc7531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第五篇  供应商须知</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_Toc7531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1F12D3A">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_Toc29232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一、磋商费用</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_Toc29232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00334E3">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_Toc30502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二、竞争性磋商文件</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_Toc30502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26CD356">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_Toc4256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三、磋商要求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_Toc4256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5753274">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_Toc29839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四、成交供应商的确认和变更</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_Toc29839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5EE330E8">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_Toc31580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五、成交通知</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_Toc31580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EBE0B17">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_Toc17435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六、关于质疑</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_Toc17435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DD21BD0">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_Toc13210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七、采购代理服务费</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_Toc13210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3EDAC060">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_Toc9304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八、签订合同</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_Toc9304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B1AF777">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_Toc32540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bCs/>
          <w:color w:val="auto"/>
          <w:sz w:val="28"/>
          <w:szCs w:val="28"/>
          <w:highlight w:val="none"/>
        </w:rPr>
        <w:t>第六篇  合同草案条款(参考样本)</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_Toc32540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46</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7B64220">
      <w:pPr>
        <w:pStyle w:val="37"/>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_Toc26562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bCs/>
          <w:color w:val="auto"/>
          <w:sz w:val="28"/>
          <w:szCs w:val="28"/>
          <w:highlight w:val="none"/>
        </w:rPr>
        <w:t>第七篇  响应文件编制要求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_Toc26562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49</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39B2E73">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_Toc810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一、经济部分</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_Toc810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50</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4E8869D1">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_Toc12376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二、服务部分</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_Toc12376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52</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322A669E">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_Toc27726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三、商务部分</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_Toc27726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53</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FDE00E0">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_Toc26838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四、资格条件及其他</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_Toc26838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27F380E">
      <w:pPr>
        <w:pStyle w:val="45"/>
        <w:tabs>
          <w:tab w:val="right" w:leader="dot" w:pos="9412"/>
        </w:tabs>
        <w:spacing w:line="24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_Toc12593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五、其他应提供的资料</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_Toc12593 \h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59</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71133FAC">
      <w:pPr>
        <w:pStyle w:val="45"/>
        <w:keepNext w:val="0"/>
        <w:keepLines w:val="0"/>
        <w:pageBreakBefore w:val="0"/>
        <w:widowControl w:val="0"/>
        <w:tabs>
          <w:tab w:val="right" w:leader="dot" w:pos="9402"/>
        </w:tabs>
        <w:kinsoku/>
        <w:wordWrap/>
        <w:overflowPunct/>
        <w:topLinePunct w:val="0"/>
        <w:autoSpaceDE/>
        <w:autoSpaceDN/>
        <w:bidi w:val="0"/>
        <w:adjustRightInd/>
        <w:snapToGrid/>
        <w:spacing w:line="240" w:lineRule="auto"/>
        <w:ind w:left="0" w:leftChars="0"/>
        <w:textAlignment w:val="auto"/>
        <w:rPr>
          <w:rFonts w:hint="eastAsia" w:ascii="宋体" w:hAnsi="宋体" w:eastAsia="宋体" w:cs="宋体"/>
          <w:color w:val="auto"/>
          <w:sz w:val="24"/>
          <w:szCs w:val="24"/>
          <w:highlight w:val="none"/>
        </w:rPr>
        <w:sectPr>
          <w:footerReference r:id="rId7" w:type="default"/>
          <w:pgSz w:w="11907" w:h="16840"/>
          <w:pgMar w:top="1134" w:right="1191" w:bottom="1134" w:left="1304" w:header="851" w:footer="992" w:gutter="0"/>
          <w:pgNumType w:start="1"/>
          <w:cols w:space="720" w:num="1"/>
          <w:rtlGutter w:val="1"/>
          <w:docGrid w:linePitch="380" w:charSpace="-5735"/>
        </w:sectPr>
      </w:pPr>
      <w:r>
        <w:rPr>
          <w:rFonts w:hint="eastAsia" w:asciiTheme="minorEastAsia" w:hAnsiTheme="minorEastAsia" w:eastAsiaTheme="minorEastAsia" w:cstheme="minorEastAsia"/>
          <w:color w:val="auto"/>
          <w:sz w:val="28"/>
          <w:szCs w:val="28"/>
          <w:highlight w:val="none"/>
        </w:rPr>
        <w:fldChar w:fldCharType="end"/>
      </w:r>
    </w:p>
    <w:p w14:paraId="1FAAF35A">
      <w:pPr>
        <w:pStyle w:val="2"/>
        <w:spacing w:after="100" w:line="360" w:lineRule="auto"/>
        <w:ind w:firstLine="723" w:firstLineChars="200"/>
        <w:jc w:val="center"/>
        <w:rPr>
          <w:rFonts w:hAnsi="宋体" w:cs="宋体"/>
          <w:b/>
          <w:color w:val="auto"/>
          <w:sz w:val="36"/>
          <w:szCs w:val="36"/>
          <w:highlight w:val="none"/>
        </w:rPr>
      </w:pPr>
      <w:bookmarkStart w:id="0" w:name="_Toc11641050"/>
      <w:bookmarkStart w:id="1" w:name="_Toc12789052"/>
      <w:bookmarkStart w:id="2" w:name="_Toc19633"/>
      <w:r>
        <w:rPr>
          <w:rFonts w:hint="eastAsia" w:hAnsi="宋体" w:cs="宋体"/>
          <w:b/>
          <w:color w:val="auto"/>
          <w:sz w:val="36"/>
          <w:szCs w:val="36"/>
          <w:highlight w:val="none"/>
        </w:rPr>
        <w:t>第一篇  采购邀请书</w:t>
      </w:r>
      <w:bookmarkEnd w:id="0"/>
      <w:bookmarkEnd w:id="1"/>
      <w:bookmarkEnd w:id="2"/>
    </w:p>
    <w:p w14:paraId="51862C67">
      <w:pPr>
        <w:snapToGrid w:val="0"/>
        <w:spacing w:line="460" w:lineRule="exact"/>
        <w:ind w:firstLine="480" w:firstLineChars="200"/>
        <w:rPr>
          <w:rFonts w:hint="eastAsia" w:ascii="宋体" w:hAnsi="宋体" w:cs="宋体"/>
          <w:color w:val="auto"/>
          <w:sz w:val="24"/>
          <w:szCs w:val="24"/>
          <w:highlight w:val="none"/>
        </w:rPr>
      </w:pPr>
      <w:bookmarkStart w:id="3" w:name="_Toc317775175"/>
      <w:bookmarkStart w:id="4" w:name="_Toc313893526"/>
      <w:r>
        <w:rPr>
          <w:rFonts w:hint="eastAsia" w:ascii="宋体" w:hAnsi="宋体" w:cs="宋体"/>
          <w:color w:val="auto"/>
          <w:sz w:val="24"/>
          <w:szCs w:val="24"/>
          <w:highlight w:val="none"/>
          <w:u w:val="single"/>
        </w:rPr>
        <w:t>重庆鼎创招标代理有限公司</w:t>
      </w:r>
      <w:r>
        <w:rPr>
          <w:rFonts w:hint="eastAsia" w:ascii="宋体" w:hAnsi="宋体" w:cs="宋体"/>
          <w:color w:val="auto"/>
          <w:sz w:val="24"/>
          <w:szCs w:val="24"/>
          <w:highlight w:val="none"/>
        </w:rPr>
        <w:t>（以下简称：采购代理机构）受</w:t>
      </w:r>
      <w:r>
        <w:rPr>
          <w:rFonts w:hint="eastAsia" w:ascii="宋体" w:hAnsi="宋体" w:eastAsia="宋体" w:cs="宋体"/>
          <w:color w:val="auto"/>
          <w:sz w:val="24"/>
          <w:szCs w:val="24"/>
          <w:highlight w:val="none"/>
          <w:u w:val="single"/>
          <w:lang w:eastAsia="zh-CN"/>
        </w:rPr>
        <w:t>忠县就业和人才中心</w:t>
      </w:r>
      <w:r>
        <w:rPr>
          <w:rFonts w:hint="eastAsia" w:ascii="宋体" w:hAnsi="宋体" w:cs="宋体"/>
          <w:color w:val="auto"/>
          <w:sz w:val="24"/>
          <w:szCs w:val="24"/>
          <w:highlight w:val="none"/>
        </w:rPr>
        <w:t>（以下简称：采购人）的委托，对</w:t>
      </w:r>
      <w:r>
        <w:rPr>
          <w:rFonts w:hint="eastAsia" w:ascii="宋体" w:hAnsi="宋体" w:cs="宋体"/>
          <w:color w:val="auto"/>
          <w:sz w:val="24"/>
          <w:szCs w:val="24"/>
          <w:highlight w:val="none"/>
          <w:u w:val="single"/>
          <w:lang w:eastAsia="zh-CN"/>
        </w:rPr>
        <w:t>“2025年忠县流动人员人事档案数字处理和维护项目”</w:t>
      </w:r>
      <w:r>
        <w:rPr>
          <w:rFonts w:hint="eastAsia" w:ascii="宋体" w:hAnsi="宋体" w:cs="宋体"/>
          <w:color w:val="auto"/>
          <w:sz w:val="24"/>
          <w:szCs w:val="24"/>
          <w:highlight w:val="none"/>
        </w:rPr>
        <w:t>进行竞争性磋商采购。欢迎有资格的供应商前来参加磋商。</w:t>
      </w:r>
    </w:p>
    <w:p w14:paraId="72CA9AE4">
      <w:pPr>
        <w:pStyle w:val="3"/>
        <w:spacing w:before="0" w:after="0" w:line="400" w:lineRule="exact"/>
        <w:rPr>
          <w:rFonts w:hint="eastAsia" w:ascii="宋体" w:hAnsi="宋体" w:cs="宋体"/>
          <w:color w:val="auto"/>
          <w:sz w:val="24"/>
          <w:szCs w:val="24"/>
          <w:highlight w:val="none"/>
        </w:rPr>
      </w:pPr>
      <w:bookmarkStart w:id="5" w:name="_Toc21596"/>
      <w:r>
        <w:rPr>
          <w:rFonts w:hint="eastAsia" w:ascii="宋体" w:hAnsi="宋体" w:eastAsia="宋体" w:cs="宋体"/>
          <w:color w:val="auto"/>
          <w:sz w:val="24"/>
          <w:szCs w:val="24"/>
          <w:highlight w:val="none"/>
        </w:rPr>
        <w:t>一、竞争性磋商内容</w:t>
      </w:r>
      <w:bookmarkEnd w:id="5"/>
    </w:p>
    <w:tbl>
      <w:tblPr>
        <w:tblStyle w:val="57"/>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972"/>
        <w:gridCol w:w="1330"/>
        <w:gridCol w:w="1243"/>
        <w:gridCol w:w="1164"/>
        <w:gridCol w:w="1164"/>
        <w:gridCol w:w="1164"/>
      </w:tblGrid>
      <w:tr w14:paraId="4F74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763" w:type="dxa"/>
            <w:tcBorders>
              <w:top w:val="single" w:color="auto" w:sz="4" w:space="0"/>
              <w:left w:val="single" w:color="auto" w:sz="4" w:space="0"/>
              <w:right w:val="single" w:color="auto" w:sz="4" w:space="0"/>
            </w:tcBorders>
            <w:vAlign w:val="center"/>
          </w:tcPr>
          <w:p w14:paraId="5947F57E">
            <w:pPr>
              <w:snapToGrid w:val="0"/>
              <w:jc w:val="center"/>
              <w:outlineLvl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2972" w:type="dxa"/>
            <w:tcBorders>
              <w:top w:val="single" w:color="auto" w:sz="4" w:space="0"/>
              <w:left w:val="single" w:color="auto" w:sz="4" w:space="0"/>
              <w:right w:val="single" w:color="auto" w:sz="4" w:space="0"/>
            </w:tcBorders>
            <w:vAlign w:val="center"/>
          </w:tcPr>
          <w:p w14:paraId="1FA83851">
            <w:pPr>
              <w:snapToGrid w:val="0"/>
              <w:jc w:val="center"/>
              <w:outlineLvl w:val="0"/>
              <w:rPr>
                <w:rFonts w:ascii="宋体" w:hAnsi="宋体" w:cs="宋体"/>
                <w:b/>
                <w:bCs/>
                <w:color w:val="auto"/>
                <w:kern w:val="0"/>
                <w:sz w:val="24"/>
                <w:szCs w:val="24"/>
                <w:highlight w:val="none"/>
              </w:rPr>
            </w:pPr>
            <w:r>
              <w:rPr>
                <w:rFonts w:hint="eastAsia" w:ascii="宋体" w:hAnsi="宋体" w:eastAsia="宋体" w:cs="宋体"/>
                <w:b/>
                <w:bCs w:val="0"/>
                <w:color w:val="auto"/>
                <w:sz w:val="24"/>
                <w:szCs w:val="24"/>
                <w:highlight w:val="none"/>
              </w:rPr>
              <w:t>名称</w:t>
            </w:r>
          </w:p>
        </w:tc>
        <w:tc>
          <w:tcPr>
            <w:tcW w:w="1330" w:type="dxa"/>
            <w:tcBorders>
              <w:top w:val="single" w:color="auto" w:sz="4" w:space="0"/>
              <w:left w:val="single" w:color="auto" w:sz="4" w:space="0"/>
              <w:right w:val="single" w:color="auto" w:sz="4" w:space="0"/>
            </w:tcBorders>
            <w:vAlign w:val="center"/>
          </w:tcPr>
          <w:p w14:paraId="01D85DA8">
            <w:pPr>
              <w:snapToGrid w:val="0"/>
              <w:jc w:val="center"/>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预估数量</w:t>
            </w:r>
            <w:r>
              <w:rPr>
                <w:rFonts w:hint="eastAsia" w:ascii="宋体" w:hAnsi="宋体" w:eastAsia="宋体" w:cs="宋体"/>
                <w:b/>
                <w:bCs w:val="0"/>
                <w:color w:val="auto"/>
                <w:sz w:val="24"/>
                <w:szCs w:val="24"/>
                <w:highlight w:val="none"/>
                <w:lang w:val="en-US" w:eastAsia="zh-CN"/>
              </w:rPr>
              <w:t>/单位</w:t>
            </w:r>
          </w:p>
        </w:tc>
        <w:tc>
          <w:tcPr>
            <w:tcW w:w="1243" w:type="dxa"/>
            <w:tcBorders>
              <w:top w:val="single" w:color="auto" w:sz="4" w:space="0"/>
              <w:left w:val="single" w:color="auto" w:sz="4" w:space="0"/>
              <w:right w:val="single" w:color="auto" w:sz="4" w:space="0"/>
            </w:tcBorders>
            <w:vAlign w:val="center"/>
          </w:tcPr>
          <w:p w14:paraId="19221054">
            <w:pPr>
              <w:snapToGrid w:val="0"/>
              <w:jc w:val="center"/>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单价最高限价</w:t>
            </w:r>
            <w:r>
              <w:rPr>
                <w:rFonts w:hint="eastAsia" w:ascii="宋体" w:hAnsi="宋体" w:eastAsia="宋体" w:cs="宋体"/>
                <w:b/>
                <w:bCs w:val="0"/>
                <w:color w:val="auto"/>
                <w:sz w:val="24"/>
                <w:szCs w:val="24"/>
                <w:highlight w:val="none"/>
                <w:lang w:val="en-US" w:eastAsia="zh-CN"/>
              </w:rPr>
              <w:t>（元/卷或年）</w:t>
            </w:r>
          </w:p>
        </w:tc>
        <w:tc>
          <w:tcPr>
            <w:tcW w:w="1164" w:type="dxa"/>
            <w:tcBorders>
              <w:top w:val="single" w:color="auto" w:sz="4" w:space="0"/>
              <w:left w:val="single" w:color="auto" w:sz="4" w:space="0"/>
              <w:right w:val="single" w:color="auto" w:sz="4" w:space="0"/>
            </w:tcBorders>
            <w:vAlign w:val="center"/>
          </w:tcPr>
          <w:p w14:paraId="3DCAFDDE">
            <w:pPr>
              <w:snapToGrid w:val="0"/>
              <w:jc w:val="center"/>
              <w:outlineLvl w:val="0"/>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分项最高限价（元/卷或年）</w:t>
            </w:r>
          </w:p>
        </w:tc>
        <w:tc>
          <w:tcPr>
            <w:tcW w:w="1164" w:type="dxa"/>
            <w:tcBorders>
              <w:top w:val="single" w:color="auto" w:sz="4" w:space="0"/>
              <w:left w:val="single" w:color="auto" w:sz="4" w:space="0"/>
              <w:right w:val="single" w:color="auto" w:sz="4" w:space="0"/>
            </w:tcBorders>
            <w:vAlign w:val="center"/>
          </w:tcPr>
          <w:p w14:paraId="55B53C13">
            <w:pPr>
              <w:snapToGrid w:val="0"/>
              <w:jc w:val="center"/>
              <w:outlineLvl w:val="0"/>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t>总价最高限价（元）</w:t>
            </w:r>
          </w:p>
        </w:tc>
        <w:tc>
          <w:tcPr>
            <w:tcW w:w="1164" w:type="dxa"/>
            <w:tcBorders>
              <w:top w:val="single" w:color="auto" w:sz="4" w:space="0"/>
              <w:left w:val="single" w:color="auto" w:sz="4" w:space="0"/>
              <w:right w:val="single" w:color="auto" w:sz="4" w:space="0"/>
            </w:tcBorders>
            <w:vAlign w:val="center"/>
          </w:tcPr>
          <w:p w14:paraId="0A08095E">
            <w:pPr>
              <w:snapToGrid w:val="0"/>
              <w:jc w:val="center"/>
              <w:outlineLvl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eastAsia="zh-CN"/>
              </w:rPr>
              <w:t>成交供应商数量（名）</w:t>
            </w:r>
          </w:p>
        </w:tc>
      </w:tr>
      <w:tr w14:paraId="5879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63" w:type="dxa"/>
            <w:tcBorders>
              <w:top w:val="single" w:color="auto" w:sz="4" w:space="0"/>
              <w:left w:val="single" w:color="auto" w:sz="4" w:space="0"/>
              <w:bottom w:val="single" w:color="auto" w:sz="4" w:space="0"/>
              <w:right w:val="single" w:color="auto" w:sz="4" w:space="0"/>
            </w:tcBorders>
            <w:vAlign w:val="center"/>
          </w:tcPr>
          <w:p w14:paraId="041D8AF5">
            <w:pPr>
              <w:snapToGrid w:val="0"/>
              <w:jc w:val="center"/>
              <w:outlineLvl w:val="0"/>
              <w:rPr>
                <w:rFonts w:hint="default" w:ascii="宋体" w:hAnsi="宋体" w:eastAsia="宋体" w:cs="宋体"/>
                <w:color w:val="auto"/>
                <w:kern w:val="0"/>
                <w:sz w:val="24"/>
                <w:szCs w:val="24"/>
                <w:highlight w:val="none"/>
                <w:lang w:val="en-US" w:eastAsia="zh-CN"/>
              </w:rPr>
            </w:pPr>
            <w:bookmarkStart w:id="6" w:name="_Hlk344477914"/>
            <w:r>
              <w:rPr>
                <w:rFonts w:hint="eastAsia" w:ascii="宋体" w:hAnsi="宋体" w:eastAsia="宋体" w:cs="宋体"/>
                <w:color w:val="auto"/>
                <w:kern w:val="0"/>
                <w:sz w:val="24"/>
                <w:szCs w:val="24"/>
                <w:highlight w:val="none"/>
                <w:lang w:val="en-US" w:eastAsia="zh-CN"/>
              </w:rPr>
              <w:t>1</w:t>
            </w:r>
          </w:p>
        </w:tc>
        <w:tc>
          <w:tcPr>
            <w:tcW w:w="2972" w:type="dxa"/>
            <w:tcBorders>
              <w:top w:val="single" w:color="auto" w:sz="4" w:space="0"/>
              <w:left w:val="single" w:color="auto" w:sz="4" w:space="0"/>
              <w:bottom w:val="single" w:color="auto" w:sz="4" w:space="0"/>
              <w:right w:val="single" w:color="auto" w:sz="4" w:space="0"/>
            </w:tcBorders>
            <w:vAlign w:val="center"/>
          </w:tcPr>
          <w:p w14:paraId="0691F108">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新增档案整理及数字化加工</w:t>
            </w:r>
          </w:p>
        </w:tc>
        <w:tc>
          <w:tcPr>
            <w:tcW w:w="1330" w:type="dxa"/>
            <w:tcBorders>
              <w:top w:val="single" w:color="auto" w:sz="4" w:space="0"/>
              <w:left w:val="single" w:color="auto" w:sz="4" w:space="0"/>
              <w:bottom w:val="single" w:color="auto" w:sz="4" w:space="0"/>
              <w:right w:val="single" w:color="auto" w:sz="4" w:space="0"/>
            </w:tcBorders>
            <w:vAlign w:val="center"/>
          </w:tcPr>
          <w:p w14:paraId="4B67B406">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6800卷</w:t>
            </w:r>
          </w:p>
        </w:tc>
        <w:tc>
          <w:tcPr>
            <w:tcW w:w="1243" w:type="dxa"/>
            <w:tcBorders>
              <w:top w:val="single" w:color="auto" w:sz="4" w:space="0"/>
              <w:left w:val="single" w:color="auto" w:sz="4" w:space="0"/>
              <w:bottom w:val="single" w:color="auto" w:sz="4" w:space="0"/>
              <w:right w:val="single" w:color="auto" w:sz="4" w:space="0"/>
            </w:tcBorders>
            <w:vAlign w:val="center"/>
          </w:tcPr>
          <w:p w14:paraId="15D9B90E">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47.5</w:t>
            </w:r>
          </w:p>
        </w:tc>
        <w:tc>
          <w:tcPr>
            <w:tcW w:w="1164" w:type="dxa"/>
            <w:tcBorders>
              <w:top w:val="single" w:color="auto" w:sz="4" w:space="0"/>
              <w:left w:val="single" w:color="auto" w:sz="4" w:space="0"/>
              <w:right w:val="single" w:color="auto" w:sz="4" w:space="0"/>
            </w:tcBorders>
            <w:vAlign w:val="center"/>
          </w:tcPr>
          <w:p w14:paraId="675CF824">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323000</w:t>
            </w:r>
          </w:p>
        </w:tc>
        <w:tc>
          <w:tcPr>
            <w:tcW w:w="1164" w:type="dxa"/>
            <w:vMerge w:val="restart"/>
            <w:tcBorders>
              <w:top w:val="single" w:color="auto" w:sz="4" w:space="0"/>
              <w:left w:val="single" w:color="auto" w:sz="4" w:space="0"/>
              <w:right w:val="single" w:color="auto" w:sz="4" w:space="0"/>
            </w:tcBorders>
            <w:vAlign w:val="center"/>
          </w:tcPr>
          <w:p w14:paraId="296E6E5B">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443000</w:t>
            </w:r>
          </w:p>
        </w:tc>
        <w:tc>
          <w:tcPr>
            <w:tcW w:w="1164" w:type="dxa"/>
            <w:vMerge w:val="restart"/>
            <w:tcBorders>
              <w:top w:val="single" w:color="auto" w:sz="4" w:space="0"/>
              <w:left w:val="single" w:color="auto" w:sz="4" w:space="0"/>
              <w:right w:val="single" w:color="auto" w:sz="4" w:space="0"/>
            </w:tcBorders>
            <w:vAlign w:val="center"/>
          </w:tcPr>
          <w:p w14:paraId="4DF7E580">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r>
      <w:tr w14:paraId="2071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63" w:type="dxa"/>
            <w:tcBorders>
              <w:top w:val="single" w:color="auto" w:sz="4" w:space="0"/>
              <w:left w:val="single" w:color="auto" w:sz="4" w:space="0"/>
              <w:bottom w:val="single" w:color="auto" w:sz="4" w:space="0"/>
              <w:right w:val="single" w:color="auto" w:sz="4" w:space="0"/>
            </w:tcBorders>
            <w:vAlign w:val="center"/>
          </w:tcPr>
          <w:p w14:paraId="607BF090">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2972" w:type="dxa"/>
            <w:tcBorders>
              <w:top w:val="single" w:color="auto" w:sz="4" w:space="0"/>
              <w:left w:val="single" w:color="auto" w:sz="4" w:space="0"/>
              <w:bottom w:val="single" w:color="auto" w:sz="4" w:space="0"/>
              <w:right w:val="single" w:color="auto" w:sz="4" w:space="0"/>
            </w:tcBorders>
            <w:vAlign w:val="center"/>
          </w:tcPr>
          <w:p w14:paraId="2A1474B3">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档案维护整理及数字化加工</w:t>
            </w:r>
          </w:p>
        </w:tc>
        <w:tc>
          <w:tcPr>
            <w:tcW w:w="1330" w:type="dxa"/>
            <w:tcBorders>
              <w:top w:val="single" w:color="auto" w:sz="4" w:space="0"/>
              <w:left w:val="single" w:color="auto" w:sz="4" w:space="0"/>
              <w:bottom w:val="single" w:color="auto" w:sz="4" w:space="0"/>
              <w:right w:val="single" w:color="auto" w:sz="4" w:space="0"/>
            </w:tcBorders>
            <w:vAlign w:val="center"/>
          </w:tcPr>
          <w:p w14:paraId="166F8545">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1年</w:t>
            </w:r>
          </w:p>
        </w:tc>
        <w:tc>
          <w:tcPr>
            <w:tcW w:w="1243" w:type="dxa"/>
            <w:tcBorders>
              <w:top w:val="single" w:color="auto" w:sz="4" w:space="0"/>
              <w:left w:val="single" w:color="auto" w:sz="4" w:space="0"/>
              <w:bottom w:val="single" w:color="auto" w:sz="4" w:space="0"/>
              <w:right w:val="single" w:color="auto" w:sz="4" w:space="0"/>
            </w:tcBorders>
            <w:vAlign w:val="center"/>
          </w:tcPr>
          <w:p w14:paraId="40438E26">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120000</w:t>
            </w:r>
          </w:p>
        </w:tc>
        <w:tc>
          <w:tcPr>
            <w:tcW w:w="1164" w:type="dxa"/>
            <w:tcBorders>
              <w:left w:val="single" w:color="auto" w:sz="4" w:space="0"/>
              <w:right w:val="single" w:color="auto" w:sz="4" w:space="0"/>
            </w:tcBorders>
            <w:vAlign w:val="center"/>
          </w:tcPr>
          <w:p w14:paraId="09E210A8">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120000</w:t>
            </w:r>
          </w:p>
        </w:tc>
        <w:tc>
          <w:tcPr>
            <w:tcW w:w="1164" w:type="dxa"/>
            <w:vMerge w:val="continue"/>
            <w:tcBorders>
              <w:left w:val="single" w:color="auto" w:sz="4" w:space="0"/>
              <w:right w:val="single" w:color="auto" w:sz="4" w:space="0"/>
            </w:tcBorders>
            <w:vAlign w:val="center"/>
          </w:tcPr>
          <w:p w14:paraId="49368939">
            <w:pPr>
              <w:snapToGrid w:val="0"/>
              <w:jc w:val="center"/>
              <w:outlineLvl w:val="0"/>
              <w:rPr>
                <w:rFonts w:hint="default" w:ascii="宋体" w:hAnsi="宋体" w:cs="宋体"/>
                <w:color w:val="auto"/>
                <w:kern w:val="0"/>
                <w:sz w:val="24"/>
                <w:szCs w:val="24"/>
                <w:highlight w:val="none"/>
                <w:lang w:val="en-US" w:eastAsia="zh-CN"/>
              </w:rPr>
            </w:pPr>
          </w:p>
        </w:tc>
        <w:tc>
          <w:tcPr>
            <w:tcW w:w="1164" w:type="dxa"/>
            <w:vMerge w:val="continue"/>
            <w:tcBorders>
              <w:left w:val="single" w:color="auto" w:sz="4" w:space="0"/>
              <w:right w:val="single" w:color="auto" w:sz="4" w:space="0"/>
            </w:tcBorders>
            <w:vAlign w:val="center"/>
          </w:tcPr>
          <w:p w14:paraId="75C810C5">
            <w:pPr>
              <w:snapToGrid w:val="0"/>
              <w:jc w:val="center"/>
              <w:outlineLvl w:val="0"/>
              <w:rPr>
                <w:rFonts w:hint="default" w:ascii="宋体" w:hAnsi="宋体" w:cs="宋体"/>
                <w:color w:val="auto"/>
                <w:kern w:val="0"/>
                <w:sz w:val="24"/>
                <w:szCs w:val="24"/>
                <w:highlight w:val="none"/>
                <w:lang w:val="en-US" w:eastAsia="zh-CN"/>
              </w:rPr>
            </w:pPr>
          </w:p>
        </w:tc>
      </w:tr>
      <w:bookmarkEnd w:id="3"/>
      <w:bookmarkEnd w:id="4"/>
      <w:bookmarkEnd w:id="6"/>
    </w:tbl>
    <w:p w14:paraId="18C96FCB">
      <w:pPr>
        <w:bidi w:val="0"/>
        <w:rPr>
          <w:rFonts w:hint="eastAsia"/>
          <w:color w:val="auto"/>
          <w:highlight w:val="none"/>
        </w:rPr>
      </w:pPr>
      <w:bookmarkStart w:id="7" w:name="_Toc373860293"/>
      <w:bookmarkStart w:id="8" w:name="_Toc317775178"/>
      <w:r>
        <w:rPr>
          <w:rFonts w:hint="eastAsia" w:ascii="宋体" w:hAnsi="宋体" w:eastAsia="宋体" w:cs="宋体"/>
          <w:color w:val="auto"/>
          <w:kern w:val="0"/>
          <w:sz w:val="24"/>
          <w:szCs w:val="24"/>
          <w:highlight w:val="none"/>
          <w:lang w:val="en-US" w:eastAsia="zh-CN"/>
        </w:rPr>
        <w:t>备注：</w:t>
      </w:r>
      <w:r>
        <w:rPr>
          <w:rFonts w:hint="default" w:ascii="宋体" w:hAnsi="宋体" w:eastAsia="宋体" w:cs="宋体"/>
          <w:color w:val="auto"/>
          <w:kern w:val="0"/>
          <w:sz w:val="24"/>
          <w:szCs w:val="24"/>
          <w:highlight w:val="none"/>
          <w:lang w:val="en-US" w:eastAsia="zh-CN"/>
        </w:rPr>
        <w:t>本项目的总价最高限价为预估金额，采购人最终以验收合格后的实际加工数量</w:t>
      </w:r>
      <w:r>
        <w:rPr>
          <w:rFonts w:hint="default" w:ascii="宋体" w:hAnsi="宋体" w:cs="宋体"/>
          <w:color w:val="auto"/>
          <w:kern w:val="0"/>
          <w:sz w:val="24"/>
          <w:szCs w:val="24"/>
          <w:highlight w:val="none"/>
          <w:lang w:val="en-US" w:eastAsia="zh-CN"/>
        </w:rPr>
        <w:t>进行据实结算。</w:t>
      </w:r>
    </w:p>
    <w:p w14:paraId="3CA6454A">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9" w:name="_Toc821"/>
      <w:r>
        <w:rPr>
          <w:rFonts w:hint="eastAsia" w:ascii="宋体" w:hAnsi="宋体" w:eastAsia="宋体" w:cs="宋体"/>
          <w:color w:val="auto"/>
          <w:sz w:val="24"/>
          <w:szCs w:val="24"/>
          <w:highlight w:val="none"/>
        </w:rPr>
        <w:t>二、资金来源</w:t>
      </w:r>
      <w:bookmarkEnd w:id="9"/>
    </w:p>
    <w:p w14:paraId="1C86F642">
      <w:pPr>
        <w:spacing w:line="360" w:lineRule="auto"/>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就业补助</w:t>
      </w:r>
      <w:r>
        <w:rPr>
          <w:rFonts w:hint="eastAsia" w:ascii="宋体" w:hAnsi="宋体" w:cs="宋体"/>
          <w:color w:val="auto"/>
          <w:sz w:val="24"/>
          <w:szCs w:val="24"/>
          <w:highlight w:val="none"/>
        </w:rPr>
        <w:t>资金，预算金额</w:t>
      </w:r>
      <w:r>
        <w:rPr>
          <w:rFonts w:hint="eastAsia" w:ascii="宋体" w:hAnsi="宋体" w:cs="宋体"/>
          <w:color w:val="auto"/>
          <w:sz w:val="24"/>
          <w:szCs w:val="24"/>
          <w:highlight w:val="none"/>
          <w:lang w:val="en-US" w:eastAsia="zh-CN"/>
        </w:rPr>
        <w:t>443000</w:t>
      </w:r>
      <w:r>
        <w:rPr>
          <w:rFonts w:hint="eastAsia" w:ascii="宋体" w:hAnsi="宋体" w:cs="宋体"/>
          <w:color w:val="auto"/>
          <w:sz w:val="24"/>
          <w:szCs w:val="24"/>
          <w:highlight w:val="none"/>
        </w:rPr>
        <w:t>元。</w:t>
      </w:r>
    </w:p>
    <w:p w14:paraId="1BC7746C">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10" w:name="_Toc3343"/>
      <w:r>
        <w:rPr>
          <w:rFonts w:hint="eastAsia" w:ascii="宋体" w:hAnsi="宋体" w:eastAsia="宋体" w:cs="宋体"/>
          <w:color w:val="auto"/>
          <w:sz w:val="24"/>
          <w:szCs w:val="24"/>
          <w:highlight w:val="none"/>
        </w:rPr>
        <w:t>三、供应商资格要求</w:t>
      </w:r>
      <w:bookmarkEnd w:id="10"/>
    </w:p>
    <w:p w14:paraId="3A1E4AB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（一）满足《中华人民共和国政府采购法》第二十二条规定</w:t>
      </w:r>
      <w:r>
        <w:rPr>
          <w:rFonts w:hint="eastAsia" w:ascii="宋体" w:hAnsi="宋体" w:cs="宋体"/>
          <w:color w:val="auto"/>
          <w:sz w:val="24"/>
          <w:szCs w:val="24"/>
          <w:highlight w:val="none"/>
          <w:lang w:eastAsia="zh-CN"/>
        </w:rPr>
        <w:t>；</w:t>
      </w:r>
    </w:p>
    <w:p w14:paraId="1A42418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（二）落实政府采购政策需满足的资格要求：无</w:t>
      </w:r>
      <w:r>
        <w:rPr>
          <w:rFonts w:hint="eastAsia" w:ascii="宋体" w:hAnsi="宋体" w:cs="宋体"/>
          <w:color w:val="auto"/>
          <w:sz w:val="24"/>
          <w:szCs w:val="24"/>
          <w:highlight w:val="none"/>
          <w:lang w:eastAsia="zh-CN"/>
        </w:rPr>
        <w:t>；</w:t>
      </w:r>
    </w:p>
    <w:p w14:paraId="6814F9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（三）本项目的特定资格要</w:t>
      </w:r>
      <w:r>
        <w:rPr>
          <w:rFonts w:hint="eastAsia" w:ascii="宋体" w:hAnsi="宋体" w:eastAsia="宋体" w:cs="宋体"/>
          <w:color w:val="auto"/>
          <w:sz w:val="24"/>
          <w:szCs w:val="24"/>
          <w:highlight w:val="none"/>
        </w:rPr>
        <w:t>求：</w:t>
      </w:r>
    </w:p>
    <w:p w14:paraId="5FFA70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1、供应商须具备省级或以上国家保密局颁发的有效期内的《国家秘密载体印制资质证书》（</w:t>
      </w:r>
      <w:r>
        <w:rPr>
          <w:rFonts w:hint="eastAsia" w:ascii="宋体" w:hAnsi="宋体" w:eastAsia="宋体" w:cs="宋体"/>
          <w:color w:val="auto"/>
          <w:sz w:val="24"/>
          <w:szCs w:val="24"/>
          <w:highlight w:val="none"/>
          <w:lang w:val="en-US" w:eastAsia="zh-CN"/>
        </w:rPr>
        <w:t>须在响应文件中</w:t>
      </w:r>
      <w:r>
        <w:rPr>
          <w:rFonts w:hint="eastAsia" w:ascii="宋体" w:hAnsi="宋体" w:eastAsia="宋体" w:cs="宋体"/>
          <w:color w:val="auto"/>
          <w:sz w:val="24"/>
          <w:szCs w:val="24"/>
          <w:highlight w:val="none"/>
        </w:rPr>
        <w:t>提供资质证书复印件</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加盖供应商公章）；</w:t>
      </w:r>
    </w:p>
    <w:p w14:paraId="1ADD62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重庆市外乙级资质单位须提供在重庆市国家保密局有效期内的登记备案证明（</w:t>
      </w:r>
      <w:r>
        <w:rPr>
          <w:rFonts w:hint="eastAsia" w:ascii="宋体" w:hAnsi="宋体" w:eastAsia="宋体" w:cs="宋体"/>
          <w:color w:val="auto"/>
          <w:sz w:val="24"/>
          <w:szCs w:val="24"/>
          <w:highlight w:val="none"/>
          <w:lang w:val="en-US" w:eastAsia="zh-CN"/>
        </w:rPr>
        <w:t>须在响应文件中</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证明材料）</w:t>
      </w:r>
      <w:r>
        <w:rPr>
          <w:rFonts w:hint="eastAsia" w:ascii="宋体" w:hAnsi="宋体" w:eastAsia="宋体" w:cs="宋体"/>
          <w:color w:val="auto"/>
          <w:sz w:val="24"/>
          <w:szCs w:val="24"/>
          <w:highlight w:val="none"/>
          <w:lang w:eastAsia="zh-CN"/>
        </w:rPr>
        <w:t>。</w:t>
      </w:r>
    </w:p>
    <w:p w14:paraId="24A4BF96">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11" w:name="_Toc13444"/>
      <w:r>
        <w:rPr>
          <w:rFonts w:hint="eastAsia" w:ascii="宋体" w:hAnsi="宋体" w:eastAsia="宋体" w:cs="宋体"/>
          <w:color w:val="auto"/>
          <w:sz w:val="24"/>
          <w:szCs w:val="24"/>
          <w:highlight w:val="none"/>
        </w:rPr>
        <w:t>四、磋商有关说明</w:t>
      </w:r>
      <w:bookmarkEnd w:id="7"/>
      <w:bookmarkEnd w:id="11"/>
      <w:bookmarkStart w:id="12" w:name="_Toc373860294"/>
    </w:p>
    <w:p w14:paraId="705D382E">
      <w:pPr>
        <w:pageBreakBefore w:val="0"/>
        <w:widowControl w:val="0"/>
        <w:numPr>
          <w:ilvl w:val="0"/>
          <w:numId w:val="0"/>
        </w:numPr>
        <w:kinsoku/>
        <w:wordWrap/>
        <w:overflowPunct/>
        <w:topLinePunct w:val="0"/>
        <w:autoSpaceDE/>
        <w:autoSpaceDN/>
        <w:bidi w:val="0"/>
        <w:adjustRightInd/>
        <w:snapToGrid/>
        <w:spacing w:line="360" w:lineRule="auto"/>
        <w:ind w:left="80" w:leftChars="0" w:firstLine="480" w:firstLineChars="0"/>
        <w:textAlignment w:val="auto"/>
        <w:rPr>
          <w:rFonts w:ascii="宋体" w:hAnsi="宋体" w:cs="宋体"/>
          <w:color w:val="auto"/>
          <w:sz w:val="24"/>
          <w:szCs w:val="24"/>
          <w:highlight w:val="none"/>
        </w:rPr>
      </w:pPr>
      <w:r>
        <w:rPr>
          <w:rFonts w:hint="eastAsia" w:ascii="宋体" w:hAnsi="宋体" w:eastAsia="宋体" w:cs="宋体"/>
          <w:color w:val="auto"/>
          <w:kern w:val="2"/>
          <w:sz w:val="24"/>
          <w:szCs w:val="24"/>
          <w:lang w:val="en-US" w:eastAsia="zh-CN" w:bidi="ar-SA"/>
        </w:rPr>
        <w:t>（一）</w:t>
      </w:r>
      <w:bookmarkStart w:id="158" w:name="_GoBack"/>
      <w:bookmarkEnd w:id="158"/>
      <w:r>
        <w:rPr>
          <w:rFonts w:hint="eastAsia" w:ascii="宋体" w:hAnsi="宋体" w:cs="宋体"/>
          <w:color w:val="auto"/>
          <w:sz w:val="24"/>
          <w:szCs w:val="24"/>
          <w:highlight w:val="none"/>
        </w:rPr>
        <w:t>供应商应通过“行采家”平台(https://www.gec123.com)进行注册，成为行采家平台供应商。咨询电话023-88158017。（供应商注册与否不影响投标文件的有效性）。</w:t>
      </w:r>
    </w:p>
    <w:p w14:paraId="3D318212">
      <w:pPr>
        <w:pageBreakBefore w:val="0"/>
        <w:widowControl w:val="0"/>
        <w:numPr>
          <w:ilvl w:val="0"/>
          <w:numId w:val="0"/>
        </w:numPr>
        <w:kinsoku/>
        <w:wordWrap/>
        <w:overflowPunct/>
        <w:topLinePunct w:val="0"/>
        <w:autoSpaceDE/>
        <w:autoSpaceDN/>
        <w:bidi w:val="0"/>
        <w:adjustRightInd/>
        <w:snapToGrid/>
        <w:spacing w:line="360" w:lineRule="auto"/>
        <w:ind w:left="80" w:leftChars="0" w:firstLine="480" w:firstLineChars="0"/>
        <w:textAlignment w:val="auto"/>
        <w:rPr>
          <w:rFonts w:ascii="宋体" w:hAnsi="宋体" w:cs="宋体"/>
          <w:color w:val="auto"/>
          <w:sz w:val="24"/>
          <w:szCs w:val="24"/>
          <w:highlight w:val="none"/>
        </w:rPr>
      </w:pPr>
      <w:r>
        <w:rPr>
          <w:rFonts w:hint="eastAsia" w:ascii="宋体" w:hAnsi="宋体" w:eastAsia="宋体" w:cs="宋体"/>
          <w:color w:val="auto"/>
          <w:kern w:val="2"/>
          <w:sz w:val="24"/>
          <w:szCs w:val="24"/>
          <w:lang w:val="en-US" w:eastAsia="zh-CN" w:bidi="ar-SA"/>
        </w:rPr>
        <w:t>（二）</w:t>
      </w:r>
      <w:r>
        <w:rPr>
          <w:rFonts w:hint="eastAsia" w:ascii="宋体" w:hAnsi="宋体" w:cs="宋体"/>
          <w:color w:val="auto"/>
          <w:sz w:val="24"/>
          <w:szCs w:val="24"/>
          <w:highlight w:val="none"/>
        </w:rPr>
        <w:t>凡有意参加磋商采购的供应商，请于公告发布之日起至提交首次响应文件截止时间之前，在“行采家”平台（www.gec123.com）上下载本项目磋商文件、补遗等磋商前公布的所有项目资料，无论供应商下载与否，均视为已知晓所有磋商实质性要求内容。</w:t>
      </w:r>
    </w:p>
    <w:p w14:paraId="7F741930">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（三）竞争性磋商公告期限：自采购公告发布之日（</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日</w:t>
      </w:r>
      <w:r>
        <w:rPr>
          <w:rFonts w:hint="eastAsia" w:ascii="宋体" w:hAnsi="宋体" w:cs="宋体"/>
          <w:bCs/>
          <w:color w:val="auto"/>
          <w:sz w:val="24"/>
          <w:szCs w:val="24"/>
          <w:highlight w:val="none"/>
        </w:rPr>
        <w:t>）起三个工作日。</w:t>
      </w:r>
    </w:p>
    <w:p w14:paraId="441B96CE">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（四）报名及磋商文件发售</w:t>
      </w:r>
    </w:p>
    <w:p w14:paraId="406A7340">
      <w:pPr>
        <w:spacing w:line="440" w:lineRule="exact"/>
        <w:ind w:firstLine="480" w:firstLineChars="200"/>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rPr>
        <w:t>1.报名和磋商文件发售期：</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日-202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00</w:t>
      </w:r>
    </w:p>
    <w:p w14:paraId="637CDD83">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2.磋商文件售价：人</w:t>
      </w:r>
      <w:r>
        <w:rPr>
          <w:rFonts w:hint="eastAsia" w:ascii="宋体" w:hAnsi="宋体" w:cs="宋体"/>
          <w:color w:val="auto"/>
          <w:sz w:val="24"/>
          <w:szCs w:val="24"/>
          <w:highlight w:val="none"/>
        </w:rPr>
        <w:t>民币</w:t>
      </w:r>
      <w:r>
        <w:rPr>
          <w:rFonts w:hint="eastAsia" w:ascii="宋体" w:hAnsi="宋体" w:cs="宋体"/>
          <w:color w:val="auto"/>
          <w:sz w:val="24"/>
          <w:szCs w:val="24"/>
          <w:highlight w:val="none"/>
          <w:lang w:val="en-US" w:eastAsia="zh-CN"/>
        </w:rPr>
        <w:t>0.00</w:t>
      </w:r>
      <w:r>
        <w:rPr>
          <w:rFonts w:hint="eastAsia" w:ascii="宋体" w:hAnsi="宋体" w:cs="宋体"/>
          <w:color w:val="auto"/>
          <w:sz w:val="24"/>
          <w:szCs w:val="24"/>
          <w:highlight w:val="none"/>
        </w:rPr>
        <w:t>元/份（</w:t>
      </w:r>
      <w:r>
        <w:rPr>
          <w:rFonts w:hint="eastAsia" w:ascii="宋体" w:hAnsi="宋体" w:cs="宋体"/>
          <w:bCs/>
          <w:color w:val="auto"/>
          <w:sz w:val="24"/>
          <w:szCs w:val="24"/>
          <w:highlight w:val="none"/>
        </w:rPr>
        <w:t>售后不退）</w:t>
      </w:r>
    </w:p>
    <w:p w14:paraId="62DA991D">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2.1磋商文件购买方式</w:t>
      </w:r>
    </w:p>
    <w:p w14:paraId="7DDE7049">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2.1.1</w:t>
      </w:r>
      <w:r>
        <w:rPr>
          <w:rFonts w:hint="eastAsia" w:ascii="宋体" w:hAnsi="宋体" w:cs="宋体"/>
          <w:b/>
          <w:color w:val="auto"/>
          <w:sz w:val="24"/>
          <w:szCs w:val="24"/>
          <w:highlight w:val="none"/>
        </w:rPr>
        <w:t>现金购买</w:t>
      </w:r>
    </w:p>
    <w:p w14:paraId="1436D63B">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在磋商文件发售期内，供应商到</w:t>
      </w:r>
      <w:r>
        <w:rPr>
          <w:rFonts w:hint="eastAsia" w:ascii="宋体" w:hAnsi="宋体" w:cs="宋体"/>
          <w:color w:val="auto"/>
          <w:sz w:val="24"/>
          <w:szCs w:val="24"/>
          <w:highlight w:val="none"/>
        </w:rPr>
        <w:t>重庆市渝北区创意公园18栋2单元3-2（重庆市渝北区食品城大道18号）</w:t>
      </w:r>
      <w:r>
        <w:rPr>
          <w:rFonts w:hint="eastAsia" w:ascii="宋体" w:hAnsi="宋体" w:cs="宋体"/>
          <w:bCs/>
          <w:color w:val="auto"/>
          <w:sz w:val="24"/>
          <w:szCs w:val="24"/>
          <w:highlight w:val="none"/>
        </w:rPr>
        <w:t xml:space="preserve">登记递交《重庆鼎创招标代理有限公司采购文件发售登记表》（加盖供应商公章）并购买磋商文件。 </w:t>
      </w:r>
    </w:p>
    <w:p w14:paraId="11346228">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2.1.2</w:t>
      </w:r>
      <w:r>
        <w:rPr>
          <w:rFonts w:hint="eastAsia" w:ascii="宋体" w:hAnsi="宋体" w:cs="宋体"/>
          <w:b/>
          <w:color w:val="auto"/>
          <w:sz w:val="24"/>
          <w:szCs w:val="24"/>
          <w:highlight w:val="none"/>
        </w:rPr>
        <w:t>汇款购买</w:t>
      </w:r>
    </w:p>
    <w:p w14:paraId="6BD94383">
      <w:pPr>
        <w:wordWrap w:val="0"/>
        <w:spacing w:line="440" w:lineRule="exact"/>
        <w:ind w:firstLine="560" w:firstLineChars="200"/>
        <w:rPr>
          <w:rFonts w:ascii="宋体" w:hAnsi="宋体" w:cs="宋体"/>
          <w:bCs/>
          <w:color w:val="auto"/>
          <w:sz w:val="24"/>
          <w:szCs w:val="24"/>
          <w:highlight w:val="none"/>
        </w:rPr>
      </w:pPr>
      <w:r>
        <w:rPr>
          <w:color w:val="auto"/>
          <w:highlight w:val="none"/>
        </w:rPr>
        <w:fldChar w:fldCharType="begin"/>
      </w:r>
      <w:r>
        <w:rPr>
          <w:color w:val="auto"/>
          <w:highlight w:val="none"/>
        </w:rPr>
        <w:instrText xml:space="preserve"> HYPERLINK "mailto:在磋商文件发售期内，供应商将磋商文件购买费用汇至以下账户内进行购买。通过汇款方式购买磋商文件的，将磋商文件汇款凭证（注明项目号）、《重庆鼎创招标代理有限公司采购文件发售登记表》（加盖供应商公章）扫描后发送至920067666@qq.com（邮箱）。报名成功时间以代理机构收到以上资料邮箱的显示时间为准。" </w:instrText>
      </w:r>
      <w:r>
        <w:rPr>
          <w:color w:val="auto"/>
          <w:highlight w:val="none"/>
        </w:rPr>
        <w:fldChar w:fldCharType="separate"/>
      </w:r>
      <w:r>
        <w:rPr>
          <w:rStyle w:val="65"/>
          <w:rFonts w:hint="eastAsia" w:ascii="宋体" w:hAnsi="宋体" w:cs="宋体"/>
          <w:bCs/>
          <w:color w:val="auto"/>
          <w:sz w:val="24"/>
          <w:szCs w:val="24"/>
          <w:highlight w:val="none"/>
        </w:rPr>
        <w:t>在磋商文件发售期内，供应商将《重庆鼎创招标代理有限公司采购文件发售登记表》（加盖供应商公章）扫描后发送至</w:t>
      </w:r>
      <w:r>
        <w:rPr>
          <w:rStyle w:val="65"/>
          <w:rFonts w:hint="eastAsia" w:ascii="宋体" w:hAnsi="宋体" w:cs="宋体"/>
          <w:b/>
          <w:bCs w:val="0"/>
          <w:color w:val="auto"/>
          <w:sz w:val="24"/>
          <w:szCs w:val="24"/>
          <w:highlight w:val="none"/>
          <w:lang w:val="en-US" w:eastAsia="zh-CN"/>
        </w:rPr>
        <w:t>2783701601</w:t>
      </w:r>
      <w:r>
        <w:rPr>
          <w:rStyle w:val="65"/>
          <w:rFonts w:hint="eastAsia" w:ascii="宋体" w:hAnsi="宋体" w:eastAsia="宋体" w:cs="宋体"/>
          <w:b/>
          <w:bCs w:val="0"/>
          <w:color w:val="auto"/>
          <w:sz w:val="24"/>
          <w:szCs w:val="24"/>
          <w:highlight w:val="none"/>
          <w:lang w:val="en-US" w:eastAsia="zh-CN"/>
        </w:rPr>
        <w:t>@qq.com</w:t>
      </w:r>
      <w:r>
        <w:rPr>
          <w:rStyle w:val="65"/>
          <w:rFonts w:hint="eastAsia" w:ascii="宋体" w:hAnsi="宋体" w:cs="宋体"/>
          <w:bCs/>
          <w:color w:val="auto"/>
          <w:sz w:val="24"/>
          <w:szCs w:val="24"/>
          <w:highlight w:val="none"/>
        </w:rPr>
        <w:t>（邮箱）。报名成功时间以代理机构收到以上资料邮箱的显示时间为准。</w:t>
      </w:r>
      <w:r>
        <w:rPr>
          <w:rStyle w:val="65"/>
          <w:rFonts w:hint="eastAsia" w:ascii="宋体" w:hAnsi="宋体" w:cs="宋体"/>
          <w:bCs/>
          <w:color w:val="auto"/>
          <w:sz w:val="24"/>
          <w:szCs w:val="24"/>
          <w:highlight w:val="none"/>
        </w:rPr>
        <w:fldChar w:fldCharType="end"/>
      </w:r>
    </w:p>
    <w:p w14:paraId="22CAAAD5">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  名：重庆鼎创招标代理有限公司</w:t>
      </w:r>
    </w:p>
    <w:p w14:paraId="52FB01B2">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开户行：招商银行股份有限公司重庆观音桥支行</w:t>
      </w:r>
    </w:p>
    <w:p w14:paraId="648A562E">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  号：123911157910105</w:t>
      </w:r>
    </w:p>
    <w:p w14:paraId="0792E251">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在报名和磋商文件发售期内购买了磋商文件并按以上要求提交了相应资料的供应商，其现场报名才被接收。</w:t>
      </w:r>
    </w:p>
    <w:p w14:paraId="4F34DDA9">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（五）供应商须满足以下二种条件，其响应文件才被接受：</w:t>
      </w:r>
    </w:p>
    <w:p w14:paraId="157F8A50">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1、按时递交了响应文件；</w:t>
      </w:r>
    </w:p>
    <w:p w14:paraId="75EE99FF">
      <w:pPr>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2、按时报名签到。</w:t>
      </w:r>
    </w:p>
    <w:p w14:paraId="10C6702F">
      <w:pPr>
        <w:spacing w:line="360" w:lineRule="auto"/>
        <w:ind w:firstLine="480" w:firstLineChars="200"/>
        <w:rPr>
          <w:rFonts w:hint="eastAsia" w:ascii="宋体" w:hAnsi="宋体" w:eastAsia="宋体" w:cs="宋体"/>
          <w:bCs/>
          <w:color w:val="auto"/>
          <w:sz w:val="24"/>
          <w:szCs w:val="24"/>
          <w:highlight w:val="none"/>
          <w:lang w:eastAsia="zh-CN"/>
        </w:rPr>
      </w:pPr>
      <w:bookmarkStart w:id="13" w:name="_Toc8970"/>
      <w:r>
        <w:rPr>
          <w:rFonts w:hint="eastAsia" w:ascii="宋体" w:hAnsi="宋体" w:cs="宋体"/>
          <w:bCs/>
          <w:color w:val="auto"/>
          <w:sz w:val="24"/>
          <w:szCs w:val="24"/>
          <w:highlight w:val="none"/>
        </w:rPr>
        <w:t>（六）磋商地点：</w:t>
      </w:r>
      <w:r>
        <w:rPr>
          <w:rFonts w:hint="eastAsia" w:ascii="宋体" w:hAnsi="宋体" w:cs="宋体"/>
          <w:color w:val="auto"/>
          <w:sz w:val="24"/>
          <w:szCs w:val="24"/>
          <w:highlight w:val="none"/>
          <w:lang w:eastAsia="zh-CN"/>
        </w:rPr>
        <w:t>忠县就业和人才中心</w:t>
      </w:r>
      <w:r>
        <w:rPr>
          <w:rFonts w:hint="eastAsia" w:ascii="宋体" w:hAnsi="宋体" w:cs="宋体"/>
          <w:color w:val="auto"/>
          <w:sz w:val="24"/>
          <w:szCs w:val="24"/>
          <w:highlight w:val="none"/>
        </w:rPr>
        <w:t>会议室（</w:t>
      </w:r>
      <w:r>
        <w:rPr>
          <w:rFonts w:hint="eastAsia" w:ascii="宋体" w:hAnsi="宋体" w:cs="宋体"/>
          <w:color w:val="auto"/>
          <w:sz w:val="24"/>
          <w:szCs w:val="24"/>
          <w:highlight w:val="none"/>
          <w:lang w:eastAsia="zh-CN"/>
        </w:rPr>
        <w:t>重庆市忠县忠州街道鸣玉溪大道99号2号楼12楼</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p>
    <w:p w14:paraId="74F6EE8D">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（七）提交响应文件开始时间：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w:t>
      </w:r>
      <w:r>
        <w:rPr>
          <w:rFonts w:hint="eastAsia" w:ascii="宋体" w:hAnsi="宋体" w:cs="宋体"/>
          <w:bCs/>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bCs/>
          <w:color w:val="auto"/>
          <w:sz w:val="24"/>
          <w:szCs w:val="24"/>
          <w:highlight w:val="none"/>
          <w:lang w:val="en-US" w:eastAsia="zh-CN"/>
        </w:rPr>
        <w:t>00</w:t>
      </w:r>
      <w:r>
        <w:rPr>
          <w:rFonts w:hint="eastAsia" w:ascii="宋体" w:hAnsi="宋体" w:cs="宋体"/>
          <w:bCs/>
          <w:color w:val="auto"/>
          <w:sz w:val="24"/>
          <w:szCs w:val="24"/>
          <w:highlight w:val="none"/>
        </w:rPr>
        <w:t>分。</w:t>
      </w:r>
    </w:p>
    <w:p w14:paraId="1156F605">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（八）提交响应文件截止时间：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w:t>
      </w:r>
      <w:r>
        <w:rPr>
          <w:rFonts w:hint="eastAsia" w:ascii="宋体" w:hAnsi="宋体" w:cs="宋体"/>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cs="宋体"/>
          <w:bCs/>
          <w:color w:val="auto"/>
          <w:sz w:val="24"/>
          <w:szCs w:val="24"/>
          <w:highlight w:val="none"/>
        </w:rPr>
        <w:t>分。</w:t>
      </w:r>
    </w:p>
    <w:p w14:paraId="1B742A6B">
      <w:pPr>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（九）磋商开始时间：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w:t>
      </w:r>
      <w:r>
        <w:rPr>
          <w:rFonts w:hint="eastAsia" w:ascii="宋体" w:hAnsi="宋体" w:cs="宋体"/>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cs="宋体"/>
          <w:bCs/>
          <w:color w:val="auto"/>
          <w:sz w:val="24"/>
          <w:szCs w:val="24"/>
          <w:highlight w:val="none"/>
        </w:rPr>
        <w:t>分。</w:t>
      </w:r>
      <w:bookmarkEnd w:id="8"/>
      <w:bookmarkEnd w:id="12"/>
      <w:bookmarkEnd w:id="13"/>
      <w:bookmarkStart w:id="14" w:name="_Toc479668114"/>
      <w:bookmarkStart w:id="15" w:name="_Toc480466698"/>
      <w:bookmarkStart w:id="16" w:name="_Toc499576199"/>
    </w:p>
    <w:p w14:paraId="25BEA372">
      <w:pPr>
        <w:pStyle w:val="3"/>
        <w:spacing w:before="0" w:after="0" w:line="440" w:lineRule="exact"/>
        <w:rPr>
          <w:rFonts w:ascii="宋体" w:hAnsi="宋体" w:eastAsia="宋体" w:cs="宋体"/>
          <w:color w:val="auto"/>
          <w:sz w:val="24"/>
          <w:szCs w:val="24"/>
          <w:highlight w:val="none"/>
        </w:rPr>
      </w:pPr>
      <w:bookmarkStart w:id="17" w:name="_Toc13746"/>
      <w:bookmarkStart w:id="18" w:name="_Toc5770"/>
      <w:r>
        <w:rPr>
          <w:rFonts w:hint="eastAsia" w:ascii="宋体" w:hAnsi="宋体" w:eastAsia="宋体" w:cs="宋体"/>
          <w:color w:val="auto"/>
          <w:sz w:val="24"/>
          <w:szCs w:val="24"/>
          <w:highlight w:val="none"/>
        </w:rPr>
        <w:t>五、保证金</w:t>
      </w:r>
      <w:bookmarkEnd w:id="17"/>
      <w:r>
        <w:rPr>
          <w:rFonts w:hint="eastAsia" w:ascii="宋体" w:hAnsi="宋体" w:eastAsia="宋体" w:cs="宋体"/>
          <w:color w:val="auto"/>
          <w:sz w:val="24"/>
          <w:szCs w:val="24"/>
          <w:highlight w:val="none"/>
        </w:rPr>
        <w:t>（本项目无）</w:t>
      </w:r>
      <w:bookmarkEnd w:id="18"/>
    </w:p>
    <w:p w14:paraId="5DCBD73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（一）保证金递交</w:t>
      </w:r>
    </w:p>
    <w:p w14:paraId="5FBB6163">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供应商须按本项目规定的保证金金额进行缴纳（保证金金额详见本篇，一、竞争性磋商文件内容），由供应商从其基本账户将保证金汇至以下账户，保证金的到账截止时间同提交响应文件截止时间。</w:t>
      </w:r>
    </w:p>
    <w:p w14:paraId="24F65C3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保证金专用账户</w:t>
      </w:r>
    </w:p>
    <w:p w14:paraId="7F81D77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户  名：重庆鼎创招标代理有限公司</w:t>
      </w:r>
    </w:p>
    <w:p w14:paraId="0DB63358">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开户行：招商银行重庆分行江北支行 </w:t>
      </w:r>
    </w:p>
    <w:p w14:paraId="5FC77072">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账  号：123911157910901</w:t>
      </w:r>
    </w:p>
    <w:p w14:paraId="4D8B9FE8">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1、各供应商在银行转账（电汇）时，须充分考虑银行转账（电汇）的时间差风险，如同城转账、异地转账或汇款、跨行转账或电汇的时间要求。</w:t>
      </w:r>
    </w:p>
    <w:p w14:paraId="5718D24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2、各供应商在递交保证金时，到款账户为上述指定的保证金专用账户，来款账户必须为本公司基本账户。</w:t>
      </w:r>
    </w:p>
    <w:p w14:paraId="17C22AF9">
      <w:pPr>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 xml:space="preserve"> 注：各供应商在通过银行转账（电汇）递交保证金时，须在包含但不限于“汇款备注、用途、摘要”栏说明该款项为“磋商保证金”若供应商未按以上要求说明款项用途的，在保证金退还时造成的后果由供应商自行承担。</w:t>
      </w:r>
    </w:p>
    <w:p w14:paraId="40702BEB">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（二）保证金退还方式</w:t>
      </w:r>
    </w:p>
    <w:p w14:paraId="7FA17E3A">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1、未成交供应商的磋商保证金，在成交通知书发放后，由采购代理机构在五个工作日内按来款渠道直接退还。</w:t>
      </w:r>
    </w:p>
    <w:p w14:paraId="5476ACAA">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2、成交供应商的磋商保证金，在成交供应商与采购人签订合同后，由采购代理机构在五个工作日内按资金来款渠道直接退还。</w:t>
      </w:r>
    </w:p>
    <w:p w14:paraId="2750706A">
      <w:pPr>
        <w:pStyle w:val="3"/>
        <w:spacing w:before="0" w:after="0" w:line="440" w:lineRule="exact"/>
        <w:rPr>
          <w:rFonts w:ascii="宋体" w:hAnsi="宋体" w:eastAsia="宋体" w:cs="宋体"/>
          <w:color w:val="auto"/>
          <w:sz w:val="24"/>
          <w:szCs w:val="24"/>
          <w:highlight w:val="none"/>
        </w:rPr>
      </w:pPr>
      <w:bookmarkStart w:id="19" w:name="_Toc12533"/>
      <w:r>
        <w:rPr>
          <w:rFonts w:hint="eastAsia" w:ascii="宋体" w:hAnsi="宋体" w:eastAsia="宋体" w:cs="宋体"/>
          <w:color w:val="auto"/>
          <w:sz w:val="24"/>
          <w:szCs w:val="24"/>
          <w:highlight w:val="none"/>
        </w:rPr>
        <w:t>六、采购项目需落实的政府采购政策</w:t>
      </w:r>
      <w:bookmarkEnd w:id="14"/>
      <w:bookmarkEnd w:id="15"/>
      <w:bookmarkEnd w:id="16"/>
      <w:bookmarkEnd w:id="19"/>
    </w:p>
    <w:p w14:paraId="299A6783">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45176E9B">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（二）按照《财政部 工业和信息化部关于印发&lt;政府采购促进中小企业发展管理办法&gt;的通知》（财库〔2020〕46号）的规定，落实促进中小企业发展政策。</w:t>
      </w:r>
    </w:p>
    <w:p w14:paraId="30477D78">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（三）按照《财政部、司法部关于政府采购支持监狱企业发展有关问题的通知》（财库〔2014〕68号）的规定，落实支持监狱企业发展政策。</w:t>
      </w:r>
    </w:p>
    <w:p w14:paraId="10AFB60E">
      <w:pPr>
        <w:snapToGrid w:val="0"/>
        <w:spacing w:line="440" w:lineRule="exact"/>
        <w:ind w:firstLine="480" w:firstLineChars="200"/>
        <w:rPr>
          <w:rFonts w:ascii="宋体" w:hAnsi="宋体" w:cs="宋体"/>
          <w:color w:val="auto"/>
          <w:sz w:val="24"/>
          <w:szCs w:val="24"/>
          <w:highlight w:val="none"/>
        </w:rPr>
      </w:pPr>
      <w:bookmarkStart w:id="20" w:name="_Toc15260"/>
      <w:bookmarkStart w:id="21" w:name="_Toc6620"/>
      <w:bookmarkStart w:id="22" w:name="_Toc16319"/>
      <w:r>
        <w:rPr>
          <w:rFonts w:hint="eastAsia" w:ascii="宋体" w:hAnsi="宋体" w:cs="宋体"/>
          <w:color w:val="auto"/>
          <w:sz w:val="24"/>
          <w:szCs w:val="24"/>
          <w:highlight w:val="none"/>
        </w:rPr>
        <w:t>（四）按照《三部门联合发布关于促进残疾人就业政府采购政策的通知》（财库〔2017〕 141号）的规定，落实支持残疾人福利性单位发展政策。</w:t>
      </w:r>
      <w:bookmarkEnd w:id="20"/>
      <w:bookmarkEnd w:id="21"/>
      <w:bookmarkEnd w:id="22"/>
    </w:p>
    <w:p w14:paraId="70A4830E">
      <w:pPr>
        <w:pStyle w:val="3"/>
        <w:spacing w:before="0" w:after="0" w:line="440" w:lineRule="exact"/>
        <w:rPr>
          <w:rFonts w:ascii="宋体" w:hAnsi="宋体" w:eastAsia="宋体" w:cs="宋体"/>
          <w:color w:val="auto"/>
          <w:sz w:val="24"/>
          <w:szCs w:val="24"/>
          <w:highlight w:val="none"/>
        </w:rPr>
      </w:pPr>
      <w:bookmarkStart w:id="23" w:name="_Toc816"/>
      <w:r>
        <w:rPr>
          <w:rFonts w:hint="eastAsia" w:ascii="宋体" w:hAnsi="宋体" w:eastAsia="宋体" w:cs="宋体"/>
          <w:color w:val="auto"/>
          <w:sz w:val="24"/>
          <w:szCs w:val="24"/>
          <w:highlight w:val="none"/>
        </w:rPr>
        <w:t>七、其它有关规定</w:t>
      </w:r>
      <w:bookmarkEnd w:id="23"/>
    </w:p>
    <w:p w14:paraId="28B83927">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（一）单位负责人为同一人或者存在直接控股、管理关系的不同供应商，不得参加同一合同项下的政府采购活动，否则均为无效响应。</w:t>
      </w:r>
    </w:p>
    <w:p w14:paraId="269A6BD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（二）为采购项目提供整体设计、规范编制或者项目管理、监理、检测等服务的供应商，不得再参加该采购项目的其他采购活动，否则均为无效响应。</w:t>
      </w:r>
    </w:p>
    <w:p w14:paraId="0DA8E17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（三）本项目的补遗文件（如果有）一律在“行采家”上发布，请各供应商注意下载；无论供应商下载与否，均视同供应商已知晓本项目补遗文件（如果有）的内容。</w:t>
      </w:r>
    </w:p>
    <w:p w14:paraId="0061520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（四）超过响应文件截止时间递交的响应文件，恕不接收。</w:t>
      </w:r>
    </w:p>
    <w:p w14:paraId="06A655CB">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（五）磋商费用：无论磋商结果如何，供应商参与本项目磋商的所有费用均应由供应商自行承担。</w:t>
      </w:r>
    </w:p>
    <w:p w14:paraId="4BB3EF00">
      <w:pPr>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（六）本项目不接受联合体参与磋商。</w:t>
      </w:r>
    </w:p>
    <w:p w14:paraId="4C00F947">
      <w:pPr>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（七）本项目不接受分包。</w:t>
      </w:r>
    </w:p>
    <w:p w14:paraId="49712FA1">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八</w:t>
      </w:r>
      <w:r>
        <w:rPr>
          <w:rFonts w:hint="eastAsia" w:ascii="宋体" w:hAnsi="宋体" w:cs="宋体"/>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CF49040">
      <w:pPr>
        <w:pStyle w:val="3"/>
        <w:spacing w:before="0" w:after="0" w:line="440" w:lineRule="exact"/>
        <w:rPr>
          <w:rFonts w:ascii="宋体" w:hAnsi="宋体" w:eastAsia="宋体" w:cs="宋体"/>
          <w:color w:val="auto"/>
          <w:sz w:val="24"/>
          <w:szCs w:val="24"/>
          <w:highlight w:val="none"/>
        </w:rPr>
      </w:pPr>
      <w:bookmarkStart w:id="24" w:name="_Toc16188"/>
      <w:r>
        <w:rPr>
          <w:rFonts w:hint="eastAsia" w:ascii="宋体" w:hAnsi="宋体" w:eastAsia="宋体" w:cs="宋体"/>
          <w:color w:val="auto"/>
          <w:sz w:val="24"/>
          <w:szCs w:val="24"/>
          <w:highlight w:val="none"/>
        </w:rPr>
        <w:t>八、联系方式</w:t>
      </w:r>
      <w:bookmarkEnd w:id="24"/>
    </w:p>
    <w:p w14:paraId="137BF66A">
      <w:pPr>
        <w:snapToGrid w:val="0"/>
        <w:spacing w:line="440" w:lineRule="exact"/>
        <w:ind w:firstLine="240" w:firstLineChars="1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（一）采购人：</w:t>
      </w:r>
      <w:r>
        <w:rPr>
          <w:rFonts w:hint="eastAsia" w:ascii="宋体" w:hAnsi="宋体" w:cs="宋体"/>
          <w:color w:val="auto"/>
          <w:sz w:val="24"/>
          <w:szCs w:val="24"/>
          <w:highlight w:val="none"/>
          <w:lang w:eastAsia="zh-CN"/>
        </w:rPr>
        <w:t>忠县就业和人才中心</w:t>
      </w:r>
    </w:p>
    <w:p w14:paraId="4C34EE8E">
      <w:pPr>
        <w:spacing w:line="440" w:lineRule="exact"/>
        <w:ind w:firstLine="960" w:firstLine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eastAsia="宋体" w:cs="宋体"/>
          <w:color w:val="auto"/>
          <w:sz w:val="24"/>
          <w:szCs w:val="24"/>
          <w:highlight w:val="none"/>
          <w:lang w:val="en-US" w:eastAsia="zh-CN"/>
        </w:rPr>
        <w:t>冉老师</w:t>
      </w:r>
    </w:p>
    <w:p w14:paraId="0ADEFEBF">
      <w:pPr>
        <w:spacing w:line="440" w:lineRule="exact"/>
        <w:ind w:firstLine="960" w:firstLineChars="4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电  话：15823735900</w:t>
      </w:r>
    </w:p>
    <w:p w14:paraId="242E4463">
      <w:pPr>
        <w:spacing w:line="440" w:lineRule="exact"/>
        <w:ind w:firstLine="960" w:firstLineChars="400"/>
        <w:rPr>
          <w:rFonts w:ascii="宋体" w:hAnsi="宋体" w:cs="宋体"/>
          <w:color w:val="auto"/>
          <w:sz w:val="24"/>
          <w:szCs w:val="24"/>
          <w:highlight w:val="none"/>
        </w:rPr>
      </w:pPr>
      <w:r>
        <w:rPr>
          <w:rFonts w:hint="eastAsia" w:ascii="宋体" w:hAnsi="宋体" w:cs="宋体"/>
          <w:color w:val="auto"/>
          <w:sz w:val="24"/>
          <w:szCs w:val="24"/>
          <w:highlight w:val="none"/>
        </w:rPr>
        <w:t>地  址：</w:t>
      </w:r>
      <w:r>
        <w:rPr>
          <w:rFonts w:hint="eastAsia" w:ascii="宋体" w:hAnsi="宋体" w:eastAsia="宋体" w:cs="宋体"/>
          <w:color w:val="auto"/>
          <w:sz w:val="24"/>
          <w:szCs w:val="24"/>
          <w:highlight w:val="none"/>
          <w:lang w:eastAsia="zh-CN"/>
        </w:rPr>
        <w:t>重庆市忠县忠州街道鸣玉溪大道</w:t>
      </w:r>
      <w:r>
        <w:rPr>
          <w:rFonts w:hint="eastAsia" w:ascii="宋体" w:hAnsi="宋体" w:eastAsia="宋体" w:cs="宋体"/>
          <w:color w:val="auto"/>
          <w:sz w:val="24"/>
          <w:szCs w:val="24"/>
          <w:highlight w:val="none"/>
          <w:lang w:val="en-US" w:eastAsia="zh-CN"/>
        </w:rPr>
        <w:t>99号2号楼12楼</w:t>
      </w:r>
    </w:p>
    <w:p w14:paraId="6479EB3C">
      <w:pPr>
        <w:spacing w:line="440" w:lineRule="exact"/>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（二）采购代理机构：重庆鼎创招标代理有限公司</w:t>
      </w:r>
    </w:p>
    <w:p w14:paraId="59B65632">
      <w:pPr>
        <w:spacing w:line="440" w:lineRule="exact"/>
        <w:ind w:left="1672" w:leftChars="340" w:hanging="720" w:hangingChars="3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联系人：范老师</w:t>
      </w:r>
    </w:p>
    <w:p w14:paraId="78EE482F">
      <w:pPr>
        <w:spacing w:line="440" w:lineRule="exact"/>
        <w:ind w:left="1672" w:leftChars="340" w:hanging="720" w:hangingChars="3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  话：023-67865997  17384098647</w:t>
      </w:r>
    </w:p>
    <w:p w14:paraId="4D9A3F93">
      <w:pPr>
        <w:spacing w:line="440" w:lineRule="exact"/>
        <w:ind w:left="1672" w:leftChars="340" w:hanging="720" w:hangingChars="300"/>
        <w:jc w:val="both"/>
        <w:rPr>
          <w:rFonts w:ascii="宋体" w:hAnsi="宋体" w:cs="宋体"/>
          <w:color w:val="auto"/>
          <w:sz w:val="24"/>
          <w:szCs w:val="24"/>
          <w:highlight w:val="none"/>
        </w:rPr>
      </w:pPr>
      <w:r>
        <w:rPr>
          <w:rFonts w:hint="eastAsia" w:ascii="宋体" w:hAnsi="宋体" w:cs="宋体"/>
          <w:color w:val="auto"/>
          <w:sz w:val="24"/>
          <w:szCs w:val="24"/>
          <w:highlight w:val="none"/>
        </w:rPr>
        <w:t>地  址：重庆市渝北区创意公园18栋2单元3-2（重庆市渝北区食品城大道18号）</w:t>
      </w:r>
    </w:p>
    <w:p w14:paraId="345A3D60">
      <w:pPr>
        <w:spacing w:line="460" w:lineRule="exact"/>
        <w:ind w:firstLine="480" w:firstLineChars="200"/>
        <w:rPr>
          <w:rFonts w:ascii="宋体" w:hAnsi="宋体" w:cs="宋体"/>
          <w:color w:val="auto"/>
          <w:sz w:val="24"/>
          <w:szCs w:val="24"/>
          <w:highlight w:val="none"/>
        </w:rPr>
      </w:pPr>
    </w:p>
    <w:p w14:paraId="53CF9D80">
      <w:pPr>
        <w:rPr>
          <w:rFonts w:ascii="宋体" w:hAnsi="宋体" w:cs="宋体"/>
          <w:color w:val="auto"/>
          <w:sz w:val="24"/>
          <w:szCs w:val="24"/>
          <w:highlight w:val="none"/>
        </w:rPr>
        <w:sectPr>
          <w:pgSz w:w="11907" w:h="16840"/>
          <w:pgMar w:top="1134" w:right="1418" w:bottom="1134" w:left="1418" w:header="964" w:footer="992" w:gutter="0"/>
          <w:cols w:space="720" w:num="1"/>
          <w:rtlGutter w:val="1"/>
          <w:docGrid w:linePitch="312" w:charSpace="0"/>
        </w:sectPr>
      </w:pPr>
    </w:p>
    <w:p w14:paraId="5794CDF9">
      <w:pPr>
        <w:pStyle w:val="2"/>
        <w:pageBreakBefore w:val="0"/>
        <w:widowControl w:val="0"/>
        <w:numPr>
          <w:ilvl w:val="0"/>
          <w:numId w:val="1"/>
        </w:numPr>
        <w:kinsoku/>
        <w:wordWrap/>
        <w:overflowPunct/>
        <w:topLinePunct w:val="0"/>
        <w:autoSpaceDE/>
        <w:autoSpaceDN/>
        <w:bidi w:val="0"/>
        <w:spacing w:line="360" w:lineRule="auto"/>
        <w:ind w:firstLine="883" w:firstLineChars="200"/>
        <w:jc w:val="center"/>
        <w:textAlignment w:val="auto"/>
        <w:rPr>
          <w:rFonts w:hAnsi="宋体" w:cs="宋体"/>
          <w:b/>
          <w:color w:val="auto"/>
          <w:sz w:val="44"/>
          <w:szCs w:val="44"/>
          <w:highlight w:val="none"/>
        </w:rPr>
      </w:pPr>
      <w:r>
        <w:rPr>
          <w:rFonts w:hint="eastAsia" w:hAnsi="宋体" w:cs="宋体"/>
          <w:b/>
          <w:color w:val="auto"/>
          <w:sz w:val="44"/>
          <w:szCs w:val="44"/>
          <w:highlight w:val="none"/>
          <w:lang w:val="en-US" w:eastAsia="zh-CN"/>
        </w:rPr>
        <w:t xml:space="preserve">  </w:t>
      </w:r>
      <w:bookmarkStart w:id="25" w:name="_Toc27987"/>
      <w:r>
        <w:rPr>
          <w:rFonts w:hint="eastAsia" w:hAnsi="宋体" w:cs="宋体"/>
          <w:b/>
          <w:color w:val="auto"/>
          <w:sz w:val="44"/>
          <w:szCs w:val="44"/>
          <w:highlight w:val="none"/>
        </w:rPr>
        <w:t>采购服务需求</w:t>
      </w:r>
      <w:bookmarkEnd w:id="25"/>
      <w:bookmarkStart w:id="26" w:name="_Toc12789058"/>
    </w:p>
    <w:p w14:paraId="39103A3B">
      <w:pPr>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“※”标注的采购服务需求为符合性审查中的实质性要求，响应文件若不满足按无效响应处理。</w:t>
      </w:r>
    </w:p>
    <w:p w14:paraId="1E144B73">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rPr>
      </w:pPr>
      <w:bookmarkStart w:id="27" w:name="_Toc13233"/>
      <w:bookmarkStart w:id="28" w:name="_Toc3338"/>
      <w:r>
        <w:rPr>
          <w:rFonts w:hint="eastAsia" w:ascii="宋体" w:hAnsi="宋体" w:eastAsia="宋体" w:cs="宋体"/>
          <w:color w:val="auto"/>
          <w:sz w:val="24"/>
          <w:szCs w:val="24"/>
          <w:highlight w:val="none"/>
        </w:rPr>
        <w:t>※一、</w:t>
      </w:r>
      <w:bookmarkStart w:id="29" w:name="_Toc5937"/>
      <w:bookmarkStart w:id="30" w:name="_Toc2759"/>
      <w:bookmarkStart w:id="31" w:name="_Toc535311830"/>
      <w:bookmarkStart w:id="32" w:name="_Toc3211"/>
      <w:bookmarkStart w:id="33" w:name="_Toc19115"/>
      <w:r>
        <w:rPr>
          <w:rFonts w:hint="eastAsia" w:ascii="宋体" w:hAnsi="宋体" w:eastAsia="宋体" w:cs="宋体"/>
          <w:color w:val="auto"/>
          <w:sz w:val="24"/>
          <w:szCs w:val="24"/>
          <w:highlight w:val="none"/>
        </w:rPr>
        <w:t>项目</w:t>
      </w:r>
      <w:bookmarkEnd w:id="29"/>
      <w:bookmarkEnd w:id="30"/>
      <w:bookmarkEnd w:id="31"/>
      <w:bookmarkEnd w:id="32"/>
      <w:r>
        <w:rPr>
          <w:rFonts w:hint="eastAsia" w:ascii="宋体" w:hAnsi="宋体" w:eastAsia="宋体" w:cs="宋体"/>
          <w:color w:val="auto"/>
          <w:sz w:val="24"/>
          <w:szCs w:val="24"/>
          <w:highlight w:val="none"/>
          <w:lang w:val="en-US" w:eastAsia="zh-CN"/>
        </w:rPr>
        <w:t>一览表</w:t>
      </w:r>
      <w:bookmarkEnd w:id="27"/>
      <w:bookmarkEnd w:id="28"/>
      <w:bookmarkEnd w:id="33"/>
    </w:p>
    <w:tbl>
      <w:tblPr>
        <w:tblStyle w:val="57"/>
        <w:tblW w:w="9687" w:type="dxa"/>
        <w:tblInd w:w="-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4"/>
        <w:gridCol w:w="3043"/>
        <w:gridCol w:w="3813"/>
        <w:gridCol w:w="1637"/>
      </w:tblGrid>
      <w:tr w14:paraId="6F3A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FFD4">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bookmarkStart w:id="34" w:name="_Toc30350"/>
            <w:r>
              <w:rPr>
                <w:rFonts w:hint="eastAsia" w:ascii="宋体" w:hAnsi="宋体" w:eastAsia="宋体" w:cs="宋体"/>
                <w:b/>
                <w:bCs/>
                <w:color w:val="auto"/>
                <w:sz w:val="24"/>
                <w:szCs w:val="18"/>
                <w:highlight w:val="none"/>
                <w:vertAlign w:val="baseline"/>
                <w:lang w:val="en-US" w:eastAsia="zh-CN"/>
              </w:rPr>
              <w:t>序号</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F225">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color w:val="auto"/>
                <w:sz w:val="24"/>
                <w:szCs w:val="18"/>
                <w:highlight w:val="none"/>
                <w:vertAlign w:val="baseline"/>
                <w:lang w:val="en-US" w:eastAsia="zh-CN"/>
              </w:rPr>
              <w:t>项目内容</w:t>
            </w:r>
          </w:p>
        </w:tc>
        <w:tc>
          <w:tcPr>
            <w:tcW w:w="381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D81CA0B">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color w:val="auto"/>
                <w:sz w:val="24"/>
                <w:szCs w:val="18"/>
                <w:highlight w:val="none"/>
                <w:vertAlign w:val="baseline"/>
                <w:lang w:val="en-US" w:eastAsia="zh-CN"/>
              </w:rPr>
              <w:t>数量/单位</w:t>
            </w:r>
          </w:p>
        </w:tc>
        <w:tc>
          <w:tcPr>
            <w:tcW w:w="163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EC177A">
            <w:pPr>
              <w:pageBreakBefore w:val="0"/>
              <w:widowControl w:val="0"/>
              <w:kinsoku/>
              <w:wordWrap/>
              <w:overflowPunct/>
              <w:topLinePunct w:val="0"/>
              <w:autoSpaceDE/>
              <w:autoSpaceDN/>
              <w:bidi w:val="0"/>
              <w:spacing w:line="240" w:lineRule="auto"/>
              <w:jc w:val="center"/>
              <w:textAlignment w:val="auto"/>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color w:val="auto"/>
                <w:sz w:val="24"/>
                <w:szCs w:val="18"/>
                <w:highlight w:val="none"/>
                <w:vertAlign w:val="baseline"/>
                <w:lang w:val="en-US" w:eastAsia="zh-CN"/>
              </w:rPr>
              <w:t>备注</w:t>
            </w:r>
          </w:p>
        </w:tc>
      </w:tr>
      <w:tr w14:paraId="2255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7FB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highlight w:val="none"/>
                <w:vertAlign w:val="baseline"/>
                <w:lang w:val="en-US" w:eastAsia="zh-CN"/>
              </w:rPr>
              <w:t>1</w:t>
            </w:r>
          </w:p>
        </w:tc>
        <w:tc>
          <w:tcPr>
            <w:tcW w:w="3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591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auto"/>
                <w:sz w:val="24"/>
                <w:szCs w:val="24"/>
                <w:highlight w:val="none"/>
                <w:lang w:val="en-US" w:eastAsia="zh-CN"/>
              </w:rPr>
              <w:t>2025年忠县流动人员人事档案数字处理和维护项目</w:t>
            </w:r>
            <w:r>
              <w:rPr>
                <w:rFonts w:hint="eastAsia" w:ascii="宋体" w:hAnsi="宋体" w:eastAsia="宋体" w:cs="宋体"/>
                <w:color w:val="auto"/>
                <w:sz w:val="24"/>
                <w:szCs w:val="24"/>
                <w:highlight w:val="none"/>
                <w:lang w:val="en-US" w:eastAsia="zh-CN"/>
              </w:rPr>
              <w:t xml:space="preserve"> </w:t>
            </w:r>
          </w:p>
        </w:tc>
        <w:tc>
          <w:tcPr>
            <w:tcW w:w="381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F91EF0C">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val="0"/>
                <w:color w:val="auto"/>
                <w:sz w:val="24"/>
                <w:szCs w:val="18"/>
                <w:highlight w:val="none"/>
                <w:vertAlign w:val="baseline"/>
                <w:lang w:val="en-US" w:eastAsia="zh-CN"/>
              </w:rPr>
              <w:t>1/项</w:t>
            </w:r>
          </w:p>
        </w:tc>
        <w:tc>
          <w:tcPr>
            <w:tcW w:w="163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ACBEE0">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i w:val="0"/>
                <w:iCs w:val="0"/>
                <w:color w:val="auto"/>
                <w:kern w:val="0"/>
                <w:sz w:val="24"/>
                <w:szCs w:val="24"/>
                <w:highlight w:val="none"/>
                <w:u w:val="none"/>
                <w:lang w:val="en-US" w:eastAsia="zh-CN" w:bidi="ar"/>
              </w:rPr>
            </w:pPr>
          </w:p>
        </w:tc>
      </w:tr>
      <w:bookmarkEnd w:id="34"/>
    </w:tbl>
    <w:p w14:paraId="46444D45">
      <w:pPr>
        <w:pStyle w:val="3"/>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asciiTheme="minorEastAsia" w:hAnsiTheme="minorEastAsia" w:eastAsiaTheme="minorEastAsia" w:cstheme="minorEastAsia"/>
          <w:color w:val="auto"/>
          <w:sz w:val="24"/>
          <w:szCs w:val="24"/>
          <w:highlight w:val="none"/>
        </w:rPr>
      </w:pPr>
      <w:bookmarkStart w:id="35" w:name="_Toc14624"/>
      <w:bookmarkStart w:id="36" w:name="_Toc16569"/>
      <w:bookmarkStart w:id="37" w:name="_Toc32227"/>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bookmarkEnd w:id="35"/>
      <w:bookmarkEnd w:id="36"/>
      <w:r>
        <w:rPr>
          <w:rFonts w:hint="eastAsia" w:ascii="宋体" w:hAnsi="宋体" w:eastAsia="宋体" w:cs="宋体"/>
          <w:b/>
          <w:color w:val="auto"/>
          <w:sz w:val="24"/>
          <w:szCs w:val="24"/>
          <w:highlight w:val="none"/>
          <w:lang w:val="en-US" w:eastAsia="zh-CN"/>
        </w:rPr>
        <w:t>项目概况</w:t>
      </w:r>
      <w:bookmarkEnd w:id="37"/>
    </w:p>
    <w:p w14:paraId="0A8CF7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color w:val="auto"/>
          <w:spacing w:val="0"/>
          <w:kern w:val="2"/>
          <w:sz w:val="24"/>
          <w:szCs w:val="24"/>
          <w:highlight w:val="none"/>
          <w:lang w:val="en-US" w:eastAsia="zh-CN" w:bidi="ar"/>
        </w:rPr>
      </w:pPr>
      <w:bookmarkStart w:id="38" w:name="_Toc19364"/>
      <w:r>
        <w:rPr>
          <w:rFonts w:hint="eastAsia" w:ascii="宋体" w:hAnsi="宋体" w:eastAsia="宋体" w:cs="宋体"/>
          <w:color w:val="auto"/>
          <w:sz w:val="24"/>
          <w:szCs w:val="24"/>
          <w:highlight w:val="none"/>
        </w:rPr>
        <w:t>采购人向用人单位和各类人才提供流动人员人事档案接收、整理、管理、转递等公共服务。为进一步推进流动人员人事档案信息化建设，持续做好流动人员人事档案数字化工作，提升档案管理水平，推动档案服务提质增效，拟继续采购流动人员人事档案数字化加工服务项目。</w:t>
      </w:r>
      <w:bookmarkEnd w:id="38"/>
    </w:p>
    <w:p w14:paraId="41BAE6EF">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val="en-US" w:eastAsia="zh-CN"/>
        </w:rPr>
      </w:pPr>
      <w:bookmarkStart w:id="39" w:name="_Toc4488"/>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三</w:t>
      </w:r>
      <w:r>
        <w:rPr>
          <w:rFonts w:hint="eastAsia" w:asciiTheme="minorEastAsia" w:hAnsiTheme="minorEastAsia" w:eastAsiaTheme="minorEastAsia" w:cstheme="minorEastAsia"/>
          <w:color w:val="auto"/>
          <w:sz w:val="24"/>
          <w:szCs w:val="24"/>
          <w:highlight w:val="none"/>
        </w:rPr>
        <w:t>、</w:t>
      </w:r>
      <w:r>
        <w:rPr>
          <w:rFonts w:hint="eastAsia" w:ascii="宋体" w:hAnsi="宋体" w:eastAsia="宋体" w:cs="宋体"/>
          <w:b/>
          <w:color w:val="auto"/>
          <w:sz w:val="24"/>
          <w:szCs w:val="24"/>
          <w:highlight w:val="none"/>
          <w:lang w:val="en-US" w:eastAsia="zh-CN"/>
        </w:rPr>
        <w:t>项目主要内容及需求</w:t>
      </w:r>
      <w:bookmarkEnd w:id="39"/>
    </w:p>
    <w:p w14:paraId="11404AAE">
      <w:pPr>
        <w:keepNext w:val="0"/>
        <w:keepLines w:val="0"/>
        <w:pageBreakBefore w:val="0"/>
        <w:widowControl w:val="0"/>
        <w:kinsoku/>
        <w:wordWrap/>
        <w:overflowPunct/>
        <w:topLinePunct w:val="0"/>
        <w:autoSpaceDE/>
        <w:autoSpaceDN/>
        <w:bidi w:val="0"/>
        <w:adjustRightInd/>
        <w:snapToGrid w:val="0"/>
        <w:spacing w:line="360" w:lineRule="auto"/>
        <w:ind w:firstLine="361" w:firstLineChars="150"/>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（一）项目内容</w:t>
      </w:r>
    </w:p>
    <w:p w14:paraId="1A0003E0">
      <w:pPr>
        <w:pageBreakBefore w:val="0"/>
        <w:widowControl w:val="0"/>
        <w:kinsoku/>
        <w:wordWrap/>
        <w:overflowPunct/>
        <w:topLinePunct w:val="0"/>
        <w:autoSpaceDE/>
        <w:autoSpaceDN/>
        <w:bidi w:val="0"/>
        <w:adjustRightInd/>
        <w:snapToGrid w:val="0"/>
        <w:spacing w:line="440" w:lineRule="exact"/>
        <w:ind w:firstLine="360" w:firstLineChars="15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旨在完成采购人新增的人事档案整理和数字化加工、档案维护工作，该部分档案大部分为A4幅面，含部分手写稿、油印稿、打印稿，部分档案附有照片和图纸，本次采购内容以卷或页为单位进行报价（报价需包括所有工作内容，详见报价要求）。</w:t>
      </w:r>
    </w:p>
    <w:p w14:paraId="544A06E5">
      <w:pPr>
        <w:pageBreakBefore w:val="0"/>
        <w:widowControl w:val="0"/>
        <w:kinsoku/>
        <w:wordWrap/>
        <w:overflowPunct/>
        <w:topLinePunct w:val="0"/>
        <w:autoSpaceDE/>
        <w:autoSpaceDN/>
        <w:bidi w:val="0"/>
        <w:adjustRightInd/>
        <w:snapToGrid w:val="0"/>
        <w:spacing w:line="440" w:lineRule="exact"/>
        <w:ind w:firstLine="360" w:firstLineChars="15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另：本项目采购人只提供场地、水电和监控网络环境，其余项目所需的工具及耗材费用，档案扫描工作中的所有设备、档案运输费用、工具与耗材费用均由供应商承担。</w:t>
      </w:r>
    </w:p>
    <w:tbl>
      <w:tblPr>
        <w:tblStyle w:val="57"/>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442"/>
        <w:gridCol w:w="1118"/>
        <w:gridCol w:w="1224"/>
        <w:gridCol w:w="1224"/>
        <w:gridCol w:w="1251"/>
        <w:gridCol w:w="2707"/>
      </w:tblGrid>
      <w:tr w14:paraId="0D7A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exact"/>
          <w:jc w:val="center"/>
        </w:trPr>
        <w:tc>
          <w:tcPr>
            <w:tcW w:w="274" w:type="pct"/>
            <w:noWrap w:val="0"/>
            <w:vAlign w:val="center"/>
          </w:tcPr>
          <w:p w14:paraId="693E44A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760" w:type="pct"/>
            <w:noWrap w:val="0"/>
            <w:vAlign w:val="center"/>
          </w:tcPr>
          <w:p w14:paraId="384F57A8">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名称</w:t>
            </w:r>
          </w:p>
        </w:tc>
        <w:tc>
          <w:tcPr>
            <w:tcW w:w="589" w:type="pct"/>
            <w:noWrap w:val="0"/>
            <w:vAlign w:val="center"/>
          </w:tcPr>
          <w:p w14:paraId="3B7FB5E9">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预估数量/单位</w:t>
            </w:r>
          </w:p>
        </w:tc>
        <w:tc>
          <w:tcPr>
            <w:tcW w:w="645" w:type="pct"/>
            <w:noWrap w:val="0"/>
            <w:vAlign w:val="center"/>
          </w:tcPr>
          <w:p w14:paraId="37F6FE1A">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单价最高限价</w:t>
            </w:r>
            <w:r>
              <w:rPr>
                <w:rFonts w:hint="eastAsia" w:ascii="宋体" w:hAnsi="宋体" w:eastAsia="宋体" w:cs="宋体"/>
                <w:b/>
                <w:bCs w:val="0"/>
                <w:color w:val="auto"/>
                <w:sz w:val="24"/>
                <w:szCs w:val="24"/>
                <w:highlight w:val="none"/>
                <w:lang w:val="en-US" w:eastAsia="zh-CN"/>
              </w:rPr>
              <w:t>（元/卷或年）</w:t>
            </w:r>
          </w:p>
        </w:tc>
        <w:tc>
          <w:tcPr>
            <w:tcW w:w="645" w:type="pct"/>
            <w:noWrap w:val="0"/>
            <w:vAlign w:val="center"/>
          </w:tcPr>
          <w:p w14:paraId="2D2E5C03">
            <w:pPr>
              <w:snapToGrid w:val="0"/>
              <w:jc w:val="center"/>
              <w:outlineLvl w:val="0"/>
              <w:rPr>
                <w:rFonts w:hint="eastAsia" w:ascii="宋体" w:hAnsi="宋体" w:cs="宋体"/>
                <w:b/>
                <w:bCs/>
                <w:color w:val="auto"/>
                <w:sz w:val="24"/>
                <w:szCs w:val="24"/>
                <w:highlight w:val="none"/>
              </w:rPr>
            </w:pPr>
            <w:r>
              <w:rPr>
                <w:rFonts w:hint="eastAsia" w:ascii="宋体" w:hAnsi="宋体" w:eastAsia="宋体" w:cs="宋体"/>
                <w:b/>
                <w:bCs w:val="0"/>
                <w:color w:val="auto"/>
                <w:sz w:val="24"/>
                <w:szCs w:val="24"/>
                <w:highlight w:val="none"/>
                <w:lang w:val="en-US" w:eastAsia="zh-CN"/>
              </w:rPr>
              <w:t>分项最高限价（元/卷或年）</w:t>
            </w:r>
          </w:p>
        </w:tc>
        <w:tc>
          <w:tcPr>
            <w:tcW w:w="659" w:type="pct"/>
            <w:noWrap w:val="0"/>
            <w:vAlign w:val="center"/>
          </w:tcPr>
          <w:p w14:paraId="77E24583">
            <w:pPr>
              <w:jc w:val="center"/>
              <w:rPr>
                <w:rFonts w:ascii="宋体" w:hAnsi="宋体" w:cs="宋体"/>
                <w:b/>
                <w:bCs/>
                <w:color w:val="auto"/>
                <w:sz w:val="24"/>
                <w:szCs w:val="24"/>
                <w:highlight w:val="none"/>
              </w:rPr>
            </w:pPr>
            <w:r>
              <w:rPr>
                <w:rFonts w:hint="eastAsia" w:ascii="宋体" w:hAnsi="宋体" w:eastAsia="宋体" w:cs="宋体"/>
                <w:b/>
                <w:bCs w:val="0"/>
                <w:color w:val="auto"/>
                <w:sz w:val="24"/>
                <w:szCs w:val="24"/>
                <w:highlight w:val="none"/>
                <w:lang w:eastAsia="zh-CN"/>
              </w:rPr>
              <w:t>总价最高限价（元）</w:t>
            </w:r>
          </w:p>
        </w:tc>
        <w:tc>
          <w:tcPr>
            <w:tcW w:w="1426" w:type="pct"/>
            <w:noWrap w:val="0"/>
            <w:vAlign w:val="center"/>
          </w:tcPr>
          <w:p w14:paraId="28BB35A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053A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jc w:val="center"/>
        </w:trPr>
        <w:tc>
          <w:tcPr>
            <w:tcW w:w="274" w:type="pct"/>
            <w:noWrap w:val="0"/>
            <w:vAlign w:val="center"/>
          </w:tcPr>
          <w:p w14:paraId="3185465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760" w:type="pct"/>
            <w:noWrap w:val="0"/>
            <w:vAlign w:val="center"/>
          </w:tcPr>
          <w:p w14:paraId="671BEC3E">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新增档案整理及数字化加工</w:t>
            </w:r>
          </w:p>
        </w:tc>
        <w:tc>
          <w:tcPr>
            <w:tcW w:w="589" w:type="pct"/>
            <w:noWrap w:val="0"/>
            <w:vAlign w:val="center"/>
          </w:tcPr>
          <w:p w14:paraId="5A33DE46">
            <w:pPr>
              <w:jc w:val="center"/>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lang w:val="en-US" w:eastAsia="zh-CN"/>
              </w:rPr>
              <w:t>6800卷</w:t>
            </w:r>
          </w:p>
        </w:tc>
        <w:tc>
          <w:tcPr>
            <w:tcW w:w="645" w:type="pct"/>
            <w:noWrap w:val="0"/>
            <w:vAlign w:val="center"/>
          </w:tcPr>
          <w:p w14:paraId="2539498A">
            <w:pPr>
              <w:jc w:val="center"/>
              <w:rPr>
                <w:rFonts w:hint="default" w:ascii="宋体" w:hAnsi="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rPr>
              <w:t>47.5/卷</w:t>
            </w:r>
          </w:p>
        </w:tc>
        <w:tc>
          <w:tcPr>
            <w:tcW w:w="645" w:type="pct"/>
            <w:noWrap w:val="0"/>
            <w:vAlign w:val="center"/>
          </w:tcPr>
          <w:p w14:paraId="6D9CF5DF">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323000</w:t>
            </w:r>
          </w:p>
        </w:tc>
        <w:tc>
          <w:tcPr>
            <w:tcW w:w="659" w:type="pct"/>
            <w:vMerge w:val="restart"/>
            <w:noWrap w:val="0"/>
            <w:vAlign w:val="center"/>
          </w:tcPr>
          <w:p w14:paraId="639BB399">
            <w:pPr>
              <w:jc w:val="center"/>
              <w:rPr>
                <w:rFonts w:hint="default" w:ascii="宋体" w:hAnsi="宋体" w:cs="宋体"/>
                <w:color w:val="auto"/>
                <w:sz w:val="24"/>
                <w:szCs w:val="24"/>
                <w:highlight w:val="none"/>
                <w:lang w:val="en-US"/>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43000</w:t>
            </w:r>
          </w:p>
        </w:tc>
        <w:tc>
          <w:tcPr>
            <w:tcW w:w="1426" w:type="pct"/>
            <w:vMerge w:val="restart"/>
            <w:noWrap w:val="0"/>
            <w:vAlign w:val="center"/>
          </w:tcPr>
          <w:p w14:paraId="1204DD59">
            <w:pPr>
              <w:rPr>
                <w:rFonts w:hint="eastAsia" w:ascii="宋体" w:hAnsi="宋体" w:cs="宋体"/>
                <w:color w:val="auto"/>
                <w:sz w:val="24"/>
                <w:szCs w:val="24"/>
                <w:highlight w:val="none"/>
              </w:rPr>
            </w:pPr>
            <w:r>
              <w:rPr>
                <w:rFonts w:hint="eastAsia" w:ascii="宋体" w:hAnsi="宋体" w:cs="宋体"/>
                <w:color w:val="auto"/>
                <w:sz w:val="24"/>
                <w:szCs w:val="24"/>
                <w:highlight w:val="none"/>
              </w:rPr>
              <w:t>1.供应商的报价、单项报价不能超过最高限价。否则按无效响应处理。</w:t>
            </w:r>
          </w:p>
          <w:p w14:paraId="71FE36B0">
            <w:pPr>
              <w:rPr>
                <w:rFonts w:hint="eastAsia" w:ascii="宋体" w:hAnsi="宋体" w:cs="宋体"/>
                <w:color w:val="auto"/>
                <w:sz w:val="24"/>
                <w:szCs w:val="24"/>
                <w:highlight w:val="none"/>
              </w:rPr>
            </w:pPr>
            <w:r>
              <w:rPr>
                <w:rFonts w:hint="eastAsia" w:ascii="宋体" w:hAnsi="宋体" w:cs="宋体"/>
                <w:color w:val="auto"/>
                <w:sz w:val="24"/>
                <w:szCs w:val="24"/>
                <w:highlight w:val="none"/>
              </w:rPr>
              <w:t>2.本项目以成交单价作为结算依据，最终按实际数量据实结算。</w:t>
            </w:r>
          </w:p>
        </w:tc>
      </w:tr>
      <w:tr w14:paraId="60A0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exact"/>
          <w:jc w:val="center"/>
        </w:trPr>
        <w:tc>
          <w:tcPr>
            <w:tcW w:w="274" w:type="pct"/>
            <w:noWrap w:val="0"/>
            <w:vAlign w:val="center"/>
          </w:tcPr>
          <w:p w14:paraId="4A582A1B">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760" w:type="pct"/>
            <w:noWrap w:val="0"/>
            <w:vAlign w:val="center"/>
          </w:tcPr>
          <w:p w14:paraId="6DA8F142">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档案维护整理及数字化加工</w:t>
            </w:r>
          </w:p>
        </w:tc>
        <w:tc>
          <w:tcPr>
            <w:tcW w:w="589" w:type="pct"/>
            <w:noWrap w:val="0"/>
            <w:vAlign w:val="center"/>
          </w:tcPr>
          <w:p w14:paraId="25AB42BA">
            <w:pPr>
              <w:snapToGrid w:val="0"/>
              <w:jc w:val="center"/>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1年</w:t>
            </w:r>
          </w:p>
        </w:tc>
        <w:tc>
          <w:tcPr>
            <w:tcW w:w="645" w:type="pct"/>
            <w:noWrap w:val="0"/>
            <w:vAlign w:val="center"/>
          </w:tcPr>
          <w:p w14:paraId="063C1EAA">
            <w:pPr>
              <w:snapToGrid w:val="0"/>
              <w:jc w:val="center"/>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120000</w:t>
            </w:r>
          </w:p>
        </w:tc>
        <w:tc>
          <w:tcPr>
            <w:tcW w:w="645" w:type="pct"/>
            <w:noWrap w:val="0"/>
            <w:vAlign w:val="center"/>
          </w:tcPr>
          <w:p w14:paraId="592911BF">
            <w:pPr>
              <w:snapToGrid w:val="0"/>
              <w:jc w:val="center"/>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120000</w:t>
            </w:r>
          </w:p>
        </w:tc>
        <w:tc>
          <w:tcPr>
            <w:tcW w:w="659" w:type="pct"/>
            <w:vMerge w:val="continue"/>
            <w:noWrap w:val="0"/>
            <w:vAlign w:val="center"/>
          </w:tcPr>
          <w:p w14:paraId="61FAEC25">
            <w:pPr>
              <w:snapToGrid w:val="0"/>
              <w:spacing w:line="400" w:lineRule="exact"/>
              <w:jc w:val="center"/>
              <w:rPr>
                <w:rFonts w:hint="eastAsia" w:ascii="宋体" w:hAnsi="宋体" w:cs="宋体"/>
                <w:color w:val="auto"/>
                <w:sz w:val="24"/>
                <w:szCs w:val="24"/>
                <w:highlight w:val="none"/>
              </w:rPr>
            </w:pPr>
          </w:p>
        </w:tc>
        <w:tc>
          <w:tcPr>
            <w:tcW w:w="1426" w:type="pct"/>
            <w:vMerge w:val="continue"/>
            <w:noWrap w:val="0"/>
            <w:vAlign w:val="center"/>
          </w:tcPr>
          <w:p w14:paraId="323D9FBC">
            <w:pPr>
              <w:snapToGrid w:val="0"/>
              <w:spacing w:line="400" w:lineRule="exact"/>
              <w:jc w:val="center"/>
              <w:rPr>
                <w:rFonts w:hint="eastAsia" w:ascii="宋体" w:hAnsi="宋体" w:cs="宋体"/>
                <w:color w:val="auto"/>
                <w:sz w:val="24"/>
                <w:szCs w:val="24"/>
                <w:highlight w:val="none"/>
              </w:rPr>
            </w:pPr>
          </w:p>
        </w:tc>
      </w:tr>
    </w:tbl>
    <w:p w14:paraId="375E65FD">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rPr>
        <w:t>（二）</w:t>
      </w:r>
      <w:r>
        <w:rPr>
          <w:rFonts w:hint="eastAsia" w:ascii="宋体" w:hAnsi="宋体" w:cs="宋体"/>
          <w:b/>
          <w:bCs/>
          <w:color w:val="auto"/>
          <w:sz w:val="24"/>
          <w:szCs w:val="24"/>
          <w:highlight w:val="none"/>
          <w:lang w:val="en-US" w:eastAsia="zh-CN"/>
        </w:rPr>
        <w:t>项目需求</w:t>
      </w:r>
    </w:p>
    <w:p w14:paraId="702FAA7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本次项目主要是对采购人新增档案、库存档案进行整理和数字化加工、维护工作，工作内容如下：</w:t>
      </w:r>
    </w:p>
    <w:p w14:paraId="0FB939A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成交供应商需提供至少3名工作人员驻场服务。</w:t>
      </w:r>
    </w:p>
    <w:p w14:paraId="32808DF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1.新增档案整理及数字化加工工作内容：</w:t>
      </w:r>
    </w:p>
    <w:p w14:paraId="52D5CE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档案整理工作：按照需求分类排序、编制页码、打印目录、打孔、打印背脊、贴背脊、装盒等相关工作，所有耗材费用均由供应商承担，同时针对于部分需要插入材料进行更新的档案进行档案更新及材料插入工作。</w:t>
      </w:r>
    </w:p>
    <w:p w14:paraId="5664B3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档案数字化加工扫描工作：档案交接、分类前处理、著录条目信息、档案扫描、图像处理、特殊图像处理、图像质检、格式转换、编目建库、装订、贴背脊、装盒、总质检、归还上架、数据备份等各项工作，最终形成可供档案管理系统查询调阅的电子图像，并全部挂接至已有档案管理系统中，实现检索信息与相应的电子图像对应链接。</w:t>
      </w:r>
    </w:p>
    <w:p w14:paraId="3D8351B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2.档案维护整理及数字化加工工作内容：</w:t>
      </w:r>
    </w:p>
    <w:p w14:paraId="501398F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2.1对已数字化的档案及现有档案中需增加的档案材料,进行标准化维护和目录补充。</w:t>
      </w:r>
    </w:p>
    <w:p w14:paraId="61A7138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2.2对在库存档案中发现的未按照数字化标准加工的档案（如图像漏扫、错扫、信息著录错误等），进行标准化维护处理。</w:t>
      </w:r>
    </w:p>
    <w:p w14:paraId="7BC7D20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2.3对在库档案实时巡检，对发现的外观变形或破损等情形档案，进行标准化维护处理。</w:t>
      </w:r>
    </w:p>
    <w:p w14:paraId="7917C1D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2.4对库房环境实时巡检，排查安全隐患及不规范情况。</w:t>
      </w:r>
    </w:p>
    <w:p w14:paraId="6CD80D1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2.5对项目过程中的金保网相关硬件设施进行日常清洁、维护。</w:t>
      </w:r>
    </w:p>
    <w:p w14:paraId="4EC3FA5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（三）技术需求</w:t>
      </w:r>
    </w:p>
    <w:p w14:paraId="0B54C08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根据《中华人民共和国档案法》《干部人事档案工作条例》《干部档案整理工作细则》《人力资源社会保障部办公厅关于加快推进流动人员人事档案信息化建设的指导意见》《流动人员人事档案管理服务规定》《重庆市人力资源和社会保障局重庆市财政局关于进一步做好我市流动人员人事档案管理服务工作的通知》《重庆市流动人员人事档案管理基础数据规范》《重庆市流动人员人事档案数字化技术规范》《重庆市流动人员人事档案数字化安全规范》《重庆市流动人员人事档案管理服务规范》和人事档案整理及档案数字化加工相关法规工作规范要求，对采购人保管的流动人员人事档案及材料进行整理和数字化加工。</w:t>
      </w:r>
    </w:p>
    <w:p w14:paraId="06D70C3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1.新增档案整理工作要求</w:t>
      </w:r>
    </w:p>
    <w:p w14:paraId="3B0A45D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新增人事档案整理工作须基于采购人档案管理的要求，对档案进行鉴别、分类、排序，按照档案的原页码顺序进行档案整理，拆除档案的装订线，去掉夹杂在档案中的残余纸、曲别针、大头针、订书针等物品，编制页码，打印卷内目录等工作，提高扫描效率，减少扫描仪故障，具体要求如下：</w:t>
      </w:r>
    </w:p>
    <w:p w14:paraId="2E9E155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档案进出库交接必须严格执行档案进出库管理制度。供应商必须在加工场所设立临时档案放置区，建立管理制度，指定专人（组长）管理档案实体，并建立《档案数字化加工交接表》等工作流程表，做好档案交接等各环节的登记工作，确保档案安全，万无一失。</w:t>
      </w:r>
    </w:p>
    <w:p w14:paraId="19DB15E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1.2启钉（拆线）、拆分，保证纸张的平整、抚平边角，对特殊页（如双面有页码，需做合页）做出标识提醒扫描人员注意，对不符合规格的档案材料</w:t>
      </w:r>
      <w:bookmarkStart w:id="40" w:name="OLE_LINK3"/>
      <w:r>
        <w:rPr>
          <w:rFonts w:hint="eastAsia" w:ascii="宋体" w:hAnsi="宋体" w:cs="宋体"/>
          <w:color w:val="auto"/>
          <w:sz w:val="24"/>
          <w:szCs w:val="24"/>
          <w:highlight w:val="none"/>
        </w:rPr>
        <w:t>(档案材料要求16开规格的办公用纸或国际标准A4纸型)</w:t>
      </w:r>
      <w:bookmarkEnd w:id="40"/>
      <w:r>
        <w:rPr>
          <w:rFonts w:hint="eastAsia" w:ascii="宋体" w:hAnsi="宋体" w:cs="宋体"/>
          <w:color w:val="auto"/>
          <w:sz w:val="24"/>
          <w:szCs w:val="24"/>
          <w:highlight w:val="none"/>
        </w:rPr>
        <w:t>，材料左边应留有25 mm的装订边。在不影响材料完整和不损伤字迹的情况下，酌情进行包边、加边、剪裁、裱糊或折叠。</w:t>
      </w:r>
    </w:p>
    <w:p w14:paraId="5B98AA1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1.3检查案卷的完整性，是否有缺页、漏页、错编现象，标注是否正确。拆卷时应注意保护档案不受损害。同时检查案卷封面上的相关信息书写是否规范，前后是否统一；档号是否正确，有无空号、重号现象；</w:t>
      </w:r>
      <w:bookmarkStart w:id="41" w:name="OLE_LINK5"/>
      <w:bookmarkStart w:id="42" w:name="OLE_LINK4"/>
      <w:r>
        <w:rPr>
          <w:rFonts w:hint="eastAsia" w:ascii="宋体" w:hAnsi="宋体" w:cs="宋体"/>
          <w:color w:val="auto"/>
          <w:sz w:val="24"/>
          <w:szCs w:val="24"/>
          <w:highlight w:val="none"/>
        </w:rPr>
        <w:t>是否</w:t>
      </w:r>
      <w:r>
        <w:rPr>
          <w:rFonts w:hint="eastAsia" w:ascii="宋体" w:hAnsi="宋体" w:cs="宋体"/>
          <w:color w:val="auto"/>
          <w:sz w:val="24"/>
          <w:szCs w:val="24"/>
          <w:highlight w:val="none"/>
          <w:lang w:val="en-US" w:eastAsia="zh-CN"/>
        </w:rPr>
        <w:t>已</w:t>
      </w:r>
      <w:r>
        <w:rPr>
          <w:rFonts w:hint="eastAsia" w:ascii="宋体" w:hAnsi="宋体" w:cs="宋体"/>
          <w:color w:val="auto"/>
          <w:sz w:val="24"/>
          <w:szCs w:val="24"/>
          <w:highlight w:val="none"/>
        </w:rPr>
        <w:t>按规定进行划控</w:t>
      </w:r>
      <w:bookmarkEnd w:id="41"/>
      <w:bookmarkEnd w:id="42"/>
      <w:r>
        <w:rPr>
          <w:rFonts w:hint="eastAsia" w:ascii="宋体" w:hAnsi="宋体" w:cs="宋体"/>
          <w:color w:val="auto"/>
          <w:sz w:val="24"/>
          <w:szCs w:val="24"/>
          <w:highlight w:val="none"/>
        </w:rPr>
        <w:t>；卷内文件份数与实际是否相符等进行核查和修正。包括对案卷内情况与原目录不一致处应建立勘误表进行登记、同时对卷内文件进行稿本选择、拆卷、分件、排序、标页、拟标题等。对卷内有缺页、重页、倒页、破损、字迹褪变、模糊、折皱不平、装订压字等现象进行核查和修正，通过对档案的整理和规范著录，实现对案卷、文件、利用、编研、统计、密级划控等科学管理。</w:t>
      </w:r>
    </w:p>
    <w:p w14:paraId="14747B7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1.4编制填写类别号、页码： </w:t>
      </w:r>
    </w:p>
    <w:p w14:paraId="57C414D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（1）类序号：编在右上角；</w:t>
      </w:r>
    </w:p>
    <w:p w14:paraId="12253D7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（2）页码：图书编码法：从材料实际内容开始编，扉页不编，双面有字双面编，只有单面字一面编，在右下角编写；页码写在每页材料正面右下角空白处（双面都有文字或图表的，背面页码写在材料左下角）。</w:t>
      </w:r>
    </w:p>
    <w:p w14:paraId="4C4EBE4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1.5制作档案数字化工作流程单，注明每卷档案的页数及其他的特殊情况。</w:t>
      </w:r>
    </w:p>
    <w:p w14:paraId="3E7C3DB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1.6组卷整理：流动人员人事档案需提供档案袋和档案盒等耗材，相关规格及样式见本篇“</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项目管理要求中 （四）附件、图纸及包装要求”。人事档案袋和档案盒必须结实牢固、便于书写文字和档案标识标签的粘贴、便于上架摆放和实物盘点。</w:t>
      </w:r>
    </w:p>
    <w:p w14:paraId="1245139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档案整理所需的其他材料，包括技术加工用衬纸、打印用墨盒、防虫防腐浆糊或胶水等都必须符合档案整理部门所规定的材料规范要求。</w:t>
      </w:r>
    </w:p>
    <w:p w14:paraId="3A8E97B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包括拆钉、粘贴等环节。按照《归档文件整理规则》(DA/T 22-2015)进行整理。</w:t>
      </w:r>
    </w:p>
    <w:p w14:paraId="0701258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1.7在核对纸制档案的基础上，对系统内不全的档案信息进行补录，并在档案数字化工作流程单上注明。供应商应严格按照《档案著录规则》(DA/T 18—2022)进行著录。</w:t>
      </w:r>
    </w:p>
    <w:p w14:paraId="4324A98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1.8后期整理装订</w:t>
      </w:r>
    </w:p>
    <w:p w14:paraId="39CC847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拆除整理过、有装订物的档案应按档案保管的要求重新装订。在恢复装订时，按照档案原有的装订方向进行，不可更换装订位置（如改右装订为左装订）；遵循“两对齐”要求，即装订线一侧边缘对齐，档案内页以边缘对齐；装订不可使用金属或塑料装订物，如原始档案中发现金属或塑料装订物的应予以剔除；保持档案的排列顺序不变，不得漏页、错页、不得压字，装订牢固、不得掉页，做到安全、准确、无遗漏。</w:t>
      </w:r>
    </w:p>
    <w:p w14:paraId="03C47C1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A4纸型的干部人事档案材料和目录按照靠左下对齐的方式打3孔装订，中间孔距上、下孔（从孔中心算起）83mm，下孔距材料底边54mm，孔中心距左边沿12mm，孔直径为5mm。档案中原有小于A4纸型且已按照要求装订的档案材料,不需要重新打孔和裱糊。</w:t>
      </w:r>
    </w:p>
    <w:p w14:paraId="47BD83D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干部人事档案专用打孔机孔径为5mm。</w:t>
      </w:r>
    </w:p>
    <w:p w14:paraId="0058A1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（2）供应商自行采购符合档案标准规范的档案卷盒，供应商须按相关要求制作案卷背脊。对不符合要求的案卷背脊，由供应商进行重新打印和更换。</w:t>
      </w:r>
    </w:p>
    <w:p w14:paraId="2AA56D0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（3）附：重庆人才交流中心流动人员人事档案分类规则</w:t>
      </w:r>
    </w:p>
    <w:tbl>
      <w:tblPr>
        <w:tblStyle w:val="57"/>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4560"/>
        <w:gridCol w:w="1345"/>
        <w:gridCol w:w="1350"/>
        <w:gridCol w:w="1055"/>
      </w:tblGrid>
      <w:tr w14:paraId="36A0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8" w:type="dxa"/>
            <w:noWrap w:val="0"/>
            <w:vAlign w:val="center"/>
          </w:tcPr>
          <w:p w14:paraId="122C4994">
            <w:pPr>
              <w:tabs>
                <w:tab w:val="center" w:pos="709"/>
              </w:tabs>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类别</w:t>
            </w:r>
          </w:p>
        </w:tc>
        <w:tc>
          <w:tcPr>
            <w:tcW w:w="4560" w:type="dxa"/>
            <w:noWrap w:val="0"/>
            <w:vAlign w:val="center"/>
          </w:tcPr>
          <w:p w14:paraId="6B052105">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材料内容</w:t>
            </w:r>
          </w:p>
        </w:tc>
        <w:tc>
          <w:tcPr>
            <w:tcW w:w="1345" w:type="dxa"/>
            <w:noWrap w:val="0"/>
            <w:vAlign w:val="center"/>
          </w:tcPr>
          <w:p w14:paraId="5E6BD907">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排列顺序</w:t>
            </w:r>
          </w:p>
        </w:tc>
        <w:tc>
          <w:tcPr>
            <w:tcW w:w="1350" w:type="dxa"/>
            <w:noWrap w:val="0"/>
            <w:vAlign w:val="center"/>
          </w:tcPr>
          <w:p w14:paraId="72DF4EDE">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材料编号</w:t>
            </w:r>
          </w:p>
        </w:tc>
        <w:tc>
          <w:tcPr>
            <w:tcW w:w="1055" w:type="dxa"/>
            <w:noWrap w:val="0"/>
            <w:vAlign w:val="center"/>
          </w:tcPr>
          <w:p w14:paraId="45DDFD9C">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备注</w:t>
            </w:r>
          </w:p>
        </w:tc>
      </w:tr>
      <w:tr w14:paraId="0EAB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0412C0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一、履历材料</w:t>
            </w:r>
          </w:p>
        </w:tc>
        <w:tc>
          <w:tcPr>
            <w:tcW w:w="4560" w:type="dxa"/>
            <w:noWrap w:val="0"/>
            <w:vAlign w:val="center"/>
          </w:tcPr>
          <w:p w14:paraId="04F7E44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履历表和属于履历性质的登记表等材料，包括中央和地方各级党委委员、人大、政协常委会委员简历以及本人填写反映个人经历情况的各种表格等。</w:t>
            </w:r>
          </w:p>
          <w:p w14:paraId="1B4E8756">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履历表、职工登记表；</w:t>
            </w:r>
            <w:r>
              <w:rPr>
                <w:rFonts w:hint="eastAsia" w:ascii="宋体" w:hAnsi="宋体" w:cs="宋体"/>
                <w:b/>
                <w:snapToGrid w:val="0"/>
                <w:color w:val="auto"/>
                <w:spacing w:val="-8"/>
                <w:kern w:val="0"/>
                <w:sz w:val="24"/>
                <w:szCs w:val="24"/>
                <w:highlight w:val="none"/>
                <w:u w:val="single"/>
              </w:rPr>
              <w:t>人事代理档案管理登记表、流动人员档案管理登记表；人才信息登记表。（有无鲜章均做）</w:t>
            </w:r>
          </w:p>
        </w:tc>
        <w:tc>
          <w:tcPr>
            <w:tcW w:w="1345" w:type="dxa"/>
            <w:noWrap w:val="0"/>
            <w:vAlign w:val="center"/>
          </w:tcPr>
          <w:p w14:paraId="2910068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4110A10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类序号按1-1、 1-2、1-3等，页码按1、2、3等编写。</w:t>
            </w:r>
          </w:p>
        </w:tc>
        <w:tc>
          <w:tcPr>
            <w:tcW w:w="1055" w:type="dxa"/>
            <w:vMerge w:val="restart"/>
            <w:noWrap w:val="0"/>
            <w:vAlign w:val="center"/>
          </w:tcPr>
          <w:p w14:paraId="551AEE7E">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20"/>
                <w:kern w:val="0"/>
                <w:sz w:val="24"/>
                <w:szCs w:val="24"/>
                <w:highlight w:val="none"/>
              </w:rPr>
              <w:t>（双面都有文字或图表的，背面页码写在左下角，下同）。</w:t>
            </w:r>
          </w:p>
        </w:tc>
      </w:tr>
      <w:tr w14:paraId="583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1DADEBA5">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二、自传材料</w:t>
            </w:r>
          </w:p>
        </w:tc>
        <w:tc>
          <w:tcPr>
            <w:tcW w:w="4560" w:type="dxa"/>
            <w:noWrap w:val="0"/>
            <w:vAlign w:val="center"/>
          </w:tcPr>
          <w:p w14:paraId="5F7028B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自传和属于自传性质的材料；以自传为主的履历或简历表；领导干部个人有关事项发生变化的报告表等材料，配偶、子女出国（境）留学和加入外国国籍、子女涉外婚姻等情况材料。</w:t>
            </w:r>
            <w:r>
              <w:rPr>
                <w:rFonts w:hint="eastAsia" w:ascii="宋体" w:hAnsi="宋体" w:cs="宋体"/>
                <w:b/>
                <w:snapToGrid w:val="0"/>
                <w:color w:val="auto"/>
                <w:spacing w:val="-8"/>
                <w:kern w:val="0"/>
                <w:sz w:val="24"/>
                <w:szCs w:val="24"/>
                <w:highlight w:val="none"/>
              </w:rPr>
              <w:t>在第六大类中如有两份相同且包含家庭情况的申请书，可取出一份（优先放不含家庭情况的材料）归入二大类并在第一页的右上角用铅笔标记“自传”。</w:t>
            </w:r>
          </w:p>
        </w:tc>
        <w:tc>
          <w:tcPr>
            <w:tcW w:w="1345" w:type="dxa"/>
            <w:noWrap w:val="0"/>
            <w:vAlign w:val="center"/>
          </w:tcPr>
          <w:p w14:paraId="384E0A3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268E1B6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类序号按2-1、2-2、2-3等，页码按1、2、3等编写。</w:t>
            </w:r>
          </w:p>
        </w:tc>
        <w:tc>
          <w:tcPr>
            <w:tcW w:w="1055" w:type="dxa"/>
            <w:vMerge w:val="continue"/>
            <w:noWrap w:val="0"/>
            <w:vAlign w:val="top"/>
          </w:tcPr>
          <w:p w14:paraId="06E13F13">
            <w:pPr>
              <w:spacing w:line="400" w:lineRule="exact"/>
              <w:jc w:val="left"/>
              <w:rPr>
                <w:rFonts w:hint="eastAsia" w:ascii="宋体" w:hAnsi="宋体" w:cs="宋体"/>
                <w:snapToGrid w:val="0"/>
                <w:color w:val="auto"/>
                <w:spacing w:val="-20"/>
                <w:kern w:val="0"/>
                <w:sz w:val="18"/>
                <w:szCs w:val="18"/>
                <w:highlight w:val="none"/>
              </w:rPr>
            </w:pPr>
          </w:p>
        </w:tc>
      </w:tr>
      <w:tr w14:paraId="1966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3996D294">
            <w:pPr>
              <w:spacing w:line="400" w:lineRule="exact"/>
              <w:ind w:left="448" w:hanging="448" w:hangingChars="200"/>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三、鉴定、考核材料</w:t>
            </w:r>
          </w:p>
        </w:tc>
        <w:tc>
          <w:tcPr>
            <w:tcW w:w="4560" w:type="dxa"/>
            <w:noWrap w:val="0"/>
            <w:vAlign w:val="center"/>
          </w:tcPr>
          <w:p w14:paraId="5A2D9895">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年度考核登记表；除归入四类、六类、九类以外的考察（鉴定）材料、表现材料（</w:t>
            </w:r>
            <w:r>
              <w:rPr>
                <w:rFonts w:hint="eastAsia" w:ascii="宋体" w:hAnsi="宋体" w:cs="宋体"/>
                <w:b/>
                <w:snapToGrid w:val="0"/>
                <w:color w:val="auto"/>
                <w:spacing w:val="-8"/>
                <w:kern w:val="0"/>
                <w:sz w:val="24"/>
                <w:szCs w:val="24"/>
                <w:highlight w:val="none"/>
              </w:rPr>
              <w:t>包括自我鉴定</w:t>
            </w:r>
            <w:r>
              <w:rPr>
                <w:rFonts w:hint="eastAsia" w:ascii="宋体" w:hAnsi="宋体" w:cs="宋体"/>
                <w:snapToGrid w:val="0"/>
                <w:color w:val="auto"/>
                <w:spacing w:val="-8"/>
                <w:kern w:val="0"/>
                <w:sz w:val="24"/>
                <w:szCs w:val="24"/>
                <w:highlight w:val="none"/>
              </w:rPr>
              <w:t>）；定期考核材料；援藏、援疆、挂职锻炼等考核（鉴定）材料；后备干部登记表（提拔使用后归档）；经济责任审计结果报告</w:t>
            </w:r>
            <w:r>
              <w:rPr>
                <w:rFonts w:hint="eastAsia" w:ascii="宋体" w:hAnsi="宋体" w:cs="宋体"/>
                <w:b/>
                <w:snapToGrid w:val="0"/>
                <w:color w:val="auto"/>
                <w:spacing w:val="-8"/>
                <w:kern w:val="0"/>
                <w:sz w:val="24"/>
                <w:szCs w:val="24"/>
                <w:highlight w:val="none"/>
              </w:rPr>
              <w:t>（离任时的审查）</w:t>
            </w:r>
            <w:r>
              <w:rPr>
                <w:rFonts w:hint="eastAsia" w:ascii="宋体" w:hAnsi="宋体" w:cs="宋体"/>
                <w:snapToGrid w:val="0"/>
                <w:color w:val="auto"/>
                <w:spacing w:val="-8"/>
                <w:kern w:val="0"/>
                <w:sz w:val="24"/>
                <w:szCs w:val="24"/>
                <w:highlight w:val="none"/>
              </w:rPr>
              <w:t>等材料</w:t>
            </w:r>
            <w:r>
              <w:rPr>
                <w:rFonts w:hint="eastAsia" w:ascii="宋体" w:hAnsi="宋体" w:cs="宋体"/>
                <w:b/>
                <w:snapToGrid w:val="0"/>
                <w:color w:val="auto"/>
                <w:spacing w:val="-8"/>
                <w:kern w:val="0"/>
                <w:sz w:val="24"/>
                <w:szCs w:val="24"/>
                <w:highlight w:val="none"/>
              </w:rPr>
              <w:t>；专业技术人员考核登记表，招生政治思想品德审核表（考核表），学生公寓的鉴定。</w:t>
            </w:r>
          </w:p>
        </w:tc>
        <w:tc>
          <w:tcPr>
            <w:tcW w:w="1345" w:type="dxa"/>
            <w:noWrap w:val="0"/>
            <w:vAlign w:val="center"/>
          </w:tcPr>
          <w:p w14:paraId="61960668">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786FD032">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类序号按3-1、3-2、3-3等，页码按1、2、3等编写。</w:t>
            </w:r>
          </w:p>
        </w:tc>
        <w:tc>
          <w:tcPr>
            <w:tcW w:w="1055" w:type="dxa"/>
            <w:vMerge w:val="continue"/>
            <w:noWrap w:val="0"/>
            <w:vAlign w:val="top"/>
          </w:tcPr>
          <w:p w14:paraId="58A4AADC">
            <w:pPr>
              <w:spacing w:line="400" w:lineRule="exact"/>
              <w:jc w:val="left"/>
              <w:rPr>
                <w:rFonts w:hint="eastAsia" w:ascii="宋体" w:hAnsi="宋体" w:cs="宋体"/>
                <w:snapToGrid w:val="0"/>
                <w:color w:val="auto"/>
                <w:spacing w:val="-20"/>
                <w:kern w:val="0"/>
                <w:sz w:val="18"/>
                <w:szCs w:val="18"/>
                <w:highlight w:val="none"/>
              </w:rPr>
            </w:pPr>
          </w:p>
        </w:tc>
      </w:tr>
      <w:tr w14:paraId="0FE8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noWrap w:val="0"/>
            <w:vAlign w:val="center"/>
          </w:tcPr>
          <w:p w14:paraId="42A14C94">
            <w:pPr>
              <w:spacing w:line="400" w:lineRule="exact"/>
              <w:ind w:left="448" w:hanging="448" w:hangingChars="200"/>
              <w:jc w:val="left"/>
              <w:rPr>
                <w:rFonts w:hint="eastAsia" w:ascii="宋体" w:hAnsi="宋体" w:cs="宋体"/>
                <w:b/>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四、学历学位、职称、学术、培训等材料</w:t>
            </w:r>
          </w:p>
        </w:tc>
        <w:tc>
          <w:tcPr>
            <w:tcW w:w="4560" w:type="dxa"/>
            <w:noWrap w:val="0"/>
            <w:vAlign w:val="center"/>
          </w:tcPr>
          <w:p w14:paraId="0BD9BE2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4-1学历学位材料：</w:t>
            </w:r>
            <w:r>
              <w:rPr>
                <w:rFonts w:hint="eastAsia" w:ascii="宋体" w:hAnsi="宋体" w:cs="宋体"/>
                <w:snapToGrid w:val="0"/>
                <w:color w:val="auto"/>
                <w:spacing w:val="-8"/>
                <w:kern w:val="0"/>
                <w:sz w:val="24"/>
                <w:szCs w:val="24"/>
                <w:highlight w:val="none"/>
              </w:rPr>
              <w:t>各类学生登记表、报考志愿表、考生登记表、选拔学生登记表、毕业生登记表、学习成绩表、入学考试成绩表、学历学位证明、学籍登记表、专家推荐书；与学历学位有关的鉴定材料；参加出国（境）学习或中外合作办学（颁发毕业证、学位证）学习的有关材料；国务院学位委员会、教育部授权单位出具的国内外学历学位认证材料；自学考试有关材料；毕业证书、学位证书复印件、干部学历学位申报确认表等。</w:t>
            </w:r>
            <w:r>
              <w:rPr>
                <w:rFonts w:hint="eastAsia" w:ascii="宋体" w:hAnsi="宋体" w:cs="宋体"/>
                <w:b/>
                <w:snapToGrid w:val="0"/>
                <w:color w:val="auto"/>
                <w:spacing w:val="-8"/>
                <w:kern w:val="0"/>
                <w:sz w:val="24"/>
                <w:szCs w:val="24"/>
                <w:highlight w:val="none"/>
              </w:rPr>
              <w:t>高中/初中/职高/中专学籍材料(材料分开整理，一份材料一个目录)；招生面试成绩；招生外语口试成绩；招生主观信息登记表（客观表附在其后，如果没主观表就直接做客观表）；招生志愿卡；在校实习鉴定表（未离开学校的实习材料放此类，如有结论，则看结论有同意转正则应放入9-2）；在校推荐实习材料；健康成绩登记卡；品德评定表；国家大学生体质健康标准合格证；录取新生报批表；招生面试成绩；学校表现材料几个年度的依照时间顺序进行编号; 在校思想品德鉴定表；毕业生业务能力介绍表；学历证明；招生协议书；委</w:t>
            </w:r>
            <w:r>
              <w:rPr>
                <w:rFonts w:hint="eastAsia" w:ascii="宋体" w:hAnsi="宋体" w:cs="宋体"/>
                <w:snapToGrid w:val="0"/>
                <w:color w:val="auto"/>
                <w:spacing w:val="-8"/>
                <w:kern w:val="0"/>
                <w:sz w:val="24"/>
                <w:szCs w:val="24"/>
                <w:highlight w:val="none"/>
              </w:rPr>
              <w:t>学位、职</w:t>
            </w:r>
            <w:r>
              <w:rPr>
                <w:rFonts w:hint="eastAsia" w:ascii="宋体" w:hAnsi="宋体" w:cs="宋体"/>
                <w:b/>
                <w:snapToGrid w:val="0"/>
                <w:color w:val="auto"/>
                <w:spacing w:val="-8"/>
                <w:kern w:val="0"/>
                <w:sz w:val="24"/>
                <w:szCs w:val="24"/>
                <w:highlight w:val="none"/>
              </w:rPr>
              <w:t>托培养合同（根据材料结论，属学籍类放4-1，属考核类放三类）；</w:t>
            </w:r>
            <w:r>
              <w:rPr>
                <w:rFonts w:hint="eastAsia" w:ascii="宋体" w:hAnsi="宋体" w:cs="宋体"/>
                <w:b/>
                <w:snapToGrid w:val="0"/>
                <w:color w:val="auto"/>
                <w:spacing w:val="-8"/>
                <w:kern w:val="0"/>
                <w:sz w:val="24"/>
                <w:szCs w:val="24"/>
                <w:highlight w:val="none"/>
                <w:u w:val="single"/>
              </w:rPr>
              <w:t>一校两牌、更改校名的材料作为高校毕业生登记表附件不单独整理；</w:t>
            </w:r>
            <w:r>
              <w:rPr>
                <w:rFonts w:hint="eastAsia" w:ascii="宋体" w:hAnsi="宋体" w:cs="宋体"/>
                <w:b/>
                <w:snapToGrid w:val="0"/>
                <w:color w:val="auto"/>
                <w:spacing w:val="-8"/>
                <w:kern w:val="0"/>
                <w:sz w:val="24"/>
                <w:szCs w:val="24"/>
                <w:highlight w:val="none"/>
              </w:rPr>
              <w:t>自愿留级、休学、退学（如：因病、因家庭等个人原因）；计算机等级证书；英语等级证书、军训各类登记表（不满两个月的学校军训）、录取通知书</w:t>
            </w:r>
          </w:p>
        </w:tc>
        <w:tc>
          <w:tcPr>
            <w:tcW w:w="1345" w:type="dxa"/>
            <w:vMerge w:val="restart"/>
            <w:noWrap w:val="0"/>
            <w:vAlign w:val="center"/>
          </w:tcPr>
          <w:p w14:paraId="168EB2D7">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r>
              <w:rPr>
                <w:rFonts w:hint="eastAsia" w:ascii="宋体" w:hAnsi="宋体" w:cs="宋体"/>
                <w:b/>
                <w:snapToGrid w:val="0"/>
                <w:color w:val="auto"/>
                <w:spacing w:val="-8"/>
                <w:kern w:val="0"/>
                <w:sz w:val="24"/>
                <w:szCs w:val="24"/>
                <w:highlight w:val="none"/>
              </w:rPr>
              <w:t>先按逻辑顺序排列，小类材料内部按时间排列，4-1各材料的材料形成时间为材料上最近日期。</w:t>
            </w:r>
          </w:p>
          <w:p w14:paraId="63F5EDC5">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289B969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类序号按4-1-1、   4-1-2、4-1-3等，页码按1、2、3等编写。</w:t>
            </w:r>
          </w:p>
        </w:tc>
        <w:tc>
          <w:tcPr>
            <w:tcW w:w="1055" w:type="dxa"/>
            <w:vMerge w:val="restart"/>
            <w:noWrap w:val="0"/>
            <w:vAlign w:val="center"/>
          </w:tcPr>
          <w:p w14:paraId="4A7E66CF">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8"/>
                <w:kern w:val="0"/>
                <w:sz w:val="24"/>
                <w:szCs w:val="24"/>
                <w:highlight w:val="none"/>
              </w:rPr>
              <w:t>。</w:t>
            </w:r>
            <w:r>
              <w:rPr>
                <w:rFonts w:hint="eastAsia" w:ascii="宋体" w:hAnsi="宋体" w:cs="宋体"/>
                <w:snapToGrid w:val="0"/>
                <w:color w:val="auto"/>
                <w:spacing w:val="-20"/>
                <w:kern w:val="0"/>
                <w:sz w:val="24"/>
                <w:szCs w:val="24"/>
                <w:highlight w:val="none"/>
              </w:rPr>
              <w:t>需用复制件归档的，须在复制件上注明材料出处、复制时间，审核人（复制人）要签名，并加盖材料出具单位或干部人事关系所在单位组织人事部门印章（下同）。</w:t>
            </w:r>
          </w:p>
        </w:tc>
      </w:tr>
      <w:tr w14:paraId="50B7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17C5C5EA">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4C58CA9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4-2专业技术职务材料：</w:t>
            </w:r>
            <w:r>
              <w:rPr>
                <w:rFonts w:hint="eastAsia" w:ascii="宋体" w:hAnsi="宋体" w:cs="宋体"/>
                <w:snapToGrid w:val="0"/>
                <w:color w:val="auto"/>
                <w:spacing w:val="-8"/>
                <w:kern w:val="0"/>
                <w:sz w:val="24"/>
                <w:szCs w:val="24"/>
                <w:highlight w:val="none"/>
              </w:rPr>
              <w:t>职（执）业（任职）资格考试合格人员登记表或职（执）业（任职）资格证书复印件（</w:t>
            </w:r>
            <w:r>
              <w:rPr>
                <w:rFonts w:hint="eastAsia" w:ascii="宋体" w:hAnsi="宋体" w:cs="宋体"/>
                <w:b/>
                <w:snapToGrid w:val="0"/>
                <w:color w:val="auto"/>
                <w:spacing w:val="-8"/>
                <w:kern w:val="0"/>
                <w:sz w:val="24"/>
                <w:szCs w:val="24"/>
                <w:highlight w:val="none"/>
              </w:rPr>
              <w:t>需加盖鲜章</w:t>
            </w:r>
            <w:r>
              <w:rPr>
                <w:rFonts w:hint="eastAsia" w:ascii="宋体" w:hAnsi="宋体" w:cs="宋体"/>
                <w:snapToGrid w:val="0"/>
                <w:color w:val="auto"/>
                <w:spacing w:val="-8"/>
                <w:kern w:val="0"/>
                <w:sz w:val="24"/>
                <w:szCs w:val="24"/>
                <w:highlight w:val="none"/>
              </w:rPr>
              <w:t>）；教师资格认定申请表等材料；专业技术职务任职资格评审表、申（呈）报表，聘任专业技术职务审批表等材料。</w:t>
            </w:r>
            <w:r>
              <w:rPr>
                <w:rFonts w:hint="eastAsia" w:ascii="宋体" w:hAnsi="宋体" w:cs="宋体"/>
                <w:b/>
                <w:snapToGrid w:val="0"/>
                <w:color w:val="auto"/>
                <w:spacing w:val="-8"/>
                <w:kern w:val="0"/>
                <w:sz w:val="24"/>
                <w:szCs w:val="24"/>
                <w:highlight w:val="none"/>
              </w:rPr>
              <w:t>资格类申请表（涉及专业证书）；专业技术人员和管理人员登记表。</w:t>
            </w:r>
            <w:r>
              <w:rPr>
                <w:rFonts w:hint="eastAsia" w:ascii="宋体" w:hAnsi="宋体" w:cs="宋体"/>
                <w:snapToGrid w:val="0"/>
                <w:color w:val="auto"/>
                <w:spacing w:val="-8"/>
                <w:kern w:val="0"/>
                <w:sz w:val="24"/>
                <w:szCs w:val="24"/>
                <w:highlight w:val="none"/>
              </w:rPr>
              <w:t xml:space="preserve"> </w:t>
            </w:r>
          </w:p>
        </w:tc>
        <w:tc>
          <w:tcPr>
            <w:tcW w:w="1345" w:type="dxa"/>
            <w:vMerge w:val="continue"/>
            <w:noWrap w:val="0"/>
            <w:vAlign w:val="center"/>
          </w:tcPr>
          <w:p w14:paraId="776426DB">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338310BE">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8"/>
                <w:kern w:val="0"/>
                <w:sz w:val="24"/>
                <w:szCs w:val="24"/>
                <w:highlight w:val="none"/>
              </w:rPr>
              <w:t>类序号按4-2-1、   4-2-2、4-2-3等，页码按1、2、3等编写。</w:t>
            </w:r>
          </w:p>
        </w:tc>
        <w:tc>
          <w:tcPr>
            <w:tcW w:w="1055" w:type="dxa"/>
            <w:vMerge w:val="continue"/>
            <w:noWrap w:val="0"/>
            <w:vAlign w:val="top"/>
          </w:tcPr>
          <w:p w14:paraId="08AF91BE">
            <w:pPr>
              <w:spacing w:line="400" w:lineRule="exact"/>
              <w:jc w:val="left"/>
              <w:rPr>
                <w:rFonts w:hint="eastAsia" w:ascii="宋体" w:hAnsi="宋体" w:cs="宋体"/>
                <w:snapToGrid w:val="0"/>
                <w:color w:val="auto"/>
                <w:spacing w:val="-20"/>
                <w:kern w:val="0"/>
                <w:sz w:val="18"/>
                <w:szCs w:val="18"/>
                <w:highlight w:val="none"/>
              </w:rPr>
            </w:pPr>
          </w:p>
        </w:tc>
      </w:tr>
      <w:tr w14:paraId="6941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09E9EF5C">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00B90771">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4-3科研学术材料：</w:t>
            </w:r>
            <w:r>
              <w:rPr>
                <w:rFonts w:hint="eastAsia" w:ascii="宋体" w:hAnsi="宋体" w:cs="宋体"/>
                <w:snapToGrid w:val="0"/>
                <w:color w:val="auto"/>
                <w:spacing w:val="-8"/>
                <w:kern w:val="0"/>
                <w:sz w:val="24"/>
                <w:szCs w:val="24"/>
                <w:highlight w:val="none"/>
              </w:rPr>
              <w:t>当选为中科院、中国工程院院士的通知；遴选博士生导师简况表，博士后申请表，博士后工作期满登记表；被县处级以上单位评选为专业拔尖人才的材料；科研工作及个人表现评定材料，业务考绩材料；创造发明，科研成果鉴定材料，著作、译著和有重大影响的论文目录。</w:t>
            </w:r>
          </w:p>
        </w:tc>
        <w:tc>
          <w:tcPr>
            <w:tcW w:w="1345" w:type="dxa"/>
            <w:vMerge w:val="continue"/>
            <w:noWrap w:val="0"/>
            <w:vAlign w:val="center"/>
          </w:tcPr>
          <w:p w14:paraId="58063A93">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150704D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类序号按4-3-1、   4-3-2、4-3-3等，页码按1、2、3等编写。</w:t>
            </w:r>
          </w:p>
        </w:tc>
        <w:tc>
          <w:tcPr>
            <w:tcW w:w="1055" w:type="dxa"/>
            <w:vMerge w:val="continue"/>
            <w:noWrap w:val="0"/>
            <w:vAlign w:val="top"/>
          </w:tcPr>
          <w:p w14:paraId="428E1A1C">
            <w:pPr>
              <w:spacing w:line="400" w:lineRule="exact"/>
              <w:jc w:val="left"/>
              <w:rPr>
                <w:rFonts w:hint="eastAsia" w:ascii="宋体" w:hAnsi="宋体" w:cs="宋体"/>
                <w:snapToGrid w:val="0"/>
                <w:color w:val="auto"/>
                <w:spacing w:val="-20"/>
                <w:kern w:val="0"/>
                <w:sz w:val="18"/>
                <w:szCs w:val="18"/>
                <w:highlight w:val="none"/>
              </w:rPr>
            </w:pPr>
          </w:p>
        </w:tc>
      </w:tr>
      <w:tr w14:paraId="231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18DA047C">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2647293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4-4培训材料：</w:t>
            </w:r>
            <w:r>
              <w:rPr>
                <w:rFonts w:hint="eastAsia" w:ascii="宋体" w:hAnsi="宋体" w:cs="宋体"/>
                <w:snapToGrid w:val="0"/>
                <w:color w:val="auto"/>
                <w:spacing w:val="-8"/>
                <w:kern w:val="0"/>
                <w:sz w:val="24"/>
                <w:szCs w:val="24"/>
                <w:highlight w:val="none"/>
              </w:rPr>
              <w:t>为期两个月以上的学员培训（学习、进修）登记表、考核登记表、结业登记（鉴定）表，无硕（博）士学位的研究生课程进修班学习的有关材料等。</w:t>
            </w:r>
            <w:r>
              <w:rPr>
                <w:rFonts w:hint="eastAsia" w:ascii="宋体" w:hAnsi="宋体" w:cs="宋体"/>
                <w:b/>
                <w:snapToGrid w:val="0"/>
                <w:color w:val="auto"/>
                <w:spacing w:val="-8"/>
                <w:kern w:val="0"/>
                <w:sz w:val="24"/>
                <w:szCs w:val="24"/>
                <w:highlight w:val="none"/>
              </w:rPr>
              <w:t>党校结业证；为期两个月以上的无学位的进修班学习（有明确时间范围的归入，没有就放散材料），超过2个月的军校培训放此类</w:t>
            </w:r>
          </w:p>
        </w:tc>
        <w:tc>
          <w:tcPr>
            <w:tcW w:w="1345" w:type="dxa"/>
            <w:vMerge w:val="continue"/>
            <w:noWrap w:val="0"/>
            <w:vAlign w:val="center"/>
          </w:tcPr>
          <w:p w14:paraId="12F2B30D">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2FB9C252">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类序号按4-4-1、   4-4-2、4-4-3等，页码按1、2、3等编写。</w:t>
            </w:r>
          </w:p>
        </w:tc>
        <w:tc>
          <w:tcPr>
            <w:tcW w:w="1055" w:type="dxa"/>
            <w:vMerge w:val="continue"/>
            <w:noWrap w:val="0"/>
            <w:vAlign w:val="top"/>
          </w:tcPr>
          <w:p w14:paraId="4CFD51EE">
            <w:pPr>
              <w:spacing w:line="400" w:lineRule="exact"/>
              <w:jc w:val="left"/>
              <w:rPr>
                <w:rFonts w:hint="eastAsia" w:ascii="宋体" w:hAnsi="宋体" w:cs="宋体"/>
                <w:snapToGrid w:val="0"/>
                <w:color w:val="auto"/>
                <w:spacing w:val="-20"/>
                <w:kern w:val="0"/>
                <w:sz w:val="18"/>
                <w:szCs w:val="18"/>
                <w:highlight w:val="none"/>
              </w:rPr>
            </w:pPr>
          </w:p>
        </w:tc>
      </w:tr>
      <w:tr w14:paraId="1ADA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DF93970">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五、政审材料</w:t>
            </w:r>
          </w:p>
        </w:tc>
        <w:tc>
          <w:tcPr>
            <w:tcW w:w="4560" w:type="dxa"/>
            <w:noWrap w:val="0"/>
            <w:vAlign w:val="center"/>
          </w:tcPr>
          <w:p w14:paraId="0F6612D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上级组织批复，审查（复查、甄别）结论，调查报告及主要依据与证明材料；本人对结论的意见、检查</w:t>
            </w:r>
            <w:r>
              <w:rPr>
                <w:rFonts w:hint="eastAsia" w:ascii="宋体" w:hAnsi="宋体" w:cs="宋体"/>
                <w:snapToGrid w:val="0"/>
                <w:color w:val="auto"/>
                <w:spacing w:val="-8"/>
                <w:kern w:val="0"/>
                <w:sz w:val="24"/>
                <w:szCs w:val="24"/>
                <w:highlight w:val="none"/>
                <w:lang w:eastAsia="zh-CN"/>
              </w:rPr>
              <w:t>交代或</w:t>
            </w:r>
            <w:r>
              <w:rPr>
                <w:rFonts w:hint="eastAsia" w:ascii="宋体" w:hAnsi="宋体" w:cs="宋体"/>
                <w:snapToGrid w:val="0"/>
                <w:color w:val="auto"/>
                <w:spacing w:val="-8"/>
                <w:kern w:val="0"/>
                <w:sz w:val="24"/>
                <w:szCs w:val="24"/>
                <w:highlight w:val="none"/>
              </w:rPr>
              <w:t>情况说明材料；撤销原审查结论的材料；各类政审表；更改（确认）姓名、民族、籍贯、国籍、入党（团）时间、参工时间、出生日期的个人申请、组织审查（调查）报告及主要依据与证明材料、上级组织批复；计算连续工龄审批材料等；在档案审核中形成的“三龄一历”或“三龄两历”认定、“干部基本信息审核表”等材料；干部配偶情况登记表，家庭成员、主要社会关系的平反决定、通知或复查意见等。</w:t>
            </w:r>
            <w:r>
              <w:rPr>
                <w:rFonts w:hint="eastAsia" w:ascii="宋体" w:hAnsi="宋体" w:cs="宋体"/>
                <w:b/>
                <w:snapToGrid w:val="0"/>
                <w:color w:val="auto"/>
                <w:spacing w:val="-8"/>
                <w:kern w:val="0"/>
                <w:sz w:val="24"/>
                <w:szCs w:val="24"/>
                <w:highlight w:val="none"/>
              </w:rPr>
              <w:t>三峡库区证明材料(库区学生审查表)；教师子女审查登记表；教师/子女加分表；全国干部任免审批表，有“全国”二字的归入此类，没有的归入9-2；参加工作时间更改证明；军人爱人情况登记表；亲属政审材料；高等学校政治审查表；招生政治审查表；有政审内容的函调回信；关于调查XX同志政历及表现情况的函（证明）；高等学校毕业生（政审）登记表（如档案内无相应毕业生登记表的，则此材料放入4-1）。少数民族考生、农村独生子女等加分材料；三线职工子女、侨胞、侨属的证明材料，父母刑事判决书；干部参加工作时间登记表；</w:t>
            </w:r>
          </w:p>
        </w:tc>
        <w:tc>
          <w:tcPr>
            <w:tcW w:w="1345" w:type="dxa"/>
            <w:noWrap w:val="0"/>
            <w:vAlign w:val="center"/>
          </w:tcPr>
          <w:p w14:paraId="7291F7E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有批复的，按上级批复、审查结论、本人对结论的意见（本人申请）、调查报告、主要证明、本人检查</w:t>
            </w:r>
            <w:r>
              <w:rPr>
                <w:rFonts w:hint="eastAsia" w:ascii="宋体" w:hAnsi="宋体" w:cs="宋体"/>
                <w:snapToGrid w:val="0"/>
                <w:color w:val="auto"/>
                <w:spacing w:val="-8"/>
                <w:kern w:val="0"/>
                <w:sz w:val="24"/>
                <w:szCs w:val="24"/>
                <w:highlight w:val="none"/>
                <w:lang w:eastAsia="zh-CN"/>
              </w:rPr>
              <w:t>或交代</w:t>
            </w:r>
            <w:r>
              <w:rPr>
                <w:rFonts w:hint="eastAsia" w:ascii="宋体" w:hAnsi="宋体" w:cs="宋体"/>
                <w:snapToGrid w:val="0"/>
                <w:color w:val="auto"/>
                <w:spacing w:val="-8"/>
                <w:kern w:val="0"/>
                <w:sz w:val="24"/>
                <w:szCs w:val="24"/>
                <w:highlight w:val="none"/>
              </w:rPr>
              <w:t>等顺序排列；其他材料按材料形成时间顺序排列。</w:t>
            </w:r>
          </w:p>
        </w:tc>
        <w:tc>
          <w:tcPr>
            <w:tcW w:w="1350" w:type="dxa"/>
            <w:noWrap w:val="0"/>
            <w:vAlign w:val="center"/>
          </w:tcPr>
          <w:p w14:paraId="1789E479">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类序号按5-1、5-2、5-3等，页码按1、2、3等编写。</w:t>
            </w:r>
          </w:p>
        </w:tc>
        <w:tc>
          <w:tcPr>
            <w:tcW w:w="1055" w:type="dxa"/>
            <w:noWrap w:val="0"/>
            <w:vAlign w:val="center"/>
          </w:tcPr>
          <w:p w14:paraId="3669392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类序号写在每份材料首页的</w:t>
            </w:r>
            <w:r>
              <w:rPr>
                <w:rFonts w:hint="eastAsia" w:ascii="宋体" w:hAnsi="宋体" w:cs="宋体"/>
                <w:b/>
                <w:snapToGrid w:val="0"/>
                <w:color w:val="auto"/>
                <w:spacing w:val="-8"/>
                <w:kern w:val="0"/>
                <w:sz w:val="24"/>
                <w:szCs w:val="24"/>
                <w:highlight w:val="none"/>
              </w:rPr>
              <w:t>右上角</w:t>
            </w:r>
            <w:r>
              <w:rPr>
                <w:rFonts w:hint="eastAsia" w:ascii="宋体" w:hAnsi="宋体" w:cs="宋体"/>
                <w:snapToGrid w:val="0"/>
                <w:color w:val="auto"/>
                <w:spacing w:val="-8"/>
                <w:kern w:val="0"/>
                <w:sz w:val="24"/>
                <w:szCs w:val="24"/>
                <w:highlight w:val="none"/>
              </w:rPr>
              <w:t>，页码写在每</w:t>
            </w:r>
            <w:r>
              <w:rPr>
                <w:rFonts w:hint="eastAsia" w:ascii="宋体" w:hAnsi="宋体" w:cs="宋体"/>
                <w:snapToGrid w:val="0"/>
                <w:color w:val="auto"/>
                <w:spacing w:val="-20"/>
                <w:kern w:val="0"/>
                <w:sz w:val="24"/>
                <w:szCs w:val="24"/>
                <w:highlight w:val="none"/>
              </w:rPr>
              <w:t>页</w:t>
            </w:r>
            <w:r>
              <w:rPr>
                <w:rFonts w:hint="eastAsia" w:ascii="宋体" w:hAnsi="宋体" w:cs="宋体"/>
                <w:snapToGrid w:val="0"/>
                <w:color w:val="auto"/>
                <w:spacing w:val="-8"/>
                <w:kern w:val="0"/>
                <w:sz w:val="24"/>
                <w:szCs w:val="24"/>
                <w:highlight w:val="none"/>
              </w:rPr>
              <w:t>材料的</w:t>
            </w:r>
            <w:r>
              <w:rPr>
                <w:rFonts w:hint="eastAsia" w:ascii="宋体" w:hAnsi="宋体" w:cs="宋体"/>
                <w:b/>
                <w:snapToGrid w:val="0"/>
                <w:color w:val="auto"/>
                <w:spacing w:val="-8"/>
                <w:kern w:val="0"/>
                <w:sz w:val="24"/>
                <w:szCs w:val="24"/>
                <w:highlight w:val="none"/>
              </w:rPr>
              <w:t>右下角。</w:t>
            </w:r>
          </w:p>
        </w:tc>
      </w:tr>
      <w:tr w14:paraId="0B63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B711E4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六、党团材料</w:t>
            </w:r>
          </w:p>
        </w:tc>
        <w:tc>
          <w:tcPr>
            <w:tcW w:w="4560" w:type="dxa"/>
            <w:noWrap w:val="0"/>
            <w:vAlign w:val="center"/>
          </w:tcPr>
          <w:p w14:paraId="42E8816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入团志愿书、入团申请书；入党志愿书、申请书、转正申请书；整党工作、党员重新登记工作中民主评议党员的组织意见，党员登记表，党支部不予登记或缓期登记的决定、上级组织意见；不合格党员被劝退或除名的组织审批意见及主要依据材料；取消预备党员资格的材料；退党、自行脱党材料；恢复组织生活（党籍）的有关审批材料；加入或退出民主党派的材料等。</w:t>
            </w:r>
            <w:r>
              <w:rPr>
                <w:rFonts w:hint="eastAsia" w:ascii="宋体" w:hAnsi="宋体" w:cs="宋体"/>
                <w:b/>
                <w:snapToGrid w:val="0"/>
                <w:color w:val="auto"/>
                <w:spacing w:val="-8"/>
                <w:kern w:val="0"/>
                <w:sz w:val="24"/>
                <w:szCs w:val="24"/>
                <w:highlight w:val="none"/>
              </w:rPr>
              <w:t>团员关系转移材料（若存在认定团员身份的材料则不归档）；整理进入正本的党员材料主要有入党志愿书、入党申请书、转正申请书、培养教育考察、党员登记表、停止党籍、恢复党籍、退党、脱党、保留组织关系、恢复组织生活，其他相关党员材料放散材料。如无入党志愿书，则相关党员材料放散材料</w:t>
            </w:r>
          </w:p>
        </w:tc>
        <w:tc>
          <w:tcPr>
            <w:tcW w:w="1345" w:type="dxa"/>
            <w:noWrap w:val="0"/>
            <w:vAlign w:val="center"/>
          </w:tcPr>
          <w:p w14:paraId="232ED090">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入团材料在入党材料前；入团志愿书在其他入团材料前；入党志愿书在其他入党材料前；其余材料按时间依次排在入团或入党材料后。</w:t>
            </w:r>
            <w:r>
              <w:rPr>
                <w:rFonts w:hint="eastAsia" w:ascii="宋体" w:hAnsi="宋体" w:cs="宋体"/>
                <w:b/>
                <w:snapToGrid w:val="0"/>
                <w:color w:val="auto"/>
                <w:spacing w:val="-8"/>
                <w:kern w:val="0"/>
                <w:sz w:val="24"/>
                <w:szCs w:val="24"/>
                <w:highlight w:val="none"/>
              </w:rPr>
              <w:t>思想汇报可连续编码（材料名称内进行备注，例：“思想汇报（2018年-2019年）”）。入团志愿书、入团申请书；入党志愿书、申请书、转正申请书5个材料固定按此顺序排前五</w:t>
            </w:r>
          </w:p>
        </w:tc>
        <w:tc>
          <w:tcPr>
            <w:tcW w:w="1350" w:type="dxa"/>
            <w:noWrap w:val="0"/>
            <w:vAlign w:val="center"/>
          </w:tcPr>
          <w:p w14:paraId="104B502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类序号按6-1、6-2、6-3等，页码按1、2、3等编写。</w:t>
            </w:r>
          </w:p>
        </w:tc>
        <w:tc>
          <w:tcPr>
            <w:tcW w:w="1055" w:type="dxa"/>
            <w:noWrap w:val="0"/>
            <w:vAlign w:val="center"/>
          </w:tcPr>
          <w:p w14:paraId="03C232F1">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2E79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48B4A4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七、奖励材料</w:t>
            </w:r>
          </w:p>
        </w:tc>
        <w:tc>
          <w:tcPr>
            <w:tcW w:w="4560" w:type="dxa"/>
            <w:noWrap w:val="0"/>
            <w:vAlign w:val="center"/>
          </w:tcPr>
          <w:p w14:paraId="46C7BA2C">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县处级以上党政机关、人民团体等予以表彰、嘉奖、记功和授予荣誉称号的审批（呈报）表，先进人物登记（推荐、审批）表，先进事迹材料；享受政府特殊津贴的材料；撤销奖励的有关材料等。</w:t>
            </w:r>
            <w:r>
              <w:rPr>
                <w:rFonts w:hint="eastAsia" w:ascii="宋体" w:hAnsi="宋体" w:cs="宋体"/>
                <w:b/>
                <w:snapToGrid w:val="0"/>
                <w:color w:val="auto"/>
                <w:spacing w:val="-8"/>
                <w:kern w:val="0"/>
                <w:sz w:val="24"/>
                <w:szCs w:val="24"/>
                <w:highlight w:val="none"/>
              </w:rPr>
              <w:t>荣誉证书（有审批表的荣誉证书，放审批表后作为附件）；优秀团员、优秀学生干部、优秀毕业生推荐表；优秀毕业生/学生登记表；奖学金登记表、国家励志奖学金</w:t>
            </w:r>
          </w:p>
        </w:tc>
        <w:tc>
          <w:tcPr>
            <w:tcW w:w="1345" w:type="dxa"/>
            <w:noWrap w:val="0"/>
            <w:vAlign w:val="center"/>
          </w:tcPr>
          <w:p w14:paraId="40E730C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613097C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类序号按7-1、7-2、7-3等，页码按1、2、3等编写。</w:t>
            </w:r>
          </w:p>
        </w:tc>
        <w:tc>
          <w:tcPr>
            <w:tcW w:w="1055" w:type="dxa"/>
            <w:noWrap w:val="0"/>
            <w:vAlign w:val="center"/>
          </w:tcPr>
          <w:p w14:paraId="443D0587">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编写类序号、页码和复制件归档要求同第四类。</w:t>
            </w:r>
          </w:p>
        </w:tc>
      </w:tr>
      <w:tr w14:paraId="75DE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79EB101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八、处分材料</w:t>
            </w:r>
          </w:p>
        </w:tc>
        <w:tc>
          <w:tcPr>
            <w:tcW w:w="4560" w:type="dxa"/>
            <w:noWrap w:val="0"/>
            <w:vAlign w:val="center"/>
          </w:tcPr>
          <w:p w14:paraId="2E26C08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处分决定、免予处分的意见，上级批复，核实（调查、复查）报告及主要依据与证明材料，本人对处分决定的意见、检查、</w:t>
            </w:r>
            <w:r>
              <w:rPr>
                <w:rFonts w:hint="eastAsia" w:ascii="宋体" w:hAnsi="宋体" w:cs="宋体"/>
                <w:snapToGrid w:val="0"/>
                <w:color w:val="auto"/>
                <w:spacing w:val="-8"/>
                <w:kern w:val="0"/>
                <w:sz w:val="24"/>
                <w:szCs w:val="24"/>
                <w:highlight w:val="none"/>
                <w:lang w:eastAsia="zh-CN"/>
              </w:rPr>
              <w:t>交代</w:t>
            </w:r>
            <w:r>
              <w:rPr>
                <w:rFonts w:hint="eastAsia" w:ascii="宋体" w:hAnsi="宋体" w:cs="宋体"/>
                <w:snapToGrid w:val="0"/>
                <w:color w:val="auto"/>
                <w:spacing w:val="-8"/>
                <w:kern w:val="0"/>
                <w:sz w:val="24"/>
                <w:szCs w:val="24"/>
                <w:highlight w:val="none"/>
              </w:rPr>
              <w:t>及情况说明材料；解除（变更、撤销）处分的材料；检察院不起诉决定书；法院刑事判决书、裁定书；公安机关作出行政拘留、限制人身自由、没收违法所得、收缴非法财物、追缴违法所得等的行政处理决定等；通报批评材料。</w:t>
            </w:r>
            <w:r>
              <w:rPr>
                <w:rFonts w:hint="eastAsia" w:ascii="宋体" w:hAnsi="宋体" w:cs="宋体"/>
                <w:b/>
                <w:snapToGrid w:val="0"/>
                <w:color w:val="auto"/>
                <w:spacing w:val="-8"/>
                <w:kern w:val="0"/>
                <w:sz w:val="24"/>
                <w:szCs w:val="24"/>
                <w:highlight w:val="none"/>
              </w:rPr>
              <w:t>因处分留级、退学；员工过失警告通知书。</w:t>
            </w:r>
          </w:p>
        </w:tc>
        <w:tc>
          <w:tcPr>
            <w:tcW w:w="1345" w:type="dxa"/>
            <w:noWrap w:val="0"/>
            <w:vAlign w:val="center"/>
          </w:tcPr>
          <w:p w14:paraId="2842AEC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排列顺序同第五类。</w:t>
            </w:r>
          </w:p>
        </w:tc>
        <w:tc>
          <w:tcPr>
            <w:tcW w:w="1350" w:type="dxa"/>
            <w:noWrap w:val="0"/>
            <w:vAlign w:val="center"/>
          </w:tcPr>
          <w:p w14:paraId="5D0D66C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类序号按8-1、8-2、8-3等，页码按1、2、3等编写。</w:t>
            </w:r>
          </w:p>
        </w:tc>
        <w:tc>
          <w:tcPr>
            <w:tcW w:w="1055" w:type="dxa"/>
            <w:noWrap w:val="0"/>
            <w:vAlign w:val="top"/>
          </w:tcPr>
          <w:p w14:paraId="026AA3A4">
            <w:pPr>
              <w:spacing w:line="400" w:lineRule="exact"/>
              <w:jc w:val="left"/>
              <w:rPr>
                <w:rFonts w:hint="eastAsia" w:ascii="宋体" w:hAnsi="宋体" w:cs="宋体"/>
                <w:b/>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7228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noWrap w:val="0"/>
            <w:vAlign w:val="center"/>
          </w:tcPr>
          <w:p w14:paraId="6D174F6D">
            <w:pPr>
              <w:spacing w:line="400" w:lineRule="exact"/>
              <w:ind w:left="476" w:leftChars="50" w:hanging="336" w:hangingChars="150"/>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九、工资、任免、出国、会议等材料</w:t>
            </w:r>
          </w:p>
        </w:tc>
        <w:tc>
          <w:tcPr>
            <w:tcW w:w="4560" w:type="dxa"/>
            <w:noWrap w:val="0"/>
            <w:vAlign w:val="center"/>
          </w:tcPr>
          <w:p w14:paraId="2323CE6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9-1工资材料：</w:t>
            </w:r>
            <w:r>
              <w:rPr>
                <w:rFonts w:hint="eastAsia" w:ascii="宋体" w:hAnsi="宋体" w:cs="宋体"/>
                <w:snapToGrid w:val="0"/>
                <w:color w:val="auto"/>
                <w:spacing w:val="-8"/>
                <w:kern w:val="0"/>
                <w:sz w:val="24"/>
                <w:szCs w:val="24"/>
                <w:highlight w:val="none"/>
              </w:rPr>
              <w:t>工资审批表、转正定级审批表、工资变动（套改）表、提职晋级和奖励工资审批表，工资停发（恢复）通知单；解决待遇问题的审批材料等。</w:t>
            </w:r>
          </w:p>
        </w:tc>
        <w:tc>
          <w:tcPr>
            <w:tcW w:w="1345" w:type="dxa"/>
            <w:vMerge w:val="restart"/>
            <w:noWrap w:val="0"/>
            <w:vAlign w:val="center"/>
          </w:tcPr>
          <w:p w14:paraId="23254A0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077FFD5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类序号按9-1-1、   9-1-2、9-1-3等，页码按1、2、3等编写。</w:t>
            </w:r>
          </w:p>
        </w:tc>
        <w:tc>
          <w:tcPr>
            <w:tcW w:w="1055" w:type="dxa"/>
            <w:vMerge w:val="restart"/>
            <w:noWrap w:val="0"/>
            <w:vAlign w:val="center"/>
          </w:tcPr>
          <w:p w14:paraId="55737BF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20"/>
                <w:kern w:val="0"/>
                <w:sz w:val="24"/>
                <w:szCs w:val="24"/>
                <w:highlight w:val="none"/>
              </w:rPr>
              <w:t>。复制件归档要求同第四类。</w:t>
            </w:r>
          </w:p>
        </w:tc>
      </w:tr>
      <w:tr w14:paraId="0FE1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6E4EB8D1">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center"/>
          </w:tcPr>
          <w:p w14:paraId="71D5B1F0">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9-2任免材料：</w:t>
            </w:r>
            <w:r>
              <w:rPr>
                <w:rFonts w:hint="eastAsia" w:ascii="宋体" w:hAnsi="宋体" w:cs="宋体"/>
                <w:snapToGrid w:val="0"/>
                <w:color w:val="auto"/>
                <w:spacing w:val="-8"/>
                <w:kern w:val="0"/>
                <w:sz w:val="24"/>
                <w:szCs w:val="24"/>
                <w:highlight w:val="none"/>
              </w:rPr>
              <w:t>录（聘）用审批（备案）表；选调生登记表及审批材料，选聘到村任职高校毕业生登记表；应征入伍登记表，招工审批表；取消录用、解聘材料；干部任免审批表及相应考察材料；干部试用期满审批表及相应考核（察）材料；公务员登记表，参公人员登记表；公务员调任审批（备案）表，干部调动审批材料；援藏、援疆、挂职锻炼登记（推荐）表；授予（晋升）军（警）衔、海关关衔、法官和检察官等级审批表；军人转业（复员）审批表；退（离）休审批表；自愿或引咎辞职的个人申请，同意或责令辞职的决定，对责令辞职决定不服的申诉材料、复议决定；辞退公务员审批表、辞退决定材料；罢免材料等。</w:t>
            </w:r>
            <w:r>
              <w:rPr>
                <w:rFonts w:hint="eastAsia" w:ascii="宋体" w:hAnsi="宋体" w:cs="宋体"/>
                <w:b/>
                <w:snapToGrid w:val="0"/>
                <w:color w:val="auto"/>
                <w:spacing w:val="-8"/>
                <w:kern w:val="0"/>
                <w:sz w:val="24"/>
                <w:szCs w:val="24"/>
                <w:highlight w:val="none"/>
              </w:rPr>
              <w:t xml:space="preserve">劳动合同（解除、终止、续签）；保密协议、合同内容修订作为劳动合同的附件；聘用合同；毕业生就业登记表（有用人单位盖章，无章放10类）；离职证明；上山下乡材料 </w:t>
            </w:r>
          </w:p>
        </w:tc>
        <w:tc>
          <w:tcPr>
            <w:tcW w:w="1345" w:type="dxa"/>
            <w:vMerge w:val="continue"/>
            <w:noWrap w:val="0"/>
            <w:vAlign w:val="center"/>
          </w:tcPr>
          <w:p w14:paraId="361983C5">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7F4F293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类序号按9-2-1、  9-2-2、9-2-3等，页码按1、2、3等编写。</w:t>
            </w:r>
          </w:p>
        </w:tc>
        <w:tc>
          <w:tcPr>
            <w:tcW w:w="1055" w:type="dxa"/>
            <w:vMerge w:val="continue"/>
            <w:noWrap w:val="0"/>
            <w:vAlign w:val="top"/>
          </w:tcPr>
          <w:p w14:paraId="621EB6A6">
            <w:pPr>
              <w:spacing w:line="400" w:lineRule="exact"/>
              <w:jc w:val="left"/>
              <w:rPr>
                <w:rFonts w:hint="eastAsia" w:ascii="宋体" w:hAnsi="宋体" w:cs="宋体"/>
                <w:snapToGrid w:val="0"/>
                <w:color w:val="auto"/>
                <w:spacing w:val="-8"/>
                <w:kern w:val="0"/>
                <w:sz w:val="18"/>
                <w:szCs w:val="18"/>
                <w:highlight w:val="none"/>
              </w:rPr>
            </w:pPr>
          </w:p>
        </w:tc>
      </w:tr>
      <w:tr w14:paraId="1AB1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46121C42">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center"/>
          </w:tcPr>
          <w:p w14:paraId="033C6B8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9-3出国（境）审批材料：</w:t>
            </w:r>
            <w:r>
              <w:rPr>
                <w:rFonts w:hint="eastAsia" w:ascii="宋体" w:hAnsi="宋体" w:cs="宋体"/>
                <w:snapToGrid w:val="0"/>
                <w:color w:val="auto"/>
                <w:spacing w:val="-8"/>
                <w:kern w:val="0"/>
                <w:sz w:val="24"/>
                <w:szCs w:val="24"/>
                <w:highlight w:val="none"/>
              </w:rPr>
              <w:t>因公出国（境）审批表；在国（境）外表现情况或鉴定等材料；外国永久居留证、港澳居民身份证等的复印件。</w:t>
            </w:r>
          </w:p>
        </w:tc>
        <w:tc>
          <w:tcPr>
            <w:tcW w:w="1345" w:type="dxa"/>
            <w:vMerge w:val="continue"/>
            <w:noWrap w:val="0"/>
            <w:vAlign w:val="center"/>
          </w:tcPr>
          <w:p w14:paraId="6A155986">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693FA1C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类序号按9-3-1、   9-3-2、9-3-3等，页码按1、2、3等编写。</w:t>
            </w:r>
          </w:p>
        </w:tc>
        <w:tc>
          <w:tcPr>
            <w:tcW w:w="1055" w:type="dxa"/>
            <w:vMerge w:val="continue"/>
            <w:noWrap w:val="0"/>
            <w:vAlign w:val="top"/>
          </w:tcPr>
          <w:p w14:paraId="42E6002C">
            <w:pPr>
              <w:spacing w:line="400" w:lineRule="exact"/>
              <w:jc w:val="left"/>
              <w:rPr>
                <w:rFonts w:hint="eastAsia" w:ascii="宋体" w:hAnsi="宋体" w:cs="宋体"/>
                <w:snapToGrid w:val="0"/>
                <w:color w:val="auto"/>
                <w:spacing w:val="-8"/>
                <w:kern w:val="0"/>
                <w:sz w:val="18"/>
                <w:szCs w:val="18"/>
                <w:highlight w:val="none"/>
              </w:rPr>
            </w:pPr>
          </w:p>
        </w:tc>
      </w:tr>
      <w:tr w14:paraId="487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51BCAAEE">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bottom"/>
          </w:tcPr>
          <w:p w14:paraId="0C29672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9-4会议代表材料：</w:t>
            </w:r>
            <w:r>
              <w:rPr>
                <w:rFonts w:hint="eastAsia" w:ascii="宋体" w:hAnsi="宋体" w:cs="宋体"/>
                <w:snapToGrid w:val="0"/>
                <w:color w:val="auto"/>
                <w:spacing w:val="-8"/>
                <w:kern w:val="0"/>
                <w:sz w:val="24"/>
                <w:szCs w:val="24"/>
                <w:highlight w:val="none"/>
              </w:rPr>
              <w:t>当选为县级以上党代会、人代会、政协会议和人民团体、群众团体以及民主党派代表会议代表、委员或委员会委员、常务委员的登记表或当选通知（证明材料）。</w:t>
            </w:r>
          </w:p>
        </w:tc>
        <w:tc>
          <w:tcPr>
            <w:tcW w:w="1345" w:type="dxa"/>
            <w:vMerge w:val="continue"/>
            <w:noWrap w:val="0"/>
            <w:vAlign w:val="center"/>
          </w:tcPr>
          <w:p w14:paraId="4F11610A">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062A82F1">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8"/>
                <w:kern w:val="0"/>
                <w:sz w:val="24"/>
                <w:szCs w:val="24"/>
                <w:highlight w:val="none"/>
              </w:rPr>
              <w:t>类序号按9-4-1、   9-4-2、9-4-3等，页码按1、2、3等编写。</w:t>
            </w:r>
          </w:p>
        </w:tc>
        <w:tc>
          <w:tcPr>
            <w:tcW w:w="1055" w:type="dxa"/>
            <w:vMerge w:val="continue"/>
            <w:noWrap w:val="0"/>
            <w:vAlign w:val="top"/>
          </w:tcPr>
          <w:p w14:paraId="25ECC835">
            <w:pPr>
              <w:spacing w:line="400" w:lineRule="exact"/>
              <w:jc w:val="left"/>
              <w:rPr>
                <w:rFonts w:hint="eastAsia" w:ascii="宋体" w:hAnsi="宋体" w:cs="宋体"/>
                <w:snapToGrid w:val="0"/>
                <w:color w:val="auto"/>
                <w:spacing w:val="-8"/>
                <w:kern w:val="0"/>
                <w:sz w:val="18"/>
                <w:szCs w:val="18"/>
                <w:highlight w:val="none"/>
              </w:rPr>
            </w:pPr>
          </w:p>
        </w:tc>
      </w:tr>
      <w:tr w14:paraId="1BC8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D40AAB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十、其他材料</w:t>
            </w:r>
          </w:p>
        </w:tc>
        <w:tc>
          <w:tcPr>
            <w:tcW w:w="4560" w:type="dxa"/>
            <w:noWrap w:val="0"/>
            <w:vAlign w:val="center"/>
          </w:tcPr>
          <w:p w14:paraId="19684D0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录用体检表（包括报考大、中院校或运动员、入伍参军、招工、招干体检表），反映严重慢性病、身体残疾的体检表；工伤致残诊断书、确定致残等级的材料；生平，非正常死亡调查报告等材料；毕业生就业报到证（派遣证）</w:t>
            </w:r>
            <w:r>
              <w:rPr>
                <w:rFonts w:hint="eastAsia" w:ascii="宋体" w:hAnsi="宋体" w:cs="宋体"/>
                <w:b/>
                <w:snapToGrid w:val="0"/>
                <w:color w:val="auto"/>
                <w:spacing w:val="-8"/>
                <w:kern w:val="0"/>
                <w:sz w:val="24"/>
                <w:szCs w:val="24"/>
                <w:highlight w:val="none"/>
              </w:rPr>
              <w:t>（优先做就业通知书，如无可做报到证）</w:t>
            </w:r>
            <w:r>
              <w:rPr>
                <w:rFonts w:hint="eastAsia" w:ascii="宋体" w:hAnsi="宋体" w:cs="宋体"/>
                <w:snapToGrid w:val="0"/>
                <w:color w:val="auto"/>
                <w:spacing w:val="-8"/>
                <w:kern w:val="0"/>
                <w:sz w:val="24"/>
                <w:szCs w:val="24"/>
                <w:highlight w:val="none"/>
              </w:rPr>
              <w:t>；人事争议仲裁裁决书（调解书），公务员申诉处理决定书（再申诉处理决定书、复核决定）；再生育子女申请审批表；干部人事档案报送单（转递审核表），干部人事档案有关情况说明等材料；其他可供组织参考的材料。</w:t>
            </w:r>
            <w:r>
              <w:rPr>
                <w:rFonts w:hint="eastAsia" w:ascii="宋体" w:hAnsi="宋体" w:cs="宋体"/>
                <w:b/>
                <w:snapToGrid w:val="0"/>
                <w:color w:val="auto"/>
                <w:spacing w:val="-8"/>
                <w:kern w:val="0"/>
                <w:sz w:val="24"/>
                <w:szCs w:val="24"/>
                <w:highlight w:val="none"/>
              </w:rPr>
              <w:t>体格检查表；所有介绍信（除党团介绍信外）；（毕业生）就业协议；工会材料；助学金；结婚申请；职工个人缴纳失业保险费登记表；大学生学费还款确认书；毕业生就业调整审批。商调/人才流动登记报批表（调入、调出）（由公共人才服务机构开具的）、国有企业下岗职工基本生活保障和再就业协议；解除进中心协议通知书、申请解除再就业协议；回国人员证明；档案转递通知单</w:t>
            </w:r>
          </w:p>
        </w:tc>
        <w:tc>
          <w:tcPr>
            <w:tcW w:w="1345" w:type="dxa"/>
            <w:noWrap w:val="0"/>
            <w:vAlign w:val="center"/>
          </w:tcPr>
          <w:p w14:paraId="00E40D51">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7E92644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类序号按10-1、   10-2、10-3等，页码按1、2、3等编写。</w:t>
            </w:r>
          </w:p>
        </w:tc>
        <w:tc>
          <w:tcPr>
            <w:tcW w:w="1055" w:type="dxa"/>
            <w:noWrap w:val="0"/>
            <w:vAlign w:val="top"/>
          </w:tcPr>
          <w:p w14:paraId="204BA3B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647D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8" w:type="dxa"/>
            <w:gridSpan w:val="5"/>
            <w:noWrap w:val="0"/>
            <w:vAlign w:val="center"/>
          </w:tcPr>
          <w:p w14:paraId="2336ADB1">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b/>
                <w:color w:val="auto"/>
                <w:sz w:val="24"/>
                <w:szCs w:val="24"/>
                <w:highlight w:val="none"/>
              </w:rPr>
              <w:t>*</w:t>
            </w:r>
            <w:r>
              <w:rPr>
                <w:rFonts w:hint="eastAsia" w:ascii="宋体" w:hAnsi="宋体" w:cs="宋体"/>
                <w:b/>
                <w:bCs/>
                <w:color w:val="auto"/>
                <w:sz w:val="24"/>
                <w:szCs w:val="24"/>
                <w:highlight w:val="none"/>
              </w:rPr>
              <w:t>散材料处理办法：散材料不进入正本，材料无需打印目录，但需将所有散材料进行扫描、名称著录。</w:t>
            </w:r>
            <w:r>
              <w:rPr>
                <w:rFonts w:hint="eastAsia" w:ascii="宋体" w:hAnsi="宋体" w:cs="宋体"/>
                <w:b/>
                <w:color w:val="auto"/>
                <w:sz w:val="24"/>
                <w:szCs w:val="24"/>
                <w:highlight w:val="none"/>
              </w:rPr>
              <w:t>散材料采集说明【</w:t>
            </w:r>
            <w:r>
              <w:rPr>
                <w:rFonts w:hint="eastAsia" w:ascii="宋体" w:hAnsi="宋体" w:cs="宋体"/>
                <w:color w:val="auto"/>
                <w:sz w:val="24"/>
                <w:szCs w:val="24"/>
                <w:highlight w:val="none"/>
              </w:rPr>
              <w:t>散装材料默认类别为十一类，仅需著录材料名称（材料名称全称）和页数，顺序号从“1”依次递增，要求电子档案目录与图片一一对应。</w:t>
            </w:r>
            <w:r>
              <w:rPr>
                <w:rFonts w:hint="eastAsia" w:ascii="宋体" w:hAnsi="宋体" w:cs="宋体"/>
                <w:b/>
                <w:color w:val="auto"/>
                <w:sz w:val="24"/>
                <w:szCs w:val="24"/>
                <w:highlight w:val="none"/>
              </w:rPr>
              <w:t>】</w:t>
            </w:r>
          </w:p>
        </w:tc>
      </w:tr>
      <w:tr w14:paraId="2B52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69E101A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十一、散材料</w:t>
            </w:r>
          </w:p>
        </w:tc>
        <w:tc>
          <w:tcPr>
            <w:tcW w:w="4560" w:type="dxa"/>
            <w:noWrap w:val="0"/>
            <w:vAlign w:val="center"/>
          </w:tcPr>
          <w:p w14:paraId="7DA82FFC">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所有未做入正本的均放到此类散材料</w:t>
            </w:r>
          </w:p>
        </w:tc>
        <w:tc>
          <w:tcPr>
            <w:tcW w:w="1345" w:type="dxa"/>
            <w:noWrap w:val="0"/>
            <w:vAlign w:val="center"/>
          </w:tcPr>
          <w:p w14:paraId="193B2BC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材料排序无要求</w:t>
            </w:r>
          </w:p>
        </w:tc>
        <w:tc>
          <w:tcPr>
            <w:tcW w:w="1350" w:type="dxa"/>
            <w:noWrap w:val="0"/>
            <w:vAlign w:val="center"/>
          </w:tcPr>
          <w:p w14:paraId="68C6577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类序号为11，按11-1、11-2，等依次递增。</w:t>
            </w:r>
          </w:p>
        </w:tc>
        <w:tc>
          <w:tcPr>
            <w:tcW w:w="1055" w:type="dxa"/>
            <w:noWrap w:val="0"/>
            <w:vAlign w:val="top"/>
          </w:tcPr>
          <w:p w14:paraId="0CCBB836">
            <w:pPr>
              <w:spacing w:line="400" w:lineRule="exact"/>
              <w:jc w:val="left"/>
              <w:rPr>
                <w:rFonts w:hint="eastAsia" w:ascii="宋体" w:hAnsi="宋体" w:cs="宋体"/>
                <w:snapToGrid w:val="0"/>
                <w:color w:val="auto"/>
                <w:spacing w:val="-20"/>
                <w:kern w:val="0"/>
                <w:sz w:val="24"/>
                <w:szCs w:val="24"/>
                <w:highlight w:val="none"/>
              </w:rPr>
            </w:pPr>
          </w:p>
        </w:tc>
      </w:tr>
    </w:tbl>
    <w:p w14:paraId="2C533800">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（4）其他</w:t>
      </w:r>
    </w:p>
    <w:p w14:paraId="4420D17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所有在之前整理过的文件如果打孔穿过了正文或照片的，需重新裱糊接边，并一一记录；</w:t>
      </w:r>
    </w:p>
    <w:p w14:paraId="1692686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所有文件裱糊一律右下角对齐；</w:t>
      </w:r>
    </w:p>
    <w:p w14:paraId="64D5D5EF">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无论文件原先是否有页码，都需要重新标记一遍，保证不出错；</w:t>
      </w:r>
    </w:p>
    <w:p w14:paraId="03CB2CF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页码标记时应尽量清晰，工整，保证可识别度；</w:t>
      </w:r>
    </w:p>
    <w:p w14:paraId="6C59BB37">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同一份文件之中可能有多份文件，应以时间顺序排列好；</w:t>
      </w:r>
    </w:p>
    <w:p w14:paraId="66579CC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同一大类的时间顺序一定要注意，尤其是以最近日期为准；</w:t>
      </w:r>
    </w:p>
    <w:p w14:paraId="2E7089E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不规则、过小、过窄、部分损坏、过薄的文件都需要裱糊并折叠对齐，类别号写在显眼的地方；</w:t>
      </w:r>
    </w:p>
    <w:p w14:paraId="0259287D">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整理过程中需去除所有的金属物品，如装订针、大头针、回形针等；</w:t>
      </w:r>
    </w:p>
    <w:p w14:paraId="7C9E9734">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针对文件审批材料，一般没有公章的情况不归入正文；</w:t>
      </w:r>
    </w:p>
    <w:p w14:paraId="5C50D6C2">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对于裱糊的情况，应注意：</w:t>
      </w:r>
    </w:p>
    <w:p w14:paraId="7CEB643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1）一般边距偏窄背面无内容的情况，直接接边就好；</w:t>
      </w:r>
    </w:p>
    <w:p w14:paraId="6AAA785A">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2）边距偏窄背面有内容的情况，最好用整张白纸衬；                          </w:t>
      </w:r>
    </w:p>
    <w:p w14:paraId="0BB38D0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3）遇到边距偏窄的大开张或多页册子的情况，最好用白纸衬，接边容易脱落；</w:t>
      </w:r>
    </w:p>
    <w:p w14:paraId="4D78466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4）多页册子一旦裱糊，因为取了钉子，里面的页数是散开的，容易脱落，在不破坏材料的情况下，最好里面裱糊一下，从正面粘。</w:t>
      </w:r>
    </w:p>
    <w:p w14:paraId="4BAE195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关于4-2和9-2的部分材料的界定，主要针对在聘任这一块，4-2主要是关于职称方面的文件，强调任职资格；9-2主要是关于职务方面的，且有可能包含任职时间，强调任免；</w:t>
      </w:r>
    </w:p>
    <w:p w14:paraId="5BE1E54B">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针对4-2，专业技术人员职务聘任资格呈报表/评审表和关于xxx同志的职务任职资格的通知不应该放在同一类别中，要分开，不要做成一个材料；</w:t>
      </w:r>
    </w:p>
    <w:p w14:paraId="4532F852">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针对三大类，年度考核材料应分年度分开编类并排序，如有年度，则把年度标上去；针对五大类，尤其需注意内容的审核，很多情况下标题不一定会直观反映内容；</w:t>
      </w:r>
    </w:p>
    <w:p w14:paraId="2FD700E3">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针对七大类、注意原件的审核，证书原件不做入正本；</w:t>
      </w:r>
    </w:p>
    <w:p w14:paraId="25BBA95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针对十大类，关于体检表格，全部做入正本，归为一类，按材料形成时间排序；</w:t>
      </w:r>
    </w:p>
    <w:p w14:paraId="1FA5CCB7">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关于所有附件，文件形成时间不录入到正文目录；</w:t>
      </w:r>
    </w:p>
    <w:p w14:paraId="6F7B06F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需折叠的材料统一以A4纸张大小为准，向材料背面折叠一次，补边的纸条宽度为3cm。</w:t>
      </w:r>
    </w:p>
    <w:p w14:paraId="0F543515">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2.新增档案数字化流程及质量要求</w:t>
      </w:r>
    </w:p>
    <w:p w14:paraId="39ADB9D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数字化工作要遵循以下总则：严格管理、明确责任，落实安全保密管理机制和质量管理机制，确保档案原件和数字化档案信息的安全，确保各环节工作符合质量要求，建立完整、规范的工作记录。具体工作包括数字化前处理、目录著录、档案扫描、图像处理、文件存储与备份、文件目录与全文的挂接、质量自检、档案装订，并确保扫描图像、挂接的质量，档案及其档案信息的安全。各工作环节要求如下：</w:t>
      </w:r>
    </w:p>
    <w:p w14:paraId="13E2EA3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2.1数字化前处理</w:t>
      </w:r>
    </w:p>
    <w:p w14:paraId="3CC384D4">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供应商在扫描前先检查案卷质量并按规范进行整理、确定扫描范围、以保证数字档案与实体档案的对应。应根据实际情况做好前处理工作，以确保数字化加工质量。具体要求如下：</w:t>
      </w:r>
    </w:p>
    <w:p w14:paraId="00D61B8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1）整理拆装：尽可能不拆卷，需要拆卷的必须严格管理。在拆除案卷装订物时，必须保护档案不受损害，保持案卷内原有文件顺序（除个别必须调整的页面经征得采购人同意后予以调整的以外）。在完成扫描后，拆除过装订物的档案应按档案原有的装订孔进行重新装订。在恢复装订时，要保持档案的排列顺序不变，不得漏页、错页，不得压字，装订牢固、不掉页，做到安全、准确、无遗漏。恢复装订时，原则上不更换档案盒、卷内目录等（对拆装须使用的工具及复原材料由供应商提供，所提供的复原材料须符合档案的相关标准）。</w:t>
      </w:r>
    </w:p>
    <w:p w14:paraId="25DD829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（2）页面修整：破损严重、无法直接进行扫描的档案，应先进行技术修复，折皱不平影响扫描质量的原件应先进行相应处理(压平或熨平等)后再进行扫描，不能使用高速扫描仪的，要用平板扫描仪扫描。</w:t>
      </w:r>
    </w:p>
    <w:p w14:paraId="6528219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以上检查结果均应按规定填写相关登记表单，并在不影响原来案卷质量的前提下提出具体处理意见，在响应文件中提交具体措施和处理方案。</w:t>
      </w:r>
    </w:p>
    <w:p w14:paraId="63DBE4CB">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2.2目录著录</w:t>
      </w:r>
    </w:p>
    <w:p w14:paraId="31A7A7B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应根据档案管理系统信息采集的内容和要求，正确的完成数据录入的工作。严格按照相关的行业标准与规范进行并导入现有档案管理系统中，条目与对应影像文件挂接正确率要求达到100%。如发现录入信息存在有分歧的，必须与采购人档案管理部门沟通确定。</w:t>
      </w:r>
    </w:p>
    <w:p w14:paraId="7CA960BE">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（1）数据格式选择</w:t>
      </w:r>
    </w:p>
    <w:p w14:paraId="1DC1C87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电子条目信息建库递交成果采用Excel格式，符合国家档案局相关标准规范要求。</w:t>
      </w:r>
    </w:p>
    <w:p w14:paraId="2719DE8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（2）档案著录</w:t>
      </w:r>
    </w:p>
    <w:p w14:paraId="1632B092">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按照《档案著录规则》(DA/T 18—2022)的要求进行著录，建立档案级目录数据库。同时对数据库相应的目录进行修正，确保目录的准确率。</w:t>
      </w:r>
    </w:p>
    <w:p w14:paraId="72F6480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（3）目录数据质量检查</w:t>
      </w:r>
    </w:p>
    <w:p w14:paraId="49D11F86">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要求采用双机对录系统进行著录，能提供两录对校功能，双机对录系统可以根据不同的档案类型进行自定义设置，能醒目展示两录差异内容。</w:t>
      </w:r>
    </w:p>
    <w:p w14:paraId="029AA94B">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val="zh-CN"/>
        </w:rPr>
        <w:t>人事档案管理业务的基本数据，存档人填报相关表格不能作为原始数据依据，相关数据应以档案原始材料为依据进行采录。</w:t>
      </w:r>
    </w:p>
    <w:p w14:paraId="5B5BB5FA">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（5）录入字段参考：</w:t>
      </w:r>
    </w:p>
    <w:p w14:paraId="1ABDC881">
      <w:pPr>
        <w:spacing w:line="40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基础数据采集内容</w:t>
      </w:r>
    </w:p>
    <w:tbl>
      <w:tblPr>
        <w:tblStyle w:val="5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5"/>
        <w:gridCol w:w="824"/>
        <w:gridCol w:w="878"/>
        <w:gridCol w:w="927"/>
        <w:gridCol w:w="89"/>
        <w:gridCol w:w="121"/>
        <w:gridCol w:w="847"/>
        <w:gridCol w:w="805"/>
        <w:gridCol w:w="251"/>
        <w:gridCol w:w="407"/>
        <w:gridCol w:w="521"/>
        <w:gridCol w:w="295"/>
        <w:gridCol w:w="1225"/>
        <w:gridCol w:w="134"/>
        <w:gridCol w:w="78"/>
        <w:gridCol w:w="1023"/>
      </w:tblGrid>
      <w:tr w14:paraId="09508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760952B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个人数据类</w:t>
            </w:r>
          </w:p>
        </w:tc>
      </w:tr>
      <w:tr w14:paraId="6DFDF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2875E37F">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个人基本信息</w:t>
            </w:r>
          </w:p>
        </w:tc>
        <w:tc>
          <w:tcPr>
            <w:tcW w:w="1702" w:type="dxa"/>
            <w:gridSpan w:val="2"/>
            <w:noWrap w:val="0"/>
            <w:vAlign w:val="center"/>
          </w:tcPr>
          <w:p w14:paraId="3A8351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1016" w:type="dxa"/>
            <w:gridSpan w:val="2"/>
            <w:noWrap w:val="0"/>
            <w:vAlign w:val="center"/>
          </w:tcPr>
          <w:p w14:paraId="726B7A65">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21A8DAC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公民身份号码**</w:t>
            </w:r>
          </w:p>
        </w:tc>
        <w:tc>
          <w:tcPr>
            <w:tcW w:w="1179" w:type="dxa"/>
            <w:gridSpan w:val="3"/>
            <w:noWrap w:val="0"/>
            <w:vAlign w:val="center"/>
          </w:tcPr>
          <w:p w14:paraId="00AFDEC1">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0EA351B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出生日期**</w:t>
            </w:r>
          </w:p>
        </w:tc>
        <w:tc>
          <w:tcPr>
            <w:tcW w:w="1023" w:type="dxa"/>
            <w:noWrap w:val="0"/>
            <w:vAlign w:val="center"/>
          </w:tcPr>
          <w:p w14:paraId="33692EB9">
            <w:pPr>
              <w:spacing w:line="400" w:lineRule="exact"/>
              <w:jc w:val="center"/>
              <w:rPr>
                <w:rFonts w:hint="eastAsia" w:ascii="宋体" w:hAnsi="宋体" w:cs="宋体"/>
                <w:color w:val="auto"/>
                <w:sz w:val="24"/>
                <w:szCs w:val="24"/>
                <w:highlight w:val="none"/>
              </w:rPr>
            </w:pPr>
          </w:p>
        </w:tc>
      </w:tr>
      <w:tr w14:paraId="64735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3CCEA1C">
            <w:pPr>
              <w:spacing w:line="400" w:lineRule="exact"/>
              <w:jc w:val="center"/>
              <w:rPr>
                <w:rFonts w:hint="eastAsia" w:ascii="宋体" w:hAnsi="宋体" w:cs="宋体"/>
                <w:b/>
                <w:color w:val="auto"/>
                <w:sz w:val="24"/>
                <w:szCs w:val="24"/>
                <w:highlight w:val="none"/>
              </w:rPr>
            </w:pPr>
          </w:p>
        </w:tc>
        <w:tc>
          <w:tcPr>
            <w:tcW w:w="1702" w:type="dxa"/>
            <w:gridSpan w:val="2"/>
            <w:noWrap w:val="0"/>
            <w:vAlign w:val="center"/>
          </w:tcPr>
          <w:p w14:paraId="7866BF8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曾用名</w:t>
            </w:r>
          </w:p>
        </w:tc>
        <w:tc>
          <w:tcPr>
            <w:tcW w:w="1016" w:type="dxa"/>
            <w:gridSpan w:val="2"/>
            <w:noWrap w:val="0"/>
            <w:vAlign w:val="center"/>
          </w:tcPr>
          <w:p w14:paraId="0F13370F">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3C27E3C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籍贯</w:t>
            </w:r>
          </w:p>
        </w:tc>
        <w:tc>
          <w:tcPr>
            <w:tcW w:w="1179" w:type="dxa"/>
            <w:gridSpan w:val="3"/>
            <w:noWrap w:val="0"/>
            <w:vAlign w:val="center"/>
          </w:tcPr>
          <w:p w14:paraId="33B10939">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B854C4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出生地</w:t>
            </w:r>
          </w:p>
        </w:tc>
        <w:tc>
          <w:tcPr>
            <w:tcW w:w="1023" w:type="dxa"/>
            <w:noWrap w:val="0"/>
            <w:vAlign w:val="center"/>
          </w:tcPr>
          <w:p w14:paraId="6D45D309">
            <w:pPr>
              <w:spacing w:line="400" w:lineRule="exact"/>
              <w:jc w:val="center"/>
              <w:rPr>
                <w:rFonts w:hint="eastAsia" w:ascii="宋体" w:hAnsi="宋体" w:cs="宋体"/>
                <w:color w:val="auto"/>
                <w:sz w:val="24"/>
                <w:szCs w:val="24"/>
                <w:highlight w:val="none"/>
              </w:rPr>
            </w:pPr>
          </w:p>
        </w:tc>
      </w:tr>
      <w:tr w14:paraId="3D351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7B3E6F4">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F9478B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性别**</w:t>
            </w:r>
          </w:p>
        </w:tc>
        <w:tc>
          <w:tcPr>
            <w:tcW w:w="1016" w:type="dxa"/>
            <w:gridSpan w:val="2"/>
            <w:noWrap w:val="0"/>
            <w:vAlign w:val="center"/>
          </w:tcPr>
          <w:p w14:paraId="08D95E96">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093FCB6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民族**</w:t>
            </w:r>
          </w:p>
        </w:tc>
        <w:tc>
          <w:tcPr>
            <w:tcW w:w="1179" w:type="dxa"/>
            <w:gridSpan w:val="3"/>
            <w:noWrap w:val="0"/>
            <w:vAlign w:val="center"/>
          </w:tcPr>
          <w:p w14:paraId="71A1A4AA">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2AD0FCD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婚姻状况</w:t>
            </w:r>
          </w:p>
        </w:tc>
        <w:tc>
          <w:tcPr>
            <w:tcW w:w="1023" w:type="dxa"/>
            <w:noWrap w:val="0"/>
            <w:vAlign w:val="center"/>
          </w:tcPr>
          <w:p w14:paraId="3231170B">
            <w:pPr>
              <w:spacing w:line="400" w:lineRule="exact"/>
              <w:jc w:val="center"/>
              <w:rPr>
                <w:rFonts w:hint="eastAsia" w:ascii="宋体" w:hAnsi="宋体" w:cs="宋体"/>
                <w:color w:val="auto"/>
                <w:sz w:val="24"/>
                <w:szCs w:val="24"/>
                <w:highlight w:val="none"/>
              </w:rPr>
            </w:pPr>
          </w:p>
        </w:tc>
      </w:tr>
      <w:tr w14:paraId="04355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814138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97E11C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政治面貌**</w:t>
            </w:r>
          </w:p>
        </w:tc>
        <w:tc>
          <w:tcPr>
            <w:tcW w:w="1016" w:type="dxa"/>
            <w:gridSpan w:val="2"/>
            <w:noWrap w:val="0"/>
            <w:vAlign w:val="center"/>
          </w:tcPr>
          <w:p w14:paraId="43B9D62B">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61B67B3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参加组织时间**</w:t>
            </w:r>
          </w:p>
        </w:tc>
        <w:tc>
          <w:tcPr>
            <w:tcW w:w="1179" w:type="dxa"/>
            <w:gridSpan w:val="3"/>
            <w:noWrap w:val="0"/>
            <w:vAlign w:val="center"/>
          </w:tcPr>
          <w:p w14:paraId="402C1B17">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3BFFEE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参加工作日期**</w:t>
            </w:r>
          </w:p>
        </w:tc>
        <w:tc>
          <w:tcPr>
            <w:tcW w:w="1023" w:type="dxa"/>
            <w:noWrap w:val="0"/>
            <w:vAlign w:val="center"/>
          </w:tcPr>
          <w:p w14:paraId="14F39F2C">
            <w:pPr>
              <w:spacing w:line="400" w:lineRule="exact"/>
              <w:jc w:val="center"/>
              <w:rPr>
                <w:rFonts w:hint="eastAsia" w:ascii="宋体" w:hAnsi="宋体" w:cs="宋体"/>
                <w:color w:val="auto"/>
                <w:sz w:val="24"/>
                <w:szCs w:val="24"/>
                <w:highlight w:val="none"/>
              </w:rPr>
            </w:pPr>
          </w:p>
        </w:tc>
      </w:tr>
      <w:tr w14:paraId="00E1A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5D6E085">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CDE59C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最高学位**</w:t>
            </w:r>
          </w:p>
        </w:tc>
        <w:tc>
          <w:tcPr>
            <w:tcW w:w="1016" w:type="dxa"/>
            <w:gridSpan w:val="2"/>
            <w:noWrap w:val="0"/>
            <w:vAlign w:val="center"/>
          </w:tcPr>
          <w:p w14:paraId="68D028C1">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0E34F36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tc>
        <w:tc>
          <w:tcPr>
            <w:tcW w:w="1179" w:type="dxa"/>
            <w:gridSpan w:val="3"/>
            <w:noWrap w:val="0"/>
            <w:vAlign w:val="center"/>
          </w:tcPr>
          <w:p w14:paraId="16B37888">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5271FD1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1A43F40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毕业日期**</w:t>
            </w:r>
          </w:p>
        </w:tc>
        <w:tc>
          <w:tcPr>
            <w:tcW w:w="1023" w:type="dxa"/>
            <w:noWrap w:val="0"/>
            <w:vAlign w:val="center"/>
          </w:tcPr>
          <w:p w14:paraId="7423B809">
            <w:pPr>
              <w:spacing w:line="400" w:lineRule="exact"/>
              <w:jc w:val="center"/>
              <w:rPr>
                <w:rFonts w:hint="eastAsia" w:ascii="宋体" w:hAnsi="宋体" w:cs="宋体"/>
                <w:color w:val="auto"/>
                <w:sz w:val="24"/>
                <w:szCs w:val="24"/>
                <w:highlight w:val="none"/>
              </w:rPr>
            </w:pPr>
          </w:p>
        </w:tc>
      </w:tr>
      <w:tr w14:paraId="2E85C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1213143">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1F791A8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4187C8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毕业院校**</w:t>
            </w:r>
          </w:p>
        </w:tc>
        <w:tc>
          <w:tcPr>
            <w:tcW w:w="1016" w:type="dxa"/>
            <w:gridSpan w:val="2"/>
            <w:noWrap w:val="0"/>
            <w:vAlign w:val="center"/>
          </w:tcPr>
          <w:p w14:paraId="14AAA120">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2A98BB6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581DBD9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所学专业名称**</w:t>
            </w:r>
          </w:p>
        </w:tc>
        <w:tc>
          <w:tcPr>
            <w:tcW w:w="1179" w:type="dxa"/>
            <w:gridSpan w:val="3"/>
            <w:noWrap w:val="0"/>
            <w:vAlign w:val="center"/>
          </w:tcPr>
          <w:p w14:paraId="51BB9C38">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76442D8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18B6F08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所学专业类别**</w:t>
            </w:r>
          </w:p>
        </w:tc>
        <w:tc>
          <w:tcPr>
            <w:tcW w:w="1023" w:type="dxa"/>
            <w:noWrap w:val="0"/>
            <w:vAlign w:val="center"/>
          </w:tcPr>
          <w:p w14:paraId="17B8B784">
            <w:pPr>
              <w:spacing w:line="400" w:lineRule="exact"/>
              <w:jc w:val="center"/>
              <w:rPr>
                <w:rFonts w:hint="eastAsia" w:ascii="宋体" w:hAnsi="宋体" w:cs="宋体"/>
                <w:color w:val="auto"/>
                <w:sz w:val="24"/>
                <w:szCs w:val="24"/>
                <w:highlight w:val="none"/>
              </w:rPr>
            </w:pPr>
          </w:p>
        </w:tc>
      </w:tr>
      <w:tr w14:paraId="5E7C2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DC3E146">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3ED02FE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w:t>
            </w:r>
          </w:p>
          <w:p w14:paraId="4F8DB38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名称</w:t>
            </w:r>
          </w:p>
        </w:tc>
        <w:tc>
          <w:tcPr>
            <w:tcW w:w="1016" w:type="dxa"/>
            <w:gridSpan w:val="2"/>
            <w:noWrap w:val="0"/>
            <w:vAlign w:val="center"/>
          </w:tcPr>
          <w:p w14:paraId="6CB28AD5">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6E2897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w:t>
            </w:r>
          </w:p>
          <w:p w14:paraId="6DAAEBB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机构类型</w:t>
            </w:r>
          </w:p>
        </w:tc>
        <w:tc>
          <w:tcPr>
            <w:tcW w:w="1179" w:type="dxa"/>
            <w:gridSpan w:val="3"/>
            <w:noWrap w:val="0"/>
            <w:vAlign w:val="center"/>
          </w:tcPr>
          <w:p w14:paraId="0C816F9B">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08D4191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       经济类型</w:t>
            </w:r>
          </w:p>
        </w:tc>
        <w:tc>
          <w:tcPr>
            <w:tcW w:w="1023" w:type="dxa"/>
            <w:noWrap w:val="0"/>
            <w:vAlign w:val="center"/>
          </w:tcPr>
          <w:p w14:paraId="7A96701D">
            <w:pPr>
              <w:spacing w:line="400" w:lineRule="exact"/>
              <w:jc w:val="center"/>
              <w:rPr>
                <w:rFonts w:hint="eastAsia" w:ascii="宋体" w:hAnsi="宋体" w:cs="宋体"/>
                <w:color w:val="auto"/>
                <w:sz w:val="24"/>
                <w:szCs w:val="24"/>
                <w:highlight w:val="none"/>
              </w:rPr>
            </w:pPr>
          </w:p>
        </w:tc>
      </w:tr>
      <w:tr w14:paraId="112C0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A784FE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C1BD5E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     所属行业</w:t>
            </w:r>
          </w:p>
        </w:tc>
        <w:tc>
          <w:tcPr>
            <w:tcW w:w="1016" w:type="dxa"/>
            <w:gridSpan w:val="2"/>
            <w:noWrap w:val="0"/>
            <w:vAlign w:val="center"/>
          </w:tcPr>
          <w:p w14:paraId="43E8E763">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1FCBB92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工作职位</w:t>
            </w:r>
          </w:p>
          <w:p w14:paraId="533AC6F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（岗位）类型</w:t>
            </w:r>
          </w:p>
        </w:tc>
        <w:tc>
          <w:tcPr>
            <w:tcW w:w="1179" w:type="dxa"/>
            <w:gridSpan w:val="3"/>
            <w:noWrap w:val="0"/>
            <w:vAlign w:val="center"/>
          </w:tcPr>
          <w:p w14:paraId="2E95B597">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1CE18E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工作地点行政区划</w:t>
            </w:r>
          </w:p>
        </w:tc>
        <w:tc>
          <w:tcPr>
            <w:tcW w:w="1023" w:type="dxa"/>
            <w:noWrap w:val="0"/>
            <w:vAlign w:val="center"/>
          </w:tcPr>
          <w:p w14:paraId="1BB531C2">
            <w:pPr>
              <w:spacing w:line="400" w:lineRule="exact"/>
              <w:jc w:val="center"/>
              <w:rPr>
                <w:rFonts w:hint="eastAsia" w:ascii="宋体" w:hAnsi="宋体" w:cs="宋体"/>
                <w:color w:val="auto"/>
                <w:sz w:val="24"/>
                <w:szCs w:val="24"/>
                <w:highlight w:val="none"/>
              </w:rPr>
            </w:pPr>
          </w:p>
        </w:tc>
      </w:tr>
      <w:tr w14:paraId="273F4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51A4558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0150B69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户口所在地址</w:t>
            </w:r>
          </w:p>
        </w:tc>
        <w:tc>
          <w:tcPr>
            <w:tcW w:w="3968" w:type="dxa"/>
            <w:gridSpan w:val="8"/>
            <w:noWrap w:val="0"/>
            <w:vAlign w:val="center"/>
          </w:tcPr>
          <w:p w14:paraId="0AFA6939">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1670003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户籍行政区划**</w:t>
            </w:r>
          </w:p>
        </w:tc>
        <w:tc>
          <w:tcPr>
            <w:tcW w:w="1023" w:type="dxa"/>
            <w:noWrap w:val="0"/>
            <w:vAlign w:val="center"/>
          </w:tcPr>
          <w:p w14:paraId="414047BD">
            <w:pPr>
              <w:spacing w:line="400" w:lineRule="exact"/>
              <w:jc w:val="center"/>
              <w:rPr>
                <w:rFonts w:hint="eastAsia" w:ascii="宋体" w:hAnsi="宋体" w:cs="宋体"/>
                <w:color w:val="auto"/>
                <w:sz w:val="24"/>
                <w:szCs w:val="24"/>
                <w:highlight w:val="none"/>
              </w:rPr>
            </w:pPr>
          </w:p>
        </w:tc>
      </w:tr>
      <w:tr w14:paraId="750B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FD28B67">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BB4C36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现居住地址</w:t>
            </w:r>
          </w:p>
        </w:tc>
        <w:tc>
          <w:tcPr>
            <w:tcW w:w="3968" w:type="dxa"/>
            <w:gridSpan w:val="8"/>
            <w:noWrap w:val="0"/>
            <w:vAlign w:val="center"/>
          </w:tcPr>
          <w:p w14:paraId="763C6F75">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420FB1B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1023" w:type="dxa"/>
            <w:noWrap w:val="0"/>
            <w:vAlign w:val="center"/>
          </w:tcPr>
          <w:p w14:paraId="1A5D389A">
            <w:pPr>
              <w:spacing w:line="400" w:lineRule="exact"/>
              <w:jc w:val="center"/>
              <w:rPr>
                <w:rFonts w:hint="eastAsia" w:ascii="宋体" w:hAnsi="宋体" w:cs="宋体"/>
                <w:color w:val="auto"/>
                <w:sz w:val="24"/>
                <w:szCs w:val="24"/>
                <w:highlight w:val="none"/>
              </w:rPr>
            </w:pPr>
          </w:p>
        </w:tc>
      </w:tr>
      <w:tr w14:paraId="288C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82770C5">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3491138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手机号码**</w:t>
            </w:r>
          </w:p>
        </w:tc>
        <w:tc>
          <w:tcPr>
            <w:tcW w:w="2789" w:type="dxa"/>
            <w:gridSpan w:val="5"/>
            <w:noWrap w:val="0"/>
            <w:vAlign w:val="center"/>
          </w:tcPr>
          <w:p w14:paraId="701AA0B2">
            <w:pPr>
              <w:spacing w:line="400" w:lineRule="exact"/>
              <w:jc w:val="center"/>
              <w:rPr>
                <w:rFonts w:hint="eastAsia" w:ascii="宋体" w:hAnsi="宋体" w:cs="宋体"/>
                <w:color w:val="auto"/>
                <w:sz w:val="24"/>
                <w:szCs w:val="24"/>
                <w:highlight w:val="none"/>
              </w:rPr>
            </w:pPr>
          </w:p>
        </w:tc>
        <w:tc>
          <w:tcPr>
            <w:tcW w:w="1179" w:type="dxa"/>
            <w:gridSpan w:val="3"/>
            <w:noWrap w:val="0"/>
            <w:vAlign w:val="center"/>
          </w:tcPr>
          <w:p w14:paraId="5592160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电子邮箱</w:t>
            </w:r>
          </w:p>
        </w:tc>
        <w:tc>
          <w:tcPr>
            <w:tcW w:w="2755" w:type="dxa"/>
            <w:gridSpan w:val="5"/>
            <w:noWrap w:val="0"/>
            <w:vAlign w:val="center"/>
          </w:tcPr>
          <w:p w14:paraId="66740915">
            <w:pPr>
              <w:spacing w:line="400" w:lineRule="exact"/>
              <w:jc w:val="center"/>
              <w:rPr>
                <w:rFonts w:hint="eastAsia" w:ascii="宋体" w:hAnsi="宋体" w:cs="宋体"/>
                <w:color w:val="auto"/>
                <w:sz w:val="24"/>
                <w:szCs w:val="24"/>
                <w:highlight w:val="none"/>
              </w:rPr>
            </w:pPr>
          </w:p>
        </w:tc>
      </w:tr>
      <w:tr w14:paraId="7273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6A288B3F">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工作经历</w:t>
            </w:r>
          </w:p>
        </w:tc>
        <w:tc>
          <w:tcPr>
            <w:tcW w:w="1702" w:type="dxa"/>
            <w:gridSpan w:val="2"/>
            <w:noWrap w:val="0"/>
            <w:vAlign w:val="center"/>
          </w:tcPr>
          <w:p w14:paraId="74C3B7D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工作起始日期</w:t>
            </w:r>
          </w:p>
        </w:tc>
        <w:tc>
          <w:tcPr>
            <w:tcW w:w="927" w:type="dxa"/>
            <w:noWrap w:val="0"/>
            <w:vAlign w:val="center"/>
          </w:tcPr>
          <w:p w14:paraId="29DC7042">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4072BD3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工作终止日期</w:t>
            </w:r>
          </w:p>
        </w:tc>
        <w:tc>
          <w:tcPr>
            <w:tcW w:w="3934" w:type="dxa"/>
            <w:gridSpan w:val="8"/>
            <w:noWrap w:val="0"/>
            <w:vAlign w:val="center"/>
          </w:tcPr>
          <w:p w14:paraId="1D4B69D6">
            <w:pPr>
              <w:spacing w:line="400" w:lineRule="exact"/>
              <w:jc w:val="center"/>
              <w:rPr>
                <w:rFonts w:hint="eastAsia" w:ascii="宋体" w:hAnsi="宋体" w:cs="宋体"/>
                <w:color w:val="auto"/>
                <w:sz w:val="24"/>
                <w:szCs w:val="24"/>
                <w:highlight w:val="none"/>
              </w:rPr>
            </w:pPr>
          </w:p>
        </w:tc>
      </w:tr>
      <w:tr w14:paraId="682F6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195D1387">
            <w:pPr>
              <w:spacing w:line="400" w:lineRule="exact"/>
              <w:jc w:val="center"/>
              <w:rPr>
                <w:rFonts w:hint="eastAsia" w:ascii="宋体" w:hAnsi="宋体" w:cs="宋体"/>
                <w:b/>
                <w:color w:val="auto"/>
                <w:sz w:val="24"/>
                <w:szCs w:val="24"/>
                <w:highlight w:val="none"/>
              </w:rPr>
            </w:pPr>
          </w:p>
        </w:tc>
        <w:tc>
          <w:tcPr>
            <w:tcW w:w="1702" w:type="dxa"/>
            <w:gridSpan w:val="2"/>
            <w:noWrap w:val="0"/>
            <w:vAlign w:val="center"/>
          </w:tcPr>
          <w:p w14:paraId="52CB44D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所在工作</w:t>
            </w:r>
          </w:p>
          <w:p w14:paraId="23D19DE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927" w:type="dxa"/>
            <w:noWrap w:val="0"/>
            <w:vAlign w:val="center"/>
          </w:tcPr>
          <w:p w14:paraId="06711AF5">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03CD6AC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从事工作</w:t>
            </w:r>
          </w:p>
          <w:p w14:paraId="4F2FAA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或担任职务</w:t>
            </w:r>
          </w:p>
        </w:tc>
        <w:tc>
          <w:tcPr>
            <w:tcW w:w="1179" w:type="dxa"/>
            <w:gridSpan w:val="3"/>
            <w:noWrap w:val="0"/>
            <w:vAlign w:val="center"/>
          </w:tcPr>
          <w:p w14:paraId="54ECAD1F">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3CC7DBD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单位证明人</w:t>
            </w:r>
          </w:p>
        </w:tc>
        <w:tc>
          <w:tcPr>
            <w:tcW w:w="1235" w:type="dxa"/>
            <w:gridSpan w:val="3"/>
            <w:noWrap w:val="0"/>
            <w:vAlign w:val="center"/>
          </w:tcPr>
          <w:p w14:paraId="2F97ABE9">
            <w:pPr>
              <w:spacing w:line="400" w:lineRule="exact"/>
              <w:jc w:val="center"/>
              <w:rPr>
                <w:rFonts w:hint="eastAsia" w:ascii="宋体" w:hAnsi="宋体" w:cs="宋体"/>
                <w:color w:val="auto"/>
                <w:sz w:val="24"/>
                <w:szCs w:val="24"/>
                <w:highlight w:val="none"/>
              </w:rPr>
            </w:pPr>
          </w:p>
        </w:tc>
      </w:tr>
      <w:tr w14:paraId="12603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12EBC0EA">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专业技术与职业（工种）资格情况</w:t>
            </w:r>
          </w:p>
        </w:tc>
        <w:tc>
          <w:tcPr>
            <w:tcW w:w="1702" w:type="dxa"/>
            <w:gridSpan w:val="2"/>
            <w:noWrap w:val="0"/>
            <w:vAlign w:val="center"/>
          </w:tcPr>
          <w:p w14:paraId="2EE0D85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职称名称</w:t>
            </w:r>
          </w:p>
        </w:tc>
        <w:tc>
          <w:tcPr>
            <w:tcW w:w="927" w:type="dxa"/>
            <w:noWrap w:val="0"/>
            <w:vAlign w:val="center"/>
          </w:tcPr>
          <w:p w14:paraId="447E2679">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2461E65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职称级别</w:t>
            </w:r>
          </w:p>
        </w:tc>
        <w:tc>
          <w:tcPr>
            <w:tcW w:w="1179" w:type="dxa"/>
            <w:gridSpan w:val="3"/>
            <w:noWrap w:val="0"/>
            <w:vAlign w:val="center"/>
          </w:tcPr>
          <w:p w14:paraId="598340E1">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4C7467B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取得职称日期</w:t>
            </w:r>
          </w:p>
        </w:tc>
        <w:tc>
          <w:tcPr>
            <w:tcW w:w="1235" w:type="dxa"/>
            <w:gridSpan w:val="3"/>
            <w:noWrap w:val="0"/>
            <w:vAlign w:val="center"/>
          </w:tcPr>
          <w:p w14:paraId="33F22FFC">
            <w:pPr>
              <w:spacing w:line="400" w:lineRule="exact"/>
              <w:jc w:val="center"/>
              <w:rPr>
                <w:rFonts w:hint="eastAsia" w:ascii="宋体" w:hAnsi="宋体" w:cs="宋体"/>
                <w:color w:val="auto"/>
                <w:sz w:val="24"/>
                <w:szCs w:val="24"/>
                <w:highlight w:val="none"/>
              </w:rPr>
            </w:pPr>
          </w:p>
        </w:tc>
      </w:tr>
      <w:tr w14:paraId="5E852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36B94F2">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302B1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职业（工种）</w:t>
            </w:r>
          </w:p>
          <w:p w14:paraId="0603212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资格名称</w:t>
            </w:r>
          </w:p>
        </w:tc>
        <w:tc>
          <w:tcPr>
            <w:tcW w:w="927" w:type="dxa"/>
            <w:noWrap w:val="0"/>
            <w:vAlign w:val="center"/>
          </w:tcPr>
          <w:p w14:paraId="4A9CD276">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3160730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国家职业资格等级</w:t>
            </w:r>
          </w:p>
          <w:p w14:paraId="028227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(技能人员等级)</w:t>
            </w:r>
          </w:p>
        </w:tc>
        <w:tc>
          <w:tcPr>
            <w:tcW w:w="1179" w:type="dxa"/>
            <w:gridSpan w:val="3"/>
            <w:noWrap w:val="0"/>
            <w:vAlign w:val="center"/>
          </w:tcPr>
          <w:p w14:paraId="7F75694D">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0ECD878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职业（工种）资格日期</w:t>
            </w:r>
          </w:p>
        </w:tc>
        <w:tc>
          <w:tcPr>
            <w:tcW w:w="1235" w:type="dxa"/>
            <w:gridSpan w:val="3"/>
            <w:noWrap w:val="0"/>
            <w:vAlign w:val="center"/>
          </w:tcPr>
          <w:p w14:paraId="016FE1FF">
            <w:pPr>
              <w:spacing w:line="400" w:lineRule="exact"/>
              <w:jc w:val="center"/>
              <w:rPr>
                <w:rFonts w:hint="eastAsia" w:ascii="宋体" w:hAnsi="宋体" w:cs="宋体"/>
                <w:color w:val="auto"/>
                <w:sz w:val="24"/>
                <w:szCs w:val="24"/>
                <w:highlight w:val="none"/>
              </w:rPr>
            </w:pPr>
          </w:p>
        </w:tc>
      </w:tr>
      <w:tr w14:paraId="7C0DF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noWrap w:val="0"/>
            <w:vAlign w:val="center"/>
          </w:tcPr>
          <w:p w14:paraId="6A0B2BE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语言能力</w:t>
            </w:r>
          </w:p>
        </w:tc>
        <w:tc>
          <w:tcPr>
            <w:tcW w:w="1702" w:type="dxa"/>
            <w:gridSpan w:val="2"/>
            <w:noWrap w:val="0"/>
            <w:vAlign w:val="center"/>
          </w:tcPr>
          <w:p w14:paraId="44337E2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语种</w:t>
            </w:r>
          </w:p>
        </w:tc>
        <w:tc>
          <w:tcPr>
            <w:tcW w:w="927" w:type="dxa"/>
            <w:noWrap w:val="0"/>
            <w:vAlign w:val="center"/>
          </w:tcPr>
          <w:p w14:paraId="512F7DBA">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59A0165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语种熟练程度</w:t>
            </w:r>
          </w:p>
        </w:tc>
        <w:tc>
          <w:tcPr>
            <w:tcW w:w="3934" w:type="dxa"/>
            <w:gridSpan w:val="8"/>
            <w:noWrap w:val="0"/>
            <w:vAlign w:val="center"/>
          </w:tcPr>
          <w:p w14:paraId="0A1ECC3D">
            <w:pPr>
              <w:spacing w:line="400" w:lineRule="exact"/>
              <w:jc w:val="center"/>
              <w:rPr>
                <w:rFonts w:hint="eastAsia" w:ascii="宋体" w:hAnsi="宋体" w:cs="宋体"/>
                <w:color w:val="auto"/>
                <w:sz w:val="24"/>
                <w:szCs w:val="24"/>
                <w:highlight w:val="none"/>
              </w:rPr>
            </w:pPr>
          </w:p>
        </w:tc>
      </w:tr>
      <w:tr w14:paraId="5D262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799916FB">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教育经历</w:t>
            </w:r>
          </w:p>
        </w:tc>
        <w:tc>
          <w:tcPr>
            <w:tcW w:w="1702" w:type="dxa"/>
            <w:gridSpan w:val="2"/>
            <w:tcBorders>
              <w:bottom w:val="single" w:color="auto" w:sz="4" w:space="0"/>
              <w:right w:val="single" w:color="auto" w:sz="4" w:space="0"/>
            </w:tcBorders>
            <w:noWrap w:val="0"/>
            <w:vAlign w:val="center"/>
          </w:tcPr>
          <w:p w14:paraId="580A084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入校日期</w:t>
            </w:r>
          </w:p>
        </w:tc>
        <w:tc>
          <w:tcPr>
            <w:tcW w:w="927" w:type="dxa"/>
            <w:tcBorders>
              <w:left w:val="single" w:color="auto" w:sz="4" w:space="0"/>
              <w:bottom w:val="single" w:color="auto" w:sz="4" w:space="0"/>
              <w:right w:val="single" w:color="auto" w:sz="4" w:space="0"/>
            </w:tcBorders>
            <w:noWrap w:val="0"/>
            <w:vAlign w:val="center"/>
          </w:tcPr>
          <w:p w14:paraId="7933DE4B">
            <w:pPr>
              <w:spacing w:line="400" w:lineRule="exact"/>
              <w:jc w:val="center"/>
              <w:rPr>
                <w:rFonts w:hint="eastAsia" w:ascii="宋体" w:hAnsi="宋体" w:cs="宋体"/>
                <w:color w:val="auto"/>
                <w:sz w:val="24"/>
                <w:szCs w:val="24"/>
                <w:highlight w:val="none"/>
              </w:rPr>
            </w:pPr>
          </w:p>
        </w:tc>
        <w:tc>
          <w:tcPr>
            <w:tcW w:w="1862" w:type="dxa"/>
            <w:gridSpan w:val="4"/>
            <w:tcBorders>
              <w:left w:val="single" w:color="auto" w:sz="4" w:space="0"/>
              <w:bottom w:val="single" w:color="auto" w:sz="4" w:space="0"/>
              <w:right w:val="single" w:color="auto" w:sz="4" w:space="0"/>
            </w:tcBorders>
            <w:noWrap w:val="0"/>
            <w:vAlign w:val="center"/>
          </w:tcPr>
          <w:p w14:paraId="0E0CF8E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离校日期</w:t>
            </w:r>
          </w:p>
        </w:tc>
        <w:tc>
          <w:tcPr>
            <w:tcW w:w="1179" w:type="dxa"/>
            <w:gridSpan w:val="3"/>
            <w:tcBorders>
              <w:left w:val="single" w:color="auto" w:sz="4" w:space="0"/>
              <w:bottom w:val="single" w:color="auto" w:sz="4" w:space="0"/>
              <w:right w:val="single" w:color="auto" w:sz="4" w:space="0"/>
            </w:tcBorders>
            <w:noWrap w:val="0"/>
            <w:vAlign w:val="center"/>
          </w:tcPr>
          <w:p w14:paraId="7699CD93">
            <w:pPr>
              <w:spacing w:line="400" w:lineRule="exact"/>
              <w:jc w:val="center"/>
              <w:rPr>
                <w:rFonts w:hint="eastAsia" w:ascii="宋体" w:hAnsi="宋体" w:cs="宋体"/>
                <w:color w:val="auto"/>
                <w:sz w:val="24"/>
                <w:szCs w:val="24"/>
                <w:highlight w:val="none"/>
              </w:rPr>
            </w:pPr>
          </w:p>
        </w:tc>
        <w:tc>
          <w:tcPr>
            <w:tcW w:w="1520" w:type="dxa"/>
            <w:gridSpan w:val="2"/>
            <w:tcBorders>
              <w:left w:val="single" w:color="auto" w:sz="4" w:space="0"/>
              <w:bottom w:val="single" w:color="auto" w:sz="4" w:space="0"/>
              <w:right w:val="single" w:color="auto" w:sz="4" w:space="0"/>
            </w:tcBorders>
            <w:noWrap w:val="0"/>
            <w:vAlign w:val="center"/>
          </w:tcPr>
          <w:p w14:paraId="02B5859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所在学校</w:t>
            </w:r>
          </w:p>
        </w:tc>
        <w:tc>
          <w:tcPr>
            <w:tcW w:w="1235" w:type="dxa"/>
            <w:gridSpan w:val="3"/>
            <w:tcBorders>
              <w:left w:val="single" w:color="auto" w:sz="4" w:space="0"/>
              <w:bottom w:val="single" w:color="auto" w:sz="4" w:space="0"/>
            </w:tcBorders>
            <w:noWrap w:val="0"/>
            <w:vAlign w:val="center"/>
          </w:tcPr>
          <w:p w14:paraId="76BF950A">
            <w:pPr>
              <w:spacing w:line="400" w:lineRule="exact"/>
              <w:jc w:val="center"/>
              <w:rPr>
                <w:rFonts w:hint="eastAsia" w:ascii="宋体" w:hAnsi="宋体" w:cs="宋体"/>
                <w:color w:val="auto"/>
                <w:sz w:val="24"/>
                <w:szCs w:val="24"/>
                <w:highlight w:val="none"/>
              </w:rPr>
            </w:pPr>
          </w:p>
        </w:tc>
      </w:tr>
      <w:tr w14:paraId="349D3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6643702">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0892B5F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所学专业名称</w:t>
            </w:r>
          </w:p>
        </w:tc>
        <w:tc>
          <w:tcPr>
            <w:tcW w:w="927" w:type="dxa"/>
            <w:tcBorders>
              <w:top w:val="single" w:color="auto" w:sz="4" w:space="0"/>
              <w:left w:val="single" w:color="auto" w:sz="4" w:space="0"/>
              <w:right w:val="single" w:color="auto" w:sz="4" w:space="0"/>
            </w:tcBorders>
            <w:noWrap w:val="0"/>
            <w:vAlign w:val="center"/>
          </w:tcPr>
          <w:p w14:paraId="77CFE5EE">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737C198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所获学位</w:t>
            </w:r>
          </w:p>
        </w:tc>
        <w:tc>
          <w:tcPr>
            <w:tcW w:w="1179" w:type="dxa"/>
            <w:gridSpan w:val="3"/>
            <w:tcBorders>
              <w:top w:val="single" w:color="auto" w:sz="4" w:space="0"/>
              <w:left w:val="single" w:color="auto" w:sz="4" w:space="0"/>
              <w:right w:val="single" w:color="auto" w:sz="4" w:space="0"/>
            </w:tcBorders>
            <w:noWrap w:val="0"/>
            <w:vAlign w:val="center"/>
          </w:tcPr>
          <w:p w14:paraId="40A56D80">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1A055C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所获学历</w:t>
            </w:r>
          </w:p>
        </w:tc>
        <w:tc>
          <w:tcPr>
            <w:tcW w:w="1235" w:type="dxa"/>
            <w:gridSpan w:val="3"/>
            <w:tcBorders>
              <w:top w:val="single" w:color="auto" w:sz="4" w:space="0"/>
              <w:left w:val="single" w:color="auto" w:sz="4" w:space="0"/>
            </w:tcBorders>
            <w:noWrap w:val="0"/>
            <w:vAlign w:val="center"/>
          </w:tcPr>
          <w:p w14:paraId="4367F203">
            <w:pPr>
              <w:spacing w:line="400" w:lineRule="exact"/>
              <w:jc w:val="center"/>
              <w:rPr>
                <w:rFonts w:hint="eastAsia" w:ascii="宋体" w:hAnsi="宋体" w:cs="宋体"/>
                <w:color w:val="auto"/>
                <w:sz w:val="24"/>
                <w:szCs w:val="24"/>
                <w:highlight w:val="none"/>
              </w:rPr>
            </w:pPr>
          </w:p>
        </w:tc>
      </w:tr>
      <w:tr w14:paraId="3F76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01F77275">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08F15AA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教育类别</w:t>
            </w:r>
          </w:p>
        </w:tc>
        <w:tc>
          <w:tcPr>
            <w:tcW w:w="927" w:type="dxa"/>
            <w:tcBorders>
              <w:top w:val="single" w:color="auto" w:sz="4" w:space="0"/>
              <w:left w:val="single" w:color="auto" w:sz="4" w:space="0"/>
              <w:right w:val="single" w:color="auto" w:sz="4" w:space="0"/>
            </w:tcBorders>
            <w:noWrap w:val="0"/>
            <w:vAlign w:val="center"/>
          </w:tcPr>
          <w:p w14:paraId="2650D829">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42A819C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学习形式</w:t>
            </w:r>
          </w:p>
        </w:tc>
        <w:tc>
          <w:tcPr>
            <w:tcW w:w="3934" w:type="dxa"/>
            <w:gridSpan w:val="8"/>
            <w:tcBorders>
              <w:top w:val="single" w:color="auto" w:sz="4" w:space="0"/>
              <w:left w:val="single" w:color="auto" w:sz="4" w:space="0"/>
            </w:tcBorders>
            <w:noWrap w:val="0"/>
            <w:vAlign w:val="center"/>
          </w:tcPr>
          <w:p w14:paraId="18258388">
            <w:pPr>
              <w:spacing w:line="400" w:lineRule="exact"/>
              <w:jc w:val="center"/>
              <w:rPr>
                <w:rFonts w:hint="eastAsia" w:ascii="宋体" w:hAnsi="宋体" w:cs="宋体"/>
                <w:color w:val="auto"/>
                <w:sz w:val="24"/>
                <w:szCs w:val="24"/>
                <w:highlight w:val="none"/>
              </w:rPr>
            </w:pPr>
          </w:p>
        </w:tc>
      </w:tr>
      <w:tr w14:paraId="0165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noWrap w:val="0"/>
            <w:vAlign w:val="center"/>
          </w:tcPr>
          <w:p w14:paraId="64DE98C9">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家庭情况</w:t>
            </w:r>
          </w:p>
        </w:tc>
        <w:tc>
          <w:tcPr>
            <w:tcW w:w="1702" w:type="dxa"/>
            <w:gridSpan w:val="2"/>
            <w:tcBorders>
              <w:top w:val="single" w:color="auto" w:sz="4" w:space="0"/>
              <w:right w:val="single" w:color="auto" w:sz="4" w:space="0"/>
            </w:tcBorders>
            <w:noWrap w:val="0"/>
            <w:vAlign w:val="center"/>
          </w:tcPr>
          <w:p w14:paraId="0214131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家庭成员姓名</w:t>
            </w:r>
          </w:p>
        </w:tc>
        <w:tc>
          <w:tcPr>
            <w:tcW w:w="927" w:type="dxa"/>
            <w:tcBorders>
              <w:top w:val="single" w:color="auto" w:sz="4" w:space="0"/>
              <w:left w:val="single" w:color="auto" w:sz="4" w:space="0"/>
              <w:right w:val="single" w:color="auto" w:sz="4" w:space="0"/>
            </w:tcBorders>
            <w:noWrap w:val="0"/>
            <w:vAlign w:val="center"/>
          </w:tcPr>
          <w:p w14:paraId="67BC79AF">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1B38288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与本人的关系</w:t>
            </w:r>
          </w:p>
        </w:tc>
        <w:tc>
          <w:tcPr>
            <w:tcW w:w="1179" w:type="dxa"/>
            <w:gridSpan w:val="3"/>
            <w:tcBorders>
              <w:top w:val="single" w:color="auto" w:sz="4" w:space="0"/>
              <w:left w:val="single" w:color="auto" w:sz="4" w:space="0"/>
              <w:right w:val="single" w:color="auto" w:sz="4" w:space="0"/>
            </w:tcBorders>
            <w:noWrap w:val="0"/>
            <w:vAlign w:val="center"/>
          </w:tcPr>
          <w:p w14:paraId="459C1F11">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40B4D11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家庭成员工作单位及职务</w:t>
            </w:r>
          </w:p>
        </w:tc>
        <w:tc>
          <w:tcPr>
            <w:tcW w:w="1235" w:type="dxa"/>
            <w:gridSpan w:val="3"/>
            <w:tcBorders>
              <w:top w:val="single" w:color="auto" w:sz="4" w:space="0"/>
              <w:left w:val="single" w:color="auto" w:sz="4" w:space="0"/>
            </w:tcBorders>
            <w:noWrap w:val="0"/>
            <w:vAlign w:val="center"/>
          </w:tcPr>
          <w:p w14:paraId="36E3CAD2">
            <w:pPr>
              <w:spacing w:line="400" w:lineRule="exact"/>
              <w:jc w:val="center"/>
              <w:rPr>
                <w:rFonts w:hint="eastAsia" w:ascii="宋体" w:hAnsi="宋体" w:cs="宋体"/>
                <w:color w:val="auto"/>
                <w:sz w:val="24"/>
                <w:szCs w:val="24"/>
                <w:highlight w:val="none"/>
              </w:rPr>
            </w:pPr>
          </w:p>
        </w:tc>
      </w:tr>
      <w:tr w14:paraId="13E4D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05822F4F">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奖惩情况</w:t>
            </w:r>
          </w:p>
        </w:tc>
        <w:tc>
          <w:tcPr>
            <w:tcW w:w="1702" w:type="dxa"/>
            <w:gridSpan w:val="2"/>
            <w:tcBorders>
              <w:top w:val="single" w:color="auto" w:sz="4" w:space="0"/>
              <w:right w:val="single" w:color="auto" w:sz="4" w:space="0"/>
            </w:tcBorders>
            <w:noWrap w:val="0"/>
            <w:vAlign w:val="center"/>
          </w:tcPr>
          <w:p w14:paraId="4AB6603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奖励名称</w:t>
            </w:r>
          </w:p>
        </w:tc>
        <w:tc>
          <w:tcPr>
            <w:tcW w:w="927" w:type="dxa"/>
            <w:tcBorders>
              <w:top w:val="single" w:color="auto" w:sz="4" w:space="0"/>
              <w:left w:val="single" w:color="auto" w:sz="4" w:space="0"/>
              <w:right w:val="single" w:color="auto" w:sz="4" w:space="0"/>
            </w:tcBorders>
            <w:noWrap w:val="0"/>
            <w:vAlign w:val="center"/>
          </w:tcPr>
          <w:p w14:paraId="2CDB53DF">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0AA0572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奖励批准日期</w:t>
            </w:r>
          </w:p>
        </w:tc>
        <w:tc>
          <w:tcPr>
            <w:tcW w:w="1179" w:type="dxa"/>
            <w:gridSpan w:val="3"/>
            <w:tcBorders>
              <w:top w:val="single" w:color="auto" w:sz="4" w:space="0"/>
              <w:left w:val="single" w:color="auto" w:sz="4" w:space="0"/>
              <w:right w:val="single" w:color="auto" w:sz="4" w:space="0"/>
            </w:tcBorders>
            <w:noWrap w:val="0"/>
            <w:vAlign w:val="center"/>
          </w:tcPr>
          <w:p w14:paraId="17487525">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47D9708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奖励批准</w:t>
            </w:r>
          </w:p>
          <w:p w14:paraId="1247E3F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1235" w:type="dxa"/>
            <w:gridSpan w:val="3"/>
            <w:tcBorders>
              <w:top w:val="single" w:color="auto" w:sz="4" w:space="0"/>
              <w:left w:val="single" w:color="auto" w:sz="4" w:space="0"/>
            </w:tcBorders>
            <w:noWrap w:val="0"/>
            <w:vAlign w:val="center"/>
          </w:tcPr>
          <w:p w14:paraId="79A0AC97">
            <w:pPr>
              <w:spacing w:line="400" w:lineRule="exact"/>
              <w:jc w:val="center"/>
              <w:rPr>
                <w:rFonts w:hint="eastAsia" w:ascii="宋体" w:hAnsi="宋体" w:cs="宋体"/>
                <w:color w:val="auto"/>
                <w:sz w:val="24"/>
                <w:szCs w:val="24"/>
                <w:highlight w:val="none"/>
              </w:rPr>
            </w:pPr>
          </w:p>
        </w:tc>
      </w:tr>
      <w:tr w14:paraId="376E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3A03FF8">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68406BD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处分名称</w:t>
            </w:r>
          </w:p>
        </w:tc>
        <w:tc>
          <w:tcPr>
            <w:tcW w:w="927" w:type="dxa"/>
            <w:tcBorders>
              <w:top w:val="single" w:color="auto" w:sz="4" w:space="0"/>
              <w:left w:val="single" w:color="auto" w:sz="4" w:space="0"/>
              <w:right w:val="single" w:color="auto" w:sz="4" w:space="0"/>
            </w:tcBorders>
            <w:noWrap w:val="0"/>
            <w:vAlign w:val="center"/>
          </w:tcPr>
          <w:p w14:paraId="6C94CF36">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2FDF459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处分批准时间</w:t>
            </w:r>
          </w:p>
        </w:tc>
        <w:tc>
          <w:tcPr>
            <w:tcW w:w="1179" w:type="dxa"/>
            <w:gridSpan w:val="3"/>
            <w:tcBorders>
              <w:top w:val="single" w:color="auto" w:sz="4" w:space="0"/>
              <w:left w:val="single" w:color="auto" w:sz="4" w:space="0"/>
              <w:right w:val="single" w:color="auto" w:sz="4" w:space="0"/>
            </w:tcBorders>
            <w:noWrap w:val="0"/>
            <w:vAlign w:val="center"/>
          </w:tcPr>
          <w:p w14:paraId="08CB26B3">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37F94E0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处分批准</w:t>
            </w:r>
          </w:p>
          <w:p w14:paraId="434BA72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1235" w:type="dxa"/>
            <w:gridSpan w:val="3"/>
            <w:tcBorders>
              <w:top w:val="single" w:color="auto" w:sz="4" w:space="0"/>
              <w:left w:val="single" w:color="auto" w:sz="4" w:space="0"/>
            </w:tcBorders>
            <w:noWrap w:val="0"/>
            <w:vAlign w:val="center"/>
          </w:tcPr>
          <w:p w14:paraId="65DE4587">
            <w:pPr>
              <w:spacing w:line="400" w:lineRule="exact"/>
              <w:jc w:val="center"/>
              <w:rPr>
                <w:rFonts w:hint="eastAsia" w:ascii="宋体" w:hAnsi="宋体" w:cs="宋体"/>
                <w:color w:val="auto"/>
                <w:sz w:val="24"/>
                <w:szCs w:val="24"/>
                <w:highlight w:val="none"/>
              </w:rPr>
            </w:pPr>
          </w:p>
        </w:tc>
      </w:tr>
      <w:tr w14:paraId="5E69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304DB50D">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培训经历</w:t>
            </w:r>
          </w:p>
        </w:tc>
        <w:tc>
          <w:tcPr>
            <w:tcW w:w="1702" w:type="dxa"/>
            <w:gridSpan w:val="2"/>
            <w:tcBorders>
              <w:bottom w:val="single" w:color="auto" w:sz="4" w:space="0"/>
              <w:right w:val="single" w:color="auto" w:sz="4" w:space="0"/>
            </w:tcBorders>
            <w:noWrap w:val="0"/>
            <w:vAlign w:val="center"/>
          </w:tcPr>
          <w:p w14:paraId="27E333B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培训起始日期</w:t>
            </w:r>
          </w:p>
        </w:tc>
        <w:tc>
          <w:tcPr>
            <w:tcW w:w="927" w:type="dxa"/>
            <w:tcBorders>
              <w:left w:val="single" w:color="auto" w:sz="4" w:space="0"/>
              <w:bottom w:val="single" w:color="auto" w:sz="4" w:space="0"/>
              <w:right w:val="single" w:color="auto" w:sz="4" w:space="0"/>
            </w:tcBorders>
            <w:noWrap w:val="0"/>
            <w:vAlign w:val="center"/>
          </w:tcPr>
          <w:p w14:paraId="4165FC15">
            <w:pPr>
              <w:spacing w:line="400" w:lineRule="exact"/>
              <w:jc w:val="center"/>
              <w:rPr>
                <w:rFonts w:hint="eastAsia" w:ascii="宋体" w:hAnsi="宋体" w:cs="宋体"/>
                <w:color w:val="auto"/>
                <w:sz w:val="24"/>
                <w:szCs w:val="24"/>
                <w:highlight w:val="none"/>
              </w:rPr>
            </w:pPr>
          </w:p>
        </w:tc>
        <w:tc>
          <w:tcPr>
            <w:tcW w:w="1862" w:type="dxa"/>
            <w:gridSpan w:val="4"/>
            <w:tcBorders>
              <w:left w:val="single" w:color="auto" w:sz="4" w:space="0"/>
              <w:bottom w:val="single" w:color="auto" w:sz="4" w:space="0"/>
              <w:right w:val="single" w:color="auto" w:sz="4" w:space="0"/>
            </w:tcBorders>
            <w:noWrap w:val="0"/>
            <w:vAlign w:val="center"/>
          </w:tcPr>
          <w:p w14:paraId="431BCE6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培训终止日期</w:t>
            </w:r>
          </w:p>
        </w:tc>
        <w:tc>
          <w:tcPr>
            <w:tcW w:w="1179" w:type="dxa"/>
            <w:gridSpan w:val="3"/>
            <w:tcBorders>
              <w:left w:val="single" w:color="auto" w:sz="4" w:space="0"/>
              <w:bottom w:val="single" w:color="auto" w:sz="4" w:space="0"/>
              <w:right w:val="single" w:color="auto" w:sz="4" w:space="0"/>
            </w:tcBorders>
            <w:noWrap w:val="0"/>
            <w:vAlign w:val="center"/>
          </w:tcPr>
          <w:p w14:paraId="2D34DFAD">
            <w:pPr>
              <w:spacing w:line="400" w:lineRule="exact"/>
              <w:jc w:val="center"/>
              <w:rPr>
                <w:rFonts w:hint="eastAsia" w:ascii="宋体" w:hAnsi="宋体" w:cs="宋体"/>
                <w:color w:val="auto"/>
                <w:sz w:val="24"/>
                <w:szCs w:val="24"/>
                <w:highlight w:val="none"/>
              </w:rPr>
            </w:pPr>
          </w:p>
        </w:tc>
        <w:tc>
          <w:tcPr>
            <w:tcW w:w="1520" w:type="dxa"/>
            <w:gridSpan w:val="2"/>
            <w:tcBorders>
              <w:left w:val="single" w:color="auto" w:sz="4" w:space="0"/>
              <w:bottom w:val="single" w:color="auto" w:sz="4" w:space="0"/>
              <w:right w:val="single" w:color="auto" w:sz="4" w:space="0"/>
            </w:tcBorders>
            <w:noWrap w:val="0"/>
            <w:vAlign w:val="center"/>
          </w:tcPr>
          <w:p w14:paraId="2C13385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培训班名称</w:t>
            </w:r>
          </w:p>
        </w:tc>
        <w:tc>
          <w:tcPr>
            <w:tcW w:w="1235" w:type="dxa"/>
            <w:gridSpan w:val="3"/>
            <w:tcBorders>
              <w:left w:val="single" w:color="auto" w:sz="4" w:space="0"/>
              <w:bottom w:val="single" w:color="auto" w:sz="4" w:space="0"/>
            </w:tcBorders>
            <w:noWrap w:val="0"/>
            <w:vAlign w:val="center"/>
          </w:tcPr>
          <w:p w14:paraId="16D5A3B9">
            <w:pPr>
              <w:spacing w:line="400" w:lineRule="exact"/>
              <w:jc w:val="center"/>
              <w:rPr>
                <w:rFonts w:hint="eastAsia" w:ascii="宋体" w:hAnsi="宋体" w:cs="宋体"/>
                <w:color w:val="auto"/>
                <w:sz w:val="24"/>
                <w:szCs w:val="24"/>
                <w:highlight w:val="none"/>
              </w:rPr>
            </w:pPr>
          </w:p>
        </w:tc>
      </w:tr>
      <w:tr w14:paraId="63A45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01E9C7F6">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10A81BD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培训主办</w:t>
            </w:r>
          </w:p>
          <w:p w14:paraId="706C337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6723" w:type="dxa"/>
            <w:gridSpan w:val="13"/>
            <w:tcBorders>
              <w:top w:val="single" w:color="auto" w:sz="4" w:space="0"/>
              <w:left w:val="single" w:color="auto" w:sz="4" w:space="0"/>
            </w:tcBorders>
            <w:noWrap w:val="0"/>
            <w:vAlign w:val="center"/>
          </w:tcPr>
          <w:p w14:paraId="346D89E8">
            <w:pPr>
              <w:spacing w:line="400" w:lineRule="exact"/>
              <w:jc w:val="center"/>
              <w:rPr>
                <w:rFonts w:hint="eastAsia" w:ascii="宋体" w:hAnsi="宋体" w:cs="宋体"/>
                <w:color w:val="auto"/>
                <w:sz w:val="24"/>
                <w:szCs w:val="24"/>
                <w:highlight w:val="none"/>
              </w:rPr>
            </w:pPr>
          </w:p>
        </w:tc>
      </w:tr>
      <w:tr w14:paraId="7DE3B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6815891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委托存档单位数据类</w:t>
            </w:r>
          </w:p>
        </w:tc>
      </w:tr>
      <w:tr w14:paraId="1456C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8FE46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w:t>
            </w:r>
          </w:p>
          <w:p w14:paraId="2C6DAAC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2015" w:type="dxa"/>
            <w:gridSpan w:val="4"/>
            <w:noWrap w:val="0"/>
            <w:vAlign w:val="center"/>
          </w:tcPr>
          <w:p w14:paraId="18E6BAE3">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7851FB0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委托存档单位统一社会信用代码</w:t>
            </w:r>
          </w:p>
        </w:tc>
        <w:tc>
          <w:tcPr>
            <w:tcW w:w="1223" w:type="dxa"/>
            <w:gridSpan w:val="3"/>
            <w:noWrap w:val="0"/>
            <w:vAlign w:val="center"/>
          </w:tcPr>
          <w:p w14:paraId="44501023">
            <w:pPr>
              <w:spacing w:line="400" w:lineRule="exact"/>
              <w:jc w:val="center"/>
              <w:rPr>
                <w:rFonts w:hint="eastAsia" w:ascii="宋体" w:hAnsi="宋体" w:cs="宋体"/>
                <w:color w:val="auto"/>
                <w:sz w:val="24"/>
                <w:szCs w:val="24"/>
                <w:highlight w:val="none"/>
              </w:rPr>
            </w:pPr>
          </w:p>
        </w:tc>
        <w:tc>
          <w:tcPr>
            <w:tcW w:w="1359" w:type="dxa"/>
            <w:gridSpan w:val="2"/>
            <w:noWrap w:val="0"/>
            <w:vAlign w:val="center"/>
          </w:tcPr>
          <w:p w14:paraId="1C4B07B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    单位编号</w:t>
            </w:r>
          </w:p>
        </w:tc>
        <w:tc>
          <w:tcPr>
            <w:tcW w:w="1101" w:type="dxa"/>
            <w:gridSpan w:val="2"/>
            <w:noWrap w:val="0"/>
            <w:vAlign w:val="center"/>
          </w:tcPr>
          <w:p w14:paraId="11DB4C72">
            <w:pPr>
              <w:spacing w:line="400" w:lineRule="exact"/>
              <w:jc w:val="center"/>
              <w:rPr>
                <w:rFonts w:hint="eastAsia" w:ascii="宋体" w:hAnsi="宋体" w:cs="宋体"/>
                <w:color w:val="auto"/>
                <w:sz w:val="24"/>
                <w:szCs w:val="24"/>
                <w:highlight w:val="none"/>
              </w:rPr>
            </w:pPr>
          </w:p>
        </w:tc>
      </w:tr>
      <w:tr w14:paraId="2CD1C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5CAE223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4A49D55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机构类型</w:t>
            </w:r>
          </w:p>
        </w:tc>
        <w:tc>
          <w:tcPr>
            <w:tcW w:w="2015" w:type="dxa"/>
            <w:gridSpan w:val="4"/>
            <w:noWrap w:val="0"/>
            <w:vAlign w:val="center"/>
          </w:tcPr>
          <w:p w14:paraId="6365B6AA">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4D334C3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05FCDE1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所属行业</w:t>
            </w:r>
          </w:p>
        </w:tc>
        <w:tc>
          <w:tcPr>
            <w:tcW w:w="3683" w:type="dxa"/>
            <w:gridSpan w:val="7"/>
            <w:noWrap w:val="0"/>
            <w:vAlign w:val="center"/>
          </w:tcPr>
          <w:p w14:paraId="10B3CE13">
            <w:pPr>
              <w:spacing w:line="400" w:lineRule="exact"/>
              <w:jc w:val="center"/>
              <w:rPr>
                <w:rFonts w:hint="eastAsia" w:ascii="宋体" w:hAnsi="宋体" w:cs="宋体"/>
                <w:color w:val="auto"/>
                <w:sz w:val="24"/>
                <w:szCs w:val="24"/>
                <w:highlight w:val="none"/>
              </w:rPr>
            </w:pPr>
          </w:p>
        </w:tc>
      </w:tr>
      <w:tr w14:paraId="5860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114B89E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2C6F1D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经济类型</w:t>
            </w:r>
          </w:p>
        </w:tc>
        <w:tc>
          <w:tcPr>
            <w:tcW w:w="2015" w:type="dxa"/>
            <w:gridSpan w:val="4"/>
            <w:noWrap w:val="0"/>
            <w:vAlign w:val="center"/>
          </w:tcPr>
          <w:p w14:paraId="068640D1">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562480E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委托存档单位  </w:t>
            </w:r>
          </w:p>
          <w:p w14:paraId="09BF32F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行政区划</w:t>
            </w:r>
          </w:p>
        </w:tc>
        <w:tc>
          <w:tcPr>
            <w:tcW w:w="3683" w:type="dxa"/>
            <w:gridSpan w:val="7"/>
            <w:noWrap w:val="0"/>
            <w:vAlign w:val="center"/>
          </w:tcPr>
          <w:p w14:paraId="632E8534">
            <w:pPr>
              <w:spacing w:line="400" w:lineRule="exact"/>
              <w:jc w:val="center"/>
              <w:rPr>
                <w:rFonts w:hint="eastAsia" w:ascii="宋体" w:hAnsi="宋体" w:cs="宋体"/>
                <w:color w:val="auto"/>
                <w:sz w:val="24"/>
                <w:szCs w:val="24"/>
                <w:highlight w:val="none"/>
              </w:rPr>
            </w:pPr>
          </w:p>
        </w:tc>
      </w:tr>
      <w:tr w14:paraId="002A4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477A3F19">
            <w:pPr>
              <w:spacing w:line="400" w:lineRule="exact"/>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档案接转数据</w:t>
            </w:r>
          </w:p>
        </w:tc>
      </w:tr>
      <w:tr w14:paraId="4F3A3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61C6899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存档编号**</w:t>
            </w:r>
          </w:p>
        </w:tc>
        <w:tc>
          <w:tcPr>
            <w:tcW w:w="2862" w:type="dxa"/>
            <w:gridSpan w:val="5"/>
            <w:noWrap w:val="0"/>
            <w:vAlign w:val="center"/>
          </w:tcPr>
          <w:p w14:paraId="0AE10E65">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60B268C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索引号</w:t>
            </w:r>
          </w:p>
        </w:tc>
        <w:tc>
          <w:tcPr>
            <w:tcW w:w="3276" w:type="dxa"/>
            <w:gridSpan w:val="6"/>
            <w:noWrap w:val="0"/>
            <w:vAlign w:val="center"/>
          </w:tcPr>
          <w:p w14:paraId="68A0BE13">
            <w:pPr>
              <w:spacing w:line="400" w:lineRule="exact"/>
              <w:jc w:val="center"/>
              <w:rPr>
                <w:rFonts w:hint="eastAsia" w:ascii="宋体" w:hAnsi="宋体" w:cs="宋体"/>
                <w:color w:val="auto"/>
                <w:sz w:val="24"/>
                <w:szCs w:val="24"/>
                <w:highlight w:val="none"/>
              </w:rPr>
            </w:pPr>
          </w:p>
        </w:tc>
      </w:tr>
      <w:tr w14:paraId="585CB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4C759C2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存档状态**</w:t>
            </w:r>
          </w:p>
        </w:tc>
        <w:tc>
          <w:tcPr>
            <w:tcW w:w="2862" w:type="dxa"/>
            <w:gridSpan w:val="5"/>
            <w:noWrap w:val="0"/>
            <w:vAlign w:val="center"/>
          </w:tcPr>
          <w:p w14:paraId="1A39D2BF">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0DBC5A4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存档性质**</w:t>
            </w:r>
          </w:p>
        </w:tc>
        <w:tc>
          <w:tcPr>
            <w:tcW w:w="3276" w:type="dxa"/>
            <w:gridSpan w:val="6"/>
            <w:noWrap w:val="0"/>
            <w:vAlign w:val="center"/>
          </w:tcPr>
          <w:p w14:paraId="087A8C06">
            <w:pPr>
              <w:spacing w:line="400" w:lineRule="exact"/>
              <w:jc w:val="center"/>
              <w:rPr>
                <w:rFonts w:hint="eastAsia" w:ascii="宋体" w:hAnsi="宋体" w:cs="宋体"/>
                <w:color w:val="auto"/>
                <w:sz w:val="24"/>
                <w:szCs w:val="24"/>
                <w:highlight w:val="none"/>
              </w:rPr>
            </w:pPr>
          </w:p>
        </w:tc>
      </w:tr>
      <w:tr w14:paraId="5685A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FC86F6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现档案管理</w:t>
            </w:r>
          </w:p>
          <w:p w14:paraId="44C0D8E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机构名称**</w:t>
            </w:r>
          </w:p>
        </w:tc>
        <w:tc>
          <w:tcPr>
            <w:tcW w:w="7601" w:type="dxa"/>
            <w:gridSpan w:val="14"/>
            <w:noWrap w:val="0"/>
            <w:vAlign w:val="center"/>
          </w:tcPr>
          <w:p w14:paraId="01A593D3">
            <w:pPr>
              <w:spacing w:line="400" w:lineRule="exact"/>
              <w:jc w:val="center"/>
              <w:rPr>
                <w:rFonts w:hint="eastAsia" w:ascii="宋体" w:hAnsi="宋体" w:cs="宋体"/>
                <w:color w:val="auto"/>
                <w:sz w:val="24"/>
                <w:szCs w:val="24"/>
                <w:highlight w:val="none"/>
              </w:rPr>
            </w:pPr>
          </w:p>
        </w:tc>
      </w:tr>
      <w:tr w14:paraId="6E3BE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700B200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转入日期**</w:t>
            </w:r>
          </w:p>
        </w:tc>
        <w:tc>
          <w:tcPr>
            <w:tcW w:w="2862" w:type="dxa"/>
            <w:gridSpan w:val="5"/>
            <w:noWrap w:val="0"/>
            <w:vAlign w:val="center"/>
          </w:tcPr>
          <w:p w14:paraId="78839C58">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50E1778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转入原因**</w:t>
            </w:r>
          </w:p>
        </w:tc>
        <w:tc>
          <w:tcPr>
            <w:tcW w:w="3276" w:type="dxa"/>
            <w:gridSpan w:val="6"/>
            <w:noWrap w:val="0"/>
            <w:vAlign w:val="center"/>
          </w:tcPr>
          <w:p w14:paraId="222E15B7">
            <w:pPr>
              <w:spacing w:line="400" w:lineRule="exact"/>
              <w:jc w:val="center"/>
              <w:rPr>
                <w:rFonts w:hint="eastAsia" w:ascii="宋体" w:hAnsi="宋体" w:cs="宋体"/>
                <w:color w:val="auto"/>
                <w:sz w:val="24"/>
                <w:szCs w:val="24"/>
                <w:highlight w:val="none"/>
              </w:rPr>
            </w:pPr>
          </w:p>
        </w:tc>
      </w:tr>
      <w:tr w14:paraId="1658D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24725E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原存档单位</w:t>
            </w:r>
          </w:p>
          <w:p w14:paraId="22C6CE3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名称**</w:t>
            </w:r>
          </w:p>
        </w:tc>
        <w:tc>
          <w:tcPr>
            <w:tcW w:w="2862" w:type="dxa"/>
            <w:gridSpan w:val="5"/>
            <w:noWrap w:val="0"/>
            <w:vAlign w:val="center"/>
          </w:tcPr>
          <w:p w14:paraId="3636118C">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34BB793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原存档单位行政区划</w:t>
            </w:r>
          </w:p>
        </w:tc>
        <w:tc>
          <w:tcPr>
            <w:tcW w:w="3276" w:type="dxa"/>
            <w:gridSpan w:val="6"/>
            <w:noWrap w:val="0"/>
            <w:vAlign w:val="center"/>
          </w:tcPr>
          <w:p w14:paraId="54CF599B">
            <w:pPr>
              <w:spacing w:line="400" w:lineRule="exact"/>
              <w:jc w:val="center"/>
              <w:rPr>
                <w:rFonts w:hint="eastAsia" w:ascii="宋体" w:hAnsi="宋体" w:cs="宋体"/>
                <w:color w:val="auto"/>
                <w:sz w:val="24"/>
                <w:szCs w:val="24"/>
                <w:highlight w:val="none"/>
              </w:rPr>
            </w:pPr>
          </w:p>
        </w:tc>
      </w:tr>
      <w:tr w14:paraId="3E66DF2F">
        <w:tblPrEx>
          <w:tblCellMar>
            <w:top w:w="0" w:type="dxa"/>
            <w:left w:w="108" w:type="dxa"/>
            <w:bottom w:w="0" w:type="dxa"/>
            <w:right w:w="108" w:type="dxa"/>
          </w:tblCellMar>
        </w:tblPrEx>
        <w:trPr>
          <w:jc w:val="center"/>
        </w:trPr>
        <w:tc>
          <w:tcPr>
            <w:tcW w:w="1879" w:type="dxa"/>
            <w:gridSpan w:val="2"/>
            <w:noWrap w:val="0"/>
            <w:vAlign w:val="center"/>
          </w:tcPr>
          <w:p w14:paraId="6D9D259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转出日期**</w:t>
            </w:r>
          </w:p>
        </w:tc>
        <w:tc>
          <w:tcPr>
            <w:tcW w:w="2862" w:type="dxa"/>
            <w:gridSpan w:val="5"/>
            <w:noWrap w:val="0"/>
            <w:vAlign w:val="center"/>
          </w:tcPr>
          <w:p w14:paraId="73F725C6">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146A858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转出原因**</w:t>
            </w:r>
          </w:p>
        </w:tc>
        <w:tc>
          <w:tcPr>
            <w:tcW w:w="3276" w:type="dxa"/>
            <w:gridSpan w:val="6"/>
            <w:noWrap w:val="0"/>
            <w:vAlign w:val="center"/>
          </w:tcPr>
          <w:p w14:paraId="6BD09C8C">
            <w:pPr>
              <w:spacing w:line="400" w:lineRule="exact"/>
              <w:jc w:val="center"/>
              <w:rPr>
                <w:rFonts w:hint="eastAsia" w:ascii="宋体" w:hAnsi="宋体" w:cs="宋体"/>
                <w:color w:val="auto"/>
                <w:sz w:val="24"/>
                <w:szCs w:val="24"/>
                <w:highlight w:val="none"/>
              </w:rPr>
            </w:pPr>
          </w:p>
        </w:tc>
      </w:tr>
      <w:tr w14:paraId="30FB8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3ACDD06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转往单位名称**</w:t>
            </w:r>
          </w:p>
        </w:tc>
        <w:tc>
          <w:tcPr>
            <w:tcW w:w="2862" w:type="dxa"/>
            <w:gridSpan w:val="5"/>
            <w:noWrap w:val="0"/>
            <w:vAlign w:val="center"/>
          </w:tcPr>
          <w:p w14:paraId="260D65F3">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592BF2F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转往单位</w:t>
            </w:r>
          </w:p>
          <w:p w14:paraId="5D19B71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行政区划</w:t>
            </w:r>
          </w:p>
        </w:tc>
        <w:tc>
          <w:tcPr>
            <w:tcW w:w="3276" w:type="dxa"/>
            <w:gridSpan w:val="6"/>
            <w:noWrap w:val="0"/>
            <w:vAlign w:val="center"/>
          </w:tcPr>
          <w:p w14:paraId="47D1562E">
            <w:pPr>
              <w:spacing w:line="400" w:lineRule="exact"/>
              <w:jc w:val="center"/>
              <w:rPr>
                <w:rFonts w:hint="eastAsia" w:ascii="宋体" w:hAnsi="宋体" w:cs="宋体"/>
                <w:color w:val="auto"/>
                <w:sz w:val="24"/>
                <w:szCs w:val="24"/>
                <w:highlight w:val="none"/>
              </w:rPr>
            </w:pPr>
          </w:p>
        </w:tc>
      </w:tr>
    </w:tbl>
    <w:p w14:paraId="5972FA7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注：带**为必填项</w:t>
      </w:r>
    </w:p>
    <w:p w14:paraId="3A5E642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2.3档案扫描</w:t>
      </w:r>
    </w:p>
    <w:p w14:paraId="455A3F8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根据档案幅面的大小和纸张状况，选择相应扫描仪，扫描时应在《纸质档案扫描工作流程表》上认真登记，具体要求如下：</w:t>
      </w:r>
    </w:p>
    <w:p w14:paraId="24F823A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采用最为可靠的扫描设备和扫描方式完成档案扫描，避免纸张褶皱、撕裂、破损等情况的发生，要求不损坏档案原件，不漏扫；对于原件纸质较差的档案，不允许采用连续进纸方式扫描，只能单张扫描；A3幅面及以下的档案资料需采用一次性成图的方式进行处理，大于A3幅面的资料原则上采用大幅面工程扫描仪一次性成图。</w:t>
      </w:r>
    </w:p>
    <w:p w14:paraId="5FC8F28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（2）如遇到档案纸张质地脆弱，不适合反复拆装订的档案，应采用不拆卷扫描设备和方式进行扫描。</w:t>
      </w:r>
    </w:p>
    <w:p w14:paraId="009B0C6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（3）扫描色彩模式：使用彩色模式进行扫描，如非采购人要求，不能更改为灰度或黑白模式；</w:t>
      </w:r>
    </w:p>
    <w:p w14:paraId="0A4EC3F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（4）兼顾影像质量和节约存储容量原则，采用300dpi的分辨率进行扫描，扫描形成文件以JPEG格式存储，对于案卷中出现字迹较小、较密集等情况以及照片档案，可将分辨率提高到600dpi。</w:t>
      </w:r>
    </w:p>
    <w:p w14:paraId="103596D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（5）扫描时应根据纸张质地、底色、薄厚程度等因素，设置最佳的扫描明暗度、对比度设置，保证原始扫描图像效果与原件吻合。</w:t>
      </w:r>
    </w:p>
    <w:p w14:paraId="5573E2C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（6）档案扫描时尽量确保纸张扫描时放置端正，从而保证原始扫描图像无歪斜，减少后期处理可能带来的图像失真。</w:t>
      </w:r>
    </w:p>
    <w:p w14:paraId="58124F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（7）图像歪斜采用数字化影像处理软件自动或手动纠偏功能，调整图像角度。图像偏斜度不超过1度，对方向不正确的图像应进行旋转还原，以符合阅读习惯。</w:t>
      </w:r>
    </w:p>
    <w:p w14:paraId="57D3019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（8）对于档案中的“筒子页”，应当平摊开后进行整幅扫描。折子页、图纸、表格等应整页扫描。超长页进行分页扫描后，要拼接成一页。</w:t>
      </w:r>
    </w:p>
    <w:p w14:paraId="1A90959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（9）将扫描页数和拆卷人所注明的页数核对，确保不能重扫、漏扫、多扫，同时要确保案卷的清晰度。</w:t>
      </w:r>
    </w:p>
    <w:p w14:paraId="43CC8C9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（10）区分同一档案中的扫描件和非扫描件，其中普发性文件区分的原则是：无关的、重份的文件要剔除，有正式件的文件可以不扫描原稿，附着在文件上的处理单等小纸片需扫描。</w:t>
      </w:r>
    </w:p>
    <w:p w14:paraId="2A65CE9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（11）用每份文件对应的唯一档号来命名其扫描形成的影像文件。多页文件可采用该档号建立相应文件夹，按页码顺序对影像文件命名。</w:t>
      </w:r>
    </w:p>
    <w:p w14:paraId="6F17493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（12）对影响图像质量的杂质如黑点、黑线、黑框及黑边等应进行去污处理。</w:t>
      </w:r>
    </w:p>
    <w:p w14:paraId="68B2ADE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（13）对案卷中未编码的页面进行合页处理，确保扫描好的影像页数与原案卷页数一致。</w:t>
      </w:r>
    </w:p>
    <w:p w14:paraId="781755B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（14）扫描图像的排列顺序与档案原件不一致时，应及时进行调整。</w:t>
      </w:r>
    </w:p>
    <w:p w14:paraId="687CB40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15）扫描的页面内容居中显示，不可出现明显偏左或偏右的现象，正文内容、页眉、页脚、反面印章、附件、手写注释等信息完整；图像内容与原件完全对应，不得出现内容残缺或将旁边页面信息扫入本页的现象。</w:t>
      </w:r>
    </w:p>
    <w:p w14:paraId="70FE324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（16）采用彩色模式扫描的图像应进行裁边处理，去除多余的白边，以缩小图像文件的容量。</w:t>
      </w:r>
    </w:p>
    <w:p w14:paraId="03BCD19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（17）扫描图像字迹清晰、颜色恰当，不宜过浅和过深，并且不得出现字迹笔画残缺或字迹笔画叠合而影响阅读的情况，即使档案原件存在绣斑变质、颜色过浅或深浅不一致，也应保证扫描图像可读。</w:t>
      </w:r>
    </w:p>
    <w:p w14:paraId="4ED01A0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（18）纸质档案数字化标准</w:t>
      </w:r>
    </w:p>
    <w:p w14:paraId="6E5D113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《纸质档案数字化规范》DA/T 31—2017</w:t>
      </w:r>
    </w:p>
    <w:p w14:paraId="16A13DC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2.4图像处理</w:t>
      </w:r>
    </w:p>
    <w:p w14:paraId="18CB7AC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应对扫描后的图像进行逐页纠偏、图像拼接、裁黑边、排序等处理，但不得改变图像内容，包括原档案中的污损，确保扫描件页面内容居中，档案原貌信息完整、不变、可读；扫描图像字迹清晰、颜色恰当，亮度及明暗对比尽可能接近原件，图像整体倾斜小于1度；对大幅面档案进行分区扫描后形成的多幅图像拼接完整、正确、无拼接痕迹；所有数字化产品封装前后同件档案页面大小一致，前后两份纸张规格相同的文件页面大小一致；文件排列顺序正确。</w:t>
      </w:r>
    </w:p>
    <w:p w14:paraId="27C5710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2.5数据挂接</w:t>
      </w:r>
    </w:p>
    <w:p w14:paraId="4377C6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扫描图像文件应与目录数据进行挂接，在相关表单上填写数据挂接后的页码、页数，核对每一份文件挂接后的页码、页数与档案整理、扫描时填写的页码、页数是否一致，不一致时应注明具体原因和处理办法。</w:t>
      </w:r>
    </w:p>
    <w:p w14:paraId="6E46B5D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对于图像要求可以进行全属性定义，包括每一张影像的图像属性（格式、大小等）及索引属性（档号、件号、页号、所在件顺序号等）。</w:t>
      </w:r>
    </w:p>
    <w:p w14:paraId="62E2D64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2.6条目质检</w:t>
      </w:r>
    </w:p>
    <w:p w14:paraId="0FB63D9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系统自动把条目与图片进行关联后，逐一检查条目与影像是否对应匹配，退回不合格的条目或影像，退回不匹配的条目与影像。</w:t>
      </w:r>
    </w:p>
    <w:p w14:paraId="31ED7BD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对匹配完成后的影像数据进行最终成果转换。进行数据挂接。</w:t>
      </w:r>
    </w:p>
    <w:p w14:paraId="4CD3A1B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2.7文件存储和备份</w:t>
      </w:r>
    </w:p>
    <w:p w14:paraId="558FF37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以目录数据库内该文件档号对扫描图像进行命名。扫描后的电子文件需要提交品牌移动存储器做备份之用，备份制作两份，包含档案目录和全文数据。</w:t>
      </w:r>
    </w:p>
    <w:p w14:paraId="69950A0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2.8质量保障要求</w:t>
      </w:r>
    </w:p>
    <w:p w14:paraId="4D5ADD0C">
      <w:pPr>
        <w:pageBreakBefore w:val="0"/>
        <w:widowControl w:val="0"/>
        <w:numPr>
          <w:ilvl w:val="0"/>
          <w:numId w:val="2"/>
        </w:numPr>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质量自检：供应商必须建立严格的质量检测体系，对加工的数据进行自检，自检达到采购人数据质量标准后，才能提交进行验收。</w:t>
      </w:r>
    </w:p>
    <w:p w14:paraId="6CA7098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过程管理：供应商在进行档案前处理、数字化加工各环节均应进行详细的登记，建立工作日志并及时整理、汇总，装订成册，在数字化工作完成的同时建立起完整、规范的记录。完工验收时应提交工作日志、产品质量检验、验收记录等资料。</w:t>
      </w:r>
    </w:p>
    <w:p w14:paraId="73F8265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2.9数据验收</w:t>
      </w:r>
    </w:p>
    <w:p w14:paraId="3DB16C3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（1）数据抽检</w:t>
      </w:r>
    </w:p>
    <w:p w14:paraId="5FF4D64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以抽检的方式检查已完成数字化转换的所有数据，包括目录数据库、图像文件及数据挂接的总体质量。</w:t>
      </w:r>
    </w:p>
    <w:p w14:paraId="21742BB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数据验收时抽检的比率不得低于20%。</w:t>
      </w:r>
    </w:p>
    <w:p w14:paraId="3E59871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供应商必须建立严格的质量检测体系，对整理录入的数据进行抽检，抽检达到档案行业质量标准的，才能递交采购人审核、验收。</w:t>
      </w:r>
    </w:p>
    <w:p w14:paraId="13CA058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（2）验收指标</w:t>
      </w:r>
    </w:p>
    <w:p w14:paraId="181A85F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目录数据库与图像文件挂接错误，卷内目录不完全对应，或目录数据库、图像文件之一出现不完整、不清晰、有错误等质量问题时，抽检标记为"不合格"。</w:t>
      </w:r>
    </w:p>
    <w:p w14:paraId="012137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档案装订：检查所有档案的装订还原情况，差错率≤1‰。</w:t>
      </w:r>
    </w:p>
    <w:p w14:paraId="19855A9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扫描图像：漏扫率≤0.2‰。</w:t>
      </w:r>
    </w:p>
    <w:p w14:paraId="14B5D2D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图像质量：图像质量情况完好率99%。</w:t>
      </w:r>
    </w:p>
    <w:p w14:paraId="7854E5F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格式封装：图像文件的命名差错率≤1‰。</w:t>
      </w:r>
    </w:p>
    <w:p w14:paraId="79AD56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目录核对、完善：以案卷为单位，关键字段（材料名称、日期、页数等）正确率100%，其余字段录入错误率≤5‰。</w:t>
      </w:r>
    </w:p>
    <w:p w14:paraId="788B9AE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条目与图像挂接：挂接正确率100%。</w:t>
      </w:r>
    </w:p>
    <w:p w14:paraId="227C115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档案原始材料：100%不缺失。</w:t>
      </w:r>
    </w:p>
    <w:p w14:paraId="1BA34E4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（3）验收审核</w:t>
      </w:r>
    </w:p>
    <w:p w14:paraId="5E500FB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采购人对供应商数据每月进行验收。数据验收以抽检方式进行。供应商提交验收的数据不论涉及验收标准哪一条，不合格的，全部发回供应商全面自检。</w:t>
      </w:r>
    </w:p>
    <w:p w14:paraId="22CCB8B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采购人在验收中检出的错误，供应商及时、无偿予以纠正并再提交采购人验收。</w:t>
      </w:r>
    </w:p>
    <w:p w14:paraId="024047F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全部档案验收“通过”的结论，必须经相关流程签字完毕后方有效。</w:t>
      </w:r>
    </w:p>
    <w:p w14:paraId="7D2EE2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如全部档案完成后不能通过验收的，视为供应商违约。</w:t>
      </w:r>
    </w:p>
    <w:p w14:paraId="6971275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数据验收合格后，供应商须使用移动硬盘备份一式三份提交给采购人，著录条目和全文数据向重庆市社会人才人事档案数字化管理系统及数据库迁移。</w:t>
      </w:r>
    </w:p>
    <w:p w14:paraId="573D90F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3.档案维护工作要求</w:t>
      </w:r>
    </w:p>
    <w:p w14:paraId="6967FB8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档案维护主要工作环节包括但不限于档案交接、档案整理、档案扫描、图像处理、图像挂接、质检、验收和归档等，具体要求如下：</w:t>
      </w:r>
    </w:p>
    <w:p w14:paraId="6DD71F0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3.1档案交接</w:t>
      </w:r>
    </w:p>
    <w:p w14:paraId="1DAC946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供应商应指定专人负责补充材料交接，交接时配合采购人完成补充材料份数、页数清点，并填写档案交接清单，确保档案安全、万无一失。</w:t>
      </w:r>
    </w:p>
    <w:p w14:paraId="23DBD8A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3.2整理编页</w:t>
      </w:r>
    </w:p>
    <w:p w14:paraId="3490151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按照档案整理排序规则，将补充材料做分类排序。通过档案管理系统提供的档案电子目录，找到档案正本中各类材料文件顺序和编码，续编补充材料页码。</w:t>
      </w:r>
    </w:p>
    <w:p w14:paraId="256954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3.3信息完善</w:t>
      </w:r>
    </w:p>
    <w:p w14:paraId="52DE5F3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根据补充材料的分类，在档案管理系统中分别完善档案基础信息、专业技术职务与职业（工种）资格数据、教育经历、培训经历、工作经历、奖惩信息、语言能力信息、家庭关系和存</w:t>
      </w:r>
      <w:r>
        <w:rPr>
          <w:rFonts w:hint="eastAsia" w:ascii="宋体" w:hAnsi="宋体" w:cs="宋体"/>
          <w:color w:val="auto"/>
          <w:kern w:val="0"/>
          <w:sz w:val="24"/>
          <w:szCs w:val="24"/>
          <w:highlight w:val="none"/>
          <w:lang w:eastAsia="zh-CN"/>
        </w:rPr>
        <w:t>档</w:t>
      </w:r>
      <w:r>
        <w:rPr>
          <w:rFonts w:hint="eastAsia" w:ascii="宋体" w:hAnsi="宋体" w:cs="宋体"/>
          <w:color w:val="auto"/>
          <w:kern w:val="0"/>
          <w:sz w:val="24"/>
          <w:szCs w:val="24"/>
          <w:highlight w:val="none"/>
        </w:rPr>
        <w:t>单位等信息。</w:t>
      </w:r>
    </w:p>
    <w:p w14:paraId="7E554F6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3.4档案扫描</w:t>
      </w:r>
    </w:p>
    <w:p w14:paraId="3984DF0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扫描电脑中新建文件夹，文件夹以档案号命名，再在该文件夹中建立以材料编码命名的子文件夹，补充材料有多少件材料就建多少个子文件夹。将整理好的纸质档案，按顺序扫描到对应子文件夹中。或者使用专用的影像采集控件，实现档案影像图片的扫描，扫描分辨率为300dpi。</w:t>
      </w:r>
    </w:p>
    <w:p w14:paraId="3C2FE0C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3.5图像处理</w:t>
      </w:r>
    </w:p>
    <w:p w14:paraId="309A0A6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对扫描后的图像进行逐页纠偏、图像拼接、裁黑边、排序等处理，但不得改变图像内容。</w:t>
      </w:r>
    </w:p>
    <w:p w14:paraId="5D10B6C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3.6图像挂接</w:t>
      </w:r>
    </w:p>
    <w:p w14:paraId="3AAB812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使用系统软件，维护电子目录，根据补充材料不同类别，在原大类目录后面新增一条该类别的目录，新建的目录与扫描时建立的子文件夹一一对应，并将处理后的图片分别上传到</w:t>
      </w:r>
      <w:r>
        <w:rPr>
          <w:rFonts w:hint="eastAsia" w:ascii="宋体" w:hAnsi="宋体" w:cs="宋体"/>
          <w:color w:val="auto"/>
          <w:kern w:val="0"/>
          <w:sz w:val="24"/>
          <w:szCs w:val="24"/>
          <w:highlight w:val="none"/>
          <w:lang w:eastAsia="zh-CN"/>
        </w:rPr>
        <w:t>对应</w:t>
      </w:r>
      <w:r>
        <w:rPr>
          <w:rFonts w:hint="eastAsia" w:ascii="宋体" w:hAnsi="宋体" w:cs="宋体"/>
          <w:color w:val="auto"/>
          <w:kern w:val="0"/>
          <w:sz w:val="24"/>
          <w:szCs w:val="24"/>
          <w:highlight w:val="none"/>
        </w:rPr>
        <w:t>的条目中。</w:t>
      </w:r>
    </w:p>
    <w:p w14:paraId="6FBFE7A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3.7质检</w:t>
      </w:r>
    </w:p>
    <w:p w14:paraId="5C64406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系统自动把条目与图片进行关联后，供应商安排人员逐一检查条目与影像是否对应匹配，退回不合格的条目或影像，退回不匹配的条目与影像。每份补充材料的质检需要在内部质检单中体现出来。</w:t>
      </w:r>
    </w:p>
    <w:p w14:paraId="1CA2570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3.8验收归档</w:t>
      </w:r>
    </w:p>
    <w:p w14:paraId="64C6E4D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验收具体要求参见新增人事档案数字化验收要求。</w:t>
      </w:r>
    </w:p>
    <w:p w14:paraId="7AB953A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3.9纸质材料维护</w:t>
      </w:r>
    </w:p>
    <w:p w14:paraId="1F42C79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供应商拿到有补充材料的档案正本，拆开档案正本，将补充材料纸质件按编码顺序归整到正本对应大类中，重新打印纸质目录，核验无误后打孔装订并装盒。并交采购人验收。</w:t>
      </w:r>
    </w:p>
    <w:p w14:paraId="60CFF1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4.质检工作内容和要求</w:t>
      </w:r>
    </w:p>
    <w:p w14:paraId="4B93ADF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供应商应制定严格的项目质量控制及质量保证措施，保证档案的整理和数字化工作符合质量要求，高质量地完成工作任务。对档案数字化过程中整理拆分、数字化加工、整理装卷等环节进行同步抽检，以减少事后</w:t>
      </w:r>
      <w:r>
        <w:rPr>
          <w:rFonts w:hint="eastAsia" w:ascii="宋体" w:hAnsi="宋体" w:cs="宋体"/>
          <w:color w:val="auto"/>
          <w:kern w:val="0"/>
          <w:sz w:val="24"/>
          <w:szCs w:val="24"/>
          <w:highlight w:val="none"/>
          <w:lang w:eastAsia="zh-CN"/>
        </w:rPr>
        <w:t>返工</w:t>
      </w:r>
      <w:r>
        <w:rPr>
          <w:rFonts w:hint="eastAsia" w:ascii="宋体" w:hAnsi="宋体" w:cs="宋体"/>
          <w:color w:val="auto"/>
          <w:kern w:val="0"/>
          <w:sz w:val="24"/>
          <w:szCs w:val="24"/>
          <w:highlight w:val="none"/>
        </w:rPr>
        <w:t>概率，避免再次处理带来的纸质档案材料损坏。</w:t>
      </w:r>
    </w:p>
    <w:p w14:paraId="3AEAE3E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4.1整理质量检查</w:t>
      </w:r>
    </w:p>
    <w:p w14:paraId="5378DF3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档案整理环节，制定档案整理质量检查机制，以抽检的方式为主进行检查，抽检比例由采购人确定。如发现档案材料分类错误、排序错误、编目错误、装订不符要求、卷间文件颠倒、档案标识打印与粘贴错误等差错，及时进行重新整理。</w:t>
      </w:r>
    </w:p>
    <w:p w14:paraId="08AB712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4.2数字化加工质量检查</w:t>
      </w:r>
    </w:p>
    <w:p w14:paraId="67C87CC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档案数字化加工环节，制定相应的质量检查机制，对采集的信息数据、目录与图像等导入完毕的数据进行检查，抽检对象和比例同整理质量检查的抽检对象和比例相同。检查电子影像的页数与原始案卷是否一致，检查索引人员录入的“卷面信息”、“卷内目录”、“备考表”是否正确，检查电子影像是否清晰，检查目录与对应影像的挂接是否正确。对发现的错误进行及时修正。</w:t>
      </w:r>
    </w:p>
    <w:p w14:paraId="442C7B6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4.3实物质检</w:t>
      </w:r>
    </w:p>
    <w:p w14:paraId="37F2D0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进行档案重新整理装卷时，必须逐卷（页）清点，对档案数量、文件状况等进行检查。如发现丢失、损坏、损毁档案或档案材料内容；私自圈划、涂改、抽取或伪造档案材料；擅自处理或销毁档案材料等严重违规行为的，该批次将全部发回供应商全部质检。对已发现的问题，供应商须及时采取补救措施，并承担相应责任。</w:t>
      </w:r>
    </w:p>
    <w:p w14:paraId="15DECFC9">
      <w:pPr>
        <w:bidi w:val="0"/>
        <w:rPr>
          <w:rFonts w:hint="eastAsia"/>
          <w:b/>
          <w:bCs/>
          <w:color w:val="auto"/>
          <w:sz w:val="24"/>
          <w:szCs w:val="18"/>
          <w:highlight w:val="none"/>
        </w:rPr>
      </w:pPr>
      <w:bookmarkStart w:id="43" w:name="_Toc23190"/>
      <w:bookmarkStart w:id="44" w:name="_Toc9290"/>
      <w:bookmarkStart w:id="45" w:name="_Toc12796"/>
      <w:r>
        <w:rPr>
          <w:rFonts w:hint="eastAsia"/>
          <w:b/>
          <w:bCs/>
          <w:color w:val="auto"/>
          <w:sz w:val="24"/>
          <w:szCs w:val="18"/>
          <w:highlight w:val="none"/>
          <w:lang w:eastAsia="zh-CN"/>
        </w:rPr>
        <w:t>（</w:t>
      </w:r>
      <w:r>
        <w:rPr>
          <w:rFonts w:hint="eastAsia"/>
          <w:b/>
          <w:bCs/>
          <w:color w:val="auto"/>
          <w:sz w:val="24"/>
          <w:szCs w:val="18"/>
          <w:highlight w:val="none"/>
        </w:rPr>
        <w:t>四</w:t>
      </w:r>
      <w:r>
        <w:rPr>
          <w:rFonts w:hint="eastAsia"/>
          <w:b/>
          <w:bCs/>
          <w:color w:val="auto"/>
          <w:sz w:val="24"/>
          <w:szCs w:val="18"/>
          <w:highlight w:val="none"/>
          <w:lang w:eastAsia="zh-CN"/>
        </w:rPr>
        <w:t>）</w:t>
      </w:r>
      <w:r>
        <w:rPr>
          <w:rFonts w:hint="eastAsia"/>
          <w:b/>
          <w:bCs/>
          <w:color w:val="auto"/>
          <w:sz w:val="24"/>
          <w:szCs w:val="18"/>
          <w:highlight w:val="none"/>
        </w:rPr>
        <w:t>、项目管理要求</w:t>
      </w:r>
      <w:bookmarkEnd w:id="43"/>
      <w:bookmarkEnd w:id="44"/>
      <w:bookmarkEnd w:id="45"/>
      <w:r>
        <w:rPr>
          <w:rFonts w:hint="eastAsia"/>
          <w:b/>
          <w:bCs/>
          <w:color w:val="auto"/>
          <w:sz w:val="24"/>
          <w:szCs w:val="18"/>
          <w:highlight w:val="none"/>
        </w:rPr>
        <w:t xml:space="preserve"> </w:t>
      </w:r>
    </w:p>
    <w:p w14:paraId="647ABCDF">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 xml:space="preserve">安全保密要求 </w:t>
      </w:r>
    </w:p>
    <w:p w14:paraId="7DA8A6E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严格遵守国家相关的保密法律规定，遵守《保密协议》和采购人的有关规定（另行签订）。档案扫描工作需在采购人指定的场所内进行，确保场所正常秩序和安全。不得遗失、损坏档案，如有违法行为或违反相关规定，将依法或依据约定追究相应的责任。供应商应做到：</w:t>
      </w:r>
    </w:p>
    <w:p w14:paraId="308723E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成交后，供应商参与本项目的所有工作人员需提供本人身份证明和公安部门提供的无犯罪记录证明，需通过采购人的审核，必要时提供政审材料，并登记备案。成交供应商需向采购人提供以下资料：《数字化处理工作人员登记表》（每人一式一份），工作人员身份证复印件（每人一式一份），工作人员档案岗位资格证书复印件（部分人员一式一份）。</w:t>
      </w:r>
    </w:p>
    <w:p w14:paraId="7E709BA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2项目实施过程中，供应商如需更换、增加工作人员，需提前一周向采购人提供拟加入人员的资料，取得采购人签字同意后方可更换或者增加人手。对离开本项目实施岗位的人员，供应商需在人员离岗后一周内，在采购人保存的相关工作人员的备案表格中标注离岗日期。</w:t>
      </w:r>
    </w:p>
    <w:p w14:paraId="4623AF2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3供应商参与本项目的工作人员需接受采购人组织的档案保密安全教育，并自觉学习保密知识，严格遵守《档案法》、《保密法》及其他有关法规，严防泄密现象发生。</w:t>
      </w:r>
    </w:p>
    <w:p w14:paraId="344099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4除钥匙及眼镜等外，供应商工作人员未经采购人同意，不得将手袋、提包、钱包、磁盘（含U盘、软盘、硬盘等）、刻录光盘、手机、MP3、MP4、报刊、纸张及其他随身物品带入数字化处理工作室，也不得将工作室的物品擅自带出工作室外。</w:t>
      </w:r>
    </w:p>
    <w:p w14:paraId="45FCCD8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5未经采购人批准，供应商不得以任何形式复制离线的档案图像和档案目录数据。</w:t>
      </w:r>
    </w:p>
    <w:p w14:paraId="49728DB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6供应商工作人员剔除同一案卷内的重复文件需经采购人有关人员审核同意方可实施。</w:t>
      </w:r>
    </w:p>
    <w:p w14:paraId="79C8F73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7数字化处理工作室内的废纸需集中放置，供应商每星期清理废纸不能超过一次，清理时要有专人对纸张进行仔细检查，确保其中没有夹带任何档案文件后才能清出工作室。</w:t>
      </w:r>
    </w:p>
    <w:p w14:paraId="5C17C0D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8供应商工作人员不得以任何方式非法向外人泄露档案所涉及的国家秘密，否则按国家有关规定处理，情节严重的要承担相应的法律责任。</w:t>
      </w:r>
    </w:p>
    <w:p w14:paraId="5748B78B">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9供应商的响应文件中针对上述第1</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至</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8项内容作出书面保密承诺，提供书面承诺函（格式自拟）并加盖供应商公章。</w:t>
      </w:r>
    </w:p>
    <w:p w14:paraId="17FAE2D9">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 xml:space="preserve">项目实施要求 </w:t>
      </w:r>
    </w:p>
    <w:p w14:paraId="1AC6576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1供应商自备不低于以下要求的扫描设备及管理措施</w:t>
      </w:r>
    </w:p>
    <w:p w14:paraId="573DB4C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采购人在每个作业点提供不低于2条生产线的场地供供应商使用，供应商应根据场地、工期等严格开展工作，具体要求如下：</w:t>
      </w:r>
    </w:p>
    <w:p w14:paraId="213452D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1.1电脑： 19寸以上纯平液晶显示器，4G以上内存，500G硬盘，windows操作系统；基本办公软件（如Office 2007，ACDSEE）；扫描仪图像采集软件（配扫描仪的电脑需独立显卡）；处于保密考虑，电脑硬盘所有权属采购人所有。</w:t>
      </w:r>
    </w:p>
    <w:p w14:paraId="5BD50E0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1.2扫描仪：提供满足工作量需要的扫描仪（需配备解决特殊档案扫描的设备,扫描速度不低于80PPM/110IPM）。</w:t>
      </w:r>
    </w:p>
    <w:p w14:paraId="6345B2E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1.3供应商在服务期间提供一套网络版档案数字化加工系统，能够实现与采购人档案管理系统对接，将扫描后的档案信息及图像批量导入到系统中。</w:t>
      </w:r>
    </w:p>
    <w:p w14:paraId="544156C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2对供应商在本项目中投入的扫描系统要求</w:t>
      </w:r>
    </w:p>
    <w:p w14:paraId="4ACD8CE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2.1供应商需要按照采购人的需求进行相应的档案扫描处理和查询软件安装调试。在合同完成时向采购人移交软件系统安装文件及其相关系统使用的文档资料。</w:t>
      </w:r>
    </w:p>
    <w:p w14:paraId="491A040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2.2档案扫描处理软件具有扫描，图像处理（去黑边，自动或手动纠斜，缩放，左右90°旋转，自动确定或更正图像标准幅面等），图像属性处理，索引建立，数据统计（日、周、月、年的统计数据查询和打印报表，可根据需要定制统计类别），数据维护，数据导入导出（采购人业务系统）等基本功能，具有一定的灵活性和可维护性，功能能够根据采购人实际情况做适当的调整。</w:t>
      </w:r>
    </w:p>
    <w:p w14:paraId="4461D36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2.3提供方便的档案图像查阅和质量检查软件，可单独运行，也可与采购人业务系统衔接。图像查阅软件具有设置用户权限，通过目录浏览图像，图像放大、缩小、旋转、移动、增加、删除，单页或批量打印等基本功能；质量检查软件可按采购人质量要求全面检查档案图像及其所有信息，统计数量，打印相应报表等功能。</w:t>
      </w:r>
    </w:p>
    <w:p w14:paraId="35D4E16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2.4已扫描的档案影像能够根据采购人业务系统影像存储结构要求，随时在线上传（导入）到采购人业务系统的服务器；在网络故障时，可采用其它存储介质，通过人工方式离线上传到服务器。</w:t>
      </w:r>
    </w:p>
    <w:p w14:paraId="699A25E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2.5供应商应确保保存在服务器上的影像及其属性数据与保存在存储介质上的数据要一致，并与档案实体保持一致。</w:t>
      </w:r>
    </w:p>
    <w:p w14:paraId="053062C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3技术方案要求</w:t>
      </w:r>
    </w:p>
    <w:p w14:paraId="465165E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供应商需要制定一套完善且可行性强的项目实施技术方案。能严格按照采购人要求格式模板导出excel等格式的加工数据，以便将加工数据导入到采购人档案管理系统。</w:t>
      </w:r>
    </w:p>
    <w:p w14:paraId="2D71D0E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4实施人员要求</w:t>
      </w:r>
    </w:p>
    <w:p w14:paraId="66A7997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4.1供应商的实施团队需要有档案数字化加工项目经验。</w:t>
      </w:r>
    </w:p>
    <w:p w14:paraId="42FACF6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4.2供应商在项目实施过程中需要提供一支品行端正、经验丰富、人员稳定、保密意识强的团队，团队负责人应具备相应的管理能力和行业工作经验，熟悉档案信息化加工系统的操作应用，成交后需提供详细的团队名单及个人简历供采购人审核。</w:t>
      </w:r>
    </w:p>
    <w:p w14:paraId="3B1D0E03">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4.3供应商的响应文件中针对上述第</w:t>
      </w: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4.1至</w:t>
      </w: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4.2项内容作出书面承诺，提供书面承诺函（格式自拟）并加盖供应商公章。</w:t>
      </w:r>
    </w:p>
    <w:p w14:paraId="6896C438">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3.</w:t>
      </w:r>
      <w:r>
        <w:rPr>
          <w:rFonts w:hint="eastAsia" w:ascii="宋体" w:hAnsi="宋体" w:cs="宋体"/>
          <w:b/>
          <w:bCs/>
          <w:color w:val="auto"/>
          <w:kern w:val="0"/>
          <w:sz w:val="24"/>
          <w:szCs w:val="24"/>
          <w:highlight w:val="none"/>
        </w:rPr>
        <w:t xml:space="preserve">组织管理要求 </w:t>
      </w:r>
    </w:p>
    <w:p w14:paraId="4BA6029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1组织实施要求：供应商应结合采购人的档案管理制度制定一套符合完成本项目工作实际的档案整理、电子化等的管理规定及操作流程，以确保档案装订规范、电子化质量达到品质要求、档案材料安全和项目任务的完成。</w:t>
      </w:r>
    </w:p>
    <w:p w14:paraId="53BBE68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2项目工作量要求：供应商将根据实际签约情况，承接采购人新增人事档案进行整理和数字化加工、档案维护工作。</w:t>
      </w:r>
    </w:p>
    <w:p w14:paraId="06C1730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3项目人员要求：</w:t>
      </w:r>
    </w:p>
    <w:p w14:paraId="2B7903F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3.1扫描人员：供应商需派专业数字化团队，到采购人指定工作场所扫描案卷，服务期间须保持人员数量的稳定。</w:t>
      </w:r>
    </w:p>
    <w:p w14:paraId="530B4E0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3.2岗位培训：供应商负责有计划地每季度对员工进行安全保密知识培训以及相关档案整理装订扫描业务的培训；采购人可对供应商工作人员的工作业务能力进行考核，如不合格者，成交供应商需按要求调换；</w:t>
      </w:r>
    </w:p>
    <w:p w14:paraId="2C5C394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3.3供应商应保持岗位工作人员的稳定性，不得随意调换各岗位人员，因工作任务造成调整时，须征得采购人同意。</w:t>
      </w:r>
    </w:p>
    <w:p w14:paraId="0AF32D8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4保密要求：供应商需严格遵守《档案法》和《保密法》，与采购人签订保密协议，对在整理和数字化加工服务中涉及到的档案内容承担保密义务。</w:t>
      </w:r>
    </w:p>
    <w:p w14:paraId="7E87A740">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4.</w:t>
      </w:r>
      <w:r>
        <w:rPr>
          <w:rFonts w:hint="eastAsia" w:ascii="宋体" w:hAnsi="宋体" w:cs="宋体"/>
          <w:b/>
          <w:bCs/>
          <w:color w:val="auto"/>
          <w:kern w:val="0"/>
          <w:sz w:val="24"/>
          <w:szCs w:val="24"/>
          <w:highlight w:val="none"/>
        </w:rPr>
        <w:t xml:space="preserve">附件、图纸及包装要求 </w:t>
      </w:r>
    </w:p>
    <w:p w14:paraId="67F7D99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人事档案卷盒规格按照A4纸型相应调整，分为310×225×15mm、310×225×25mm和310×225×35mm三种。卷盒设3个装订立柱，装订立柱中心距左边内沿15mm，下装订立柱距卷盒底边54mm，中间装订立柱距上、下装订立柱（从装订立柱中心算起）83mm，装订立柱直径为4mm。卷盒背脊标签规格相应调整为310×25mm、310×35mm和310×45mm三种。</w:t>
      </w:r>
    </w:p>
    <w:p w14:paraId="7C56343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流动人员人事档案卷盒规格和样式要求</w:t>
      </w:r>
    </w:p>
    <w:p w14:paraId="74B0DA95">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drawing>
          <wp:anchor distT="0" distB="0" distL="114300" distR="114300" simplePos="0" relativeHeight="251660288" behindDoc="0" locked="0" layoutInCell="1" allowOverlap="1">
            <wp:simplePos x="0" y="0"/>
            <wp:positionH relativeFrom="column">
              <wp:posOffset>1154430</wp:posOffset>
            </wp:positionH>
            <wp:positionV relativeFrom="paragraph">
              <wp:posOffset>181610</wp:posOffset>
            </wp:positionV>
            <wp:extent cx="3084195" cy="4486275"/>
            <wp:effectExtent l="0" t="0" r="9525" b="9525"/>
            <wp:wrapTopAndBottom/>
            <wp:docPr id="7"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图片1"/>
                    <pic:cNvPicPr>
                      <a:picLocks noChangeAspect="1"/>
                    </pic:cNvPicPr>
                  </pic:nvPicPr>
                  <pic:blipFill>
                    <a:blip r:embed="rId21"/>
                    <a:stretch>
                      <a:fillRect/>
                    </a:stretch>
                  </pic:blipFill>
                  <pic:spPr>
                    <a:xfrm>
                      <a:off x="0" y="0"/>
                      <a:ext cx="3084195" cy="4486275"/>
                    </a:xfrm>
                    <a:prstGeom prst="rect">
                      <a:avLst/>
                    </a:prstGeom>
                    <a:noFill/>
                    <a:ln>
                      <a:noFill/>
                    </a:ln>
                  </pic:spPr>
                </pic:pic>
              </a:graphicData>
            </a:graphic>
          </wp:anchor>
        </w:drawing>
      </w:r>
    </w:p>
    <w:p w14:paraId="2846D8E6">
      <w:pPr>
        <w:snapToGrid w:val="0"/>
        <w:spacing w:line="40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 xml:space="preserve">散材料袋样式要求 </w:t>
      </w:r>
    </w:p>
    <w:p w14:paraId="6AA2EA30">
      <w:pPr>
        <w:ind w:firstLine="482" w:firstLine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散材料袋 样式（材质：透明塑料）</w:t>
      </w:r>
    </w:p>
    <w:p w14:paraId="708C25AC">
      <w:pPr>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单位：mm</w:t>
      </w:r>
    </w:p>
    <w:p w14:paraId="62045B1C">
      <w:pPr>
        <w:ind w:firstLine="560" w:firstLineChars="200"/>
        <w:jc w:val="center"/>
        <w:rPr>
          <w:rFonts w:hint="eastAsia" w:ascii="宋体" w:hAnsi="宋体" w:cs="宋体"/>
          <w:color w:val="auto"/>
          <w:sz w:val="24"/>
          <w:szCs w:val="24"/>
          <w:highlight w:val="none"/>
        </w:rPr>
      </w:pPr>
      <w:r>
        <w:rPr>
          <w:rFonts w:hint="eastAsia" w:ascii="宋体" w:hAnsi="宋体" w:cs="宋体"/>
          <w:color w:val="auto"/>
          <w:highlight w:val="none"/>
        </w:rPr>
        <w:drawing>
          <wp:inline distT="0" distB="0" distL="114300" distR="114300">
            <wp:extent cx="2522855" cy="3251200"/>
            <wp:effectExtent l="0" t="0" r="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2522855" cy="3251200"/>
                    </a:xfrm>
                    <a:prstGeom prst="rect">
                      <a:avLst/>
                    </a:prstGeom>
                    <a:noFill/>
                    <a:ln>
                      <a:noFill/>
                    </a:ln>
                  </pic:spPr>
                </pic:pic>
              </a:graphicData>
            </a:graphic>
          </wp:inline>
        </w:drawing>
      </w:r>
    </w:p>
    <w:p w14:paraId="04A87F13">
      <w:pPr>
        <w:snapToGrid w:val="0"/>
        <w:spacing w:line="400" w:lineRule="exact"/>
        <w:ind w:firstLine="480" w:firstLineChars="200"/>
        <w:rPr>
          <w:rFonts w:hint="eastAsia" w:ascii="宋体" w:hAnsi="宋体" w:cs="宋体"/>
          <w:color w:val="auto"/>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参考材料袋样式要求</w:t>
      </w:r>
    </w:p>
    <w:p w14:paraId="207D640A">
      <w:pPr>
        <w:ind w:firstLine="482" w:firstLine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参考材料袋 样式（材质：透明塑料）</w:t>
      </w:r>
    </w:p>
    <w:p w14:paraId="16382F90">
      <w:pPr>
        <w:ind w:firstLine="480" w:firstLineChars="200"/>
        <w:jc w:val="center"/>
        <w:rPr>
          <w:rFonts w:hint="eastAsia" w:ascii="宋体" w:hAnsi="宋体" w:cs="宋体"/>
          <w:color w:val="auto"/>
          <w:highlight w:val="none"/>
        </w:rPr>
      </w:pPr>
      <w:r>
        <w:rPr>
          <w:rFonts w:hint="eastAsia" w:ascii="宋体" w:hAnsi="宋体" w:cs="宋体"/>
          <w:color w:val="auto"/>
          <w:sz w:val="24"/>
          <w:szCs w:val="24"/>
          <w:highlight w:val="none"/>
        </w:rPr>
        <w:t>单位：mm</w:t>
      </w:r>
    </w:p>
    <w:p w14:paraId="4E5A2DF7">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2867025" cy="3867785"/>
            <wp:effectExtent l="0" t="0" r="1333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2867025" cy="3867785"/>
                    </a:xfrm>
                    <a:prstGeom prst="rect">
                      <a:avLst/>
                    </a:prstGeom>
                    <a:noFill/>
                    <a:ln>
                      <a:noFill/>
                    </a:ln>
                  </pic:spPr>
                </pic:pic>
              </a:graphicData>
            </a:graphic>
          </wp:inline>
        </w:drawing>
      </w:r>
    </w:p>
    <w:p w14:paraId="3C5E0600">
      <w:pPr>
        <w:snapToGrid w:val="0"/>
        <w:spacing w:line="40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目录纸及条形码样式要求</w:t>
      </w:r>
    </w:p>
    <w:p w14:paraId="053258CF">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3007995" cy="4013835"/>
            <wp:effectExtent l="0" t="0" r="9525" b="9525"/>
            <wp:docPr id="6" name="图片 3" descr="87109728983723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871097289837236084"/>
                    <pic:cNvPicPr>
                      <a:picLocks noChangeAspect="1"/>
                    </pic:cNvPicPr>
                  </pic:nvPicPr>
                  <pic:blipFill>
                    <a:blip r:embed="rId24"/>
                    <a:stretch>
                      <a:fillRect/>
                    </a:stretch>
                  </pic:blipFill>
                  <pic:spPr>
                    <a:xfrm>
                      <a:off x="0" y="0"/>
                      <a:ext cx="3007995" cy="4013835"/>
                    </a:xfrm>
                    <a:prstGeom prst="rect">
                      <a:avLst/>
                    </a:prstGeom>
                    <a:noFill/>
                    <a:ln>
                      <a:noFill/>
                    </a:ln>
                  </pic:spPr>
                </pic:pic>
              </a:graphicData>
            </a:graphic>
          </wp:inline>
        </w:drawing>
      </w:r>
    </w:p>
    <w:p w14:paraId="5CF3CC95">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6323965" cy="4732020"/>
            <wp:effectExtent l="0" t="0" r="635" b="7620"/>
            <wp:docPr id="11" name="图片 4" descr="83746746567977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837467465679772466"/>
                    <pic:cNvPicPr>
                      <a:picLocks noChangeAspect="1"/>
                    </pic:cNvPicPr>
                  </pic:nvPicPr>
                  <pic:blipFill>
                    <a:blip r:embed="rId25"/>
                    <a:stretch>
                      <a:fillRect/>
                    </a:stretch>
                  </pic:blipFill>
                  <pic:spPr>
                    <a:xfrm>
                      <a:off x="0" y="0"/>
                      <a:ext cx="6323965" cy="4732020"/>
                    </a:xfrm>
                    <a:prstGeom prst="rect">
                      <a:avLst/>
                    </a:prstGeom>
                    <a:noFill/>
                    <a:ln>
                      <a:noFill/>
                    </a:ln>
                  </pic:spPr>
                </pic:pic>
              </a:graphicData>
            </a:graphic>
          </wp:inline>
        </w:drawing>
      </w:r>
    </w:p>
    <w:p w14:paraId="2FE2E2E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抬头：方正小标宋_GBK，18#字体</w:t>
      </w:r>
    </w:p>
    <w:p w14:paraId="171ED63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条码正文的档案号：RC50000000052014Y010142030：创艺简标宋，8#字体</w:t>
      </w:r>
    </w:p>
    <w:p w14:paraId="58E99EC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表头：黑体，12#字体</w:t>
      </w:r>
    </w:p>
    <w:p w14:paraId="4B6C815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大类标题：黑体，12#字体</w:t>
      </w:r>
    </w:p>
    <w:p w14:paraId="6F7B48F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小类标题：华文楷体，12#字体</w:t>
      </w:r>
    </w:p>
    <w:p w14:paraId="313FA35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材料序号，材料形成时间，材料页数：Times New Roman，12#字体</w:t>
      </w:r>
    </w:p>
    <w:p w14:paraId="64D7BD9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材料题名：方正仿宋_GBK，12#字体 </w:t>
      </w:r>
    </w:p>
    <w:p w14:paraId="25ACBA5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每个类别（包括大小类）要在内容后面空5行。</w:t>
      </w:r>
    </w:p>
    <w:p w14:paraId="5EC31534">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lang w:val="en-US" w:eastAsia="zh-CN"/>
        </w:rPr>
        <w:t>（5）</w:t>
      </w:r>
      <w:r>
        <w:rPr>
          <w:rFonts w:hint="eastAsia" w:ascii="宋体" w:hAnsi="宋体" w:cs="宋体"/>
          <w:b/>
          <w:bCs/>
          <w:color w:val="auto"/>
          <w:kern w:val="0"/>
          <w:sz w:val="24"/>
          <w:szCs w:val="24"/>
          <w:highlight w:val="none"/>
        </w:rPr>
        <w:t>人事档案装订要求</w:t>
      </w:r>
      <w:r>
        <w:rPr>
          <w:rFonts w:hint="eastAsia" w:ascii="宋体" w:hAnsi="宋体" w:cs="宋体"/>
          <w:color w:val="auto"/>
          <w:kern w:val="0"/>
          <w:sz w:val="24"/>
          <w:szCs w:val="24"/>
          <w:highlight w:val="none"/>
        </w:rPr>
        <w:t xml:space="preserve"> </w:t>
      </w:r>
    </w:p>
    <w:p w14:paraId="037C112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人事档案材料和目录采用国际标准A4纸型（297×210mm）。材料左边应留有25mm的装订边。A4纸型的人事档案材料和目录按照靠左下对齐的方式打3孔装订，中间孔距上、下孔（从孔中心算起）83mm，下孔距材料底边54mm，孔中心距左边沿12mm，孔直径为5mm。</w:t>
      </w:r>
    </w:p>
    <w:p w14:paraId="359EAF0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p>
    <w:p w14:paraId="5ABFBEE4">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A4纸型档案材料打孔样式  单位：mm            A4纸型档案材料装订边样式  单位：mm</w:t>
      </w:r>
    </w:p>
    <w:p w14:paraId="36466F70">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6163945" cy="3228975"/>
            <wp:effectExtent l="0" t="0" r="0"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tretch>
                      <a:fillRect/>
                    </a:stretch>
                  </pic:blipFill>
                  <pic:spPr>
                    <a:xfrm>
                      <a:off x="0" y="0"/>
                      <a:ext cx="6163945" cy="3228975"/>
                    </a:xfrm>
                    <a:prstGeom prst="rect">
                      <a:avLst/>
                    </a:prstGeom>
                    <a:noFill/>
                    <a:ln>
                      <a:noFill/>
                    </a:ln>
                  </pic:spPr>
                </pic:pic>
              </a:graphicData>
            </a:graphic>
          </wp:inline>
        </w:drawing>
      </w:r>
    </w:p>
    <w:p w14:paraId="520DE7A6">
      <w:pPr>
        <w:rPr>
          <w:rFonts w:hint="eastAsia" w:ascii="宋体" w:hAnsi="宋体" w:cs="宋体"/>
          <w:color w:val="auto"/>
          <w:highlight w:val="none"/>
        </w:rPr>
      </w:pPr>
    </w:p>
    <w:p w14:paraId="3DBD12DB">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（6）</w:t>
      </w:r>
      <w:r>
        <w:rPr>
          <w:rFonts w:hint="eastAsia" w:ascii="宋体" w:hAnsi="宋体" w:cs="宋体"/>
          <w:b/>
          <w:bCs/>
          <w:color w:val="auto"/>
          <w:kern w:val="0"/>
          <w:sz w:val="24"/>
          <w:szCs w:val="24"/>
          <w:highlight w:val="none"/>
        </w:rPr>
        <w:t xml:space="preserve">背脊条样式要求 </w:t>
      </w:r>
    </w:p>
    <w:p w14:paraId="56D3870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对装订成卷的档案应进行认真细致的检查，验收合格后入库保存，并打印卷脊，卷脊视档案盒厚度而定，格式如下（参考GB/T 31599-2015）：</w:t>
      </w:r>
    </w:p>
    <w:p w14:paraId="00FBAB58">
      <w:pPr>
        <w:rPr>
          <w:rFonts w:hint="eastAsia" w:hAnsi="宋体" w:cs="宋体"/>
          <w:b/>
          <w:color w:val="auto"/>
          <w:sz w:val="36"/>
          <w:szCs w:val="36"/>
          <w:highlight w:val="none"/>
        </w:rPr>
      </w:pPr>
      <w:r>
        <w:rPr>
          <w:rFonts w:hint="eastAsia" w:ascii="宋体" w:hAnsi="宋体" w:cs="宋体"/>
          <w:color w:val="auto"/>
          <w:highlight w:val="none"/>
        </w:rPr>
        <w:drawing>
          <wp:anchor distT="0" distB="0" distL="114300" distR="114300" simplePos="0" relativeHeight="251662336" behindDoc="0" locked="0" layoutInCell="1" allowOverlap="1">
            <wp:simplePos x="0" y="0"/>
            <wp:positionH relativeFrom="column">
              <wp:posOffset>1381760</wp:posOffset>
            </wp:positionH>
            <wp:positionV relativeFrom="paragraph">
              <wp:posOffset>20955</wp:posOffset>
            </wp:positionV>
            <wp:extent cx="3308350" cy="4558665"/>
            <wp:effectExtent l="0" t="0" r="13970" b="13335"/>
            <wp:wrapNone/>
            <wp:docPr id="13" name="图片 4" descr="E:\Wonders\5.人社档案\NewSvn\1.开发库\2.工程文档\1.软件需求\2.重庆市社会人才人事档案标准规范\背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E:\Wonders\5.人社档案\NewSvn\1.开发库\2.工程文档\1.软件需求\2.重庆市社会人才人事档案标准规范\背脊-1.jpg"/>
                    <pic:cNvPicPr>
                      <a:picLocks noChangeAspect="1"/>
                    </pic:cNvPicPr>
                  </pic:nvPicPr>
                  <pic:blipFill>
                    <a:blip r:embed="rId27"/>
                    <a:stretch>
                      <a:fillRect/>
                    </a:stretch>
                  </pic:blipFill>
                  <pic:spPr>
                    <a:xfrm>
                      <a:off x="0" y="0"/>
                      <a:ext cx="3308350" cy="4558665"/>
                    </a:xfrm>
                    <a:prstGeom prst="rect">
                      <a:avLst/>
                    </a:prstGeom>
                    <a:noFill/>
                    <a:ln>
                      <a:noFill/>
                    </a:ln>
                  </pic:spPr>
                </pic:pic>
              </a:graphicData>
            </a:graphic>
          </wp:anchor>
        </w:drawing>
      </w:r>
      <w:r>
        <w:rPr>
          <w:rFonts w:hint="eastAsia" w:hAnsi="宋体" w:cs="宋体"/>
          <w:b/>
          <w:color w:val="auto"/>
          <w:sz w:val="36"/>
          <w:szCs w:val="36"/>
          <w:highlight w:val="none"/>
        </w:rPr>
        <w:br w:type="page"/>
      </w:r>
    </w:p>
    <w:p w14:paraId="17047BBE">
      <w:pPr>
        <w:pStyle w:val="2"/>
        <w:spacing w:line="360" w:lineRule="auto"/>
        <w:jc w:val="center"/>
        <w:rPr>
          <w:rFonts w:hAnsi="宋体" w:cs="宋体"/>
          <w:b/>
          <w:color w:val="auto"/>
          <w:sz w:val="36"/>
          <w:szCs w:val="36"/>
          <w:highlight w:val="none"/>
        </w:rPr>
      </w:pPr>
      <w:bookmarkStart w:id="46" w:name="_Toc24952"/>
      <w:r>
        <w:rPr>
          <w:rFonts w:hint="eastAsia" w:hAnsi="宋体" w:cs="宋体"/>
          <w:b/>
          <w:color w:val="auto"/>
          <w:sz w:val="36"/>
          <w:szCs w:val="36"/>
          <w:highlight w:val="none"/>
        </w:rPr>
        <w:t>第三篇  采购商务需求</w:t>
      </w:r>
      <w:bookmarkEnd w:id="26"/>
      <w:bookmarkEnd w:id="46"/>
    </w:p>
    <w:p w14:paraId="14563790">
      <w:pPr>
        <w:adjustRightInd w:val="0"/>
        <w:snapToGrid w:val="0"/>
        <w:spacing w:line="360" w:lineRule="auto"/>
        <w:rPr>
          <w:rFonts w:ascii="宋体" w:hAnsi="宋体" w:cs="宋体"/>
          <w:bCs/>
          <w:color w:val="auto"/>
          <w:sz w:val="24"/>
          <w:szCs w:val="24"/>
          <w:highlight w:val="none"/>
        </w:rPr>
      </w:pPr>
      <w:bookmarkStart w:id="47" w:name="_Toc9413"/>
      <w:bookmarkStart w:id="48" w:name="_Toc22125"/>
      <w:bookmarkStart w:id="49" w:name="_Toc1254"/>
      <w:bookmarkStart w:id="50" w:name="_Toc106034782"/>
      <w:bookmarkStart w:id="51" w:name="_Toc65660342"/>
      <w:bookmarkStart w:id="52" w:name="_Toc156"/>
      <w:bookmarkStart w:id="53" w:name="_Toc12935"/>
      <w:bookmarkStart w:id="54" w:name="_Toc17750"/>
      <w:bookmarkStart w:id="55" w:name="_Toc13555"/>
      <w:r>
        <w:rPr>
          <w:rFonts w:hint="eastAsia" w:ascii="宋体" w:hAnsi="宋体" w:cs="宋体"/>
          <w:bCs/>
          <w:color w:val="auto"/>
          <w:sz w:val="24"/>
          <w:szCs w:val="24"/>
          <w:highlight w:val="none"/>
        </w:rPr>
        <w:t>“※”标注的商务需求为符合性审查中的实质性要求，响应文件若不满足按无效响应处理。</w:t>
      </w:r>
      <w:bookmarkEnd w:id="47"/>
      <w:bookmarkEnd w:id="48"/>
      <w:bookmarkEnd w:id="49"/>
    </w:p>
    <w:bookmarkEnd w:id="50"/>
    <w:bookmarkEnd w:id="51"/>
    <w:bookmarkEnd w:id="52"/>
    <w:bookmarkEnd w:id="53"/>
    <w:bookmarkEnd w:id="54"/>
    <w:bookmarkEnd w:id="55"/>
    <w:p w14:paraId="3CBF91CE">
      <w:pPr>
        <w:pStyle w:val="3"/>
        <w:spacing w:before="0" w:after="0" w:line="360" w:lineRule="auto"/>
        <w:rPr>
          <w:rFonts w:ascii="宋体" w:hAnsi="宋体" w:eastAsia="宋体" w:cs="宋体"/>
          <w:color w:val="auto"/>
          <w:sz w:val="24"/>
          <w:szCs w:val="24"/>
          <w:highlight w:val="none"/>
        </w:rPr>
      </w:pPr>
      <w:bookmarkStart w:id="56" w:name="_Toc24368"/>
      <w:bookmarkStart w:id="57" w:name="_Toc14088"/>
      <w:bookmarkStart w:id="58" w:name="_Toc22719"/>
      <w:bookmarkStart w:id="59" w:name="_Toc19519"/>
      <w:bookmarkStart w:id="60" w:name="_Toc535311836"/>
      <w:bookmarkStart w:id="61" w:name="_Toc19916"/>
      <w:bookmarkStart w:id="62" w:name="_Toc19338"/>
      <w:bookmarkStart w:id="63" w:name="_Toc344475122"/>
      <w:bookmarkStart w:id="64" w:name="_Toc6368"/>
      <w:bookmarkStart w:id="65" w:name="_Toc13883"/>
      <w:bookmarkStart w:id="66" w:name="_Toc24751"/>
      <w:bookmarkStart w:id="67" w:name="_Toc7228"/>
      <w:bookmarkStart w:id="68" w:name="_Toc106034786"/>
      <w:bookmarkStart w:id="69" w:name="_Toc3786"/>
      <w:bookmarkStart w:id="70" w:name="_Toc65660346"/>
      <w:r>
        <w:rPr>
          <w:rFonts w:hint="eastAsia" w:ascii="宋体" w:hAnsi="宋体" w:eastAsia="宋体" w:cs="宋体"/>
          <w:color w:val="auto"/>
          <w:sz w:val="24"/>
          <w:szCs w:val="24"/>
          <w:highlight w:val="none"/>
        </w:rPr>
        <w:t>※一、服务期、地点及验收方式</w:t>
      </w:r>
      <w:bookmarkEnd w:id="56"/>
      <w:bookmarkEnd w:id="57"/>
      <w:bookmarkEnd w:id="58"/>
    </w:p>
    <w:p w14:paraId="1C217CDC">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71" w:name="_Toc344475121"/>
      <w:bookmarkStart w:id="72" w:name="_Toc535311834"/>
      <w:bookmarkStart w:id="73" w:name="_Toc32585"/>
      <w:bookmarkStart w:id="74" w:name="_Toc11557"/>
      <w:bookmarkStart w:id="75" w:name="_Toc27682"/>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服务期：2025年7月至2026年6月30日前完成，并通过采购人验收。</w:t>
      </w:r>
    </w:p>
    <w:p w14:paraId="7B00E922">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（二）服务地点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采购人指定地点</w:t>
      </w:r>
      <w:r>
        <w:rPr>
          <w:rFonts w:hint="eastAsia" w:ascii="宋体" w:hAnsi="宋体" w:eastAsia="宋体" w:cs="宋体"/>
          <w:color w:val="auto"/>
          <w:sz w:val="24"/>
          <w:szCs w:val="24"/>
          <w:highlight w:val="none"/>
          <w:lang w:eastAsia="zh-CN"/>
        </w:rPr>
        <w:t>。</w:t>
      </w:r>
    </w:p>
    <w:p w14:paraId="655509AE">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（三）验收方式：</w:t>
      </w:r>
    </w:p>
    <w:p w14:paraId="51387F85">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1.验收要求 </w:t>
      </w:r>
    </w:p>
    <w:p w14:paraId="73BC324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供应商挂接完毕的档案实体、目录信息、著录信息与图像质量进行验收。验收以全检或抽检方式进行，抽检比率不低于10%；如果验收合格率低于95%，采购人有权终止合同，采购人根据实际加工合格的卷数付清相应款项，且供应商需向采购人赔偿合同总金额的5%作补偿。</w:t>
      </w:r>
    </w:p>
    <w:p w14:paraId="719DEF59">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2.质量监督</w:t>
      </w:r>
    </w:p>
    <w:p w14:paraId="58D41FF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2.1漏扫、错扫、扫描质量明显粗糙模糊与原图差别大，按照每页10元予以处罚并由供应商改正。</w:t>
      </w:r>
    </w:p>
    <w:p w14:paraId="4DB0D70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2.2著录、编目错误的，每错一处罚10元，供应商须予以改正。</w:t>
      </w:r>
    </w:p>
    <w:p w14:paraId="571B432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3.违约责任</w:t>
      </w:r>
    </w:p>
    <w:p w14:paraId="46C4A7D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档案遗失、污损、泄密、错漏赔偿要求：</w:t>
      </w:r>
    </w:p>
    <w:p w14:paraId="0F030C43">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3.1供应商造成档案遗失的，按3万元/卷赔偿；</w:t>
      </w:r>
    </w:p>
    <w:p w14:paraId="47A8B3A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3.2供应商不遵守工作规则导致档案污损的，先进行修复，并按500元/页赔偿；无法修复的，按1万元/卷赔偿，每卷赔偿金额最多不超过3万元；</w:t>
      </w:r>
    </w:p>
    <w:p w14:paraId="02EB7CC4">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3.3供应商如因工作失误造成档案泄密，按2万元/宗进行赔偿；</w:t>
      </w:r>
    </w:p>
    <w:p w14:paraId="13E717CE">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3.4供应商未完成工作量按每宗成交价乘以未完成宗数进行赔偿；</w:t>
      </w:r>
    </w:p>
    <w:p w14:paraId="596959F2">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3.5供应商终止合同未提前3个月通知采购人，按合同总价的10%进行赔偿；</w:t>
      </w:r>
    </w:p>
    <w:p w14:paraId="3EB6369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3.6供应商在数字化处理、装订等工作中，因工作失误造成错漏，根据不同程度进行赔偿：</w:t>
      </w:r>
    </w:p>
    <w:p w14:paraId="1C77F887">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3.7供应商在数字化处理、装订等工作中触犯法律、法规的，采购人有权追究其法律责任。</w:t>
      </w:r>
    </w:p>
    <w:p w14:paraId="06DEF419">
      <w:pPr>
        <w:pStyle w:val="3"/>
        <w:pageBreakBefore w:val="0"/>
        <w:widowControl w:val="0"/>
        <w:kinsoku/>
        <w:wordWrap/>
        <w:overflowPunct/>
        <w:topLinePunct w:val="0"/>
        <w:autoSpaceDE/>
        <w:autoSpaceDN/>
        <w:bidi w:val="0"/>
        <w:spacing w:before="0" w:after="0" w:line="360" w:lineRule="auto"/>
        <w:textAlignment w:val="auto"/>
        <w:rPr>
          <w:rFonts w:ascii="宋体" w:hAnsi="宋体" w:eastAsia="宋体" w:cs="宋体"/>
          <w:color w:val="auto"/>
          <w:sz w:val="24"/>
          <w:szCs w:val="24"/>
          <w:highlight w:val="none"/>
        </w:rPr>
      </w:pPr>
      <w:bookmarkStart w:id="76" w:name="_Toc24078"/>
      <w:bookmarkStart w:id="77" w:name="_Toc26265"/>
      <w:r>
        <w:rPr>
          <w:rFonts w:hint="eastAsia" w:ascii="宋体" w:hAnsi="宋体" w:eastAsia="宋体" w:cs="宋体"/>
          <w:color w:val="auto"/>
          <w:sz w:val="24"/>
          <w:szCs w:val="24"/>
          <w:highlight w:val="none"/>
        </w:rPr>
        <w:t>※二、</w:t>
      </w:r>
      <w:bookmarkEnd w:id="71"/>
      <w:r>
        <w:rPr>
          <w:rFonts w:hint="eastAsia" w:ascii="宋体" w:hAnsi="宋体" w:eastAsia="宋体" w:cs="宋体"/>
          <w:color w:val="auto"/>
          <w:sz w:val="24"/>
          <w:szCs w:val="24"/>
          <w:highlight w:val="none"/>
        </w:rPr>
        <w:t>报价要求</w:t>
      </w:r>
      <w:bookmarkEnd w:id="72"/>
      <w:bookmarkEnd w:id="73"/>
      <w:bookmarkEnd w:id="74"/>
      <w:bookmarkEnd w:id="75"/>
      <w:bookmarkEnd w:id="76"/>
      <w:bookmarkEnd w:id="77"/>
    </w:p>
    <w:p w14:paraId="00E153E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cs="宋体"/>
          <w:color w:val="auto"/>
          <w:sz w:val="24"/>
          <w:szCs w:val="24"/>
          <w:highlight w:val="none"/>
        </w:rPr>
      </w:pPr>
      <w:bookmarkStart w:id="78" w:name="_Toc47018352"/>
      <w:bookmarkStart w:id="79" w:name="_Toc5250"/>
      <w:bookmarkStart w:id="80" w:name="_Toc28226"/>
      <w:r>
        <w:rPr>
          <w:rFonts w:hint="eastAsia" w:ascii="宋体" w:hAnsi="宋体" w:cs="宋体"/>
          <w:color w:val="auto"/>
          <w:sz w:val="24"/>
          <w:szCs w:val="24"/>
          <w:highlight w:val="none"/>
        </w:rPr>
        <w:t>（一）</w:t>
      </w:r>
      <w:r>
        <w:rPr>
          <w:rFonts w:hint="eastAsia" w:ascii="宋体" w:hAnsi="宋体" w:eastAsia="宋体" w:cs="宋体"/>
          <w:color w:val="auto"/>
          <w:sz w:val="24"/>
          <w:szCs w:val="24"/>
          <w:highlight w:val="none"/>
        </w:rPr>
        <w:t>本项目报价须为人民币报价</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rPr>
        <w:t>供应商的报价应为完成本次项目全部工作所发生的所有费用，并承担一切风险责任。供应商应结合项目特点，市场行情及自身的专业技术，管理水平，竞争能力，确定最终单卷报价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因成交供应商自身原因造成漏报、少报皆由其自行承担责任，采购人不再补偿。</w:t>
      </w:r>
    </w:p>
    <w:p w14:paraId="65ABBC21">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rPr>
        <w:t>）单卷（或页）报价不得超过最高限价单价，否则为无效响应。</w:t>
      </w:r>
    </w:p>
    <w:bookmarkEnd w:id="78"/>
    <w:bookmarkEnd w:id="79"/>
    <w:bookmarkEnd w:id="80"/>
    <w:p w14:paraId="170A6713">
      <w:pPr>
        <w:pStyle w:val="3"/>
        <w:pageBreakBefore w:val="0"/>
        <w:widowControl w:val="0"/>
        <w:kinsoku/>
        <w:wordWrap/>
        <w:overflowPunct/>
        <w:topLinePunct w:val="0"/>
        <w:autoSpaceDE/>
        <w:autoSpaceDN/>
        <w:bidi w:val="0"/>
        <w:adjustRightInd/>
        <w:spacing w:before="0" w:after="0" w:line="360" w:lineRule="auto"/>
        <w:textAlignment w:val="auto"/>
        <w:rPr>
          <w:rFonts w:hint="eastAsia" w:ascii="宋体" w:hAnsi="宋体" w:eastAsia="宋体" w:cs="宋体"/>
          <w:color w:val="auto"/>
          <w:sz w:val="24"/>
          <w:szCs w:val="24"/>
          <w:highlight w:val="none"/>
        </w:rPr>
      </w:pPr>
      <w:bookmarkStart w:id="81" w:name="_Toc10028"/>
      <w:r>
        <w:rPr>
          <w:rFonts w:hint="eastAsia" w:ascii="宋体" w:hAnsi="宋体" w:eastAsia="宋体" w:cs="宋体"/>
          <w:color w:val="auto"/>
          <w:sz w:val="24"/>
          <w:szCs w:val="24"/>
          <w:highlight w:val="none"/>
        </w:rPr>
        <w:t>※三、</w:t>
      </w:r>
      <w:bookmarkEnd w:id="59"/>
      <w:bookmarkEnd w:id="60"/>
      <w:bookmarkEnd w:id="61"/>
      <w:bookmarkEnd w:id="62"/>
      <w:bookmarkEnd w:id="63"/>
      <w:bookmarkEnd w:id="64"/>
      <w:bookmarkEnd w:id="65"/>
      <w:bookmarkStart w:id="82" w:name="_Toc11964"/>
      <w:bookmarkStart w:id="83" w:name="_Toc3901"/>
      <w:bookmarkStart w:id="84" w:name="_Toc11778"/>
      <w:r>
        <w:rPr>
          <w:rFonts w:hint="eastAsia" w:ascii="宋体" w:hAnsi="宋体" w:eastAsia="宋体" w:cs="宋体"/>
          <w:b/>
          <w:color w:val="auto"/>
          <w:sz w:val="24"/>
          <w:szCs w:val="24"/>
          <w:highlight w:val="none"/>
        </w:rPr>
        <w:t>质量保证及售后服务</w:t>
      </w:r>
      <w:bookmarkEnd w:id="81"/>
    </w:p>
    <w:p w14:paraId="3869D98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bookmarkStart w:id="85" w:name="_Toc26274"/>
      <w:r>
        <w:rPr>
          <w:rFonts w:hint="eastAsia" w:ascii="宋体" w:hAnsi="宋体" w:eastAsia="宋体" w:cs="宋体"/>
          <w:color w:val="auto"/>
          <w:kern w:val="0"/>
          <w:sz w:val="24"/>
          <w:szCs w:val="24"/>
          <w:highlight w:val="none"/>
          <w:lang w:val="en-US" w:eastAsia="zh-CN"/>
        </w:rPr>
        <w:t>（一）应遵守的标准规范</w:t>
      </w:r>
    </w:p>
    <w:p w14:paraId="0402C2C5">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1.《中华人民共和国档案法》</w:t>
      </w:r>
    </w:p>
    <w:p w14:paraId="539AC9C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2.《中华人民共和国保守国家秘密法》</w:t>
      </w:r>
    </w:p>
    <w:p w14:paraId="13A9867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3.《干部人事档案工作条例》</w:t>
      </w:r>
    </w:p>
    <w:p w14:paraId="3786F14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4.《干部档案整理工作细则》</w:t>
      </w:r>
    </w:p>
    <w:p w14:paraId="39BDCC22">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5.《干部人事档案材料收集归档案规定》</w:t>
      </w:r>
    </w:p>
    <w:p w14:paraId="1AFF0C9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6.《关于做好文件改版涉及干部人事档案有关工作的通知》</w:t>
      </w:r>
    </w:p>
    <w:p w14:paraId="6406A71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7.《流动人员人事档案管理服务规定》</w:t>
      </w:r>
    </w:p>
    <w:p w14:paraId="1BF35871">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8.《企业职工档案管理工作规定》</w:t>
      </w:r>
    </w:p>
    <w:p w14:paraId="627B0C8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9.《中华人民共和国保守国家秘密法实施办法》</w:t>
      </w:r>
    </w:p>
    <w:p w14:paraId="12AA20CA">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10.《关于严禁用涉密计算机上国际互联网的通知》</w:t>
      </w:r>
    </w:p>
    <w:p w14:paraId="77323CE6">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11.《计算机病毒防治管理办法》</w:t>
      </w:r>
    </w:p>
    <w:p w14:paraId="20A2DEC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12.《计算机信息系统保密管理暂行规定》</w:t>
      </w:r>
    </w:p>
    <w:p w14:paraId="6F02383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13.GB/T 22239-2008 信息系统安全等级保护基本要求</w:t>
      </w:r>
    </w:p>
    <w:p w14:paraId="73EC94D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14.DB11/T 494.1～11-2007 人才服务规范</w:t>
      </w:r>
    </w:p>
    <w:p w14:paraId="6515EB7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15.DB11/T 765.1～4-2010 档案数字化规范</w:t>
      </w:r>
    </w:p>
    <w:p w14:paraId="709B3DA7">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16.DA/T1-2000 中华人民共和国档案行业标准档案工作基本术语</w:t>
      </w:r>
    </w:p>
    <w:p w14:paraId="3C685AC9">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17.DA/T31-2017 纸质档案数字化规范</w:t>
      </w:r>
    </w:p>
    <w:p w14:paraId="5A54022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18.(DA/T 18—2022)档案著录规则</w:t>
      </w:r>
    </w:p>
    <w:p w14:paraId="6FFA66C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19.DA/T22-2015 归档文件整理规则</w:t>
      </w:r>
    </w:p>
    <w:p w14:paraId="3A029CAC">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20.GB/T 2260-2002 中华人民共和国行政区代码</w:t>
      </w:r>
    </w:p>
    <w:p w14:paraId="57DA727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21.GB/T4754-2002 国民经济行业分类</w:t>
      </w:r>
    </w:p>
    <w:p w14:paraId="0464589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22.GB 1174-1997 全国组织机构代码编制规则</w:t>
      </w:r>
    </w:p>
    <w:p w14:paraId="0CE6C15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23.GB/T 112402 经济类型分类与代码</w:t>
      </w:r>
    </w:p>
    <w:p w14:paraId="7C21DFE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24.GB 11643-1999 公民身份证号码</w:t>
      </w:r>
    </w:p>
    <w:p w14:paraId="3C31ADA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25.GB/T4658 学历代码</w:t>
      </w:r>
    </w:p>
    <w:p w14:paraId="1D8B30F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26.GB/T8561 专业技术职称代码</w:t>
      </w:r>
    </w:p>
    <w:p w14:paraId="3C0D91B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27.GB/T 19253-2003 信息技术 数据元值的格式表示法</w:t>
      </w:r>
    </w:p>
    <w:p w14:paraId="0741DE2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28.GB/T 17235.1-1998 信息技术连续色调静态图像的数字压缩及编码第1部分:要求和指南</w:t>
      </w:r>
    </w:p>
    <w:p w14:paraId="2B495E6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29.GB/T 17235.2-1998信息技术连续色调静态图像的数字压缩及编码第2部分:一致性测试</w:t>
      </w:r>
    </w:p>
    <w:p w14:paraId="40936E6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30.《重庆市流动人员人事档案基础数据管理规范》</w:t>
      </w:r>
    </w:p>
    <w:p w14:paraId="7839730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31.《重庆市流动人员人事档案数字化技术规范》</w:t>
      </w:r>
    </w:p>
    <w:p w14:paraId="0CF1731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32.《重庆市流动人员人事档案数字化安全规范》</w:t>
      </w:r>
    </w:p>
    <w:p w14:paraId="605E9115">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33.《重庆市流动人员人事档案管理服务规范》</w:t>
      </w:r>
    </w:p>
    <w:p w14:paraId="13B0F453">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34.《重庆市流动人员人事档案库房管理规范》 </w:t>
      </w:r>
    </w:p>
    <w:p w14:paraId="7D83947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（二）售后服务要求 </w:t>
      </w:r>
    </w:p>
    <w:p w14:paraId="67746D0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1.售后服务期限：项目验收交付后提供三年7×24免费的质量保证及售后服务，服务期满后，有义务向采购人提供有偿的后续技术支持。供应商承诺优于本要求的，以优惠者为准。</w:t>
      </w:r>
    </w:p>
    <w:p w14:paraId="47D1565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2.售后服务方式及响应时间：采用现场维护方式，供应商24小时热线响应，在接到采购人电话要求后24小时之内到达维护地点，以保证数据的安全运行。</w:t>
      </w:r>
    </w:p>
    <w:p w14:paraId="11018DD3">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3.售后服务问题解决时间：一般问题在4小时内解决，严重问题要求及时提出用户方可接受的解决方案和服务承诺。</w:t>
      </w:r>
    </w:p>
    <w:p w14:paraId="479988D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4.服务期内为故障提供免费服务。</w:t>
      </w:r>
    </w:p>
    <w:p w14:paraId="2A153AC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5.成交后，供应商必须将公司的服务热线明确告知采购人</w:t>
      </w:r>
      <w:r>
        <w:rPr>
          <w:rFonts w:hint="eastAsia" w:ascii="宋体" w:hAnsi="宋体" w:eastAsia="宋体" w:cs="宋体"/>
          <w:color w:val="auto"/>
          <w:kern w:val="0"/>
          <w:sz w:val="24"/>
          <w:szCs w:val="24"/>
          <w:highlight w:val="none"/>
          <w:lang w:eastAsia="zh-CN"/>
        </w:rPr>
        <w:t>。</w:t>
      </w:r>
    </w:p>
    <w:p w14:paraId="0290F95D">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eastAsia="zh-CN"/>
        </w:rPr>
      </w:pPr>
      <w:bookmarkStart w:id="86" w:name="_Toc6014"/>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w:t>
      </w:r>
      <w:bookmarkEnd w:id="85"/>
      <w:r>
        <w:rPr>
          <w:rFonts w:hint="eastAsia" w:ascii="宋体" w:hAnsi="宋体" w:eastAsia="宋体" w:cs="宋体"/>
          <w:color w:val="auto"/>
          <w:sz w:val="24"/>
          <w:szCs w:val="24"/>
          <w:highlight w:val="none"/>
          <w:lang w:val="en-US" w:eastAsia="zh-CN"/>
        </w:rPr>
        <w:t>付款方式</w:t>
      </w:r>
      <w:bookmarkEnd w:id="86"/>
    </w:p>
    <w:p w14:paraId="725C1DE3">
      <w:pPr>
        <w:pageBreakBefore w:val="0"/>
        <w:widowControl w:val="0"/>
        <w:kinsoku/>
        <w:wordWrap/>
        <w:overflowPunct/>
        <w:topLinePunct w:val="0"/>
        <w:autoSpaceDE/>
        <w:autoSpaceDN/>
        <w:bidi w:val="0"/>
        <w:adjustRightInd/>
        <w:snapToGrid w:val="0"/>
        <w:spacing w:line="360" w:lineRule="auto"/>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服务完成后，采购人按实际完成数量据实结算</w:t>
      </w:r>
      <w:r>
        <w:rPr>
          <w:rFonts w:hint="eastAsia" w:ascii="宋体" w:hAnsi="宋体" w:eastAsia="宋体" w:cs="宋体"/>
          <w:color w:val="auto"/>
          <w:sz w:val="24"/>
          <w:szCs w:val="24"/>
          <w:highlight w:val="none"/>
          <w:lang w:eastAsia="zh-CN"/>
        </w:rPr>
        <w:t>。</w:t>
      </w:r>
    </w:p>
    <w:p w14:paraId="2B90251F">
      <w:pPr>
        <w:pStyle w:val="3"/>
        <w:pageBreakBefore w:val="0"/>
        <w:widowControl w:val="0"/>
        <w:kinsoku/>
        <w:wordWrap/>
        <w:overflowPunct/>
        <w:topLinePunct w:val="0"/>
        <w:autoSpaceDE/>
        <w:autoSpaceDN/>
        <w:bidi w:val="0"/>
        <w:adjustRightInd/>
        <w:spacing w:before="0" w:after="0" w:line="360" w:lineRule="auto"/>
        <w:textAlignment w:val="auto"/>
        <w:outlineLvl w:val="1"/>
        <w:rPr>
          <w:rFonts w:hint="eastAsia" w:ascii="宋体" w:hAnsi="宋体" w:eastAsia="宋体" w:cs="宋体"/>
          <w:color w:val="auto"/>
          <w:sz w:val="24"/>
          <w:szCs w:val="24"/>
          <w:highlight w:val="none"/>
        </w:rPr>
      </w:pPr>
      <w:bookmarkStart w:id="87" w:name="_Toc7957"/>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知识产权</w:t>
      </w:r>
      <w:bookmarkEnd w:id="87"/>
    </w:p>
    <w:p w14:paraId="53E1918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采购人在中华人民共和国境内使用</w:t>
      </w:r>
      <w:r>
        <w:rPr>
          <w:rFonts w:hint="eastAsia" w:ascii="宋体" w:hAnsi="宋体" w:eastAsia="宋体" w:cs="宋体"/>
          <w:color w:val="auto"/>
          <w:spacing w:val="0"/>
          <w:sz w:val="24"/>
          <w:szCs w:val="24"/>
          <w:highlight w:val="none"/>
          <w:lang w:eastAsia="zh-CN"/>
        </w:rPr>
        <w:t>供应商</w:t>
      </w:r>
      <w:r>
        <w:rPr>
          <w:rFonts w:hint="eastAsia" w:ascii="宋体" w:hAnsi="宋体" w:eastAsia="宋体" w:cs="宋体"/>
          <w:color w:val="auto"/>
          <w:spacing w:val="0"/>
          <w:sz w:val="24"/>
          <w:szCs w:val="24"/>
          <w:highlight w:val="none"/>
        </w:rPr>
        <w:t>提供的货物及服务时免受第三方提出的侵犯其专利权或</w:t>
      </w:r>
      <w:r>
        <w:rPr>
          <w:rFonts w:hint="eastAsia" w:ascii="宋体" w:hAnsi="宋体" w:eastAsia="宋体" w:cs="宋体"/>
          <w:color w:val="auto"/>
          <w:spacing w:val="0"/>
          <w:sz w:val="24"/>
          <w:szCs w:val="24"/>
          <w:highlight w:val="none"/>
          <w:lang w:eastAsia="zh-CN"/>
        </w:rPr>
        <w:t>其他</w:t>
      </w:r>
      <w:r>
        <w:rPr>
          <w:rFonts w:hint="eastAsia" w:ascii="宋体" w:hAnsi="宋体" w:eastAsia="宋体" w:cs="宋体"/>
          <w:color w:val="auto"/>
          <w:spacing w:val="0"/>
          <w:sz w:val="24"/>
          <w:szCs w:val="24"/>
          <w:highlight w:val="none"/>
        </w:rPr>
        <w:t>知识产权的起诉。如果第三方提出侵权指控，</w:t>
      </w:r>
      <w:r>
        <w:rPr>
          <w:rFonts w:hint="eastAsia" w:ascii="宋体" w:hAnsi="宋体" w:eastAsia="宋体" w:cs="宋体"/>
          <w:color w:val="auto"/>
          <w:spacing w:val="0"/>
          <w:sz w:val="24"/>
          <w:szCs w:val="24"/>
          <w:highlight w:val="none"/>
          <w:lang w:eastAsia="zh-CN"/>
        </w:rPr>
        <w:t>成交供应商</w:t>
      </w:r>
      <w:r>
        <w:rPr>
          <w:rFonts w:hint="eastAsia" w:ascii="宋体" w:hAnsi="宋体" w:eastAsia="宋体" w:cs="宋体"/>
          <w:color w:val="auto"/>
          <w:spacing w:val="0"/>
          <w:sz w:val="24"/>
          <w:szCs w:val="24"/>
          <w:highlight w:val="none"/>
        </w:rPr>
        <w:t>应承担由此而引起的一切法律责任和费用。</w:t>
      </w:r>
    </w:p>
    <w:p w14:paraId="2C1D4B8C">
      <w:pPr>
        <w:pageBreakBefore w:val="0"/>
        <w:widowControl w:val="0"/>
        <w:kinsoku/>
        <w:wordWrap/>
        <w:overflowPunct/>
        <w:topLinePunct w:val="0"/>
        <w:autoSpaceDE/>
        <w:autoSpaceDN/>
        <w:bidi w:val="0"/>
        <w:adjustRightInd/>
        <w:snapToGrid w:val="0"/>
        <w:spacing w:line="360" w:lineRule="auto"/>
        <w:ind w:firstLine="54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z w:val="24"/>
          <w:szCs w:val="24"/>
          <w:highlight w:val="none"/>
        </w:rPr>
        <w:t>注：（若涉及软件开发等服务类项目知识产权的，知识产权归</w:t>
      </w:r>
      <w:r>
        <w:rPr>
          <w:rFonts w:hint="eastAsia" w:ascii="宋体" w:hAnsi="宋体" w:eastAsia="宋体" w:cs="宋体"/>
          <w:color w:val="auto"/>
          <w:spacing w:val="0"/>
          <w:sz w:val="24"/>
          <w:szCs w:val="24"/>
          <w:highlight w:val="none"/>
        </w:rPr>
        <w:t>采购人</w:t>
      </w:r>
      <w:r>
        <w:rPr>
          <w:rFonts w:hint="eastAsia" w:ascii="宋体" w:hAnsi="宋体" w:eastAsia="宋体" w:cs="宋体"/>
          <w:color w:val="auto"/>
          <w:sz w:val="24"/>
          <w:szCs w:val="24"/>
          <w:highlight w:val="none"/>
        </w:rPr>
        <w:t>所有）。</w:t>
      </w:r>
    </w:p>
    <w:p w14:paraId="37BA8151">
      <w:pPr>
        <w:pStyle w:val="3"/>
        <w:pageBreakBefore w:val="0"/>
        <w:widowControl w:val="0"/>
        <w:kinsoku/>
        <w:wordWrap/>
        <w:overflowPunct/>
        <w:topLinePunct w:val="0"/>
        <w:autoSpaceDE/>
        <w:autoSpaceDN/>
        <w:bidi w:val="0"/>
        <w:adjustRightInd/>
        <w:spacing w:before="0" w:after="0" w:line="360" w:lineRule="auto"/>
        <w:textAlignment w:val="auto"/>
        <w:outlineLvl w:val="1"/>
        <w:rPr>
          <w:rFonts w:hint="eastAsia" w:ascii="宋体" w:hAnsi="宋体" w:eastAsia="宋体" w:cs="宋体"/>
          <w:color w:val="auto"/>
          <w:sz w:val="24"/>
          <w:szCs w:val="24"/>
          <w:highlight w:val="none"/>
        </w:rPr>
      </w:pPr>
      <w:bookmarkStart w:id="88" w:name="_Toc29340"/>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highlight w:val="none"/>
          <w:lang w:val="en-US" w:eastAsia="zh-CN"/>
        </w:rPr>
        <w:t>六、</w:t>
      </w:r>
      <w:r>
        <w:rPr>
          <w:rFonts w:hint="eastAsia" w:ascii="宋体" w:hAnsi="宋体" w:eastAsia="宋体" w:cs="宋体"/>
          <w:color w:val="auto"/>
          <w:sz w:val="24"/>
          <w:szCs w:val="24"/>
          <w:highlight w:val="none"/>
          <w:lang w:val="en-US" w:eastAsia="zh-CN"/>
        </w:rPr>
        <w:t>其他</w:t>
      </w:r>
      <w:bookmarkEnd w:id="88"/>
    </w:p>
    <w:p w14:paraId="7742B1E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（一）供应商必须在响应文件中对以上条款和服务承诺明确列出，承诺内容必须达到本篇及</w:t>
      </w:r>
      <w:r>
        <w:rPr>
          <w:rFonts w:hint="eastAsia" w:ascii="宋体" w:hAnsi="宋体" w:cs="宋体"/>
          <w:color w:val="auto"/>
          <w:sz w:val="24"/>
          <w:szCs w:val="24"/>
          <w:highlight w:val="none"/>
          <w:lang w:val="en-US" w:eastAsia="zh-CN"/>
        </w:rPr>
        <w:t>竞争性磋商</w:t>
      </w:r>
      <w:r>
        <w:rPr>
          <w:rFonts w:hint="eastAsia" w:ascii="宋体" w:hAnsi="宋体" w:cs="宋体"/>
          <w:color w:val="auto"/>
          <w:sz w:val="24"/>
          <w:szCs w:val="24"/>
          <w:highlight w:val="none"/>
        </w:rPr>
        <w:t>文件其他条款的要求。</w:t>
      </w:r>
    </w:p>
    <w:p w14:paraId="7B287F54">
      <w:pPr>
        <w:pageBreakBefore w:val="0"/>
        <w:widowControl w:val="0"/>
        <w:kinsoku/>
        <w:wordWrap/>
        <w:overflowPunct/>
        <w:topLinePunct w:val="0"/>
        <w:autoSpaceDE/>
        <w:autoSpaceDN/>
        <w:bidi w:val="0"/>
        <w:adjustRightInd/>
        <w:snapToGrid w:val="0"/>
        <w:spacing w:line="360" w:lineRule="auto"/>
        <w:ind w:firstLine="540"/>
        <w:textAlignment w:val="auto"/>
        <w:rPr>
          <w:rFonts w:hint="eastAsia" w:hAnsi="宋体" w:cs="宋体"/>
          <w:b/>
          <w:color w:val="auto"/>
          <w:sz w:val="36"/>
          <w:szCs w:val="36"/>
          <w:highlight w:val="none"/>
        </w:rPr>
      </w:pPr>
      <w:r>
        <w:rPr>
          <w:rFonts w:hint="eastAsia" w:ascii="宋体" w:hAnsi="宋体" w:cs="宋体"/>
          <w:color w:val="auto"/>
          <w:sz w:val="24"/>
          <w:szCs w:val="24"/>
          <w:highlight w:val="none"/>
        </w:rPr>
        <w:t>（二）其他未尽事宜由供需双方在采购合同中详细约定。</w:t>
      </w:r>
      <w:bookmarkEnd w:id="66"/>
      <w:bookmarkEnd w:id="67"/>
      <w:bookmarkEnd w:id="68"/>
      <w:bookmarkEnd w:id="69"/>
      <w:bookmarkEnd w:id="70"/>
      <w:bookmarkEnd w:id="82"/>
      <w:bookmarkEnd w:id="83"/>
      <w:bookmarkEnd w:id="84"/>
      <w:r>
        <w:rPr>
          <w:rFonts w:hint="eastAsia" w:hAnsi="宋体" w:cs="宋体"/>
          <w:b/>
          <w:color w:val="auto"/>
          <w:sz w:val="36"/>
          <w:szCs w:val="36"/>
          <w:highlight w:val="none"/>
        </w:rPr>
        <w:br w:type="page"/>
      </w:r>
    </w:p>
    <w:p w14:paraId="51262FEF">
      <w:pPr>
        <w:pStyle w:val="2"/>
        <w:spacing w:line="360" w:lineRule="auto"/>
        <w:rPr>
          <w:rFonts w:hAnsi="宋体" w:cs="宋体"/>
          <w:b/>
          <w:color w:val="auto"/>
          <w:sz w:val="36"/>
          <w:szCs w:val="36"/>
          <w:highlight w:val="none"/>
        </w:rPr>
      </w:pPr>
      <w:bookmarkStart w:id="89" w:name="_Toc7508"/>
      <w:r>
        <w:rPr>
          <w:rFonts w:hint="eastAsia" w:hAnsi="宋体" w:cs="宋体"/>
          <w:b/>
          <w:color w:val="auto"/>
          <w:sz w:val="36"/>
          <w:szCs w:val="36"/>
          <w:highlight w:val="none"/>
        </w:rPr>
        <w:t>第四篇  磋商程序及方法、评审标准、无效响应和采购终止</w:t>
      </w:r>
      <w:bookmarkEnd w:id="89"/>
    </w:p>
    <w:p w14:paraId="3D847BBE">
      <w:pPr>
        <w:pStyle w:val="3"/>
        <w:spacing w:before="0" w:after="0" w:line="440" w:lineRule="exact"/>
        <w:rPr>
          <w:rFonts w:ascii="宋体" w:hAnsi="宋体" w:eastAsia="宋体" w:cs="宋体"/>
          <w:color w:val="auto"/>
          <w:sz w:val="24"/>
          <w:szCs w:val="24"/>
          <w:highlight w:val="none"/>
        </w:rPr>
      </w:pPr>
      <w:bookmarkStart w:id="90" w:name="_Toc13160"/>
      <w:bookmarkStart w:id="91" w:name="_Toc16562"/>
      <w:bookmarkStart w:id="92" w:name="_Toc24398"/>
      <w:bookmarkStart w:id="93" w:name="_Toc102227320"/>
      <w:bookmarkStart w:id="94" w:name="_Toc342913394"/>
      <w:r>
        <w:rPr>
          <w:rFonts w:hint="eastAsia" w:ascii="宋体" w:hAnsi="宋体" w:eastAsia="宋体" w:cs="宋体"/>
          <w:color w:val="auto"/>
          <w:sz w:val="24"/>
          <w:szCs w:val="24"/>
          <w:highlight w:val="none"/>
        </w:rPr>
        <w:t>一、磋商程序及方法</w:t>
      </w:r>
      <w:bookmarkEnd w:id="90"/>
      <w:bookmarkEnd w:id="91"/>
    </w:p>
    <w:p w14:paraId="48CAC74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14:paraId="151A0FE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（二）磋商小组对各供应商的资格条件、响应文件的有效性、完整性和响应程度进行审查。各供应商只有在完全符合要求的前提下，才能参与正式磋商。</w:t>
      </w:r>
    </w:p>
    <w:p w14:paraId="455749B9">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rPr>
        <w:t>资格性审查。依据法律法规和竞争性磋商文件的规定，对响应文件中的资格证明、磋商保证金等进行审查，以确定供应商是否具备磋商资格。资格性审查资料表如下：</w:t>
      </w:r>
    </w:p>
    <w:tbl>
      <w:tblPr>
        <w:tblStyle w:val="57"/>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57"/>
        <w:gridCol w:w="4796"/>
        <w:gridCol w:w="3885"/>
      </w:tblGrid>
      <w:tr w14:paraId="0FA6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40" w:type="dxa"/>
            <w:vAlign w:val="center"/>
          </w:tcPr>
          <w:p w14:paraId="3BBF427E">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5453" w:type="dxa"/>
            <w:gridSpan w:val="2"/>
            <w:vAlign w:val="center"/>
          </w:tcPr>
          <w:p w14:paraId="0FD4F553">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3885" w:type="dxa"/>
            <w:vAlign w:val="center"/>
          </w:tcPr>
          <w:p w14:paraId="5CCF77B9">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12F0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940" w:type="dxa"/>
            <w:vMerge w:val="restart"/>
            <w:vAlign w:val="center"/>
          </w:tcPr>
          <w:p w14:paraId="47F44600">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657" w:type="dxa"/>
            <w:vMerge w:val="restart"/>
            <w:vAlign w:val="center"/>
          </w:tcPr>
          <w:p w14:paraId="566F8DC4">
            <w:pPr>
              <w:spacing w:line="240" w:lineRule="auto"/>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4796" w:type="dxa"/>
            <w:vAlign w:val="center"/>
          </w:tcPr>
          <w:p w14:paraId="00E67C2E">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3885" w:type="dxa"/>
            <w:vAlign w:val="center"/>
          </w:tcPr>
          <w:p w14:paraId="554417CD">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357041B5">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585F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940" w:type="dxa"/>
            <w:vMerge w:val="continue"/>
            <w:vAlign w:val="center"/>
          </w:tcPr>
          <w:p w14:paraId="1B82217B">
            <w:pPr>
              <w:spacing w:line="240" w:lineRule="exact"/>
              <w:jc w:val="center"/>
              <w:rPr>
                <w:rFonts w:ascii="宋体" w:hAnsi="宋体" w:cs="宋体"/>
                <w:color w:val="auto"/>
                <w:sz w:val="24"/>
                <w:szCs w:val="24"/>
                <w:highlight w:val="none"/>
              </w:rPr>
            </w:pPr>
          </w:p>
        </w:tc>
        <w:tc>
          <w:tcPr>
            <w:tcW w:w="657" w:type="dxa"/>
            <w:vMerge w:val="continue"/>
            <w:vAlign w:val="center"/>
          </w:tcPr>
          <w:p w14:paraId="64187CDC">
            <w:pPr>
              <w:spacing w:line="240" w:lineRule="auto"/>
              <w:rPr>
                <w:rFonts w:ascii="宋体" w:hAnsi="宋体" w:cs="宋体"/>
                <w:color w:val="auto"/>
                <w:sz w:val="24"/>
                <w:szCs w:val="24"/>
                <w:highlight w:val="none"/>
              </w:rPr>
            </w:pPr>
          </w:p>
        </w:tc>
        <w:tc>
          <w:tcPr>
            <w:tcW w:w="4796" w:type="dxa"/>
            <w:vAlign w:val="center"/>
          </w:tcPr>
          <w:p w14:paraId="55100067">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3885" w:type="dxa"/>
            <w:vMerge w:val="restart"/>
            <w:vAlign w:val="center"/>
          </w:tcPr>
          <w:p w14:paraId="2757D34C">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供应商提供基本资格条件承诺函（见第七篇格式文件）</w:t>
            </w:r>
          </w:p>
        </w:tc>
      </w:tr>
      <w:tr w14:paraId="4AE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40" w:type="dxa"/>
            <w:vMerge w:val="continue"/>
            <w:vAlign w:val="center"/>
          </w:tcPr>
          <w:p w14:paraId="2F961901">
            <w:pPr>
              <w:spacing w:line="240" w:lineRule="exact"/>
              <w:jc w:val="center"/>
              <w:rPr>
                <w:rFonts w:ascii="宋体" w:hAnsi="宋体" w:cs="宋体"/>
                <w:color w:val="auto"/>
                <w:sz w:val="24"/>
                <w:szCs w:val="24"/>
                <w:highlight w:val="none"/>
              </w:rPr>
            </w:pPr>
          </w:p>
        </w:tc>
        <w:tc>
          <w:tcPr>
            <w:tcW w:w="657" w:type="dxa"/>
            <w:vMerge w:val="continue"/>
            <w:vAlign w:val="center"/>
          </w:tcPr>
          <w:p w14:paraId="7F95441B">
            <w:pPr>
              <w:spacing w:line="240" w:lineRule="auto"/>
              <w:rPr>
                <w:rFonts w:ascii="宋体" w:hAnsi="宋体" w:cs="宋体"/>
                <w:color w:val="auto"/>
                <w:sz w:val="24"/>
                <w:szCs w:val="24"/>
                <w:highlight w:val="none"/>
                <w:lang w:val="zh-CN"/>
              </w:rPr>
            </w:pPr>
          </w:p>
        </w:tc>
        <w:tc>
          <w:tcPr>
            <w:tcW w:w="4796" w:type="dxa"/>
            <w:vAlign w:val="center"/>
          </w:tcPr>
          <w:p w14:paraId="1831F193">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3885" w:type="dxa"/>
            <w:vMerge w:val="continue"/>
            <w:vAlign w:val="center"/>
          </w:tcPr>
          <w:p w14:paraId="33E91997">
            <w:pPr>
              <w:spacing w:line="400" w:lineRule="exact"/>
              <w:rPr>
                <w:rFonts w:ascii="宋体" w:hAnsi="宋体" w:cs="宋体"/>
                <w:color w:val="auto"/>
                <w:sz w:val="24"/>
                <w:szCs w:val="24"/>
                <w:highlight w:val="none"/>
              </w:rPr>
            </w:pPr>
          </w:p>
        </w:tc>
      </w:tr>
      <w:tr w14:paraId="7CBE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40" w:type="dxa"/>
            <w:vMerge w:val="continue"/>
            <w:vAlign w:val="center"/>
          </w:tcPr>
          <w:p w14:paraId="7E1907C5">
            <w:pPr>
              <w:spacing w:line="240" w:lineRule="exact"/>
              <w:jc w:val="center"/>
              <w:rPr>
                <w:rFonts w:ascii="宋体" w:hAnsi="宋体" w:cs="宋体"/>
                <w:color w:val="auto"/>
                <w:sz w:val="24"/>
                <w:szCs w:val="24"/>
                <w:highlight w:val="none"/>
              </w:rPr>
            </w:pPr>
          </w:p>
        </w:tc>
        <w:tc>
          <w:tcPr>
            <w:tcW w:w="657" w:type="dxa"/>
            <w:vMerge w:val="continue"/>
            <w:vAlign w:val="center"/>
          </w:tcPr>
          <w:p w14:paraId="7E3699E8">
            <w:pPr>
              <w:spacing w:line="240" w:lineRule="auto"/>
              <w:rPr>
                <w:rFonts w:ascii="宋体" w:hAnsi="宋体" w:cs="宋体"/>
                <w:color w:val="auto"/>
                <w:sz w:val="24"/>
                <w:szCs w:val="24"/>
                <w:highlight w:val="none"/>
                <w:lang w:val="zh-CN"/>
              </w:rPr>
            </w:pPr>
          </w:p>
        </w:tc>
        <w:tc>
          <w:tcPr>
            <w:tcW w:w="4796" w:type="dxa"/>
            <w:vAlign w:val="center"/>
          </w:tcPr>
          <w:p w14:paraId="79DE9FEE">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3885" w:type="dxa"/>
            <w:vMerge w:val="continue"/>
            <w:vAlign w:val="center"/>
          </w:tcPr>
          <w:p w14:paraId="17F70E2E">
            <w:pPr>
              <w:spacing w:line="400" w:lineRule="exact"/>
              <w:rPr>
                <w:rFonts w:ascii="宋体" w:hAnsi="宋体" w:cs="宋体"/>
                <w:color w:val="auto"/>
                <w:sz w:val="24"/>
                <w:szCs w:val="24"/>
                <w:highlight w:val="none"/>
              </w:rPr>
            </w:pPr>
          </w:p>
        </w:tc>
      </w:tr>
      <w:tr w14:paraId="687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0" w:type="dxa"/>
            <w:vMerge w:val="continue"/>
            <w:vAlign w:val="center"/>
          </w:tcPr>
          <w:p w14:paraId="3FEB3493">
            <w:pPr>
              <w:spacing w:line="240" w:lineRule="exact"/>
              <w:jc w:val="center"/>
              <w:rPr>
                <w:rFonts w:ascii="宋体" w:hAnsi="宋体" w:cs="宋体"/>
                <w:color w:val="auto"/>
                <w:sz w:val="24"/>
                <w:szCs w:val="24"/>
                <w:highlight w:val="none"/>
              </w:rPr>
            </w:pPr>
          </w:p>
        </w:tc>
        <w:tc>
          <w:tcPr>
            <w:tcW w:w="657" w:type="dxa"/>
            <w:vMerge w:val="continue"/>
            <w:vAlign w:val="center"/>
          </w:tcPr>
          <w:p w14:paraId="4B603CE5">
            <w:pPr>
              <w:spacing w:line="240" w:lineRule="auto"/>
              <w:rPr>
                <w:rFonts w:ascii="宋体" w:hAnsi="宋体" w:cs="宋体"/>
                <w:color w:val="auto"/>
                <w:sz w:val="24"/>
                <w:szCs w:val="24"/>
                <w:highlight w:val="none"/>
                <w:lang w:val="zh-CN"/>
              </w:rPr>
            </w:pPr>
          </w:p>
        </w:tc>
        <w:tc>
          <w:tcPr>
            <w:tcW w:w="4796" w:type="dxa"/>
            <w:vAlign w:val="center"/>
          </w:tcPr>
          <w:p w14:paraId="7FA7F3F5">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w:t>
            </w:r>
          </w:p>
        </w:tc>
        <w:tc>
          <w:tcPr>
            <w:tcW w:w="3885" w:type="dxa"/>
            <w:vMerge w:val="continue"/>
            <w:vAlign w:val="center"/>
          </w:tcPr>
          <w:p w14:paraId="089F2A16">
            <w:pPr>
              <w:spacing w:line="400" w:lineRule="exact"/>
              <w:rPr>
                <w:rFonts w:ascii="宋体" w:hAnsi="宋体" w:cs="宋体"/>
                <w:color w:val="auto"/>
                <w:sz w:val="24"/>
                <w:szCs w:val="24"/>
                <w:highlight w:val="none"/>
              </w:rPr>
            </w:pPr>
          </w:p>
        </w:tc>
      </w:tr>
      <w:tr w14:paraId="2698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0" w:type="dxa"/>
            <w:vMerge w:val="continue"/>
            <w:vAlign w:val="center"/>
          </w:tcPr>
          <w:p w14:paraId="3FE53052">
            <w:pPr>
              <w:spacing w:line="240" w:lineRule="exact"/>
              <w:jc w:val="center"/>
              <w:rPr>
                <w:rFonts w:ascii="宋体" w:hAnsi="宋体" w:cs="宋体"/>
                <w:color w:val="auto"/>
                <w:sz w:val="24"/>
                <w:szCs w:val="24"/>
                <w:highlight w:val="none"/>
              </w:rPr>
            </w:pPr>
          </w:p>
        </w:tc>
        <w:tc>
          <w:tcPr>
            <w:tcW w:w="657" w:type="dxa"/>
            <w:vMerge w:val="continue"/>
            <w:vAlign w:val="center"/>
          </w:tcPr>
          <w:p w14:paraId="0EDEFCFD">
            <w:pPr>
              <w:spacing w:line="240" w:lineRule="auto"/>
              <w:rPr>
                <w:rFonts w:ascii="宋体" w:hAnsi="宋体" w:cs="宋体"/>
                <w:color w:val="auto"/>
                <w:sz w:val="24"/>
                <w:szCs w:val="24"/>
                <w:highlight w:val="none"/>
              </w:rPr>
            </w:pPr>
          </w:p>
        </w:tc>
        <w:tc>
          <w:tcPr>
            <w:tcW w:w="4796" w:type="dxa"/>
            <w:vAlign w:val="center"/>
          </w:tcPr>
          <w:p w14:paraId="1FD96A34">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3885" w:type="dxa"/>
            <w:vAlign w:val="center"/>
          </w:tcPr>
          <w:p w14:paraId="60F877E3">
            <w:pPr>
              <w:spacing w:line="400" w:lineRule="exact"/>
              <w:rPr>
                <w:rFonts w:ascii="宋体" w:hAnsi="宋体" w:cs="宋体"/>
                <w:color w:val="auto"/>
                <w:sz w:val="24"/>
                <w:szCs w:val="24"/>
                <w:highlight w:val="none"/>
              </w:rPr>
            </w:pPr>
          </w:p>
        </w:tc>
      </w:tr>
      <w:tr w14:paraId="28EF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40" w:type="dxa"/>
            <w:vMerge w:val="continue"/>
            <w:vAlign w:val="center"/>
          </w:tcPr>
          <w:p w14:paraId="31677139">
            <w:pPr>
              <w:spacing w:line="240" w:lineRule="exact"/>
              <w:jc w:val="center"/>
              <w:rPr>
                <w:rFonts w:ascii="宋体" w:hAnsi="宋体" w:cs="宋体"/>
                <w:color w:val="auto"/>
                <w:sz w:val="24"/>
                <w:szCs w:val="24"/>
                <w:highlight w:val="none"/>
              </w:rPr>
            </w:pPr>
          </w:p>
        </w:tc>
        <w:tc>
          <w:tcPr>
            <w:tcW w:w="657" w:type="dxa"/>
            <w:vMerge w:val="continue"/>
            <w:vAlign w:val="center"/>
          </w:tcPr>
          <w:p w14:paraId="52DFF89D">
            <w:pPr>
              <w:spacing w:line="240" w:lineRule="auto"/>
              <w:rPr>
                <w:rFonts w:ascii="宋体" w:hAnsi="宋体" w:cs="宋体"/>
                <w:color w:val="auto"/>
                <w:sz w:val="24"/>
                <w:szCs w:val="24"/>
                <w:highlight w:val="none"/>
                <w:u w:val="single"/>
              </w:rPr>
            </w:pPr>
          </w:p>
        </w:tc>
        <w:tc>
          <w:tcPr>
            <w:tcW w:w="4796" w:type="dxa"/>
            <w:vAlign w:val="center"/>
          </w:tcPr>
          <w:p w14:paraId="45E52CA8">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（7）本项目的特定资格要求</w:t>
            </w:r>
          </w:p>
        </w:tc>
        <w:tc>
          <w:tcPr>
            <w:tcW w:w="3885" w:type="dxa"/>
            <w:vAlign w:val="center"/>
          </w:tcPr>
          <w:p w14:paraId="3FFE9A8A">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按“第一篇三、供应商资格要求（三）本项目的特定资格要求”的要求提交。(如果有)</w:t>
            </w:r>
          </w:p>
        </w:tc>
      </w:tr>
      <w:tr w14:paraId="2886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40" w:type="dxa"/>
            <w:vAlign w:val="center"/>
          </w:tcPr>
          <w:p w14:paraId="3FB9B53C">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（二）</w:t>
            </w:r>
          </w:p>
        </w:tc>
        <w:tc>
          <w:tcPr>
            <w:tcW w:w="5453" w:type="dxa"/>
            <w:gridSpan w:val="2"/>
            <w:vAlign w:val="center"/>
          </w:tcPr>
          <w:p w14:paraId="67C08E59">
            <w:pPr>
              <w:rPr>
                <w:rFonts w:ascii="宋体" w:hAnsi="宋体" w:cs="宋体"/>
                <w:color w:val="auto"/>
                <w:sz w:val="24"/>
                <w:szCs w:val="24"/>
                <w:highlight w:val="none"/>
              </w:rPr>
            </w:pPr>
            <w:r>
              <w:rPr>
                <w:rFonts w:hint="eastAsia" w:ascii="宋体" w:hAnsi="宋体" w:cs="宋体"/>
                <w:color w:val="auto"/>
                <w:sz w:val="24"/>
                <w:szCs w:val="24"/>
                <w:highlight w:val="none"/>
              </w:rPr>
              <w:t>落实政府采购政策需满足的资格要求</w:t>
            </w:r>
          </w:p>
        </w:tc>
        <w:tc>
          <w:tcPr>
            <w:tcW w:w="3885" w:type="dxa"/>
            <w:vAlign w:val="center"/>
          </w:tcPr>
          <w:p w14:paraId="7543AE61">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按“第一篇三、供应商资格要求（二）落实政府采购政策需满足的资格要求”的要求提交（如果有）。</w:t>
            </w:r>
          </w:p>
        </w:tc>
      </w:tr>
      <w:tr w14:paraId="0FC2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40" w:type="dxa"/>
            <w:vAlign w:val="center"/>
          </w:tcPr>
          <w:p w14:paraId="41FCB253">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（三）</w:t>
            </w:r>
          </w:p>
        </w:tc>
        <w:tc>
          <w:tcPr>
            <w:tcW w:w="5453" w:type="dxa"/>
            <w:gridSpan w:val="2"/>
            <w:vAlign w:val="center"/>
          </w:tcPr>
          <w:p w14:paraId="12CFAD73">
            <w:pPr>
              <w:rPr>
                <w:rFonts w:ascii="宋体" w:hAnsi="宋体" w:cs="宋体"/>
                <w:color w:val="auto"/>
                <w:sz w:val="24"/>
                <w:szCs w:val="24"/>
                <w:highlight w:val="none"/>
              </w:rPr>
            </w:pPr>
            <w:r>
              <w:rPr>
                <w:rFonts w:hint="eastAsia" w:ascii="宋体" w:hAnsi="宋体" w:cs="宋体"/>
                <w:color w:val="auto"/>
                <w:sz w:val="24"/>
                <w:szCs w:val="24"/>
                <w:highlight w:val="none"/>
              </w:rPr>
              <w:t>磋商保证金</w:t>
            </w:r>
          </w:p>
        </w:tc>
        <w:tc>
          <w:tcPr>
            <w:tcW w:w="3885" w:type="dxa"/>
            <w:vAlign w:val="center"/>
          </w:tcPr>
          <w:p w14:paraId="1F896483">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按照竞争性磋商文件的规定提交保证金(如果有)</w:t>
            </w:r>
          </w:p>
        </w:tc>
      </w:tr>
    </w:tbl>
    <w:p w14:paraId="4DADCC85">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196E7C94">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1F9DD41D">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5626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C81C81C">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544" w:type="dxa"/>
            <w:gridSpan w:val="2"/>
            <w:vAlign w:val="center"/>
          </w:tcPr>
          <w:p w14:paraId="22452943">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09" w:type="dxa"/>
            <w:vAlign w:val="center"/>
          </w:tcPr>
          <w:p w14:paraId="097F02A2">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37E5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06A50EE">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560" w:type="dxa"/>
            <w:vMerge w:val="restart"/>
            <w:vAlign w:val="center"/>
          </w:tcPr>
          <w:p w14:paraId="46488D0D">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有效性审查</w:t>
            </w:r>
          </w:p>
        </w:tc>
        <w:tc>
          <w:tcPr>
            <w:tcW w:w="1984" w:type="dxa"/>
            <w:vAlign w:val="center"/>
          </w:tcPr>
          <w:p w14:paraId="6FA3B633">
            <w:pPr>
              <w:rPr>
                <w:rFonts w:ascii="宋体" w:hAnsi="宋体" w:cs="宋体"/>
                <w:color w:val="auto"/>
                <w:kern w:val="0"/>
                <w:sz w:val="24"/>
                <w:szCs w:val="24"/>
                <w:highlight w:val="none"/>
              </w:rPr>
            </w:pPr>
            <w:r>
              <w:rPr>
                <w:rFonts w:hint="eastAsia" w:ascii="宋体" w:hAnsi="宋体" w:cs="宋体"/>
                <w:color w:val="auto"/>
                <w:sz w:val="24"/>
                <w:szCs w:val="24"/>
                <w:highlight w:val="none"/>
              </w:rPr>
              <w:t>响应文件签署或盖章</w:t>
            </w:r>
          </w:p>
        </w:tc>
        <w:tc>
          <w:tcPr>
            <w:tcW w:w="5409" w:type="dxa"/>
            <w:vAlign w:val="center"/>
          </w:tcPr>
          <w:p w14:paraId="1B54334B">
            <w:pPr>
              <w:rPr>
                <w:rFonts w:ascii="宋体" w:hAnsi="宋体" w:cs="宋体"/>
                <w:color w:val="auto"/>
                <w:kern w:val="0"/>
                <w:sz w:val="24"/>
                <w:szCs w:val="24"/>
                <w:highlight w:val="none"/>
              </w:rPr>
            </w:pPr>
            <w:r>
              <w:rPr>
                <w:rFonts w:hint="eastAsia" w:ascii="宋体" w:hAnsi="宋体" w:cs="宋体"/>
                <w:color w:val="auto"/>
                <w:sz w:val="24"/>
                <w:szCs w:val="24"/>
                <w:highlight w:val="none"/>
              </w:rPr>
              <w:t>按竞争性磋商文件“第七篇响应文件编制要求”要求签署或盖章。</w:t>
            </w:r>
          </w:p>
        </w:tc>
      </w:tr>
      <w:tr w14:paraId="45BF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348D9D04">
            <w:pPr>
              <w:jc w:val="center"/>
              <w:rPr>
                <w:rFonts w:ascii="宋体" w:hAnsi="宋体" w:cs="宋体"/>
                <w:color w:val="auto"/>
                <w:kern w:val="0"/>
                <w:sz w:val="24"/>
                <w:szCs w:val="24"/>
                <w:highlight w:val="none"/>
              </w:rPr>
            </w:pPr>
          </w:p>
        </w:tc>
        <w:tc>
          <w:tcPr>
            <w:tcW w:w="1560" w:type="dxa"/>
            <w:vMerge w:val="continue"/>
            <w:vAlign w:val="center"/>
          </w:tcPr>
          <w:p w14:paraId="554478DC">
            <w:pPr>
              <w:rPr>
                <w:rFonts w:ascii="宋体" w:hAnsi="宋体" w:cs="宋体"/>
                <w:color w:val="auto"/>
                <w:kern w:val="0"/>
                <w:sz w:val="24"/>
                <w:szCs w:val="24"/>
                <w:highlight w:val="none"/>
              </w:rPr>
            </w:pPr>
          </w:p>
        </w:tc>
        <w:tc>
          <w:tcPr>
            <w:tcW w:w="1984" w:type="dxa"/>
            <w:vAlign w:val="center"/>
          </w:tcPr>
          <w:p w14:paraId="589B20CD">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tc>
        <w:tc>
          <w:tcPr>
            <w:tcW w:w="5409" w:type="dxa"/>
            <w:vAlign w:val="center"/>
          </w:tcPr>
          <w:p w14:paraId="4E2E2938">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法定代表人身份证明及授权委托书有效，符合竞争性磋商文件规定的格式，签署或盖章齐全。</w:t>
            </w:r>
          </w:p>
        </w:tc>
      </w:tr>
      <w:tr w14:paraId="2E12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73A789FE">
            <w:pPr>
              <w:jc w:val="center"/>
              <w:rPr>
                <w:rFonts w:ascii="宋体" w:hAnsi="宋体" w:cs="宋体"/>
                <w:color w:val="auto"/>
                <w:kern w:val="0"/>
                <w:sz w:val="24"/>
                <w:szCs w:val="24"/>
                <w:highlight w:val="none"/>
              </w:rPr>
            </w:pPr>
          </w:p>
        </w:tc>
        <w:tc>
          <w:tcPr>
            <w:tcW w:w="1560" w:type="dxa"/>
            <w:vMerge w:val="continue"/>
            <w:vAlign w:val="center"/>
          </w:tcPr>
          <w:p w14:paraId="15527EAF">
            <w:pPr>
              <w:rPr>
                <w:rFonts w:ascii="宋体" w:hAnsi="宋体" w:cs="宋体"/>
                <w:color w:val="auto"/>
                <w:kern w:val="0"/>
                <w:sz w:val="24"/>
                <w:szCs w:val="24"/>
                <w:highlight w:val="none"/>
              </w:rPr>
            </w:pPr>
          </w:p>
        </w:tc>
        <w:tc>
          <w:tcPr>
            <w:tcW w:w="1984" w:type="dxa"/>
            <w:vAlign w:val="center"/>
          </w:tcPr>
          <w:p w14:paraId="79ADA1B0">
            <w:pPr>
              <w:rPr>
                <w:rFonts w:ascii="宋体" w:hAnsi="宋体" w:cs="宋体"/>
                <w:color w:val="auto"/>
                <w:sz w:val="24"/>
                <w:szCs w:val="24"/>
                <w:highlight w:val="none"/>
                <w:lang w:val="zh-CN"/>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c>
          <w:tcPr>
            <w:tcW w:w="5409" w:type="dxa"/>
            <w:vAlign w:val="center"/>
          </w:tcPr>
          <w:p w14:paraId="541BED95">
            <w:pPr>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每个包只能有一个</w:t>
            </w: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r>
      <w:tr w14:paraId="2BF7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6B090215">
            <w:pPr>
              <w:jc w:val="center"/>
              <w:rPr>
                <w:rFonts w:ascii="宋体" w:hAnsi="宋体" w:cs="宋体"/>
                <w:color w:val="auto"/>
                <w:kern w:val="0"/>
                <w:sz w:val="24"/>
                <w:szCs w:val="24"/>
                <w:highlight w:val="none"/>
              </w:rPr>
            </w:pPr>
          </w:p>
        </w:tc>
        <w:tc>
          <w:tcPr>
            <w:tcW w:w="1560" w:type="dxa"/>
            <w:vMerge w:val="continue"/>
            <w:vAlign w:val="center"/>
          </w:tcPr>
          <w:p w14:paraId="600D8CC3">
            <w:pPr>
              <w:rPr>
                <w:rFonts w:ascii="宋体" w:hAnsi="宋体" w:cs="宋体"/>
                <w:color w:val="auto"/>
                <w:kern w:val="0"/>
                <w:sz w:val="24"/>
                <w:szCs w:val="24"/>
                <w:highlight w:val="none"/>
              </w:rPr>
            </w:pPr>
          </w:p>
        </w:tc>
        <w:tc>
          <w:tcPr>
            <w:tcW w:w="1984" w:type="dxa"/>
            <w:vAlign w:val="center"/>
          </w:tcPr>
          <w:p w14:paraId="7D6C15EF">
            <w:pPr>
              <w:rPr>
                <w:rFonts w:ascii="宋体" w:hAnsi="宋体" w:cs="宋体"/>
                <w:color w:val="auto"/>
                <w:sz w:val="24"/>
                <w:szCs w:val="24"/>
                <w:highlight w:val="none"/>
                <w:lang w:val="zh-CN"/>
              </w:rPr>
            </w:pPr>
            <w:r>
              <w:rPr>
                <w:rFonts w:hint="eastAsia" w:ascii="宋体" w:hAnsi="宋体" w:cs="宋体"/>
                <w:color w:val="auto"/>
                <w:sz w:val="24"/>
                <w:szCs w:val="24"/>
                <w:highlight w:val="none"/>
              </w:rPr>
              <w:t>报价唯一</w:t>
            </w:r>
          </w:p>
        </w:tc>
        <w:tc>
          <w:tcPr>
            <w:tcW w:w="5409" w:type="dxa"/>
            <w:vAlign w:val="center"/>
          </w:tcPr>
          <w:p w14:paraId="613AC8DE">
            <w:pPr>
              <w:rPr>
                <w:rFonts w:ascii="宋体" w:hAnsi="宋体" w:cs="宋体"/>
                <w:color w:val="auto"/>
                <w:kern w:val="0"/>
                <w:sz w:val="24"/>
                <w:szCs w:val="24"/>
                <w:highlight w:val="none"/>
              </w:rPr>
            </w:pPr>
            <w:r>
              <w:rPr>
                <w:rFonts w:hint="eastAsia" w:ascii="宋体" w:hAnsi="宋体" w:cs="宋体"/>
                <w:color w:val="auto"/>
                <w:sz w:val="24"/>
                <w:szCs w:val="24"/>
                <w:highlight w:val="none"/>
              </w:rPr>
              <w:t>只能有一个有效报价，不得提交选择性报价。</w:t>
            </w:r>
          </w:p>
        </w:tc>
      </w:tr>
      <w:tr w14:paraId="2B89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187F24B7">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560" w:type="dxa"/>
            <w:vAlign w:val="center"/>
          </w:tcPr>
          <w:p w14:paraId="530F3EA2">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4" w:type="dxa"/>
            <w:vAlign w:val="center"/>
          </w:tcPr>
          <w:p w14:paraId="13917BF9">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文件份数</w:t>
            </w:r>
          </w:p>
        </w:tc>
        <w:tc>
          <w:tcPr>
            <w:tcW w:w="5409" w:type="dxa"/>
            <w:vAlign w:val="center"/>
          </w:tcPr>
          <w:p w14:paraId="77DE2CDF">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文件正、副本数量（含电子文档）符合</w:t>
            </w:r>
            <w:r>
              <w:rPr>
                <w:rFonts w:hint="eastAsia" w:ascii="宋体" w:hAnsi="宋体" w:cs="宋体"/>
                <w:color w:val="auto"/>
                <w:sz w:val="24"/>
                <w:szCs w:val="24"/>
                <w:highlight w:val="none"/>
              </w:rPr>
              <w:t>竞争性磋商</w:t>
            </w:r>
            <w:r>
              <w:rPr>
                <w:rFonts w:hint="eastAsia" w:ascii="宋体" w:hAnsi="宋体" w:cs="宋体"/>
                <w:color w:val="auto"/>
                <w:sz w:val="24"/>
                <w:szCs w:val="24"/>
                <w:highlight w:val="none"/>
                <w:lang w:val="zh-CN"/>
              </w:rPr>
              <w:t>文件要求。</w:t>
            </w:r>
          </w:p>
        </w:tc>
      </w:tr>
      <w:tr w14:paraId="0629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6A5B9C77">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560" w:type="dxa"/>
            <w:vMerge w:val="restart"/>
            <w:vAlign w:val="center"/>
          </w:tcPr>
          <w:p w14:paraId="583B34B2">
            <w:pPr>
              <w:rPr>
                <w:rFonts w:ascii="宋体" w:hAnsi="宋体" w:cs="宋体"/>
                <w:color w:val="auto"/>
                <w:sz w:val="24"/>
                <w:szCs w:val="24"/>
                <w:highlight w:val="none"/>
                <w:lang w:val="zh-CN"/>
              </w:rPr>
            </w:pPr>
            <w:r>
              <w:rPr>
                <w:rFonts w:hint="eastAsia" w:ascii="宋体" w:hAnsi="宋体" w:cs="宋体"/>
                <w:color w:val="auto"/>
                <w:kern w:val="0"/>
                <w:sz w:val="24"/>
                <w:szCs w:val="24"/>
                <w:highlight w:val="none"/>
              </w:rPr>
              <w:t>响应程度审查</w:t>
            </w:r>
          </w:p>
        </w:tc>
        <w:tc>
          <w:tcPr>
            <w:tcW w:w="1984" w:type="dxa"/>
            <w:vAlign w:val="center"/>
          </w:tcPr>
          <w:p w14:paraId="431B0177">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实质性响应</w:t>
            </w:r>
          </w:p>
        </w:tc>
        <w:tc>
          <w:tcPr>
            <w:tcW w:w="5409" w:type="dxa"/>
            <w:vAlign w:val="center"/>
          </w:tcPr>
          <w:p w14:paraId="69FB5549">
            <w:pPr>
              <w:pStyle w:val="32"/>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竞争性磋商文件第二篇、第三篇“</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”标注部分。</w:t>
            </w:r>
          </w:p>
        </w:tc>
      </w:tr>
      <w:tr w14:paraId="3003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4C2DE262">
            <w:pPr>
              <w:jc w:val="center"/>
              <w:rPr>
                <w:rFonts w:ascii="宋体" w:hAnsi="宋体" w:cs="宋体"/>
                <w:color w:val="auto"/>
                <w:kern w:val="0"/>
                <w:sz w:val="24"/>
                <w:szCs w:val="24"/>
                <w:highlight w:val="none"/>
              </w:rPr>
            </w:pPr>
          </w:p>
        </w:tc>
        <w:tc>
          <w:tcPr>
            <w:tcW w:w="1560" w:type="dxa"/>
            <w:vMerge w:val="continue"/>
            <w:vAlign w:val="center"/>
          </w:tcPr>
          <w:p w14:paraId="3D6F43AD">
            <w:pPr>
              <w:rPr>
                <w:rFonts w:ascii="宋体" w:hAnsi="宋体" w:cs="宋体"/>
                <w:color w:val="auto"/>
                <w:sz w:val="24"/>
                <w:szCs w:val="24"/>
                <w:highlight w:val="none"/>
                <w:lang w:val="zh-CN"/>
              </w:rPr>
            </w:pPr>
          </w:p>
        </w:tc>
        <w:tc>
          <w:tcPr>
            <w:tcW w:w="1984" w:type="dxa"/>
            <w:vAlign w:val="center"/>
          </w:tcPr>
          <w:p w14:paraId="7896399E">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磋商有效期</w:t>
            </w:r>
          </w:p>
        </w:tc>
        <w:tc>
          <w:tcPr>
            <w:tcW w:w="5409" w:type="dxa"/>
            <w:vAlign w:val="center"/>
          </w:tcPr>
          <w:p w14:paraId="07F997EE">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响应文件及有关承诺文件有效期为提交响应文件截止时间起90天。</w:t>
            </w:r>
          </w:p>
        </w:tc>
      </w:tr>
    </w:tbl>
    <w:p w14:paraId="3DD3DBE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3A4B032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759163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2F02EB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（五）在磋商过程中磋商的任何一方不得向他人透露与磋商有关的技术资料、价格或其他信息。</w:t>
      </w:r>
    </w:p>
    <w:p w14:paraId="6F0A2C7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70204B2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（七）供应商在磋商时作出的所有书面承诺须由法定代表人（或其授权代表）或自然人（供应商为自然人）签署。</w:t>
      </w:r>
    </w:p>
    <w:p w14:paraId="6C44EB17">
      <w:pPr>
        <w:spacing w:line="400" w:lineRule="exact"/>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宋体" w:hAnsi="宋体" w:cs="宋体"/>
          <w:b/>
          <w:bCs/>
          <w:color w:val="auto"/>
          <w:sz w:val="24"/>
          <w:szCs w:val="24"/>
          <w:highlight w:val="none"/>
        </w:rPr>
        <w:t>已提交响应文件但未在规定时间内进行最后报价的供应商，或最后报价高于初始报价的（在未实质性变动竞争性磋商文件的情况下），或最后报价有歧义的，均视为放弃最后报价，以供应商响应文件中的报价为准。</w:t>
      </w:r>
    </w:p>
    <w:p w14:paraId="1A3C986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（九）磋商小组采用综合评分法对提交最后报价的供应商的响应文件和最后报价（含有效书面承诺）进行综合评分。</w:t>
      </w:r>
      <w:r>
        <w:rPr>
          <w:rFonts w:hint="eastAsia" w:ascii="宋体" w:hAnsi="宋体" w:cs="宋体"/>
          <w:color w:val="auto"/>
          <w:kern w:val="0"/>
          <w:sz w:val="24"/>
          <w:szCs w:val="24"/>
          <w:highlight w:val="none"/>
        </w:rPr>
        <w:t>综合评分法，是指响应文件满足竞争性磋商文件全部实质性要求且按照评审因素的量化指标评审得分最高的供应商为成交候选供应商的评审方法。供应商总得分为磋商报价、服务部分、商务部分等评定因素分别按照相应权重值计算分项得分后相加，满分为100分</w:t>
      </w:r>
      <w:r>
        <w:rPr>
          <w:rFonts w:hint="eastAsia" w:ascii="宋体" w:hAnsi="宋体" w:cs="宋体"/>
          <w:color w:val="auto"/>
          <w:sz w:val="24"/>
          <w:szCs w:val="24"/>
          <w:highlight w:val="none"/>
        </w:rPr>
        <w:t>。</w:t>
      </w:r>
    </w:p>
    <w:p w14:paraId="7CB57B93">
      <w:pPr>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磋商小组各成员独立对每个有效响应（通过资格性审查、符合性审查的供应商）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若供应商的服务部分为0分，将失去成为成交候选人的资格。</w:t>
      </w:r>
    </w:p>
    <w:p w14:paraId="2F37CFDB">
      <w:pPr>
        <w:pStyle w:val="3"/>
        <w:spacing w:before="0" w:after="0" w:line="440" w:lineRule="exact"/>
        <w:rPr>
          <w:rFonts w:hint="eastAsia" w:ascii="宋体" w:hAnsi="宋体" w:eastAsia="宋体" w:cs="宋体"/>
          <w:color w:val="auto"/>
          <w:sz w:val="24"/>
          <w:szCs w:val="24"/>
          <w:highlight w:val="none"/>
        </w:rPr>
      </w:pPr>
      <w:bookmarkStart w:id="95" w:name="_Toc29111"/>
      <w:r>
        <w:rPr>
          <w:rFonts w:hint="eastAsia" w:ascii="宋体" w:hAnsi="宋体" w:eastAsia="宋体" w:cs="宋体"/>
          <w:color w:val="auto"/>
          <w:sz w:val="24"/>
          <w:szCs w:val="24"/>
          <w:highlight w:val="none"/>
        </w:rPr>
        <w:t>二、评审标准</w:t>
      </w:r>
      <w:bookmarkEnd w:id="95"/>
    </w:p>
    <w:bookmarkEnd w:id="92"/>
    <w:tbl>
      <w:tblPr>
        <w:tblStyle w:val="57"/>
        <w:tblW w:w="9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7"/>
        <w:gridCol w:w="947"/>
        <w:gridCol w:w="5594"/>
        <w:gridCol w:w="1683"/>
      </w:tblGrid>
      <w:tr w14:paraId="0516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55" w:type="dxa"/>
            <w:vAlign w:val="center"/>
          </w:tcPr>
          <w:p w14:paraId="1B4DC1A7">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907" w:type="dxa"/>
            <w:vAlign w:val="center"/>
          </w:tcPr>
          <w:p w14:paraId="64D78255">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评分因素及权值</w:t>
            </w:r>
          </w:p>
        </w:tc>
        <w:tc>
          <w:tcPr>
            <w:tcW w:w="947" w:type="dxa"/>
            <w:vAlign w:val="center"/>
          </w:tcPr>
          <w:p w14:paraId="468CFEB0">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594" w:type="dxa"/>
            <w:vAlign w:val="center"/>
          </w:tcPr>
          <w:p w14:paraId="6F578C78">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1683" w:type="dxa"/>
            <w:vAlign w:val="center"/>
          </w:tcPr>
          <w:p w14:paraId="013F0D41">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r>
      <w:tr w14:paraId="7198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55" w:type="dxa"/>
            <w:vAlign w:val="center"/>
          </w:tcPr>
          <w:p w14:paraId="59CD59B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07" w:type="dxa"/>
            <w:vAlign w:val="center"/>
          </w:tcPr>
          <w:p w14:paraId="2F3376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w:t>
            </w:r>
          </w:p>
          <w:p w14:paraId="3369C40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14:paraId="049934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947" w:type="dxa"/>
            <w:vAlign w:val="center"/>
          </w:tcPr>
          <w:p w14:paraId="033AEA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分</w:t>
            </w:r>
          </w:p>
        </w:tc>
        <w:tc>
          <w:tcPr>
            <w:tcW w:w="5594" w:type="dxa"/>
            <w:vAlign w:val="center"/>
          </w:tcPr>
          <w:p w14:paraId="6ECCAE6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满足资格性、符合性要求且最后报价最低的供应商的价格为磋商基准价，按照下列公式计算每个供应商的磋商报价得分。</w:t>
            </w:r>
          </w:p>
          <w:p w14:paraId="7E0F9A0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磋商报价得分=（磋商基准价/最后磋商报价）×价格权值×100。</w:t>
            </w:r>
          </w:p>
        </w:tc>
        <w:tc>
          <w:tcPr>
            <w:tcW w:w="1683" w:type="dxa"/>
            <w:vAlign w:val="center"/>
          </w:tcPr>
          <w:p w14:paraId="2AD171A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计算结果保留小数点后两位，第三位四舍五入。</w:t>
            </w:r>
          </w:p>
        </w:tc>
      </w:tr>
      <w:tr w14:paraId="2310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455" w:type="dxa"/>
            <w:vMerge w:val="restart"/>
            <w:vAlign w:val="center"/>
          </w:tcPr>
          <w:p w14:paraId="63B301E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3C4E7F6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60A4B88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2B3B78A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5CC4854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07" w:type="dxa"/>
            <w:vMerge w:val="restart"/>
            <w:vAlign w:val="center"/>
          </w:tcPr>
          <w:p w14:paraId="29B85B7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B6672C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2FEDC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2017B4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08CC70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p w14:paraId="16F06B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部分</w:t>
            </w:r>
          </w:p>
          <w:p w14:paraId="373CB07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rPr>
              <w:t>%)</w:t>
            </w:r>
          </w:p>
        </w:tc>
        <w:tc>
          <w:tcPr>
            <w:tcW w:w="947" w:type="dxa"/>
            <w:vAlign w:val="center"/>
          </w:tcPr>
          <w:p w14:paraId="1BFD1DC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项目需求及重难点分析</w:t>
            </w:r>
          </w:p>
          <w:p w14:paraId="043D27D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445CAC9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供应商结合项目实际情况和采购需求，</w:t>
            </w:r>
            <w:r>
              <w:rPr>
                <w:rFonts w:hint="eastAsia" w:ascii="宋体" w:hAnsi="宋体" w:cs="宋体"/>
                <w:color w:val="auto"/>
                <w:sz w:val="21"/>
                <w:szCs w:val="21"/>
                <w:highlight w:val="none"/>
                <w:lang w:val="en-US" w:eastAsia="zh-CN"/>
              </w:rPr>
              <w:t>提供项目需求及重难点分析</w:t>
            </w:r>
            <w:r>
              <w:rPr>
                <w:rFonts w:hint="eastAsia" w:ascii="宋体" w:hAnsi="宋体" w:eastAsia="宋体" w:cs="宋体"/>
                <w:color w:val="auto"/>
                <w:sz w:val="21"/>
                <w:szCs w:val="21"/>
                <w:highlight w:val="none"/>
                <w:lang w:val="en-US" w:eastAsia="zh-CN"/>
              </w:rPr>
              <w:t>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但不限于：①历史情况；②目标任务；③实施要求；④重难点分析。</w:t>
            </w:r>
          </w:p>
          <w:p w14:paraId="4867BD9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73C23F9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4CAC7A3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306BA00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7300A7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restart"/>
            <w:vAlign w:val="center"/>
          </w:tcPr>
          <w:p w14:paraId="0414F9D8">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方案，格式自拟。本项内容中所称的“瑕疵”指方案内容缺项、内容表述不完整、方案内容表述前后矛盾、无连贯性，内容存在逻辑漏洞、常识错误并不适用本项目特性或非专门针对本项目特征制定、方案中并未体现对应内容或方案中提出的措施不利于本项目目标实现等任意一种情形。</w:t>
            </w:r>
          </w:p>
        </w:tc>
      </w:tr>
      <w:tr w14:paraId="21E0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68AEA366">
            <w:pPr>
              <w:bidi w:val="0"/>
              <w:rPr>
                <w:rFonts w:hint="eastAsia" w:ascii="宋体" w:hAnsi="宋体" w:eastAsia="宋体" w:cs="宋体"/>
                <w:color w:val="auto"/>
                <w:sz w:val="21"/>
                <w:szCs w:val="21"/>
                <w:highlight w:val="none"/>
              </w:rPr>
            </w:pPr>
          </w:p>
        </w:tc>
        <w:tc>
          <w:tcPr>
            <w:tcW w:w="907" w:type="dxa"/>
            <w:vMerge w:val="continue"/>
            <w:vAlign w:val="center"/>
          </w:tcPr>
          <w:p w14:paraId="6211C9D7">
            <w:pPr>
              <w:bidi w:val="0"/>
              <w:rPr>
                <w:rFonts w:hint="eastAsia" w:ascii="宋体" w:hAnsi="宋体" w:eastAsia="宋体" w:cs="宋体"/>
                <w:color w:val="auto"/>
                <w:sz w:val="21"/>
                <w:szCs w:val="21"/>
                <w:highlight w:val="none"/>
              </w:rPr>
            </w:pPr>
          </w:p>
        </w:tc>
        <w:tc>
          <w:tcPr>
            <w:tcW w:w="947" w:type="dxa"/>
            <w:vAlign w:val="center"/>
          </w:tcPr>
          <w:p w14:paraId="1F41E4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项目管理方案</w:t>
            </w:r>
          </w:p>
          <w:p w14:paraId="0E4CDB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34BE33E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提供项目管理方案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但不限于：①加工流程；②加工操作规范；③现场纪律及考勤；④安全管理制度。</w:t>
            </w:r>
          </w:p>
          <w:p w14:paraId="2DDCC24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0EE1743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5705424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898D68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1A9D5AC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52D28006">
            <w:pPr>
              <w:bidi w:val="0"/>
              <w:rPr>
                <w:rFonts w:hint="eastAsia" w:ascii="宋体" w:hAnsi="宋体" w:eastAsia="宋体" w:cs="宋体"/>
                <w:color w:val="auto"/>
                <w:sz w:val="21"/>
                <w:szCs w:val="21"/>
                <w:highlight w:val="none"/>
              </w:rPr>
            </w:pPr>
          </w:p>
        </w:tc>
      </w:tr>
      <w:tr w14:paraId="5684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55" w:type="dxa"/>
            <w:vMerge w:val="continue"/>
            <w:vAlign w:val="center"/>
          </w:tcPr>
          <w:p w14:paraId="7E42424C">
            <w:pPr>
              <w:bidi w:val="0"/>
              <w:rPr>
                <w:rFonts w:hint="eastAsia" w:ascii="宋体" w:hAnsi="宋体" w:eastAsia="宋体" w:cs="宋体"/>
                <w:color w:val="auto"/>
                <w:sz w:val="21"/>
                <w:szCs w:val="21"/>
                <w:highlight w:val="none"/>
              </w:rPr>
            </w:pPr>
          </w:p>
        </w:tc>
        <w:tc>
          <w:tcPr>
            <w:tcW w:w="907" w:type="dxa"/>
            <w:vMerge w:val="continue"/>
            <w:vAlign w:val="center"/>
          </w:tcPr>
          <w:p w14:paraId="3CE9825F">
            <w:pPr>
              <w:bidi w:val="0"/>
              <w:rPr>
                <w:rFonts w:hint="eastAsia" w:ascii="宋体" w:hAnsi="宋体" w:eastAsia="宋体" w:cs="宋体"/>
                <w:color w:val="auto"/>
                <w:sz w:val="21"/>
                <w:szCs w:val="21"/>
                <w:highlight w:val="none"/>
              </w:rPr>
            </w:pPr>
          </w:p>
        </w:tc>
        <w:tc>
          <w:tcPr>
            <w:tcW w:w="947" w:type="dxa"/>
            <w:vAlign w:val="center"/>
          </w:tcPr>
          <w:p w14:paraId="7D4AE9C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质量及进度方案</w:t>
            </w:r>
          </w:p>
          <w:p w14:paraId="18EB2E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724F9A2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质量及进度方案</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但不限于：①质量管理及保障措施；②组织架构及职责；③进度计划；④进度保障措施。</w:t>
            </w:r>
          </w:p>
          <w:p w14:paraId="4432299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380A02B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171E19D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9C8426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EEFB4A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5C03652B">
            <w:pPr>
              <w:bidi w:val="0"/>
              <w:rPr>
                <w:rFonts w:hint="eastAsia" w:ascii="宋体" w:hAnsi="宋体" w:eastAsia="宋体" w:cs="宋体"/>
                <w:color w:val="auto"/>
                <w:sz w:val="21"/>
                <w:szCs w:val="21"/>
                <w:highlight w:val="none"/>
              </w:rPr>
            </w:pPr>
          </w:p>
        </w:tc>
      </w:tr>
      <w:tr w14:paraId="71FB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55" w:type="dxa"/>
            <w:vMerge w:val="continue"/>
            <w:vAlign w:val="center"/>
          </w:tcPr>
          <w:p w14:paraId="250519C8">
            <w:pPr>
              <w:bidi w:val="0"/>
              <w:rPr>
                <w:rFonts w:hint="eastAsia" w:ascii="宋体" w:hAnsi="宋体" w:eastAsia="宋体" w:cs="宋体"/>
                <w:color w:val="auto"/>
                <w:sz w:val="21"/>
                <w:szCs w:val="21"/>
                <w:highlight w:val="none"/>
              </w:rPr>
            </w:pPr>
          </w:p>
        </w:tc>
        <w:tc>
          <w:tcPr>
            <w:tcW w:w="907" w:type="dxa"/>
            <w:vMerge w:val="continue"/>
            <w:vAlign w:val="center"/>
          </w:tcPr>
          <w:p w14:paraId="0272D711">
            <w:pPr>
              <w:bidi w:val="0"/>
              <w:rPr>
                <w:rFonts w:hint="eastAsia" w:ascii="宋体" w:hAnsi="宋体" w:eastAsia="宋体" w:cs="宋体"/>
                <w:color w:val="auto"/>
                <w:sz w:val="21"/>
                <w:szCs w:val="21"/>
                <w:highlight w:val="none"/>
              </w:rPr>
            </w:pPr>
          </w:p>
        </w:tc>
        <w:tc>
          <w:tcPr>
            <w:tcW w:w="947" w:type="dxa"/>
            <w:vAlign w:val="center"/>
          </w:tcPr>
          <w:p w14:paraId="1D3172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维护方案</w:t>
            </w:r>
          </w:p>
          <w:p w14:paraId="61E048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4E14A16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提供维护方案，方案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但不限于：①对在库已数字化的档案运维；②接收后正在数字化的档案运维；③接收后还未数字化的档案运维；④库房及相关设施设备清洁维护。</w:t>
            </w:r>
          </w:p>
          <w:p w14:paraId="45BF1C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40B1501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BDA2B6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863CDB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4F1F88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0FBD5EE8">
            <w:pPr>
              <w:bidi w:val="0"/>
              <w:rPr>
                <w:rFonts w:hint="eastAsia" w:ascii="宋体" w:hAnsi="宋体" w:eastAsia="宋体" w:cs="宋体"/>
                <w:color w:val="auto"/>
                <w:sz w:val="21"/>
                <w:szCs w:val="21"/>
                <w:highlight w:val="none"/>
              </w:rPr>
            </w:pPr>
          </w:p>
        </w:tc>
      </w:tr>
      <w:tr w14:paraId="33FA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55" w:type="dxa"/>
            <w:vMerge w:val="continue"/>
            <w:vAlign w:val="center"/>
          </w:tcPr>
          <w:p w14:paraId="13E1FE34">
            <w:pPr>
              <w:bidi w:val="0"/>
              <w:rPr>
                <w:rFonts w:hint="eastAsia" w:ascii="宋体" w:hAnsi="宋体" w:eastAsia="宋体" w:cs="宋体"/>
                <w:color w:val="auto"/>
                <w:sz w:val="21"/>
                <w:szCs w:val="21"/>
                <w:highlight w:val="none"/>
              </w:rPr>
            </w:pPr>
          </w:p>
        </w:tc>
        <w:tc>
          <w:tcPr>
            <w:tcW w:w="907" w:type="dxa"/>
            <w:vMerge w:val="continue"/>
            <w:vAlign w:val="center"/>
          </w:tcPr>
          <w:p w14:paraId="3D23905D">
            <w:pPr>
              <w:bidi w:val="0"/>
              <w:rPr>
                <w:rFonts w:hint="eastAsia" w:ascii="宋体" w:hAnsi="宋体" w:eastAsia="宋体" w:cs="宋体"/>
                <w:color w:val="auto"/>
                <w:sz w:val="21"/>
                <w:szCs w:val="21"/>
                <w:highlight w:val="none"/>
              </w:rPr>
            </w:pPr>
          </w:p>
        </w:tc>
        <w:tc>
          <w:tcPr>
            <w:tcW w:w="947" w:type="dxa"/>
            <w:vAlign w:val="center"/>
          </w:tcPr>
          <w:p w14:paraId="52E25B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安全保密方案</w:t>
            </w:r>
          </w:p>
          <w:p w14:paraId="7F8B55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594" w:type="dxa"/>
            <w:vAlign w:val="top"/>
          </w:tcPr>
          <w:p w14:paraId="7F4F092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安全保密方案</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但不限于：①安全保密组织机构与工作职责；②安全管理制度及保密纪律；③安全管理措施；④安全应急补救措施。</w:t>
            </w:r>
          </w:p>
          <w:p w14:paraId="43ADB22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64735F1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A8B06F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793BDB1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086B51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1229F89D">
            <w:pPr>
              <w:bidi w:val="0"/>
              <w:rPr>
                <w:rFonts w:hint="eastAsia" w:ascii="宋体" w:hAnsi="宋体" w:eastAsia="宋体" w:cs="宋体"/>
                <w:color w:val="auto"/>
                <w:sz w:val="21"/>
                <w:szCs w:val="21"/>
                <w:highlight w:val="none"/>
              </w:rPr>
            </w:pPr>
          </w:p>
        </w:tc>
      </w:tr>
      <w:tr w14:paraId="7566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55" w:type="dxa"/>
            <w:vMerge w:val="continue"/>
            <w:vAlign w:val="center"/>
          </w:tcPr>
          <w:p w14:paraId="4A4BD385">
            <w:pPr>
              <w:bidi w:val="0"/>
              <w:rPr>
                <w:rFonts w:hint="eastAsia" w:ascii="宋体" w:hAnsi="宋体" w:eastAsia="宋体" w:cs="宋体"/>
                <w:color w:val="auto"/>
                <w:sz w:val="21"/>
                <w:szCs w:val="21"/>
                <w:highlight w:val="none"/>
              </w:rPr>
            </w:pPr>
          </w:p>
        </w:tc>
        <w:tc>
          <w:tcPr>
            <w:tcW w:w="907" w:type="dxa"/>
            <w:vMerge w:val="continue"/>
            <w:vAlign w:val="center"/>
          </w:tcPr>
          <w:p w14:paraId="78C17ED6">
            <w:pPr>
              <w:bidi w:val="0"/>
              <w:rPr>
                <w:rFonts w:hint="eastAsia" w:ascii="宋体" w:hAnsi="宋体" w:eastAsia="宋体" w:cs="宋体"/>
                <w:color w:val="auto"/>
                <w:sz w:val="21"/>
                <w:szCs w:val="21"/>
                <w:highlight w:val="none"/>
              </w:rPr>
            </w:pPr>
          </w:p>
        </w:tc>
        <w:tc>
          <w:tcPr>
            <w:tcW w:w="947" w:type="dxa"/>
            <w:vAlign w:val="center"/>
          </w:tcPr>
          <w:p w14:paraId="764A0C6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技术保障及售后服务</w:t>
            </w:r>
          </w:p>
          <w:p w14:paraId="65CB21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594" w:type="dxa"/>
            <w:vAlign w:val="top"/>
          </w:tcPr>
          <w:p w14:paraId="26B0DDC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技术保障及售后服务</w:t>
            </w:r>
            <w:r>
              <w:rPr>
                <w:rFonts w:hint="eastAsia" w:ascii="宋体" w:hAnsi="宋体" w:eastAsia="宋体" w:cs="宋体"/>
                <w:color w:val="auto"/>
                <w:sz w:val="21"/>
                <w:szCs w:val="21"/>
                <w:highlight w:val="none"/>
                <w:lang w:val="en-US" w:eastAsia="zh-CN"/>
              </w:rPr>
              <w:t>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档案数字化加工软件功能描述（包括但不限于：指标定义、权限管理、日志管理、用户管理、岗位流转、任务管理、图像优化、格式转换、随机抽检、自动上传下载、逐级质检、图像分类、自动生成目录、数据整合、统计报表、数据挂接）；②售后服务方案（包括但不限于：数字化加工成果维护、售后服务体系、售后服务机构网点及人员安排等）。</w:t>
            </w:r>
          </w:p>
          <w:p w14:paraId="2B6D531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2123DCB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5E5E55D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1171075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04A0612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7A8BF15D">
            <w:pPr>
              <w:bidi w:val="0"/>
              <w:rPr>
                <w:rFonts w:hint="eastAsia" w:ascii="宋体" w:hAnsi="宋体" w:eastAsia="宋体" w:cs="宋体"/>
                <w:color w:val="auto"/>
                <w:sz w:val="21"/>
                <w:szCs w:val="21"/>
                <w:highlight w:val="none"/>
              </w:rPr>
            </w:pPr>
          </w:p>
        </w:tc>
      </w:tr>
      <w:tr w14:paraId="2E12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586" w:type="dxa"/>
            <w:gridSpan w:val="5"/>
            <w:vAlign w:val="center"/>
          </w:tcPr>
          <w:p w14:paraId="5CA2D4A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供应商的应答应满足竞争性磋商文件“第三篇 采购商务需求”，有一条不满足的（第三篇中“※”号标注的部分除外），商务部分得分为0分，不再进入商务部分的评审。</w:t>
            </w:r>
          </w:p>
        </w:tc>
      </w:tr>
      <w:tr w14:paraId="237E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trPr>
        <w:tc>
          <w:tcPr>
            <w:tcW w:w="455" w:type="dxa"/>
            <w:vMerge w:val="restart"/>
            <w:vAlign w:val="center"/>
          </w:tcPr>
          <w:p w14:paraId="575A085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07" w:type="dxa"/>
            <w:vMerge w:val="restart"/>
            <w:vAlign w:val="center"/>
          </w:tcPr>
          <w:p w14:paraId="6EF367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w:t>
            </w:r>
          </w:p>
          <w:p w14:paraId="524E71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部分</w:t>
            </w:r>
          </w:p>
          <w:p w14:paraId="07D175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40</w:t>
            </w:r>
            <w:r>
              <w:rPr>
                <w:rFonts w:hint="eastAsia" w:ascii="宋体" w:hAnsi="宋体" w:eastAsia="宋体" w:cs="宋体"/>
                <w:color w:val="auto"/>
                <w:sz w:val="21"/>
                <w:szCs w:val="21"/>
                <w:highlight w:val="none"/>
              </w:rPr>
              <w:t>%）</w:t>
            </w:r>
          </w:p>
        </w:tc>
        <w:tc>
          <w:tcPr>
            <w:tcW w:w="947" w:type="dxa"/>
            <w:vAlign w:val="center"/>
          </w:tcPr>
          <w:p w14:paraId="468410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企业资质</w:t>
            </w:r>
          </w:p>
          <w:p w14:paraId="47611BF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5594" w:type="dxa"/>
            <w:vAlign w:val="center"/>
          </w:tcPr>
          <w:p w14:paraId="4DB6A62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供应商具有在有效期内的IS020000信息服务管理体系证书、ISO9001质量管理体系证书、ISO27001信息安全管理体系证书、职业安全管理体系证书、环境管理体系证书，每提供1个得0.5分，本小项最多得2.5分，其他或未提供不得分。</w:t>
            </w:r>
          </w:p>
          <w:p w14:paraId="49CFCA1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供应商具有“商品售后服务评价体系”（认证范围包含档案整理、档案数字化加工相关），五星及以上的得2分，四星及以下得1分，本小项最多得2分，其他或未提供不得分。</w:t>
            </w:r>
          </w:p>
          <w:p w14:paraId="7CA589F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供应商</w:t>
            </w:r>
            <w:r>
              <w:rPr>
                <w:rFonts w:hint="eastAsia" w:ascii="宋体" w:hAnsi="宋体" w:cs="宋体"/>
                <w:color w:val="auto"/>
                <w:sz w:val="21"/>
                <w:szCs w:val="21"/>
                <w:highlight w:val="none"/>
                <w:lang w:val="en-US" w:eastAsia="zh-CN"/>
              </w:rPr>
              <w:t>具有</w:t>
            </w:r>
            <w:r>
              <w:rPr>
                <w:rFonts w:hint="eastAsia" w:ascii="宋体" w:hAnsi="宋体" w:eastAsia="宋体" w:cs="宋体"/>
                <w:color w:val="auto"/>
                <w:sz w:val="21"/>
                <w:szCs w:val="21"/>
                <w:highlight w:val="none"/>
                <w:lang w:val="en-US" w:eastAsia="zh-CN"/>
              </w:rPr>
              <w:t>中国电子技术标准化研究院颁发的CSMM软件能力成熟度等级证书，成熟度 4 级及以上的得3分，3级及以下得1分，本小项最多得3分，其他或未提供不得分。</w:t>
            </w:r>
          </w:p>
          <w:p w14:paraId="6A78D20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供应商具有数据管理能力成熟度(DCMM)证书，三级及以上的得3分，二级及以下得1分，本小项最多得3分，其他或未提供不得分。</w:t>
            </w:r>
          </w:p>
          <w:p w14:paraId="73F410A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供应商具有信息安全服务资质认证证书，服务类别为信息系统安全运维的得2分，本小项最多得2分，其他或未提供不得分。</w:t>
            </w:r>
          </w:p>
          <w:p w14:paraId="3B66D8B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供应商具有与本项目相关的档案类软件著作权证书（获取时间在本次</w:t>
            </w:r>
            <w:r>
              <w:rPr>
                <w:rFonts w:hint="eastAsia" w:ascii="宋体" w:hAnsi="宋体" w:cs="宋体"/>
                <w:color w:val="auto"/>
                <w:sz w:val="21"/>
                <w:szCs w:val="21"/>
                <w:highlight w:val="none"/>
                <w:lang w:val="en-US" w:eastAsia="zh-CN"/>
              </w:rPr>
              <w:t>磋商开始</w:t>
            </w:r>
            <w:r>
              <w:rPr>
                <w:rFonts w:hint="eastAsia" w:ascii="宋体" w:hAnsi="宋体" w:eastAsia="宋体" w:cs="宋体"/>
                <w:color w:val="auto"/>
                <w:sz w:val="21"/>
                <w:szCs w:val="21"/>
                <w:highlight w:val="none"/>
                <w:lang w:val="en-US" w:eastAsia="zh-CN"/>
              </w:rPr>
              <w:t>时间之前），每提供1个得0.5分，本小项最多得2.5分，其他或未提供不得分。</w:t>
            </w:r>
          </w:p>
          <w:p w14:paraId="4A0B1E3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说明：与本项目相关指软件著作权证书具有“档案”或“档案数字化”或“档案整理”关键字。</w:t>
            </w:r>
          </w:p>
        </w:tc>
        <w:tc>
          <w:tcPr>
            <w:tcW w:w="1683" w:type="dxa"/>
            <w:vAlign w:val="center"/>
          </w:tcPr>
          <w:p w14:paraId="10B2987B">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供应商提供相关证明复印件加盖公章。</w:t>
            </w:r>
          </w:p>
          <w:p w14:paraId="35D61D50">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p>
        </w:tc>
      </w:tr>
      <w:tr w14:paraId="7294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455" w:type="dxa"/>
            <w:vMerge w:val="continue"/>
            <w:shd w:val="clear" w:color="auto" w:fill="auto"/>
            <w:vAlign w:val="center"/>
          </w:tcPr>
          <w:p w14:paraId="09AFD023">
            <w:pPr>
              <w:bidi w:val="0"/>
              <w:rPr>
                <w:rFonts w:hint="eastAsia" w:ascii="宋体" w:hAnsi="宋体" w:eastAsia="宋体" w:cs="宋体"/>
                <w:color w:val="auto"/>
                <w:sz w:val="21"/>
                <w:szCs w:val="21"/>
                <w:highlight w:val="none"/>
              </w:rPr>
            </w:pPr>
          </w:p>
        </w:tc>
        <w:tc>
          <w:tcPr>
            <w:tcW w:w="907" w:type="dxa"/>
            <w:vMerge w:val="continue"/>
            <w:shd w:val="clear" w:color="auto" w:fill="auto"/>
            <w:vAlign w:val="center"/>
          </w:tcPr>
          <w:p w14:paraId="6EE4DF96">
            <w:pPr>
              <w:bidi w:val="0"/>
              <w:rPr>
                <w:rFonts w:hint="eastAsia" w:ascii="宋体" w:hAnsi="宋体" w:eastAsia="宋体" w:cs="宋体"/>
                <w:color w:val="auto"/>
                <w:sz w:val="21"/>
                <w:szCs w:val="21"/>
                <w:highlight w:val="none"/>
              </w:rPr>
            </w:pPr>
          </w:p>
        </w:tc>
        <w:tc>
          <w:tcPr>
            <w:tcW w:w="947" w:type="dxa"/>
            <w:shd w:val="clear" w:color="auto" w:fill="auto"/>
            <w:vAlign w:val="center"/>
          </w:tcPr>
          <w:p w14:paraId="3C6863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人员</w:t>
            </w:r>
            <w:r>
              <w:rPr>
                <w:rFonts w:hint="eastAsia" w:ascii="宋体" w:hAnsi="宋体" w:cs="宋体"/>
                <w:color w:val="auto"/>
                <w:sz w:val="21"/>
                <w:szCs w:val="21"/>
                <w:highlight w:val="none"/>
                <w:lang w:val="en-US" w:eastAsia="zh-CN"/>
              </w:rPr>
              <w:t>配置</w:t>
            </w:r>
          </w:p>
          <w:p w14:paraId="764910E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（17分）</w:t>
            </w:r>
          </w:p>
        </w:tc>
        <w:tc>
          <w:tcPr>
            <w:tcW w:w="5594" w:type="dxa"/>
            <w:shd w:val="clear" w:color="auto" w:fill="auto"/>
            <w:vAlign w:val="top"/>
          </w:tcPr>
          <w:p w14:paraId="719BB1C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供应商为本项目拟派的项目经理须同时具有中国标准化协会颁发的项目管理专业人员能力等级证书（CSPM）、省级（直辖市）</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lang w:val="en-US" w:eastAsia="zh-CN"/>
              </w:rPr>
              <w:t>以上保密局颁发的印制资质单位保密管理能力提升培训证书、省级（直辖市）及以上档案局颁发的档案岗位培训证书，1人同时具有以上证书的得6分，本小项最多得6分，不满足或未提供不得分。</w:t>
            </w:r>
          </w:p>
          <w:p w14:paraId="5CDE075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供应商为本项目拟派的保密负责人须同时具有省级（直辖市）</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lang w:val="en-US" w:eastAsia="zh-CN"/>
              </w:rPr>
              <w:t>以上保密局颁发的印制资质单位保密管理能力提升培训证书、职称改革办公室颁发的档案专业初级及以上职称证书、省级（直辖市）及以上档案局颁发的档案岗位培训证书的，1人同时具有以上证书的得3分，本小项最多得3分，不满足或未提供不得分。</w:t>
            </w:r>
          </w:p>
          <w:p w14:paraId="7C9468C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供应商为本项目拟派的项目团队人员须同时具有档案岗位培训证书、职称改革办颁发的档案专业初级及以上职称证书的，每提供同时具有以上证书1人的得1分，本小项最多得5分，不满足或未提供不得分。</w:t>
            </w:r>
          </w:p>
          <w:p w14:paraId="54F1826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供应商为本项目拟派的技术人员具有数据库系统工程师证书的，得3分，本小项最多得3分，不满足或未提供不得分。</w:t>
            </w:r>
          </w:p>
          <w:p w14:paraId="4174887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注：以上人员不重复得分。</w:t>
            </w:r>
          </w:p>
        </w:tc>
        <w:tc>
          <w:tcPr>
            <w:tcW w:w="1683" w:type="dxa"/>
            <w:vAlign w:val="center"/>
          </w:tcPr>
          <w:p w14:paraId="27F27E3C">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须提供</w:t>
            </w:r>
            <w:r>
              <w:rPr>
                <w:rFonts w:hint="eastAsia" w:ascii="宋体" w:hAnsi="宋体" w:cs="宋体"/>
                <w:color w:val="auto"/>
                <w:sz w:val="21"/>
                <w:szCs w:val="21"/>
                <w:highlight w:val="none"/>
                <w:lang w:val="en-US" w:eastAsia="zh-CN"/>
              </w:rPr>
              <w:t>拟派</w:t>
            </w: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val="en-US" w:eastAsia="zh-CN"/>
              </w:rPr>
              <w:t>名单和供应商为其缴纳的近三个月</w:t>
            </w:r>
            <w:r>
              <w:rPr>
                <w:rFonts w:hint="eastAsia" w:ascii="宋体" w:hAnsi="宋体" w:cs="宋体"/>
                <w:color w:val="auto"/>
                <w:sz w:val="21"/>
                <w:szCs w:val="21"/>
                <w:highlight w:val="none"/>
                <w:lang w:val="en-US" w:eastAsia="zh-CN"/>
              </w:rPr>
              <w:t>（2025年3月至2025年5月）</w:t>
            </w:r>
            <w:r>
              <w:rPr>
                <w:rFonts w:hint="eastAsia" w:ascii="宋体" w:hAnsi="宋体" w:eastAsia="宋体" w:cs="宋体"/>
                <w:color w:val="auto"/>
                <w:sz w:val="21"/>
                <w:szCs w:val="21"/>
                <w:highlight w:val="none"/>
                <w:lang w:val="en-US" w:eastAsia="zh-CN"/>
              </w:rPr>
              <w:t>社保证明材料和证书复印件加盖供应商公章。</w:t>
            </w:r>
          </w:p>
        </w:tc>
      </w:tr>
      <w:tr w14:paraId="0AF8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455" w:type="dxa"/>
            <w:vMerge w:val="continue"/>
            <w:shd w:val="clear" w:color="auto" w:fill="auto"/>
            <w:vAlign w:val="center"/>
          </w:tcPr>
          <w:p w14:paraId="733620C5">
            <w:pPr>
              <w:bidi w:val="0"/>
              <w:rPr>
                <w:rFonts w:hint="eastAsia" w:ascii="宋体" w:hAnsi="宋体" w:eastAsia="宋体" w:cs="宋体"/>
                <w:color w:val="auto"/>
                <w:sz w:val="21"/>
                <w:szCs w:val="21"/>
                <w:highlight w:val="none"/>
              </w:rPr>
            </w:pPr>
          </w:p>
        </w:tc>
        <w:tc>
          <w:tcPr>
            <w:tcW w:w="907" w:type="dxa"/>
            <w:vMerge w:val="continue"/>
            <w:shd w:val="clear" w:color="auto" w:fill="auto"/>
            <w:vAlign w:val="center"/>
          </w:tcPr>
          <w:p w14:paraId="1B60E679">
            <w:pPr>
              <w:bidi w:val="0"/>
              <w:rPr>
                <w:rFonts w:hint="eastAsia" w:ascii="宋体" w:hAnsi="宋体" w:eastAsia="宋体" w:cs="宋体"/>
                <w:color w:val="auto"/>
                <w:sz w:val="21"/>
                <w:szCs w:val="21"/>
                <w:highlight w:val="none"/>
              </w:rPr>
            </w:pPr>
          </w:p>
        </w:tc>
        <w:tc>
          <w:tcPr>
            <w:tcW w:w="947" w:type="dxa"/>
            <w:shd w:val="clear" w:color="auto" w:fill="auto"/>
            <w:vAlign w:val="center"/>
          </w:tcPr>
          <w:p w14:paraId="070339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  （</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tc>
        <w:tc>
          <w:tcPr>
            <w:tcW w:w="5594" w:type="dxa"/>
            <w:shd w:val="clear" w:color="auto" w:fill="auto"/>
            <w:vAlign w:val="center"/>
          </w:tcPr>
          <w:p w14:paraId="612F37F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自 2022 年1月1日起至今（以合同签订时间为准）</w:t>
            </w:r>
            <w:r>
              <w:rPr>
                <w:rFonts w:hint="eastAsia" w:ascii="宋体" w:hAnsi="宋体" w:eastAsia="宋体" w:cs="宋体"/>
                <w:color w:val="auto"/>
                <w:sz w:val="21"/>
                <w:szCs w:val="21"/>
                <w:highlight w:val="none"/>
              </w:rPr>
              <w:t>承担过</w:t>
            </w:r>
            <w:r>
              <w:rPr>
                <w:rFonts w:hint="eastAsia" w:ascii="方正仿宋_GBK" w:hAnsi="方正仿宋_GBK" w:eastAsia="方正仿宋_GBK" w:cs="方正仿宋_GBK"/>
                <w:color w:val="auto"/>
                <w:kern w:val="0"/>
                <w:sz w:val="21"/>
                <w:szCs w:val="21"/>
                <w:highlight w:val="none"/>
              </w:rPr>
              <w:t>类似本项目</w:t>
            </w:r>
            <w:r>
              <w:rPr>
                <w:rFonts w:hint="eastAsia" w:ascii="宋体" w:hAnsi="宋体" w:eastAsia="宋体" w:cs="宋体"/>
                <w:color w:val="auto"/>
                <w:sz w:val="21"/>
                <w:szCs w:val="21"/>
                <w:highlight w:val="none"/>
                <w:lang w:val="en-US" w:eastAsia="zh-CN"/>
              </w:rPr>
              <w:t>业绩的，每提供一个合同得1分，本小项最多得8分，其他或未提供不得分。</w:t>
            </w:r>
          </w:p>
          <w:p w14:paraId="3A98DC9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说明：同一单位只计算1次，不得重复计算（不分年度）。</w:t>
            </w:r>
          </w:p>
        </w:tc>
        <w:tc>
          <w:tcPr>
            <w:tcW w:w="1683" w:type="dxa"/>
            <w:vAlign w:val="center"/>
          </w:tcPr>
          <w:p w14:paraId="0225261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提供合同（协议）复印件，加盖供应商公章。</w:t>
            </w:r>
          </w:p>
        </w:tc>
      </w:tr>
    </w:tbl>
    <w:p w14:paraId="396F4771">
      <w:pPr>
        <w:pStyle w:val="3"/>
        <w:spacing w:before="0" w:after="0" w:line="440" w:lineRule="exact"/>
        <w:rPr>
          <w:rFonts w:ascii="宋体" w:hAnsi="宋体" w:eastAsia="宋体" w:cs="宋体"/>
          <w:color w:val="auto"/>
          <w:sz w:val="24"/>
          <w:szCs w:val="24"/>
          <w:highlight w:val="none"/>
        </w:rPr>
      </w:pPr>
      <w:bookmarkStart w:id="96" w:name="_Toc15418"/>
      <w:r>
        <w:rPr>
          <w:rFonts w:hint="eastAsia" w:ascii="宋体" w:hAnsi="宋体" w:eastAsia="宋体" w:cs="宋体"/>
          <w:color w:val="auto"/>
          <w:sz w:val="24"/>
          <w:szCs w:val="24"/>
          <w:highlight w:val="none"/>
        </w:rPr>
        <w:t>三、无效响应</w:t>
      </w:r>
      <w:bookmarkEnd w:id="96"/>
    </w:p>
    <w:p w14:paraId="157819A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供应商发生以下条款情况之一者，视为无效响应，其响应文件将被拒绝：</w:t>
      </w:r>
    </w:p>
    <w:p w14:paraId="2BDE3585">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4592998E">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（二）供应商的法定代表人（或其授权代表）或自然人未参加磋商；</w:t>
      </w:r>
    </w:p>
    <w:p w14:paraId="2CD24ED5">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（三）供应商所提交的响应文件不按“第七篇响应文件编制要求”要求签署或盖章；</w:t>
      </w:r>
    </w:p>
    <w:p w14:paraId="2160F6FB">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（四）供应商的最后报价超过采购预算或最高限价的；</w:t>
      </w:r>
    </w:p>
    <w:p w14:paraId="3591368E">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（五）法定代表人为同一个人的两个及两个以上法人，母公司、全资子公司及其控股公司，在同一包采购中同时参与磋商；</w:t>
      </w:r>
    </w:p>
    <w:p w14:paraId="3CAF205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（六）单位负责人为同一人或者存在直接控股、管理关系的不同供应商，参加同一合同项下的政府采购活动的；</w:t>
      </w:r>
    </w:p>
    <w:p w14:paraId="45D03643">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（七）为采购项目提供整体设计、规范编制或者项目管理、监理、检测等服务的供应商，再参加该采购项目的其他采购活动；</w:t>
      </w:r>
    </w:p>
    <w:p w14:paraId="57562A4B">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（八）供应商磋商有效期不满足竞争性磋商文件要求的；</w:t>
      </w:r>
    </w:p>
    <w:p w14:paraId="63C98DF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（九）供应商响应文件内容有与国家现行法律法规相违背的内容，或附有采购人无法接受的条件；</w:t>
      </w:r>
    </w:p>
    <w:p w14:paraId="63AB10CB">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（十）供应商以联合体形式参与磋商的；</w:t>
      </w:r>
    </w:p>
    <w:p w14:paraId="169273D9">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（十一）供应商被列入失信被执行人、重大税收违法案件当事人名单、政府采购严重违法失信行为记录名单及其他不符合《中华人民共和国政府采购法》第二十二条规定条件的。</w:t>
      </w:r>
    </w:p>
    <w:p w14:paraId="04AF421E">
      <w:pPr>
        <w:pStyle w:val="3"/>
        <w:spacing w:before="0" w:after="0" w:line="440" w:lineRule="exact"/>
        <w:rPr>
          <w:rFonts w:ascii="宋体" w:hAnsi="宋体" w:eastAsia="宋体" w:cs="宋体"/>
          <w:color w:val="auto"/>
          <w:sz w:val="24"/>
          <w:szCs w:val="24"/>
          <w:highlight w:val="none"/>
        </w:rPr>
      </w:pPr>
      <w:bookmarkStart w:id="97" w:name="_Toc30504"/>
      <w:r>
        <w:rPr>
          <w:rFonts w:hint="eastAsia" w:ascii="宋体" w:hAnsi="宋体" w:eastAsia="宋体" w:cs="宋体"/>
          <w:color w:val="auto"/>
          <w:sz w:val="24"/>
          <w:szCs w:val="24"/>
          <w:highlight w:val="none"/>
        </w:rPr>
        <w:t>四、</w:t>
      </w:r>
      <w:bookmarkEnd w:id="93"/>
      <w:bookmarkEnd w:id="94"/>
      <w:r>
        <w:rPr>
          <w:rFonts w:hint="eastAsia" w:ascii="宋体" w:hAnsi="宋体" w:eastAsia="宋体" w:cs="宋体"/>
          <w:color w:val="auto"/>
          <w:sz w:val="24"/>
          <w:szCs w:val="24"/>
          <w:highlight w:val="none"/>
        </w:rPr>
        <w:t>采购终止</w:t>
      </w:r>
      <w:bookmarkEnd w:id="97"/>
    </w:p>
    <w:p w14:paraId="13A22709">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出现下列情形之一的，采购人或者采购代理机构应当终止竞争性磋商采购活动，发布项目终止公告并说明原因，重新开展采购活动：</w:t>
      </w:r>
    </w:p>
    <w:p w14:paraId="48013CAF">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（一）因情况变化，不再符合规定的竞争性磋商采购方式适用情形的；</w:t>
      </w:r>
    </w:p>
    <w:p w14:paraId="6C15640F">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5A287C47">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在采购过程中符合要求的供应商或者报价未超过采购预算的供应商不足3家的，但《政府采购竞争性磋商采购方式管理暂行办法》第二十一条第三款规定的情形,以及财政部财库[2015]124号文件规定的情形除外。</w:t>
      </w:r>
    </w:p>
    <w:p w14:paraId="52A53A55">
      <w:pPr>
        <w:spacing w:line="360" w:lineRule="auto"/>
        <w:ind w:firstLine="480" w:firstLineChars="200"/>
        <w:rPr>
          <w:rFonts w:ascii="宋体" w:hAnsi="宋体" w:cs="宋体"/>
          <w:color w:val="auto"/>
          <w:sz w:val="24"/>
          <w:szCs w:val="24"/>
          <w:highlight w:val="none"/>
        </w:rPr>
        <w:sectPr>
          <w:footerReference r:id="rId8" w:type="default"/>
          <w:pgSz w:w="11907" w:h="16840"/>
          <w:pgMar w:top="1134" w:right="1191" w:bottom="1134" w:left="1304" w:header="850" w:footer="992" w:gutter="0"/>
          <w:cols w:space="720" w:num="1"/>
          <w:rtlGutter w:val="1"/>
          <w:docGrid w:linePitch="312" w:charSpace="0"/>
        </w:sectPr>
      </w:pPr>
    </w:p>
    <w:p w14:paraId="368E8D56">
      <w:pPr>
        <w:pStyle w:val="2"/>
        <w:spacing w:line="360" w:lineRule="auto"/>
        <w:ind w:firstLine="2891" w:firstLineChars="800"/>
        <w:rPr>
          <w:rFonts w:hAnsi="宋体" w:cs="宋体"/>
          <w:b/>
          <w:color w:val="auto"/>
          <w:sz w:val="36"/>
          <w:szCs w:val="36"/>
          <w:highlight w:val="none"/>
        </w:rPr>
      </w:pPr>
      <w:bookmarkStart w:id="98" w:name="_Toc102227313"/>
      <w:bookmarkStart w:id="99" w:name="_Toc7531"/>
      <w:r>
        <w:rPr>
          <w:rFonts w:hint="eastAsia" w:hAnsi="宋体" w:cs="宋体"/>
          <w:b/>
          <w:color w:val="auto"/>
          <w:sz w:val="36"/>
          <w:szCs w:val="36"/>
          <w:highlight w:val="none"/>
        </w:rPr>
        <w:t>第五篇  供应商须知</w:t>
      </w:r>
      <w:bookmarkEnd w:id="98"/>
      <w:bookmarkEnd w:id="99"/>
    </w:p>
    <w:p w14:paraId="62F6B78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0" w:name="_Toc342913389"/>
      <w:bookmarkStart w:id="101" w:name="_Toc29232"/>
      <w:r>
        <w:rPr>
          <w:rFonts w:hint="eastAsia" w:ascii="宋体" w:hAnsi="宋体" w:eastAsia="宋体" w:cs="宋体"/>
          <w:color w:val="auto"/>
          <w:sz w:val="24"/>
          <w:szCs w:val="24"/>
          <w:highlight w:val="none"/>
        </w:rPr>
        <w:t>一、磋商费用</w:t>
      </w:r>
      <w:bookmarkEnd w:id="100"/>
      <w:bookmarkEnd w:id="101"/>
    </w:p>
    <w:p w14:paraId="235FB3A4">
      <w:pPr>
        <w:pStyle w:val="210"/>
        <w:pageBreakBefore w:val="0"/>
        <w:widowControl w:val="0"/>
        <w:kinsoku/>
        <w:wordWrap/>
        <w:overflowPunct/>
        <w:topLinePunct w:val="0"/>
        <w:autoSpaceDE/>
        <w:autoSpaceDN/>
        <w:bidi w:val="0"/>
        <w:adjustRightInd/>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参与磋商的供应商应承担其编制响应文件与递交响应文件所涉及的一切费用，不论磋商结果如何，采购人和采购代理机构在任何情况下无义务也无责任承担这些费用。</w:t>
      </w:r>
    </w:p>
    <w:p w14:paraId="672A8915">
      <w:pPr>
        <w:pStyle w:val="3"/>
        <w:pageBreakBefore w:val="0"/>
        <w:widowControl w:val="0"/>
        <w:tabs>
          <w:tab w:val="left" w:pos="2640"/>
        </w:tabs>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2" w:name="_Toc30502"/>
      <w:bookmarkStart w:id="103" w:name="_Toc342913391"/>
      <w:r>
        <w:rPr>
          <w:rFonts w:hint="eastAsia" w:ascii="宋体" w:hAnsi="宋体" w:eastAsia="宋体" w:cs="宋体"/>
          <w:color w:val="auto"/>
          <w:sz w:val="24"/>
          <w:szCs w:val="24"/>
          <w:highlight w:val="none"/>
        </w:rPr>
        <w:t>二、竞争性磋商文件</w:t>
      </w:r>
      <w:bookmarkEnd w:id="102"/>
      <w:bookmarkEnd w:id="103"/>
    </w:p>
    <w:p w14:paraId="026C0E07">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（一）竞争性磋商文件由采购邀请书、采购服务需求、采购商务需求、磋商程序及方法、评审标准、无效响应和采购终止、供应商须知、</w:t>
      </w:r>
      <w:r>
        <w:rPr>
          <w:rFonts w:hint="eastAsia" w:ascii="宋体" w:hAnsi="宋体" w:eastAsia="宋体" w:cs="宋体"/>
          <w:color w:val="auto"/>
          <w:sz w:val="24"/>
          <w:szCs w:val="24"/>
          <w:highlight w:val="none"/>
        </w:rPr>
        <w:t>合同草案条款(参考样本)</w:t>
      </w:r>
      <w:r>
        <w:rPr>
          <w:rFonts w:hint="eastAsia" w:ascii="宋体" w:hAnsi="宋体" w:cs="宋体"/>
          <w:color w:val="auto"/>
          <w:sz w:val="24"/>
          <w:szCs w:val="24"/>
          <w:highlight w:val="none"/>
        </w:rPr>
        <w:t>、响应文件编制要求七部分组成。</w:t>
      </w:r>
    </w:p>
    <w:p w14:paraId="596F8C3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（二）采购人（或采购代理机构）所作的一切有效的书面通知、修改及补充，都是竞争性磋商文件不可分割的部分。</w:t>
      </w:r>
    </w:p>
    <w:p w14:paraId="0D043A46">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bookmarkStart w:id="104" w:name="_Toc102227318"/>
      <w:bookmarkStart w:id="105" w:name="_Toc342913392"/>
      <w:bookmarkStart w:id="106" w:name="_Toc179714297"/>
      <w:r>
        <w:rPr>
          <w:rFonts w:hint="eastAsia" w:ascii="宋体" w:hAnsi="宋体" w:cs="宋体"/>
          <w:color w:val="auto"/>
          <w:sz w:val="24"/>
          <w:szCs w:val="24"/>
          <w:highlight w:val="none"/>
        </w:rPr>
        <w:t xml:space="preserve">    （三）竞争性磋商文件的解释</w:t>
      </w:r>
    </w:p>
    <w:p w14:paraId="68A61EC7">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02A9723B">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（四）本竞争性磋商文件中，磋商小组根据与供应商进行磋商可能实质性变动的内容为竞争性磋商文件第二、三、六篇全部内容。</w:t>
      </w:r>
    </w:p>
    <w:p w14:paraId="76A254B2">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（五）评审的依据为竞争性磋商文件和响应文件（含有效的书面承诺）。磋商小组判断响应文件对竞争性磋商文件的响应，仅基于响应文件本身而不靠外部证据。</w:t>
      </w:r>
    </w:p>
    <w:p w14:paraId="22E5BA38">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7" w:name="_Toc4256"/>
      <w:r>
        <w:rPr>
          <w:rFonts w:hint="eastAsia" w:ascii="宋体" w:hAnsi="宋体" w:eastAsia="宋体" w:cs="宋体"/>
          <w:color w:val="auto"/>
          <w:sz w:val="24"/>
          <w:szCs w:val="24"/>
          <w:highlight w:val="none"/>
        </w:rPr>
        <w:t>三、磋商要求</w:t>
      </w:r>
      <w:bookmarkEnd w:id="104"/>
      <w:bookmarkEnd w:id="105"/>
      <w:bookmarkEnd w:id="106"/>
      <w:bookmarkEnd w:id="107"/>
    </w:p>
    <w:p w14:paraId="448A0289">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（一）响应文件</w:t>
      </w:r>
    </w:p>
    <w:p w14:paraId="34CCAD7B">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1、供应商应当按照竞争性磋商文件的要求编制响应文件，并对竞争性磋商文件提出的要求和条件作出实质性响应，响应文件原则上采用软面订本，同时应编制完整的页码、目录。</w:t>
      </w:r>
    </w:p>
    <w:p w14:paraId="35E66C8B">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2、响应文件组成</w:t>
      </w:r>
    </w:p>
    <w:p w14:paraId="169530CE">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330C443C">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（二）磋商有效期：响应文件及有关承诺文件有效期为提交响应文件截止时间起90天。</w:t>
      </w:r>
    </w:p>
    <w:p w14:paraId="4882140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（三）修正错误</w:t>
      </w:r>
    </w:p>
    <w:p w14:paraId="0A0B85A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1、若供应商所递交的响应文件或最后报价中的价格出现大写金额和小写金额不一致的错误，以大写金额修正为准。</w:t>
      </w:r>
    </w:p>
    <w:p w14:paraId="6392E565">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2、磋商小组按上述修正错误的原则及方法修正供应商的报价，供应商同意并签字确认后，修正后的报价对供应商具有约束作用。如果供应商不接受修正后的价格，将失去成为成交供应商的资格。</w:t>
      </w:r>
    </w:p>
    <w:p w14:paraId="684BDE8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（四）提交响应文件的份数和签署</w:t>
      </w:r>
    </w:p>
    <w:p w14:paraId="62D23E61">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1、响应文件一式三份，其中正本一份，副本一份</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rPr>
        <w:t>电子文档一份（正本签字盖章扫描件）</w:t>
      </w:r>
      <w:r>
        <w:rPr>
          <w:rFonts w:hint="eastAsia" w:ascii="宋体" w:hAnsi="宋体" w:cs="宋体"/>
          <w:color w:val="auto"/>
          <w:sz w:val="24"/>
          <w:szCs w:val="24"/>
          <w:highlight w:val="none"/>
        </w:rPr>
        <w:t>（电子文档内容应与纸质文件正本一致，如不一致以纸质文件正本为准。</w:t>
      </w:r>
      <w:r>
        <w:rPr>
          <w:rFonts w:hint="eastAsia" w:ascii="宋体" w:hAnsi="宋体" w:cs="宋体"/>
          <w:b/>
          <w:bCs/>
          <w:color w:val="auto"/>
          <w:sz w:val="24"/>
          <w:szCs w:val="24"/>
          <w:highlight w:val="none"/>
        </w:rPr>
        <w:t>推荐采用U盘为电子文档载体</w:t>
      </w:r>
      <w:r>
        <w:rPr>
          <w:rFonts w:hint="eastAsia" w:ascii="宋体" w:hAnsi="宋体" w:cs="宋体"/>
          <w:color w:val="auto"/>
          <w:sz w:val="24"/>
          <w:szCs w:val="24"/>
          <w:highlight w:val="none"/>
        </w:rPr>
        <w:t>）；副本可为正本的复印件，应与正本一致，如出现不一致情况以正本为准。</w:t>
      </w:r>
    </w:p>
    <w:p w14:paraId="6F47991E">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2、响应文件按竞争性磋商文件“第七篇响应文件编制要求”要求签署或盖章。</w:t>
      </w:r>
    </w:p>
    <w:p w14:paraId="1A2EEE2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（五）响应文件的递交</w:t>
      </w:r>
    </w:p>
    <w:p w14:paraId="72D4D2FB">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响应文件的正本、副本、电子文档均应密封送达递交响应文件地点，应在封套上注明项目名称、供应商名称。若正本、副本以及电子文档分别进行密封的，还应在封套上注明“正本”、“副本”、“电子文档”字样。</w:t>
      </w:r>
    </w:p>
    <w:p w14:paraId="493E7F8A">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2、封套的封口处应加盖供应商公章或由法定代表人授权代表签字。</w:t>
      </w:r>
    </w:p>
    <w:p w14:paraId="2CC86B44">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3、如果未按上述规定进行密封，采购代理机构对响应文件误投、丢失或提前拆封不负责任。</w:t>
      </w:r>
    </w:p>
    <w:p w14:paraId="582209A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（六）供应商参与人员</w:t>
      </w:r>
    </w:p>
    <w:p w14:paraId="4BFA227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各个供应商应当派1-2名代表参与磋商，至少1人应为法定代表人（或其授权代表）或自然人（供应商为自然人）。</w:t>
      </w:r>
    </w:p>
    <w:p w14:paraId="2A56BF8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8" w:name="_Toc29839"/>
      <w:r>
        <w:rPr>
          <w:rFonts w:hint="eastAsia" w:ascii="宋体" w:hAnsi="宋体" w:eastAsia="宋体" w:cs="宋体"/>
          <w:color w:val="auto"/>
          <w:sz w:val="24"/>
          <w:szCs w:val="24"/>
          <w:highlight w:val="none"/>
        </w:rPr>
        <w:t>四、成交供应商的确认和变更</w:t>
      </w:r>
      <w:bookmarkEnd w:id="108"/>
    </w:p>
    <w:p w14:paraId="150E323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（一）成交供应商的确认</w:t>
      </w:r>
    </w:p>
    <w:p w14:paraId="67729144">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6937156">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（二）成交供应商的变更</w:t>
      </w:r>
    </w:p>
    <w:p w14:paraId="2B05741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0A25203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2.成交供应商无充分理由放弃成交的，采购人将会同采购代理机构把相关情况报财政部门，财政部门将根据相关法律法规的规定对违规供应商进行处罚。</w:t>
      </w:r>
    </w:p>
    <w:p w14:paraId="2A1A06BC">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9" w:name="_Toc342913395"/>
      <w:bookmarkStart w:id="110" w:name="_Toc102227321"/>
      <w:bookmarkStart w:id="111" w:name="_Toc31580"/>
      <w:r>
        <w:rPr>
          <w:rFonts w:hint="eastAsia" w:ascii="宋体" w:hAnsi="宋体" w:eastAsia="宋体" w:cs="宋体"/>
          <w:color w:val="auto"/>
          <w:sz w:val="24"/>
          <w:szCs w:val="24"/>
          <w:highlight w:val="none"/>
        </w:rPr>
        <w:t>五、成交通知</w:t>
      </w:r>
      <w:bookmarkEnd w:id="109"/>
      <w:bookmarkEnd w:id="110"/>
      <w:bookmarkEnd w:id="111"/>
    </w:p>
    <w:p w14:paraId="691A560D">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（一）成交供应商确定后，采购代理机构将在“行采家”平台（http://www.gec123.com）”上发布成交结果公告。</w:t>
      </w:r>
    </w:p>
    <w:p w14:paraId="4FA0CE39">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（二）结果公告发出同时，采购代理机构将以书面形式发出《成交通知书》。《成交通知书》一经发出即发生法律效力。</w:t>
      </w:r>
    </w:p>
    <w:p w14:paraId="6C5B8E5C">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（三）《成交通知书》将作为签订合同的依据。</w:t>
      </w:r>
    </w:p>
    <w:p w14:paraId="2F6FD88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（四）如有供应商对成交结果提出质疑的，在质疑处理完毕后发出成交通知书。</w:t>
      </w:r>
    </w:p>
    <w:p w14:paraId="6540B2CF">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2" w:name="_Toc17435"/>
      <w:r>
        <w:rPr>
          <w:rFonts w:hint="eastAsia" w:ascii="宋体" w:hAnsi="宋体" w:eastAsia="宋体" w:cs="宋体"/>
          <w:color w:val="auto"/>
          <w:sz w:val="24"/>
          <w:szCs w:val="24"/>
          <w:highlight w:val="none"/>
        </w:rPr>
        <w:t>六、关于质疑</w:t>
      </w:r>
      <w:bookmarkEnd w:id="112"/>
    </w:p>
    <w:p w14:paraId="47574F16">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供应商认为采购文件、采购过程和成交结果使自己的权益</w:t>
      </w:r>
      <w:r>
        <w:rPr>
          <w:rFonts w:hint="eastAsia" w:ascii="宋体" w:hAnsi="宋体" w:cs="宋体"/>
          <w:color w:val="auto"/>
          <w:sz w:val="24"/>
          <w:szCs w:val="24"/>
          <w:highlight w:val="none"/>
          <w:lang w:eastAsia="zh-CN"/>
        </w:rPr>
        <w:t>受到</w:t>
      </w:r>
      <w:r>
        <w:rPr>
          <w:rFonts w:hint="eastAsia" w:ascii="宋体" w:hAnsi="宋体" w:cs="宋体"/>
          <w:color w:val="auto"/>
          <w:sz w:val="24"/>
          <w:szCs w:val="24"/>
          <w:highlight w:val="none"/>
        </w:rPr>
        <w:t>伤害的，可向采购人或采购代理机构以书面形式提出质疑。</w:t>
      </w:r>
    </w:p>
    <w:p w14:paraId="2A2119B7">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提出质疑的应当是参与所质疑项目采购活动的供应商。 </w:t>
      </w:r>
    </w:p>
    <w:p w14:paraId="17B2F3B5">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（一）质疑时限、内容</w:t>
      </w:r>
    </w:p>
    <w:p w14:paraId="629CDC5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1.供应商认为采购文件、采购过程、成交结果使自己的权益受到损害的，可以在知道或者应知其权益受到损害之日起7个工作日内，以书面形式向采购人、采购代理机构提出质疑。</w:t>
      </w:r>
    </w:p>
    <w:p w14:paraId="23DBBDCE">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2.供应商提出质疑应当提交质疑函和必要的证明材料，质疑函应当包括下列内容：</w:t>
      </w:r>
    </w:p>
    <w:p w14:paraId="1F65AD09">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3.供应商的姓名或者名称、地址、邮编、联系人及联系电话；</w:t>
      </w:r>
    </w:p>
    <w:p w14:paraId="105EC4FB">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4.质疑项目的名称、项目计划编号以及磋商项目编号；</w:t>
      </w:r>
    </w:p>
    <w:p w14:paraId="2869BD6F">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5.具体、明确的质疑事项和与质疑事项相关的请求；</w:t>
      </w:r>
    </w:p>
    <w:p w14:paraId="77B9105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6.事实依据；</w:t>
      </w:r>
    </w:p>
    <w:p w14:paraId="403B06C4">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7.必要的法律依据；</w:t>
      </w:r>
    </w:p>
    <w:p w14:paraId="696F78AB">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8.提出质疑的日期；</w:t>
      </w:r>
    </w:p>
    <w:p w14:paraId="64AB492A">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9.营业执照（或事业单位法人证书，或个体工商户营业执照或有效的自然人身份证明）复印件；</w:t>
      </w:r>
    </w:p>
    <w:p w14:paraId="796AD5B1">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10.法定代表人授权委托书原件、法定代表人身份证复印件和其授权代表的身份证复印件（供应商为自然人的提供自然人身份证复印件）；</w:t>
      </w:r>
    </w:p>
    <w:p w14:paraId="73691F07">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11.供应商为自然人的，质疑函应当由本人签字；供应商为法人或者其他组织的，质疑函应当由法定代表人、主要负责人，或者其授权代表签字或者盖章，并加盖公章。</w:t>
      </w:r>
    </w:p>
    <w:p w14:paraId="1E3A5517">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（二）质疑答复</w:t>
      </w:r>
    </w:p>
    <w:p w14:paraId="3F2DBF92">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采购人、采购代理机构应当在收到供应商的书面质疑后七个工作日内作出答复，并以书面形式通知质疑供应商和其他有关供应商。</w:t>
      </w:r>
    </w:p>
    <w:p w14:paraId="1D25D303">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（三）其他</w:t>
      </w:r>
    </w:p>
    <w:p w14:paraId="651DE05D">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1.供应商应按照《政府采购质疑和投诉办法》（财政部令第94号）及相关法律法规要求，在法定质疑期内一次性提出针对同一采购程序环节的质疑。</w:t>
      </w:r>
    </w:p>
    <w:p w14:paraId="271B139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2.质疑函范本可在财政部门户网站和中国政府采购网下载。</w:t>
      </w:r>
    </w:p>
    <w:p w14:paraId="71228596">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3" w:name="_Toc13210"/>
      <w:r>
        <w:rPr>
          <w:rFonts w:hint="eastAsia" w:ascii="宋体" w:hAnsi="宋体" w:eastAsia="宋体" w:cs="宋体"/>
          <w:color w:val="auto"/>
          <w:sz w:val="24"/>
          <w:szCs w:val="24"/>
          <w:highlight w:val="none"/>
        </w:rPr>
        <w:t>七、采购代理服务费</w:t>
      </w:r>
      <w:bookmarkEnd w:id="113"/>
    </w:p>
    <w:p w14:paraId="2CE07A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highlight w:val="none"/>
        </w:rPr>
      </w:pPr>
      <w:bookmarkStart w:id="114" w:name="_Toc102227322"/>
      <w:bookmarkStart w:id="115" w:name="_Toc342913396"/>
      <w:bookmarkStart w:id="116" w:name="_Toc12789059"/>
      <w:bookmarkStart w:id="117" w:name="_Toc11641055"/>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lang w:val="en-US" w:eastAsia="zh-CN"/>
        </w:rPr>
        <w:t>供应商成交</w:t>
      </w:r>
      <w:r>
        <w:rPr>
          <w:rFonts w:hint="eastAsia" w:ascii="宋体" w:hAnsi="宋体" w:eastAsia="宋体" w:cs="宋体"/>
          <w:color w:val="auto"/>
          <w:sz w:val="24"/>
          <w:highlight w:val="none"/>
        </w:rPr>
        <w:t>后在领取成交通知书</w:t>
      </w:r>
      <w:r>
        <w:rPr>
          <w:rFonts w:hint="eastAsia" w:ascii="宋体" w:hAnsi="宋体" w:eastAsia="宋体" w:cs="宋体"/>
          <w:color w:val="auto"/>
          <w:sz w:val="24"/>
          <w:highlight w:val="none"/>
          <w:lang w:eastAsia="zh-CN"/>
        </w:rPr>
        <w:t>的</w:t>
      </w:r>
      <w:r>
        <w:rPr>
          <w:rFonts w:hint="eastAsia" w:ascii="宋体" w:hAnsi="宋体" w:eastAsia="宋体" w:cs="宋体"/>
          <w:color w:val="auto"/>
          <w:sz w:val="24"/>
          <w:highlight w:val="none"/>
        </w:rPr>
        <w:t>同时向采购代理机构一次性缴纳采购代理服务费，</w:t>
      </w:r>
      <w:r>
        <w:rPr>
          <w:rFonts w:hint="eastAsia" w:ascii="宋体" w:hAnsi="宋体" w:eastAsia="宋体" w:cs="宋体"/>
          <w:color w:val="auto"/>
          <w:sz w:val="24"/>
          <w:highlight w:val="none"/>
          <w:lang w:val="en-US" w:eastAsia="zh-CN"/>
        </w:rPr>
        <w:t>本项目采购代理服务费按</w:t>
      </w:r>
      <w:r>
        <w:rPr>
          <w:rFonts w:hint="eastAsia" w:ascii="宋体" w:hAnsi="宋体" w:eastAsia="宋体" w:cs="宋体"/>
          <w:color w:val="auto"/>
          <w:sz w:val="24"/>
          <w:szCs w:val="24"/>
          <w:highlight w:val="none"/>
          <w:lang w:val="en-US" w:eastAsia="zh-CN"/>
        </w:rPr>
        <w:t>10000</w:t>
      </w:r>
      <w:r>
        <w:rPr>
          <w:rFonts w:hint="eastAsia" w:ascii="宋体" w:hAnsi="宋体" w:eastAsia="宋体" w:cs="宋体"/>
          <w:color w:val="auto"/>
          <w:sz w:val="24"/>
          <w:highlight w:val="none"/>
          <w:lang w:val="en-US" w:eastAsia="zh-CN"/>
        </w:rPr>
        <w:t>元固定收费收取。</w:t>
      </w:r>
    </w:p>
    <w:p w14:paraId="3E11DD7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服务费以转账、电汇等形式支付。</w:t>
      </w:r>
    </w:p>
    <w:p w14:paraId="0D95E90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采购代理服务费缴纳账户信息：</w:t>
      </w:r>
    </w:p>
    <w:p w14:paraId="568C888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户  名：重庆鼎创招标代理有限公司</w:t>
      </w:r>
    </w:p>
    <w:p w14:paraId="0807A59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开户行：招商银行股份有限公司重庆观音桥支行</w:t>
      </w:r>
    </w:p>
    <w:p w14:paraId="5BC93A5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r>
        <w:rPr>
          <w:rFonts w:hint="eastAsia" w:ascii="宋体" w:hAnsi="宋体" w:eastAsia="宋体" w:cs="宋体"/>
          <w:b/>
          <w:bCs/>
          <w:color w:val="auto"/>
          <w:sz w:val="24"/>
          <w:szCs w:val="24"/>
          <w:highlight w:val="none"/>
        </w:rPr>
        <w:t>账  号：123911157910105</w:t>
      </w:r>
    </w:p>
    <w:p w14:paraId="1FC291E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8" w:name="_Toc9304"/>
      <w:r>
        <w:rPr>
          <w:rFonts w:hint="eastAsia" w:ascii="宋体" w:hAnsi="宋体" w:eastAsia="宋体" w:cs="宋体"/>
          <w:color w:val="auto"/>
          <w:sz w:val="24"/>
          <w:szCs w:val="24"/>
          <w:highlight w:val="none"/>
        </w:rPr>
        <w:t>八、签订</w:t>
      </w:r>
      <w:bookmarkEnd w:id="114"/>
      <w:r>
        <w:rPr>
          <w:rFonts w:hint="eastAsia" w:ascii="宋体" w:hAnsi="宋体" w:eastAsia="宋体" w:cs="宋体"/>
          <w:color w:val="auto"/>
          <w:sz w:val="24"/>
          <w:szCs w:val="24"/>
          <w:highlight w:val="none"/>
        </w:rPr>
        <w:t>合同</w:t>
      </w:r>
      <w:bookmarkEnd w:id="115"/>
      <w:bookmarkEnd w:id="118"/>
    </w:p>
    <w:p w14:paraId="0B9D5460">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（一）采购人应当自成交通知书发出之日起二十日内，按照竞争性磋商文件和成交供应商响应文件的约定，与成交供应商签订书面合同。所签订的合同不得对竞争性磋商文件和供应商的响应文件作实质性修改。</w:t>
      </w:r>
    </w:p>
    <w:p w14:paraId="43AB2A9A">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（二）竞争性磋商文件、供应商的响应文件及澄清文件等，均为签订政府采购合同的依据。</w:t>
      </w:r>
    </w:p>
    <w:p w14:paraId="02262E92">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（三）合同生效条款由供需双方约定，法律、行政法规规定应当办理批准、登记等手续后生效的合同，依照其规定。</w:t>
      </w:r>
    </w:p>
    <w:p w14:paraId="107A24C6">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（四）合同原则上应按照《重庆市政府采购合同》签订，相关单位要求适用合同通用格式版本的，应按其要求另行签订其他合同。</w:t>
      </w:r>
    </w:p>
    <w:p w14:paraId="21166CAB">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（五）采购人要求成交供应商提供履约保证金的，应当在竞争性磋商文件中予以约定。成交供应商履约完毕后，采购人应按磋商文件及合同的约定无息退还其履约保证金。</w:t>
      </w:r>
    </w:p>
    <w:bookmarkEnd w:id="116"/>
    <w:bookmarkEnd w:id="117"/>
    <w:p w14:paraId="637E097E">
      <w:pPr>
        <w:rPr>
          <w:rFonts w:ascii="宋体" w:hAnsi="宋体" w:cs="宋体"/>
          <w:color w:val="auto"/>
          <w:sz w:val="24"/>
          <w:szCs w:val="24"/>
          <w:highlight w:val="none"/>
        </w:rPr>
        <w:sectPr>
          <w:footerReference r:id="rId9" w:type="default"/>
          <w:footerReference r:id="rId10" w:type="even"/>
          <w:pgSz w:w="11907" w:h="16840"/>
          <w:pgMar w:top="1134" w:right="1191" w:bottom="1134" w:left="1304" w:header="964" w:footer="992" w:gutter="0"/>
          <w:cols w:space="720" w:num="1"/>
          <w:rtlGutter w:val="1"/>
          <w:docGrid w:linePitch="312" w:charSpace="0"/>
        </w:sectPr>
      </w:pPr>
    </w:p>
    <w:p w14:paraId="5562EF9D">
      <w:pPr>
        <w:pStyle w:val="2"/>
        <w:spacing w:line="360" w:lineRule="auto"/>
        <w:jc w:val="center"/>
        <w:rPr>
          <w:rFonts w:hAnsi="宋体" w:cs="宋体"/>
          <w:b/>
          <w:bCs/>
          <w:color w:val="auto"/>
          <w:sz w:val="36"/>
          <w:szCs w:val="36"/>
          <w:highlight w:val="none"/>
        </w:rPr>
      </w:pPr>
      <w:bookmarkStart w:id="119" w:name="_Toc6917"/>
      <w:bookmarkStart w:id="120" w:name="_Toc32540"/>
      <w:bookmarkStart w:id="121" w:name="_Toc148265480"/>
      <w:bookmarkStart w:id="122" w:name="_Toc303945820"/>
      <w:bookmarkStart w:id="123" w:name="_Toc12789072"/>
      <w:r>
        <w:rPr>
          <w:rFonts w:hint="eastAsia" w:hAnsi="宋体" w:cs="宋体"/>
          <w:b/>
          <w:bCs/>
          <w:color w:val="auto"/>
          <w:sz w:val="36"/>
          <w:szCs w:val="36"/>
          <w:highlight w:val="none"/>
        </w:rPr>
        <w:t>第六篇  合同草案条款</w:t>
      </w:r>
      <w:bookmarkEnd w:id="119"/>
      <w:r>
        <w:rPr>
          <w:rFonts w:hint="eastAsia" w:hAnsi="宋体" w:cs="宋体"/>
          <w:b/>
          <w:bCs/>
          <w:color w:val="auto"/>
          <w:sz w:val="36"/>
          <w:szCs w:val="36"/>
          <w:highlight w:val="none"/>
        </w:rPr>
        <w:t>(参考样本)</w:t>
      </w:r>
      <w:bookmarkEnd w:id="120"/>
    </w:p>
    <w:p w14:paraId="7DB0DEED">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1、定义</w:t>
      </w:r>
    </w:p>
    <w:p w14:paraId="1C6EB6C2">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1.1甲方（需方）即采购人，是指通过竞争性磋商采购，接受合同货物及服务的各级国家机关、事业单位和团体组织。</w:t>
      </w:r>
    </w:p>
    <w:p w14:paraId="0BDE69A9">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1.2乙方（供方）即成交供应商，是指成交后提供合同货物和服务的自然人、法人及其他组织。</w:t>
      </w:r>
    </w:p>
    <w:p w14:paraId="473DA112">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1.3合同是指由甲乙双方按照竞争性磋商文件和响应文件的实质性内容，通过协商一致达成的书面协议。</w:t>
      </w:r>
    </w:p>
    <w:p w14:paraId="4BD16C7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1.4合同价格指以成交价格为依据，在供方全面履行合同义务后，需方（或财政部门）应支付给供方的金额。</w:t>
      </w:r>
    </w:p>
    <w:p w14:paraId="20C57427">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1.5技术资料是指合同货物及其相关的设计、制造、监造、检验、验收等文件（包括图纸、各种文字说明、标准）。</w:t>
      </w:r>
    </w:p>
    <w:p w14:paraId="054C043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2、货物内容（合同内容）</w:t>
      </w:r>
    </w:p>
    <w:p w14:paraId="587B28DB">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合同包括以下内容：货物名称、型号规格、技术参数、数量（单位）等内容。</w:t>
      </w:r>
    </w:p>
    <w:p w14:paraId="7123CB34">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3、合同价格</w:t>
      </w:r>
    </w:p>
    <w:p w14:paraId="2B75421F">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3.1合同价格即合同总价。</w:t>
      </w:r>
    </w:p>
    <w:p w14:paraId="15F0F4B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3.2合同价格包括合同货物、技术资料、合同货物的税费、运杂费、保险费、包装费、装卸费及与货物有关的供方应纳的税费，所有税费由乙方负担。</w:t>
      </w:r>
    </w:p>
    <w:p w14:paraId="09639EB5">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3.3合同货物单价为不变价。</w:t>
      </w:r>
    </w:p>
    <w:p w14:paraId="4DE4F04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4、转包或分包</w:t>
      </w:r>
    </w:p>
    <w:p w14:paraId="6EE51C43">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4.1本合同范围的货物，应由乙方直接供应，不得转让他人供应；</w:t>
      </w:r>
    </w:p>
    <w:p w14:paraId="3EE80C1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4.2非经甲方书面同意，乙方不得将本合同范围的货物全部或部分分包给他人供应；</w:t>
      </w:r>
    </w:p>
    <w:p w14:paraId="0B152F2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4.3如有转让和未经甲方同意的分包行为，甲方有权解除合同，没收履约保证金并追究乙方的违约责任。</w:t>
      </w:r>
    </w:p>
    <w:p w14:paraId="1EE63DEB">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bCs/>
          <w:color w:val="auto"/>
          <w:sz w:val="24"/>
          <w:szCs w:val="24"/>
          <w:highlight w:val="none"/>
        </w:rPr>
        <w:t>5、质量保证及售后服务</w:t>
      </w:r>
    </w:p>
    <w:p w14:paraId="61AD3E0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5.1乙方应按竞争性磋商文件规定的货物性能、技术要求、质量标准向甲方提供未经使用的全新产品。</w:t>
      </w:r>
    </w:p>
    <w:p w14:paraId="06EEF6E0">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5.2乙方提供的货物在质保期内因货物本身的质量问题发生故障，乙方应负责免费更换。对达不到技术要求者，根据实际情况，经双方协商，可按以下办法处理：</w:t>
      </w:r>
    </w:p>
    <w:p w14:paraId="143B51ED">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5.2.1更换：由乙方承担所发生的全部费用。</w:t>
      </w:r>
    </w:p>
    <w:p w14:paraId="57981514">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5.2.2贬值处理：由甲乙双方合议定价。</w:t>
      </w:r>
    </w:p>
    <w:p w14:paraId="58F2F815">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5.2.3退货处理：乙方应退还甲方支付的合同款，同时应承担该货物的直接费用（运输、保险、检验、货款利息及银行手续费等）。</w:t>
      </w:r>
    </w:p>
    <w:p w14:paraId="33CC2972">
      <w:pPr>
        <w:adjustRightInd w:val="0"/>
        <w:snapToGrid w:val="0"/>
        <w:spacing w:line="350" w:lineRule="exact"/>
        <w:ind w:firstLine="600" w:firstLineChars="250"/>
        <w:rPr>
          <w:rFonts w:ascii="宋体" w:hAnsi="宋体" w:cs="宋体"/>
          <w:color w:val="auto"/>
          <w:sz w:val="24"/>
          <w:szCs w:val="24"/>
          <w:highlight w:val="none"/>
        </w:rPr>
        <w:sectPr>
          <w:headerReference r:id="rId11" w:type="first"/>
          <w:footerReference r:id="rId13" w:type="first"/>
          <w:footerReference r:id="rId12" w:type="default"/>
          <w:pgSz w:w="11906" w:h="16838"/>
          <w:pgMar w:top="1440" w:right="1797" w:bottom="1440" w:left="1797" w:header="851" w:footer="992" w:gutter="0"/>
          <w:cols w:space="720" w:num="1"/>
          <w:titlePg/>
          <w:docGrid w:type="lines" w:linePitch="312" w:charSpace="0"/>
        </w:sectPr>
      </w:pPr>
    </w:p>
    <w:p w14:paraId="4A693CDC">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5.3 如在使用过程中发生质量问题，乙方应同本项目“第三篇  采购商务需求”对质量保证及售后服务内容的约定。</w:t>
      </w:r>
    </w:p>
    <w:p w14:paraId="6DFAFE6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5.4在质保期内，乙方应对货物出现的质量及安全问题负责处理解决并承担一切费用。</w:t>
      </w:r>
    </w:p>
    <w:p w14:paraId="44A44E7C">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6、付款</w:t>
      </w:r>
    </w:p>
    <w:p w14:paraId="0FA46FF8">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6.1本合同使用货币币制如未作特别说明均为人民币。</w:t>
      </w:r>
    </w:p>
    <w:p w14:paraId="7537CA97">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6.2付款方式：银行转账、现金支票。</w:t>
      </w:r>
    </w:p>
    <w:p w14:paraId="63784133">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6.3付款方法：同本项目“第三篇  采购商务需求”中关于付款方式的约定。</w:t>
      </w:r>
    </w:p>
    <w:p w14:paraId="1BD0E28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7、检查验收</w:t>
      </w:r>
    </w:p>
    <w:p w14:paraId="3AD1620E">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7.1供方应随货物提供合格证和质量证明文件，如是国外进口的货物还须提供入关证明。</w:t>
      </w:r>
    </w:p>
    <w:p w14:paraId="2E5D3D7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7.2货物验收</w:t>
      </w:r>
    </w:p>
    <w:p w14:paraId="353A600A">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14:paraId="33CFBFA4">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7.3货物验收报告应由需方、供方经办人签字，并加盖双方公章，以此作为支付凭据。</w:t>
      </w:r>
    </w:p>
    <w:p w14:paraId="19F484F7">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8、索赔</w:t>
      </w:r>
    </w:p>
    <w:p w14:paraId="47130E3D">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供方对货物与合同要求不符负有责任，并且需方已于规定交货内和质量保证期内提出索赔，供方应按需方同意的下述一种或多种方法解决索赔事宜。</w:t>
      </w:r>
    </w:p>
    <w:p w14:paraId="01997941">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8.1供方同意需方拒收货物并把拒收货物的金额以合同规定的同类货币付给需方，供方负担发生的一切损失和费用，包括利息、运输和保险费、检验费、仓储和装卸费以及为保管和保护被拒绝货物所需要的</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必要费用。</w:t>
      </w:r>
    </w:p>
    <w:p w14:paraId="508ECBC1">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8.2根据货物的疵劣和受损程度以及需方遭受损失的金额，经双方同意降低货物价格。</w:t>
      </w:r>
    </w:p>
    <w:p w14:paraId="48CD6AC8">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9、知识产权</w:t>
      </w:r>
    </w:p>
    <w:p w14:paraId="3D4E8089">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9.1甲方在中华人民共和国境内使用乙方提供的货物及服务时免受第三方提出的侵犯其专利权或</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知识产权的起诉。如果第三方提出侵权指控，乙方承担由此而引起的一切法律责任和费用。</w:t>
      </w:r>
    </w:p>
    <w:p w14:paraId="531BC50D">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9.2若涉及软件开发等服务类项目知识产权的，知识产权归采购人所有。</w:t>
      </w:r>
    </w:p>
    <w:p w14:paraId="6DADEFC3">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10、合同争议的解决</w:t>
      </w:r>
    </w:p>
    <w:p w14:paraId="141CDBA0">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10.1当事人友好协商达成一致</w:t>
      </w:r>
    </w:p>
    <w:p w14:paraId="3F4F4730">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10.2在60天内当事人协商不能达成协议的，可提请采购人当地仲裁机构仲裁。</w:t>
      </w:r>
    </w:p>
    <w:p w14:paraId="1E8C8546">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11、违约责任</w:t>
      </w:r>
    </w:p>
    <w:p w14:paraId="173D0478">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按《中华人民共和国民法典》、《中华人民共和国政府采购法》有关条款，或由供需双方约定。</w:t>
      </w:r>
    </w:p>
    <w:p w14:paraId="248E12AF">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12、合同生效及其</w:t>
      </w:r>
      <w:r>
        <w:rPr>
          <w:rFonts w:hint="eastAsia" w:ascii="宋体" w:hAnsi="宋体" w:cs="宋体"/>
          <w:bCs/>
          <w:color w:val="auto"/>
          <w:sz w:val="24"/>
          <w:szCs w:val="24"/>
          <w:highlight w:val="none"/>
          <w:lang w:eastAsia="zh-CN"/>
        </w:rPr>
        <w:t>他</w:t>
      </w:r>
    </w:p>
    <w:p w14:paraId="1E65837A">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12.1合同生效及其效力应符合《中华人民共和国民法典》有关规定。</w:t>
      </w:r>
    </w:p>
    <w:p w14:paraId="16D08831">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12.2合同应经当事人法定代表人或委托代理人签字，加盖双方合同专用章或公章。</w:t>
      </w:r>
    </w:p>
    <w:p w14:paraId="371A7354">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12.3合同所包括附件，是合同不可分割的一部分，具有同等法法律效力。</w:t>
      </w:r>
    </w:p>
    <w:p w14:paraId="3B1A5D64">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12.4合同需提供担保的，按《中华人民共和国民法典》规定执行。</w:t>
      </w:r>
    </w:p>
    <w:p w14:paraId="3B09FA4B">
      <w:pPr>
        <w:snapToGrid w:val="0"/>
        <w:spacing w:line="35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12.5本合同条件未尽事宜依照《中华人民共和国民法典》，由供需双方共同协商确定。</w:t>
      </w:r>
    </w:p>
    <w:p w14:paraId="0A952DF5">
      <w:pPr>
        <w:spacing w:line="350" w:lineRule="exact"/>
        <w:rPr>
          <w:rFonts w:ascii="宋体" w:hAnsi="宋体" w:cs="宋体"/>
          <w:color w:val="auto"/>
          <w:sz w:val="24"/>
          <w:szCs w:val="24"/>
          <w:highlight w:val="none"/>
        </w:rPr>
      </w:pPr>
      <w:r>
        <w:rPr>
          <w:rFonts w:hint="eastAsia" w:ascii="宋体" w:hAnsi="宋体" w:cs="宋体"/>
          <w:color w:val="auto"/>
          <w:sz w:val="24"/>
          <w:szCs w:val="24"/>
          <w:highlight w:val="none"/>
        </w:rPr>
        <w:t>合同格式</w:t>
      </w:r>
      <w:bookmarkEnd w:id="121"/>
      <w:bookmarkEnd w:id="122"/>
      <w:r>
        <w:rPr>
          <w:rFonts w:hint="eastAsia" w:ascii="宋体" w:hAnsi="宋体" w:cs="宋体"/>
          <w:color w:val="auto"/>
          <w:sz w:val="24"/>
          <w:szCs w:val="24"/>
          <w:highlight w:val="none"/>
        </w:rPr>
        <w:t>（根据项目情况自拟）。</w:t>
      </w:r>
    </w:p>
    <w:p w14:paraId="65EE4C2F">
      <w:pPr>
        <w:spacing w:line="500" w:lineRule="exact"/>
        <w:jc w:val="center"/>
        <w:rPr>
          <w:rFonts w:ascii="宋体" w:hAnsi="宋体" w:cs="宋体"/>
          <w:b/>
          <w:color w:val="auto"/>
          <w:sz w:val="24"/>
          <w:szCs w:val="24"/>
          <w:highlight w:val="none"/>
        </w:rPr>
      </w:pPr>
      <w:r>
        <w:rPr>
          <w:rFonts w:hint="eastAsia" w:ascii="宋体" w:hAnsi="宋体" w:cs="宋体"/>
          <w:b/>
          <w:color w:val="auto"/>
          <w:sz w:val="24"/>
          <w:szCs w:val="24"/>
          <w:highlight w:val="none"/>
        </w:rPr>
        <w:t>重庆市政府采购合同（参考样本）</w:t>
      </w:r>
    </w:p>
    <w:p w14:paraId="4F079009">
      <w:pPr>
        <w:snapToGrid w:val="0"/>
        <w:spacing w:line="400" w:lineRule="exact"/>
        <w:ind w:firstLine="540"/>
        <w:rPr>
          <w:rFonts w:ascii="宋体" w:hAnsi="宋体" w:cs="宋体"/>
          <w:color w:val="auto"/>
          <w:sz w:val="24"/>
          <w:szCs w:val="24"/>
          <w:highlight w:val="none"/>
        </w:rPr>
      </w:pPr>
      <w:bookmarkStart w:id="124" w:name="_Hlt41879464"/>
      <w:bookmarkEnd w:id="124"/>
      <w:r>
        <w:rPr>
          <w:rFonts w:hint="eastAsia" w:ascii="宋体" w:hAnsi="宋体" w:cs="宋体"/>
          <w:color w:val="auto"/>
          <w:sz w:val="24"/>
          <w:szCs w:val="24"/>
          <w:highlight w:val="none"/>
        </w:rPr>
        <w:t>（采购项目编号：     ）</w:t>
      </w:r>
    </w:p>
    <w:p w14:paraId="1163A380">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甲方（需方）：___________________________      计价单位：____________</w:t>
      </w:r>
    </w:p>
    <w:p w14:paraId="14A3E77E">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乙方（供方）：___________________________      计量单位：_____________</w:t>
      </w:r>
    </w:p>
    <w:p w14:paraId="7FDAE01B">
      <w:pPr>
        <w:snapToGrid w:val="0"/>
        <w:spacing w:line="400" w:lineRule="exact"/>
        <w:ind w:firstLine="540"/>
        <w:rPr>
          <w:rFonts w:ascii="宋体" w:hAnsi="宋体" w:cs="宋体"/>
          <w:color w:val="auto"/>
          <w:sz w:val="24"/>
          <w:szCs w:val="24"/>
          <w:highlight w:val="none"/>
        </w:rPr>
      </w:pPr>
    </w:p>
    <w:p w14:paraId="3A75F58D">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经双方协商一致，达成以下购销合同：</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2DD7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1B83F0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984" w:type="dxa"/>
            <w:vAlign w:val="center"/>
          </w:tcPr>
          <w:p w14:paraId="6F32B96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298" w:type="dxa"/>
            <w:gridSpan w:val="2"/>
            <w:vAlign w:val="center"/>
          </w:tcPr>
          <w:p w14:paraId="45833181">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综合单价</w:t>
            </w:r>
          </w:p>
        </w:tc>
        <w:tc>
          <w:tcPr>
            <w:tcW w:w="1134" w:type="dxa"/>
            <w:vAlign w:val="center"/>
          </w:tcPr>
          <w:p w14:paraId="37A7D08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总价</w:t>
            </w:r>
          </w:p>
        </w:tc>
        <w:tc>
          <w:tcPr>
            <w:tcW w:w="1559" w:type="dxa"/>
            <w:vAlign w:val="center"/>
          </w:tcPr>
          <w:p w14:paraId="7F2F7B4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服务期</w:t>
            </w:r>
          </w:p>
        </w:tc>
        <w:tc>
          <w:tcPr>
            <w:tcW w:w="1567" w:type="dxa"/>
            <w:vAlign w:val="center"/>
          </w:tcPr>
          <w:p w14:paraId="7C1A3EA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r>
      <w:tr w14:paraId="5205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02F1325C">
            <w:pPr>
              <w:spacing w:line="240" w:lineRule="atLeast"/>
              <w:jc w:val="center"/>
              <w:rPr>
                <w:rFonts w:ascii="宋体" w:hAnsi="宋体" w:cs="宋体"/>
                <w:color w:val="auto"/>
                <w:sz w:val="24"/>
                <w:szCs w:val="24"/>
                <w:highlight w:val="none"/>
              </w:rPr>
            </w:pPr>
          </w:p>
        </w:tc>
        <w:tc>
          <w:tcPr>
            <w:tcW w:w="984" w:type="dxa"/>
            <w:vAlign w:val="center"/>
          </w:tcPr>
          <w:p w14:paraId="75189F4C">
            <w:pPr>
              <w:spacing w:line="240" w:lineRule="atLeast"/>
              <w:jc w:val="center"/>
              <w:rPr>
                <w:rFonts w:ascii="宋体" w:hAnsi="宋体" w:cs="宋体"/>
                <w:color w:val="auto"/>
                <w:sz w:val="24"/>
                <w:szCs w:val="24"/>
                <w:highlight w:val="none"/>
              </w:rPr>
            </w:pPr>
          </w:p>
        </w:tc>
        <w:tc>
          <w:tcPr>
            <w:tcW w:w="1298" w:type="dxa"/>
            <w:gridSpan w:val="2"/>
            <w:vAlign w:val="center"/>
          </w:tcPr>
          <w:p w14:paraId="5254B3E5">
            <w:pPr>
              <w:spacing w:line="240" w:lineRule="atLeast"/>
              <w:jc w:val="center"/>
              <w:rPr>
                <w:rFonts w:ascii="宋体" w:hAnsi="宋体" w:cs="宋体"/>
                <w:color w:val="auto"/>
                <w:sz w:val="24"/>
                <w:szCs w:val="24"/>
                <w:highlight w:val="none"/>
              </w:rPr>
            </w:pPr>
          </w:p>
        </w:tc>
        <w:tc>
          <w:tcPr>
            <w:tcW w:w="1134" w:type="dxa"/>
            <w:vAlign w:val="center"/>
          </w:tcPr>
          <w:p w14:paraId="6A46A596">
            <w:pPr>
              <w:spacing w:line="240" w:lineRule="atLeast"/>
              <w:jc w:val="center"/>
              <w:rPr>
                <w:rFonts w:ascii="宋体" w:hAnsi="宋体" w:cs="宋体"/>
                <w:color w:val="auto"/>
                <w:sz w:val="24"/>
                <w:szCs w:val="24"/>
                <w:highlight w:val="none"/>
              </w:rPr>
            </w:pPr>
          </w:p>
        </w:tc>
        <w:tc>
          <w:tcPr>
            <w:tcW w:w="1559" w:type="dxa"/>
            <w:vAlign w:val="center"/>
          </w:tcPr>
          <w:p w14:paraId="7B8AC73D">
            <w:pPr>
              <w:spacing w:line="240" w:lineRule="atLeast"/>
              <w:jc w:val="center"/>
              <w:rPr>
                <w:rFonts w:ascii="宋体" w:hAnsi="宋体" w:cs="宋体"/>
                <w:color w:val="auto"/>
                <w:sz w:val="24"/>
                <w:szCs w:val="24"/>
                <w:highlight w:val="none"/>
              </w:rPr>
            </w:pPr>
          </w:p>
        </w:tc>
        <w:tc>
          <w:tcPr>
            <w:tcW w:w="1567" w:type="dxa"/>
            <w:vAlign w:val="center"/>
          </w:tcPr>
          <w:p w14:paraId="6D3644C9">
            <w:pPr>
              <w:spacing w:line="240" w:lineRule="atLeast"/>
              <w:jc w:val="center"/>
              <w:rPr>
                <w:rFonts w:ascii="宋体" w:hAnsi="宋体" w:cs="宋体"/>
                <w:color w:val="auto"/>
                <w:sz w:val="24"/>
                <w:szCs w:val="24"/>
                <w:highlight w:val="none"/>
              </w:rPr>
            </w:pPr>
          </w:p>
        </w:tc>
      </w:tr>
      <w:tr w14:paraId="7D93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64DB1D5">
            <w:pPr>
              <w:spacing w:line="240" w:lineRule="atLeast"/>
              <w:jc w:val="center"/>
              <w:rPr>
                <w:rFonts w:ascii="宋体" w:hAnsi="宋体" w:cs="宋体"/>
                <w:color w:val="auto"/>
                <w:sz w:val="24"/>
                <w:szCs w:val="24"/>
                <w:highlight w:val="none"/>
              </w:rPr>
            </w:pPr>
          </w:p>
        </w:tc>
        <w:tc>
          <w:tcPr>
            <w:tcW w:w="984" w:type="dxa"/>
            <w:vAlign w:val="center"/>
          </w:tcPr>
          <w:p w14:paraId="40D35E55">
            <w:pPr>
              <w:spacing w:line="240" w:lineRule="atLeast"/>
              <w:jc w:val="center"/>
              <w:rPr>
                <w:rFonts w:ascii="宋体" w:hAnsi="宋体" w:cs="宋体"/>
                <w:color w:val="auto"/>
                <w:sz w:val="24"/>
                <w:szCs w:val="24"/>
                <w:highlight w:val="none"/>
              </w:rPr>
            </w:pPr>
          </w:p>
        </w:tc>
        <w:tc>
          <w:tcPr>
            <w:tcW w:w="1298" w:type="dxa"/>
            <w:gridSpan w:val="2"/>
            <w:vAlign w:val="center"/>
          </w:tcPr>
          <w:p w14:paraId="64897469">
            <w:pPr>
              <w:spacing w:line="240" w:lineRule="atLeast"/>
              <w:jc w:val="center"/>
              <w:rPr>
                <w:rFonts w:ascii="宋体" w:hAnsi="宋体" w:cs="宋体"/>
                <w:color w:val="auto"/>
                <w:sz w:val="24"/>
                <w:szCs w:val="24"/>
                <w:highlight w:val="none"/>
              </w:rPr>
            </w:pPr>
          </w:p>
        </w:tc>
        <w:tc>
          <w:tcPr>
            <w:tcW w:w="1134" w:type="dxa"/>
            <w:vAlign w:val="center"/>
          </w:tcPr>
          <w:p w14:paraId="4ED3AA03">
            <w:pPr>
              <w:spacing w:line="240" w:lineRule="atLeast"/>
              <w:jc w:val="center"/>
              <w:rPr>
                <w:rFonts w:ascii="宋体" w:hAnsi="宋体" w:cs="宋体"/>
                <w:color w:val="auto"/>
                <w:sz w:val="24"/>
                <w:szCs w:val="24"/>
                <w:highlight w:val="none"/>
              </w:rPr>
            </w:pPr>
          </w:p>
        </w:tc>
        <w:tc>
          <w:tcPr>
            <w:tcW w:w="1559" w:type="dxa"/>
            <w:vAlign w:val="center"/>
          </w:tcPr>
          <w:p w14:paraId="1A1904C4">
            <w:pPr>
              <w:spacing w:line="240" w:lineRule="atLeast"/>
              <w:jc w:val="center"/>
              <w:rPr>
                <w:rFonts w:ascii="宋体" w:hAnsi="宋体" w:cs="宋体"/>
                <w:color w:val="auto"/>
                <w:sz w:val="24"/>
                <w:szCs w:val="24"/>
                <w:highlight w:val="none"/>
              </w:rPr>
            </w:pPr>
          </w:p>
        </w:tc>
        <w:tc>
          <w:tcPr>
            <w:tcW w:w="1567" w:type="dxa"/>
            <w:vAlign w:val="center"/>
          </w:tcPr>
          <w:p w14:paraId="5BF97A29">
            <w:pPr>
              <w:spacing w:line="240" w:lineRule="atLeast"/>
              <w:jc w:val="center"/>
              <w:rPr>
                <w:rFonts w:ascii="宋体" w:hAnsi="宋体" w:cs="宋体"/>
                <w:color w:val="auto"/>
                <w:sz w:val="24"/>
                <w:szCs w:val="24"/>
                <w:highlight w:val="none"/>
              </w:rPr>
            </w:pPr>
          </w:p>
        </w:tc>
      </w:tr>
      <w:tr w14:paraId="7788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1FB0565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合计人民币（小写）：</w:t>
            </w:r>
          </w:p>
        </w:tc>
      </w:tr>
      <w:tr w14:paraId="08C3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5969CA5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合计人民币（大写）：</w:t>
            </w:r>
          </w:p>
        </w:tc>
      </w:tr>
      <w:tr w14:paraId="30B6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00AACDC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一、服务要求</w:t>
            </w:r>
          </w:p>
        </w:tc>
      </w:tr>
      <w:tr w14:paraId="3F34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34C617E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二、验收方式</w:t>
            </w:r>
          </w:p>
        </w:tc>
      </w:tr>
      <w:tr w14:paraId="4EAC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4BFCF8E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三、付款方式：</w:t>
            </w:r>
          </w:p>
          <w:p w14:paraId="3AE71205">
            <w:pPr>
              <w:pStyle w:val="32"/>
              <w:spacing w:line="240" w:lineRule="atLeast"/>
              <w:rPr>
                <w:rFonts w:ascii="宋体" w:hAnsi="宋体" w:eastAsia="宋体" w:cs="宋体"/>
                <w:color w:val="auto"/>
                <w:sz w:val="24"/>
                <w:szCs w:val="24"/>
                <w:highlight w:val="none"/>
              </w:rPr>
            </w:pPr>
          </w:p>
        </w:tc>
      </w:tr>
      <w:tr w14:paraId="7D89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89743C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四、违约责任：</w:t>
            </w:r>
          </w:p>
          <w:p w14:paraId="27551E2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按《中华人民共和国民法典》、《政府采购法》执行，或按双方约定。</w:t>
            </w:r>
          </w:p>
        </w:tc>
      </w:tr>
      <w:tr w14:paraId="3912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EFAF81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五、其他约定事项：</w:t>
            </w:r>
          </w:p>
          <w:p w14:paraId="6DD138DE">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1.采购文件及其补遗文件、响应文件和承诺是本合同不可分割的部分。</w:t>
            </w:r>
          </w:p>
          <w:p w14:paraId="711DD3F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2.本合同如发生争议由双方协商解决，协商不成向需方所在人民法院提请诉讼。</w:t>
            </w:r>
          </w:p>
          <w:p w14:paraId="2CD8C41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3.本合同一式__份，需方__份，供方__份，具同等法律效力。</w:t>
            </w:r>
          </w:p>
          <w:p w14:paraId="546CE37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4.其他：</w:t>
            </w:r>
          </w:p>
        </w:tc>
      </w:tr>
      <w:tr w14:paraId="2B71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2DB3398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需方：</w:t>
            </w:r>
          </w:p>
          <w:p w14:paraId="0FF121A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366F9DD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联系电话：</w:t>
            </w:r>
          </w:p>
          <w:p w14:paraId="1DA2C0F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4984" w:type="dxa"/>
            <w:gridSpan w:val="5"/>
          </w:tcPr>
          <w:p w14:paraId="5899CD3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供方：</w:t>
            </w:r>
          </w:p>
          <w:p w14:paraId="039628C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18763DB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电话：</w:t>
            </w:r>
          </w:p>
          <w:p w14:paraId="68354DA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传真：</w:t>
            </w:r>
          </w:p>
          <w:p w14:paraId="69DD34D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开户银行：</w:t>
            </w:r>
          </w:p>
          <w:p w14:paraId="0407078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账号：</w:t>
            </w:r>
          </w:p>
          <w:p w14:paraId="09EF6246">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p w14:paraId="681DA9C6">
            <w:pPr>
              <w:widowControl/>
              <w:spacing w:line="240" w:lineRule="atLeast"/>
              <w:jc w:val="left"/>
              <w:rPr>
                <w:rFonts w:ascii="宋体" w:hAnsi="宋体" w:cs="宋体"/>
                <w:color w:val="auto"/>
                <w:sz w:val="24"/>
                <w:szCs w:val="24"/>
                <w:highlight w:val="none"/>
              </w:rPr>
            </w:pPr>
            <w:r>
              <w:rPr>
                <w:rFonts w:hint="eastAsia" w:ascii="宋体" w:hAnsi="宋体" w:cs="宋体"/>
                <w:color w:val="auto"/>
                <w:sz w:val="24"/>
                <w:szCs w:val="24"/>
                <w:highlight w:val="none"/>
              </w:rPr>
              <w:t>（本栏请用计算机打印以便于准确付款）</w:t>
            </w:r>
          </w:p>
        </w:tc>
      </w:tr>
      <w:tr w14:paraId="6DF1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072C341F">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备注：</w:t>
            </w:r>
          </w:p>
          <w:p w14:paraId="27F7E336">
            <w:pPr>
              <w:spacing w:line="240" w:lineRule="atLeast"/>
              <w:rPr>
                <w:rFonts w:ascii="宋体" w:hAnsi="宋体" w:cs="宋体"/>
                <w:color w:val="auto"/>
                <w:sz w:val="24"/>
                <w:szCs w:val="24"/>
                <w:highlight w:val="none"/>
              </w:rPr>
            </w:pPr>
          </w:p>
          <w:p w14:paraId="58FD0DF4">
            <w:pPr>
              <w:spacing w:line="240" w:lineRule="atLeast"/>
              <w:rPr>
                <w:rFonts w:ascii="宋体" w:hAnsi="宋体" w:cs="宋体"/>
                <w:color w:val="auto"/>
                <w:sz w:val="24"/>
                <w:szCs w:val="24"/>
                <w:highlight w:val="none"/>
              </w:rPr>
            </w:pPr>
          </w:p>
        </w:tc>
      </w:tr>
    </w:tbl>
    <w:p w14:paraId="48185D01">
      <w:pPr>
        <w:snapToGrid w:val="0"/>
        <w:spacing w:line="400" w:lineRule="exact"/>
        <w:rPr>
          <w:rFonts w:ascii="宋体" w:hAnsi="宋体" w:cs="宋体"/>
          <w:color w:val="auto"/>
          <w:sz w:val="24"/>
          <w:szCs w:val="24"/>
          <w:highlight w:val="none"/>
        </w:rPr>
      </w:pPr>
    </w:p>
    <w:p w14:paraId="5EC86171">
      <w:pPr>
        <w:snapToGrid w:val="0"/>
        <w:spacing w:line="400" w:lineRule="exact"/>
        <w:ind w:firstLine="540"/>
        <w:rPr>
          <w:rFonts w:ascii="宋体" w:hAnsi="宋体" w:cs="宋体"/>
          <w:color w:val="auto"/>
          <w:sz w:val="24"/>
          <w:szCs w:val="24"/>
          <w:highlight w:val="none"/>
        </w:rPr>
      </w:pPr>
    </w:p>
    <w:p w14:paraId="2BEA0F61">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签约时间：  年   月   日                        签约地点：</w:t>
      </w:r>
    </w:p>
    <w:p w14:paraId="61CEADB0">
      <w:pPr>
        <w:spacing w:line="500" w:lineRule="exact"/>
        <w:rPr>
          <w:rFonts w:ascii="宋体" w:hAnsi="宋体" w:cs="宋体"/>
          <w:b/>
          <w:color w:val="auto"/>
          <w:sz w:val="24"/>
          <w:szCs w:val="24"/>
          <w:highlight w:val="none"/>
        </w:rPr>
      </w:pPr>
    </w:p>
    <w:p w14:paraId="5F176229">
      <w:pPr>
        <w:pStyle w:val="22"/>
        <w:rPr>
          <w:rFonts w:ascii="宋体" w:hAnsi="宋体" w:cs="宋体"/>
          <w:b/>
          <w:color w:val="auto"/>
          <w:sz w:val="24"/>
          <w:szCs w:val="24"/>
          <w:highlight w:val="none"/>
        </w:rPr>
      </w:pPr>
    </w:p>
    <w:p w14:paraId="75E096A4">
      <w:pPr>
        <w:rPr>
          <w:rFonts w:ascii="宋体" w:hAnsi="宋体" w:cs="宋体"/>
          <w:b/>
          <w:color w:val="auto"/>
          <w:sz w:val="24"/>
          <w:szCs w:val="24"/>
          <w:highlight w:val="none"/>
        </w:rPr>
      </w:pPr>
    </w:p>
    <w:bookmarkEnd w:id="123"/>
    <w:p w14:paraId="2B3A2EF0">
      <w:pPr>
        <w:rPr>
          <w:rFonts w:ascii="宋体" w:hAnsi="宋体" w:cs="宋体"/>
          <w:color w:val="auto"/>
          <w:sz w:val="24"/>
          <w:szCs w:val="24"/>
          <w:highlight w:val="none"/>
        </w:rPr>
      </w:pPr>
      <w:bookmarkStart w:id="125" w:name="_Toc1780"/>
    </w:p>
    <w:p w14:paraId="5BC08169">
      <w:pPr>
        <w:pStyle w:val="2"/>
        <w:spacing w:line="360" w:lineRule="auto"/>
        <w:jc w:val="center"/>
        <w:rPr>
          <w:rFonts w:hAnsi="宋体" w:cs="宋体"/>
          <w:b/>
          <w:bCs/>
          <w:color w:val="auto"/>
          <w:sz w:val="36"/>
          <w:szCs w:val="36"/>
          <w:highlight w:val="none"/>
        </w:rPr>
      </w:pPr>
      <w:bookmarkStart w:id="126" w:name="_Toc26562"/>
      <w:r>
        <w:rPr>
          <w:rFonts w:hint="eastAsia" w:hAnsi="宋体" w:cs="宋体"/>
          <w:b/>
          <w:bCs/>
          <w:color w:val="auto"/>
          <w:sz w:val="36"/>
          <w:szCs w:val="36"/>
          <w:highlight w:val="none"/>
        </w:rPr>
        <w:t>第七篇  响应文件编制要求</w:t>
      </w:r>
      <w:bookmarkEnd w:id="125"/>
      <w:bookmarkEnd w:id="126"/>
    </w:p>
    <w:p w14:paraId="4024149E">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一、经济部分</w:t>
      </w:r>
    </w:p>
    <w:p w14:paraId="4AA860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1931C7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（二）分项报价明细表</w:t>
      </w:r>
    </w:p>
    <w:p w14:paraId="313D560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二、服务部分</w:t>
      </w:r>
    </w:p>
    <w:p w14:paraId="4A7A78E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（一）服务方案（格式自定）</w:t>
      </w:r>
    </w:p>
    <w:p w14:paraId="3F3D442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（二）服务响应偏离表</w:t>
      </w:r>
    </w:p>
    <w:p w14:paraId="05346AD5">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三、商务部分</w:t>
      </w:r>
    </w:p>
    <w:p w14:paraId="343AB53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（一）商务要求响应情况：服务期、服务地点及验收方式等（格式自定）</w:t>
      </w:r>
    </w:p>
    <w:p w14:paraId="29F2C1C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（二）商务响应偏离表</w:t>
      </w:r>
    </w:p>
    <w:p w14:paraId="06190BB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优惠服务承诺（格式自定）</w:t>
      </w:r>
    </w:p>
    <w:p w14:paraId="6E730174">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四、资格条件及其他</w:t>
      </w:r>
    </w:p>
    <w:p w14:paraId="5008F9A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24EFD29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0EC1E28D">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（三）法定代表人授权委托书（格式）</w:t>
      </w:r>
    </w:p>
    <w:p w14:paraId="3C68944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（四）基本资格条件承诺函（格式）</w:t>
      </w:r>
    </w:p>
    <w:p w14:paraId="2D2E6C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（五）特定资格条件证明文件（如有）</w:t>
      </w:r>
    </w:p>
    <w:p w14:paraId="5FCDFAB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五、其他应提供的资料</w:t>
      </w:r>
    </w:p>
    <w:p w14:paraId="5C0C736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（一）其他资料</w:t>
      </w:r>
    </w:p>
    <w:p w14:paraId="28E179B2">
      <w:pPr>
        <w:rPr>
          <w:rFonts w:ascii="宋体" w:hAnsi="宋体" w:cs="宋体"/>
          <w:color w:val="auto"/>
          <w:sz w:val="24"/>
          <w:szCs w:val="24"/>
          <w:highlight w:val="none"/>
        </w:rPr>
      </w:pPr>
      <w:bookmarkStart w:id="127" w:name="_Toc10238"/>
      <w:bookmarkStart w:id="128" w:name="_Toc313008356"/>
      <w:bookmarkStart w:id="129" w:name="_Toc342913419"/>
      <w:bookmarkStart w:id="130" w:name="_Toc313888360"/>
      <w:bookmarkStart w:id="131" w:name="_Toc499576264"/>
      <w:bookmarkStart w:id="132" w:name="_Toc12789073"/>
      <w:bookmarkStart w:id="133" w:name="_Toc283382454"/>
    </w:p>
    <w:p w14:paraId="1EAD0928">
      <w:pPr>
        <w:rPr>
          <w:rFonts w:ascii="宋体" w:hAnsi="宋体" w:cs="宋体"/>
          <w:color w:val="auto"/>
          <w:sz w:val="24"/>
          <w:szCs w:val="24"/>
          <w:highlight w:val="none"/>
        </w:rPr>
      </w:pPr>
    </w:p>
    <w:p w14:paraId="2C73ED42">
      <w:pPr>
        <w:rPr>
          <w:rFonts w:ascii="宋体" w:hAnsi="宋体" w:cs="宋体"/>
          <w:color w:val="auto"/>
          <w:sz w:val="24"/>
          <w:szCs w:val="24"/>
          <w:highlight w:val="none"/>
        </w:rPr>
      </w:pPr>
    </w:p>
    <w:p w14:paraId="27B7BB44">
      <w:pPr>
        <w:rPr>
          <w:rFonts w:ascii="宋体" w:hAnsi="宋体" w:cs="宋体"/>
          <w:color w:val="auto"/>
          <w:sz w:val="24"/>
          <w:szCs w:val="24"/>
          <w:highlight w:val="none"/>
        </w:rPr>
      </w:pPr>
    </w:p>
    <w:p w14:paraId="3169D41D">
      <w:pPr>
        <w:rPr>
          <w:rFonts w:ascii="宋体" w:hAnsi="宋体" w:cs="宋体"/>
          <w:color w:val="auto"/>
          <w:sz w:val="24"/>
          <w:szCs w:val="24"/>
          <w:highlight w:val="none"/>
        </w:rPr>
      </w:pPr>
    </w:p>
    <w:p w14:paraId="791A9DBA">
      <w:pPr>
        <w:rPr>
          <w:rFonts w:ascii="宋体" w:hAnsi="宋体" w:cs="宋体"/>
          <w:color w:val="auto"/>
          <w:sz w:val="24"/>
          <w:szCs w:val="24"/>
          <w:highlight w:val="none"/>
        </w:rPr>
      </w:pPr>
    </w:p>
    <w:p w14:paraId="29868D69">
      <w:pPr>
        <w:pStyle w:val="22"/>
        <w:rPr>
          <w:rFonts w:ascii="宋体" w:hAnsi="宋体" w:cs="宋体"/>
          <w:color w:val="auto"/>
          <w:sz w:val="24"/>
          <w:szCs w:val="24"/>
          <w:highlight w:val="none"/>
        </w:rPr>
      </w:pPr>
    </w:p>
    <w:p w14:paraId="5DB93F06">
      <w:pPr>
        <w:pStyle w:val="28"/>
        <w:ind w:left="2240"/>
        <w:rPr>
          <w:rFonts w:ascii="宋体" w:hAnsi="宋体" w:cs="宋体"/>
          <w:color w:val="auto"/>
          <w:sz w:val="24"/>
          <w:szCs w:val="24"/>
          <w:highlight w:val="none"/>
        </w:rPr>
      </w:pPr>
    </w:p>
    <w:p w14:paraId="3031E0D3">
      <w:pPr>
        <w:rPr>
          <w:rFonts w:ascii="宋体" w:hAnsi="宋体" w:cs="宋体"/>
          <w:color w:val="auto"/>
          <w:sz w:val="24"/>
          <w:szCs w:val="24"/>
          <w:highlight w:val="none"/>
        </w:rPr>
      </w:pPr>
    </w:p>
    <w:p w14:paraId="5FB5A6EA">
      <w:pPr>
        <w:rPr>
          <w:rFonts w:ascii="宋体" w:hAnsi="宋体" w:cs="宋体"/>
          <w:color w:val="auto"/>
          <w:sz w:val="24"/>
          <w:szCs w:val="24"/>
          <w:highlight w:val="none"/>
        </w:rPr>
      </w:pPr>
      <w:r>
        <w:rPr>
          <w:rFonts w:hint="eastAsia" w:ascii="宋体" w:hAnsi="宋体" w:cs="宋体"/>
          <w:color w:val="auto"/>
          <w:sz w:val="24"/>
          <w:szCs w:val="24"/>
          <w:highlight w:val="none"/>
        </w:rPr>
        <w:br w:type="page"/>
      </w:r>
    </w:p>
    <w:p w14:paraId="73D26065">
      <w:pPr>
        <w:pStyle w:val="3"/>
        <w:spacing w:before="0" w:after="0" w:line="440" w:lineRule="exact"/>
        <w:rPr>
          <w:rFonts w:ascii="宋体" w:hAnsi="宋体" w:eastAsia="宋体" w:cs="宋体"/>
          <w:color w:val="auto"/>
          <w:sz w:val="24"/>
          <w:szCs w:val="24"/>
          <w:highlight w:val="none"/>
        </w:rPr>
      </w:pPr>
      <w:bookmarkStart w:id="134" w:name="_Toc810"/>
      <w:r>
        <w:rPr>
          <w:rFonts w:hint="eastAsia" w:ascii="宋体" w:hAnsi="宋体" w:eastAsia="宋体" w:cs="宋体"/>
          <w:color w:val="auto"/>
          <w:sz w:val="24"/>
          <w:szCs w:val="24"/>
          <w:highlight w:val="none"/>
        </w:rPr>
        <w:t>一、经济部分</w:t>
      </w:r>
      <w:bookmarkEnd w:id="127"/>
      <w:bookmarkEnd w:id="128"/>
      <w:bookmarkEnd w:id="129"/>
      <w:bookmarkEnd w:id="130"/>
      <w:bookmarkEnd w:id="131"/>
      <w:bookmarkEnd w:id="134"/>
    </w:p>
    <w:bookmarkEnd w:id="132"/>
    <w:bookmarkEnd w:id="133"/>
    <w:p w14:paraId="5B9BBEF0">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1A1A8ACF">
      <w:pPr>
        <w:tabs>
          <w:tab w:val="left" w:pos="6300"/>
        </w:tabs>
        <w:snapToGrid w:val="0"/>
        <w:spacing w:line="312"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竞争性磋商报价函</w:t>
      </w:r>
    </w:p>
    <w:p w14:paraId="06FEA391">
      <w:pPr>
        <w:tabs>
          <w:tab w:val="left" w:pos="6300"/>
        </w:tabs>
        <w:snapToGrid w:val="0"/>
        <w:spacing w:line="312"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（采购代理机构名称）</w:t>
      </w:r>
      <w:r>
        <w:rPr>
          <w:rFonts w:hint="eastAsia" w:ascii="宋体" w:hAnsi="宋体" w:cs="宋体"/>
          <w:color w:val="auto"/>
          <w:sz w:val="24"/>
          <w:szCs w:val="24"/>
          <w:highlight w:val="none"/>
        </w:rPr>
        <w:t>：</w:t>
      </w:r>
    </w:p>
    <w:p w14:paraId="2C7952D7">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我方收到____________________________（项目名称）的竞争性磋商文件，经详细研究，决定参加该项目的磋商。</w:t>
      </w:r>
    </w:p>
    <w:p w14:paraId="35A0EF16">
      <w:pPr>
        <w:tabs>
          <w:tab w:val="left" w:pos="6300"/>
        </w:tabs>
        <w:snapToGrid w:val="0"/>
        <w:spacing w:line="312"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1、愿意按照竞争性磋商文件中的一切要求，提供本项目所需的技术和服务，初始</w:t>
      </w:r>
      <w:r>
        <w:rPr>
          <w:rFonts w:hint="eastAsia" w:ascii="宋体" w:hAnsi="宋体" w:cs="宋体"/>
          <w:color w:val="auto"/>
          <w:sz w:val="24"/>
          <w:szCs w:val="24"/>
          <w:highlight w:val="none"/>
          <w:lang w:val="en-US" w:eastAsia="zh-CN"/>
        </w:rPr>
        <w:t>总</w:t>
      </w:r>
      <w:r>
        <w:rPr>
          <w:rFonts w:hint="eastAsia" w:ascii="宋体" w:hAnsi="宋体" w:cs="宋体"/>
          <w:color w:val="auto"/>
          <w:sz w:val="24"/>
          <w:szCs w:val="24"/>
          <w:highlight w:val="none"/>
        </w:rPr>
        <w:t>报价为大写：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；小写：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。以我公司最后报价为准</w:t>
      </w:r>
      <w:r>
        <w:rPr>
          <w:rFonts w:hint="eastAsia" w:ascii="宋体" w:hAnsi="宋体" w:cs="宋体"/>
          <w:color w:val="auto"/>
          <w:sz w:val="24"/>
          <w:szCs w:val="24"/>
          <w:highlight w:val="none"/>
          <w:lang w:val="en-US" w:eastAsia="zh-CN"/>
        </w:rPr>
        <w:t>。</w:t>
      </w:r>
    </w:p>
    <w:p w14:paraId="3AE96C0B">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2、我方现提交的响应文件为：响应文件正本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份，副本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份，电子文档</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14:paraId="5297DB22">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3、我方承诺：本次磋商的有效期为提交响应文件截止时间起90天。</w:t>
      </w:r>
    </w:p>
    <w:p w14:paraId="356F627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4、我方完全理解和接受贵方竞争性磋商文件的一切规定和要求及评审办法。</w:t>
      </w:r>
    </w:p>
    <w:p w14:paraId="749388F9">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5、在整个竞争性磋商过程中，我方若有违规行为，接受按照《中华人民共和国政府采购法》和《竞争性磋商文件》之规定给予惩罚。</w:t>
      </w:r>
    </w:p>
    <w:p w14:paraId="58410571">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6、我方若成为成交供应商，将按照最终磋商结果签订合同，并且严格履行合同义务。本承诺函将成为合同不可分割的一部分，与合同具有同等的法律效力。</w:t>
      </w:r>
    </w:p>
    <w:p w14:paraId="5724AD29">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7、如果我方成为成交供应商，保证在接到成交通知书后，向采购代理机构缴纳竞争性磋商文件规定的采购代理服务费。</w:t>
      </w:r>
    </w:p>
    <w:p w14:paraId="48FCF370">
      <w:pPr>
        <w:tabs>
          <w:tab w:val="left" w:pos="6300"/>
        </w:tabs>
        <w:snapToGrid w:val="0"/>
        <w:spacing w:line="312"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8、我方未为采购项目提供整体设计、规范编制或者项目管理、监理、检测等服务。</w:t>
      </w:r>
    </w:p>
    <w:p w14:paraId="0203C9B9">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供应商（公章）或自然人签署：</w:t>
      </w:r>
    </w:p>
    <w:p w14:paraId="29F7D638">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地址：  </w:t>
      </w:r>
    </w:p>
    <w:p w14:paraId="3D438B9D">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电话：                                             传真：</w:t>
      </w:r>
    </w:p>
    <w:p w14:paraId="4649B867">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网址：                                             邮编：</w:t>
      </w:r>
    </w:p>
    <w:p w14:paraId="05F95A73">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联系人：</w:t>
      </w:r>
    </w:p>
    <w:p w14:paraId="52374E8E">
      <w:pPr>
        <w:snapToGrid w:val="0"/>
        <w:spacing w:line="460" w:lineRule="exact"/>
        <w:ind w:firstLine="480" w:firstLineChars="200"/>
        <w:rPr>
          <w:rFonts w:ascii="宋体" w:hAnsi="宋体" w:cs="宋体"/>
          <w:color w:val="auto"/>
          <w:sz w:val="24"/>
          <w:szCs w:val="24"/>
          <w:highlight w:val="none"/>
        </w:rPr>
        <w:sectPr>
          <w:headerReference r:id="rId14" w:type="default"/>
          <w:footerReference r:id="rId15" w:type="default"/>
          <w:pgSz w:w="11907" w:h="16840"/>
          <w:pgMar w:top="1134" w:right="1191" w:bottom="1134" w:left="1304" w:header="851" w:footer="992" w:gutter="0"/>
          <w:cols w:space="720" w:num="1"/>
          <w:rtlGutter w:val="1"/>
          <w:docGrid w:linePitch="380" w:charSpace="-5735"/>
        </w:sectPr>
      </w:pPr>
      <w:r>
        <w:rPr>
          <w:rFonts w:hint="eastAsia" w:ascii="宋体" w:hAnsi="宋体" w:cs="宋体"/>
          <w:color w:val="auto"/>
          <w:sz w:val="24"/>
          <w:szCs w:val="24"/>
          <w:highlight w:val="none"/>
        </w:rPr>
        <w:t xml:space="preserve">                                                  年   月   日</w:t>
      </w:r>
    </w:p>
    <w:p w14:paraId="14A4B58A">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（二）分项报价明细表</w:t>
      </w:r>
    </w:p>
    <w:p w14:paraId="13AAA131">
      <w:pPr>
        <w:tabs>
          <w:tab w:val="left" w:pos="6300"/>
        </w:tabs>
        <w:snapToGrid w:val="0"/>
        <w:spacing w:line="480" w:lineRule="exact"/>
        <w:jc w:val="center"/>
        <w:rPr>
          <w:rFonts w:ascii="宋体" w:hAnsi="宋体" w:cs="宋体"/>
          <w:color w:val="auto"/>
          <w:sz w:val="24"/>
          <w:szCs w:val="24"/>
          <w:highlight w:val="none"/>
        </w:rPr>
      </w:pPr>
      <w:r>
        <w:rPr>
          <w:rFonts w:hint="eastAsia" w:ascii="宋体" w:hAnsi="宋体" w:cs="宋体"/>
          <w:b/>
          <w:bCs/>
          <w:color w:val="auto"/>
          <w:sz w:val="24"/>
          <w:szCs w:val="24"/>
          <w:highlight w:val="none"/>
        </w:rPr>
        <w:t>分项报价明细表</w:t>
      </w:r>
    </w:p>
    <w:p w14:paraId="114BB612">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项目执行编号</w:t>
      </w:r>
      <w:r>
        <w:rPr>
          <w:rFonts w:hint="eastAsia" w:ascii="宋体" w:hAnsi="宋体" w:cs="宋体"/>
          <w:color w:val="auto"/>
          <w:sz w:val="24"/>
          <w:szCs w:val="24"/>
          <w:highlight w:val="none"/>
        </w:rPr>
        <w:t>：</w:t>
      </w:r>
    </w:p>
    <w:p w14:paraId="0299D9BD">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磋商项目名称：</w:t>
      </w:r>
    </w:p>
    <w:p w14:paraId="45E818EB">
      <w:pPr>
        <w:tabs>
          <w:tab w:val="left" w:pos="6300"/>
        </w:tabs>
        <w:snapToGrid w:val="0"/>
        <w:spacing w:line="360" w:lineRule="auto"/>
        <w:jc w:val="righ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单位：元</w:t>
      </w:r>
    </w:p>
    <w:tbl>
      <w:tblPr>
        <w:tblStyle w:val="57"/>
        <w:tblW w:w="0" w:type="auto"/>
        <w:jc w:val="center"/>
        <w:tblLayout w:type="fixed"/>
        <w:tblCellMar>
          <w:top w:w="0" w:type="dxa"/>
          <w:left w:w="0" w:type="dxa"/>
          <w:bottom w:w="0" w:type="dxa"/>
          <w:right w:w="0" w:type="dxa"/>
        </w:tblCellMar>
      </w:tblPr>
      <w:tblGrid>
        <w:gridCol w:w="927"/>
        <w:gridCol w:w="1620"/>
        <w:gridCol w:w="4229"/>
        <w:gridCol w:w="927"/>
        <w:gridCol w:w="927"/>
        <w:gridCol w:w="927"/>
      </w:tblGrid>
      <w:tr w14:paraId="2B030A06">
        <w:tblPrEx>
          <w:tblCellMar>
            <w:top w:w="0" w:type="dxa"/>
            <w:left w:w="0" w:type="dxa"/>
            <w:bottom w:w="0" w:type="dxa"/>
            <w:right w:w="0" w:type="dxa"/>
          </w:tblCellMar>
        </w:tblPrEx>
        <w:trPr>
          <w:trHeight w:val="627"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CCED73">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6A1077">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9E0C19">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相关信息</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3BCC59">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E263B6">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单价</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C324EE">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合计</w:t>
            </w:r>
          </w:p>
        </w:tc>
      </w:tr>
      <w:tr w14:paraId="1EA0D516">
        <w:tblPrEx>
          <w:tblCellMar>
            <w:top w:w="0" w:type="dxa"/>
            <w:left w:w="0" w:type="dxa"/>
            <w:bottom w:w="0" w:type="dxa"/>
            <w:right w:w="0" w:type="dxa"/>
          </w:tblCellMar>
        </w:tblPrEx>
        <w:trPr>
          <w:trHeight w:val="942"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A10A83">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95E345">
            <w:pPr>
              <w:snapToGrid w:val="0"/>
              <w:spacing w:line="240" w:lineRule="atLeas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新增档案整理及数字化加工</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B3258D">
            <w:pPr>
              <w:snapToGrid w:val="0"/>
              <w:spacing w:line="240" w:lineRule="atLeas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8B8532">
            <w:pPr>
              <w:snapToGrid w:val="0"/>
              <w:spacing w:line="240" w:lineRule="atLeas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6800卷</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158E34">
            <w:pPr>
              <w:snapToGrid w:val="0"/>
              <w:spacing w:line="240" w:lineRule="atLeast"/>
              <w:jc w:val="center"/>
              <w:rPr>
                <w:rFonts w:hint="eastAsia" w:ascii="宋体" w:hAnsi="宋体" w:eastAsia="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A5E780">
            <w:pPr>
              <w:snapToGrid w:val="0"/>
              <w:jc w:val="center"/>
              <w:rPr>
                <w:rFonts w:hint="eastAsia" w:ascii="宋体" w:hAnsi="宋体" w:cs="宋体"/>
                <w:bCs/>
                <w:color w:val="auto"/>
                <w:sz w:val="24"/>
                <w:szCs w:val="24"/>
                <w:highlight w:val="none"/>
              </w:rPr>
            </w:pPr>
          </w:p>
        </w:tc>
      </w:tr>
      <w:tr w14:paraId="1115DA48">
        <w:tblPrEx>
          <w:tblCellMar>
            <w:top w:w="0" w:type="dxa"/>
            <w:left w:w="0" w:type="dxa"/>
            <w:bottom w:w="0" w:type="dxa"/>
            <w:right w:w="0" w:type="dxa"/>
          </w:tblCellMar>
        </w:tblPrEx>
        <w:trPr>
          <w:trHeight w:val="1148"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6D5112">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8C0B64">
            <w:pPr>
              <w:snapToGrid w:val="0"/>
              <w:spacing w:line="240" w:lineRule="atLeas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档案维护整理及数字化加工</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6E10C">
            <w:pPr>
              <w:snapToGrid w:val="0"/>
              <w:spacing w:line="240" w:lineRule="atLeas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D3808">
            <w:pPr>
              <w:snapToGrid w:val="0"/>
              <w:spacing w:line="240" w:lineRule="atLeas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1年</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6D51B24">
            <w:pPr>
              <w:snapToGrid w:val="0"/>
              <w:spacing w:line="240" w:lineRule="atLeast"/>
              <w:jc w:val="center"/>
              <w:rPr>
                <w:rFonts w:hint="eastAsia" w:ascii="宋体" w:hAnsi="宋体" w:eastAsia="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0E0A388">
            <w:pPr>
              <w:snapToGrid w:val="0"/>
              <w:jc w:val="center"/>
              <w:rPr>
                <w:rFonts w:hint="eastAsia" w:ascii="宋体" w:hAnsi="宋体" w:cs="宋体"/>
                <w:bCs/>
                <w:color w:val="auto"/>
                <w:sz w:val="24"/>
                <w:szCs w:val="24"/>
                <w:highlight w:val="none"/>
              </w:rPr>
            </w:pPr>
          </w:p>
        </w:tc>
      </w:tr>
      <w:tr w14:paraId="1EE443B1">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BD82B4">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3</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13F6EA">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FD85C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E5DDE9">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58FB39">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44FE48">
            <w:pPr>
              <w:snapToGrid w:val="0"/>
              <w:jc w:val="center"/>
              <w:rPr>
                <w:rFonts w:hint="eastAsia" w:ascii="宋体" w:hAnsi="宋体" w:cs="宋体"/>
                <w:bCs/>
                <w:color w:val="auto"/>
                <w:sz w:val="24"/>
                <w:szCs w:val="24"/>
                <w:highlight w:val="none"/>
              </w:rPr>
            </w:pPr>
          </w:p>
        </w:tc>
      </w:tr>
      <w:tr w14:paraId="5CC1832F">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E90EFC">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4</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630B8">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7755BE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6DA3B7">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BBCD27">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E03CA7">
            <w:pPr>
              <w:snapToGrid w:val="0"/>
              <w:jc w:val="center"/>
              <w:rPr>
                <w:rFonts w:hint="eastAsia" w:ascii="宋体" w:hAnsi="宋体" w:cs="宋体"/>
                <w:bCs/>
                <w:color w:val="auto"/>
                <w:sz w:val="24"/>
                <w:szCs w:val="24"/>
                <w:highlight w:val="none"/>
              </w:rPr>
            </w:pPr>
          </w:p>
        </w:tc>
      </w:tr>
      <w:tr w14:paraId="75092401">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D54DE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5</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91049D">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B0FA49">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41B6C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B90704F">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A58A1B7">
            <w:pPr>
              <w:snapToGrid w:val="0"/>
              <w:jc w:val="center"/>
              <w:rPr>
                <w:rFonts w:hint="eastAsia" w:ascii="宋体" w:hAnsi="宋体" w:cs="宋体"/>
                <w:bCs/>
                <w:color w:val="auto"/>
                <w:sz w:val="24"/>
                <w:szCs w:val="24"/>
                <w:highlight w:val="none"/>
              </w:rPr>
            </w:pPr>
          </w:p>
        </w:tc>
      </w:tr>
      <w:tr w14:paraId="4FA153C7">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C07E1D">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6</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35DD9">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D3B97C">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536DA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5CF288">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FF2B4D">
            <w:pPr>
              <w:snapToGrid w:val="0"/>
              <w:jc w:val="center"/>
              <w:rPr>
                <w:rFonts w:hint="eastAsia" w:ascii="宋体" w:hAnsi="宋体" w:cs="宋体"/>
                <w:bCs/>
                <w:color w:val="auto"/>
                <w:sz w:val="24"/>
                <w:szCs w:val="24"/>
                <w:highlight w:val="none"/>
              </w:rPr>
            </w:pPr>
          </w:p>
        </w:tc>
      </w:tr>
      <w:tr w14:paraId="33EE81E8">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2CC1D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7</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521D4">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3EA26F6">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75365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1308F5">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864CDF">
            <w:pPr>
              <w:snapToGrid w:val="0"/>
              <w:jc w:val="center"/>
              <w:rPr>
                <w:rFonts w:hint="eastAsia" w:ascii="宋体" w:hAnsi="宋体" w:cs="宋体"/>
                <w:bCs/>
                <w:color w:val="auto"/>
                <w:sz w:val="24"/>
                <w:szCs w:val="24"/>
                <w:highlight w:val="none"/>
              </w:rPr>
            </w:pPr>
          </w:p>
        </w:tc>
      </w:tr>
      <w:tr w14:paraId="0537B58F">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EEFDBC">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8</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BD7FBC">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445090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FB5D1A">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0AD6DA">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469A495">
            <w:pPr>
              <w:snapToGrid w:val="0"/>
              <w:jc w:val="center"/>
              <w:rPr>
                <w:rFonts w:hint="eastAsia" w:ascii="宋体" w:hAnsi="宋体" w:cs="宋体"/>
                <w:bCs/>
                <w:color w:val="auto"/>
                <w:sz w:val="24"/>
                <w:szCs w:val="24"/>
                <w:highlight w:val="none"/>
              </w:rPr>
            </w:pPr>
          </w:p>
        </w:tc>
      </w:tr>
      <w:tr w14:paraId="49CC81A8">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2F6">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9</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54DDFA">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02A6060">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C38D4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0E5C619">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50EADB">
            <w:pPr>
              <w:snapToGrid w:val="0"/>
              <w:jc w:val="center"/>
              <w:rPr>
                <w:rFonts w:hint="eastAsia" w:ascii="宋体" w:hAnsi="宋体" w:cs="宋体"/>
                <w:bCs/>
                <w:color w:val="auto"/>
                <w:sz w:val="24"/>
                <w:szCs w:val="24"/>
                <w:highlight w:val="none"/>
              </w:rPr>
            </w:pPr>
          </w:p>
        </w:tc>
      </w:tr>
      <w:tr w14:paraId="645A1F35">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DD845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10</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7DC261">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E1775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69D24C">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FCED473">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DB483B">
            <w:pPr>
              <w:snapToGrid w:val="0"/>
              <w:jc w:val="center"/>
              <w:rPr>
                <w:rFonts w:hint="eastAsia" w:ascii="宋体" w:hAnsi="宋体" w:cs="宋体"/>
                <w:bCs/>
                <w:color w:val="auto"/>
                <w:sz w:val="24"/>
                <w:szCs w:val="24"/>
                <w:highlight w:val="none"/>
              </w:rPr>
            </w:pPr>
          </w:p>
        </w:tc>
      </w:tr>
      <w:tr w14:paraId="535540BE">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5A9D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11</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EE3FC7">
            <w:pPr>
              <w:snapToGrid w:val="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4203AF">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E31730">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03756C">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F6C2879">
            <w:pPr>
              <w:snapToGrid w:val="0"/>
              <w:jc w:val="center"/>
              <w:rPr>
                <w:rFonts w:hint="eastAsia" w:ascii="宋体" w:hAnsi="宋体" w:cs="宋体"/>
                <w:bCs/>
                <w:color w:val="auto"/>
                <w:sz w:val="24"/>
                <w:szCs w:val="24"/>
                <w:highlight w:val="none"/>
              </w:rPr>
            </w:pPr>
          </w:p>
        </w:tc>
      </w:tr>
      <w:tr w14:paraId="0E9455E0">
        <w:tblPrEx>
          <w:tblCellMar>
            <w:top w:w="0" w:type="dxa"/>
            <w:left w:w="0" w:type="dxa"/>
            <w:bottom w:w="0" w:type="dxa"/>
            <w:right w:w="0" w:type="dxa"/>
          </w:tblCellMar>
        </w:tblPrEx>
        <w:trPr>
          <w:trHeight w:val="477"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9BD5A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12</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C0B243">
            <w:pPr>
              <w:snapToGrid w:val="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总计</w:t>
            </w:r>
          </w:p>
        </w:tc>
        <w:tc>
          <w:tcPr>
            <w:tcW w:w="7010"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F389D1">
            <w:pPr>
              <w:snapToGrid w:val="0"/>
              <w:rPr>
                <w:rFonts w:hint="eastAsia" w:ascii="宋体" w:hAnsi="宋体" w:cs="宋体"/>
                <w:bCs/>
                <w:color w:val="auto"/>
                <w:sz w:val="24"/>
                <w:szCs w:val="24"/>
                <w:highlight w:val="none"/>
              </w:rPr>
            </w:pPr>
          </w:p>
        </w:tc>
      </w:tr>
    </w:tbl>
    <w:p w14:paraId="6A8D368F">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注：本表可根据项目实际情况调整格式。</w:t>
      </w:r>
    </w:p>
    <w:p w14:paraId="3C2744F4">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 xml:space="preserve">法定代表人授权代表）或自然人：  </w:t>
      </w:r>
    </w:p>
    <w:p w14:paraId="606C764E">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p>
    <w:p w14:paraId="48925EF8">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（供应商公章）                               （签字或盖章）</w:t>
      </w:r>
    </w:p>
    <w:p w14:paraId="5AF9180B">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p>
    <w:p w14:paraId="49F97146">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p>
    <w:p w14:paraId="48D5116A">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p>
    <w:p w14:paraId="614FA153">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4A917AE5">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注：1.请供应商完整填写本表。</w:t>
      </w:r>
    </w:p>
    <w:p w14:paraId="59586877">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该表可扩展</w:t>
      </w:r>
      <w:r>
        <w:rPr>
          <w:rFonts w:hint="eastAsia" w:ascii="宋体" w:hAnsi="宋体" w:cs="宋体"/>
          <w:color w:val="auto"/>
          <w:sz w:val="24"/>
          <w:szCs w:val="24"/>
          <w:highlight w:val="none"/>
          <w:lang w:eastAsia="zh-CN"/>
        </w:rPr>
        <w:t>。</w:t>
      </w:r>
    </w:p>
    <w:p w14:paraId="6C3D100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bdr w:val="single" w:color="auto" w:sz="4" w:space="0"/>
        </w:rPr>
        <w:sectPr>
          <w:headerReference r:id="rId16" w:type="default"/>
          <w:pgSz w:w="11907" w:h="16840"/>
          <w:pgMar w:top="1134" w:right="1191" w:bottom="1134" w:left="1304" w:header="851" w:footer="992" w:gutter="0"/>
          <w:cols w:space="720" w:num="1"/>
          <w:rtlGutter w:val="1"/>
          <w:docGrid w:linePitch="380" w:charSpace="-5735"/>
        </w:sectPr>
      </w:pPr>
    </w:p>
    <w:p w14:paraId="5E800581">
      <w:pPr>
        <w:pStyle w:val="3"/>
        <w:spacing w:before="0" w:after="0" w:line="360" w:lineRule="auto"/>
        <w:rPr>
          <w:rFonts w:ascii="宋体" w:hAnsi="宋体" w:eastAsia="宋体" w:cs="宋体"/>
          <w:color w:val="auto"/>
          <w:sz w:val="24"/>
          <w:szCs w:val="24"/>
          <w:highlight w:val="none"/>
        </w:rPr>
      </w:pPr>
      <w:bookmarkStart w:id="135" w:name="_Toc313888361"/>
      <w:bookmarkStart w:id="136" w:name="_Toc313008357"/>
      <w:bookmarkStart w:id="137" w:name="_Toc28589"/>
      <w:bookmarkStart w:id="138" w:name="_Toc12376"/>
      <w:bookmarkStart w:id="139" w:name="_Toc499576265"/>
      <w:bookmarkStart w:id="140" w:name="_Toc342913420"/>
      <w:r>
        <w:rPr>
          <w:rFonts w:hint="eastAsia" w:ascii="宋体" w:hAnsi="宋体" w:eastAsia="宋体" w:cs="宋体"/>
          <w:color w:val="auto"/>
          <w:sz w:val="24"/>
          <w:szCs w:val="24"/>
          <w:highlight w:val="none"/>
        </w:rPr>
        <w:t>二、服务部分</w:t>
      </w:r>
      <w:bookmarkEnd w:id="135"/>
      <w:bookmarkEnd w:id="136"/>
      <w:bookmarkEnd w:id="137"/>
      <w:bookmarkEnd w:id="138"/>
      <w:bookmarkEnd w:id="139"/>
      <w:bookmarkEnd w:id="140"/>
    </w:p>
    <w:p w14:paraId="66F716F8">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（一）服务方案（格式自定）</w:t>
      </w:r>
    </w:p>
    <w:p w14:paraId="23B4A83E">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（二）服务响应偏离表</w:t>
      </w:r>
    </w:p>
    <w:p w14:paraId="24C84BF8">
      <w:pPr>
        <w:spacing w:line="400" w:lineRule="exact"/>
        <w:ind w:firstLine="3373" w:firstLineChars="14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服务响应偏离表</w:t>
      </w:r>
    </w:p>
    <w:p w14:paraId="27757F4B">
      <w:pPr>
        <w:pStyle w:val="32"/>
        <w:tabs>
          <w:tab w:val="left" w:pos="6300"/>
        </w:tabs>
        <w:snapToGrid w:val="0"/>
        <w:spacing w:line="5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项目执行编号</w:t>
      </w:r>
      <w:r>
        <w:rPr>
          <w:rFonts w:hint="eastAsia" w:ascii="宋体" w:hAnsi="宋体" w:eastAsia="宋体" w:cs="宋体"/>
          <w:color w:val="auto"/>
          <w:sz w:val="24"/>
          <w:szCs w:val="24"/>
          <w:highlight w:val="none"/>
        </w:rPr>
        <w:t>：</w:t>
      </w:r>
    </w:p>
    <w:p w14:paraId="529F114A">
      <w:pPr>
        <w:pStyle w:val="32"/>
        <w:tabs>
          <w:tab w:val="left" w:pos="6300"/>
        </w:tabs>
        <w:snapToGrid w:val="0"/>
        <w:spacing w:line="5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bl>
      <w:tblPr>
        <w:tblStyle w:val="5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006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59FE3A28">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658" w:type="dxa"/>
            <w:vAlign w:val="center"/>
          </w:tcPr>
          <w:p w14:paraId="5BB685FB">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服务需求</w:t>
            </w:r>
          </w:p>
        </w:tc>
        <w:tc>
          <w:tcPr>
            <w:tcW w:w="2759" w:type="dxa"/>
            <w:vAlign w:val="center"/>
          </w:tcPr>
          <w:p w14:paraId="7F70A1F2">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2067" w:type="dxa"/>
            <w:vAlign w:val="center"/>
          </w:tcPr>
          <w:p w14:paraId="7AE72263">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差异说明</w:t>
            </w:r>
          </w:p>
        </w:tc>
      </w:tr>
      <w:tr w14:paraId="54AD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97A3710">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34CAF73A">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0EA8D806">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4FE1CADF">
            <w:pPr>
              <w:tabs>
                <w:tab w:val="left" w:pos="6300"/>
              </w:tabs>
              <w:snapToGrid w:val="0"/>
              <w:spacing w:line="500" w:lineRule="exact"/>
              <w:jc w:val="center"/>
              <w:outlineLvl w:val="0"/>
              <w:rPr>
                <w:rFonts w:ascii="宋体" w:hAnsi="宋体" w:cs="宋体"/>
                <w:color w:val="auto"/>
                <w:sz w:val="24"/>
                <w:szCs w:val="24"/>
                <w:highlight w:val="none"/>
              </w:rPr>
            </w:pPr>
          </w:p>
        </w:tc>
      </w:tr>
      <w:tr w14:paraId="484B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F19E4A6">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26F51DF">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6FD9EC0D">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4E6FC21E">
            <w:pPr>
              <w:tabs>
                <w:tab w:val="left" w:pos="6300"/>
              </w:tabs>
              <w:snapToGrid w:val="0"/>
              <w:spacing w:line="500" w:lineRule="exact"/>
              <w:jc w:val="center"/>
              <w:outlineLvl w:val="0"/>
              <w:rPr>
                <w:rFonts w:ascii="宋体" w:hAnsi="宋体" w:cs="宋体"/>
                <w:color w:val="auto"/>
                <w:sz w:val="24"/>
                <w:szCs w:val="24"/>
                <w:highlight w:val="none"/>
              </w:rPr>
            </w:pPr>
          </w:p>
        </w:tc>
      </w:tr>
      <w:tr w14:paraId="200D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C4458D2">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CDEC1E4">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6EE39375">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528641C8">
            <w:pPr>
              <w:tabs>
                <w:tab w:val="left" w:pos="6300"/>
              </w:tabs>
              <w:snapToGrid w:val="0"/>
              <w:spacing w:line="500" w:lineRule="exact"/>
              <w:jc w:val="center"/>
              <w:outlineLvl w:val="0"/>
              <w:rPr>
                <w:rFonts w:ascii="宋体" w:hAnsi="宋体" w:cs="宋体"/>
                <w:color w:val="auto"/>
                <w:sz w:val="24"/>
                <w:szCs w:val="24"/>
                <w:highlight w:val="none"/>
              </w:rPr>
            </w:pPr>
          </w:p>
        </w:tc>
      </w:tr>
      <w:tr w14:paraId="2BD4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5660803">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0CC57549">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6640E26">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31409E69">
            <w:pPr>
              <w:tabs>
                <w:tab w:val="left" w:pos="6300"/>
              </w:tabs>
              <w:snapToGrid w:val="0"/>
              <w:spacing w:line="500" w:lineRule="exact"/>
              <w:jc w:val="center"/>
              <w:outlineLvl w:val="0"/>
              <w:rPr>
                <w:rFonts w:ascii="宋体" w:hAnsi="宋体" w:cs="宋体"/>
                <w:color w:val="auto"/>
                <w:sz w:val="24"/>
                <w:szCs w:val="24"/>
                <w:highlight w:val="none"/>
              </w:rPr>
            </w:pPr>
          </w:p>
        </w:tc>
      </w:tr>
      <w:tr w14:paraId="5F48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5164497">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50AB2ED2">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5B9EF95">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6FF05784">
            <w:pPr>
              <w:tabs>
                <w:tab w:val="left" w:pos="6300"/>
              </w:tabs>
              <w:snapToGrid w:val="0"/>
              <w:spacing w:line="500" w:lineRule="exact"/>
              <w:jc w:val="center"/>
              <w:outlineLvl w:val="0"/>
              <w:rPr>
                <w:rFonts w:ascii="宋体" w:hAnsi="宋体" w:cs="宋体"/>
                <w:color w:val="auto"/>
                <w:sz w:val="24"/>
                <w:szCs w:val="24"/>
                <w:highlight w:val="none"/>
              </w:rPr>
            </w:pPr>
          </w:p>
        </w:tc>
      </w:tr>
      <w:tr w14:paraId="1B4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C79D454">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C589240">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1A1D4243">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7635F115">
            <w:pPr>
              <w:tabs>
                <w:tab w:val="left" w:pos="6300"/>
              </w:tabs>
              <w:snapToGrid w:val="0"/>
              <w:spacing w:line="500" w:lineRule="exact"/>
              <w:jc w:val="center"/>
              <w:outlineLvl w:val="0"/>
              <w:rPr>
                <w:rFonts w:ascii="宋体" w:hAnsi="宋体" w:cs="宋体"/>
                <w:color w:val="auto"/>
                <w:sz w:val="24"/>
                <w:szCs w:val="24"/>
                <w:highlight w:val="none"/>
              </w:rPr>
            </w:pPr>
          </w:p>
        </w:tc>
      </w:tr>
      <w:tr w14:paraId="237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1732D4E">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251F2D39">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1147217">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5DE2BD2C">
            <w:pPr>
              <w:tabs>
                <w:tab w:val="left" w:pos="6300"/>
              </w:tabs>
              <w:snapToGrid w:val="0"/>
              <w:spacing w:line="500" w:lineRule="exact"/>
              <w:jc w:val="center"/>
              <w:outlineLvl w:val="0"/>
              <w:rPr>
                <w:rFonts w:ascii="宋体" w:hAnsi="宋体" w:cs="宋体"/>
                <w:color w:val="auto"/>
                <w:sz w:val="24"/>
                <w:szCs w:val="24"/>
                <w:highlight w:val="none"/>
              </w:rPr>
            </w:pPr>
          </w:p>
        </w:tc>
      </w:tr>
    </w:tbl>
    <w:p w14:paraId="40D14BA0">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7D50DEDA">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1、本表即为对本项目“第二篇  采购服务需求”进行比较和响应；</w:t>
      </w:r>
    </w:p>
    <w:p w14:paraId="24285AF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2、本表必须按照竞争性磋商要求逐条如实填写，根据响应情况在“差异说明”项填写正偏离或负偏离及原因，完全符合的填写“无差异”。</w:t>
      </w:r>
    </w:p>
    <w:p w14:paraId="710E9DB1">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3、本表可扩展。</w:t>
      </w:r>
    </w:p>
    <w:p w14:paraId="6820416C">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4、可附相关支撑材料。（格式自定）</w:t>
      </w:r>
    </w:p>
    <w:p w14:paraId="2D346773">
      <w:pPr>
        <w:pStyle w:val="3"/>
        <w:spacing w:before="0" w:after="0" w:line="360" w:lineRule="auto"/>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br w:type="page"/>
      </w:r>
      <w:bookmarkStart w:id="141" w:name="_Toc27726"/>
      <w:bookmarkStart w:id="142" w:name="_Toc17833"/>
      <w:bookmarkStart w:id="143" w:name="_Toc499576266"/>
      <w:bookmarkStart w:id="144" w:name="_Toc313008358"/>
      <w:bookmarkStart w:id="145" w:name="_Toc342913421"/>
      <w:bookmarkStart w:id="146" w:name="_Toc313888362"/>
      <w:r>
        <w:rPr>
          <w:rFonts w:hint="eastAsia" w:ascii="宋体" w:hAnsi="宋体" w:eastAsia="宋体" w:cs="宋体"/>
          <w:color w:val="auto"/>
          <w:sz w:val="24"/>
          <w:szCs w:val="24"/>
          <w:highlight w:val="none"/>
        </w:rPr>
        <w:t>三、商务部分</w:t>
      </w:r>
      <w:bookmarkEnd w:id="141"/>
      <w:bookmarkEnd w:id="142"/>
      <w:bookmarkEnd w:id="143"/>
      <w:bookmarkEnd w:id="144"/>
      <w:bookmarkEnd w:id="145"/>
      <w:bookmarkEnd w:id="146"/>
    </w:p>
    <w:p w14:paraId="31A00266">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（一）商务要求响应情况：</w:t>
      </w:r>
      <w:bookmarkStart w:id="147" w:name="_Toc283382459"/>
      <w:r>
        <w:rPr>
          <w:rFonts w:hint="eastAsia" w:ascii="宋体" w:hAnsi="宋体" w:cs="宋体"/>
          <w:color w:val="auto"/>
          <w:sz w:val="24"/>
          <w:szCs w:val="24"/>
          <w:highlight w:val="none"/>
        </w:rPr>
        <w:t>服务期、服务地点及验收方式等（格式自定）</w:t>
      </w:r>
    </w:p>
    <w:p w14:paraId="76D6C03F">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（二）商务响应偏离表</w:t>
      </w:r>
    </w:p>
    <w:p w14:paraId="20F1EDF6">
      <w:pPr>
        <w:spacing w:line="400" w:lineRule="exact"/>
        <w:ind w:firstLine="3373" w:firstLineChars="1400"/>
        <w:rPr>
          <w:rFonts w:ascii="宋体" w:hAnsi="宋体" w:cs="宋体"/>
          <w:b/>
          <w:color w:val="auto"/>
          <w:sz w:val="24"/>
          <w:szCs w:val="24"/>
          <w:highlight w:val="none"/>
        </w:rPr>
      </w:pPr>
      <w:r>
        <w:rPr>
          <w:rFonts w:hint="eastAsia" w:ascii="宋体" w:hAnsi="宋体" w:cs="宋体"/>
          <w:b/>
          <w:color w:val="auto"/>
          <w:sz w:val="24"/>
          <w:szCs w:val="24"/>
          <w:highlight w:val="none"/>
        </w:rPr>
        <w:t>商务响应偏离表</w:t>
      </w:r>
    </w:p>
    <w:p w14:paraId="55530736">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lang w:eastAsia="zh-CN"/>
        </w:rPr>
        <w:t>项目执行编号</w:t>
      </w:r>
      <w:r>
        <w:rPr>
          <w:rFonts w:hint="eastAsia" w:ascii="宋体" w:hAnsi="宋体" w:cs="宋体"/>
          <w:color w:val="auto"/>
          <w:sz w:val="24"/>
          <w:szCs w:val="24"/>
          <w:highlight w:val="none"/>
        </w:rPr>
        <w:t xml:space="preserve">：                                </w:t>
      </w:r>
    </w:p>
    <w:p w14:paraId="03BFBBAF">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tbl>
      <w:tblPr>
        <w:tblStyle w:val="57"/>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76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0DF0E906">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3179" w:type="dxa"/>
            <w:vAlign w:val="center"/>
          </w:tcPr>
          <w:p w14:paraId="135F9D74">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磋商项目商务需求</w:t>
            </w:r>
          </w:p>
        </w:tc>
        <w:tc>
          <w:tcPr>
            <w:tcW w:w="2434" w:type="dxa"/>
            <w:vAlign w:val="center"/>
          </w:tcPr>
          <w:p w14:paraId="1E47A21C">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2355" w:type="dxa"/>
            <w:vAlign w:val="center"/>
          </w:tcPr>
          <w:p w14:paraId="1F2BBA0B">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差异说明</w:t>
            </w:r>
          </w:p>
        </w:tc>
      </w:tr>
      <w:tr w14:paraId="2E2C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692D5F1">
            <w:pPr>
              <w:spacing w:line="500" w:lineRule="exact"/>
              <w:ind w:firstLine="600" w:firstLineChars="250"/>
              <w:rPr>
                <w:rFonts w:ascii="宋体" w:hAnsi="宋体" w:cs="宋体"/>
                <w:color w:val="auto"/>
                <w:sz w:val="24"/>
                <w:szCs w:val="24"/>
                <w:highlight w:val="none"/>
              </w:rPr>
            </w:pPr>
          </w:p>
        </w:tc>
        <w:tc>
          <w:tcPr>
            <w:tcW w:w="3179" w:type="dxa"/>
            <w:vAlign w:val="center"/>
          </w:tcPr>
          <w:p w14:paraId="6D5F0C18">
            <w:pPr>
              <w:spacing w:line="500" w:lineRule="exact"/>
              <w:ind w:firstLine="600" w:firstLineChars="250"/>
              <w:rPr>
                <w:rFonts w:ascii="宋体" w:hAnsi="宋体" w:cs="宋体"/>
                <w:color w:val="auto"/>
                <w:sz w:val="24"/>
                <w:szCs w:val="24"/>
                <w:highlight w:val="none"/>
              </w:rPr>
            </w:pPr>
          </w:p>
        </w:tc>
        <w:tc>
          <w:tcPr>
            <w:tcW w:w="2434" w:type="dxa"/>
            <w:vAlign w:val="center"/>
          </w:tcPr>
          <w:p w14:paraId="06089738">
            <w:pPr>
              <w:spacing w:line="500" w:lineRule="exact"/>
              <w:ind w:firstLine="600" w:firstLineChars="250"/>
              <w:rPr>
                <w:rFonts w:ascii="宋体" w:hAnsi="宋体" w:cs="宋体"/>
                <w:color w:val="auto"/>
                <w:sz w:val="24"/>
                <w:szCs w:val="24"/>
                <w:highlight w:val="none"/>
              </w:rPr>
            </w:pPr>
          </w:p>
        </w:tc>
        <w:tc>
          <w:tcPr>
            <w:tcW w:w="2355" w:type="dxa"/>
            <w:vAlign w:val="center"/>
          </w:tcPr>
          <w:p w14:paraId="5AE1F5FF">
            <w:pPr>
              <w:spacing w:line="500" w:lineRule="exact"/>
              <w:ind w:firstLine="600" w:firstLineChars="250"/>
              <w:rPr>
                <w:rFonts w:ascii="宋体" w:hAnsi="宋体" w:cs="宋体"/>
                <w:color w:val="auto"/>
                <w:sz w:val="24"/>
                <w:szCs w:val="24"/>
                <w:highlight w:val="none"/>
              </w:rPr>
            </w:pPr>
          </w:p>
        </w:tc>
      </w:tr>
      <w:tr w14:paraId="0161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764F734">
            <w:pPr>
              <w:spacing w:line="500" w:lineRule="exact"/>
              <w:ind w:firstLine="600" w:firstLineChars="250"/>
              <w:rPr>
                <w:rFonts w:ascii="宋体" w:hAnsi="宋体" w:cs="宋体"/>
                <w:color w:val="auto"/>
                <w:sz w:val="24"/>
                <w:szCs w:val="24"/>
                <w:highlight w:val="none"/>
              </w:rPr>
            </w:pPr>
          </w:p>
        </w:tc>
        <w:tc>
          <w:tcPr>
            <w:tcW w:w="3179" w:type="dxa"/>
            <w:vAlign w:val="center"/>
          </w:tcPr>
          <w:p w14:paraId="0DCA2CB1">
            <w:pPr>
              <w:spacing w:line="500" w:lineRule="exact"/>
              <w:ind w:firstLine="600" w:firstLineChars="250"/>
              <w:rPr>
                <w:rFonts w:ascii="宋体" w:hAnsi="宋体" w:cs="宋体"/>
                <w:color w:val="auto"/>
                <w:sz w:val="24"/>
                <w:szCs w:val="24"/>
                <w:highlight w:val="none"/>
              </w:rPr>
            </w:pPr>
          </w:p>
        </w:tc>
        <w:tc>
          <w:tcPr>
            <w:tcW w:w="2434" w:type="dxa"/>
            <w:vAlign w:val="center"/>
          </w:tcPr>
          <w:p w14:paraId="76270D0F">
            <w:pPr>
              <w:spacing w:line="500" w:lineRule="exact"/>
              <w:ind w:firstLine="600" w:firstLineChars="250"/>
              <w:rPr>
                <w:rFonts w:ascii="宋体" w:hAnsi="宋体" w:cs="宋体"/>
                <w:color w:val="auto"/>
                <w:sz w:val="24"/>
                <w:szCs w:val="24"/>
                <w:highlight w:val="none"/>
              </w:rPr>
            </w:pPr>
          </w:p>
        </w:tc>
        <w:tc>
          <w:tcPr>
            <w:tcW w:w="2355" w:type="dxa"/>
            <w:vAlign w:val="center"/>
          </w:tcPr>
          <w:p w14:paraId="27593554">
            <w:pPr>
              <w:spacing w:line="500" w:lineRule="exact"/>
              <w:ind w:firstLine="600" w:firstLineChars="250"/>
              <w:rPr>
                <w:rFonts w:ascii="宋体" w:hAnsi="宋体" w:cs="宋体"/>
                <w:color w:val="auto"/>
                <w:sz w:val="24"/>
                <w:szCs w:val="24"/>
                <w:highlight w:val="none"/>
              </w:rPr>
            </w:pPr>
          </w:p>
        </w:tc>
      </w:tr>
      <w:tr w14:paraId="529D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E2FACD7">
            <w:pPr>
              <w:spacing w:line="500" w:lineRule="exact"/>
              <w:ind w:firstLine="600" w:firstLineChars="250"/>
              <w:rPr>
                <w:rFonts w:ascii="宋体" w:hAnsi="宋体" w:cs="宋体"/>
                <w:color w:val="auto"/>
                <w:sz w:val="24"/>
                <w:szCs w:val="24"/>
                <w:highlight w:val="none"/>
              </w:rPr>
            </w:pPr>
          </w:p>
        </w:tc>
        <w:tc>
          <w:tcPr>
            <w:tcW w:w="3179" w:type="dxa"/>
            <w:vAlign w:val="center"/>
          </w:tcPr>
          <w:p w14:paraId="153F8514">
            <w:pPr>
              <w:spacing w:line="500" w:lineRule="exact"/>
              <w:ind w:firstLine="600" w:firstLineChars="250"/>
              <w:rPr>
                <w:rFonts w:ascii="宋体" w:hAnsi="宋体" w:cs="宋体"/>
                <w:color w:val="auto"/>
                <w:sz w:val="24"/>
                <w:szCs w:val="24"/>
                <w:highlight w:val="none"/>
              </w:rPr>
            </w:pPr>
          </w:p>
        </w:tc>
        <w:tc>
          <w:tcPr>
            <w:tcW w:w="2434" w:type="dxa"/>
            <w:vAlign w:val="center"/>
          </w:tcPr>
          <w:p w14:paraId="579717FB">
            <w:pPr>
              <w:spacing w:line="500" w:lineRule="exact"/>
              <w:ind w:firstLine="600" w:firstLineChars="250"/>
              <w:rPr>
                <w:rFonts w:ascii="宋体" w:hAnsi="宋体" w:cs="宋体"/>
                <w:color w:val="auto"/>
                <w:sz w:val="24"/>
                <w:szCs w:val="24"/>
                <w:highlight w:val="none"/>
              </w:rPr>
            </w:pPr>
          </w:p>
        </w:tc>
        <w:tc>
          <w:tcPr>
            <w:tcW w:w="2355" w:type="dxa"/>
            <w:vAlign w:val="center"/>
          </w:tcPr>
          <w:p w14:paraId="2DC5A6B6">
            <w:pPr>
              <w:spacing w:line="500" w:lineRule="exact"/>
              <w:ind w:firstLine="600" w:firstLineChars="250"/>
              <w:rPr>
                <w:rFonts w:ascii="宋体" w:hAnsi="宋体" w:cs="宋体"/>
                <w:color w:val="auto"/>
                <w:sz w:val="24"/>
                <w:szCs w:val="24"/>
                <w:highlight w:val="none"/>
              </w:rPr>
            </w:pPr>
          </w:p>
        </w:tc>
      </w:tr>
      <w:tr w14:paraId="630D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EE55D8C">
            <w:pPr>
              <w:spacing w:line="500" w:lineRule="exact"/>
              <w:ind w:firstLine="600" w:firstLineChars="250"/>
              <w:rPr>
                <w:rFonts w:ascii="宋体" w:hAnsi="宋体" w:cs="宋体"/>
                <w:color w:val="auto"/>
                <w:sz w:val="24"/>
                <w:szCs w:val="24"/>
                <w:highlight w:val="none"/>
              </w:rPr>
            </w:pPr>
          </w:p>
        </w:tc>
        <w:tc>
          <w:tcPr>
            <w:tcW w:w="3179" w:type="dxa"/>
            <w:vAlign w:val="center"/>
          </w:tcPr>
          <w:p w14:paraId="7043617A">
            <w:pPr>
              <w:spacing w:line="500" w:lineRule="exact"/>
              <w:ind w:firstLine="600" w:firstLineChars="250"/>
              <w:rPr>
                <w:rFonts w:ascii="宋体" w:hAnsi="宋体" w:cs="宋体"/>
                <w:color w:val="auto"/>
                <w:sz w:val="24"/>
                <w:szCs w:val="24"/>
                <w:highlight w:val="none"/>
              </w:rPr>
            </w:pPr>
          </w:p>
        </w:tc>
        <w:tc>
          <w:tcPr>
            <w:tcW w:w="2434" w:type="dxa"/>
            <w:vAlign w:val="center"/>
          </w:tcPr>
          <w:p w14:paraId="24987A37">
            <w:pPr>
              <w:spacing w:line="500" w:lineRule="exact"/>
              <w:ind w:firstLine="600" w:firstLineChars="250"/>
              <w:rPr>
                <w:rFonts w:ascii="宋体" w:hAnsi="宋体" w:cs="宋体"/>
                <w:color w:val="auto"/>
                <w:sz w:val="24"/>
                <w:szCs w:val="24"/>
                <w:highlight w:val="none"/>
              </w:rPr>
            </w:pPr>
          </w:p>
        </w:tc>
        <w:tc>
          <w:tcPr>
            <w:tcW w:w="2355" w:type="dxa"/>
            <w:vAlign w:val="center"/>
          </w:tcPr>
          <w:p w14:paraId="092E473C">
            <w:pPr>
              <w:spacing w:line="500" w:lineRule="exact"/>
              <w:ind w:firstLine="600" w:firstLineChars="250"/>
              <w:rPr>
                <w:rFonts w:ascii="宋体" w:hAnsi="宋体" w:cs="宋体"/>
                <w:color w:val="auto"/>
                <w:sz w:val="24"/>
                <w:szCs w:val="24"/>
                <w:highlight w:val="none"/>
              </w:rPr>
            </w:pPr>
          </w:p>
        </w:tc>
      </w:tr>
      <w:tr w14:paraId="2860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BC4F262">
            <w:pPr>
              <w:spacing w:line="500" w:lineRule="exact"/>
              <w:ind w:firstLine="600" w:firstLineChars="250"/>
              <w:rPr>
                <w:rFonts w:ascii="宋体" w:hAnsi="宋体" w:cs="宋体"/>
                <w:color w:val="auto"/>
                <w:sz w:val="24"/>
                <w:szCs w:val="24"/>
                <w:highlight w:val="none"/>
              </w:rPr>
            </w:pPr>
          </w:p>
        </w:tc>
        <w:tc>
          <w:tcPr>
            <w:tcW w:w="3179" w:type="dxa"/>
            <w:vAlign w:val="center"/>
          </w:tcPr>
          <w:p w14:paraId="42128BDA">
            <w:pPr>
              <w:spacing w:line="500" w:lineRule="exact"/>
              <w:ind w:firstLine="600" w:firstLineChars="250"/>
              <w:rPr>
                <w:rFonts w:ascii="宋体" w:hAnsi="宋体" w:cs="宋体"/>
                <w:color w:val="auto"/>
                <w:sz w:val="24"/>
                <w:szCs w:val="24"/>
                <w:highlight w:val="none"/>
              </w:rPr>
            </w:pPr>
          </w:p>
        </w:tc>
        <w:tc>
          <w:tcPr>
            <w:tcW w:w="2434" w:type="dxa"/>
            <w:vAlign w:val="center"/>
          </w:tcPr>
          <w:p w14:paraId="25AA37E1">
            <w:pPr>
              <w:spacing w:line="500" w:lineRule="exact"/>
              <w:ind w:firstLine="600" w:firstLineChars="250"/>
              <w:rPr>
                <w:rFonts w:ascii="宋体" w:hAnsi="宋体" w:cs="宋体"/>
                <w:color w:val="auto"/>
                <w:sz w:val="24"/>
                <w:szCs w:val="24"/>
                <w:highlight w:val="none"/>
              </w:rPr>
            </w:pPr>
          </w:p>
        </w:tc>
        <w:tc>
          <w:tcPr>
            <w:tcW w:w="2355" w:type="dxa"/>
            <w:vAlign w:val="center"/>
          </w:tcPr>
          <w:p w14:paraId="4F80962B">
            <w:pPr>
              <w:spacing w:line="500" w:lineRule="exact"/>
              <w:ind w:firstLine="600" w:firstLineChars="250"/>
              <w:rPr>
                <w:rFonts w:ascii="宋体" w:hAnsi="宋体" w:cs="宋体"/>
                <w:color w:val="auto"/>
                <w:sz w:val="24"/>
                <w:szCs w:val="24"/>
                <w:highlight w:val="none"/>
              </w:rPr>
            </w:pPr>
          </w:p>
        </w:tc>
      </w:tr>
    </w:tbl>
    <w:p w14:paraId="53891590">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3DA9A08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1、本表即为对本项目“第三篇 采购商务需求”进行比较和响应；</w:t>
      </w:r>
    </w:p>
    <w:p w14:paraId="11A5B0BF">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本表必须按照竞争性磋商要求逐条如实填写，根据响应情况在“差异说明”项填写正偏离或负偏离及原因，完全符合的填写“无差异”，如未逐条填写或未填写差异说明，但在响应文件其余地方能体现响应本磋商文件商务需求，视同“无差异”，不作为废标条款，完全响应的也可以在本页所在处自拟承诺或声明完全响应采购文件的商务需求。</w:t>
      </w:r>
    </w:p>
    <w:p w14:paraId="0E8432C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3、本表可扩展。</w:t>
      </w:r>
    </w:p>
    <w:p w14:paraId="755F9330">
      <w:pPr>
        <w:tabs>
          <w:tab w:val="left" w:pos="6300"/>
        </w:tabs>
        <w:snapToGrid w:val="0"/>
        <w:spacing w:line="500" w:lineRule="exact"/>
        <w:ind w:firstLine="480" w:firstLineChars="200"/>
        <w:rPr>
          <w:rFonts w:ascii="宋体" w:hAnsi="宋体" w:cs="宋体"/>
          <w:color w:val="auto"/>
          <w:sz w:val="24"/>
          <w:szCs w:val="24"/>
          <w:highlight w:val="none"/>
        </w:rPr>
      </w:pPr>
    </w:p>
    <w:p w14:paraId="298ADB58">
      <w:pPr>
        <w:tabs>
          <w:tab w:val="left" w:pos="6300"/>
        </w:tabs>
        <w:snapToGrid w:val="0"/>
        <w:spacing w:line="500" w:lineRule="exact"/>
        <w:ind w:firstLine="480" w:firstLineChars="200"/>
        <w:rPr>
          <w:rFonts w:ascii="宋体" w:hAnsi="宋体" w:cs="宋体"/>
          <w:color w:val="auto"/>
          <w:sz w:val="24"/>
          <w:szCs w:val="24"/>
          <w:highlight w:val="none"/>
        </w:rPr>
      </w:pPr>
    </w:p>
    <w:p w14:paraId="796066AA">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优惠服务承诺（格式自定）</w:t>
      </w:r>
    </w:p>
    <w:p w14:paraId="4F1D715B">
      <w:pPr>
        <w:pStyle w:val="3"/>
        <w:spacing w:before="0"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147"/>
      <w:bookmarkStart w:id="148" w:name="_Toc313888363"/>
      <w:bookmarkStart w:id="149" w:name="_Toc499576267"/>
      <w:bookmarkStart w:id="150" w:name="_Toc26838"/>
      <w:bookmarkStart w:id="151" w:name="_Toc29768"/>
      <w:bookmarkStart w:id="152" w:name="_Toc342913422"/>
      <w:bookmarkStart w:id="153" w:name="_Toc313008359"/>
      <w:r>
        <w:rPr>
          <w:rFonts w:hint="eastAsia" w:ascii="宋体" w:hAnsi="宋体" w:eastAsia="宋体" w:cs="宋体"/>
          <w:color w:val="auto"/>
          <w:sz w:val="24"/>
          <w:szCs w:val="24"/>
          <w:highlight w:val="none"/>
        </w:rPr>
        <w:t>四、资格条件及其他</w:t>
      </w:r>
      <w:bookmarkEnd w:id="148"/>
      <w:bookmarkEnd w:id="149"/>
      <w:bookmarkEnd w:id="150"/>
      <w:bookmarkEnd w:id="151"/>
      <w:bookmarkEnd w:id="152"/>
      <w:bookmarkEnd w:id="153"/>
    </w:p>
    <w:p w14:paraId="0B10E4BE">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1FE94B45">
      <w:pPr>
        <w:tabs>
          <w:tab w:val="left" w:pos="6300"/>
        </w:tabs>
        <w:snapToGrid w:val="0"/>
        <w:spacing w:line="500" w:lineRule="exact"/>
        <w:rPr>
          <w:rFonts w:ascii="宋体" w:hAnsi="宋体" w:cs="宋体"/>
          <w:color w:val="auto"/>
          <w:sz w:val="24"/>
          <w:szCs w:val="24"/>
          <w:highlight w:val="none"/>
        </w:rPr>
      </w:pPr>
    </w:p>
    <w:p w14:paraId="6A413EC9">
      <w:pPr>
        <w:tabs>
          <w:tab w:val="left" w:pos="6300"/>
        </w:tabs>
        <w:snapToGrid w:val="0"/>
        <w:spacing w:line="500" w:lineRule="exact"/>
        <w:ind w:firstLine="570"/>
        <w:rPr>
          <w:rFonts w:ascii="宋体" w:hAnsi="宋体" w:cs="宋体"/>
          <w:color w:val="auto"/>
          <w:sz w:val="24"/>
          <w:szCs w:val="24"/>
          <w:highlight w:val="none"/>
        </w:rPr>
      </w:pPr>
    </w:p>
    <w:p w14:paraId="46D4CBF3">
      <w:pPr>
        <w:tabs>
          <w:tab w:val="left" w:pos="6300"/>
        </w:tabs>
        <w:snapToGrid w:val="0"/>
        <w:spacing w:line="500" w:lineRule="exact"/>
        <w:ind w:firstLine="570"/>
        <w:rPr>
          <w:rFonts w:ascii="宋体" w:hAnsi="宋体" w:cs="宋体"/>
          <w:color w:val="auto"/>
          <w:sz w:val="24"/>
          <w:szCs w:val="24"/>
          <w:highlight w:val="none"/>
        </w:rPr>
      </w:pPr>
    </w:p>
    <w:p w14:paraId="24B7D048">
      <w:pPr>
        <w:widowControl/>
        <w:ind w:firstLine="480" w:firstLineChars="200"/>
        <w:jc w:val="left"/>
        <w:rPr>
          <w:rFonts w:ascii="宋体" w:hAnsi="宋体" w:cs="宋体"/>
          <w:color w:val="auto"/>
          <w:sz w:val="24"/>
          <w:szCs w:val="24"/>
          <w:highlight w:val="none"/>
        </w:rPr>
      </w:pPr>
    </w:p>
    <w:p w14:paraId="62D3049A">
      <w:pPr>
        <w:widowControl/>
        <w:ind w:firstLine="480" w:firstLineChars="200"/>
        <w:jc w:val="left"/>
        <w:rPr>
          <w:rFonts w:ascii="宋体" w:hAnsi="宋体" w:cs="宋体"/>
          <w:color w:val="auto"/>
          <w:sz w:val="24"/>
          <w:szCs w:val="24"/>
          <w:highlight w:val="none"/>
        </w:rPr>
      </w:pPr>
    </w:p>
    <w:p w14:paraId="36CF5D86">
      <w:pPr>
        <w:widowControl/>
        <w:ind w:firstLine="480" w:firstLineChars="200"/>
        <w:jc w:val="left"/>
        <w:rPr>
          <w:rFonts w:ascii="宋体" w:hAnsi="宋体" w:cs="宋体"/>
          <w:color w:val="auto"/>
          <w:sz w:val="24"/>
          <w:szCs w:val="24"/>
          <w:highlight w:val="none"/>
        </w:rPr>
      </w:pPr>
    </w:p>
    <w:p w14:paraId="0FC9CD1E">
      <w:pPr>
        <w:widowControl/>
        <w:ind w:firstLine="480" w:firstLineChars="200"/>
        <w:jc w:val="left"/>
        <w:rPr>
          <w:rFonts w:ascii="宋体" w:hAnsi="宋体" w:cs="宋体"/>
          <w:color w:val="auto"/>
          <w:sz w:val="24"/>
          <w:szCs w:val="24"/>
          <w:highlight w:val="none"/>
        </w:rPr>
      </w:pPr>
    </w:p>
    <w:p w14:paraId="028B5952">
      <w:pPr>
        <w:widowControl/>
        <w:ind w:firstLine="480" w:firstLineChars="200"/>
        <w:jc w:val="left"/>
        <w:rPr>
          <w:rFonts w:ascii="宋体" w:hAnsi="宋体" w:cs="宋体"/>
          <w:color w:val="auto"/>
          <w:sz w:val="24"/>
          <w:szCs w:val="24"/>
          <w:highlight w:val="none"/>
        </w:rPr>
      </w:pPr>
    </w:p>
    <w:p w14:paraId="054044C2">
      <w:pPr>
        <w:widowControl/>
        <w:ind w:firstLine="480" w:firstLineChars="200"/>
        <w:jc w:val="left"/>
        <w:rPr>
          <w:rFonts w:ascii="宋体" w:hAnsi="宋体" w:cs="宋体"/>
          <w:color w:val="auto"/>
          <w:sz w:val="24"/>
          <w:szCs w:val="24"/>
          <w:highlight w:val="none"/>
        </w:rPr>
      </w:pPr>
    </w:p>
    <w:p w14:paraId="0194DED2">
      <w:pPr>
        <w:widowControl/>
        <w:ind w:firstLine="480" w:firstLineChars="200"/>
        <w:jc w:val="left"/>
        <w:rPr>
          <w:rFonts w:ascii="宋体" w:hAnsi="宋体" w:cs="宋体"/>
          <w:color w:val="auto"/>
          <w:sz w:val="24"/>
          <w:szCs w:val="24"/>
          <w:highlight w:val="none"/>
        </w:rPr>
      </w:pPr>
    </w:p>
    <w:p w14:paraId="68C3940D">
      <w:pPr>
        <w:widowControl/>
        <w:ind w:firstLine="480" w:firstLineChars="200"/>
        <w:jc w:val="left"/>
        <w:rPr>
          <w:rFonts w:ascii="宋体" w:hAnsi="宋体" w:cs="宋体"/>
          <w:color w:val="auto"/>
          <w:sz w:val="24"/>
          <w:szCs w:val="24"/>
          <w:highlight w:val="none"/>
        </w:rPr>
      </w:pPr>
    </w:p>
    <w:p w14:paraId="75535C2D">
      <w:pPr>
        <w:widowControl/>
        <w:ind w:firstLine="480" w:firstLineChars="200"/>
        <w:jc w:val="left"/>
        <w:rPr>
          <w:rFonts w:ascii="宋体" w:hAnsi="宋体" w:cs="宋体"/>
          <w:color w:val="auto"/>
          <w:sz w:val="24"/>
          <w:szCs w:val="24"/>
          <w:highlight w:val="none"/>
        </w:rPr>
      </w:pPr>
    </w:p>
    <w:p w14:paraId="36E9A25E">
      <w:pPr>
        <w:widowControl/>
        <w:ind w:firstLine="480" w:firstLineChars="200"/>
        <w:jc w:val="left"/>
        <w:rPr>
          <w:rFonts w:ascii="宋体" w:hAnsi="宋体" w:cs="宋体"/>
          <w:color w:val="auto"/>
          <w:sz w:val="24"/>
          <w:szCs w:val="24"/>
          <w:highlight w:val="none"/>
        </w:rPr>
      </w:pPr>
    </w:p>
    <w:p w14:paraId="38D8B0C2">
      <w:pPr>
        <w:pStyle w:val="55"/>
        <w:rPr>
          <w:rFonts w:cs="宋体"/>
          <w:color w:val="auto"/>
          <w:szCs w:val="24"/>
          <w:highlight w:val="none"/>
        </w:rPr>
      </w:pPr>
    </w:p>
    <w:p w14:paraId="175B7ADF">
      <w:pPr>
        <w:pStyle w:val="55"/>
        <w:rPr>
          <w:rFonts w:cs="宋体"/>
          <w:color w:val="auto"/>
          <w:szCs w:val="24"/>
          <w:highlight w:val="none"/>
        </w:rPr>
      </w:pPr>
    </w:p>
    <w:p w14:paraId="296B2A84">
      <w:pPr>
        <w:pStyle w:val="55"/>
        <w:rPr>
          <w:rFonts w:cs="宋体"/>
          <w:color w:val="auto"/>
          <w:szCs w:val="24"/>
          <w:highlight w:val="none"/>
        </w:rPr>
      </w:pPr>
    </w:p>
    <w:p w14:paraId="6BDE013D">
      <w:pPr>
        <w:pStyle w:val="55"/>
        <w:rPr>
          <w:rFonts w:cs="宋体"/>
          <w:color w:val="auto"/>
          <w:szCs w:val="24"/>
          <w:highlight w:val="none"/>
        </w:rPr>
      </w:pPr>
    </w:p>
    <w:p w14:paraId="073A410E">
      <w:pPr>
        <w:pStyle w:val="55"/>
        <w:rPr>
          <w:rFonts w:cs="宋体"/>
          <w:color w:val="auto"/>
          <w:szCs w:val="24"/>
          <w:highlight w:val="none"/>
        </w:rPr>
      </w:pPr>
    </w:p>
    <w:p w14:paraId="1D4C2889">
      <w:pPr>
        <w:pStyle w:val="55"/>
        <w:rPr>
          <w:rFonts w:cs="宋体"/>
          <w:color w:val="auto"/>
          <w:szCs w:val="24"/>
          <w:highlight w:val="none"/>
        </w:rPr>
      </w:pPr>
    </w:p>
    <w:p w14:paraId="7DF2097C">
      <w:pPr>
        <w:pStyle w:val="55"/>
        <w:rPr>
          <w:rFonts w:cs="宋体"/>
          <w:color w:val="auto"/>
          <w:szCs w:val="24"/>
          <w:highlight w:val="none"/>
        </w:rPr>
      </w:pPr>
    </w:p>
    <w:p w14:paraId="7BB799B2">
      <w:pPr>
        <w:pStyle w:val="55"/>
        <w:rPr>
          <w:rFonts w:cs="宋体"/>
          <w:color w:val="auto"/>
          <w:szCs w:val="24"/>
          <w:highlight w:val="none"/>
        </w:rPr>
      </w:pPr>
    </w:p>
    <w:p w14:paraId="3C4FF664">
      <w:pPr>
        <w:pStyle w:val="55"/>
        <w:rPr>
          <w:rFonts w:cs="宋体"/>
          <w:color w:val="auto"/>
          <w:szCs w:val="24"/>
          <w:highlight w:val="none"/>
        </w:rPr>
      </w:pPr>
    </w:p>
    <w:p w14:paraId="292CEC2F">
      <w:pPr>
        <w:pStyle w:val="55"/>
        <w:rPr>
          <w:rFonts w:cs="宋体"/>
          <w:color w:val="auto"/>
          <w:szCs w:val="24"/>
          <w:highlight w:val="none"/>
        </w:rPr>
      </w:pPr>
    </w:p>
    <w:p w14:paraId="02BFA442">
      <w:pPr>
        <w:widowControl/>
        <w:jc w:val="left"/>
        <w:rPr>
          <w:rFonts w:ascii="宋体" w:hAnsi="宋体" w:cs="宋体"/>
          <w:color w:val="auto"/>
          <w:sz w:val="24"/>
          <w:szCs w:val="24"/>
          <w:highlight w:val="none"/>
        </w:rPr>
      </w:pPr>
    </w:p>
    <w:p w14:paraId="68B40364">
      <w:pPr>
        <w:widowControl/>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3DC9C8B3">
      <w:pPr>
        <w:tabs>
          <w:tab w:val="left" w:pos="6300"/>
        </w:tabs>
        <w:snapToGrid w:val="0"/>
        <w:spacing w:line="500" w:lineRule="exact"/>
        <w:ind w:firstLine="570"/>
        <w:rPr>
          <w:rFonts w:ascii="宋体" w:hAnsi="宋体" w:cs="宋体"/>
          <w:color w:val="auto"/>
          <w:sz w:val="24"/>
          <w:szCs w:val="24"/>
          <w:highlight w:val="none"/>
        </w:rPr>
      </w:pPr>
    </w:p>
    <w:p w14:paraId="143FC760">
      <w:pPr>
        <w:tabs>
          <w:tab w:val="left" w:pos="6300"/>
        </w:tabs>
        <w:snapToGrid w:val="0"/>
        <w:spacing w:line="500" w:lineRule="exact"/>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605FDCE0">
      <w:pPr>
        <w:rPr>
          <w:rFonts w:ascii="宋体" w:hAnsi="宋体" w:cs="宋体"/>
          <w:color w:val="auto"/>
          <w:sz w:val="24"/>
          <w:szCs w:val="24"/>
          <w:highlight w:val="none"/>
        </w:rPr>
      </w:pPr>
    </w:p>
    <w:p w14:paraId="29367D16">
      <w:pPr>
        <w:pStyle w:val="55"/>
        <w:rPr>
          <w:rFonts w:cs="宋体"/>
          <w:color w:val="auto"/>
          <w:szCs w:val="24"/>
          <w:highlight w:val="none"/>
        </w:rPr>
      </w:pPr>
    </w:p>
    <w:p w14:paraId="740B798C">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（采购代理机构名称）：</w:t>
      </w:r>
    </w:p>
    <w:p w14:paraId="0EB671C2">
      <w:pPr>
        <w:tabs>
          <w:tab w:val="left" w:pos="6300"/>
        </w:tabs>
        <w:snapToGrid w:val="0"/>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（法定代表人姓名）在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（供应商名称）任</w:t>
      </w:r>
      <w:r>
        <w:rPr>
          <w:rFonts w:hint="eastAsia" w:ascii="宋体" w:hAnsi="宋体" w:cs="宋体"/>
          <w:color w:val="auto"/>
          <w:sz w:val="24"/>
          <w:szCs w:val="24"/>
          <w:highlight w:val="none"/>
          <w:u w:val="single"/>
        </w:rPr>
        <w:t xml:space="preserve">      （职务名称）</w:t>
      </w:r>
      <w:r>
        <w:rPr>
          <w:rFonts w:hint="eastAsia" w:ascii="宋体" w:hAnsi="宋体" w:cs="宋体"/>
          <w:color w:val="auto"/>
          <w:sz w:val="24"/>
          <w:szCs w:val="24"/>
          <w:highlight w:val="none"/>
        </w:rPr>
        <w:t>职务，是（供应商名称）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的法定代表人。</w:t>
      </w:r>
    </w:p>
    <w:p w14:paraId="22D6CF06">
      <w:pPr>
        <w:tabs>
          <w:tab w:val="left" w:pos="6300"/>
        </w:tabs>
        <w:snapToGrid w:val="0"/>
        <w:spacing w:line="500" w:lineRule="exact"/>
        <w:ind w:firstLine="570"/>
        <w:rPr>
          <w:rFonts w:ascii="宋体" w:hAnsi="宋体" w:cs="宋体"/>
          <w:color w:val="auto"/>
          <w:sz w:val="24"/>
          <w:szCs w:val="24"/>
          <w:highlight w:val="none"/>
        </w:rPr>
      </w:pPr>
    </w:p>
    <w:p w14:paraId="1CF7BEB5">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特此证明。</w:t>
      </w:r>
    </w:p>
    <w:p w14:paraId="060F777F">
      <w:pPr>
        <w:tabs>
          <w:tab w:val="left" w:pos="6300"/>
        </w:tabs>
        <w:snapToGrid w:val="0"/>
        <w:spacing w:line="500" w:lineRule="exact"/>
        <w:ind w:firstLine="570"/>
        <w:rPr>
          <w:rFonts w:ascii="宋体" w:hAnsi="宋体" w:cs="宋体"/>
          <w:color w:val="auto"/>
          <w:sz w:val="24"/>
          <w:szCs w:val="24"/>
          <w:highlight w:val="none"/>
        </w:rPr>
      </w:pPr>
    </w:p>
    <w:p w14:paraId="4A93617F">
      <w:pPr>
        <w:tabs>
          <w:tab w:val="left" w:pos="6300"/>
        </w:tabs>
        <w:snapToGrid w:val="0"/>
        <w:spacing w:line="500" w:lineRule="exact"/>
        <w:ind w:firstLine="570"/>
        <w:rPr>
          <w:rFonts w:ascii="宋体" w:hAnsi="宋体" w:cs="宋体"/>
          <w:color w:val="auto"/>
          <w:sz w:val="24"/>
          <w:szCs w:val="24"/>
          <w:highlight w:val="none"/>
        </w:rPr>
      </w:pPr>
    </w:p>
    <w:p w14:paraId="0E15A134">
      <w:pPr>
        <w:tabs>
          <w:tab w:val="left" w:pos="6300"/>
        </w:tabs>
        <w:snapToGrid w:val="0"/>
        <w:spacing w:line="500" w:lineRule="exact"/>
        <w:ind w:firstLine="570"/>
        <w:rPr>
          <w:rFonts w:ascii="宋体" w:hAnsi="宋体" w:cs="宋体"/>
          <w:color w:val="auto"/>
          <w:sz w:val="24"/>
          <w:szCs w:val="24"/>
          <w:highlight w:val="none"/>
        </w:rPr>
      </w:pPr>
    </w:p>
    <w:p w14:paraId="45674218">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（供应商公章）</w:t>
      </w:r>
    </w:p>
    <w:p w14:paraId="2688C30F">
      <w:pPr>
        <w:tabs>
          <w:tab w:val="left" w:pos="6300"/>
        </w:tabs>
        <w:snapToGrid w:val="0"/>
        <w:spacing w:line="500" w:lineRule="exact"/>
        <w:ind w:firstLine="570"/>
        <w:rPr>
          <w:rFonts w:ascii="宋体" w:hAnsi="宋体" w:cs="宋体"/>
          <w:color w:val="auto"/>
          <w:sz w:val="24"/>
          <w:szCs w:val="24"/>
          <w:highlight w:val="none"/>
        </w:rPr>
      </w:pPr>
    </w:p>
    <w:p w14:paraId="3FCDAE27">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5916092F">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法定代表人电话：XXXXXXX      电子邮箱：XXXXXX@XXXXX（若授权他人办理并签署响应文件的可不填写）</w:t>
      </w:r>
    </w:p>
    <w:p w14:paraId="3E804785">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（附：法定代表人身份证正反面复印件）</w:t>
      </w:r>
    </w:p>
    <w:p w14:paraId="1B33230E">
      <w:pPr>
        <w:tabs>
          <w:tab w:val="left" w:pos="6300"/>
        </w:tabs>
        <w:snapToGrid w:val="0"/>
        <w:spacing w:line="500" w:lineRule="exact"/>
        <w:ind w:firstLine="570"/>
        <w:rPr>
          <w:rFonts w:ascii="宋体" w:hAnsi="宋体" w:cs="宋体"/>
          <w:color w:val="auto"/>
          <w:sz w:val="24"/>
          <w:szCs w:val="24"/>
          <w:highlight w:val="none"/>
        </w:rPr>
      </w:pPr>
    </w:p>
    <w:p w14:paraId="5FF30A7B">
      <w:pPr>
        <w:tabs>
          <w:tab w:val="left" w:pos="6300"/>
        </w:tabs>
        <w:snapToGrid w:val="0"/>
        <w:spacing w:line="500" w:lineRule="exact"/>
        <w:ind w:firstLine="570"/>
        <w:rPr>
          <w:rFonts w:ascii="宋体" w:hAnsi="宋体" w:cs="宋体"/>
          <w:color w:val="auto"/>
          <w:sz w:val="24"/>
          <w:szCs w:val="24"/>
          <w:highlight w:val="none"/>
        </w:rPr>
      </w:pPr>
    </w:p>
    <w:p w14:paraId="1165B10E">
      <w:pPr>
        <w:tabs>
          <w:tab w:val="left" w:pos="6300"/>
        </w:tabs>
        <w:snapToGrid w:val="0"/>
        <w:spacing w:line="500" w:lineRule="exact"/>
        <w:ind w:firstLine="570"/>
        <w:rPr>
          <w:rFonts w:ascii="宋体" w:hAnsi="宋体" w:cs="宋体"/>
          <w:color w:val="auto"/>
          <w:sz w:val="24"/>
          <w:szCs w:val="24"/>
          <w:highlight w:val="none"/>
        </w:rPr>
      </w:pPr>
    </w:p>
    <w:p w14:paraId="790C01FE">
      <w:pPr>
        <w:tabs>
          <w:tab w:val="left" w:pos="6300"/>
        </w:tabs>
        <w:snapToGrid w:val="0"/>
        <w:spacing w:line="500" w:lineRule="exact"/>
        <w:ind w:firstLine="570"/>
        <w:rPr>
          <w:rFonts w:ascii="宋体" w:hAnsi="宋体" w:cs="宋体"/>
          <w:color w:val="auto"/>
          <w:sz w:val="24"/>
          <w:szCs w:val="24"/>
          <w:highlight w:val="none"/>
        </w:rPr>
      </w:pPr>
    </w:p>
    <w:p w14:paraId="6A213DB4">
      <w:pPr>
        <w:tabs>
          <w:tab w:val="left" w:pos="6300"/>
        </w:tabs>
        <w:snapToGrid w:val="0"/>
        <w:spacing w:line="500" w:lineRule="exact"/>
        <w:ind w:firstLine="570"/>
        <w:rPr>
          <w:rFonts w:ascii="宋体" w:hAnsi="宋体" w:cs="宋体"/>
          <w:color w:val="auto"/>
          <w:sz w:val="24"/>
          <w:szCs w:val="24"/>
          <w:highlight w:val="none"/>
        </w:rPr>
      </w:pPr>
    </w:p>
    <w:p w14:paraId="536DAFD1">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（三）法定代表人授权委托书（格式）</w:t>
      </w:r>
    </w:p>
    <w:p w14:paraId="39F95F68">
      <w:pPr>
        <w:tabs>
          <w:tab w:val="left" w:pos="6300"/>
        </w:tabs>
        <w:snapToGrid w:val="0"/>
        <w:spacing w:line="500" w:lineRule="exact"/>
        <w:ind w:firstLine="570"/>
        <w:rPr>
          <w:rFonts w:ascii="宋体" w:hAnsi="宋体" w:cs="宋体"/>
          <w:color w:val="auto"/>
          <w:sz w:val="24"/>
          <w:szCs w:val="24"/>
          <w:highlight w:val="none"/>
        </w:rPr>
      </w:pPr>
    </w:p>
    <w:p w14:paraId="3483E883">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2D0E1025">
      <w:pPr>
        <w:tabs>
          <w:tab w:val="left" w:pos="6300"/>
        </w:tabs>
        <w:snapToGrid w:val="0"/>
        <w:spacing w:line="500" w:lineRule="exact"/>
        <w:rPr>
          <w:rFonts w:ascii="宋体" w:hAnsi="宋体" w:cs="宋体"/>
          <w:color w:val="auto"/>
          <w:sz w:val="24"/>
          <w:szCs w:val="24"/>
          <w:highlight w:val="none"/>
        </w:rPr>
      </w:pPr>
    </w:p>
    <w:p w14:paraId="259F3DBC">
      <w:pPr>
        <w:tabs>
          <w:tab w:val="left" w:pos="6300"/>
        </w:tabs>
        <w:snapToGrid w:val="0"/>
        <w:spacing w:line="500" w:lineRule="exact"/>
        <w:ind w:firstLine="570"/>
        <w:rPr>
          <w:rFonts w:ascii="宋体" w:hAnsi="宋体" w:cs="宋体"/>
          <w:color w:val="auto"/>
          <w:sz w:val="24"/>
          <w:szCs w:val="24"/>
          <w:highlight w:val="none"/>
        </w:rPr>
      </w:pPr>
    </w:p>
    <w:p w14:paraId="50401698">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致：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3A153411">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（供应商法定代表人名称）是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（供应商名称）的法定代表人，特授权</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（被授权人姓名及身份证号码）代表我单位全权办理上述项目的磋商、签约等具体工作，并签署全部有关文件、协议及合同。</w:t>
      </w:r>
    </w:p>
    <w:p w14:paraId="0D1260CF">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我单位对被授权人的签署负全部责任。</w:t>
      </w:r>
    </w:p>
    <w:p w14:paraId="55651E3E">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撤销</w:t>
      </w:r>
      <w:r>
        <w:rPr>
          <w:rFonts w:hint="eastAsia" w:ascii="宋体" w:hAnsi="宋体" w:cs="宋体"/>
          <w:color w:val="auto"/>
          <w:sz w:val="24"/>
          <w:szCs w:val="24"/>
          <w:highlight w:val="none"/>
        </w:rPr>
        <w:t>授权的书面通知以前，本授权书一直有效。被授权人在授权书有效期内签署的所有文件不因授权</w:t>
      </w:r>
      <w:r>
        <w:rPr>
          <w:rFonts w:hint="eastAsia" w:ascii="宋体" w:hAnsi="宋体" w:cs="宋体"/>
          <w:color w:val="auto"/>
          <w:sz w:val="24"/>
          <w:szCs w:val="24"/>
          <w:highlight w:val="none"/>
          <w:lang w:eastAsia="zh-CN"/>
        </w:rPr>
        <w:t>的撤销</w:t>
      </w:r>
      <w:r>
        <w:rPr>
          <w:rFonts w:hint="eastAsia" w:ascii="宋体" w:hAnsi="宋体" w:cs="宋体"/>
          <w:color w:val="auto"/>
          <w:sz w:val="24"/>
          <w:szCs w:val="24"/>
          <w:highlight w:val="none"/>
        </w:rPr>
        <w:t>而失效。</w:t>
      </w:r>
    </w:p>
    <w:p w14:paraId="6671A395">
      <w:pPr>
        <w:tabs>
          <w:tab w:val="left" w:pos="6300"/>
        </w:tabs>
        <w:snapToGrid w:val="0"/>
        <w:spacing w:line="500" w:lineRule="exact"/>
        <w:ind w:firstLine="570"/>
        <w:rPr>
          <w:rFonts w:ascii="宋体" w:hAnsi="宋体" w:cs="宋体"/>
          <w:color w:val="auto"/>
          <w:sz w:val="24"/>
          <w:szCs w:val="24"/>
          <w:highlight w:val="none"/>
        </w:rPr>
      </w:pPr>
    </w:p>
    <w:p w14:paraId="35662D38">
      <w:pPr>
        <w:tabs>
          <w:tab w:val="left" w:pos="6300"/>
        </w:tabs>
        <w:snapToGrid w:val="0"/>
        <w:spacing w:line="500" w:lineRule="exact"/>
        <w:ind w:firstLine="570"/>
        <w:rPr>
          <w:rFonts w:ascii="宋体" w:hAnsi="宋体" w:cs="宋体"/>
          <w:color w:val="auto"/>
          <w:sz w:val="24"/>
          <w:szCs w:val="24"/>
          <w:highlight w:val="none"/>
        </w:rPr>
      </w:pPr>
    </w:p>
    <w:p w14:paraId="50992462">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被授权人：                                 供应商法定代表人：</w:t>
      </w:r>
    </w:p>
    <w:p w14:paraId="2D252B7B">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（签署或盖章）                                （签署或盖章）</w:t>
      </w:r>
    </w:p>
    <w:p w14:paraId="2BD6EAE0">
      <w:pPr>
        <w:tabs>
          <w:tab w:val="left" w:pos="6300"/>
        </w:tabs>
        <w:snapToGrid w:val="0"/>
        <w:spacing w:line="500" w:lineRule="exact"/>
        <w:ind w:firstLine="570"/>
        <w:rPr>
          <w:rFonts w:ascii="宋体" w:hAnsi="宋体" w:cs="宋体"/>
          <w:color w:val="auto"/>
          <w:sz w:val="24"/>
          <w:szCs w:val="24"/>
          <w:highlight w:val="none"/>
        </w:rPr>
      </w:pPr>
    </w:p>
    <w:p w14:paraId="6CFA98DB">
      <w:pPr>
        <w:tabs>
          <w:tab w:val="left" w:pos="6300"/>
        </w:tabs>
        <w:snapToGrid w:val="0"/>
        <w:spacing w:line="500" w:lineRule="exact"/>
        <w:ind w:firstLine="570"/>
        <w:rPr>
          <w:rFonts w:ascii="宋体" w:hAnsi="宋体" w:cs="宋体"/>
          <w:color w:val="auto"/>
          <w:sz w:val="24"/>
          <w:szCs w:val="24"/>
          <w:highlight w:val="none"/>
        </w:rPr>
      </w:pPr>
    </w:p>
    <w:p w14:paraId="08C53479">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（附：被授权人身份证正反面复印件）</w:t>
      </w:r>
    </w:p>
    <w:p w14:paraId="3F677884">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758BBE71">
      <w:pPr>
        <w:tabs>
          <w:tab w:val="left" w:pos="6300"/>
        </w:tabs>
        <w:snapToGrid w:val="0"/>
        <w:spacing w:line="500" w:lineRule="exact"/>
        <w:rPr>
          <w:rFonts w:ascii="宋体" w:hAnsi="宋体" w:cs="宋体"/>
          <w:color w:val="auto"/>
          <w:sz w:val="24"/>
          <w:szCs w:val="24"/>
          <w:highlight w:val="none"/>
        </w:rPr>
      </w:pPr>
    </w:p>
    <w:p w14:paraId="602D7278">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24485E9">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1A9D0B97">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被授权人电话：XXXXXXX     电子邮箱：XXXXXX@XXXXX（若法定代表人办理并签署响应文件的可不填写）</w:t>
      </w:r>
    </w:p>
    <w:p w14:paraId="7A01F212">
      <w:pPr>
        <w:tabs>
          <w:tab w:val="left" w:pos="6300"/>
        </w:tabs>
        <w:snapToGrid w:val="0"/>
        <w:spacing w:line="500" w:lineRule="exact"/>
        <w:ind w:right="480" w:firstLine="570"/>
        <w:jc w:val="left"/>
        <w:rPr>
          <w:rFonts w:ascii="宋体" w:hAnsi="宋体" w:cs="宋体"/>
          <w:color w:val="auto"/>
          <w:sz w:val="24"/>
          <w:szCs w:val="24"/>
          <w:highlight w:val="none"/>
        </w:rPr>
      </w:pPr>
    </w:p>
    <w:p w14:paraId="382E3F02">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注：若为法定代表人办理并签署响应文件的，不提供此文件。</w:t>
      </w:r>
    </w:p>
    <w:p w14:paraId="572BE5F3">
      <w:pPr>
        <w:tabs>
          <w:tab w:val="left" w:pos="6300"/>
        </w:tabs>
        <w:snapToGrid w:val="0"/>
        <w:spacing w:line="5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（四）基本资格条件承诺函（格式）</w:t>
      </w:r>
    </w:p>
    <w:p w14:paraId="290318A3">
      <w:pPr>
        <w:tabs>
          <w:tab w:val="left" w:pos="6300"/>
        </w:tabs>
        <w:snapToGrid w:val="0"/>
        <w:spacing w:line="500" w:lineRule="exact"/>
        <w:ind w:firstLine="570"/>
        <w:jc w:val="left"/>
        <w:rPr>
          <w:rFonts w:ascii="宋体" w:hAnsi="宋体" w:cs="宋体"/>
          <w:color w:val="auto"/>
          <w:sz w:val="24"/>
          <w:szCs w:val="24"/>
          <w:highlight w:val="none"/>
        </w:rPr>
      </w:pPr>
    </w:p>
    <w:p w14:paraId="15FBD381">
      <w:pPr>
        <w:tabs>
          <w:tab w:val="left" w:pos="6300"/>
        </w:tabs>
        <w:snapToGrid w:val="0"/>
        <w:spacing w:line="500" w:lineRule="exact"/>
        <w:ind w:firstLine="570"/>
        <w:rPr>
          <w:rFonts w:ascii="宋体" w:hAnsi="宋体" w:cs="宋体"/>
          <w:color w:val="auto"/>
          <w:sz w:val="24"/>
          <w:szCs w:val="24"/>
          <w:highlight w:val="none"/>
        </w:rPr>
      </w:pPr>
    </w:p>
    <w:p w14:paraId="4C95D797">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67BD1AD1">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（供应商名称）郑重承诺：</w:t>
      </w:r>
    </w:p>
    <w:p w14:paraId="2D86DB30">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1.我方具有良好的商业信誉和健全的财务会计制度，具有履行合同所必需的设备和专业技术能力，具</w:t>
      </w:r>
      <w:r>
        <w:rPr>
          <w:rFonts w:hint="eastAsia" w:ascii="宋体" w:hAnsi="宋体" w:cs="宋体"/>
          <w:color w:val="auto"/>
          <w:sz w:val="24"/>
          <w:szCs w:val="24"/>
          <w:highlight w:val="none"/>
          <w:lang w:val="zh-CN"/>
        </w:rPr>
        <w:t>有依法缴纳税收和社会保障金的良好记录</w:t>
      </w:r>
      <w:r>
        <w:rPr>
          <w:rFonts w:hint="eastAsia" w:ascii="宋体" w:hAnsi="宋体" w:cs="宋体"/>
          <w:color w:val="auto"/>
          <w:sz w:val="24"/>
          <w:szCs w:val="24"/>
          <w:highlight w:val="none"/>
        </w:rPr>
        <w:t>，参加本项目采购活动前三年内无重大违法活动记录。</w:t>
      </w:r>
    </w:p>
    <w:p w14:paraId="303F0E7A">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0EF1C22D">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3.我方在采购项目评审（评标）环节结束后，随时接受采购人、采购代理机构的检查验证，配合提供相关证明材料，证明符合《中华人民共和国政府采购法》规定的投标人基本资格条件。</w:t>
      </w:r>
    </w:p>
    <w:p w14:paraId="52949848">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我方对以上承诺负全部法律责任。</w:t>
      </w:r>
    </w:p>
    <w:p w14:paraId="109D60DB">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2B14FE5C">
      <w:pPr>
        <w:tabs>
          <w:tab w:val="left" w:pos="6300"/>
        </w:tabs>
        <w:snapToGrid w:val="0"/>
        <w:spacing w:line="360" w:lineRule="auto"/>
        <w:ind w:firstLine="480" w:firstLineChars="200"/>
        <w:rPr>
          <w:rFonts w:ascii="宋体" w:hAnsi="宋体" w:cs="宋体"/>
          <w:color w:val="auto"/>
          <w:sz w:val="24"/>
          <w:szCs w:val="24"/>
          <w:highlight w:val="none"/>
        </w:rPr>
      </w:pPr>
    </w:p>
    <w:p w14:paraId="6E7CB73A">
      <w:pPr>
        <w:tabs>
          <w:tab w:val="left" w:pos="6300"/>
        </w:tabs>
        <w:snapToGrid w:val="0"/>
        <w:spacing w:line="360" w:lineRule="auto"/>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AE41243">
      <w:pPr>
        <w:tabs>
          <w:tab w:val="left" w:pos="6300"/>
        </w:tabs>
        <w:snapToGrid w:val="0"/>
        <w:spacing w:line="380" w:lineRule="exact"/>
        <w:ind w:firstLine="2760" w:firstLineChars="115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50148254">
      <w:pPr>
        <w:tabs>
          <w:tab w:val="left" w:pos="6300"/>
        </w:tabs>
        <w:snapToGrid w:val="0"/>
        <w:spacing w:line="380" w:lineRule="exact"/>
        <w:ind w:firstLine="2760" w:firstLineChars="1150"/>
        <w:rPr>
          <w:rFonts w:ascii="宋体" w:hAnsi="宋体" w:cs="宋体"/>
          <w:color w:val="auto"/>
          <w:sz w:val="24"/>
          <w:szCs w:val="24"/>
          <w:highlight w:val="none"/>
        </w:rPr>
      </w:pPr>
    </w:p>
    <w:p w14:paraId="5920406C">
      <w:pPr>
        <w:tabs>
          <w:tab w:val="left" w:pos="6300"/>
        </w:tabs>
        <w:snapToGrid w:val="0"/>
        <w:spacing w:line="380" w:lineRule="exact"/>
        <w:ind w:firstLine="2760" w:firstLineChars="1150"/>
        <w:rPr>
          <w:rFonts w:ascii="宋体" w:hAnsi="宋体" w:cs="宋体"/>
          <w:color w:val="auto"/>
          <w:sz w:val="24"/>
          <w:szCs w:val="24"/>
          <w:highlight w:val="none"/>
        </w:rPr>
      </w:pPr>
    </w:p>
    <w:p w14:paraId="3508B22B">
      <w:pPr>
        <w:tabs>
          <w:tab w:val="left" w:pos="6300"/>
        </w:tabs>
        <w:snapToGrid w:val="0"/>
        <w:spacing w:line="380" w:lineRule="exact"/>
        <w:ind w:firstLine="2760" w:firstLineChars="1150"/>
        <w:rPr>
          <w:rFonts w:ascii="宋体" w:hAnsi="宋体" w:cs="宋体"/>
          <w:color w:val="auto"/>
          <w:sz w:val="24"/>
          <w:szCs w:val="24"/>
          <w:highlight w:val="none"/>
        </w:rPr>
      </w:pPr>
    </w:p>
    <w:p w14:paraId="55474425">
      <w:pPr>
        <w:tabs>
          <w:tab w:val="left" w:pos="6300"/>
        </w:tabs>
        <w:snapToGrid w:val="0"/>
        <w:spacing w:line="380" w:lineRule="exact"/>
        <w:ind w:firstLine="2760" w:firstLineChars="1150"/>
        <w:rPr>
          <w:rFonts w:ascii="宋体" w:hAnsi="宋体" w:cs="宋体"/>
          <w:color w:val="auto"/>
          <w:sz w:val="24"/>
          <w:szCs w:val="24"/>
          <w:highlight w:val="none"/>
        </w:rPr>
      </w:pPr>
    </w:p>
    <w:p w14:paraId="23F9A61B">
      <w:pPr>
        <w:tabs>
          <w:tab w:val="left" w:pos="6300"/>
        </w:tabs>
        <w:snapToGrid w:val="0"/>
        <w:spacing w:line="380" w:lineRule="exact"/>
        <w:ind w:firstLine="2760" w:firstLineChars="1150"/>
        <w:rPr>
          <w:rFonts w:ascii="宋体" w:hAnsi="宋体" w:cs="宋体"/>
          <w:color w:val="auto"/>
          <w:sz w:val="24"/>
          <w:szCs w:val="24"/>
          <w:highlight w:val="none"/>
        </w:rPr>
      </w:pPr>
    </w:p>
    <w:p w14:paraId="3EC288CA">
      <w:pPr>
        <w:pStyle w:val="22"/>
        <w:rPr>
          <w:rFonts w:ascii="宋体" w:hAnsi="宋体" w:cs="宋体"/>
          <w:color w:val="auto"/>
          <w:sz w:val="24"/>
          <w:szCs w:val="24"/>
          <w:highlight w:val="none"/>
        </w:rPr>
      </w:pPr>
    </w:p>
    <w:p w14:paraId="65E5EC5D">
      <w:pPr>
        <w:rPr>
          <w:rFonts w:ascii="宋体" w:hAnsi="宋体" w:cs="宋体"/>
          <w:color w:val="auto"/>
          <w:sz w:val="24"/>
          <w:szCs w:val="24"/>
          <w:highlight w:val="none"/>
        </w:rPr>
      </w:pPr>
    </w:p>
    <w:p w14:paraId="7BB3E783">
      <w:pPr>
        <w:pStyle w:val="55"/>
        <w:rPr>
          <w:rFonts w:cs="宋体"/>
          <w:color w:val="auto"/>
          <w:szCs w:val="24"/>
          <w:highlight w:val="none"/>
        </w:rPr>
      </w:pPr>
    </w:p>
    <w:p w14:paraId="577F647F">
      <w:pPr>
        <w:pStyle w:val="55"/>
        <w:rPr>
          <w:rFonts w:cs="宋体"/>
          <w:color w:val="auto"/>
          <w:szCs w:val="24"/>
          <w:highlight w:val="none"/>
        </w:rPr>
      </w:pPr>
    </w:p>
    <w:p w14:paraId="4CDC8B53">
      <w:pPr>
        <w:pStyle w:val="55"/>
        <w:rPr>
          <w:rFonts w:cs="宋体"/>
          <w:color w:val="auto"/>
          <w:szCs w:val="24"/>
          <w:highlight w:val="none"/>
        </w:rPr>
      </w:pPr>
    </w:p>
    <w:p w14:paraId="7874F98D">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（五）特定资格条件证明文件（如有）</w:t>
      </w:r>
    </w:p>
    <w:p w14:paraId="25E26968">
      <w:pPr>
        <w:tabs>
          <w:tab w:val="left" w:pos="6300"/>
        </w:tabs>
        <w:snapToGrid w:val="0"/>
        <w:spacing w:line="500" w:lineRule="exact"/>
        <w:ind w:firstLine="480" w:firstLineChars="200"/>
        <w:rPr>
          <w:rFonts w:ascii="宋体" w:hAnsi="宋体" w:cs="宋体"/>
          <w:color w:val="auto"/>
          <w:sz w:val="24"/>
          <w:szCs w:val="24"/>
          <w:highlight w:val="none"/>
        </w:rPr>
      </w:pPr>
    </w:p>
    <w:p w14:paraId="4AE89BD9">
      <w:pPr>
        <w:pStyle w:val="22"/>
        <w:rPr>
          <w:rFonts w:ascii="宋体" w:hAnsi="宋体" w:cs="宋体"/>
          <w:color w:val="auto"/>
          <w:sz w:val="24"/>
          <w:szCs w:val="24"/>
          <w:highlight w:val="none"/>
        </w:rPr>
      </w:pPr>
    </w:p>
    <w:p w14:paraId="5751170A">
      <w:pPr>
        <w:tabs>
          <w:tab w:val="left" w:pos="6300"/>
        </w:tabs>
        <w:snapToGrid w:val="0"/>
        <w:spacing w:line="500" w:lineRule="exact"/>
        <w:ind w:firstLine="480" w:firstLineChars="200"/>
        <w:rPr>
          <w:rFonts w:ascii="宋体" w:hAnsi="宋体" w:cs="宋体"/>
          <w:color w:val="auto"/>
          <w:sz w:val="24"/>
          <w:szCs w:val="24"/>
          <w:highlight w:val="none"/>
        </w:rPr>
      </w:pPr>
    </w:p>
    <w:p w14:paraId="6AA6F6D9">
      <w:pPr>
        <w:tabs>
          <w:tab w:val="left" w:pos="6300"/>
        </w:tabs>
        <w:snapToGrid w:val="0"/>
        <w:spacing w:line="500" w:lineRule="exact"/>
        <w:ind w:firstLine="480" w:firstLineChars="200"/>
        <w:rPr>
          <w:rFonts w:ascii="宋体" w:hAnsi="宋体" w:cs="宋体"/>
          <w:color w:val="auto"/>
          <w:sz w:val="24"/>
          <w:szCs w:val="24"/>
          <w:highlight w:val="none"/>
        </w:rPr>
      </w:pPr>
    </w:p>
    <w:p w14:paraId="5F7EC555">
      <w:pPr>
        <w:tabs>
          <w:tab w:val="left" w:pos="6300"/>
        </w:tabs>
        <w:snapToGrid w:val="0"/>
        <w:spacing w:line="500" w:lineRule="exact"/>
        <w:ind w:firstLine="480" w:firstLineChars="200"/>
        <w:rPr>
          <w:rFonts w:ascii="宋体" w:hAnsi="宋体" w:cs="宋体"/>
          <w:color w:val="auto"/>
          <w:sz w:val="24"/>
          <w:szCs w:val="24"/>
          <w:highlight w:val="none"/>
        </w:rPr>
      </w:pPr>
    </w:p>
    <w:p w14:paraId="04AE671D">
      <w:pPr>
        <w:tabs>
          <w:tab w:val="left" w:pos="6300"/>
        </w:tabs>
        <w:snapToGrid w:val="0"/>
        <w:spacing w:line="500" w:lineRule="exact"/>
        <w:ind w:firstLine="480" w:firstLineChars="200"/>
        <w:rPr>
          <w:rFonts w:ascii="宋体" w:hAnsi="宋体" w:cs="宋体"/>
          <w:color w:val="auto"/>
          <w:sz w:val="24"/>
          <w:szCs w:val="24"/>
          <w:highlight w:val="none"/>
        </w:rPr>
      </w:pPr>
    </w:p>
    <w:p w14:paraId="50A63190">
      <w:pPr>
        <w:tabs>
          <w:tab w:val="left" w:pos="6300"/>
        </w:tabs>
        <w:snapToGrid w:val="0"/>
        <w:spacing w:line="500" w:lineRule="exact"/>
        <w:ind w:firstLine="480" w:firstLineChars="200"/>
        <w:rPr>
          <w:rFonts w:ascii="宋体" w:hAnsi="宋体" w:cs="宋体"/>
          <w:color w:val="auto"/>
          <w:sz w:val="24"/>
          <w:szCs w:val="24"/>
          <w:highlight w:val="none"/>
        </w:rPr>
      </w:pPr>
    </w:p>
    <w:p w14:paraId="4342CF46">
      <w:pPr>
        <w:tabs>
          <w:tab w:val="left" w:pos="6300"/>
        </w:tabs>
        <w:snapToGrid w:val="0"/>
        <w:spacing w:line="500" w:lineRule="exact"/>
        <w:ind w:firstLine="480" w:firstLineChars="200"/>
        <w:rPr>
          <w:rFonts w:ascii="宋体" w:hAnsi="宋体" w:cs="宋体"/>
          <w:color w:val="auto"/>
          <w:sz w:val="24"/>
          <w:szCs w:val="24"/>
          <w:highlight w:val="none"/>
        </w:rPr>
      </w:pPr>
    </w:p>
    <w:p w14:paraId="55F89300">
      <w:pPr>
        <w:tabs>
          <w:tab w:val="left" w:pos="6300"/>
        </w:tabs>
        <w:snapToGrid w:val="0"/>
        <w:spacing w:line="500" w:lineRule="exact"/>
        <w:ind w:firstLine="480" w:firstLineChars="200"/>
        <w:rPr>
          <w:rFonts w:ascii="宋体" w:hAnsi="宋体" w:cs="宋体"/>
          <w:color w:val="auto"/>
          <w:sz w:val="24"/>
          <w:szCs w:val="24"/>
          <w:highlight w:val="none"/>
        </w:rPr>
      </w:pPr>
    </w:p>
    <w:p w14:paraId="35DA4DBC">
      <w:pPr>
        <w:tabs>
          <w:tab w:val="left" w:pos="6300"/>
        </w:tabs>
        <w:snapToGrid w:val="0"/>
        <w:spacing w:line="500" w:lineRule="exact"/>
        <w:ind w:firstLine="480" w:firstLineChars="200"/>
        <w:rPr>
          <w:rFonts w:ascii="宋体" w:hAnsi="宋体" w:cs="宋体"/>
          <w:color w:val="auto"/>
          <w:sz w:val="24"/>
          <w:szCs w:val="24"/>
          <w:highlight w:val="none"/>
        </w:rPr>
      </w:pPr>
    </w:p>
    <w:p w14:paraId="6ACE7BA0">
      <w:pPr>
        <w:tabs>
          <w:tab w:val="left" w:pos="6300"/>
        </w:tabs>
        <w:snapToGrid w:val="0"/>
        <w:spacing w:line="500" w:lineRule="exact"/>
        <w:ind w:firstLine="480" w:firstLineChars="200"/>
        <w:rPr>
          <w:rFonts w:ascii="宋体" w:hAnsi="宋体" w:cs="宋体"/>
          <w:color w:val="auto"/>
          <w:sz w:val="24"/>
          <w:szCs w:val="24"/>
          <w:highlight w:val="none"/>
        </w:rPr>
      </w:pPr>
    </w:p>
    <w:p w14:paraId="68588C10">
      <w:pPr>
        <w:tabs>
          <w:tab w:val="left" w:pos="6300"/>
        </w:tabs>
        <w:snapToGrid w:val="0"/>
        <w:spacing w:line="500" w:lineRule="exact"/>
        <w:ind w:firstLine="480" w:firstLineChars="200"/>
        <w:rPr>
          <w:rFonts w:ascii="宋体" w:hAnsi="宋体" w:cs="宋体"/>
          <w:color w:val="auto"/>
          <w:sz w:val="24"/>
          <w:szCs w:val="24"/>
          <w:highlight w:val="none"/>
        </w:rPr>
      </w:pPr>
    </w:p>
    <w:p w14:paraId="48726E78">
      <w:pPr>
        <w:tabs>
          <w:tab w:val="left" w:pos="6300"/>
        </w:tabs>
        <w:snapToGrid w:val="0"/>
        <w:spacing w:line="500" w:lineRule="exact"/>
        <w:ind w:firstLine="480" w:firstLineChars="200"/>
        <w:rPr>
          <w:rFonts w:ascii="宋体" w:hAnsi="宋体" w:cs="宋体"/>
          <w:color w:val="auto"/>
          <w:sz w:val="24"/>
          <w:szCs w:val="24"/>
          <w:highlight w:val="none"/>
        </w:rPr>
      </w:pPr>
    </w:p>
    <w:p w14:paraId="0497033E">
      <w:pPr>
        <w:tabs>
          <w:tab w:val="left" w:pos="6300"/>
        </w:tabs>
        <w:snapToGrid w:val="0"/>
        <w:spacing w:line="500" w:lineRule="exact"/>
        <w:ind w:firstLine="480" w:firstLineChars="200"/>
        <w:rPr>
          <w:rFonts w:ascii="宋体" w:hAnsi="宋体" w:cs="宋体"/>
          <w:color w:val="auto"/>
          <w:sz w:val="24"/>
          <w:szCs w:val="24"/>
          <w:highlight w:val="none"/>
        </w:rPr>
      </w:pPr>
    </w:p>
    <w:p w14:paraId="214172B3">
      <w:pPr>
        <w:tabs>
          <w:tab w:val="left" w:pos="6300"/>
        </w:tabs>
        <w:snapToGrid w:val="0"/>
        <w:spacing w:line="500" w:lineRule="exact"/>
        <w:ind w:firstLine="480" w:firstLineChars="200"/>
        <w:rPr>
          <w:rFonts w:ascii="宋体" w:hAnsi="宋体" w:cs="宋体"/>
          <w:color w:val="auto"/>
          <w:sz w:val="24"/>
          <w:szCs w:val="24"/>
          <w:highlight w:val="none"/>
        </w:rPr>
      </w:pPr>
    </w:p>
    <w:p w14:paraId="76162C5B">
      <w:pPr>
        <w:tabs>
          <w:tab w:val="left" w:pos="6300"/>
        </w:tabs>
        <w:snapToGrid w:val="0"/>
        <w:spacing w:line="500" w:lineRule="exact"/>
        <w:ind w:firstLine="480" w:firstLineChars="200"/>
        <w:rPr>
          <w:rFonts w:ascii="宋体" w:hAnsi="宋体" w:cs="宋体"/>
          <w:color w:val="auto"/>
          <w:sz w:val="24"/>
          <w:szCs w:val="24"/>
          <w:highlight w:val="none"/>
        </w:rPr>
      </w:pPr>
    </w:p>
    <w:p w14:paraId="347CA046">
      <w:pPr>
        <w:tabs>
          <w:tab w:val="left" w:pos="6300"/>
        </w:tabs>
        <w:snapToGrid w:val="0"/>
        <w:spacing w:line="500" w:lineRule="exact"/>
        <w:ind w:firstLine="480" w:firstLineChars="200"/>
        <w:rPr>
          <w:rFonts w:ascii="宋体" w:hAnsi="宋体" w:cs="宋体"/>
          <w:color w:val="auto"/>
          <w:sz w:val="24"/>
          <w:szCs w:val="24"/>
          <w:highlight w:val="none"/>
        </w:rPr>
      </w:pPr>
    </w:p>
    <w:p w14:paraId="44BFE2BB">
      <w:pPr>
        <w:tabs>
          <w:tab w:val="left" w:pos="6300"/>
        </w:tabs>
        <w:snapToGrid w:val="0"/>
        <w:spacing w:line="500" w:lineRule="exact"/>
        <w:ind w:firstLine="480" w:firstLineChars="200"/>
        <w:rPr>
          <w:rFonts w:ascii="宋体" w:hAnsi="宋体" w:cs="宋体"/>
          <w:color w:val="auto"/>
          <w:sz w:val="24"/>
          <w:szCs w:val="24"/>
          <w:highlight w:val="none"/>
        </w:rPr>
      </w:pPr>
    </w:p>
    <w:p w14:paraId="22A6DD8B">
      <w:pPr>
        <w:tabs>
          <w:tab w:val="left" w:pos="6300"/>
        </w:tabs>
        <w:snapToGrid w:val="0"/>
        <w:spacing w:line="500" w:lineRule="exact"/>
        <w:ind w:firstLine="480" w:firstLineChars="200"/>
        <w:rPr>
          <w:rFonts w:ascii="宋体" w:hAnsi="宋体" w:cs="宋体"/>
          <w:color w:val="auto"/>
          <w:sz w:val="24"/>
          <w:szCs w:val="24"/>
          <w:highlight w:val="none"/>
        </w:rPr>
      </w:pPr>
    </w:p>
    <w:p w14:paraId="3F5B031B">
      <w:pPr>
        <w:tabs>
          <w:tab w:val="left" w:pos="6300"/>
        </w:tabs>
        <w:snapToGrid w:val="0"/>
        <w:spacing w:line="500" w:lineRule="exact"/>
        <w:ind w:firstLine="480" w:firstLineChars="200"/>
        <w:rPr>
          <w:rFonts w:ascii="宋体" w:hAnsi="宋体" w:cs="宋体"/>
          <w:color w:val="auto"/>
          <w:sz w:val="24"/>
          <w:szCs w:val="24"/>
          <w:highlight w:val="none"/>
        </w:rPr>
      </w:pPr>
    </w:p>
    <w:p w14:paraId="374A5C5A">
      <w:pPr>
        <w:tabs>
          <w:tab w:val="left" w:pos="6300"/>
        </w:tabs>
        <w:snapToGrid w:val="0"/>
        <w:spacing w:line="500" w:lineRule="exact"/>
        <w:ind w:firstLine="480" w:firstLineChars="200"/>
        <w:rPr>
          <w:rFonts w:ascii="宋体" w:hAnsi="宋体" w:cs="宋体"/>
          <w:color w:val="auto"/>
          <w:sz w:val="24"/>
          <w:szCs w:val="24"/>
          <w:highlight w:val="none"/>
        </w:rPr>
      </w:pPr>
    </w:p>
    <w:p w14:paraId="0A2A0932">
      <w:pPr>
        <w:tabs>
          <w:tab w:val="left" w:pos="6300"/>
        </w:tabs>
        <w:snapToGrid w:val="0"/>
        <w:spacing w:line="500" w:lineRule="exact"/>
        <w:ind w:firstLine="480" w:firstLineChars="200"/>
        <w:rPr>
          <w:rFonts w:ascii="宋体" w:hAnsi="宋体" w:cs="宋体"/>
          <w:color w:val="auto"/>
          <w:sz w:val="24"/>
          <w:szCs w:val="24"/>
          <w:highlight w:val="none"/>
        </w:rPr>
      </w:pPr>
    </w:p>
    <w:p w14:paraId="1F007ED1">
      <w:pPr>
        <w:tabs>
          <w:tab w:val="left" w:pos="6300"/>
        </w:tabs>
        <w:snapToGrid w:val="0"/>
        <w:spacing w:line="500" w:lineRule="exact"/>
        <w:ind w:firstLine="480" w:firstLineChars="200"/>
        <w:rPr>
          <w:rFonts w:ascii="宋体" w:hAnsi="宋体" w:cs="宋体"/>
          <w:color w:val="auto"/>
          <w:sz w:val="24"/>
          <w:szCs w:val="24"/>
          <w:highlight w:val="none"/>
        </w:rPr>
      </w:pPr>
    </w:p>
    <w:p w14:paraId="28630EDA">
      <w:pPr>
        <w:tabs>
          <w:tab w:val="left" w:pos="6300"/>
        </w:tabs>
        <w:snapToGrid w:val="0"/>
        <w:spacing w:line="500" w:lineRule="exact"/>
        <w:ind w:firstLine="480" w:firstLineChars="200"/>
        <w:rPr>
          <w:rFonts w:ascii="宋体" w:hAnsi="宋体" w:cs="宋体"/>
          <w:color w:val="auto"/>
          <w:sz w:val="24"/>
          <w:szCs w:val="24"/>
          <w:highlight w:val="none"/>
        </w:rPr>
      </w:pPr>
    </w:p>
    <w:p w14:paraId="0FEFDA0E">
      <w:pPr>
        <w:tabs>
          <w:tab w:val="left" w:pos="6300"/>
        </w:tabs>
        <w:snapToGrid w:val="0"/>
        <w:spacing w:line="500" w:lineRule="exact"/>
        <w:ind w:firstLine="480" w:firstLineChars="200"/>
        <w:rPr>
          <w:rFonts w:ascii="宋体" w:hAnsi="宋体" w:cs="宋体"/>
          <w:color w:val="auto"/>
          <w:sz w:val="24"/>
          <w:szCs w:val="24"/>
          <w:highlight w:val="none"/>
        </w:rPr>
      </w:pPr>
    </w:p>
    <w:p w14:paraId="75CF84C1">
      <w:pPr>
        <w:rPr>
          <w:rFonts w:ascii="宋体" w:hAnsi="宋体" w:cs="宋体"/>
          <w:color w:val="auto"/>
          <w:sz w:val="24"/>
          <w:szCs w:val="24"/>
          <w:highlight w:val="none"/>
        </w:rPr>
      </w:pPr>
      <w:bookmarkStart w:id="154" w:name="_Toc14422"/>
      <w:bookmarkStart w:id="155" w:name="_Toc499576268"/>
    </w:p>
    <w:p w14:paraId="5D553246">
      <w:pPr>
        <w:rPr>
          <w:rFonts w:hint="eastAsia" w:ascii="宋体" w:hAnsi="宋体" w:eastAsia="宋体" w:cs="宋体"/>
          <w:color w:val="auto"/>
          <w:sz w:val="24"/>
          <w:szCs w:val="24"/>
          <w:highlight w:val="none"/>
        </w:rPr>
      </w:pPr>
      <w:bookmarkStart w:id="156" w:name="_Toc28583"/>
      <w:r>
        <w:rPr>
          <w:rFonts w:hint="eastAsia" w:ascii="宋体" w:hAnsi="宋体" w:eastAsia="宋体" w:cs="宋体"/>
          <w:color w:val="auto"/>
          <w:sz w:val="24"/>
          <w:szCs w:val="24"/>
          <w:highlight w:val="none"/>
        </w:rPr>
        <w:br w:type="page"/>
      </w:r>
    </w:p>
    <w:p w14:paraId="69E8F971">
      <w:pPr>
        <w:pStyle w:val="3"/>
        <w:spacing w:before="0" w:after="0" w:line="360" w:lineRule="auto"/>
        <w:rPr>
          <w:rFonts w:ascii="宋体" w:hAnsi="宋体" w:eastAsia="宋体" w:cs="宋体"/>
          <w:color w:val="auto"/>
          <w:sz w:val="24"/>
          <w:szCs w:val="24"/>
          <w:highlight w:val="none"/>
        </w:rPr>
      </w:pPr>
      <w:bookmarkStart w:id="157" w:name="_Toc12593"/>
      <w:r>
        <w:rPr>
          <w:rFonts w:hint="eastAsia" w:ascii="宋体" w:hAnsi="宋体" w:eastAsia="宋体" w:cs="宋体"/>
          <w:color w:val="auto"/>
          <w:sz w:val="24"/>
          <w:szCs w:val="24"/>
          <w:highlight w:val="none"/>
        </w:rPr>
        <w:t>五、其他应提供的资料</w:t>
      </w:r>
      <w:bookmarkEnd w:id="154"/>
      <w:bookmarkEnd w:id="155"/>
      <w:bookmarkEnd w:id="156"/>
      <w:bookmarkEnd w:id="157"/>
    </w:p>
    <w:p w14:paraId="2901B66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（一）其他资料</w:t>
      </w:r>
    </w:p>
    <w:p w14:paraId="2EB5442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1、其他与项目有关的资料（自附）：供应商总体情况介绍、其他与本项目有关的资料</w:t>
      </w:r>
    </w:p>
    <w:p w14:paraId="6B9F2B66">
      <w:pPr>
        <w:spacing w:line="360" w:lineRule="auto"/>
        <w:jc w:val="center"/>
        <w:rPr>
          <w:rFonts w:ascii="宋体" w:hAnsi="宋体" w:cs="宋体"/>
          <w:color w:val="auto"/>
          <w:sz w:val="24"/>
          <w:szCs w:val="24"/>
          <w:highlight w:val="none"/>
        </w:rPr>
      </w:pPr>
    </w:p>
    <w:p w14:paraId="72464E8F">
      <w:pPr>
        <w:spacing w:line="360" w:lineRule="auto"/>
        <w:jc w:val="center"/>
        <w:rPr>
          <w:rFonts w:ascii="宋体" w:hAnsi="宋体" w:cs="宋体"/>
          <w:color w:val="auto"/>
          <w:sz w:val="24"/>
          <w:szCs w:val="24"/>
          <w:highlight w:val="none"/>
        </w:rPr>
      </w:pPr>
    </w:p>
    <w:p w14:paraId="5BDF5FAD">
      <w:pPr>
        <w:spacing w:line="360" w:lineRule="auto"/>
        <w:jc w:val="center"/>
        <w:rPr>
          <w:rFonts w:ascii="宋体" w:hAnsi="宋体" w:cs="宋体"/>
          <w:color w:val="auto"/>
          <w:sz w:val="24"/>
          <w:szCs w:val="24"/>
          <w:highlight w:val="none"/>
        </w:rPr>
      </w:pPr>
    </w:p>
    <w:p w14:paraId="447271A8">
      <w:pPr>
        <w:spacing w:line="360" w:lineRule="auto"/>
        <w:jc w:val="center"/>
        <w:rPr>
          <w:rFonts w:ascii="宋体" w:hAnsi="宋体" w:cs="宋体"/>
          <w:color w:val="auto"/>
          <w:sz w:val="24"/>
          <w:szCs w:val="24"/>
          <w:highlight w:val="none"/>
        </w:rPr>
      </w:pPr>
    </w:p>
    <w:p w14:paraId="517D6456">
      <w:pPr>
        <w:spacing w:line="360" w:lineRule="auto"/>
        <w:jc w:val="center"/>
        <w:rPr>
          <w:rFonts w:ascii="宋体" w:hAnsi="宋体" w:cs="宋体"/>
          <w:color w:val="auto"/>
          <w:sz w:val="24"/>
          <w:szCs w:val="24"/>
          <w:highlight w:val="none"/>
        </w:rPr>
      </w:pPr>
    </w:p>
    <w:p w14:paraId="77A29BAD">
      <w:pPr>
        <w:spacing w:line="360" w:lineRule="auto"/>
        <w:jc w:val="center"/>
        <w:rPr>
          <w:rFonts w:ascii="宋体" w:hAnsi="宋体" w:cs="宋体"/>
          <w:color w:val="auto"/>
          <w:sz w:val="24"/>
          <w:szCs w:val="24"/>
          <w:highlight w:val="none"/>
        </w:rPr>
      </w:pPr>
    </w:p>
    <w:p w14:paraId="49D9A1D9">
      <w:pPr>
        <w:spacing w:line="360" w:lineRule="auto"/>
        <w:jc w:val="center"/>
        <w:rPr>
          <w:rFonts w:ascii="宋体" w:hAnsi="宋体" w:cs="宋体"/>
          <w:color w:val="auto"/>
          <w:sz w:val="24"/>
          <w:szCs w:val="24"/>
          <w:highlight w:val="none"/>
        </w:rPr>
      </w:pPr>
    </w:p>
    <w:p w14:paraId="28D30D99">
      <w:pPr>
        <w:spacing w:line="360" w:lineRule="auto"/>
        <w:jc w:val="center"/>
        <w:rPr>
          <w:rFonts w:ascii="宋体" w:hAnsi="宋体" w:cs="宋体"/>
          <w:color w:val="auto"/>
          <w:sz w:val="24"/>
          <w:szCs w:val="24"/>
          <w:highlight w:val="none"/>
        </w:rPr>
      </w:pPr>
    </w:p>
    <w:p w14:paraId="7C573425">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（结束）</w:t>
      </w:r>
    </w:p>
    <w:p w14:paraId="149A3829">
      <w:pPr>
        <w:spacing w:line="360" w:lineRule="auto"/>
        <w:jc w:val="center"/>
        <w:rPr>
          <w:rFonts w:ascii="宋体" w:hAnsi="宋体" w:cs="宋体"/>
          <w:color w:val="auto"/>
          <w:sz w:val="24"/>
          <w:szCs w:val="24"/>
          <w:highlight w:val="none"/>
        </w:rPr>
      </w:pPr>
    </w:p>
    <w:sectPr>
      <w:headerReference r:id="rId17" w:type="default"/>
      <w:footerReference r:id="rId18" w:type="default"/>
      <w:pgSz w:w="11907" w:h="16840"/>
      <w:pgMar w:top="1134" w:right="1191" w:bottom="1134" w:left="1304" w:header="851" w:footer="992" w:gutter="0"/>
      <w:cols w:space="720" w:num="1"/>
      <w:rtlGutter w:val="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 w:fontKey="{A3654DDB-E1E5-43CD-8EC6-146C20D53A5B}"/>
  </w:font>
  <w:font w:name="Verdana">
    <w:panose1 w:val="020B0604030504040204"/>
    <w:charset w:val="00"/>
    <w:family w:val="swiss"/>
    <w:pitch w:val="default"/>
    <w:sig w:usb0="A00006FF" w:usb1="4000205B" w:usb2="00000010" w:usb3="00000000" w:csb0="2000019F" w:csb1="00000000"/>
  </w:font>
  <w:font w:name="文鼎粗黑">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147E679C-88E0-468A-902B-1CC2BC981D4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70758">
    <w:pPr>
      <w:pStyle w:val="35"/>
      <w:framePr w:wrap="around" w:vAnchor="text" w:hAnchor="margin" w:xAlign="center" w:y="1"/>
      <w:rPr>
        <w:rStyle w:val="61"/>
      </w:rPr>
    </w:pPr>
    <w:r>
      <w:fldChar w:fldCharType="begin"/>
    </w:r>
    <w:r>
      <w:rPr>
        <w:rStyle w:val="61"/>
      </w:rPr>
      <w:instrText xml:space="preserve">PAGE  </w:instrText>
    </w:r>
    <w:r>
      <w:fldChar w:fldCharType="end"/>
    </w:r>
  </w:p>
  <w:p w14:paraId="43BBE4DA">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4109">
    <w:pPr>
      <w:pStyle w:val="35"/>
      <w:jc w:val="center"/>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23F28">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38</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B123F28">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38</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C873E">
    <w:pPr>
      <w:pStyle w:val="35"/>
      <w:framePr w:wrap="around" w:vAnchor="text" w:hAnchor="margin" w:xAlign="center" w:y="1"/>
      <w:rPr>
        <w:rStyle w:val="61"/>
      </w:rPr>
    </w:pPr>
  </w:p>
  <w:p w14:paraId="19F93A2B">
    <w:pPr>
      <w:pStyle w:val="35"/>
      <w:jc w:val="center"/>
      <w:rPr>
        <w:rFonts w:ascii="宋体" w:hAnsi="宋体"/>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875F9">
    <w:pPr>
      <w:pStyle w:val="3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290BA">
                          <w:pPr>
                            <w:pStyle w:val="35"/>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5</w:t>
                          </w:r>
                          <w:r>
                            <w:rPr>
                              <w:rFonts w:asci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77290BA">
                    <w:pPr>
                      <w:pStyle w:val="35"/>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5</w:t>
                    </w:r>
                    <w:r>
                      <w:rPr>
                        <w:rFonts w:ascii="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43A3">
    <w:pPr>
      <w:pStyle w:val="35"/>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AF8D4">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14</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9EAF8D4">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14</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59FA">
    <w:pPr>
      <w:pStyle w:val="35"/>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4AB85">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18</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124AB85">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18</w:t>
                    </w:r>
                    <w:r>
                      <w:rPr>
                        <w:rFonts w:ascii="宋体" w:hAnsi="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1730F">
    <w:pPr>
      <w:pStyle w:val="35"/>
      <w:framePr w:wrap="around" w:vAnchor="text" w:hAnchor="margin" w:xAlign="center" w:y="1"/>
      <w:rPr>
        <w:rStyle w:val="61"/>
      </w:rPr>
    </w:pPr>
    <w:r>
      <w:fldChar w:fldCharType="begin"/>
    </w:r>
    <w:r>
      <w:rPr>
        <w:rStyle w:val="61"/>
      </w:rPr>
      <w:instrText xml:space="preserve">PAGE  </w:instrText>
    </w:r>
    <w:r>
      <w:fldChar w:fldCharType="end"/>
    </w:r>
  </w:p>
  <w:p w14:paraId="392063F5">
    <w:pPr>
      <w:pStyle w:val="3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8075A">
    <w:pPr>
      <w:pStyle w:val="3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705F5">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43705F5">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3DDA">
    <w:pPr>
      <w:pStyle w:val="35"/>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08324">
                          <w:pPr>
                            <w:pStyle w:val="3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0308324">
                    <w:pPr>
                      <w:pStyle w:val="3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12A4">
    <w:pPr>
      <w:pStyle w:val="35"/>
      <w:jc w:val="center"/>
      <w:rPr>
        <w:rFonts w:ascii="宋体" w:hAnsi="宋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C7FD7">
                          <w:pPr>
                            <w:pStyle w:val="3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5BC7FD7">
                    <w:pPr>
                      <w:pStyle w:val="3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E99D5">
    <w:pPr>
      <w:pStyle w:val="36"/>
      <w:jc w:val="both"/>
      <w:rPr>
        <w:rFonts w:ascii="仿宋" w:hAnsi="仿宋" w:eastAsia="仿宋"/>
        <w:sz w:val="21"/>
        <w:szCs w:val="21"/>
      </w:rPr>
    </w:pPr>
    <w:r>
      <w:rPr>
        <w:rFonts w:hint="eastAsia" w:ascii="仿宋" w:hAnsi="仿宋" w:eastAsia="仿宋"/>
        <w:sz w:val="21"/>
        <w:szCs w:val="21"/>
      </w:rPr>
      <w:t>重庆鼎创招标代理有限公司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BECB5">
    <w:pPr>
      <w:pStyle w:val="36"/>
      <w:jc w:val="both"/>
    </w:pPr>
    <w:r>
      <w:rPr>
        <w:rFonts w:hint="eastAsia" w:ascii="仿宋" w:hAnsi="仿宋" w:eastAsia="仿宋"/>
        <w:sz w:val="21"/>
        <w:szCs w:val="21"/>
      </w:rPr>
      <w:t>重庆鼎创招标代理有限公司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58EEC">
    <w:pPr>
      <w:pStyle w:val="36"/>
      <w:jc w:val="both"/>
      <w:rPr>
        <w:rFonts w:ascii="仿宋" w:hAnsi="仿宋" w:eastAsia="仿宋"/>
        <w:sz w:val="21"/>
        <w:szCs w:val="21"/>
      </w:rPr>
    </w:pPr>
  </w:p>
  <w:p w14:paraId="5ADD15F8">
    <w:pPr>
      <w:pStyle w:val="36"/>
      <w:jc w:val="both"/>
    </w:pPr>
    <w:r>
      <w:rPr>
        <w:rFonts w:hint="eastAsia" w:ascii="仿宋" w:hAnsi="仿宋" w:eastAsia="仿宋"/>
        <w:sz w:val="21"/>
        <w:szCs w:val="21"/>
      </w:rPr>
      <w:t>重庆鼎创招标代理有限公司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A19F">
    <w:pPr>
      <w:pStyle w:val="36"/>
      <w:jc w:val="both"/>
      <w:rPr>
        <w:rFonts w:ascii="宋体" w:hAnsi="宋体" w:cs="宋体"/>
        <w:sz w:val="21"/>
        <w:szCs w:val="21"/>
      </w:rPr>
    </w:pPr>
    <w:r>
      <w:rPr>
        <w:rFonts w:hint="eastAsia" w:ascii="宋体" w:hAnsi="宋体" w:cs="宋体"/>
        <w:sz w:val="21"/>
        <w:szCs w:val="21"/>
      </w:rPr>
      <w:t xml:space="preserve">重庆鼎创招标代理有限公司    </w:t>
    </w:r>
    <w:r>
      <w:rPr>
        <w:rFonts w:hint="eastAsia" w:ascii="方正仿宋_GBK" w:eastAsia="方正仿宋_GBK"/>
        <w:sz w:val="21"/>
        <w:szCs w:val="21"/>
      </w:rPr>
      <w:t xml:space="preserve">                                           </w:t>
    </w:r>
    <w:r>
      <w:rPr>
        <w:rFonts w:hint="eastAsia" w:ascii="宋体" w:hAnsi="宋体" w:cs="宋体"/>
        <w:sz w:val="21"/>
        <w:szCs w:val="21"/>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0BA21">
    <w:pPr>
      <w:pStyle w:val="36"/>
      <w:jc w:val="both"/>
      <w:rPr>
        <w:rFonts w:ascii="宋体" w:hAnsi="宋体" w:cs="宋体"/>
        <w:sz w:val="21"/>
        <w:szCs w:val="21"/>
      </w:rPr>
    </w:pPr>
    <w:r>
      <w:rPr>
        <w:rFonts w:hint="eastAsia" w:ascii="宋体" w:hAnsi="宋体" w:cs="宋体"/>
        <w:sz w:val="21"/>
        <w:szCs w:val="21"/>
      </w:rPr>
      <w:t>重庆鼎创招标代理有限公司                                                  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0AB3E">
    <w:pPr>
      <w:pStyle w:val="36"/>
      <w:jc w:val="both"/>
      <w:rPr>
        <w:rFonts w:ascii="仿宋" w:hAnsi="仿宋" w:eastAsia="仿宋"/>
        <w:sz w:val="21"/>
        <w:szCs w:val="21"/>
      </w:rPr>
    </w:pPr>
    <w:r>
      <w:rPr>
        <w:rFonts w:hint="eastAsia" w:ascii="仿宋" w:hAnsi="仿宋" w:eastAsia="仿宋"/>
        <w:sz w:val="21"/>
        <w:szCs w:val="21"/>
      </w:rPr>
      <w:t>重庆鼎创招标代理有限公司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BDC7B3"/>
    <w:multiLevelType w:val="singleLevel"/>
    <w:tmpl w:val="C0BDC7B3"/>
    <w:lvl w:ilvl="0" w:tentative="0">
      <w:start w:val="1"/>
      <w:numFmt w:val="decimal"/>
      <w:suff w:val="nothing"/>
      <w:lvlText w:val="（%1）"/>
      <w:lvlJc w:val="left"/>
    </w:lvl>
  </w:abstractNum>
  <w:abstractNum w:abstractNumId="1">
    <w:nsid w:val="D1A00428"/>
    <w:multiLevelType w:val="singleLevel"/>
    <w:tmpl w:val="D1A00428"/>
    <w:lvl w:ilvl="0" w:tentative="0">
      <w:start w:val="2"/>
      <w:numFmt w:val="chineseCounting"/>
      <w:suff w:val="space"/>
      <w:lvlText w:val="第%1篇"/>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2N2RlNDhjOTUxMjliOWUzYTY3Y2EzZmI1OWQ1ZDkifQ=="/>
  </w:docVars>
  <w:rsids>
    <w:rsidRoot w:val="00172A27"/>
    <w:rsid w:val="000120A2"/>
    <w:rsid w:val="00030C5A"/>
    <w:rsid w:val="000566A1"/>
    <w:rsid w:val="000739C8"/>
    <w:rsid w:val="0008423B"/>
    <w:rsid w:val="0008708B"/>
    <w:rsid w:val="000B68AA"/>
    <w:rsid w:val="000D3C74"/>
    <w:rsid w:val="000D500B"/>
    <w:rsid w:val="000F126B"/>
    <w:rsid w:val="000F1F13"/>
    <w:rsid w:val="0011260F"/>
    <w:rsid w:val="0013562B"/>
    <w:rsid w:val="00137850"/>
    <w:rsid w:val="00172A27"/>
    <w:rsid w:val="0018056A"/>
    <w:rsid w:val="001978C8"/>
    <w:rsid w:val="001A0223"/>
    <w:rsid w:val="001B56BE"/>
    <w:rsid w:val="001C6FC4"/>
    <w:rsid w:val="001E7D04"/>
    <w:rsid w:val="001F33D4"/>
    <w:rsid w:val="00236038"/>
    <w:rsid w:val="00237493"/>
    <w:rsid w:val="002460FA"/>
    <w:rsid w:val="00252953"/>
    <w:rsid w:val="00256C73"/>
    <w:rsid w:val="00295CDD"/>
    <w:rsid w:val="002A4EED"/>
    <w:rsid w:val="002C369E"/>
    <w:rsid w:val="002C5DB9"/>
    <w:rsid w:val="002E6C3D"/>
    <w:rsid w:val="00304137"/>
    <w:rsid w:val="00330D6D"/>
    <w:rsid w:val="00333FEB"/>
    <w:rsid w:val="00346BD3"/>
    <w:rsid w:val="00355721"/>
    <w:rsid w:val="00376217"/>
    <w:rsid w:val="00382A07"/>
    <w:rsid w:val="003867F1"/>
    <w:rsid w:val="0040020E"/>
    <w:rsid w:val="00422B5B"/>
    <w:rsid w:val="00442827"/>
    <w:rsid w:val="004458F2"/>
    <w:rsid w:val="00450D61"/>
    <w:rsid w:val="0045743C"/>
    <w:rsid w:val="0046590E"/>
    <w:rsid w:val="00470508"/>
    <w:rsid w:val="00475065"/>
    <w:rsid w:val="00481305"/>
    <w:rsid w:val="0048429A"/>
    <w:rsid w:val="004904ED"/>
    <w:rsid w:val="004C1DA1"/>
    <w:rsid w:val="004C1EC4"/>
    <w:rsid w:val="004D1A39"/>
    <w:rsid w:val="004D556F"/>
    <w:rsid w:val="004E266F"/>
    <w:rsid w:val="004E747D"/>
    <w:rsid w:val="005452D4"/>
    <w:rsid w:val="00550B4B"/>
    <w:rsid w:val="0055272A"/>
    <w:rsid w:val="0056303B"/>
    <w:rsid w:val="00563E4E"/>
    <w:rsid w:val="00564C86"/>
    <w:rsid w:val="00573AF1"/>
    <w:rsid w:val="00582582"/>
    <w:rsid w:val="005838E6"/>
    <w:rsid w:val="005A14C0"/>
    <w:rsid w:val="005C771B"/>
    <w:rsid w:val="005F1ABB"/>
    <w:rsid w:val="006051BD"/>
    <w:rsid w:val="006064F0"/>
    <w:rsid w:val="00606741"/>
    <w:rsid w:val="0064424F"/>
    <w:rsid w:val="00650358"/>
    <w:rsid w:val="00673E34"/>
    <w:rsid w:val="0068600F"/>
    <w:rsid w:val="00690DF6"/>
    <w:rsid w:val="0069545E"/>
    <w:rsid w:val="006A2D6E"/>
    <w:rsid w:val="006E0898"/>
    <w:rsid w:val="006E5BAF"/>
    <w:rsid w:val="006F3086"/>
    <w:rsid w:val="00734493"/>
    <w:rsid w:val="00781C91"/>
    <w:rsid w:val="00782C2F"/>
    <w:rsid w:val="00792144"/>
    <w:rsid w:val="007A72B9"/>
    <w:rsid w:val="007D21A6"/>
    <w:rsid w:val="007D333F"/>
    <w:rsid w:val="00802DF4"/>
    <w:rsid w:val="00846E9E"/>
    <w:rsid w:val="00871DF8"/>
    <w:rsid w:val="0087444B"/>
    <w:rsid w:val="00877B8A"/>
    <w:rsid w:val="008B0DC5"/>
    <w:rsid w:val="008B3868"/>
    <w:rsid w:val="008B5614"/>
    <w:rsid w:val="008C152F"/>
    <w:rsid w:val="008D1E0F"/>
    <w:rsid w:val="008D352F"/>
    <w:rsid w:val="008E478C"/>
    <w:rsid w:val="00904482"/>
    <w:rsid w:val="009076CC"/>
    <w:rsid w:val="00921EAA"/>
    <w:rsid w:val="00940A9B"/>
    <w:rsid w:val="00946006"/>
    <w:rsid w:val="00960C8B"/>
    <w:rsid w:val="009A7342"/>
    <w:rsid w:val="009C58E4"/>
    <w:rsid w:val="00A057D3"/>
    <w:rsid w:val="00A160E3"/>
    <w:rsid w:val="00A203D7"/>
    <w:rsid w:val="00A24653"/>
    <w:rsid w:val="00A5142C"/>
    <w:rsid w:val="00A56CB1"/>
    <w:rsid w:val="00A62046"/>
    <w:rsid w:val="00A64F7E"/>
    <w:rsid w:val="00A65F7E"/>
    <w:rsid w:val="00A86CB2"/>
    <w:rsid w:val="00A9386F"/>
    <w:rsid w:val="00AA44DE"/>
    <w:rsid w:val="00AC6B69"/>
    <w:rsid w:val="00AD0130"/>
    <w:rsid w:val="00AE6CE8"/>
    <w:rsid w:val="00AF10C6"/>
    <w:rsid w:val="00B175E9"/>
    <w:rsid w:val="00B314CC"/>
    <w:rsid w:val="00B435D7"/>
    <w:rsid w:val="00B76948"/>
    <w:rsid w:val="00B81AE9"/>
    <w:rsid w:val="00B93997"/>
    <w:rsid w:val="00BB6450"/>
    <w:rsid w:val="00BB7457"/>
    <w:rsid w:val="00BC23B1"/>
    <w:rsid w:val="00BE60C2"/>
    <w:rsid w:val="00BF0051"/>
    <w:rsid w:val="00BF4EB5"/>
    <w:rsid w:val="00C002B8"/>
    <w:rsid w:val="00C13205"/>
    <w:rsid w:val="00C26D86"/>
    <w:rsid w:val="00C45D7A"/>
    <w:rsid w:val="00C85C01"/>
    <w:rsid w:val="00C952A2"/>
    <w:rsid w:val="00CC4113"/>
    <w:rsid w:val="00CD4EB7"/>
    <w:rsid w:val="00CE166B"/>
    <w:rsid w:val="00D10EED"/>
    <w:rsid w:val="00D2538D"/>
    <w:rsid w:val="00D4258A"/>
    <w:rsid w:val="00D437B3"/>
    <w:rsid w:val="00D47C1C"/>
    <w:rsid w:val="00D7453C"/>
    <w:rsid w:val="00DB167F"/>
    <w:rsid w:val="00DB4B49"/>
    <w:rsid w:val="00DB6218"/>
    <w:rsid w:val="00DB6B3A"/>
    <w:rsid w:val="00DE42C1"/>
    <w:rsid w:val="00DE46DF"/>
    <w:rsid w:val="00DF55F1"/>
    <w:rsid w:val="00DF7B2D"/>
    <w:rsid w:val="00E0279E"/>
    <w:rsid w:val="00E07730"/>
    <w:rsid w:val="00E14AAC"/>
    <w:rsid w:val="00E16BC2"/>
    <w:rsid w:val="00E223C0"/>
    <w:rsid w:val="00E22D8F"/>
    <w:rsid w:val="00E30E26"/>
    <w:rsid w:val="00E5183C"/>
    <w:rsid w:val="00E76CBA"/>
    <w:rsid w:val="00E959FC"/>
    <w:rsid w:val="00EA31BE"/>
    <w:rsid w:val="00EB2496"/>
    <w:rsid w:val="00ED1913"/>
    <w:rsid w:val="00ED7FEF"/>
    <w:rsid w:val="00EE6EC1"/>
    <w:rsid w:val="00EF30ED"/>
    <w:rsid w:val="00F06EAA"/>
    <w:rsid w:val="00F30869"/>
    <w:rsid w:val="00F44428"/>
    <w:rsid w:val="00F44D1F"/>
    <w:rsid w:val="00F512D2"/>
    <w:rsid w:val="00F543B8"/>
    <w:rsid w:val="00F616BA"/>
    <w:rsid w:val="00F74EBD"/>
    <w:rsid w:val="00FD181D"/>
    <w:rsid w:val="00FD2920"/>
    <w:rsid w:val="00FE3B26"/>
    <w:rsid w:val="00FE403F"/>
    <w:rsid w:val="00FF3CDE"/>
    <w:rsid w:val="01122D3A"/>
    <w:rsid w:val="012A7464"/>
    <w:rsid w:val="0160084E"/>
    <w:rsid w:val="01644C1C"/>
    <w:rsid w:val="016F7E96"/>
    <w:rsid w:val="01710365"/>
    <w:rsid w:val="017443D9"/>
    <w:rsid w:val="017B5688"/>
    <w:rsid w:val="019B55D1"/>
    <w:rsid w:val="019D1959"/>
    <w:rsid w:val="019F03BC"/>
    <w:rsid w:val="01B12E58"/>
    <w:rsid w:val="01C20BC1"/>
    <w:rsid w:val="01D63375"/>
    <w:rsid w:val="01DE1773"/>
    <w:rsid w:val="01E46D89"/>
    <w:rsid w:val="01EC3E90"/>
    <w:rsid w:val="01ED4746"/>
    <w:rsid w:val="01FF7EAF"/>
    <w:rsid w:val="02027657"/>
    <w:rsid w:val="02111D80"/>
    <w:rsid w:val="0213623D"/>
    <w:rsid w:val="02181129"/>
    <w:rsid w:val="023B0973"/>
    <w:rsid w:val="0241242E"/>
    <w:rsid w:val="026F1557"/>
    <w:rsid w:val="02716E90"/>
    <w:rsid w:val="02811BAD"/>
    <w:rsid w:val="02853582"/>
    <w:rsid w:val="029321C1"/>
    <w:rsid w:val="02954528"/>
    <w:rsid w:val="029C56A3"/>
    <w:rsid w:val="02A3744C"/>
    <w:rsid w:val="02A429BD"/>
    <w:rsid w:val="02AC7DD9"/>
    <w:rsid w:val="02BD3B45"/>
    <w:rsid w:val="02D17D09"/>
    <w:rsid w:val="02F86670"/>
    <w:rsid w:val="0309061F"/>
    <w:rsid w:val="032D0373"/>
    <w:rsid w:val="03346E3D"/>
    <w:rsid w:val="033E071B"/>
    <w:rsid w:val="03407D3F"/>
    <w:rsid w:val="03457CFC"/>
    <w:rsid w:val="03663920"/>
    <w:rsid w:val="038553B5"/>
    <w:rsid w:val="03991DF6"/>
    <w:rsid w:val="03AE694C"/>
    <w:rsid w:val="03C9676C"/>
    <w:rsid w:val="03CC7C7C"/>
    <w:rsid w:val="03DB29EC"/>
    <w:rsid w:val="03F36199"/>
    <w:rsid w:val="03F37758"/>
    <w:rsid w:val="03FB0B7A"/>
    <w:rsid w:val="03FE7EAB"/>
    <w:rsid w:val="040B46B3"/>
    <w:rsid w:val="041F679F"/>
    <w:rsid w:val="04201766"/>
    <w:rsid w:val="045A2BC2"/>
    <w:rsid w:val="04603111"/>
    <w:rsid w:val="04722D72"/>
    <w:rsid w:val="047B6613"/>
    <w:rsid w:val="048B5BE2"/>
    <w:rsid w:val="04AA42A1"/>
    <w:rsid w:val="04B2316F"/>
    <w:rsid w:val="04BD38C2"/>
    <w:rsid w:val="05046E9E"/>
    <w:rsid w:val="053563BD"/>
    <w:rsid w:val="053E77AB"/>
    <w:rsid w:val="05522FF8"/>
    <w:rsid w:val="05676809"/>
    <w:rsid w:val="05681A5A"/>
    <w:rsid w:val="05685F23"/>
    <w:rsid w:val="05726DA2"/>
    <w:rsid w:val="05856AD5"/>
    <w:rsid w:val="058708BB"/>
    <w:rsid w:val="05A125FF"/>
    <w:rsid w:val="05CD222A"/>
    <w:rsid w:val="05E173A0"/>
    <w:rsid w:val="05EF03F3"/>
    <w:rsid w:val="05EF2449"/>
    <w:rsid w:val="05F36FE1"/>
    <w:rsid w:val="05F41A51"/>
    <w:rsid w:val="062A62FB"/>
    <w:rsid w:val="06323A19"/>
    <w:rsid w:val="06475B39"/>
    <w:rsid w:val="065974FD"/>
    <w:rsid w:val="066D0F2F"/>
    <w:rsid w:val="066F0F20"/>
    <w:rsid w:val="06974D37"/>
    <w:rsid w:val="069963F4"/>
    <w:rsid w:val="069F24D4"/>
    <w:rsid w:val="06CC6E45"/>
    <w:rsid w:val="06D575E9"/>
    <w:rsid w:val="06DC4FC4"/>
    <w:rsid w:val="06E33486"/>
    <w:rsid w:val="06E91F0F"/>
    <w:rsid w:val="06F30A54"/>
    <w:rsid w:val="06F85085"/>
    <w:rsid w:val="07091A73"/>
    <w:rsid w:val="073C1416"/>
    <w:rsid w:val="073E1381"/>
    <w:rsid w:val="0746238C"/>
    <w:rsid w:val="074825C3"/>
    <w:rsid w:val="07644CF8"/>
    <w:rsid w:val="077E0B02"/>
    <w:rsid w:val="077E59DE"/>
    <w:rsid w:val="07911761"/>
    <w:rsid w:val="079E1CC8"/>
    <w:rsid w:val="07A9580E"/>
    <w:rsid w:val="07B33180"/>
    <w:rsid w:val="07C2410E"/>
    <w:rsid w:val="07CD02C0"/>
    <w:rsid w:val="07D01B5E"/>
    <w:rsid w:val="07D23B28"/>
    <w:rsid w:val="07DC741A"/>
    <w:rsid w:val="07DF027A"/>
    <w:rsid w:val="0803722C"/>
    <w:rsid w:val="08265F2F"/>
    <w:rsid w:val="082779D0"/>
    <w:rsid w:val="084D655E"/>
    <w:rsid w:val="08517143"/>
    <w:rsid w:val="08677CDA"/>
    <w:rsid w:val="08682CA6"/>
    <w:rsid w:val="08752E31"/>
    <w:rsid w:val="087E4495"/>
    <w:rsid w:val="088E49A5"/>
    <w:rsid w:val="08966904"/>
    <w:rsid w:val="08AA23AF"/>
    <w:rsid w:val="08BF4B31"/>
    <w:rsid w:val="08C22108"/>
    <w:rsid w:val="08CC0577"/>
    <w:rsid w:val="08CD4642"/>
    <w:rsid w:val="08F31FA8"/>
    <w:rsid w:val="09026204"/>
    <w:rsid w:val="091D145D"/>
    <w:rsid w:val="092211B5"/>
    <w:rsid w:val="093C4D3E"/>
    <w:rsid w:val="09517944"/>
    <w:rsid w:val="096D3B08"/>
    <w:rsid w:val="097A6225"/>
    <w:rsid w:val="09864881"/>
    <w:rsid w:val="099C43EE"/>
    <w:rsid w:val="09A25DF9"/>
    <w:rsid w:val="09AC314B"/>
    <w:rsid w:val="09B0594A"/>
    <w:rsid w:val="09B80559"/>
    <w:rsid w:val="09E366F4"/>
    <w:rsid w:val="09EB0ED1"/>
    <w:rsid w:val="09F85E2D"/>
    <w:rsid w:val="09FE29DD"/>
    <w:rsid w:val="0A140792"/>
    <w:rsid w:val="0A2F7010"/>
    <w:rsid w:val="0A340F11"/>
    <w:rsid w:val="0A465AD7"/>
    <w:rsid w:val="0A7121DA"/>
    <w:rsid w:val="0A793A2E"/>
    <w:rsid w:val="0A833421"/>
    <w:rsid w:val="0A884A5E"/>
    <w:rsid w:val="0A8C7FBE"/>
    <w:rsid w:val="0A8F0952"/>
    <w:rsid w:val="0A8F6C9F"/>
    <w:rsid w:val="0A98404C"/>
    <w:rsid w:val="0A9F2459"/>
    <w:rsid w:val="0AB22970"/>
    <w:rsid w:val="0AC959DA"/>
    <w:rsid w:val="0AF816C4"/>
    <w:rsid w:val="0B040301"/>
    <w:rsid w:val="0B1968C3"/>
    <w:rsid w:val="0B494101"/>
    <w:rsid w:val="0B4A3AFE"/>
    <w:rsid w:val="0B684B4F"/>
    <w:rsid w:val="0B777D29"/>
    <w:rsid w:val="0B900784"/>
    <w:rsid w:val="0B9F6C4F"/>
    <w:rsid w:val="0BAB3064"/>
    <w:rsid w:val="0BB302DA"/>
    <w:rsid w:val="0BB923D0"/>
    <w:rsid w:val="0BC11EE9"/>
    <w:rsid w:val="0BC126B3"/>
    <w:rsid w:val="0BD51A2C"/>
    <w:rsid w:val="0BDE2A9B"/>
    <w:rsid w:val="0BEA5720"/>
    <w:rsid w:val="0BEC5E46"/>
    <w:rsid w:val="0BF57904"/>
    <w:rsid w:val="0BFF7D26"/>
    <w:rsid w:val="0C0624F3"/>
    <w:rsid w:val="0C143188"/>
    <w:rsid w:val="0C144DE8"/>
    <w:rsid w:val="0C4867FB"/>
    <w:rsid w:val="0C654F6B"/>
    <w:rsid w:val="0C6D2071"/>
    <w:rsid w:val="0C6F0CD2"/>
    <w:rsid w:val="0C767178"/>
    <w:rsid w:val="0C811298"/>
    <w:rsid w:val="0C914FCC"/>
    <w:rsid w:val="0C937D2A"/>
    <w:rsid w:val="0CAE5598"/>
    <w:rsid w:val="0CB54492"/>
    <w:rsid w:val="0CBB42C5"/>
    <w:rsid w:val="0CCE3126"/>
    <w:rsid w:val="0CE1432D"/>
    <w:rsid w:val="0CF06F2A"/>
    <w:rsid w:val="0CFE294D"/>
    <w:rsid w:val="0D1962EE"/>
    <w:rsid w:val="0D2B56A9"/>
    <w:rsid w:val="0D3E3574"/>
    <w:rsid w:val="0D551D79"/>
    <w:rsid w:val="0D712717"/>
    <w:rsid w:val="0D7567FF"/>
    <w:rsid w:val="0D766835"/>
    <w:rsid w:val="0D7758B2"/>
    <w:rsid w:val="0D7A74D8"/>
    <w:rsid w:val="0D7C07BE"/>
    <w:rsid w:val="0D852AF6"/>
    <w:rsid w:val="0D914897"/>
    <w:rsid w:val="0D92543C"/>
    <w:rsid w:val="0D930889"/>
    <w:rsid w:val="0D951880"/>
    <w:rsid w:val="0D986DC4"/>
    <w:rsid w:val="0DA8437F"/>
    <w:rsid w:val="0DAD4E1B"/>
    <w:rsid w:val="0DC13155"/>
    <w:rsid w:val="0DC904E4"/>
    <w:rsid w:val="0DCD2DC7"/>
    <w:rsid w:val="0DD71C05"/>
    <w:rsid w:val="0DD759F4"/>
    <w:rsid w:val="0DE00C0B"/>
    <w:rsid w:val="0DE42C75"/>
    <w:rsid w:val="0DF875DC"/>
    <w:rsid w:val="0DF94DB5"/>
    <w:rsid w:val="0E046A11"/>
    <w:rsid w:val="0E060087"/>
    <w:rsid w:val="0E172295"/>
    <w:rsid w:val="0E1D25CB"/>
    <w:rsid w:val="0E252709"/>
    <w:rsid w:val="0E2C6D18"/>
    <w:rsid w:val="0E300D44"/>
    <w:rsid w:val="0E7E40C2"/>
    <w:rsid w:val="0E7F7A41"/>
    <w:rsid w:val="0ECA08C4"/>
    <w:rsid w:val="0ECC7CCA"/>
    <w:rsid w:val="0ECF0DC1"/>
    <w:rsid w:val="0EF05683"/>
    <w:rsid w:val="0F0916B4"/>
    <w:rsid w:val="0F102926"/>
    <w:rsid w:val="0F182768"/>
    <w:rsid w:val="0F2D68E9"/>
    <w:rsid w:val="0F3160CD"/>
    <w:rsid w:val="0F5B4A89"/>
    <w:rsid w:val="0F5E2190"/>
    <w:rsid w:val="0F6A0D0D"/>
    <w:rsid w:val="0F6D28A4"/>
    <w:rsid w:val="0F8A6A96"/>
    <w:rsid w:val="0F911FA0"/>
    <w:rsid w:val="0F9526BB"/>
    <w:rsid w:val="0FA91498"/>
    <w:rsid w:val="0FB84AA1"/>
    <w:rsid w:val="0FF860F6"/>
    <w:rsid w:val="100E51E0"/>
    <w:rsid w:val="10212377"/>
    <w:rsid w:val="10353C8C"/>
    <w:rsid w:val="10392892"/>
    <w:rsid w:val="10587BA8"/>
    <w:rsid w:val="105C4535"/>
    <w:rsid w:val="105D7C7D"/>
    <w:rsid w:val="109A0FCA"/>
    <w:rsid w:val="10A218E0"/>
    <w:rsid w:val="10B477B0"/>
    <w:rsid w:val="10CA5CE4"/>
    <w:rsid w:val="10CB3C62"/>
    <w:rsid w:val="10D25671"/>
    <w:rsid w:val="10DC52BB"/>
    <w:rsid w:val="10EC4AC5"/>
    <w:rsid w:val="10F70FED"/>
    <w:rsid w:val="110A7E8F"/>
    <w:rsid w:val="110E3E23"/>
    <w:rsid w:val="112C386F"/>
    <w:rsid w:val="115069B4"/>
    <w:rsid w:val="115F4C11"/>
    <w:rsid w:val="11724107"/>
    <w:rsid w:val="11741C87"/>
    <w:rsid w:val="117B3BCF"/>
    <w:rsid w:val="119E3600"/>
    <w:rsid w:val="11AC53EA"/>
    <w:rsid w:val="11C0223B"/>
    <w:rsid w:val="11D37E37"/>
    <w:rsid w:val="11F71C03"/>
    <w:rsid w:val="12280F14"/>
    <w:rsid w:val="123A29F6"/>
    <w:rsid w:val="12482604"/>
    <w:rsid w:val="125A3098"/>
    <w:rsid w:val="127E3EAB"/>
    <w:rsid w:val="12957AAF"/>
    <w:rsid w:val="12A8795F"/>
    <w:rsid w:val="12C00BB8"/>
    <w:rsid w:val="12CA3D79"/>
    <w:rsid w:val="12D00551"/>
    <w:rsid w:val="12D03193"/>
    <w:rsid w:val="12D26571"/>
    <w:rsid w:val="12D64474"/>
    <w:rsid w:val="12D757F2"/>
    <w:rsid w:val="12DA4388"/>
    <w:rsid w:val="12E12E71"/>
    <w:rsid w:val="12E442B7"/>
    <w:rsid w:val="12FD414F"/>
    <w:rsid w:val="130D6E0C"/>
    <w:rsid w:val="13101EF5"/>
    <w:rsid w:val="132D3965"/>
    <w:rsid w:val="134A17F3"/>
    <w:rsid w:val="134D635B"/>
    <w:rsid w:val="137A43BD"/>
    <w:rsid w:val="137D2B9A"/>
    <w:rsid w:val="1383225E"/>
    <w:rsid w:val="13915246"/>
    <w:rsid w:val="13963C5C"/>
    <w:rsid w:val="13A138F5"/>
    <w:rsid w:val="13AA75CC"/>
    <w:rsid w:val="13AC347F"/>
    <w:rsid w:val="13C70DD3"/>
    <w:rsid w:val="13CE50AA"/>
    <w:rsid w:val="13D45240"/>
    <w:rsid w:val="13E26AEA"/>
    <w:rsid w:val="13FB7B3E"/>
    <w:rsid w:val="141352AC"/>
    <w:rsid w:val="141564A3"/>
    <w:rsid w:val="14213DDE"/>
    <w:rsid w:val="14227F10"/>
    <w:rsid w:val="1426739E"/>
    <w:rsid w:val="144D6EBF"/>
    <w:rsid w:val="145A66DC"/>
    <w:rsid w:val="147F686F"/>
    <w:rsid w:val="14972381"/>
    <w:rsid w:val="14A63623"/>
    <w:rsid w:val="14A960ED"/>
    <w:rsid w:val="14D111CA"/>
    <w:rsid w:val="14FD7172"/>
    <w:rsid w:val="150115A9"/>
    <w:rsid w:val="152621DE"/>
    <w:rsid w:val="15273705"/>
    <w:rsid w:val="1553683E"/>
    <w:rsid w:val="15712BD2"/>
    <w:rsid w:val="15741E6C"/>
    <w:rsid w:val="15826839"/>
    <w:rsid w:val="158D362A"/>
    <w:rsid w:val="15AA505D"/>
    <w:rsid w:val="15B63683"/>
    <w:rsid w:val="15CA3338"/>
    <w:rsid w:val="15E409F3"/>
    <w:rsid w:val="160C4FAC"/>
    <w:rsid w:val="16182AF5"/>
    <w:rsid w:val="161A5018"/>
    <w:rsid w:val="161B48EC"/>
    <w:rsid w:val="161F43DC"/>
    <w:rsid w:val="16273400"/>
    <w:rsid w:val="16333A59"/>
    <w:rsid w:val="165351B0"/>
    <w:rsid w:val="165A5414"/>
    <w:rsid w:val="165D78E5"/>
    <w:rsid w:val="166B0912"/>
    <w:rsid w:val="16713374"/>
    <w:rsid w:val="16AA639C"/>
    <w:rsid w:val="16AF5E3C"/>
    <w:rsid w:val="16B94831"/>
    <w:rsid w:val="16CE753C"/>
    <w:rsid w:val="16E11DAC"/>
    <w:rsid w:val="16E233EE"/>
    <w:rsid w:val="16F52FA0"/>
    <w:rsid w:val="170D76B7"/>
    <w:rsid w:val="1715252F"/>
    <w:rsid w:val="1739317C"/>
    <w:rsid w:val="17397720"/>
    <w:rsid w:val="17466FDE"/>
    <w:rsid w:val="174C7883"/>
    <w:rsid w:val="17882BA0"/>
    <w:rsid w:val="178D5376"/>
    <w:rsid w:val="17A415E0"/>
    <w:rsid w:val="17B24926"/>
    <w:rsid w:val="17D9163C"/>
    <w:rsid w:val="17EC0D07"/>
    <w:rsid w:val="17F2157E"/>
    <w:rsid w:val="18382CA8"/>
    <w:rsid w:val="184D5BF1"/>
    <w:rsid w:val="18516BBD"/>
    <w:rsid w:val="18575D38"/>
    <w:rsid w:val="185F31B6"/>
    <w:rsid w:val="18674E76"/>
    <w:rsid w:val="1868279A"/>
    <w:rsid w:val="186A617B"/>
    <w:rsid w:val="186F26E9"/>
    <w:rsid w:val="187327BD"/>
    <w:rsid w:val="187B6D1D"/>
    <w:rsid w:val="18985E50"/>
    <w:rsid w:val="189A2440"/>
    <w:rsid w:val="18A55CE3"/>
    <w:rsid w:val="18C96881"/>
    <w:rsid w:val="18D12DF5"/>
    <w:rsid w:val="18D3325C"/>
    <w:rsid w:val="18ED5880"/>
    <w:rsid w:val="190206B8"/>
    <w:rsid w:val="19127222"/>
    <w:rsid w:val="191F64A1"/>
    <w:rsid w:val="195D501F"/>
    <w:rsid w:val="19707CF9"/>
    <w:rsid w:val="197377E3"/>
    <w:rsid w:val="198D4A9F"/>
    <w:rsid w:val="199307E0"/>
    <w:rsid w:val="19A96A13"/>
    <w:rsid w:val="19D81CA1"/>
    <w:rsid w:val="19E91876"/>
    <w:rsid w:val="19F851C2"/>
    <w:rsid w:val="1A15357B"/>
    <w:rsid w:val="1A282DDA"/>
    <w:rsid w:val="1A2B301F"/>
    <w:rsid w:val="1A2B7454"/>
    <w:rsid w:val="1A43273A"/>
    <w:rsid w:val="1A522C57"/>
    <w:rsid w:val="1A82798C"/>
    <w:rsid w:val="1A8C55EC"/>
    <w:rsid w:val="1A930EF5"/>
    <w:rsid w:val="1A9354DB"/>
    <w:rsid w:val="1AAC0209"/>
    <w:rsid w:val="1AE238A6"/>
    <w:rsid w:val="1AED2AF7"/>
    <w:rsid w:val="1AED4AA9"/>
    <w:rsid w:val="1AF370ED"/>
    <w:rsid w:val="1AFE5477"/>
    <w:rsid w:val="1B0C559F"/>
    <w:rsid w:val="1B121581"/>
    <w:rsid w:val="1B2D5678"/>
    <w:rsid w:val="1B3D4B35"/>
    <w:rsid w:val="1B4D19EC"/>
    <w:rsid w:val="1B5F527B"/>
    <w:rsid w:val="1B601C65"/>
    <w:rsid w:val="1B631991"/>
    <w:rsid w:val="1B662AAD"/>
    <w:rsid w:val="1B9403E7"/>
    <w:rsid w:val="1B98469D"/>
    <w:rsid w:val="1B9C027D"/>
    <w:rsid w:val="1BA84479"/>
    <w:rsid w:val="1BAA2ED2"/>
    <w:rsid w:val="1BB02AA0"/>
    <w:rsid w:val="1BB11FF0"/>
    <w:rsid w:val="1BC814F3"/>
    <w:rsid w:val="1BCD4A66"/>
    <w:rsid w:val="1BD6553D"/>
    <w:rsid w:val="1BDB2164"/>
    <w:rsid w:val="1BDE2883"/>
    <w:rsid w:val="1BE95E1D"/>
    <w:rsid w:val="1BF14125"/>
    <w:rsid w:val="1C004178"/>
    <w:rsid w:val="1C01076B"/>
    <w:rsid w:val="1C034AE3"/>
    <w:rsid w:val="1C1C4F1A"/>
    <w:rsid w:val="1C1E6EE4"/>
    <w:rsid w:val="1C397355"/>
    <w:rsid w:val="1C3A3714"/>
    <w:rsid w:val="1C5D11C3"/>
    <w:rsid w:val="1C744D56"/>
    <w:rsid w:val="1C7D4CB4"/>
    <w:rsid w:val="1C844F99"/>
    <w:rsid w:val="1CF10155"/>
    <w:rsid w:val="1D014A37"/>
    <w:rsid w:val="1D175E0D"/>
    <w:rsid w:val="1D4407E5"/>
    <w:rsid w:val="1D70551D"/>
    <w:rsid w:val="1D826775"/>
    <w:rsid w:val="1D954E62"/>
    <w:rsid w:val="1D976F4E"/>
    <w:rsid w:val="1D981CC2"/>
    <w:rsid w:val="1DBB6019"/>
    <w:rsid w:val="1DC01597"/>
    <w:rsid w:val="1DCF0496"/>
    <w:rsid w:val="1DD937A9"/>
    <w:rsid w:val="1DDD5FDB"/>
    <w:rsid w:val="1DDF2596"/>
    <w:rsid w:val="1DF728C4"/>
    <w:rsid w:val="1DF95513"/>
    <w:rsid w:val="1E253E9A"/>
    <w:rsid w:val="1E4E1D03"/>
    <w:rsid w:val="1E4F1475"/>
    <w:rsid w:val="1E622558"/>
    <w:rsid w:val="1E6351D9"/>
    <w:rsid w:val="1E882ABA"/>
    <w:rsid w:val="1E963FB8"/>
    <w:rsid w:val="1E9A4F48"/>
    <w:rsid w:val="1ED209AE"/>
    <w:rsid w:val="1EE019A3"/>
    <w:rsid w:val="1F070103"/>
    <w:rsid w:val="1F0A0BDF"/>
    <w:rsid w:val="1F51312D"/>
    <w:rsid w:val="1F980D5B"/>
    <w:rsid w:val="1FAE5D19"/>
    <w:rsid w:val="1FB06E2D"/>
    <w:rsid w:val="1FB82A1C"/>
    <w:rsid w:val="1FBC7D9F"/>
    <w:rsid w:val="1FCB0B65"/>
    <w:rsid w:val="1FCB7383"/>
    <w:rsid w:val="1FCD0A84"/>
    <w:rsid w:val="1FCD49A6"/>
    <w:rsid w:val="1FD9439E"/>
    <w:rsid w:val="1FF40126"/>
    <w:rsid w:val="2023790B"/>
    <w:rsid w:val="203D5420"/>
    <w:rsid w:val="20601879"/>
    <w:rsid w:val="2079749D"/>
    <w:rsid w:val="20B52A86"/>
    <w:rsid w:val="20BB73F7"/>
    <w:rsid w:val="20E51212"/>
    <w:rsid w:val="20EB7906"/>
    <w:rsid w:val="20EE50D7"/>
    <w:rsid w:val="20F669B0"/>
    <w:rsid w:val="20F7254C"/>
    <w:rsid w:val="2105635C"/>
    <w:rsid w:val="21102A49"/>
    <w:rsid w:val="21124499"/>
    <w:rsid w:val="21134B3E"/>
    <w:rsid w:val="21472A39"/>
    <w:rsid w:val="21617F9F"/>
    <w:rsid w:val="216B517B"/>
    <w:rsid w:val="216B6E08"/>
    <w:rsid w:val="216C5203"/>
    <w:rsid w:val="216D4A20"/>
    <w:rsid w:val="216D6770"/>
    <w:rsid w:val="21717AB6"/>
    <w:rsid w:val="217378A3"/>
    <w:rsid w:val="217E7BB1"/>
    <w:rsid w:val="21903690"/>
    <w:rsid w:val="219E2041"/>
    <w:rsid w:val="21AD399F"/>
    <w:rsid w:val="21B7404D"/>
    <w:rsid w:val="21BA6164"/>
    <w:rsid w:val="21C61BB0"/>
    <w:rsid w:val="21CC09CA"/>
    <w:rsid w:val="21DA229E"/>
    <w:rsid w:val="21DF40A1"/>
    <w:rsid w:val="22105C22"/>
    <w:rsid w:val="222F26CF"/>
    <w:rsid w:val="2233393B"/>
    <w:rsid w:val="225704F2"/>
    <w:rsid w:val="225F2408"/>
    <w:rsid w:val="226C1BBE"/>
    <w:rsid w:val="227C4964"/>
    <w:rsid w:val="227F6C94"/>
    <w:rsid w:val="228213E7"/>
    <w:rsid w:val="228B08AF"/>
    <w:rsid w:val="22A7590B"/>
    <w:rsid w:val="22AE51A6"/>
    <w:rsid w:val="22B4528F"/>
    <w:rsid w:val="22D16A5E"/>
    <w:rsid w:val="22D838CF"/>
    <w:rsid w:val="22DD5403"/>
    <w:rsid w:val="22EB141E"/>
    <w:rsid w:val="22F042F8"/>
    <w:rsid w:val="22F32E79"/>
    <w:rsid w:val="22F825DB"/>
    <w:rsid w:val="22FD20FA"/>
    <w:rsid w:val="231F77C7"/>
    <w:rsid w:val="2332720B"/>
    <w:rsid w:val="23374475"/>
    <w:rsid w:val="233B0914"/>
    <w:rsid w:val="234B4BA4"/>
    <w:rsid w:val="23592A54"/>
    <w:rsid w:val="23752C79"/>
    <w:rsid w:val="237C59BB"/>
    <w:rsid w:val="2383244E"/>
    <w:rsid w:val="23A1627E"/>
    <w:rsid w:val="23AD74CB"/>
    <w:rsid w:val="23BF2464"/>
    <w:rsid w:val="23C12F77"/>
    <w:rsid w:val="23EB3B50"/>
    <w:rsid w:val="23F3488A"/>
    <w:rsid w:val="240B057D"/>
    <w:rsid w:val="2419704D"/>
    <w:rsid w:val="24273B58"/>
    <w:rsid w:val="243B3EB7"/>
    <w:rsid w:val="24551FD1"/>
    <w:rsid w:val="245C2C9F"/>
    <w:rsid w:val="246B6A3F"/>
    <w:rsid w:val="247474EF"/>
    <w:rsid w:val="24A63957"/>
    <w:rsid w:val="24BD3AED"/>
    <w:rsid w:val="24C50845"/>
    <w:rsid w:val="24C60186"/>
    <w:rsid w:val="24C6775F"/>
    <w:rsid w:val="24E02971"/>
    <w:rsid w:val="24EC4023"/>
    <w:rsid w:val="25037DCE"/>
    <w:rsid w:val="250C4825"/>
    <w:rsid w:val="251304A2"/>
    <w:rsid w:val="2513335E"/>
    <w:rsid w:val="252B7FC4"/>
    <w:rsid w:val="253966E9"/>
    <w:rsid w:val="2554099F"/>
    <w:rsid w:val="25602216"/>
    <w:rsid w:val="25675458"/>
    <w:rsid w:val="256F2A8D"/>
    <w:rsid w:val="25701C27"/>
    <w:rsid w:val="25A315A3"/>
    <w:rsid w:val="25A7235C"/>
    <w:rsid w:val="25AB5124"/>
    <w:rsid w:val="25B22AFD"/>
    <w:rsid w:val="25B406FF"/>
    <w:rsid w:val="25F628C4"/>
    <w:rsid w:val="26060955"/>
    <w:rsid w:val="261C26E6"/>
    <w:rsid w:val="261F72E0"/>
    <w:rsid w:val="26334D6D"/>
    <w:rsid w:val="2640356F"/>
    <w:rsid w:val="264C6FBD"/>
    <w:rsid w:val="264E443C"/>
    <w:rsid w:val="26767805"/>
    <w:rsid w:val="2684187D"/>
    <w:rsid w:val="269C0568"/>
    <w:rsid w:val="26C50688"/>
    <w:rsid w:val="26E5476C"/>
    <w:rsid w:val="26F942CB"/>
    <w:rsid w:val="271A6FB4"/>
    <w:rsid w:val="27205B2B"/>
    <w:rsid w:val="272A5FB2"/>
    <w:rsid w:val="273E5DB4"/>
    <w:rsid w:val="27464E08"/>
    <w:rsid w:val="275300D2"/>
    <w:rsid w:val="27554102"/>
    <w:rsid w:val="275E755E"/>
    <w:rsid w:val="2767225B"/>
    <w:rsid w:val="276830CB"/>
    <w:rsid w:val="277609EB"/>
    <w:rsid w:val="27795441"/>
    <w:rsid w:val="27AA2C77"/>
    <w:rsid w:val="27B25CEA"/>
    <w:rsid w:val="27BC40CB"/>
    <w:rsid w:val="27CA31AC"/>
    <w:rsid w:val="27D9637B"/>
    <w:rsid w:val="27E40FE2"/>
    <w:rsid w:val="280959C5"/>
    <w:rsid w:val="28123DA1"/>
    <w:rsid w:val="282835C4"/>
    <w:rsid w:val="283D0F68"/>
    <w:rsid w:val="28410F23"/>
    <w:rsid w:val="28522780"/>
    <w:rsid w:val="286A110A"/>
    <w:rsid w:val="288B25DE"/>
    <w:rsid w:val="28B409B4"/>
    <w:rsid w:val="28D73DEB"/>
    <w:rsid w:val="28F91A39"/>
    <w:rsid w:val="29051210"/>
    <w:rsid w:val="29105273"/>
    <w:rsid w:val="291A29AB"/>
    <w:rsid w:val="291D0C4F"/>
    <w:rsid w:val="29235B3A"/>
    <w:rsid w:val="294B4B4D"/>
    <w:rsid w:val="29605B23"/>
    <w:rsid w:val="29A70519"/>
    <w:rsid w:val="29B5109E"/>
    <w:rsid w:val="2A166FF5"/>
    <w:rsid w:val="2A824925"/>
    <w:rsid w:val="2A84522F"/>
    <w:rsid w:val="2AA14CA8"/>
    <w:rsid w:val="2AB033FD"/>
    <w:rsid w:val="2AC222E0"/>
    <w:rsid w:val="2AD81AEC"/>
    <w:rsid w:val="2B487332"/>
    <w:rsid w:val="2B4C581C"/>
    <w:rsid w:val="2B4E732B"/>
    <w:rsid w:val="2B590F2D"/>
    <w:rsid w:val="2B6A1916"/>
    <w:rsid w:val="2B6D7540"/>
    <w:rsid w:val="2B702AF7"/>
    <w:rsid w:val="2B82123D"/>
    <w:rsid w:val="2B832919"/>
    <w:rsid w:val="2BA63403"/>
    <w:rsid w:val="2BAE3C9C"/>
    <w:rsid w:val="2BB40375"/>
    <w:rsid w:val="2BB45DD9"/>
    <w:rsid w:val="2BB533C1"/>
    <w:rsid w:val="2BB56560"/>
    <w:rsid w:val="2BB708BD"/>
    <w:rsid w:val="2BBF7A42"/>
    <w:rsid w:val="2BCB3BBA"/>
    <w:rsid w:val="2BE7456D"/>
    <w:rsid w:val="2BE83786"/>
    <w:rsid w:val="2BE956E1"/>
    <w:rsid w:val="2BEE1BAF"/>
    <w:rsid w:val="2BF51A0F"/>
    <w:rsid w:val="2C18302D"/>
    <w:rsid w:val="2C1A50E5"/>
    <w:rsid w:val="2C1D24D1"/>
    <w:rsid w:val="2C3A3F1C"/>
    <w:rsid w:val="2C5F5583"/>
    <w:rsid w:val="2C722C06"/>
    <w:rsid w:val="2C730B86"/>
    <w:rsid w:val="2C9A6113"/>
    <w:rsid w:val="2CAA73ED"/>
    <w:rsid w:val="2CB27900"/>
    <w:rsid w:val="2CC85B24"/>
    <w:rsid w:val="2D087964"/>
    <w:rsid w:val="2D0D34B7"/>
    <w:rsid w:val="2D102879"/>
    <w:rsid w:val="2D15735F"/>
    <w:rsid w:val="2D1E4F96"/>
    <w:rsid w:val="2D367E96"/>
    <w:rsid w:val="2D4B4662"/>
    <w:rsid w:val="2D5A7A44"/>
    <w:rsid w:val="2D5C1638"/>
    <w:rsid w:val="2D6F3C91"/>
    <w:rsid w:val="2D766C76"/>
    <w:rsid w:val="2D79041E"/>
    <w:rsid w:val="2D890CD5"/>
    <w:rsid w:val="2D99286E"/>
    <w:rsid w:val="2DBA45BF"/>
    <w:rsid w:val="2DD974A8"/>
    <w:rsid w:val="2DED648E"/>
    <w:rsid w:val="2E033D3C"/>
    <w:rsid w:val="2E0559B4"/>
    <w:rsid w:val="2E24482E"/>
    <w:rsid w:val="2E3B56D4"/>
    <w:rsid w:val="2E482812"/>
    <w:rsid w:val="2E4C697C"/>
    <w:rsid w:val="2E5B353C"/>
    <w:rsid w:val="2E866EE3"/>
    <w:rsid w:val="2E956E19"/>
    <w:rsid w:val="2E964979"/>
    <w:rsid w:val="2E9A7907"/>
    <w:rsid w:val="2EA7164B"/>
    <w:rsid w:val="2EAA3725"/>
    <w:rsid w:val="2EAE5B84"/>
    <w:rsid w:val="2EB536D8"/>
    <w:rsid w:val="2ED53072"/>
    <w:rsid w:val="2EEF10A1"/>
    <w:rsid w:val="2F0055D5"/>
    <w:rsid w:val="2F00589C"/>
    <w:rsid w:val="2F017C73"/>
    <w:rsid w:val="2F0445BA"/>
    <w:rsid w:val="2F193000"/>
    <w:rsid w:val="2F296B60"/>
    <w:rsid w:val="2F4475F2"/>
    <w:rsid w:val="2F462582"/>
    <w:rsid w:val="2F4A3E20"/>
    <w:rsid w:val="2F7B5787"/>
    <w:rsid w:val="2F8452BB"/>
    <w:rsid w:val="2F8856E8"/>
    <w:rsid w:val="2F8A246F"/>
    <w:rsid w:val="2F931F3E"/>
    <w:rsid w:val="2F9E02E9"/>
    <w:rsid w:val="2FA20543"/>
    <w:rsid w:val="2FB5399F"/>
    <w:rsid w:val="2FBB2F70"/>
    <w:rsid w:val="2FC040E2"/>
    <w:rsid w:val="2FC82F97"/>
    <w:rsid w:val="2FF24B3E"/>
    <w:rsid w:val="2FFA3A98"/>
    <w:rsid w:val="300246FB"/>
    <w:rsid w:val="30180C70"/>
    <w:rsid w:val="303F6FFD"/>
    <w:rsid w:val="30536D05"/>
    <w:rsid w:val="30554766"/>
    <w:rsid w:val="306453B6"/>
    <w:rsid w:val="30793B1F"/>
    <w:rsid w:val="307A6406"/>
    <w:rsid w:val="308246D4"/>
    <w:rsid w:val="30B009C8"/>
    <w:rsid w:val="30B01A9A"/>
    <w:rsid w:val="30BA6B3E"/>
    <w:rsid w:val="30C01930"/>
    <w:rsid w:val="30EB003C"/>
    <w:rsid w:val="3112096E"/>
    <w:rsid w:val="31127C75"/>
    <w:rsid w:val="3114107D"/>
    <w:rsid w:val="31171CD7"/>
    <w:rsid w:val="31242C11"/>
    <w:rsid w:val="312C253A"/>
    <w:rsid w:val="31311FBE"/>
    <w:rsid w:val="31374878"/>
    <w:rsid w:val="31392548"/>
    <w:rsid w:val="31456F95"/>
    <w:rsid w:val="31533344"/>
    <w:rsid w:val="316F625B"/>
    <w:rsid w:val="31796C3F"/>
    <w:rsid w:val="317A4765"/>
    <w:rsid w:val="31A1797F"/>
    <w:rsid w:val="31A65132"/>
    <w:rsid w:val="31B71515"/>
    <w:rsid w:val="31B87642"/>
    <w:rsid w:val="31C00EF8"/>
    <w:rsid w:val="31CC5364"/>
    <w:rsid w:val="31D623CF"/>
    <w:rsid w:val="31E050B0"/>
    <w:rsid w:val="31E22A36"/>
    <w:rsid w:val="31F2254D"/>
    <w:rsid w:val="320D4E6E"/>
    <w:rsid w:val="321E3A0A"/>
    <w:rsid w:val="322E4BAF"/>
    <w:rsid w:val="323413C5"/>
    <w:rsid w:val="323572F6"/>
    <w:rsid w:val="323963CE"/>
    <w:rsid w:val="323E0A30"/>
    <w:rsid w:val="3246608B"/>
    <w:rsid w:val="324B3E79"/>
    <w:rsid w:val="325167B6"/>
    <w:rsid w:val="326266B4"/>
    <w:rsid w:val="3273120E"/>
    <w:rsid w:val="32753D0B"/>
    <w:rsid w:val="327F7554"/>
    <w:rsid w:val="32A74051"/>
    <w:rsid w:val="32B60A23"/>
    <w:rsid w:val="32C76AFB"/>
    <w:rsid w:val="32D85BE7"/>
    <w:rsid w:val="32DB2081"/>
    <w:rsid w:val="32F32879"/>
    <w:rsid w:val="32F42D9E"/>
    <w:rsid w:val="3301513E"/>
    <w:rsid w:val="3304078A"/>
    <w:rsid w:val="33054D39"/>
    <w:rsid w:val="33305A23"/>
    <w:rsid w:val="333D477F"/>
    <w:rsid w:val="334943EF"/>
    <w:rsid w:val="334E5EA9"/>
    <w:rsid w:val="33504B51"/>
    <w:rsid w:val="33572FB0"/>
    <w:rsid w:val="335D3F73"/>
    <w:rsid w:val="33713C78"/>
    <w:rsid w:val="337771AE"/>
    <w:rsid w:val="33802506"/>
    <w:rsid w:val="33831376"/>
    <w:rsid w:val="3384184F"/>
    <w:rsid w:val="338A3D83"/>
    <w:rsid w:val="338B4A07"/>
    <w:rsid w:val="33956234"/>
    <w:rsid w:val="33956A0B"/>
    <w:rsid w:val="33A04618"/>
    <w:rsid w:val="33AA1058"/>
    <w:rsid w:val="33AF6CE8"/>
    <w:rsid w:val="33BA52ED"/>
    <w:rsid w:val="33C1005A"/>
    <w:rsid w:val="33EB1C56"/>
    <w:rsid w:val="34076784"/>
    <w:rsid w:val="340A02ED"/>
    <w:rsid w:val="341113B0"/>
    <w:rsid w:val="34363B90"/>
    <w:rsid w:val="343D21A6"/>
    <w:rsid w:val="344069F0"/>
    <w:rsid w:val="344E794B"/>
    <w:rsid w:val="345D45F6"/>
    <w:rsid w:val="346F1413"/>
    <w:rsid w:val="34733E19"/>
    <w:rsid w:val="3491604D"/>
    <w:rsid w:val="34A17D4A"/>
    <w:rsid w:val="34C1512F"/>
    <w:rsid w:val="34CF4905"/>
    <w:rsid w:val="34F91ACC"/>
    <w:rsid w:val="35031DA7"/>
    <w:rsid w:val="350D23A0"/>
    <w:rsid w:val="35243C45"/>
    <w:rsid w:val="35414E0B"/>
    <w:rsid w:val="35905D41"/>
    <w:rsid w:val="35906305"/>
    <w:rsid w:val="35B17626"/>
    <w:rsid w:val="35BB3E7D"/>
    <w:rsid w:val="35D6028F"/>
    <w:rsid w:val="35E74616"/>
    <w:rsid w:val="35EB69CC"/>
    <w:rsid w:val="35EE30CD"/>
    <w:rsid w:val="35F77C74"/>
    <w:rsid w:val="35F87B3C"/>
    <w:rsid w:val="36035EE7"/>
    <w:rsid w:val="360867F6"/>
    <w:rsid w:val="36140CE4"/>
    <w:rsid w:val="36160F00"/>
    <w:rsid w:val="361B02C4"/>
    <w:rsid w:val="36264A5B"/>
    <w:rsid w:val="36452A76"/>
    <w:rsid w:val="36455341"/>
    <w:rsid w:val="364F7F6E"/>
    <w:rsid w:val="365A29B6"/>
    <w:rsid w:val="36717D84"/>
    <w:rsid w:val="36845780"/>
    <w:rsid w:val="3689036D"/>
    <w:rsid w:val="368A323C"/>
    <w:rsid w:val="36A22794"/>
    <w:rsid w:val="36B4589B"/>
    <w:rsid w:val="36B85A18"/>
    <w:rsid w:val="36C6432F"/>
    <w:rsid w:val="36DF7544"/>
    <w:rsid w:val="36E42EB5"/>
    <w:rsid w:val="36E92171"/>
    <w:rsid w:val="36EC6637"/>
    <w:rsid w:val="36EF52AD"/>
    <w:rsid w:val="36FA1069"/>
    <w:rsid w:val="370A058B"/>
    <w:rsid w:val="37117919"/>
    <w:rsid w:val="371511B8"/>
    <w:rsid w:val="371708EF"/>
    <w:rsid w:val="3734069D"/>
    <w:rsid w:val="37465815"/>
    <w:rsid w:val="37495673"/>
    <w:rsid w:val="37557806"/>
    <w:rsid w:val="3757357E"/>
    <w:rsid w:val="37734130"/>
    <w:rsid w:val="377834E6"/>
    <w:rsid w:val="3782347A"/>
    <w:rsid w:val="379160EA"/>
    <w:rsid w:val="37A8604A"/>
    <w:rsid w:val="37A934D2"/>
    <w:rsid w:val="37A95DA4"/>
    <w:rsid w:val="37A97B52"/>
    <w:rsid w:val="37BC3392"/>
    <w:rsid w:val="37C036A0"/>
    <w:rsid w:val="37C103D6"/>
    <w:rsid w:val="37CE1367"/>
    <w:rsid w:val="37E529E9"/>
    <w:rsid w:val="37FE6E39"/>
    <w:rsid w:val="38055562"/>
    <w:rsid w:val="380B4515"/>
    <w:rsid w:val="381572B8"/>
    <w:rsid w:val="38536701"/>
    <w:rsid w:val="38587EAA"/>
    <w:rsid w:val="385B0E4C"/>
    <w:rsid w:val="385E3204"/>
    <w:rsid w:val="3862667F"/>
    <w:rsid w:val="38677C80"/>
    <w:rsid w:val="38783A10"/>
    <w:rsid w:val="387A1DB3"/>
    <w:rsid w:val="388760E5"/>
    <w:rsid w:val="388B11B0"/>
    <w:rsid w:val="38B873E2"/>
    <w:rsid w:val="38F67F51"/>
    <w:rsid w:val="39044BAD"/>
    <w:rsid w:val="391A778D"/>
    <w:rsid w:val="394D42A6"/>
    <w:rsid w:val="397321C6"/>
    <w:rsid w:val="39880367"/>
    <w:rsid w:val="398919E9"/>
    <w:rsid w:val="39897C3B"/>
    <w:rsid w:val="39AD3B91"/>
    <w:rsid w:val="39C26CD1"/>
    <w:rsid w:val="39CD70E9"/>
    <w:rsid w:val="39FB6819"/>
    <w:rsid w:val="3A1535FE"/>
    <w:rsid w:val="3A2C61C1"/>
    <w:rsid w:val="3A3A057F"/>
    <w:rsid w:val="3A4128EF"/>
    <w:rsid w:val="3A465B2C"/>
    <w:rsid w:val="3A5169AB"/>
    <w:rsid w:val="3A741088"/>
    <w:rsid w:val="3A751F6D"/>
    <w:rsid w:val="3A8B1558"/>
    <w:rsid w:val="3A964F46"/>
    <w:rsid w:val="3A983F48"/>
    <w:rsid w:val="3A9B336A"/>
    <w:rsid w:val="3AB40CE8"/>
    <w:rsid w:val="3AD2116E"/>
    <w:rsid w:val="3ADE77C1"/>
    <w:rsid w:val="3AEF1480"/>
    <w:rsid w:val="3B027E69"/>
    <w:rsid w:val="3B3566A7"/>
    <w:rsid w:val="3B6256D4"/>
    <w:rsid w:val="3B6808F8"/>
    <w:rsid w:val="3B6B2D07"/>
    <w:rsid w:val="3B893F22"/>
    <w:rsid w:val="3BB05953"/>
    <w:rsid w:val="3BC14543"/>
    <w:rsid w:val="3BC1657B"/>
    <w:rsid w:val="3BDA29D0"/>
    <w:rsid w:val="3BE316E1"/>
    <w:rsid w:val="3BE45A1E"/>
    <w:rsid w:val="3BEB4966"/>
    <w:rsid w:val="3BF31BF6"/>
    <w:rsid w:val="3C18641D"/>
    <w:rsid w:val="3C1C6307"/>
    <w:rsid w:val="3C2B322B"/>
    <w:rsid w:val="3C4E6795"/>
    <w:rsid w:val="3C53008C"/>
    <w:rsid w:val="3C6D114E"/>
    <w:rsid w:val="3C823E34"/>
    <w:rsid w:val="3C940DD1"/>
    <w:rsid w:val="3C9A4E75"/>
    <w:rsid w:val="3CBE6029"/>
    <w:rsid w:val="3CCD42E3"/>
    <w:rsid w:val="3CD87AFA"/>
    <w:rsid w:val="3CD91AB9"/>
    <w:rsid w:val="3CE80C00"/>
    <w:rsid w:val="3CF41DDE"/>
    <w:rsid w:val="3D1122D9"/>
    <w:rsid w:val="3D12298F"/>
    <w:rsid w:val="3D1C7E93"/>
    <w:rsid w:val="3D261787"/>
    <w:rsid w:val="3D4225DB"/>
    <w:rsid w:val="3D4C4C97"/>
    <w:rsid w:val="3D501BC3"/>
    <w:rsid w:val="3D532A3A"/>
    <w:rsid w:val="3D647F2A"/>
    <w:rsid w:val="3D6F5BDB"/>
    <w:rsid w:val="3D7911CF"/>
    <w:rsid w:val="3D824ED6"/>
    <w:rsid w:val="3D8A7708"/>
    <w:rsid w:val="3D9F5C7F"/>
    <w:rsid w:val="3DA212CB"/>
    <w:rsid w:val="3DB66B25"/>
    <w:rsid w:val="3DB86D41"/>
    <w:rsid w:val="3DBD1AD6"/>
    <w:rsid w:val="3DC01751"/>
    <w:rsid w:val="3E171E42"/>
    <w:rsid w:val="3E194D65"/>
    <w:rsid w:val="3E384D3D"/>
    <w:rsid w:val="3E520EF9"/>
    <w:rsid w:val="3E71765C"/>
    <w:rsid w:val="3E76777E"/>
    <w:rsid w:val="3E8949ED"/>
    <w:rsid w:val="3EAA423E"/>
    <w:rsid w:val="3EC309B7"/>
    <w:rsid w:val="3EE55509"/>
    <w:rsid w:val="3EF70D0A"/>
    <w:rsid w:val="3EF72EC9"/>
    <w:rsid w:val="3EFD2FB4"/>
    <w:rsid w:val="3F055974"/>
    <w:rsid w:val="3F083A54"/>
    <w:rsid w:val="3F385E31"/>
    <w:rsid w:val="3F467593"/>
    <w:rsid w:val="3F516B05"/>
    <w:rsid w:val="3F6958BC"/>
    <w:rsid w:val="3F760C61"/>
    <w:rsid w:val="3F7E3672"/>
    <w:rsid w:val="3F8668E2"/>
    <w:rsid w:val="3F8769CB"/>
    <w:rsid w:val="3F8844F1"/>
    <w:rsid w:val="3F8A350A"/>
    <w:rsid w:val="3FBD4F5B"/>
    <w:rsid w:val="3FD84629"/>
    <w:rsid w:val="3FFB2F15"/>
    <w:rsid w:val="400D4F69"/>
    <w:rsid w:val="40183AC7"/>
    <w:rsid w:val="401E65CC"/>
    <w:rsid w:val="4022602E"/>
    <w:rsid w:val="40251D40"/>
    <w:rsid w:val="40390F76"/>
    <w:rsid w:val="40532CA8"/>
    <w:rsid w:val="4065280A"/>
    <w:rsid w:val="40661121"/>
    <w:rsid w:val="40763B34"/>
    <w:rsid w:val="407F77F1"/>
    <w:rsid w:val="40935BB3"/>
    <w:rsid w:val="40A2785A"/>
    <w:rsid w:val="40AB5F66"/>
    <w:rsid w:val="40B2745F"/>
    <w:rsid w:val="40BA2F5B"/>
    <w:rsid w:val="40D70761"/>
    <w:rsid w:val="40E7064C"/>
    <w:rsid w:val="40E816EB"/>
    <w:rsid w:val="40F85993"/>
    <w:rsid w:val="410F4E53"/>
    <w:rsid w:val="41154A97"/>
    <w:rsid w:val="4119041B"/>
    <w:rsid w:val="412627D7"/>
    <w:rsid w:val="412D6014"/>
    <w:rsid w:val="41305C37"/>
    <w:rsid w:val="4132693C"/>
    <w:rsid w:val="41393CF5"/>
    <w:rsid w:val="413D33EF"/>
    <w:rsid w:val="413E2D18"/>
    <w:rsid w:val="41456B3D"/>
    <w:rsid w:val="414B08D8"/>
    <w:rsid w:val="414E240B"/>
    <w:rsid w:val="415E19AD"/>
    <w:rsid w:val="41A3369B"/>
    <w:rsid w:val="41AC2B40"/>
    <w:rsid w:val="41B24C4F"/>
    <w:rsid w:val="41CD13FD"/>
    <w:rsid w:val="41DC0929"/>
    <w:rsid w:val="41F405DF"/>
    <w:rsid w:val="420C6134"/>
    <w:rsid w:val="42296069"/>
    <w:rsid w:val="422C1AAB"/>
    <w:rsid w:val="422F7D49"/>
    <w:rsid w:val="423746D8"/>
    <w:rsid w:val="42411497"/>
    <w:rsid w:val="42564F55"/>
    <w:rsid w:val="426113CD"/>
    <w:rsid w:val="42852229"/>
    <w:rsid w:val="428B79C2"/>
    <w:rsid w:val="42927B60"/>
    <w:rsid w:val="42B52A5A"/>
    <w:rsid w:val="42BB5A65"/>
    <w:rsid w:val="42BE0955"/>
    <w:rsid w:val="42C47367"/>
    <w:rsid w:val="42F00D2B"/>
    <w:rsid w:val="431069A9"/>
    <w:rsid w:val="4312153B"/>
    <w:rsid w:val="43207F29"/>
    <w:rsid w:val="43251AA8"/>
    <w:rsid w:val="436C6FFF"/>
    <w:rsid w:val="4371578D"/>
    <w:rsid w:val="438B5990"/>
    <w:rsid w:val="43AC6A00"/>
    <w:rsid w:val="43B27935"/>
    <w:rsid w:val="43BA4D4F"/>
    <w:rsid w:val="43BE4985"/>
    <w:rsid w:val="43FB1735"/>
    <w:rsid w:val="440D63F0"/>
    <w:rsid w:val="441C4F4E"/>
    <w:rsid w:val="443426E9"/>
    <w:rsid w:val="445539FA"/>
    <w:rsid w:val="446F2D4A"/>
    <w:rsid w:val="44741DB7"/>
    <w:rsid w:val="447D44D3"/>
    <w:rsid w:val="447E5E2A"/>
    <w:rsid w:val="44841EBD"/>
    <w:rsid w:val="449D243B"/>
    <w:rsid w:val="44C05078"/>
    <w:rsid w:val="44C522AB"/>
    <w:rsid w:val="44DA134B"/>
    <w:rsid w:val="44ED471A"/>
    <w:rsid w:val="45045908"/>
    <w:rsid w:val="45114A51"/>
    <w:rsid w:val="451259F2"/>
    <w:rsid w:val="451705C1"/>
    <w:rsid w:val="45240E10"/>
    <w:rsid w:val="452E0344"/>
    <w:rsid w:val="4534265D"/>
    <w:rsid w:val="453C3DB3"/>
    <w:rsid w:val="456E5B41"/>
    <w:rsid w:val="456F631B"/>
    <w:rsid w:val="4574179F"/>
    <w:rsid w:val="45793CAC"/>
    <w:rsid w:val="45917DF8"/>
    <w:rsid w:val="45921175"/>
    <w:rsid w:val="45AB480C"/>
    <w:rsid w:val="45B6495D"/>
    <w:rsid w:val="45C738DC"/>
    <w:rsid w:val="45DD47DF"/>
    <w:rsid w:val="45E3036C"/>
    <w:rsid w:val="45F65C17"/>
    <w:rsid w:val="460022EF"/>
    <w:rsid w:val="461611FF"/>
    <w:rsid w:val="46197B2C"/>
    <w:rsid w:val="461C1E7F"/>
    <w:rsid w:val="46302237"/>
    <w:rsid w:val="4648420D"/>
    <w:rsid w:val="4694476B"/>
    <w:rsid w:val="46955A09"/>
    <w:rsid w:val="469A6794"/>
    <w:rsid w:val="469C0B8D"/>
    <w:rsid w:val="46A14C12"/>
    <w:rsid w:val="46AC6974"/>
    <w:rsid w:val="46B100E9"/>
    <w:rsid w:val="46D71FE6"/>
    <w:rsid w:val="46DA1AD6"/>
    <w:rsid w:val="46DC2184"/>
    <w:rsid w:val="46E754A3"/>
    <w:rsid w:val="46E90656"/>
    <w:rsid w:val="4703605D"/>
    <w:rsid w:val="4714717D"/>
    <w:rsid w:val="4724163E"/>
    <w:rsid w:val="47264769"/>
    <w:rsid w:val="4735602C"/>
    <w:rsid w:val="474D2E3F"/>
    <w:rsid w:val="475A2C17"/>
    <w:rsid w:val="47633BD9"/>
    <w:rsid w:val="47652830"/>
    <w:rsid w:val="47805912"/>
    <w:rsid w:val="47860F1E"/>
    <w:rsid w:val="4794342F"/>
    <w:rsid w:val="479E4EDD"/>
    <w:rsid w:val="47A866C0"/>
    <w:rsid w:val="47BC567F"/>
    <w:rsid w:val="47DD0DA2"/>
    <w:rsid w:val="47EF48EE"/>
    <w:rsid w:val="48500230"/>
    <w:rsid w:val="48647E91"/>
    <w:rsid w:val="48830434"/>
    <w:rsid w:val="48AC1250"/>
    <w:rsid w:val="48C22822"/>
    <w:rsid w:val="48C808A0"/>
    <w:rsid w:val="48D7799B"/>
    <w:rsid w:val="48EA7135"/>
    <w:rsid w:val="49007B4D"/>
    <w:rsid w:val="491518EB"/>
    <w:rsid w:val="494A344A"/>
    <w:rsid w:val="49686565"/>
    <w:rsid w:val="49752D84"/>
    <w:rsid w:val="49893EBD"/>
    <w:rsid w:val="49AA63AF"/>
    <w:rsid w:val="49D13819"/>
    <w:rsid w:val="49D14229"/>
    <w:rsid w:val="49D15412"/>
    <w:rsid w:val="49D547D7"/>
    <w:rsid w:val="49E71892"/>
    <w:rsid w:val="4A0D4229"/>
    <w:rsid w:val="4A235C65"/>
    <w:rsid w:val="4A5676C5"/>
    <w:rsid w:val="4A92473F"/>
    <w:rsid w:val="4AA17221"/>
    <w:rsid w:val="4AA83CE8"/>
    <w:rsid w:val="4AB16FF2"/>
    <w:rsid w:val="4AC62A9D"/>
    <w:rsid w:val="4AE01685"/>
    <w:rsid w:val="4AEC002A"/>
    <w:rsid w:val="4B004A60"/>
    <w:rsid w:val="4B1E0FC4"/>
    <w:rsid w:val="4B2934FB"/>
    <w:rsid w:val="4B2C0576"/>
    <w:rsid w:val="4B3B68BB"/>
    <w:rsid w:val="4B661768"/>
    <w:rsid w:val="4B6651FE"/>
    <w:rsid w:val="4B9A00F4"/>
    <w:rsid w:val="4BA44E82"/>
    <w:rsid w:val="4BA91B23"/>
    <w:rsid w:val="4BB46342"/>
    <w:rsid w:val="4BCA7C07"/>
    <w:rsid w:val="4BCF3EB6"/>
    <w:rsid w:val="4BE53CA8"/>
    <w:rsid w:val="4BEB6533"/>
    <w:rsid w:val="4BF413A3"/>
    <w:rsid w:val="4BFF6F6D"/>
    <w:rsid w:val="4C095499"/>
    <w:rsid w:val="4C0A317C"/>
    <w:rsid w:val="4C2919FF"/>
    <w:rsid w:val="4C2D7392"/>
    <w:rsid w:val="4C636C07"/>
    <w:rsid w:val="4C7B1F02"/>
    <w:rsid w:val="4C813BDE"/>
    <w:rsid w:val="4C997D3D"/>
    <w:rsid w:val="4C9D62E0"/>
    <w:rsid w:val="4CC255AB"/>
    <w:rsid w:val="4CD84CB4"/>
    <w:rsid w:val="4CEA5CFA"/>
    <w:rsid w:val="4CF23BDE"/>
    <w:rsid w:val="4CFD1306"/>
    <w:rsid w:val="4CFD651E"/>
    <w:rsid w:val="4D01600E"/>
    <w:rsid w:val="4D0413E0"/>
    <w:rsid w:val="4D0B0C3B"/>
    <w:rsid w:val="4D0E4287"/>
    <w:rsid w:val="4D2770F7"/>
    <w:rsid w:val="4D3637DE"/>
    <w:rsid w:val="4D3A1520"/>
    <w:rsid w:val="4D4948D1"/>
    <w:rsid w:val="4D5048A0"/>
    <w:rsid w:val="4D601DFC"/>
    <w:rsid w:val="4D754306"/>
    <w:rsid w:val="4D8752B8"/>
    <w:rsid w:val="4D8D163E"/>
    <w:rsid w:val="4D9549A9"/>
    <w:rsid w:val="4D957FE3"/>
    <w:rsid w:val="4D9C7AE5"/>
    <w:rsid w:val="4DAE15C6"/>
    <w:rsid w:val="4DBB70C5"/>
    <w:rsid w:val="4DC13C49"/>
    <w:rsid w:val="4DD63967"/>
    <w:rsid w:val="4DE9049B"/>
    <w:rsid w:val="4DEF79C6"/>
    <w:rsid w:val="4DF01BDF"/>
    <w:rsid w:val="4E0336C0"/>
    <w:rsid w:val="4E2B0DEE"/>
    <w:rsid w:val="4E2D5DA7"/>
    <w:rsid w:val="4E4A1E4D"/>
    <w:rsid w:val="4E5008D0"/>
    <w:rsid w:val="4E565121"/>
    <w:rsid w:val="4E5F55FC"/>
    <w:rsid w:val="4E7C2C07"/>
    <w:rsid w:val="4E894504"/>
    <w:rsid w:val="4EA26238"/>
    <w:rsid w:val="4EB01370"/>
    <w:rsid w:val="4EEC61D3"/>
    <w:rsid w:val="4F0959C6"/>
    <w:rsid w:val="4F1528D9"/>
    <w:rsid w:val="4F1B24A1"/>
    <w:rsid w:val="4F1B4C77"/>
    <w:rsid w:val="4F1D53C9"/>
    <w:rsid w:val="4F391364"/>
    <w:rsid w:val="4F3E2CE2"/>
    <w:rsid w:val="4F4108D9"/>
    <w:rsid w:val="4F5159D7"/>
    <w:rsid w:val="4F5330C0"/>
    <w:rsid w:val="4F550CF0"/>
    <w:rsid w:val="4F570D38"/>
    <w:rsid w:val="4F5C18E6"/>
    <w:rsid w:val="4F6302EE"/>
    <w:rsid w:val="4F816161"/>
    <w:rsid w:val="4F9C359E"/>
    <w:rsid w:val="4FBB7FCB"/>
    <w:rsid w:val="4FCB7117"/>
    <w:rsid w:val="50011E81"/>
    <w:rsid w:val="50111814"/>
    <w:rsid w:val="50132EF6"/>
    <w:rsid w:val="50224539"/>
    <w:rsid w:val="50587752"/>
    <w:rsid w:val="505C7454"/>
    <w:rsid w:val="506765FE"/>
    <w:rsid w:val="506B7335"/>
    <w:rsid w:val="507C2FF8"/>
    <w:rsid w:val="50BB0282"/>
    <w:rsid w:val="50C81C3A"/>
    <w:rsid w:val="50CB22FD"/>
    <w:rsid w:val="50EB1E2D"/>
    <w:rsid w:val="5133250E"/>
    <w:rsid w:val="51354906"/>
    <w:rsid w:val="51426BF5"/>
    <w:rsid w:val="51621B49"/>
    <w:rsid w:val="51654349"/>
    <w:rsid w:val="516B0B3C"/>
    <w:rsid w:val="518A613E"/>
    <w:rsid w:val="51904371"/>
    <w:rsid w:val="519535B1"/>
    <w:rsid w:val="519D3E2C"/>
    <w:rsid w:val="51A73F12"/>
    <w:rsid w:val="51BB5A53"/>
    <w:rsid w:val="51DB7A5C"/>
    <w:rsid w:val="51E952C3"/>
    <w:rsid w:val="51FD2761"/>
    <w:rsid w:val="521D27E0"/>
    <w:rsid w:val="5253749C"/>
    <w:rsid w:val="527E6A7D"/>
    <w:rsid w:val="528374C6"/>
    <w:rsid w:val="528F19C6"/>
    <w:rsid w:val="52BF0D37"/>
    <w:rsid w:val="52C32DB3"/>
    <w:rsid w:val="52C5583B"/>
    <w:rsid w:val="52D715BF"/>
    <w:rsid w:val="52D972C4"/>
    <w:rsid w:val="52E07084"/>
    <w:rsid w:val="52E50D30"/>
    <w:rsid w:val="52ED6907"/>
    <w:rsid w:val="532A7941"/>
    <w:rsid w:val="533E04DE"/>
    <w:rsid w:val="53542382"/>
    <w:rsid w:val="53623718"/>
    <w:rsid w:val="538232D9"/>
    <w:rsid w:val="53874D6C"/>
    <w:rsid w:val="53A9297F"/>
    <w:rsid w:val="53D02BF5"/>
    <w:rsid w:val="53E82F40"/>
    <w:rsid w:val="54041F40"/>
    <w:rsid w:val="5407402D"/>
    <w:rsid w:val="54154DC9"/>
    <w:rsid w:val="54284282"/>
    <w:rsid w:val="543365B2"/>
    <w:rsid w:val="545221AF"/>
    <w:rsid w:val="546426FE"/>
    <w:rsid w:val="5464711F"/>
    <w:rsid w:val="54676969"/>
    <w:rsid w:val="54733E51"/>
    <w:rsid w:val="547779B4"/>
    <w:rsid w:val="54832B57"/>
    <w:rsid w:val="548B5C6E"/>
    <w:rsid w:val="54A110B1"/>
    <w:rsid w:val="54B45541"/>
    <w:rsid w:val="54B55930"/>
    <w:rsid w:val="54D73AF9"/>
    <w:rsid w:val="54DD5E2B"/>
    <w:rsid w:val="54EA658D"/>
    <w:rsid w:val="54F60DF7"/>
    <w:rsid w:val="54FE2E33"/>
    <w:rsid w:val="55125391"/>
    <w:rsid w:val="55184DE5"/>
    <w:rsid w:val="55196BF7"/>
    <w:rsid w:val="552503C0"/>
    <w:rsid w:val="552E1A3E"/>
    <w:rsid w:val="553D4707"/>
    <w:rsid w:val="553E76D4"/>
    <w:rsid w:val="55436A98"/>
    <w:rsid w:val="554612E7"/>
    <w:rsid w:val="55546EF7"/>
    <w:rsid w:val="55556188"/>
    <w:rsid w:val="555A5BF8"/>
    <w:rsid w:val="55661DE1"/>
    <w:rsid w:val="55733821"/>
    <w:rsid w:val="55896F47"/>
    <w:rsid w:val="558F0587"/>
    <w:rsid w:val="55921A1A"/>
    <w:rsid w:val="559355FE"/>
    <w:rsid w:val="559419A6"/>
    <w:rsid w:val="55A90FF1"/>
    <w:rsid w:val="55AB4B2E"/>
    <w:rsid w:val="55CE6126"/>
    <w:rsid w:val="55F06C20"/>
    <w:rsid w:val="560C332E"/>
    <w:rsid w:val="563207FD"/>
    <w:rsid w:val="563E0449"/>
    <w:rsid w:val="56490E7E"/>
    <w:rsid w:val="565F4159"/>
    <w:rsid w:val="56785D5C"/>
    <w:rsid w:val="567E0163"/>
    <w:rsid w:val="56856B95"/>
    <w:rsid w:val="569037CB"/>
    <w:rsid w:val="56935F0D"/>
    <w:rsid w:val="56E36785"/>
    <w:rsid w:val="56FB1720"/>
    <w:rsid w:val="57122BC6"/>
    <w:rsid w:val="57157376"/>
    <w:rsid w:val="574504A8"/>
    <w:rsid w:val="574834BD"/>
    <w:rsid w:val="57575901"/>
    <w:rsid w:val="577601D3"/>
    <w:rsid w:val="57884849"/>
    <w:rsid w:val="57B8376D"/>
    <w:rsid w:val="57C22B3C"/>
    <w:rsid w:val="57C43775"/>
    <w:rsid w:val="57D20E08"/>
    <w:rsid w:val="57E8171B"/>
    <w:rsid w:val="57E9601D"/>
    <w:rsid w:val="57F4051E"/>
    <w:rsid w:val="57F549C2"/>
    <w:rsid w:val="58086806"/>
    <w:rsid w:val="58484D86"/>
    <w:rsid w:val="58486899"/>
    <w:rsid w:val="586918CE"/>
    <w:rsid w:val="589F66DB"/>
    <w:rsid w:val="58B34DDC"/>
    <w:rsid w:val="58CE70F0"/>
    <w:rsid w:val="58E1680A"/>
    <w:rsid w:val="58E67606"/>
    <w:rsid w:val="58FE78A6"/>
    <w:rsid w:val="59036E1D"/>
    <w:rsid w:val="59373F23"/>
    <w:rsid w:val="596552F0"/>
    <w:rsid w:val="597C4F99"/>
    <w:rsid w:val="59AA24D9"/>
    <w:rsid w:val="59CD006E"/>
    <w:rsid w:val="59E36A9C"/>
    <w:rsid w:val="5A015962"/>
    <w:rsid w:val="5A0A3797"/>
    <w:rsid w:val="5A137381"/>
    <w:rsid w:val="5A1530F9"/>
    <w:rsid w:val="5A1D590D"/>
    <w:rsid w:val="5A35655C"/>
    <w:rsid w:val="5A45472E"/>
    <w:rsid w:val="5A4E660B"/>
    <w:rsid w:val="5A540645"/>
    <w:rsid w:val="5A6B17E6"/>
    <w:rsid w:val="5A6B3AB0"/>
    <w:rsid w:val="5A763D4F"/>
    <w:rsid w:val="5A8037CA"/>
    <w:rsid w:val="5A823E74"/>
    <w:rsid w:val="5A8E2EAB"/>
    <w:rsid w:val="5A9023E4"/>
    <w:rsid w:val="5A930966"/>
    <w:rsid w:val="5ABF3E93"/>
    <w:rsid w:val="5AD1449C"/>
    <w:rsid w:val="5AD325D0"/>
    <w:rsid w:val="5AD84CB1"/>
    <w:rsid w:val="5AEE394A"/>
    <w:rsid w:val="5AEF5CC8"/>
    <w:rsid w:val="5AF16AC3"/>
    <w:rsid w:val="5AFE6A93"/>
    <w:rsid w:val="5B0B3F55"/>
    <w:rsid w:val="5B0C1E13"/>
    <w:rsid w:val="5B104291"/>
    <w:rsid w:val="5B246903"/>
    <w:rsid w:val="5B2E52F1"/>
    <w:rsid w:val="5B3947D4"/>
    <w:rsid w:val="5B3A13AB"/>
    <w:rsid w:val="5B406AF5"/>
    <w:rsid w:val="5B4377F2"/>
    <w:rsid w:val="5B630F3C"/>
    <w:rsid w:val="5B735FB2"/>
    <w:rsid w:val="5B757E7A"/>
    <w:rsid w:val="5B765E19"/>
    <w:rsid w:val="5B9A555D"/>
    <w:rsid w:val="5BA10EBA"/>
    <w:rsid w:val="5BA305BE"/>
    <w:rsid w:val="5BAE3CCB"/>
    <w:rsid w:val="5BC52978"/>
    <w:rsid w:val="5BD54BE1"/>
    <w:rsid w:val="5BDC5206"/>
    <w:rsid w:val="5BDF7095"/>
    <w:rsid w:val="5BE27313"/>
    <w:rsid w:val="5BF94355"/>
    <w:rsid w:val="5C030663"/>
    <w:rsid w:val="5C0A6562"/>
    <w:rsid w:val="5C13413A"/>
    <w:rsid w:val="5C14118E"/>
    <w:rsid w:val="5C290D9D"/>
    <w:rsid w:val="5C56031C"/>
    <w:rsid w:val="5C5E240A"/>
    <w:rsid w:val="5C6312A0"/>
    <w:rsid w:val="5C717056"/>
    <w:rsid w:val="5C750170"/>
    <w:rsid w:val="5C886C5A"/>
    <w:rsid w:val="5C89392A"/>
    <w:rsid w:val="5C901911"/>
    <w:rsid w:val="5C9C0F22"/>
    <w:rsid w:val="5CAB5196"/>
    <w:rsid w:val="5CAD62E8"/>
    <w:rsid w:val="5CDA3FE2"/>
    <w:rsid w:val="5CFE30FF"/>
    <w:rsid w:val="5D0B54DD"/>
    <w:rsid w:val="5D102783"/>
    <w:rsid w:val="5D347D3A"/>
    <w:rsid w:val="5D504448"/>
    <w:rsid w:val="5D583D5A"/>
    <w:rsid w:val="5D5B245A"/>
    <w:rsid w:val="5D5D40E3"/>
    <w:rsid w:val="5D5E0913"/>
    <w:rsid w:val="5D5E4873"/>
    <w:rsid w:val="5D711CEE"/>
    <w:rsid w:val="5D8044B4"/>
    <w:rsid w:val="5D8C4409"/>
    <w:rsid w:val="5D953969"/>
    <w:rsid w:val="5DAD53F7"/>
    <w:rsid w:val="5DB81DEE"/>
    <w:rsid w:val="5DBB74DD"/>
    <w:rsid w:val="5DCF1811"/>
    <w:rsid w:val="5E0278AC"/>
    <w:rsid w:val="5E0C5D98"/>
    <w:rsid w:val="5E0F7D36"/>
    <w:rsid w:val="5E153089"/>
    <w:rsid w:val="5E194310"/>
    <w:rsid w:val="5E1B46B2"/>
    <w:rsid w:val="5E214E60"/>
    <w:rsid w:val="5E416E7D"/>
    <w:rsid w:val="5E44774B"/>
    <w:rsid w:val="5E4D7989"/>
    <w:rsid w:val="5E947447"/>
    <w:rsid w:val="5E9509D6"/>
    <w:rsid w:val="5EB32EE1"/>
    <w:rsid w:val="5EB8002A"/>
    <w:rsid w:val="5EB8640C"/>
    <w:rsid w:val="5EC90269"/>
    <w:rsid w:val="5EC92295"/>
    <w:rsid w:val="5ECD756E"/>
    <w:rsid w:val="5ED052C1"/>
    <w:rsid w:val="5EDB66AD"/>
    <w:rsid w:val="5F075342"/>
    <w:rsid w:val="5F090D52"/>
    <w:rsid w:val="5F0B16F5"/>
    <w:rsid w:val="5F12099B"/>
    <w:rsid w:val="5F2035EB"/>
    <w:rsid w:val="5F211BFF"/>
    <w:rsid w:val="5F4B198F"/>
    <w:rsid w:val="5F4E560C"/>
    <w:rsid w:val="5F5F037F"/>
    <w:rsid w:val="5F66592C"/>
    <w:rsid w:val="5F6D0154"/>
    <w:rsid w:val="5F9A6357"/>
    <w:rsid w:val="5FA1065E"/>
    <w:rsid w:val="5FA22B96"/>
    <w:rsid w:val="5FA92A04"/>
    <w:rsid w:val="5FBA7BDF"/>
    <w:rsid w:val="5FC058B5"/>
    <w:rsid w:val="5FC2179B"/>
    <w:rsid w:val="5FD15F43"/>
    <w:rsid w:val="5FDB4C83"/>
    <w:rsid w:val="5FDE3600"/>
    <w:rsid w:val="5FE1413B"/>
    <w:rsid w:val="5FE1781D"/>
    <w:rsid w:val="5FE95FAC"/>
    <w:rsid w:val="5FF67517"/>
    <w:rsid w:val="601B2AEB"/>
    <w:rsid w:val="601C6864"/>
    <w:rsid w:val="602120CC"/>
    <w:rsid w:val="60243FCD"/>
    <w:rsid w:val="602C2F4B"/>
    <w:rsid w:val="603665CD"/>
    <w:rsid w:val="603B51FC"/>
    <w:rsid w:val="603E25AC"/>
    <w:rsid w:val="603E4A2C"/>
    <w:rsid w:val="604F07E6"/>
    <w:rsid w:val="606D2C19"/>
    <w:rsid w:val="607F7CF7"/>
    <w:rsid w:val="609A466B"/>
    <w:rsid w:val="60A22F40"/>
    <w:rsid w:val="60A9027A"/>
    <w:rsid w:val="60AC7BE7"/>
    <w:rsid w:val="60BF0A9B"/>
    <w:rsid w:val="60BF5B6D"/>
    <w:rsid w:val="60F63558"/>
    <w:rsid w:val="611322D1"/>
    <w:rsid w:val="61291C00"/>
    <w:rsid w:val="612A7A57"/>
    <w:rsid w:val="613E5314"/>
    <w:rsid w:val="6147286C"/>
    <w:rsid w:val="615C33BC"/>
    <w:rsid w:val="615E05C0"/>
    <w:rsid w:val="616E30EF"/>
    <w:rsid w:val="61851719"/>
    <w:rsid w:val="618D0FF6"/>
    <w:rsid w:val="61D90E17"/>
    <w:rsid w:val="61F07F5C"/>
    <w:rsid w:val="61FF059B"/>
    <w:rsid w:val="62011C4B"/>
    <w:rsid w:val="6220088D"/>
    <w:rsid w:val="624D53FA"/>
    <w:rsid w:val="625D5F50"/>
    <w:rsid w:val="627446D0"/>
    <w:rsid w:val="628E64AF"/>
    <w:rsid w:val="62901B14"/>
    <w:rsid w:val="62967221"/>
    <w:rsid w:val="62A063FC"/>
    <w:rsid w:val="62A908BB"/>
    <w:rsid w:val="62B677E1"/>
    <w:rsid w:val="62BC3405"/>
    <w:rsid w:val="62C92CD3"/>
    <w:rsid w:val="62CE7D97"/>
    <w:rsid w:val="62D56C04"/>
    <w:rsid w:val="62EE0E1F"/>
    <w:rsid w:val="62EE4265"/>
    <w:rsid w:val="63207C93"/>
    <w:rsid w:val="635E2806"/>
    <w:rsid w:val="635F1034"/>
    <w:rsid w:val="636E5BB0"/>
    <w:rsid w:val="637639ED"/>
    <w:rsid w:val="63770981"/>
    <w:rsid w:val="637F5A87"/>
    <w:rsid w:val="63995D4B"/>
    <w:rsid w:val="639C016B"/>
    <w:rsid w:val="63A241EF"/>
    <w:rsid w:val="63C977DC"/>
    <w:rsid w:val="63D062E3"/>
    <w:rsid w:val="63F13145"/>
    <w:rsid w:val="64157664"/>
    <w:rsid w:val="6425270D"/>
    <w:rsid w:val="643A375C"/>
    <w:rsid w:val="64420C2A"/>
    <w:rsid w:val="64790924"/>
    <w:rsid w:val="647B7FFD"/>
    <w:rsid w:val="648669A1"/>
    <w:rsid w:val="64947310"/>
    <w:rsid w:val="64A357A5"/>
    <w:rsid w:val="64A6696C"/>
    <w:rsid w:val="64B4710A"/>
    <w:rsid w:val="64C004D8"/>
    <w:rsid w:val="64C129D2"/>
    <w:rsid w:val="64C5259F"/>
    <w:rsid w:val="64EA0FCF"/>
    <w:rsid w:val="64F03C88"/>
    <w:rsid w:val="6513703B"/>
    <w:rsid w:val="65137984"/>
    <w:rsid w:val="65181CEF"/>
    <w:rsid w:val="653603C7"/>
    <w:rsid w:val="65424019"/>
    <w:rsid w:val="655167CA"/>
    <w:rsid w:val="655A2903"/>
    <w:rsid w:val="656C491B"/>
    <w:rsid w:val="65876E75"/>
    <w:rsid w:val="65A00D84"/>
    <w:rsid w:val="65AC2438"/>
    <w:rsid w:val="65B72A86"/>
    <w:rsid w:val="65D976D1"/>
    <w:rsid w:val="66086B65"/>
    <w:rsid w:val="66346A66"/>
    <w:rsid w:val="663A7A43"/>
    <w:rsid w:val="66527633"/>
    <w:rsid w:val="6665593C"/>
    <w:rsid w:val="66997C73"/>
    <w:rsid w:val="66B80478"/>
    <w:rsid w:val="66B842FB"/>
    <w:rsid w:val="66BD5E1B"/>
    <w:rsid w:val="66D46ED4"/>
    <w:rsid w:val="66D954AE"/>
    <w:rsid w:val="66D95553"/>
    <w:rsid w:val="66DC2CFB"/>
    <w:rsid w:val="66F00016"/>
    <w:rsid w:val="67025E48"/>
    <w:rsid w:val="671602AC"/>
    <w:rsid w:val="67250883"/>
    <w:rsid w:val="674D64E7"/>
    <w:rsid w:val="6751418F"/>
    <w:rsid w:val="676B4015"/>
    <w:rsid w:val="677700E3"/>
    <w:rsid w:val="677B4D48"/>
    <w:rsid w:val="6784366C"/>
    <w:rsid w:val="67A1303C"/>
    <w:rsid w:val="67AB6E4B"/>
    <w:rsid w:val="67BF3E7A"/>
    <w:rsid w:val="67D266B3"/>
    <w:rsid w:val="67D70B7C"/>
    <w:rsid w:val="67DA0018"/>
    <w:rsid w:val="680A3E47"/>
    <w:rsid w:val="680F2DCE"/>
    <w:rsid w:val="682A7F22"/>
    <w:rsid w:val="6841155D"/>
    <w:rsid w:val="68550701"/>
    <w:rsid w:val="686730F2"/>
    <w:rsid w:val="686A0AB4"/>
    <w:rsid w:val="686C2DA0"/>
    <w:rsid w:val="68756FA8"/>
    <w:rsid w:val="68891983"/>
    <w:rsid w:val="689478DF"/>
    <w:rsid w:val="689E4D14"/>
    <w:rsid w:val="68CA50AF"/>
    <w:rsid w:val="68D73C6F"/>
    <w:rsid w:val="68EF720B"/>
    <w:rsid w:val="68F25091"/>
    <w:rsid w:val="690305C1"/>
    <w:rsid w:val="690976D0"/>
    <w:rsid w:val="69140F1B"/>
    <w:rsid w:val="691919B8"/>
    <w:rsid w:val="692C5D69"/>
    <w:rsid w:val="69313380"/>
    <w:rsid w:val="6932580C"/>
    <w:rsid w:val="693E4168"/>
    <w:rsid w:val="694456E3"/>
    <w:rsid w:val="69555CD9"/>
    <w:rsid w:val="69681605"/>
    <w:rsid w:val="6971437A"/>
    <w:rsid w:val="69735746"/>
    <w:rsid w:val="697D4736"/>
    <w:rsid w:val="697F058F"/>
    <w:rsid w:val="69A71894"/>
    <w:rsid w:val="69AA3EF3"/>
    <w:rsid w:val="69AC7BFD"/>
    <w:rsid w:val="69DE1666"/>
    <w:rsid w:val="69E44896"/>
    <w:rsid w:val="69E9120E"/>
    <w:rsid w:val="69EA4C26"/>
    <w:rsid w:val="69F96630"/>
    <w:rsid w:val="6A08390A"/>
    <w:rsid w:val="6A0960AB"/>
    <w:rsid w:val="6A186A78"/>
    <w:rsid w:val="6A2941FD"/>
    <w:rsid w:val="6A2A34B1"/>
    <w:rsid w:val="6A3550F2"/>
    <w:rsid w:val="6A3613AC"/>
    <w:rsid w:val="6A38564B"/>
    <w:rsid w:val="6A8E1684"/>
    <w:rsid w:val="6A9B06AB"/>
    <w:rsid w:val="6AC27EAE"/>
    <w:rsid w:val="6AD2581B"/>
    <w:rsid w:val="6AE71120"/>
    <w:rsid w:val="6AF945FC"/>
    <w:rsid w:val="6AF96C15"/>
    <w:rsid w:val="6B365CD7"/>
    <w:rsid w:val="6B376C47"/>
    <w:rsid w:val="6B4F52D2"/>
    <w:rsid w:val="6B581A5F"/>
    <w:rsid w:val="6B764244"/>
    <w:rsid w:val="6B850DDA"/>
    <w:rsid w:val="6B8665E7"/>
    <w:rsid w:val="6B91280C"/>
    <w:rsid w:val="6BA72125"/>
    <w:rsid w:val="6BAC76F1"/>
    <w:rsid w:val="6BE0108D"/>
    <w:rsid w:val="6C0859F8"/>
    <w:rsid w:val="6C3A3D44"/>
    <w:rsid w:val="6C410FEA"/>
    <w:rsid w:val="6CB17E7C"/>
    <w:rsid w:val="6CBA368C"/>
    <w:rsid w:val="6CBF3486"/>
    <w:rsid w:val="6CCE7137"/>
    <w:rsid w:val="6CE1330F"/>
    <w:rsid w:val="6CF50469"/>
    <w:rsid w:val="6D150464"/>
    <w:rsid w:val="6D1B5C7E"/>
    <w:rsid w:val="6D2E5797"/>
    <w:rsid w:val="6D317DF2"/>
    <w:rsid w:val="6D3A657B"/>
    <w:rsid w:val="6D480C98"/>
    <w:rsid w:val="6D58130D"/>
    <w:rsid w:val="6D5E7BE9"/>
    <w:rsid w:val="6D7D0F66"/>
    <w:rsid w:val="6D7D377F"/>
    <w:rsid w:val="6DA5609A"/>
    <w:rsid w:val="6DBA3368"/>
    <w:rsid w:val="6DD37288"/>
    <w:rsid w:val="6DE224F6"/>
    <w:rsid w:val="6DEB7E8D"/>
    <w:rsid w:val="6E0B4071"/>
    <w:rsid w:val="6E0B551E"/>
    <w:rsid w:val="6E113780"/>
    <w:rsid w:val="6E1B2B27"/>
    <w:rsid w:val="6E2D2C92"/>
    <w:rsid w:val="6E2E712C"/>
    <w:rsid w:val="6E383197"/>
    <w:rsid w:val="6E5B2B88"/>
    <w:rsid w:val="6E774028"/>
    <w:rsid w:val="6E8B4035"/>
    <w:rsid w:val="6E8D72AA"/>
    <w:rsid w:val="6E9817AB"/>
    <w:rsid w:val="6EA91348"/>
    <w:rsid w:val="6EB63D5D"/>
    <w:rsid w:val="6EBD1288"/>
    <w:rsid w:val="6ECC2946"/>
    <w:rsid w:val="6EE862ED"/>
    <w:rsid w:val="6F0B6010"/>
    <w:rsid w:val="6F114A9A"/>
    <w:rsid w:val="6F1725DE"/>
    <w:rsid w:val="6F983B5E"/>
    <w:rsid w:val="6FA7614A"/>
    <w:rsid w:val="6FBF1C12"/>
    <w:rsid w:val="6FC77A0F"/>
    <w:rsid w:val="6FD5763E"/>
    <w:rsid w:val="70163CF3"/>
    <w:rsid w:val="701C6F6C"/>
    <w:rsid w:val="703A11E9"/>
    <w:rsid w:val="703F2826"/>
    <w:rsid w:val="70592BD0"/>
    <w:rsid w:val="705B4992"/>
    <w:rsid w:val="70691153"/>
    <w:rsid w:val="706C685F"/>
    <w:rsid w:val="708906D1"/>
    <w:rsid w:val="70934920"/>
    <w:rsid w:val="70A72179"/>
    <w:rsid w:val="70A96CEB"/>
    <w:rsid w:val="70C76100"/>
    <w:rsid w:val="70ED0E4E"/>
    <w:rsid w:val="70FE2DD7"/>
    <w:rsid w:val="713734FD"/>
    <w:rsid w:val="714E385F"/>
    <w:rsid w:val="71593B40"/>
    <w:rsid w:val="715E70FD"/>
    <w:rsid w:val="71681909"/>
    <w:rsid w:val="71754026"/>
    <w:rsid w:val="717C7162"/>
    <w:rsid w:val="719B3B6B"/>
    <w:rsid w:val="71A22818"/>
    <w:rsid w:val="71AF59F3"/>
    <w:rsid w:val="71B70534"/>
    <w:rsid w:val="71B763EC"/>
    <w:rsid w:val="71BB48E8"/>
    <w:rsid w:val="71C23755"/>
    <w:rsid w:val="71C468BD"/>
    <w:rsid w:val="71CF2D9C"/>
    <w:rsid w:val="71D70292"/>
    <w:rsid w:val="71F32BFA"/>
    <w:rsid w:val="71F413EE"/>
    <w:rsid w:val="71F47640"/>
    <w:rsid w:val="71F71872"/>
    <w:rsid w:val="71FD1FC9"/>
    <w:rsid w:val="72005FE5"/>
    <w:rsid w:val="7242215A"/>
    <w:rsid w:val="72435ED2"/>
    <w:rsid w:val="72451C4A"/>
    <w:rsid w:val="72481A7D"/>
    <w:rsid w:val="72575570"/>
    <w:rsid w:val="727E1F3E"/>
    <w:rsid w:val="7295497F"/>
    <w:rsid w:val="72C53EAC"/>
    <w:rsid w:val="72CC487C"/>
    <w:rsid w:val="72E2393D"/>
    <w:rsid w:val="72EE6634"/>
    <w:rsid w:val="72F774F5"/>
    <w:rsid w:val="73041B05"/>
    <w:rsid w:val="73552881"/>
    <w:rsid w:val="738404B6"/>
    <w:rsid w:val="73A71F64"/>
    <w:rsid w:val="74097BB1"/>
    <w:rsid w:val="74104207"/>
    <w:rsid w:val="74145D78"/>
    <w:rsid w:val="741C6A3A"/>
    <w:rsid w:val="74235D34"/>
    <w:rsid w:val="74322AFF"/>
    <w:rsid w:val="74424693"/>
    <w:rsid w:val="745717D5"/>
    <w:rsid w:val="745A5E80"/>
    <w:rsid w:val="745D0172"/>
    <w:rsid w:val="74652F40"/>
    <w:rsid w:val="74850A24"/>
    <w:rsid w:val="74A42E21"/>
    <w:rsid w:val="74C82A05"/>
    <w:rsid w:val="74CF151E"/>
    <w:rsid w:val="74D379E1"/>
    <w:rsid w:val="74D56578"/>
    <w:rsid w:val="74DD0B56"/>
    <w:rsid w:val="74F008B3"/>
    <w:rsid w:val="74FD680C"/>
    <w:rsid w:val="75091655"/>
    <w:rsid w:val="751D4246"/>
    <w:rsid w:val="75272066"/>
    <w:rsid w:val="752D3A4F"/>
    <w:rsid w:val="753362C5"/>
    <w:rsid w:val="755B2AF5"/>
    <w:rsid w:val="756B1BA3"/>
    <w:rsid w:val="75703482"/>
    <w:rsid w:val="75822A16"/>
    <w:rsid w:val="758331B5"/>
    <w:rsid w:val="7592164A"/>
    <w:rsid w:val="759B5A5A"/>
    <w:rsid w:val="75D02172"/>
    <w:rsid w:val="75D20971"/>
    <w:rsid w:val="75F25C45"/>
    <w:rsid w:val="75F33F9B"/>
    <w:rsid w:val="75F61EF0"/>
    <w:rsid w:val="75F80645"/>
    <w:rsid w:val="75FA40F8"/>
    <w:rsid w:val="75FA59FA"/>
    <w:rsid w:val="760D46D0"/>
    <w:rsid w:val="7610431D"/>
    <w:rsid w:val="762768F9"/>
    <w:rsid w:val="76325E2A"/>
    <w:rsid w:val="76361484"/>
    <w:rsid w:val="76392F90"/>
    <w:rsid w:val="76426BCC"/>
    <w:rsid w:val="76465F91"/>
    <w:rsid w:val="76577D91"/>
    <w:rsid w:val="76A80C09"/>
    <w:rsid w:val="76AF7559"/>
    <w:rsid w:val="76B24594"/>
    <w:rsid w:val="76B92C06"/>
    <w:rsid w:val="76DD1A19"/>
    <w:rsid w:val="76DD34B1"/>
    <w:rsid w:val="76FB4FCD"/>
    <w:rsid w:val="7703645F"/>
    <w:rsid w:val="77043E82"/>
    <w:rsid w:val="773504DF"/>
    <w:rsid w:val="77522230"/>
    <w:rsid w:val="77523C27"/>
    <w:rsid w:val="775B3AB5"/>
    <w:rsid w:val="77692D92"/>
    <w:rsid w:val="77890EB7"/>
    <w:rsid w:val="77905FE5"/>
    <w:rsid w:val="77954689"/>
    <w:rsid w:val="779B18FC"/>
    <w:rsid w:val="77B21B30"/>
    <w:rsid w:val="77BB691C"/>
    <w:rsid w:val="77D702A8"/>
    <w:rsid w:val="77E67A2B"/>
    <w:rsid w:val="77EB3293"/>
    <w:rsid w:val="780370D4"/>
    <w:rsid w:val="78306EF8"/>
    <w:rsid w:val="783B7D77"/>
    <w:rsid w:val="784B788E"/>
    <w:rsid w:val="785C1A9B"/>
    <w:rsid w:val="7876004E"/>
    <w:rsid w:val="787C73F9"/>
    <w:rsid w:val="787D4DEF"/>
    <w:rsid w:val="78957683"/>
    <w:rsid w:val="789A4628"/>
    <w:rsid w:val="789B1872"/>
    <w:rsid w:val="78B673FD"/>
    <w:rsid w:val="78C36D18"/>
    <w:rsid w:val="78CC4E73"/>
    <w:rsid w:val="78DF1533"/>
    <w:rsid w:val="78F46B40"/>
    <w:rsid w:val="79062627"/>
    <w:rsid w:val="791E4FA3"/>
    <w:rsid w:val="79216733"/>
    <w:rsid w:val="792175C5"/>
    <w:rsid w:val="7924080B"/>
    <w:rsid w:val="79303C51"/>
    <w:rsid w:val="79450781"/>
    <w:rsid w:val="79513C6B"/>
    <w:rsid w:val="795E4766"/>
    <w:rsid w:val="795F1582"/>
    <w:rsid w:val="79804EF7"/>
    <w:rsid w:val="79910EBB"/>
    <w:rsid w:val="79992A19"/>
    <w:rsid w:val="799D3616"/>
    <w:rsid w:val="79A566FF"/>
    <w:rsid w:val="79E058C9"/>
    <w:rsid w:val="79FC207B"/>
    <w:rsid w:val="7A173A4F"/>
    <w:rsid w:val="7A242F20"/>
    <w:rsid w:val="7A5661C7"/>
    <w:rsid w:val="7A5E6609"/>
    <w:rsid w:val="7A991FA0"/>
    <w:rsid w:val="7A9D43F0"/>
    <w:rsid w:val="7AA7239D"/>
    <w:rsid w:val="7ABD3455"/>
    <w:rsid w:val="7AD32C5B"/>
    <w:rsid w:val="7AD37ED3"/>
    <w:rsid w:val="7B016906"/>
    <w:rsid w:val="7B160627"/>
    <w:rsid w:val="7B225C6F"/>
    <w:rsid w:val="7B2956D5"/>
    <w:rsid w:val="7B2B3FE0"/>
    <w:rsid w:val="7B4C30E7"/>
    <w:rsid w:val="7B752A79"/>
    <w:rsid w:val="7B78720F"/>
    <w:rsid w:val="7B7D3CEE"/>
    <w:rsid w:val="7B86755B"/>
    <w:rsid w:val="7BAE260E"/>
    <w:rsid w:val="7BB3231A"/>
    <w:rsid w:val="7BC77B74"/>
    <w:rsid w:val="7BD001F1"/>
    <w:rsid w:val="7BD5086A"/>
    <w:rsid w:val="7BE44BE8"/>
    <w:rsid w:val="7BF73FB5"/>
    <w:rsid w:val="7C0A68D7"/>
    <w:rsid w:val="7C0B6412"/>
    <w:rsid w:val="7C2F4BDD"/>
    <w:rsid w:val="7C35250D"/>
    <w:rsid w:val="7C357419"/>
    <w:rsid w:val="7C3C5E6C"/>
    <w:rsid w:val="7C52568F"/>
    <w:rsid w:val="7C576919"/>
    <w:rsid w:val="7C613FE3"/>
    <w:rsid w:val="7C6E0CB7"/>
    <w:rsid w:val="7C74301B"/>
    <w:rsid w:val="7C772A93"/>
    <w:rsid w:val="7C8E41ED"/>
    <w:rsid w:val="7CB53846"/>
    <w:rsid w:val="7CC320E9"/>
    <w:rsid w:val="7CC61BD9"/>
    <w:rsid w:val="7CCA3477"/>
    <w:rsid w:val="7CD4499B"/>
    <w:rsid w:val="7CDE6F23"/>
    <w:rsid w:val="7D127985"/>
    <w:rsid w:val="7D1B6666"/>
    <w:rsid w:val="7D226853"/>
    <w:rsid w:val="7D4165A6"/>
    <w:rsid w:val="7D493B6A"/>
    <w:rsid w:val="7D660923"/>
    <w:rsid w:val="7D690EE2"/>
    <w:rsid w:val="7D7B6AD8"/>
    <w:rsid w:val="7D823D52"/>
    <w:rsid w:val="7DA261A2"/>
    <w:rsid w:val="7DAC0DCF"/>
    <w:rsid w:val="7DAD41B9"/>
    <w:rsid w:val="7DBE5F66"/>
    <w:rsid w:val="7DC15F5D"/>
    <w:rsid w:val="7DD064C2"/>
    <w:rsid w:val="7DD11339"/>
    <w:rsid w:val="7DD14F2E"/>
    <w:rsid w:val="7DD43CC2"/>
    <w:rsid w:val="7DD87E43"/>
    <w:rsid w:val="7DFA52F7"/>
    <w:rsid w:val="7E001EAC"/>
    <w:rsid w:val="7E002B1A"/>
    <w:rsid w:val="7E230656"/>
    <w:rsid w:val="7E2629B5"/>
    <w:rsid w:val="7E314F2A"/>
    <w:rsid w:val="7E41185C"/>
    <w:rsid w:val="7E4436FD"/>
    <w:rsid w:val="7E682F48"/>
    <w:rsid w:val="7E6D4839"/>
    <w:rsid w:val="7E6F61CB"/>
    <w:rsid w:val="7E775881"/>
    <w:rsid w:val="7E8A7070"/>
    <w:rsid w:val="7ECC061A"/>
    <w:rsid w:val="7ED22BF9"/>
    <w:rsid w:val="7EF742CC"/>
    <w:rsid w:val="7EFC7494"/>
    <w:rsid w:val="7F016EF9"/>
    <w:rsid w:val="7F1466C2"/>
    <w:rsid w:val="7F313C82"/>
    <w:rsid w:val="7F3E1D30"/>
    <w:rsid w:val="7F477001"/>
    <w:rsid w:val="7F5A6F9E"/>
    <w:rsid w:val="7F6F4F13"/>
    <w:rsid w:val="7F7378B0"/>
    <w:rsid w:val="7F7621C7"/>
    <w:rsid w:val="7F764D90"/>
    <w:rsid w:val="7F7C38D3"/>
    <w:rsid w:val="7F7F41A0"/>
    <w:rsid w:val="7FC8211E"/>
    <w:rsid w:val="7FD14B1D"/>
    <w:rsid w:val="7FE42AA2"/>
    <w:rsid w:val="7FF94C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74"/>
    <w:qFormat/>
    <w:uiPriority w:val="0"/>
    <w:pPr>
      <w:keepNext/>
      <w:snapToGrid w:val="0"/>
      <w:spacing w:line="360" w:lineRule="atLeast"/>
      <w:outlineLvl w:val="0"/>
    </w:pPr>
    <w:rPr>
      <w:rFonts w:ascii="宋体"/>
    </w:rPr>
  </w:style>
  <w:style w:type="paragraph" w:styleId="3">
    <w:name w:val="heading 2"/>
    <w:basedOn w:val="1"/>
    <w:next w:val="1"/>
    <w:link w:val="7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2"/>
    <w:qFormat/>
    <w:uiPriority w:val="0"/>
    <w:pPr>
      <w:keepNext/>
      <w:keepLines/>
      <w:spacing w:before="260" w:after="260" w:line="413" w:lineRule="auto"/>
      <w:outlineLvl w:val="2"/>
    </w:pPr>
    <w:rPr>
      <w:b/>
      <w:sz w:val="32"/>
    </w:rPr>
  </w:style>
  <w:style w:type="paragraph" w:styleId="5">
    <w:name w:val="heading 4"/>
    <w:basedOn w:val="1"/>
    <w:next w:val="1"/>
    <w:link w:val="76"/>
    <w:qFormat/>
    <w:uiPriority w:val="0"/>
    <w:pPr>
      <w:keepNext/>
      <w:keepLines/>
      <w:spacing w:before="280" w:after="290" w:line="372" w:lineRule="auto"/>
      <w:outlineLvl w:val="3"/>
    </w:pPr>
    <w:rPr>
      <w:rFonts w:ascii="Arial" w:hAnsi="Arial" w:eastAsia="黑体"/>
      <w:b/>
    </w:rPr>
  </w:style>
  <w:style w:type="paragraph" w:styleId="6">
    <w:name w:val="heading 5"/>
    <w:basedOn w:val="1"/>
    <w:next w:val="1"/>
    <w:link w:val="77"/>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link w:val="78"/>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link w:val="79"/>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link w:val="80"/>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link w:val="8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tabs>
        <w:tab w:val="left" w:pos="780"/>
      </w:tabs>
      <w:spacing w:line="360" w:lineRule="auto"/>
      <w:ind w:left="425" w:hanging="425"/>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link w:val="170"/>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149"/>
    <w:qFormat/>
    <w:uiPriority w:val="0"/>
    <w:pPr>
      <w:adjustRightInd w:val="0"/>
      <w:spacing w:line="360" w:lineRule="atLeast"/>
      <w:jc w:val="left"/>
      <w:textAlignment w:val="baseline"/>
    </w:pPr>
    <w:rPr>
      <w:rFonts w:asciiTheme="minorHAnsi" w:hAnsiTheme="minorHAnsi" w:eastAsiaTheme="minorEastAsia" w:cstheme="minorBidi"/>
      <w:sz w:val="24"/>
      <w:szCs w:val="22"/>
    </w:rPr>
  </w:style>
  <w:style w:type="paragraph" w:styleId="20">
    <w:name w:val="Body Text 3"/>
    <w:basedOn w:val="1"/>
    <w:link w:val="186"/>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1"/>
    <w:link w:val="143"/>
    <w:unhideWhenUsed/>
    <w:qFormat/>
    <w:uiPriority w:val="0"/>
    <w:pPr>
      <w:spacing w:after="120"/>
    </w:pPr>
  </w:style>
  <w:style w:type="paragraph" w:styleId="23">
    <w:name w:val="Body Text Indent"/>
    <w:basedOn w:val="1"/>
    <w:link w:val="138"/>
    <w:unhideWhenUsed/>
    <w:qFormat/>
    <w:uiPriority w:val="0"/>
    <w:pPr>
      <w:spacing w:after="120"/>
      <w:ind w:left="420" w:leftChars="200"/>
    </w:p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tabs>
        <w:tab w:val="left" w:pos="780"/>
      </w:tabs>
      <w:adjustRightInd w:val="0"/>
      <w:snapToGrid w:val="0"/>
      <w:spacing w:line="360" w:lineRule="auto"/>
      <w:ind w:left="780" w:hanging="360"/>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127"/>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158"/>
    <w:qFormat/>
    <w:uiPriority w:val="0"/>
    <w:rPr>
      <w:rFonts w:asciiTheme="minorHAnsi" w:hAnsiTheme="minorHAnsi" w:eastAsiaTheme="minorEastAsia" w:cstheme="minorBidi"/>
      <w:szCs w:val="22"/>
    </w:rPr>
  </w:style>
  <w:style w:type="paragraph" w:styleId="33">
    <w:name w:val="Body Text Indent 2"/>
    <w:basedOn w:val="1"/>
    <w:link w:val="175"/>
    <w:qFormat/>
    <w:uiPriority w:val="0"/>
    <w:pPr>
      <w:snapToGrid w:val="0"/>
      <w:spacing w:line="560" w:lineRule="atLeast"/>
      <w:ind w:firstLine="540"/>
    </w:pPr>
    <w:rPr>
      <w:rFonts w:asciiTheme="minorHAnsi" w:hAnsiTheme="minorHAnsi" w:eastAsiaTheme="minorEastAsia" w:cstheme="minorBidi"/>
      <w:szCs w:val="22"/>
    </w:rPr>
  </w:style>
  <w:style w:type="paragraph" w:styleId="34">
    <w:name w:val="Balloon Text"/>
    <w:basedOn w:val="1"/>
    <w:link w:val="155"/>
    <w:qFormat/>
    <w:uiPriority w:val="0"/>
    <w:rPr>
      <w:sz w:val="18"/>
    </w:rPr>
  </w:style>
  <w:style w:type="paragraph" w:styleId="35">
    <w:name w:val="footer"/>
    <w:basedOn w:val="1"/>
    <w:link w:val="182"/>
    <w:qFormat/>
    <w:uiPriority w:val="0"/>
    <w:pPr>
      <w:tabs>
        <w:tab w:val="center" w:pos="4153"/>
        <w:tab w:val="right" w:pos="8306"/>
      </w:tabs>
      <w:snapToGrid w:val="0"/>
      <w:jc w:val="left"/>
    </w:pPr>
    <w:rPr>
      <w:sz w:val="18"/>
    </w:rPr>
  </w:style>
  <w:style w:type="paragraph" w:styleId="36">
    <w:name w:val="header"/>
    <w:basedOn w:val="1"/>
    <w:link w:val="17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179"/>
    <w:qFormat/>
    <w:uiPriority w:val="0"/>
    <w:pPr>
      <w:spacing w:line="360" w:lineRule="auto"/>
    </w:pPr>
    <w:rPr>
      <w:rFonts w:asciiTheme="minorHAnsi" w:hAnsiTheme="minorHAnsi" w:eastAsiaTheme="minorEastAsia" w:cstheme="minorBidi"/>
      <w:sz w:val="18"/>
      <w:szCs w:val="22"/>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link w:val="166"/>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link w:val="145"/>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99"/>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link w:val="12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63"/>
    <w:qFormat/>
    <w:uiPriority w:val="0"/>
    <w:pPr>
      <w:adjustRightInd/>
      <w:spacing w:line="240" w:lineRule="auto"/>
      <w:textAlignment w:val="auto"/>
    </w:pPr>
  </w:style>
  <w:style w:type="paragraph" w:styleId="55">
    <w:name w:val="Body Text First Indent"/>
    <w:basedOn w:val="22"/>
    <w:next w:val="1"/>
    <w:link w:val="144"/>
    <w:qFormat/>
    <w:uiPriority w:val="0"/>
    <w:pPr>
      <w:spacing w:line="360" w:lineRule="auto"/>
      <w:ind w:firstLine="420"/>
    </w:pPr>
    <w:rPr>
      <w:rFonts w:ascii="宋体" w:hAnsi="宋体"/>
      <w:sz w:val="24"/>
    </w:rPr>
  </w:style>
  <w:style w:type="paragraph" w:styleId="56">
    <w:name w:val="Body Text First Indent 2"/>
    <w:basedOn w:val="23"/>
    <w:link w:val="139"/>
    <w:qFormat/>
    <w:uiPriority w:val="0"/>
    <w:pPr>
      <w:ind w:firstLine="420" w:firstLineChars="200"/>
    </w:pPr>
    <w:rPr>
      <w:rFonts w:asciiTheme="minorHAnsi" w:hAnsiTheme="minorHAnsi" w:eastAsiaTheme="minorEastAsia" w:cstheme="minorBidi"/>
      <w:sz w:val="44"/>
      <w:szCs w:val="22"/>
    </w:r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basedOn w:val="59"/>
    <w:qFormat/>
    <w:uiPriority w:val="22"/>
    <w:rPr>
      <w:b/>
    </w:rPr>
  </w:style>
  <w:style w:type="character" w:styleId="61">
    <w:name w:val="page number"/>
    <w:basedOn w:val="59"/>
    <w:qFormat/>
    <w:uiPriority w:val="0"/>
  </w:style>
  <w:style w:type="character" w:styleId="62">
    <w:name w:val="FollowedHyperlink"/>
    <w:basedOn w:val="59"/>
    <w:qFormat/>
    <w:uiPriority w:val="0"/>
    <w:rPr>
      <w:color w:val="1890FF"/>
      <w:u w:val="none"/>
    </w:rPr>
  </w:style>
  <w:style w:type="character" w:styleId="63">
    <w:name w:val="Emphasis"/>
    <w:qFormat/>
    <w:uiPriority w:val="0"/>
    <w:rPr>
      <w:i/>
    </w:rPr>
  </w:style>
  <w:style w:type="character" w:styleId="64">
    <w:name w:val="HTML Definition"/>
    <w:basedOn w:val="59"/>
    <w:unhideWhenUsed/>
    <w:qFormat/>
    <w:uiPriority w:val="99"/>
    <w:rPr>
      <w:i/>
      <w:bdr w:val="single" w:color="D9D9D9" w:sz="6" w:space="0"/>
      <w:shd w:val="clear" w:color="auto" w:fill="FFFFFF"/>
    </w:rPr>
  </w:style>
  <w:style w:type="character" w:styleId="65">
    <w:name w:val="Hyperlink"/>
    <w:basedOn w:val="59"/>
    <w:qFormat/>
    <w:uiPriority w:val="99"/>
    <w:rPr>
      <w:color w:val="1890FF"/>
      <w:u w:val="none"/>
    </w:rPr>
  </w:style>
  <w:style w:type="character" w:styleId="66">
    <w:name w:val="HTML Code"/>
    <w:basedOn w:val="59"/>
    <w:unhideWhenUsed/>
    <w:qFormat/>
    <w:uiPriority w:val="99"/>
    <w:rPr>
      <w:rFonts w:hint="default" w:ascii="Consolas" w:hAnsi="Consolas" w:eastAsia="Consolas" w:cs="Consolas"/>
      <w:sz w:val="21"/>
      <w:szCs w:val="21"/>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character" w:styleId="69">
    <w:name w:val="HTML Keyboard"/>
    <w:basedOn w:val="59"/>
    <w:unhideWhenUsed/>
    <w:qFormat/>
    <w:uiPriority w:val="99"/>
    <w:rPr>
      <w:rFonts w:ascii="Consolas" w:hAnsi="Consolas" w:eastAsia="Consolas" w:cs="Consolas"/>
      <w:sz w:val="21"/>
      <w:szCs w:val="21"/>
    </w:rPr>
  </w:style>
  <w:style w:type="character" w:styleId="70">
    <w:name w:val="HTML Sample"/>
    <w:basedOn w:val="59"/>
    <w:unhideWhenUsed/>
    <w:qFormat/>
    <w:uiPriority w:val="99"/>
    <w:rPr>
      <w:rFonts w:hint="default" w:ascii="Consolas" w:hAnsi="Consolas" w:eastAsia="Consolas" w:cs="Consolas"/>
      <w:sz w:val="21"/>
      <w:szCs w:val="21"/>
    </w:rPr>
  </w:style>
  <w:style w:type="paragraph" w:customStyle="1" w:styleId="71">
    <w:name w:val="Default"/>
    <w:next w:val="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72">
    <w:name w:val="标题 3 字符"/>
    <w:basedOn w:val="59"/>
    <w:link w:val="4"/>
    <w:qFormat/>
    <w:uiPriority w:val="0"/>
    <w:rPr>
      <w:rFonts w:ascii="Times New Roman" w:hAnsi="Times New Roman" w:eastAsia="宋体" w:cs="Times New Roman"/>
      <w:b/>
      <w:sz w:val="32"/>
      <w:szCs w:val="20"/>
    </w:rPr>
  </w:style>
  <w:style w:type="paragraph" w:customStyle="1" w:styleId="73">
    <w:name w:val="无间隔1"/>
    <w:qFormat/>
    <w:uiPriority w:val="0"/>
    <w:rPr>
      <w:rFonts w:ascii="Times New Roman" w:hAnsi="Times New Roman" w:eastAsia="宋体" w:cs="Times New Roman"/>
      <w:sz w:val="22"/>
      <w:szCs w:val="22"/>
      <w:lang w:val="en-US" w:eastAsia="zh-CN" w:bidi="ar-SA"/>
    </w:rPr>
  </w:style>
  <w:style w:type="character" w:customStyle="1" w:styleId="74">
    <w:name w:val="标题 1 字符"/>
    <w:basedOn w:val="59"/>
    <w:link w:val="2"/>
    <w:qFormat/>
    <w:uiPriority w:val="0"/>
    <w:rPr>
      <w:rFonts w:ascii="宋体" w:hAnsi="Times New Roman" w:eastAsia="宋体" w:cs="Times New Roman"/>
      <w:sz w:val="28"/>
      <w:szCs w:val="20"/>
    </w:rPr>
  </w:style>
  <w:style w:type="character" w:customStyle="1" w:styleId="75">
    <w:name w:val="标题 2 字符"/>
    <w:basedOn w:val="59"/>
    <w:link w:val="3"/>
    <w:qFormat/>
    <w:uiPriority w:val="0"/>
    <w:rPr>
      <w:rFonts w:ascii="Arial" w:hAnsi="Arial" w:eastAsia="黑体" w:cs="Times New Roman"/>
      <w:b/>
      <w:sz w:val="32"/>
      <w:szCs w:val="20"/>
    </w:rPr>
  </w:style>
  <w:style w:type="character" w:customStyle="1" w:styleId="76">
    <w:name w:val="标题 4 字符"/>
    <w:basedOn w:val="59"/>
    <w:link w:val="5"/>
    <w:qFormat/>
    <w:uiPriority w:val="0"/>
    <w:rPr>
      <w:rFonts w:ascii="Arial" w:hAnsi="Arial" w:eastAsia="黑体" w:cs="Times New Roman"/>
      <w:b/>
      <w:sz w:val="28"/>
      <w:szCs w:val="20"/>
    </w:rPr>
  </w:style>
  <w:style w:type="character" w:customStyle="1" w:styleId="77">
    <w:name w:val="标题 5 字符"/>
    <w:basedOn w:val="59"/>
    <w:link w:val="6"/>
    <w:qFormat/>
    <w:uiPriority w:val="0"/>
    <w:rPr>
      <w:rFonts w:ascii="Times New Roman" w:hAnsi="Times New Roman" w:eastAsia="宋体" w:cs="Times New Roman"/>
      <w:b/>
      <w:sz w:val="28"/>
      <w:szCs w:val="20"/>
    </w:rPr>
  </w:style>
  <w:style w:type="character" w:customStyle="1" w:styleId="78">
    <w:name w:val="标题 6 字符"/>
    <w:basedOn w:val="59"/>
    <w:link w:val="7"/>
    <w:qFormat/>
    <w:uiPriority w:val="0"/>
    <w:rPr>
      <w:rFonts w:ascii="Arial" w:hAnsi="Arial" w:eastAsia="黑体" w:cs="Times New Roman"/>
      <w:b/>
      <w:sz w:val="24"/>
      <w:szCs w:val="20"/>
    </w:rPr>
  </w:style>
  <w:style w:type="character" w:customStyle="1" w:styleId="79">
    <w:name w:val="标题 7 字符"/>
    <w:basedOn w:val="59"/>
    <w:link w:val="8"/>
    <w:qFormat/>
    <w:uiPriority w:val="0"/>
    <w:rPr>
      <w:rFonts w:ascii="Arial" w:hAnsi="Arial" w:eastAsia="黑体" w:cs="Times New Roman"/>
      <w:b/>
      <w:sz w:val="24"/>
      <w:szCs w:val="20"/>
    </w:rPr>
  </w:style>
  <w:style w:type="character" w:customStyle="1" w:styleId="80">
    <w:name w:val="标题 8 字符"/>
    <w:basedOn w:val="59"/>
    <w:link w:val="9"/>
    <w:qFormat/>
    <w:uiPriority w:val="0"/>
    <w:rPr>
      <w:rFonts w:ascii="Arial" w:hAnsi="Arial" w:eastAsia="黑体" w:cs="Times New Roman"/>
      <w:b/>
      <w:sz w:val="24"/>
      <w:szCs w:val="20"/>
    </w:rPr>
  </w:style>
  <w:style w:type="character" w:customStyle="1" w:styleId="81">
    <w:name w:val="标题 9 字符"/>
    <w:basedOn w:val="59"/>
    <w:link w:val="10"/>
    <w:qFormat/>
    <w:uiPriority w:val="0"/>
    <w:rPr>
      <w:rFonts w:ascii="Arial" w:hAnsi="Arial" w:eastAsia="黑体" w:cs="Times New Roman"/>
      <w:b/>
      <w:sz w:val="24"/>
      <w:szCs w:val="20"/>
    </w:rPr>
  </w:style>
  <w:style w:type="character" w:customStyle="1" w:styleId="82">
    <w:name w:val="正文文本缩进 Char"/>
    <w:qFormat/>
    <w:uiPriority w:val="0"/>
    <w:rPr>
      <w:kern w:val="2"/>
      <w:sz w:val="44"/>
    </w:rPr>
  </w:style>
  <w:style w:type="character" w:customStyle="1" w:styleId="83">
    <w:name w:val="Table Heading Char Char"/>
    <w:qFormat/>
    <w:uiPriority w:val="0"/>
    <w:rPr>
      <w:rFonts w:ascii="Arial" w:hAnsi="Arial" w:eastAsia="黑体"/>
      <w:kern w:val="2"/>
      <w:sz w:val="18"/>
      <w:lang w:val="en-US" w:eastAsia="zh-CN"/>
    </w:rPr>
  </w:style>
  <w:style w:type="character" w:customStyle="1" w:styleId="84">
    <w:name w:val="样式 宋体"/>
    <w:qFormat/>
    <w:uiPriority w:val="0"/>
    <w:rPr>
      <w:rFonts w:ascii="宋体" w:hAnsi="宋体" w:eastAsia="宋体"/>
      <w:sz w:val="28"/>
    </w:rPr>
  </w:style>
  <w:style w:type="character" w:customStyle="1" w:styleId="85">
    <w:name w:val="Char Char4"/>
    <w:qFormat/>
    <w:uiPriority w:val="0"/>
    <w:rPr>
      <w:rFonts w:eastAsia="宋体"/>
      <w:b/>
      <w:kern w:val="2"/>
      <w:sz w:val="21"/>
      <w:lang w:val="en-US" w:eastAsia="zh-CN"/>
    </w:rPr>
  </w:style>
  <w:style w:type="character" w:customStyle="1" w:styleId="86">
    <w:name w:val="title_emph1"/>
    <w:qFormat/>
    <w:uiPriority w:val="0"/>
    <w:rPr>
      <w:rFonts w:hint="default" w:ascii="Arial" w:hAnsi="Arial"/>
      <w:b/>
      <w:sz w:val="20"/>
    </w:rPr>
  </w:style>
  <w:style w:type="character" w:customStyle="1" w:styleId="87">
    <w:name w:val="文字 Char"/>
    <w:link w:val="88"/>
    <w:qFormat/>
    <w:uiPriority w:val="0"/>
    <w:rPr>
      <w:rFonts w:ascii="宋体"/>
      <w:sz w:val="28"/>
    </w:rPr>
  </w:style>
  <w:style w:type="paragraph" w:customStyle="1" w:styleId="88">
    <w:name w:val="文字"/>
    <w:basedOn w:val="1"/>
    <w:link w:val="87"/>
    <w:qFormat/>
    <w:uiPriority w:val="0"/>
    <w:pPr>
      <w:tabs>
        <w:tab w:val="left" w:pos="8520"/>
      </w:tabs>
      <w:spacing w:line="312" w:lineRule="auto"/>
      <w:ind w:right="-210" w:firstLine="556"/>
    </w:pPr>
    <w:rPr>
      <w:rFonts w:ascii="宋体" w:hAnsiTheme="minorHAnsi" w:eastAsiaTheme="minorEastAsia" w:cstheme="minorBidi"/>
      <w:szCs w:val="22"/>
    </w:rPr>
  </w:style>
  <w:style w:type="character" w:customStyle="1" w:styleId="89">
    <w:name w:val="正文文本缩进 2 Char"/>
    <w:qFormat/>
    <w:uiPriority w:val="0"/>
    <w:rPr>
      <w:sz w:val="28"/>
    </w:rPr>
  </w:style>
  <w:style w:type="character" w:customStyle="1" w:styleId="90">
    <w:name w:val="Char Char11"/>
    <w:qFormat/>
    <w:uiPriority w:val="0"/>
    <w:rPr>
      <w:rFonts w:ascii="宋体"/>
      <w:kern w:val="2"/>
      <w:sz w:val="28"/>
    </w:rPr>
  </w:style>
  <w:style w:type="character" w:customStyle="1" w:styleId="91">
    <w:name w:val="批注文字 Char"/>
    <w:qFormat/>
    <w:uiPriority w:val="0"/>
    <w:rPr>
      <w:sz w:val="24"/>
    </w:rPr>
  </w:style>
  <w:style w:type="character" w:customStyle="1" w:styleId="92">
    <w:name w:val="Char Char6"/>
    <w:qFormat/>
    <w:uiPriority w:val="0"/>
    <w:rPr>
      <w:rFonts w:ascii="仿宋_GB2312" w:eastAsia="仿宋_GB2312"/>
      <w:kern w:val="2"/>
      <w:sz w:val="32"/>
    </w:rPr>
  </w:style>
  <w:style w:type="character" w:customStyle="1" w:styleId="93">
    <w:name w:val="正文 + 三号 Char"/>
    <w:qFormat/>
    <w:uiPriority w:val="0"/>
    <w:rPr>
      <w:rFonts w:eastAsia="宋体"/>
      <w:kern w:val="2"/>
      <w:sz w:val="21"/>
      <w:lang w:val="en-US" w:eastAsia="zh-CN"/>
    </w:rPr>
  </w:style>
  <w:style w:type="character" w:customStyle="1" w:styleId="94">
    <w:name w:val="脚注文本 Char"/>
    <w:qFormat/>
    <w:uiPriority w:val="0"/>
    <w:rPr>
      <w:sz w:val="18"/>
    </w:rPr>
  </w:style>
  <w:style w:type="character" w:customStyle="1" w:styleId="95">
    <w:name w:val="Table Text Char1 Char"/>
    <w:qFormat/>
    <w:uiPriority w:val="0"/>
    <w:rPr>
      <w:rFonts w:ascii="Arial" w:hAnsi="Arial"/>
      <w:kern w:val="2"/>
      <w:sz w:val="18"/>
      <w:lang w:val="en-US" w:eastAsia="zh-CN" w:bidi="ar-SA"/>
    </w:rPr>
  </w:style>
  <w:style w:type="character" w:customStyle="1" w:styleId="96">
    <w:name w:val="v151"/>
    <w:qFormat/>
    <w:uiPriority w:val="0"/>
    <w:rPr>
      <w:sz w:val="18"/>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未命名11"/>
    <w:qFormat/>
    <w:uiPriority w:val="0"/>
    <w:rPr>
      <w:color w:val="77FFFF"/>
      <w:sz w:val="24"/>
    </w:rPr>
  </w:style>
  <w:style w:type="character" w:customStyle="1" w:styleId="99">
    <w:name w:val="Char Char"/>
    <w:qFormat/>
    <w:uiPriority w:val="0"/>
    <w:rPr>
      <w:rFonts w:ascii="宋体" w:hAnsi="宋体" w:eastAsia="宋体"/>
      <w:kern w:val="2"/>
      <w:sz w:val="24"/>
      <w:lang w:val="en-US" w:eastAsia="zh-CN" w:bidi="ar-SA"/>
    </w:rPr>
  </w:style>
  <w:style w:type="character" w:customStyle="1" w:styleId="100">
    <w:name w:val="Char Char5"/>
    <w:qFormat/>
    <w:uiPriority w:val="0"/>
    <w:rPr>
      <w:rFonts w:ascii="Arial" w:hAnsi="Arial" w:eastAsia="宋体"/>
      <w:b/>
      <w:smallCaps/>
      <w:kern w:val="28"/>
      <w:sz w:val="36"/>
      <w:lang w:val="en-US" w:eastAsia="en-US"/>
    </w:rPr>
  </w:style>
  <w:style w:type="character" w:customStyle="1" w:styleId="101">
    <w:name w:val="标书正文:  0.74 厘米 Char1"/>
    <w:qFormat/>
    <w:uiPriority w:val="0"/>
    <w:rPr>
      <w:rFonts w:eastAsia="宋体"/>
      <w:kern w:val="2"/>
      <w:sz w:val="24"/>
      <w:lang w:val="en-US" w:eastAsia="zh-CN"/>
    </w:rPr>
  </w:style>
  <w:style w:type="character" w:customStyle="1" w:styleId="102">
    <w:name w:val="Char Char2"/>
    <w:qFormat/>
    <w:uiPriority w:val="0"/>
    <w:rPr>
      <w:rFonts w:eastAsia="宋体"/>
      <w:kern w:val="2"/>
      <w:sz w:val="18"/>
      <w:lang w:val="en-US" w:eastAsia="zh-CN"/>
    </w:rPr>
  </w:style>
  <w:style w:type="character" w:customStyle="1" w:styleId="103">
    <w:name w:val="top-det1"/>
    <w:qFormat/>
    <w:uiPriority w:val="0"/>
    <w:rPr>
      <w:b/>
      <w:color w:val="000000"/>
    </w:rPr>
  </w:style>
  <w:style w:type="character" w:customStyle="1" w:styleId="104">
    <w:name w:val="日期 Char"/>
    <w:qFormat/>
    <w:uiPriority w:val="0"/>
    <w:rPr>
      <w:sz w:val="28"/>
    </w:rPr>
  </w:style>
  <w:style w:type="character" w:customStyle="1" w:styleId="105">
    <w:name w:val="批注主题 Char"/>
    <w:basedOn w:val="91"/>
    <w:qFormat/>
    <w:uiPriority w:val="0"/>
    <w:rPr>
      <w:sz w:val="24"/>
    </w:rPr>
  </w:style>
  <w:style w:type="character" w:customStyle="1" w:styleId="106">
    <w:name w:val="Char Char3"/>
    <w:qFormat/>
    <w:uiPriority w:val="0"/>
    <w:rPr>
      <w:rFonts w:eastAsia="宋体"/>
      <w:kern w:val="2"/>
      <w:sz w:val="18"/>
      <w:lang w:val="en-US" w:eastAsia="zh-CN"/>
    </w:rPr>
  </w:style>
  <w:style w:type="character" w:customStyle="1" w:styleId="107">
    <w:name w:val="Table Text Char"/>
    <w:link w:val="108"/>
    <w:qFormat/>
    <w:uiPriority w:val="0"/>
    <w:rPr>
      <w:rFonts w:ascii="Arial" w:hAnsi="Arial"/>
      <w:sz w:val="18"/>
    </w:rPr>
  </w:style>
  <w:style w:type="paragraph" w:customStyle="1" w:styleId="108">
    <w:name w:val="Table Text"/>
    <w:link w:val="107"/>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9">
    <w:name w:val="crowed11"/>
    <w:qFormat/>
    <w:uiPriority w:val="0"/>
    <w:rPr>
      <w:rFonts w:hint="default"/>
      <w:sz w:val="24"/>
    </w:rPr>
  </w:style>
  <w:style w:type="character" w:customStyle="1" w:styleId="110">
    <w:name w:val="font1"/>
    <w:qFormat/>
    <w:uiPriority w:val="0"/>
    <w:rPr>
      <w:color w:val="000000"/>
      <w:sz w:val="18"/>
    </w:rPr>
  </w:style>
  <w:style w:type="character" w:customStyle="1" w:styleId="111">
    <w:name w:val="Table Text Char Char Char Char"/>
    <w:link w:val="112"/>
    <w:qFormat/>
    <w:uiPriority w:val="0"/>
    <w:rPr>
      <w:rFonts w:ascii="Arial" w:hAnsi="Arial"/>
      <w:sz w:val="18"/>
    </w:rPr>
  </w:style>
  <w:style w:type="paragraph" w:customStyle="1" w:styleId="112">
    <w:name w:val="Table Text Char Char Char"/>
    <w:link w:val="111"/>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13">
    <w:name w:val="H2 Char"/>
    <w:qFormat/>
    <w:uiPriority w:val="0"/>
    <w:rPr>
      <w:rFonts w:ascii="Arial" w:hAnsi="Arial" w:eastAsia="宋体"/>
      <w:kern w:val="2"/>
      <w:sz w:val="28"/>
      <w:lang w:val="en-US" w:eastAsia="zh-CN"/>
    </w:rPr>
  </w:style>
  <w:style w:type="character" w:customStyle="1" w:styleId="114">
    <w:name w:val="content-white1"/>
    <w:qFormat/>
    <w:uiPriority w:val="0"/>
    <w:rPr>
      <w:color w:val="auto"/>
      <w:sz w:val="18"/>
      <w:u w:val="none"/>
    </w:rPr>
  </w:style>
  <w:style w:type="character" w:customStyle="1" w:styleId="115">
    <w:name w:val="正文首行缩进 2 Char"/>
    <w:basedOn w:val="82"/>
    <w:qFormat/>
    <w:uiPriority w:val="0"/>
    <w:rPr>
      <w:kern w:val="2"/>
      <w:sz w:val="44"/>
    </w:rPr>
  </w:style>
  <w:style w:type="character" w:customStyle="1" w:styleId="116">
    <w:name w:val="Char Char7"/>
    <w:qFormat/>
    <w:uiPriority w:val="0"/>
    <w:rPr>
      <w:rFonts w:ascii="宋体" w:hAnsi="宋体" w:eastAsia="宋体"/>
      <w:kern w:val="2"/>
      <w:sz w:val="28"/>
    </w:rPr>
  </w:style>
  <w:style w:type="paragraph" w:customStyle="1" w:styleId="117">
    <w:name w:val="样式 首行缩进:  0.74 厘米"/>
    <w:basedOn w:val="1"/>
    <w:qFormat/>
    <w:uiPriority w:val="0"/>
    <w:pPr>
      <w:spacing w:line="360" w:lineRule="auto"/>
      <w:ind w:firstLine="420"/>
    </w:pPr>
    <w:rPr>
      <w:sz w:val="24"/>
    </w:rPr>
  </w:style>
  <w:style w:type="paragraph" w:customStyle="1" w:styleId="11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19">
    <w:name w:val="表号"/>
    <w:basedOn w:val="1"/>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120">
    <w:name w:val="正文 + 三号"/>
    <w:basedOn w:val="1"/>
    <w:qFormat/>
    <w:uiPriority w:val="0"/>
    <w:rPr>
      <w:sz w:val="21"/>
    </w:rPr>
  </w:style>
  <w:style w:type="character" w:customStyle="1" w:styleId="121">
    <w:name w:val="标题 字符"/>
    <w:basedOn w:val="59"/>
    <w:link w:val="53"/>
    <w:qFormat/>
    <w:uiPriority w:val="0"/>
    <w:rPr>
      <w:rFonts w:ascii="Arial" w:hAnsi="Arial" w:eastAsia="宋体" w:cs="Times New Roman"/>
      <w:b/>
      <w:smallCaps/>
      <w:kern w:val="28"/>
      <w:sz w:val="36"/>
      <w:szCs w:val="20"/>
      <w:lang w:eastAsia="en-US"/>
    </w:rPr>
  </w:style>
  <w:style w:type="paragraph" w:customStyle="1" w:styleId="12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23">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24">
    <w:name w:val="样式 正文缩进正文（首行缩进两字）表正文正文非缩进特点标题4段1 + 首行缩进:  2 字符"/>
    <w:basedOn w:val="15"/>
    <w:qFormat/>
    <w:uiPriority w:val="0"/>
    <w:pPr>
      <w:ind w:firstLine="480" w:firstLineChars="200"/>
    </w:pPr>
  </w:style>
  <w:style w:type="paragraph" w:customStyle="1" w:styleId="125">
    <w:name w:val="1.正文"/>
    <w:basedOn w:val="1"/>
    <w:qFormat/>
    <w:uiPriority w:val="0"/>
    <w:pPr>
      <w:spacing w:line="360" w:lineRule="auto"/>
      <w:ind w:left="540" w:leftChars="225" w:firstLine="540" w:firstLineChars="225"/>
    </w:pPr>
    <w:rPr>
      <w:sz w:val="24"/>
    </w:rPr>
  </w:style>
  <w:style w:type="paragraph" w:customStyle="1" w:styleId="126">
    <w:name w:val="正文4"/>
    <w:basedOn w:val="1"/>
    <w:qFormat/>
    <w:uiPriority w:val="0"/>
    <w:pPr>
      <w:tabs>
        <w:tab w:val="left" w:pos="1275"/>
      </w:tabs>
      <w:spacing w:before="60" w:after="60" w:line="360" w:lineRule="auto"/>
      <w:ind w:left="820" w:leftChars="400" w:hanging="705"/>
    </w:pPr>
    <w:rPr>
      <w:sz w:val="24"/>
    </w:rPr>
  </w:style>
  <w:style w:type="character" w:customStyle="1" w:styleId="127">
    <w:name w:val="纯文本 字符"/>
    <w:basedOn w:val="59"/>
    <w:link w:val="30"/>
    <w:qFormat/>
    <w:uiPriority w:val="0"/>
    <w:rPr>
      <w:rFonts w:ascii="宋体" w:hAnsi="Courier New" w:eastAsia="宋体" w:cs="Times New Roman"/>
      <w:szCs w:val="20"/>
    </w:rPr>
  </w:style>
  <w:style w:type="paragraph" w:customStyle="1" w:styleId="128">
    <w:name w:val="Char"/>
    <w:basedOn w:val="1"/>
    <w:qFormat/>
    <w:uiPriority w:val="0"/>
    <w:pPr>
      <w:spacing w:line="240" w:lineRule="atLeast"/>
      <w:ind w:left="420" w:firstLine="420"/>
    </w:pPr>
    <w:rPr>
      <w:kern w:val="0"/>
      <w:sz w:val="21"/>
    </w:rPr>
  </w:style>
  <w:style w:type="paragraph" w:customStyle="1" w:styleId="12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0">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1">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33">
    <w:name w:val="Char2"/>
    <w:basedOn w:val="1"/>
    <w:qFormat/>
    <w:uiPriority w:val="0"/>
    <w:pPr>
      <w:spacing w:line="240" w:lineRule="atLeast"/>
      <w:ind w:left="420" w:firstLine="420"/>
    </w:pPr>
    <w:rPr>
      <w:kern w:val="0"/>
      <w:sz w:val="21"/>
    </w:rPr>
  </w:style>
  <w:style w:type="paragraph" w:customStyle="1" w:styleId="13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5">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6">
    <w:name w:val="文章正文"/>
    <w:basedOn w:val="1"/>
    <w:qFormat/>
    <w:uiPriority w:val="0"/>
    <w:pPr>
      <w:ind w:firstLine="560" w:firstLineChars="200"/>
    </w:pPr>
    <w:rPr>
      <w:rFonts w:ascii="仿宋_GB2312" w:hAnsi="宋体" w:eastAsia="仿宋_GB2312"/>
      <w:color w:val="000000"/>
    </w:rPr>
  </w:style>
  <w:style w:type="paragraph" w:customStyle="1" w:styleId="137">
    <w:name w:val="表头文本"/>
    <w:qFormat/>
    <w:uiPriority w:val="0"/>
    <w:pPr>
      <w:jc w:val="center"/>
    </w:pPr>
    <w:rPr>
      <w:rFonts w:ascii="Arial" w:hAnsi="Arial" w:eastAsia="宋体" w:cs="Times New Roman"/>
      <w:b/>
      <w:sz w:val="21"/>
      <w:lang w:val="en-US" w:eastAsia="zh-CN" w:bidi="ar-SA"/>
    </w:rPr>
  </w:style>
  <w:style w:type="character" w:customStyle="1" w:styleId="138">
    <w:name w:val="正文文本缩进 字符"/>
    <w:basedOn w:val="59"/>
    <w:link w:val="23"/>
    <w:semiHidden/>
    <w:qFormat/>
    <w:uiPriority w:val="99"/>
    <w:rPr>
      <w:rFonts w:ascii="Times New Roman" w:hAnsi="Times New Roman" w:eastAsia="宋体" w:cs="Times New Roman"/>
      <w:sz w:val="28"/>
      <w:szCs w:val="20"/>
    </w:rPr>
  </w:style>
  <w:style w:type="character" w:customStyle="1" w:styleId="139">
    <w:name w:val="正文首行缩进 2 字符"/>
    <w:basedOn w:val="138"/>
    <w:link w:val="56"/>
    <w:semiHidden/>
    <w:qFormat/>
    <w:uiPriority w:val="99"/>
    <w:rPr>
      <w:rFonts w:ascii="Times New Roman" w:hAnsi="Times New Roman" w:eastAsia="宋体" w:cs="Times New Roman"/>
      <w:sz w:val="28"/>
      <w:szCs w:val="20"/>
    </w:rPr>
  </w:style>
  <w:style w:type="paragraph" w:customStyle="1" w:styleId="14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1">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42">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character" w:customStyle="1" w:styleId="143">
    <w:name w:val="正文文本 字符"/>
    <w:basedOn w:val="59"/>
    <w:link w:val="22"/>
    <w:semiHidden/>
    <w:qFormat/>
    <w:uiPriority w:val="99"/>
    <w:rPr>
      <w:rFonts w:ascii="Times New Roman" w:hAnsi="Times New Roman" w:eastAsia="宋体" w:cs="Times New Roman"/>
      <w:sz w:val="28"/>
      <w:szCs w:val="20"/>
    </w:rPr>
  </w:style>
  <w:style w:type="character" w:customStyle="1" w:styleId="144">
    <w:name w:val="正文首行缩进 字符"/>
    <w:basedOn w:val="143"/>
    <w:link w:val="55"/>
    <w:qFormat/>
    <w:uiPriority w:val="0"/>
    <w:rPr>
      <w:rFonts w:ascii="宋体" w:hAnsi="宋体" w:eastAsia="宋体" w:cs="Times New Roman"/>
      <w:sz w:val="24"/>
      <w:szCs w:val="20"/>
    </w:rPr>
  </w:style>
  <w:style w:type="character" w:customStyle="1" w:styleId="145">
    <w:name w:val="正文文本 2 字符"/>
    <w:basedOn w:val="59"/>
    <w:link w:val="47"/>
    <w:qFormat/>
    <w:uiPriority w:val="0"/>
    <w:rPr>
      <w:rFonts w:ascii="Times New Roman" w:hAnsi="Times New Roman" w:eastAsia="宋体" w:cs="Times New Roman"/>
      <w:sz w:val="24"/>
      <w:szCs w:val="20"/>
    </w:rPr>
  </w:style>
  <w:style w:type="paragraph" w:customStyle="1" w:styleId="146">
    <w:name w:val="Char Char14 Char Char"/>
    <w:basedOn w:val="1"/>
    <w:qFormat/>
    <w:uiPriority w:val="0"/>
    <w:rPr>
      <w:sz w:val="21"/>
      <w:szCs w:val="24"/>
    </w:rPr>
  </w:style>
  <w:style w:type="paragraph" w:customStyle="1" w:styleId="14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8">
    <w:name w:val="Char Char Char"/>
    <w:basedOn w:val="1"/>
    <w:qFormat/>
    <w:uiPriority w:val="0"/>
    <w:rPr>
      <w:rFonts w:ascii="Tahoma" w:hAnsi="Tahoma"/>
      <w:sz w:val="24"/>
    </w:rPr>
  </w:style>
  <w:style w:type="character" w:customStyle="1" w:styleId="149">
    <w:name w:val="批注文字 字符"/>
    <w:basedOn w:val="59"/>
    <w:link w:val="19"/>
    <w:semiHidden/>
    <w:qFormat/>
    <w:uiPriority w:val="99"/>
    <w:rPr>
      <w:rFonts w:ascii="Times New Roman" w:hAnsi="Times New Roman" w:eastAsia="宋体" w:cs="Times New Roman"/>
      <w:sz w:val="28"/>
      <w:szCs w:val="20"/>
    </w:rPr>
  </w:style>
  <w:style w:type="paragraph" w:customStyle="1" w:styleId="15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51">
    <w:name w:val="样式4"/>
    <w:basedOn w:val="5"/>
    <w:qFormat/>
    <w:uiPriority w:val="0"/>
    <w:pPr>
      <w:adjustRightInd w:val="0"/>
      <w:snapToGrid w:val="0"/>
    </w:pPr>
  </w:style>
  <w:style w:type="paragraph" w:customStyle="1" w:styleId="152">
    <w:name w:val="编号正文"/>
    <w:basedOn w:val="129"/>
    <w:qFormat/>
    <w:uiPriority w:val="0"/>
    <w:pPr>
      <w:snapToGrid/>
      <w:spacing w:line="360" w:lineRule="auto"/>
      <w:ind w:left="1407" w:hanging="1047"/>
      <w:jc w:val="left"/>
    </w:pPr>
    <w:rPr>
      <w:rFonts w:eastAsia="仿宋_GB2312"/>
    </w:rPr>
  </w:style>
  <w:style w:type="paragraph" w:customStyle="1" w:styleId="153">
    <w:name w:val="Char1 Char Char Char"/>
    <w:basedOn w:val="1"/>
    <w:qFormat/>
    <w:uiPriority w:val="0"/>
    <w:rPr>
      <w:rFonts w:ascii="Tahoma" w:hAnsi="Tahoma"/>
      <w:sz w:val="24"/>
    </w:rPr>
  </w:style>
  <w:style w:type="paragraph" w:customStyle="1" w:styleId="154">
    <w:name w:val="正文1"/>
    <w:basedOn w:val="1"/>
    <w:qFormat/>
    <w:uiPriority w:val="0"/>
    <w:pPr>
      <w:spacing w:line="300" w:lineRule="auto"/>
      <w:ind w:firstLine="200" w:firstLineChars="200"/>
    </w:pPr>
    <w:rPr>
      <w:sz w:val="24"/>
    </w:rPr>
  </w:style>
  <w:style w:type="character" w:customStyle="1" w:styleId="155">
    <w:name w:val="批注框文本 字符"/>
    <w:basedOn w:val="59"/>
    <w:link w:val="34"/>
    <w:qFormat/>
    <w:uiPriority w:val="0"/>
    <w:rPr>
      <w:rFonts w:ascii="Times New Roman" w:hAnsi="Times New Roman" w:eastAsia="宋体" w:cs="Times New Roman"/>
      <w:sz w:val="18"/>
      <w:szCs w:val="20"/>
    </w:rPr>
  </w:style>
  <w:style w:type="paragraph" w:customStyle="1" w:styleId="156">
    <w:name w:val="af"/>
    <w:basedOn w:val="1"/>
    <w:qFormat/>
    <w:uiPriority w:val="0"/>
    <w:pPr>
      <w:widowControl/>
      <w:spacing w:line="300" w:lineRule="atLeast"/>
      <w:jc w:val="left"/>
    </w:pPr>
    <w:rPr>
      <w:rFonts w:ascii="宋体" w:hAnsi="宋体"/>
      <w:kern w:val="0"/>
      <w:sz w:val="18"/>
    </w:rPr>
  </w:style>
  <w:style w:type="paragraph" w:customStyle="1" w:styleId="157">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character" w:customStyle="1" w:styleId="158">
    <w:name w:val="日期 字符"/>
    <w:basedOn w:val="59"/>
    <w:link w:val="32"/>
    <w:semiHidden/>
    <w:qFormat/>
    <w:uiPriority w:val="99"/>
    <w:rPr>
      <w:rFonts w:ascii="Times New Roman" w:hAnsi="Times New Roman" w:eastAsia="宋体" w:cs="Times New Roman"/>
      <w:sz w:val="28"/>
      <w:szCs w:val="20"/>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62">
    <w:name w:val="正文文本 21"/>
    <w:basedOn w:val="1"/>
    <w:qFormat/>
    <w:uiPriority w:val="0"/>
    <w:pPr>
      <w:adjustRightInd w:val="0"/>
      <w:spacing w:before="120" w:line="360" w:lineRule="auto"/>
      <w:ind w:firstLine="480"/>
      <w:textAlignment w:val="baseline"/>
    </w:pPr>
    <w:rPr>
      <w:sz w:val="24"/>
    </w:rPr>
  </w:style>
  <w:style w:type="character" w:customStyle="1" w:styleId="163">
    <w:name w:val="批注主题 字符"/>
    <w:basedOn w:val="149"/>
    <w:link w:val="54"/>
    <w:semiHidden/>
    <w:qFormat/>
    <w:uiPriority w:val="99"/>
    <w:rPr>
      <w:rFonts w:ascii="Times New Roman" w:hAnsi="Times New Roman" w:eastAsia="宋体" w:cs="Times New Roman"/>
      <w:b/>
      <w:bCs/>
      <w:sz w:val="28"/>
      <w:szCs w:val="20"/>
    </w:rPr>
  </w:style>
  <w:style w:type="paragraph" w:customStyle="1" w:styleId="164">
    <w:name w:val="一级条标题"/>
    <w:basedOn w:val="165"/>
    <w:next w:val="134"/>
    <w:qFormat/>
    <w:uiPriority w:val="0"/>
    <w:pPr>
      <w:ind w:left="525"/>
      <w:outlineLvl w:val="2"/>
    </w:pPr>
    <w:rPr>
      <w:sz w:val="21"/>
    </w:rPr>
  </w:style>
  <w:style w:type="paragraph" w:customStyle="1" w:styleId="165">
    <w:name w:val="章标题"/>
    <w:next w:val="1"/>
    <w:qFormat/>
    <w:uiPriority w:val="0"/>
    <w:pPr>
      <w:spacing w:beforeLines="50" w:afterLines="50"/>
      <w:jc w:val="both"/>
      <w:outlineLvl w:val="1"/>
    </w:pPr>
    <w:rPr>
      <w:rFonts w:ascii="黑体" w:hAnsi="Times New Roman" w:eastAsia="黑体" w:cs="Times New Roman"/>
      <w:sz w:val="24"/>
      <w:lang w:val="en-US" w:eastAsia="zh-CN" w:bidi="ar-SA"/>
    </w:rPr>
  </w:style>
  <w:style w:type="character" w:customStyle="1" w:styleId="166">
    <w:name w:val="正文文本缩进 3 字符"/>
    <w:basedOn w:val="59"/>
    <w:link w:val="43"/>
    <w:qFormat/>
    <w:uiPriority w:val="0"/>
    <w:rPr>
      <w:rFonts w:ascii="黑体" w:hAnsi="Times New Roman" w:eastAsia="黑体" w:cs="Times New Roman"/>
      <w:sz w:val="28"/>
      <w:szCs w:val="20"/>
    </w:rPr>
  </w:style>
  <w:style w:type="paragraph" w:customStyle="1" w:styleId="16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68">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69">
    <w:name w:val="可研正文"/>
    <w:basedOn w:val="22"/>
    <w:qFormat/>
    <w:uiPriority w:val="0"/>
    <w:pPr>
      <w:adjustRightInd w:val="0"/>
      <w:snapToGrid w:val="0"/>
      <w:spacing w:after="0" w:line="440" w:lineRule="exact"/>
      <w:ind w:firstLine="567"/>
    </w:pPr>
    <w:rPr>
      <w:rFonts w:ascii="仿宋_GB2312" w:eastAsia="仿宋_GB2312"/>
    </w:rPr>
  </w:style>
  <w:style w:type="character" w:customStyle="1" w:styleId="170">
    <w:name w:val="文档结构图 字符"/>
    <w:basedOn w:val="59"/>
    <w:link w:val="17"/>
    <w:qFormat/>
    <w:uiPriority w:val="0"/>
    <w:rPr>
      <w:rFonts w:ascii="Times New Roman" w:hAnsi="Times New Roman" w:eastAsia="宋体" w:cs="Times New Roman"/>
      <w:sz w:val="28"/>
      <w:szCs w:val="20"/>
      <w:shd w:val="clear" w:color="auto" w:fill="000080"/>
    </w:rPr>
  </w:style>
  <w:style w:type="character" w:customStyle="1" w:styleId="171">
    <w:name w:val="页眉 字符"/>
    <w:basedOn w:val="59"/>
    <w:link w:val="36"/>
    <w:qFormat/>
    <w:uiPriority w:val="0"/>
    <w:rPr>
      <w:rFonts w:ascii="Times New Roman" w:hAnsi="Times New Roman" w:eastAsia="宋体" w:cs="Times New Roman"/>
      <w:sz w:val="18"/>
      <w:szCs w:val="20"/>
    </w:rPr>
  </w:style>
  <w:style w:type="paragraph" w:customStyle="1" w:styleId="172">
    <w:name w:val="标题无"/>
    <w:basedOn w:val="1"/>
    <w:qFormat/>
    <w:uiPriority w:val="0"/>
    <w:pPr>
      <w:spacing w:line="360" w:lineRule="auto"/>
    </w:pPr>
    <w:rPr>
      <w:sz w:val="24"/>
    </w:rPr>
  </w:style>
  <w:style w:type="paragraph" w:customStyle="1" w:styleId="173">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74">
    <w:name w:val="Char Char1 Char"/>
    <w:basedOn w:val="1"/>
    <w:qFormat/>
    <w:uiPriority w:val="0"/>
    <w:rPr>
      <w:rFonts w:ascii="Tahoma" w:hAnsi="Tahoma"/>
      <w:sz w:val="24"/>
      <w:szCs w:val="24"/>
    </w:rPr>
  </w:style>
  <w:style w:type="character" w:customStyle="1" w:styleId="175">
    <w:name w:val="正文文本缩进 2 字符"/>
    <w:basedOn w:val="59"/>
    <w:link w:val="33"/>
    <w:semiHidden/>
    <w:qFormat/>
    <w:uiPriority w:val="99"/>
    <w:rPr>
      <w:rFonts w:ascii="Times New Roman" w:hAnsi="Times New Roman" w:eastAsia="宋体" w:cs="Times New Roman"/>
      <w:sz w:val="28"/>
      <w:szCs w:val="20"/>
    </w:rPr>
  </w:style>
  <w:style w:type="paragraph" w:customStyle="1" w:styleId="176">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77">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78">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character" w:customStyle="1" w:styleId="179">
    <w:name w:val="脚注文本 字符"/>
    <w:basedOn w:val="59"/>
    <w:link w:val="40"/>
    <w:semiHidden/>
    <w:qFormat/>
    <w:uiPriority w:val="99"/>
    <w:rPr>
      <w:rFonts w:ascii="Times New Roman" w:hAnsi="Times New Roman" w:eastAsia="宋体" w:cs="Times New Roman"/>
      <w:sz w:val="18"/>
      <w:szCs w:val="18"/>
    </w:rPr>
  </w:style>
  <w:style w:type="paragraph" w:customStyle="1" w:styleId="180">
    <w:name w:val="00"/>
    <w:basedOn w:val="1"/>
    <w:qFormat/>
    <w:uiPriority w:val="0"/>
    <w:pPr>
      <w:autoSpaceDE w:val="0"/>
      <w:autoSpaceDN w:val="0"/>
      <w:adjustRightInd w:val="0"/>
      <w:jc w:val="left"/>
    </w:pPr>
    <w:rPr>
      <w:rFonts w:ascii="黑体" w:eastAsia="黑体"/>
      <w:b/>
      <w:kern w:val="0"/>
      <w:sz w:val="20"/>
    </w:rPr>
  </w:style>
  <w:style w:type="paragraph" w:customStyle="1" w:styleId="181">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character" w:customStyle="1" w:styleId="182">
    <w:name w:val="页脚 字符"/>
    <w:basedOn w:val="59"/>
    <w:link w:val="35"/>
    <w:qFormat/>
    <w:uiPriority w:val="0"/>
    <w:rPr>
      <w:rFonts w:ascii="Times New Roman" w:hAnsi="Times New Roman" w:eastAsia="宋体" w:cs="Times New Roman"/>
      <w:sz w:val="18"/>
      <w:szCs w:val="20"/>
    </w:rPr>
  </w:style>
  <w:style w:type="paragraph" w:customStyle="1" w:styleId="183">
    <w:name w:val="正文（首行不缩进）"/>
    <w:basedOn w:val="1"/>
    <w:qFormat/>
    <w:uiPriority w:val="0"/>
    <w:pPr>
      <w:autoSpaceDE w:val="0"/>
      <w:autoSpaceDN w:val="0"/>
      <w:adjustRightInd w:val="0"/>
      <w:spacing w:line="360" w:lineRule="auto"/>
      <w:jc w:val="left"/>
    </w:pPr>
    <w:rPr>
      <w:kern w:val="0"/>
      <w:sz w:val="21"/>
    </w:rPr>
  </w:style>
  <w:style w:type="paragraph" w:customStyle="1" w:styleId="184">
    <w:name w:val="Title - Revision"/>
    <w:basedOn w:val="53"/>
    <w:qFormat/>
    <w:uiPriority w:val="0"/>
    <w:pPr>
      <w:spacing w:before="720"/>
    </w:pPr>
  </w:style>
  <w:style w:type="paragraph" w:customStyle="1" w:styleId="185">
    <w:name w:val="首行缩进 1"/>
    <w:basedOn w:val="1"/>
    <w:qFormat/>
    <w:uiPriority w:val="0"/>
    <w:pPr>
      <w:spacing w:after="120" w:line="360" w:lineRule="auto"/>
      <w:ind w:firstLine="200" w:firstLineChars="200"/>
    </w:pPr>
    <w:rPr>
      <w:sz w:val="24"/>
    </w:rPr>
  </w:style>
  <w:style w:type="character" w:customStyle="1" w:styleId="186">
    <w:name w:val="正文文本 3 字符"/>
    <w:basedOn w:val="59"/>
    <w:link w:val="20"/>
    <w:qFormat/>
    <w:uiPriority w:val="0"/>
    <w:rPr>
      <w:rFonts w:ascii="Times New Roman" w:hAnsi="Times New Roman" w:eastAsia="宋体" w:cs="Times New Roman"/>
      <w:sz w:val="16"/>
      <w:szCs w:val="20"/>
    </w:rPr>
  </w:style>
  <w:style w:type="paragraph" w:customStyle="1" w:styleId="187">
    <w:name w:val="Char Char Char Char Char Char Char Char Char Char Char Char Char Char Char Char"/>
    <w:basedOn w:val="1"/>
    <w:qFormat/>
    <w:uiPriority w:val="0"/>
    <w:pPr>
      <w:tabs>
        <w:tab w:val="left" w:pos="360"/>
      </w:tabs>
    </w:pPr>
    <w:rPr>
      <w:sz w:val="24"/>
    </w:rPr>
  </w:style>
  <w:style w:type="paragraph" w:customStyle="1" w:styleId="188">
    <w:name w:val="二级列表"/>
    <w:basedOn w:val="189"/>
    <w:next w:val="189"/>
    <w:qFormat/>
    <w:uiPriority w:val="0"/>
    <w:pPr>
      <w:tabs>
        <w:tab w:val="left" w:pos="2120"/>
      </w:tabs>
      <w:ind w:firstLine="0" w:firstLineChars="0"/>
    </w:pPr>
    <w:rPr>
      <w:b/>
    </w:rPr>
  </w:style>
  <w:style w:type="paragraph" w:customStyle="1" w:styleId="189">
    <w:name w:val="段落正文"/>
    <w:basedOn w:val="1"/>
    <w:qFormat/>
    <w:uiPriority w:val="0"/>
    <w:pPr>
      <w:spacing w:beforeLines="50" w:line="360" w:lineRule="auto"/>
      <w:ind w:firstLine="200" w:firstLineChars="200"/>
    </w:pPr>
    <w:rPr>
      <w:spacing w:val="2"/>
      <w:sz w:val="24"/>
    </w:rPr>
  </w:style>
  <w:style w:type="paragraph" w:customStyle="1" w:styleId="190">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9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93">
    <w:name w:val="标书正文:  0.74 厘米"/>
    <w:basedOn w:val="1"/>
    <w:qFormat/>
    <w:uiPriority w:val="0"/>
    <w:pPr>
      <w:snapToGrid w:val="0"/>
      <w:spacing w:line="360" w:lineRule="auto"/>
      <w:ind w:firstLine="420"/>
    </w:pPr>
    <w:rPr>
      <w:sz w:val="24"/>
    </w:rPr>
  </w:style>
  <w:style w:type="paragraph" w:customStyle="1" w:styleId="19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5">
    <w:name w:val="正文文本缩进 21"/>
    <w:basedOn w:val="1"/>
    <w:qFormat/>
    <w:uiPriority w:val="0"/>
    <w:pPr>
      <w:adjustRightInd w:val="0"/>
      <w:spacing w:before="120"/>
      <w:ind w:firstLine="420"/>
      <w:textAlignment w:val="baseline"/>
    </w:pPr>
    <w:rPr>
      <w:sz w:val="24"/>
    </w:rPr>
  </w:style>
  <w:style w:type="paragraph" w:customStyle="1" w:styleId="196">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97">
    <w:name w:val="_Style 1"/>
    <w:basedOn w:val="1"/>
    <w:qFormat/>
    <w:uiPriority w:val="0"/>
    <w:pPr>
      <w:ind w:firstLine="420" w:firstLineChars="200"/>
    </w:pPr>
    <w:rPr>
      <w:rFonts w:ascii="Calibri" w:hAnsi="Calibri"/>
      <w:sz w:val="21"/>
      <w:szCs w:val="24"/>
    </w:rPr>
  </w:style>
  <w:style w:type="paragraph" w:customStyle="1" w:styleId="198">
    <w:name w:val="表格内文字"/>
    <w:basedOn w:val="30"/>
    <w:qFormat/>
    <w:uiPriority w:val="0"/>
    <w:pPr>
      <w:adjustRightInd w:val="0"/>
    </w:pPr>
    <w:rPr>
      <w:color w:val="000000"/>
      <w:lang w:val="en-GB"/>
    </w:rPr>
  </w:style>
  <w:style w:type="paragraph" w:customStyle="1" w:styleId="199">
    <w:name w:val="Title - Date"/>
    <w:basedOn w:val="53"/>
    <w:next w:val="1"/>
    <w:qFormat/>
    <w:uiPriority w:val="0"/>
    <w:pPr>
      <w:spacing w:before="240" w:after="720"/>
    </w:pPr>
    <w:rPr>
      <w:sz w:val="28"/>
    </w:rPr>
  </w:style>
  <w:style w:type="paragraph" w:customStyle="1" w:styleId="200">
    <w:name w:val="默认段落字体 Para Char Char Char Char Char Char Char"/>
    <w:basedOn w:val="1"/>
    <w:qFormat/>
    <w:uiPriority w:val="0"/>
    <w:rPr>
      <w:rFonts w:ascii="Tahoma" w:hAnsi="Tahoma"/>
      <w:sz w:val="24"/>
    </w:rPr>
  </w:style>
  <w:style w:type="paragraph" w:customStyle="1" w:styleId="201">
    <w:name w:val="Item Step in Tabl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202">
    <w:name w:val="Table Contents"/>
    <w:basedOn w:val="22"/>
    <w:qFormat/>
    <w:uiPriority w:val="0"/>
    <w:pPr>
      <w:suppressAutoHyphens/>
      <w:spacing w:after="0"/>
      <w:jc w:val="left"/>
    </w:pPr>
    <w:rPr>
      <w:rFonts w:eastAsia="Times New Roman"/>
      <w:kern w:val="0"/>
      <w:sz w:val="24"/>
    </w:rPr>
  </w:style>
  <w:style w:type="paragraph" w:customStyle="1" w:styleId="20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4">
    <w:name w:val="Char Char Char Char Char Char"/>
    <w:basedOn w:val="1"/>
    <w:qFormat/>
    <w:uiPriority w:val="0"/>
    <w:pPr>
      <w:widowControl/>
      <w:spacing w:after="160" w:line="240" w:lineRule="exact"/>
      <w:jc w:val="left"/>
    </w:pPr>
  </w:style>
  <w:style w:type="paragraph" w:customStyle="1" w:styleId="205">
    <w:name w:val="标准正文"/>
    <w:basedOn w:val="23"/>
    <w:qFormat/>
    <w:uiPriority w:val="0"/>
    <w:pPr>
      <w:spacing w:before="60" w:after="60" w:line="360" w:lineRule="auto"/>
      <w:ind w:left="0" w:leftChars="0" w:firstLine="482"/>
    </w:pPr>
    <w:rPr>
      <w:rFonts w:ascii="Arial" w:hAnsi="Arial"/>
      <w:sz w:val="24"/>
    </w:rPr>
  </w:style>
  <w:style w:type="paragraph" w:customStyle="1" w:styleId="206">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07">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08">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209">
    <w:name w:val="Item List"/>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210">
    <w:name w:val="1"/>
    <w:basedOn w:val="1"/>
    <w:next w:val="30"/>
    <w:qFormat/>
    <w:uiPriority w:val="0"/>
    <w:rPr>
      <w:rFonts w:ascii="宋体" w:hAnsi="Courier New"/>
      <w:sz w:val="21"/>
    </w:rPr>
  </w:style>
  <w:style w:type="paragraph" w:customStyle="1" w:styleId="211">
    <w:name w:val="图片文字"/>
    <w:basedOn w:val="1"/>
    <w:qFormat/>
    <w:uiPriority w:val="0"/>
    <w:pPr>
      <w:spacing w:line="240" w:lineRule="atLeast"/>
      <w:jc w:val="center"/>
    </w:pPr>
    <w:rPr>
      <w:sz w:val="21"/>
    </w:rPr>
  </w:style>
  <w:style w:type="paragraph" w:customStyle="1" w:styleId="212">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13">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1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15">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16">
    <w:name w:val="Note"/>
    <w:basedOn w:val="1"/>
    <w:qFormat/>
    <w:uiPriority w:val="0"/>
    <w:pPr>
      <w:pBdr>
        <w:top w:val="single" w:color="auto" w:sz="12" w:space="3"/>
        <w:bottom w:val="single" w:color="auto" w:sz="12" w:space="3"/>
      </w:pBdr>
      <w:spacing w:line="360" w:lineRule="auto"/>
    </w:pPr>
    <w:rPr>
      <w:sz w:val="24"/>
    </w:rPr>
  </w:style>
  <w:style w:type="paragraph" w:customStyle="1" w:styleId="217">
    <w:name w:val="Char Char 字元 字元 字元 Char Char Char Char"/>
    <w:basedOn w:val="1"/>
    <w:qFormat/>
    <w:uiPriority w:val="0"/>
    <w:pPr>
      <w:adjustRightInd w:val="0"/>
      <w:spacing w:line="360" w:lineRule="auto"/>
    </w:pPr>
    <w:rPr>
      <w:kern w:val="0"/>
      <w:sz w:val="24"/>
    </w:rPr>
  </w:style>
  <w:style w:type="paragraph" w:customStyle="1" w:styleId="218">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19">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b/>
      <w:sz w:val="24"/>
    </w:rPr>
  </w:style>
  <w:style w:type="paragraph" w:customStyle="1" w:styleId="22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表文字"/>
    <w:qFormat/>
    <w:uiPriority w:val="0"/>
    <w:rPr>
      <w:rFonts w:ascii="宋体" w:hAnsi="Times New Roman" w:eastAsia="宋体" w:cs="Times New Roman"/>
      <w:kern w:val="2"/>
      <w:lang w:val="en-US" w:eastAsia="zh-CN" w:bidi="ar-SA"/>
    </w:rPr>
  </w:style>
  <w:style w:type="paragraph" w:customStyle="1" w:styleId="222">
    <w:name w:val="样式 行距: 1.5 倍行距1"/>
    <w:basedOn w:val="1"/>
    <w:qFormat/>
    <w:uiPriority w:val="0"/>
    <w:pPr>
      <w:snapToGrid w:val="0"/>
    </w:pPr>
    <w:rPr>
      <w:sz w:val="21"/>
    </w:rPr>
  </w:style>
  <w:style w:type="paragraph" w:customStyle="1" w:styleId="223">
    <w:name w:val="样式2"/>
    <w:basedOn w:val="5"/>
    <w:qFormat/>
    <w:uiPriority w:val="0"/>
    <w:pPr>
      <w:tabs>
        <w:tab w:val="left" w:pos="720"/>
      </w:tabs>
      <w:spacing w:before="560" w:line="400" w:lineRule="exact"/>
      <w:ind w:left="420" w:hanging="420"/>
      <w:jc w:val="center"/>
      <w:outlineLvl w:val="0"/>
    </w:pPr>
    <w:rPr>
      <w:b w:val="0"/>
      <w:sz w:val="44"/>
    </w:rPr>
  </w:style>
  <w:style w:type="paragraph" w:customStyle="1" w:styleId="224">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5">
    <w:name w:val="默认段落字体 Para Char Char Char Char Char Char Char Char Char1 Char Char Char Char"/>
    <w:basedOn w:val="1"/>
    <w:qFormat/>
    <w:uiPriority w:val="0"/>
    <w:rPr>
      <w:rFonts w:ascii="Tahoma" w:hAnsi="Tahoma"/>
      <w:sz w:val="24"/>
    </w:rPr>
  </w:style>
  <w:style w:type="paragraph" w:customStyle="1" w:styleId="22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27">
    <w:name w:val="表头样式"/>
    <w:basedOn w:val="1"/>
    <w:qFormat/>
    <w:uiPriority w:val="0"/>
    <w:pPr>
      <w:autoSpaceDE w:val="0"/>
      <w:autoSpaceDN w:val="0"/>
      <w:adjustRightInd w:val="0"/>
      <w:spacing w:line="360" w:lineRule="auto"/>
      <w:jc w:val="left"/>
    </w:pPr>
    <w:rPr>
      <w:b/>
      <w:kern w:val="0"/>
      <w:sz w:val="21"/>
    </w:rPr>
  </w:style>
  <w:style w:type="paragraph" w:customStyle="1" w:styleId="228">
    <w:name w:val="IN Feature"/>
    <w:next w:val="229"/>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29">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30">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31">
    <w:name w:val="列表项目"/>
    <w:basedOn w:val="1"/>
    <w:qFormat/>
    <w:uiPriority w:val="0"/>
    <w:pPr>
      <w:tabs>
        <w:tab w:val="left" w:pos="420"/>
      </w:tabs>
      <w:spacing w:line="288" w:lineRule="auto"/>
      <w:ind w:left="840" w:leftChars="200" w:hanging="420" w:hangingChars="200"/>
    </w:pPr>
    <w:rPr>
      <w:sz w:val="21"/>
    </w:rPr>
  </w:style>
  <w:style w:type="paragraph" w:customStyle="1" w:styleId="232">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33">
    <w:name w:val="简单回函地址"/>
    <w:basedOn w:val="1"/>
    <w:qFormat/>
    <w:uiPriority w:val="0"/>
    <w:pPr>
      <w:adjustRightInd w:val="0"/>
      <w:snapToGrid w:val="0"/>
      <w:spacing w:line="360" w:lineRule="auto"/>
    </w:pPr>
    <w:rPr>
      <w:sz w:val="24"/>
    </w:rPr>
  </w:style>
  <w:style w:type="paragraph" w:customStyle="1" w:styleId="234">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35">
    <w:name w:val="摘要"/>
    <w:basedOn w:val="1"/>
    <w:next w:val="3"/>
    <w:qFormat/>
    <w:uiPriority w:val="0"/>
    <w:pPr>
      <w:spacing w:line="360" w:lineRule="auto"/>
    </w:pPr>
    <w:rPr>
      <w:rFonts w:eastAsia="黑体"/>
      <w:sz w:val="20"/>
    </w:rPr>
  </w:style>
  <w:style w:type="paragraph" w:customStyle="1" w:styleId="236">
    <w:name w:val="表格文本"/>
    <w:qFormat/>
    <w:uiPriority w:val="0"/>
    <w:pPr>
      <w:tabs>
        <w:tab w:val="decimal" w:pos="0"/>
      </w:tabs>
    </w:pPr>
    <w:rPr>
      <w:rFonts w:ascii="Arial" w:hAnsi="Arial" w:eastAsia="宋体" w:cs="Times New Roman"/>
      <w:sz w:val="21"/>
      <w:lang w:val="en-US" w:eastAsia="zh-CN" w:bidi="ar-SA"/>
    </w:rPr>
  </w:style>
  <w:style w:type="paragraph" w:customStyle="1" w:styleId="237">
    <w:name w:val="Char2 Char Char Char Char Char Char"/>
    <w:basedOn w:val="1"/>
    <w:qFormat/>
    <w:uiPriority w:val="0"/>
    <w:rPr>
      <w:rFonts w:ascii="仿宋_GB2312"/>
      <w:b/>
      <w:sz w:val="30"/>
    </w:rPr>
  </w:style>
  <w:style w:type="paragraph" w:customStyle="1" w:styleId="238">
    <w:name w:val="文本框样式1"/>
    <w:basedOn w:val="1"/>
    <w:qFormat/>
    <w:uiPriority w:val="0"/>
    <w:pPr>
      <w:adjustRightInd w:val="0"/>
      <w:snapToGrid w:val="0"/>
      <w:spacing w:before="60" w:line="180" w:lineRule="exact"/>
      <w:jc w:val="center"/>
    </w:pPr>
    <w:rPr>
      <w:sz w:val="21"/>
    </w:rPr>
  </w:style>
  <w:style w:type="paragraph" w:customStyle="1" w:styleId="239">
    <w:name w:val="没有缩进（为图形使用）"/>
    <w:basedOn w:val="1"/>
    <w:qFormat/>
    <w:uiPriority w:val="0"/>
    <w:pPr>
      <w:spacing w:before="120" w:after="120" w:line="360" w:lineRule="auto"/>
    </w:pPr>
    <w:rPr>
      <w:sz w:val="24"/>
    </w:rPr>
  </w:style>
  <w:style w:type="paragraph" w:customStyle="1" w:styleId="240">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24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42">
    <w:name w:val="_"/>
    <w:basedOn w:val="1"/>
    <w:qFormat/>
    <w:uiPriority w:val="0"/>
    <w:pPr>
      <w:adjustRightInd w:val="0"/>
      <w:spacing w:line="360" w:lineRule="auto"/>
      <w:ind w:left="480" w:firstLine="200" w:firstLineChars="200"/>
      <w:textAlignment w:val="baseline"/>
    </w:pPr>
    <w:rPr>
      <w:kern w:val="0"/>
      <w:sz w:val="24"/>
    </w:rPr>
  </w:style>
  <w:style w:type="paragraph" w:customStyle="1" w:styleId="243">
    <w:name w:val="内容标题"/>
    <w:basedOn w:val="17"/>
    <w:qFormat/>
    <w:uiPriority w:val="0"/>
    <w:rPr>
      <w:rFonts w:ascii="Tahoma" w:hAnsi="Tahoma"/>
      <w:sz w:val="24"/>
    </w:rPr>
  </w:style>
  <w:style w:type="paragraph" w:customStyle="1" w:styleId="244">
    <w:name w:val="二级条标题"/>
    <w:basedOn w:val="164"/>
    <w:next w:val="134"/>
    <w:qFormat/>
    <w:uiPriority w:val="0"/>
    <w:pPr>
      <w:ind w:left="840"/>
      <w:outlineLvl w:val="3"/>
    </w:pPr>
  </w:style>
  <w:style w:type="paragraph" w:customStyle="1" w:styleId="24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46">
    <w:name w:val="文本1"/>
    <w:basedOn w:val="1"/>
    <w:qFormat/>
    <w:uiPriority w:val="0"/>
    <w:pPr>
      <w:adjustRightInd w:val="0"/>
      <w:spacing w:line="312" w:lineRule="atLeast"/>
      <w:jc w:val="center"/>
      <w:textAlignment w:val="baseline"/>
    </w:pPr>
    <w:rPr>
      <w:kern w:val="0"/>
      <w:sz w:val="18"/>
    </w:rPr>
  </w:style>
  <w:style w:type="paragraph" w:customStyle="1" w:styleId="247">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8">
    <w:name w:val="Char Char Char Char Char"/>
    <w:basedOn w:val="1"/>
    <w:qFormat/>
    <w:uiPriority w:val="0"/>
    <w:pPr>
      <w:tabs>
        <w:tab w:val="left" w:pos="425"/>
      </w:tabs>
      <w:ind w:left="1620" w:hanging="360"/>
    </w:pPr>
    <w:rPr>
      <w:rFonts w:ascii="Tahoma" w:hAnsi="Tahoma"/>
      <w:sz w:val="24"/>
    </w:rPr>
  </w:style>
  <w:style w:type="paragraph" w:customStyle="1" w:styleId="249">
    <w:name w:val="样式 样式 首行缩进:  2 字符 + 首行缩进:  2 字符"/>
    <w:basedOn w:val="1"/>
    <w:qFormat/>
    <w:uiPriority w:val="0"/>
    <w:pPr>
      <w:spacing w:line="360" w:lineRule="auto"/>
      <w:ind w:firstLine="480" w:firstLineChars="200"/>
    </w:pPr>
    <w:rPr>
      <w:sz w:val="24"/>
    </w:rPr>
  </w:style>
  <w:style w:type="paragraph" w:customStyle="1" w:styleId="250">
    <w:name w:val="关键词"/>
    <w:basedOn w:val="1"/>
    <w:next w:val="1"/>
    <w:qFormat/>
    <w:uiPriority w:val="0"/>
    <w:pPr>
      <w:spacing w:line="360" w:lineRule="auto"/>
    </w:pPr>
    <w:rPr>
      <w:rFonts w:eastAsia="黑体"/>
      <w:sz w:val="20"/>
    </w:rPr>
  </w:style>
  <w:style w:type="paragraph" w:customStyle="1" w:styleId="251">
    <w:name w:val="正文字缩2字"/>
    <w:basedOn w:val="1"/>
    <w:qFormat/>
    <w:uiPriority w:val="0"/>
    <w:pPr>
      <w:spacing w:before="60" w:after="60" w:line="360" w:lineRule="auto"/>
      <w:ind w:left="200" w:leftChars="200" w:firstLine="200" w:firstLineChars="200"/>
    </w:pPr>
    <w:rPr>
      <w:sz w:val="24"/>
    </w:rPr>
  </w:style>
  <w:style w:type="paragraph" w:customStyle="1" w:styleId="252">
    <w:name w:val="正文表格"/>
    <w:basedOn w:val="1"/>
    <w:qFormat/>
    <w:uiPriority w:val="0"/>
    <w:pPr>
      <w:adjustRightInd w:val="0"/>
      <w:spacing w:before="40" w:after="40"/>
    </w:pPr>
    <w:rPr>
      <w:sz w:val="24"/>
    </w:rPr>
  </w:style>
  <w:style w:type="paragraph" w:customStyle="1" w:styleId="253">
    <w:name w:val="Char Char Char Char Char Char Char"/>
    <w:basedOn w:val="17"/>
    <w:qFormat/>
    <w:uiPriority w:val="0"/>
    <w:rPr>
      <w:rFonts w:ascii="宋体" w:hAnsi="Tahoma"/>
    </w:rPr>
  </w:style>
  <w:style w:type="paragraph" w:customStyle="1" w:styleId="254">
    <w:name w:val="CSS1级正文 Char"/>
    <w:basedOn w:val="22"/>
    <w:qFormat/>
    <w:uiPriority w:val="0"/>
    <w:pPr>
      <w:adjustRightInd w:val="0"/>
      <w:snapToGrid w:val="0"/>
      <w:spacing w:after="0" w:line="360" w:lineRule="auto"/>
      <w:ind w:firstLine="480"/>
    </w:pPr>
    <w:rPr>
      <w:sz w:val="24"/>
    </w:rPr>
  </w:style>
  <w:style w:type="paragraph" w:customStyle="1" w:styleId="255">
    <w:name w:val="样式 宋体 五号 行距: 单倍行距"/>
    <w:basedOn w:val="1"/>
    <w:qFormat/>
    <w:uiPriority w:val="0"/>
    <w:pPr>
      <w:adjustRightInd w:val="0"/>
      <w:jc w:val="left"/>
    </w:pPr>
    <w:rPr>
      <w:rFonts w:ascii="宋体" w:hAnsi="宋体"/>
      <w:kern w:val="0"/>
      <w:sz w:val="21"/>
    </w:rPr>
  </w:style>
  <w:style w:type="paragraph" w:customStyle="1" w:styleId="25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57">
    <w:name w:val="图例"/>
    <w:basedOn w:val="1"/>
    <w:qFormat/>
    <w:uiPriority w:val="0"/>
    <w:pPr>
      <w:spacing w:before="120" w:after="120" w:line="360" w:lineRule="auto"/>
      <w:jc w:val="center"/>
    </w:pPr>
    <w:rPr>
      <w:rFonts w:eastAsia="仿宋_GB2312"/>
      <w:b/>
      <w:sz w:val="24"/>
    </w:rPr>
  </w:style>
  <w:style w:type="paragraph" w:customStyle="1" w:styleId="258">
    <w:name w:val="附录3"/>
    <w:basedOn w:val="1"/>
    <w:next w:val="1"/>
    <w:qFormat/>
    <w:uiPriority w:val="0"/>
    <w:pPr>
      <w:tabs>
        <w:tab w:val="left" w:pos="851"/>
      </w:tabs>
      <w:ind w:left="425" w:hanging="425"/>
      <w:outlineLvl w:val="2"/>
    </w:pPr>
    <w:rPr>
      <w:rFonts w:eastAsia="黑体"/>
      <w:b/>
      <w:sz w:val="32"/>
    </w:rPr>
  </w:style>
  <w:style w:type="paragraph" w:customStyle="1" w:styleId="259">
    <w:name w:val="Style Heading 3h3Heading 3 - oldLevel 3 HeadH3level_3PIM 3se..."/>
    <w:basedOn w:val="4"/>
    <w:qFormat/>
    <w:uiPriority w:val="0"/>
    <w:pPr>
      <w:tabs>
        <w:tab w:val="left" w:pos="709"/>
        <w:tab w:val="left" w:pos="1620"/>
      </w:tabs>
      <w:ind w:left="1620" w:hanging="360"/>
    </w:pPr>
  </w:style>
  <w:style w:type="paragraph" w:customStyle="1" w:styleId="260">
    <w:name w:val="首行缩进"/>
    <w:basedOn w:val="1"/>
    <w:qFormat/>
    <w:uiPriority w:val="0"/>
    <w:pPr>
      <w:tabs>
        <w:tab w:val="left" w:pos="540"/>
      </w:tabs>
      <w:spacing w:line="360" w:lineRule="auto"/>
      <w:ind w:left="540"/>
    </w:pPr>
    <w:rPr>
      <w:rFonts w:eastAsia="仿宋_GB2312"/>
    </w:rPr>
  </w:style>
  <w:style w:type="paragraph" w:customStyle="1" w:styleId="26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62">
    <w:name w:val="Char1 Char Char Char1"/>
    <w:basedOn w:val="1"/>
    <w:qFormat/>
    <w:uiPriority w:val="0"/>
    <w:rPr>
      <w:rFonts w:ascii="Tahoma" w:hAnsi="Tahoma"/>
      <w:sz w:val="30"/>
    </w:rPr>
  </w:style>
  <w:style w:type="paragraph" w:customStyle="1" w:styleId="263">
    <w:name w:val="Char Char Char Char Char Char Char1"/>
    <w:basedOn w:val="1"/>
    <w:qFormat/>
    <w:uiPriority w:val="0"/>
    <w:rPr>
      <w:rFonts w:ascii="Tahoma" w:hAnsi="Tahoma"/>
      <w:sz w:val="24"/>
    </w:rPr>
  </w:style>
  <w:style w:type="paragraph" w:customStyle="1" w:styleId="264">
    <w:name w:val="标题3——2"/>
    <w:basedOn w:val="4"/>
    <w:next w:val="55"/>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65">
    <w:name w:val="修订1"/>
    <w:qFormat/>
    <w:uiPriority w:val="0"/>
    <w:rPr>
      <w:rFonts w:ascii="Times New Roman" w:hAnsi="Times New Roman" w:eastAsia="宋体" w:cs="Times New Roman"/>
      <w:kern w:val="2"/>
      <w:sz w:val="21"/>
      <w:lang w:val="en-US" w:eastAsia="zh-CN" w:bidi="ar-SA"/>
    </w:rPr>
  </w:style>
  <w:style w:type="paragraph" w:customStyle="1" w:styleId="266">
    <w:name w:val="Char1"/>
    <w:basedOn w:val="1"/>
    <w:qFormat/>
    <w:uiPriority w:val="0"/>
    <w:rPr>
      <w:sz w:val="21"/>
    </w:rPr>
  </w:style>
  <w:style w:type="paragraph" w:customStyle="1" w:styleId="267">
    <w:name w:val="样式1"/>
    <w:basedOn w:val="5"/>
    <w:qFormat/>
    <w:uiPriority w:val="0"/>
    <w:pPr>
      <w:tabs>
        <w:tab w:val="left" w:pos="720"/>
      </w:tabs>
      <w:spacing w:before="500" w:after="260" w:line="560" w:lineRule="atLeast"/>
      <w:ind w:left="420" w:hanging="420"/>
    </w:pPr>
  </w:style>
  <w:style w:type="paragraph" w:customStyle="1" w:styleId="268">
    <w:name w:val="修订2"/>
    <w:hidden/>
    <w:unhideWhenUsed/>
    <w:qFormat/>
    <w:uiPriority w:val="99"/>
    <w:rPr>
      <w:rFonts w:ascii="Times New Roman" w:hAnsi="Times New Roman" w:eastAsia="宋体" w:cs="Times New Roman"/>
      <w:kern w:val="2"/>
      <w:sz w:val="28"/>
      <w:lang w:val="en-US" w:eastAsia="zh-CN" w:bidi="ar-SA"/>
    </w:rPr>
  </w:style>
  <w:style w:type="character" w:customStyle="1" w:styleId="269">
    <w:name w:val="ant-tree-switcher"/>
    <w:basedOn w:val="59"/>
    <w:qFormat/>
    <w:uiPriority w:val="0"/>
  </w:style>
  <w:style w:type="character" w:customStyle="1" w:styleId="270">
    <w:name w:val="ant-tree-iconele"/>
    <w:basedOn w:val="59"/>
    <w:qFormat/>
    <w:uiPriority w:val="0"/>
  </w:style>
  <w:style w:type="character" w:customStyle="1" w:styleId="271">
    <w:name w:val="hover16"/>
    <w:basedOn w:val="59"/>
    <w:qFormat/>
    <w:uiPriority w:val="0"/>
    <w:rPr>
      <w:color w:val="23527C"/>
    </w:rPr>
  </w:style>
  <w:style w:type="character" w:customStyle="1" w:styleId="272">
    <w:name w:val="ant-tree-checkbox"/>
    <w:basedOn w:val="59"/>
    <w:qFormat/>
    <w:uiPriority w:val="0"/>
  </w:style>
  <w:style w:type="character" w:customStyle="1" w:styleId="273">
    <w:name w:val="ant-select-tree-switcher"/>
    <w:basedOn w:val="59"/>
    <w:qFormat/>
    <w:uiPriority w:val="0"/>
  </w:style>
  <w:style w:type="character" w:customStyle="1" w:styleId="274">
    <w:name w:val="isover"/>
    <w:basedOn w:val="59"/>
    <w:qFormat/>
    <w:uiPriority w:val="0"/>
  </w:style>
  <w:style w:type="character" w:customStyle="1" w:styleId="275">
    <w:name w:val="ant-transfer-list-search-action"/>
    <w:basedOn w:val="59"/>
    <w:qFormat/>
    <w:uiPriority w:val="0"/>
  </w:style>
  <w:style w:type="character" w:customStyle="1" w:styleId="276">
    <w:name w:val="ant-select-tree-checkbox2"/>
    <w:basedOn w:val="59"/>
    <w:qFormat/>
    <w:uiPriority w:val="0"/>
  </w:style>
  <w:style w:type="character" w:customStyle="1" w:styleId="277">
    <w:name w:val="ant-select-tree-iconele"/>
    <w:basedOn w:val="59"/>
    <w:qFormat/>
    <w:uiPriority w:val="0"/>
  </w:style>
  <w:style w:type="character" w:customStyle="1" w:styleId="278">
    <w:name w:val="running"/>
    <w:basedOn w:val="59"/>
    <w:qFormat/>
    <w:uiPriority w:val="0"/>
  </w:style>
  <w:style w:type="character" w:customStyle="1" w:styleId="279">
    <w:name w:val="button"/>
    <w:basedOn w:val="59"/>
    <w:qFormat/>
    <w:uiPriority w:val="0"/>
  </w:style>
  <w:style w:type="character" w:customStyle="1" w:styleId="280">
    <w:name w:val="tmpztreemove_arrow"/>
    <w:basedOn w:val="59"/>
    <w:qFormat/>
    <w:uiPriority w:val="0"/>
  </w:style>
  <w:style w:type="paragraph" w:customStyle="1" w:styleId="281">
    <w:name w:val="list-group-item-text"/>
    <w:basedOn w:val="1"/>
    <w:qFormat/>
    <w:uiPriority w:val="0"/>
    <w:pPr>
      <w:pBdr>
        <w:top w:val="dotted" w:color="E0E0E0" w:sz="6" w:space="11"/>
      </w:pBdr>
      <w:jc w:val="left"/>
    </w:pPr>
    <w:rPr>
      <w:kern w:val="0"/>
    </w:rPr>
  </w:style>
  <w:style w:type="paragraph" w:customStyle="1" w:styleId="282">
    <w:name w:val="Table Paragraph"/>
    <w:basedOn w:val="1"/>
    <w:unhideWhenUsed/>
    <w:qFormat/>
    <w:uiPriority w:val="1"/>
    <w:rPr>
      <w:sz w:val="24"/>
    </w:rPr>
  </w:style>
  <w:style w:type="paragraph" w:customStyle="1" w:styleId="283">
    <w:name w:val="FDY表格内"/>
    <w:basedOn w:val="1"/>
    <w:next w:val="284"/>
    <w:unhideWhenUsed/>
    <w:qFormat/>
    <w:uiPriority w:val="0"/>
    <w:pPr>
      <w:snapToGrid w:val="0"/>
      <w:spacing w:line="240" w:lineRule="atLeast"/>
      <w:jc w:val="center"/>
    </w:pPr>
    <w:rPr>
      <w:sz w:val="24"/>
    </w:rPr>
  </w:style>
  <w:style w:type="paragraph" w:customStyle="1" w:styleId="284">
    <w:name w:val="D正文"/>
    <w:basedOn w:val="1"/>
    <w:unhideWhenUsed/>
    <w:qFormat/>
    <w:uiPriority w:val="0"/>
    <w:pPr>
      <w:spacing w:line="384" w:lineRule="auto"/>
      <w:ind w:firstLine="200" w:firstLineChars="200"/>
    </w:pPr>
    <w:rPr>
      <w:sz w:val="24"/>
    </w:rPr>
  </w:style>
  <w:style w:type="character" w:customStyle="1" w:styleId="285">
    <w:name w:val="无"/>
    <w:qFormat/>
    <w:uiPriority w:val="0"/>
  </w:style>
  <w:style w:type="character" w:customStyle="1" w:styleId="286">
    <w:name w:val="font21"/>
    <w:basedOn w:val="59"/>
    <w:qFormat/>
    <w:uiPriority w:val="0"/>
    <w:rPr>
      <w:rFonts w:hint="eastAsia" w:ascii="宋体" w:hAnsi="宋体" w:eastAsia="宋体" w:cs="宋体"/>
      <w:color w:val="000000"/>
      <w:sz w:val="20"/>
      <w:szCs w:val="20"/>
      <w:u w:val="none"/>
    </w:rPr>
  </w:style>
  <w:style w:type="character" w:customStyle="1" w:styleId="287">
    <w:name w:val="font01"/>
    <w:basedOn w:val="59"/>
    <w:qFormat/>
    <w:uiPriority w:val="0"/>
    <w:rPr>
      <w:rFonts w:hint="eastAsia" w:ascii="宋体" w:hAnsi="宋体" w:eastAsia="宋体" w:cs="宋体"/>
      <w:color w:val="000000"/>
      <w:sz w:val="21"/>
      <w:szCs w:val="21"/>
      <w:u w:val="none"/>
    </w:rPr>
  </w:style>
  <w:style w:type="character" w:customStyle="1" w:styleId="288">
    <w:name w:val="font41"/>
    <w:basedOn w:val="59"/>
    <w:qFormat/>
    <w:uiPriority w:val="0"/>
    <w:rPr>
      <w:rFonts w:hint="eastAsia" w:ascii="宋体" w:hAnsi="宋体" w:eastAsia="宋体" w:cs="宋体"/>
      <w:color w:val="000000"/>
      <w:sz w:val="20"/>
      <w:szCs w:val="20"/>
      <w:u w:val="none"/>
    </w:rPr>
  </w:style>
  <w:style w:type="character" w:customStyle="1" w:styleId="289">
    <w:name w:val="font11"/>
    <w:basedOn w:val="59"/>
    <w:qFormat/>
    <w:uiPriority w:val="0"/>
    <w:rPr>
      <w:rFonts w:hint="eastAsia" w:ascii="宋体" w:hAnsi="宋体" w:eastAsia="宋体" w:cs="宋体"/>
      <w:color w:val="000000"/>
      <w:sz w:val="18"/>
      <w:szCs w:val="18"/>
      <w:u w:val="none"/>
    </w:rPr>
  </w:style>
  <w:style w:type="character" w:customStyle="1" w:styleId="290">
    <w:name w:val="font71"/>
    <w:basedOn w:val="59"/>
    <w:qFormat/>
    <w:uiPriority w:val="0"/>
    <w:rPr>
      <w:rFonts w:hint="eastAsia" w:ascii="宋体" w:hAnsi="宋体" w:eastAsia="宋体" w:cs="宋体"/>
      <w:color w:val="000000"/>
      <w:sz w:val="18"/>
      <w:szCs w:val="18"/>
      <w:u w:val="none"/>
    </w:rPr>
  </w:style>
  <w:style w:type="character" w:customStyle="1" w:styleId="291">
    <w:name w:val="font81"/>
    <w:basedOn w:val="59"/>
    <w:qFormat/>
    <w:uiPriority w:val="0"/>
    <w:rPr>
      <w:rFonts w:hint="eastAsia" w:ascii="宋体" w:hAnsi="宋体" w:eastAsia="宋体" w:cs="宋体"/>
      <w:color w:val="000000"/>
      <w:sz w:val="18"/>
      <w:szCs w:val="18"/>
      <w:u w:val="none"/>
      <w:vertAlign w:val="superscript"/>
    </w:rPr>
  </w:style>
  <w:style w:type="character" w:customStyle="1" w:styleId="292">
    <w:name w:val="font31"/>
    <w:basedOn w:val="59"/>
    <w:qFormat/>
    <w:uiPriority w:val="0"/>
    <w:rPr>
      <w:rFonts w:hint="eastAsia" w:ascii="宋体" w:hAnsi="宋体" w:eastAsia="宋体" w:cs="宋体"/>
      <w:color w:val="000000"/>
      <w:sz w:val="18"/>
      <w:szCs w:val="18"/>
      <w:u w:val="none"/>
    </w:rPr>
  </w:style>
  <w:style w:type="paragraph" w:styleId="293">
    <w:name w:val="List Paragraph"/>
    <w:basedOn w:val="1"/>
    <w:qFormat/>
    <w:uiPriority w:val="0"/>
    <w:pPr>
      <w:ind w:firstLine="420" w:firstLineChars="200"/>
    </w:pPr>
    <w:rPr>
      <w:rFonts w:ascii="Calibri" w:hAnsi="Calibri"/>
      <w:sz w:val="21"/>
      <w:szCs w:val="24"/>
    </w:rPr>
  </w:style>
  <w:style w:type="table" w:customStyle="1" w:styleId="294">
    <w:name w:val="网格型1"/>
    <w:basedOn w:val="57"/>
    <w:unhideWhenUsed/>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5">
    <w:name w:val="1111正文"/>
    <w:basedOn w:val="1"/>
    <w:qFormat/>
    <w:uiPriority w:val="0"/>
    <w:pPr>
      <w:spacing w:line="460" w:lineRule="exact"/>
    </w:pPr>
    <w:rPr>
      <w:rFonts w:ascii="宋体" w:hAnsi="宋体" w:cs="宋体"/>
      <w:color w:val="000000" w:themeColor="text1"/>
      <w:sz w:val="24"/>
      <w14:textFill>
        <w14:solidFill>
          <w14:schemeClr w14:val="tx1"/>
        </w14:solidFill>
      </w14:textFill>
    </w:rPr>
  </w:style>
  <w:style w:type="character" w:customStyle="1" w:styleId="296">
    <w:name w:val="NormalCharacter"/>
    <w:link w:val="297"/>
    <w:qFormat/>
    <w:uiPriority w:val="0"/>
    <w:rPr>
      <w:rFonts w:ascii="Times New Roman" w:hAnsi="Times New Roman"/>
      <w:kern w:val="0"/>
      <w:sz w:val="20"/>
      <w:szCs w:val="20"/>
    </w:rPr>
  </w:style>
  <w:style w:type="paragraph" w:customStyle="1" w:styleId="297">
    <w:name w:val="UserStyle_2"/>
    <w:basedOn w:val="1"/>
    <w:link w:val="296"/>
    <w:qFormat/>
    <w:uiPriority w:val="0"/>
    <w:pPr>
      <w:widowControl/>
      <w:spacing w:after="160" w:line="240" w:lineRule="exact"/>
      <w:jc w:val="left"/>
      <w:textAlignment w:val="baseline"/>
    </w:pPr>
    <w:rPr>
      <w:kern w:val="0"/>
      <w:sz w:val="20"/>
    </w:rPr>
  </w:style>
  <w:style w:type="paragraph" w:customStyle="1" w:styleId="298">
    <w:name w:val="样式 首行缩进:  2 字符"/>
    <w:basedOn w:val="1"/>
    <w:qFormat/>
    <w:uiPriority w:val="0"/>
    <w:pPr>
      <w:spacing w:line="400" w:lineRule="exact"/>
      <w:ind w:firstLine="200" w:firstLineChars="200"/>
    </w:pPr>
    <w:rPr>
      <w:rFonts w:cs="宋体"/>
      <w:sz w:val="24"/>
      <w:szCs w:val="24"/>
    </w:rPr>
  </w:style>
  <w:style w:type="paragraph" w:customStyle="1" w:styleId="299">
    <w:name w:val="BodyText"/>
    <w:basedOn w:val="1"/>
    <w:next w:val="300"/>
    <w:qFormat/>
    <w:uiPriority w:val="0"/>
    <w:pPr>
      <w:textAlignment w:val="baseline"/>
    </w:pPr>
    <w:rPr>
      <w:rFonts w:ascii="仿宋_GB2312" w:eastAsia="仿宋_GB2312"/>
      <w:sz w:val="32"/>
    </w:rPr>
  </w:style>
  <w:style w:type="paragraph" w:customStyle="1" w:styleId="300">
    <w:name w:val="BodyTextIndent"/>
    <w:basedOn w:val="1"/>
    <w:qFormat/>
    <w:uiPriority w:val="0"/>
    <w:pPr>
      <w:spacing w:line="700" w:lineRule="exact"/>
      <w:ind w:left="960"/>
      <w:textAlignment w:val="baseline"/>
    </w:pPr>
    <w:rPr>
      <w:sz w:val="44"/>
    </w:rPr>
  </w:style>
  <w:style w:type="paragraph" w:customStyle="1" w:styleId="301">
    <w:name w:val="Heading3"/>
    <w:basedOn w:val="1"/>
    <w:next w:val="1"/>
    <w:qFormat/>
    <w:uiPriority w:val="0"/>
    <w:pPr>
      <w:keepNext/>
      <w:keepLines/>
      <w:spacing w:before="260" w:after="260" w:line="413" w:lineRule="auto"/>
      <w:textAlignment w:val="baseline"/>
    </w:pPr>
    <w:rPr>
      <w:b/>
      <w:sz w:val="32"/>
    </w:rPr>
  </w:style>
  <w:style w:type="paragraph" w:customStyle="1" w:styleId="302">
    <w:name w:val="无间隔2"/>
    <w:qFormat/>
    <w:uiPriority w:val="1"/>
    <w:pPr>
      <w:widowControl w:val="0"/>
      <w:jc w:val="center"/>
    </w:pPr>
    <w:rPr>
      <w:rFonts w:ascii="Times New Roman" w:hAnsi="Times New Roman" w:eastAsia="宋体" w:cstheme="minorBidi"/>
      <w:kern w:val="2"/>
      <w:sz w:val="18"/>
      <w:szCs w:val="22"/>
      <w:lang w:val="en-US" w:eastAsia="zh-CN" w:bidi="ar-SA"/>
    </w:rPr>
  </w:style>
  <w:style w:type="paragraph" w:styleId="303">
    <w:name w:val="No Spacing"/>
    <w:qFormat/>
    <w:uiPriority w:val="1"/>
    <w:pPr>
      <w:widowControl w:val="0"/>
      <w:jc w:val="center"/>
    </w:pPr>
    <w:rPr>
      <w:rFonts w:ascii="Times New Roman" w:hAnsi="Times New Roman" w:eastAsia="方正仿宋_GBK" w:cstheme="minorBidi"/>
      <w:kern w:val="2"/>
      <w:sz w:val="21"/>
      <w:szCs w:val="22"/>
      <w:lang w:val="en-US" w:eastAsia="zh-CN" w:bidi="ar-SA"/>
    </w:rPr>
  </w:style>
  <w:style w:type="paragraph" w:customStyle="1" w:styleId="304">
    <w:name w:val="小表1"/>
    <w:basedOn w:val="1"/>
    <w:qFormat/>
    <w:uiPriority w:val="0"/>
    <w:pPr>
      <w:adjustRightInd w:val="0"/>
      <w:snapToGrid w:val="0"/>
      <w:spacing w:line="240" w:lineRule="atLeast"/>
      <w:jc w:val="center"/>
    </w:pPr>
    <w:rPr>
      <w:rFonts w:ascii="Calibri" w:hAnsi="Calibri"/>
      <w:color w:val="000000"/>
      <w:spacing w:val="-10"/>
      <w:sz w:val="22"/>
    </w:rPr>
  </w:style>
  <w:style w:type="table" w:customStyle="1" w:styleId="305">
    <w:name w:val="Table Normal"/>
    <w:basedOn w:val="5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306">
    <w:name w:val="标书正文1"/>
    <w:basedOn w:val="1"/>
    <w:qFormat/>
    <w:uiPriority w:val="0"/>
    <w:pPr>
      <w:spacing w:line="520" w:lineRule="exact"/>
      <w:ind w:firstLine="64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pn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60</Pages>
  <Words>19403</Words>
  <Characters>20342</Characters>
  <Lines>174</Lines>
  <Paragraphs>49</Paragraphs>
  <TotalTime>14</TotalTime>
  <ScaleCrop>false</ScaleCrop>
  <LinksUpToDate>false</LinksUpToDate>
  <CharactersWithSpaces>20576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2023-06-09T06:52:00Z</dcterms:created>
  <dc:creator>acer</dc:creator>
  <cp:lastModifiedBy>月亮</cp:lastModifiedBy>
  <cp:lastPrinted>2025-05-15T03:32:00Z</cp:lastPrinted>
  <dcterms:modified xsi:type="dcterms:W3CDTF">2025-06-06T08:31:50Z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39E29C20A2094B62A4FA132F52770EAB_13</vt:lpwstr>
  </property>
  <property fmtid="{D5CDD505-2E9C-101B-9397-08002B2CF9AE}" pid="4" name="commondata">
    <vt:lpwstr>eyJoZGlkIjoiODY3MmU3ODQ2NDAzZWVmMjMxZjg4OWU5NDc2YWM4ZmEifQ==</vt:lpwstr>
  </property>
  <property fmtid="{D5CDD505-2E9C-101B-9397-08002B2CF9AE}" pid="5" name="KSOTemplateDocerSaveRecord">
    <vt:lpwstr>eyJoZGlkIjoiNzNmZWVmODQ3MjNlZjJlNjNlZWFmNTJmMWZlNjVmZTAiLCJ1c2VySWQiOiIyMzcyOTcwMjgifQ==</vt:lpwstr>
  </property>
</Properties>
</file>