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宋体" w:hAnsi="宋体" w:eastAsia="宋体" w:cs="宋体"/>
          <w:b/>
          <w:snapToGrid w:val="0"/>
          <w:color w:val="auto"/>
          <w:w w:val="99"/>
          <w:sz w:val="32"/>
          <w:szCs w:val="32"/>
          <w:highlight w:val="none"/>
          <w:lang w:val="en-US" w:eastAsia="zh-CN"/>
        </w:rPr>
      </w:pPr>
      <w:r>
        <w:rPr>
          <w:rFonts w:hint="eastAsia" w:ascii="宋体" w:hAnsi="宋体" w:eastAsia="宋体" w:cs="宋体"/>
          <w:b/>
          <w:snapToGrid w:val="0"/>
          <w:color w:val="auto"/>
          <w:w w:val="99"/>
          <w:sz w:val="32"/>
          <w:szCs w:val="32"/>
          <w:highlight w:val="none"/>
        </w:rPr>
        <w:t>项目名称：</w:t>
      </w:r>
      <w:r>
        <w:rPr>
          <w:rFonts w:hint="eastAsia" w:ascii="宋体" w:hAnsi="宋体" w:eastAsia="宋体" w:cs="宋体"/>
          <w:b/>
          <w:snapToGrid w:val="0"/>
          <w:color w:val="auto"/>
          <w:w w:val="99"/>
          <w:sz w:val="32"/>
          <w:szCs w:val="32"/>
          <w:highlight w:val="none"/>
          <w:lang w:val="en-US" w:eastAsia="zh-CN"/>
        </w:rPr>
        <w:t>西泽苑小区消防报警设备、设施更新维修服务项目</w:t>
      </w:r>
    </w:p>
    <w:p>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宋体" w:hAnsi="宋体" w:eastAsia="宋体" w:cs="宋体"/>
          <w:b/>
          <w:snapToGrid w:val="0"/>
          <w:color w:val="auto"/>
          <w:w w:val="99"/>
          <w:sz w:val="32"/>
          <w:szCs w:val="32"/>
          <w:highlight w:val="none"/>
          <w:lang w:eastAsia="zh-CN"/>
        </w:rPr>
      </w:pPr>
      <w:r>
        <w:rPr>
          <w:rFonts w:hint="eastAsia" w:ascii="宋体" w:hAnsi="宋体" w:eastAsia="宋体" w:cs="宋体"/>
          <w:b/>
          <w:snapToGrid w:val="0"/>
          <w:color w:val="auto"/>
          <w:w w:val="99"/>
          <w:sz w:val="32"/>
          <w:szCs w:val="32"/>
          <w:highlight w:val="none"/>
        </w:rPr>
        <w:t>项目编号：</w:t>
      </w:r>
      <w:r>
        <w:rPr>
          <w:rFonts w:hint="eastAsia" w:ascii="宋体" w:hAnsi="宋体" w:eastAsia="宋体" w:cs="宋体"/>
          <w:b/>
          <w:snapToGrid w:val="0"/>
          <w:color w:val="auto"/>
          <w:w w:val="99"/>
          <w:sz w:val="32"/>
          <w:szCs w:val="32"/>
          <w:highlight w:val="none"/>
          <w:lang w:val="en-US" w:eastAsia="zh-CN"/>
        </w:rPr>
        <w:t>ACZB-ZXCG-2024184B</w:t>
      </w:r>
    </w:p>
    <w:p>
      <w:pPr>
        <w:pStyle w:val="5"/>
        <w:rPr>
          <w:rFonts w:hint="eastAsia" w:ascii="宋体" w:hAnsi="宋体" w:eastAsia="宋体" w:cs="宋体"/>
          <w:color w:val="auto"/>
        </w:rPr>
      </w:pPr>
    </w:p>
    <w:p>
      <w:pPr>
        <w:autoSpaceDE w:val="0"/>
        <w:autoSpaceDN w:val="0"/>
        <w:adjustRightInd w:val="0"/>
        <w:snapToGrid w:val="0"/>
        <w:spacing w:line="360" w:lineRule="auto"/>
        <w:jc w:val="left"/>
        <w:rPr>
          <w:rFonts w:hint="eastAsia" w:ascii="宋体" w:hAnsi="宋体" w:eastAsia="宋体" w:cs="宋体"/>
          <w:color w:val="auto"/>
          <w:kern w:val="0"/>
          <w:sz w:val="20"/>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2"/>
        <w:rPr>
          <w:rFonts w:hint="eastAsia" w:ascii="宋体" w:hAnsi="宋体" w:eastAsia="宋体" w:cs="宋体"/>
          <w:color w:val="auto"/>
        </w:rPr>
      </w:pPr>
    </w:p>
    <w:p>
      <w:pPr>
        <w:jc w:val="center"/>
        <w:rPr>
          <w:rFonts w:hint="eastAsia" w:ascii="宋体" w:hAnsi="宋体" w:eastAsia="宋体" w:cs="宋体"/>
          <w:b/>
          <w:color w:val="auto"/>
          <w:sz w:val="84"/>
          <w:szCs w:val="84"/>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竞争性比选文件</w:t>
      </w:r>
    </w:p>
    <w:p>
      <w:pPr>
        <w:rPr>
          <w:rFonts w:hint="eastAsia" w:ascii="宋体" w:hAnsi="宋体" w:eastAsia="宋体" w:cs="宋体"/>
          <w:b/>
          <w:bCs/>
          <w:color w:val="auto"/>
          <w:sz w:val="28"/>
        </w:rPr>
      </w:pPr>
    </w:p>
    <w:p>
      <w:pPr>
        <w:rPr>
          <w:rFonts w:hint="eastAsia" w:ascii="宋体" w:hAnsi="宋体" w:eastAsia="宋体" w:cs="宋体"/>
          <w:b/>
          <w:bCs/>
          <w:color w:val="auto"/>
          <w:sz w:val="28"/>
        </w:rPr>
      </w:pPr>
    </w:p>
    <w:p>
      <w:pPr>
        <w:rPr>
          <w:rFonts w:hint="eastAsia" w:ascii="宋体" w:hAnsi="宋体" w:eastAsia="宋体" w:cs="宋体"/>
          <w:color w:val="auto"/>
          <w:sz w:val="32"/>
        </w:rPr>
      </w:pPr>
    </w:p>
    <w:p>
      <w:pPr>
        <w:jc w:val="center"/>
        <w:rPr>
          <w:rFonts w:hint="eastAsia" w:ascii="宋体" w:hAnsi="宋体" w:eastAsia="宋体" w:cs="宋体"/>
          <w:b/>
          <w:bCs/>
          <w:color w:val="auto"/>
          <w:sz w:val="28"/>
        </w:rPr>
      </w:pPr>
    </w:p>
    <w:p>
      <w:pPr>
        <w:rPr>
          <w:rFonts w:hint="eastAsia" w:ascii="宋体" w:hAnsi="宋体" w:eastAsia="宋体" w:cs="宋体"/>
          <w:b/>
          <w:bCs/>
          <w:color w:val="auto"/>
          <w:sz w:val="28"/>
        </w:rPr>
      </w:pPr>
    </w:p>
    <w:p>
      <w:pPr>
        <w:jc w:val="center"/>
        <w:rPr>
          <w:rFonts w:hint="eastAsia" w:ascii="宋体" w:hAnsi="宋体" w:eastAsia="宋体" w:cs="宋体"/>
          <w:color w:val="auto"/>
          <w:sz w:val="32"/>
        </w:rPr>
      </w:pPr>
    </w:p>
    <w:p>
      <w:pPr>
        <w:rPr>
          <w:rFonts w:hint="eastAsia" w:ascii="宋体" w:hAnsi="宋体" w:eastAsia="宋体" w:cs="宋体"/>
          <w:color w:val="auto"/>
          <w:sz w:val="32"/>
        </w:rPr>
      </w:pPr>
    </w:p>
    <w:p>
      <w:pPr>
        <w:pStyle w:val="45"/>
        <w:jc w:val="both"/>
        <w:rPr>
          <w:rFonts w:hint="eastAsia" w:ascii="宋体" w:hAnsi="宋体" w:eastAsia="宋体" w:cs="宋体"/>
          <w:color w:val="auto"/>
          <w:sz w:val="32"/>
          <w:lang w:eastAsia="zh-CN"/>
        </w:rPr>
      </w:pPr>
    </w:p>
    <w:p>
      <w:pPr>
        <w:pStyle w:val="45"/>
        <w:jc w:val="both"/>
        <w:rPr>
          <w:rFonts w:hint="eastAsia" w:ascii="宋体" w:hAnsi="宋体" w:eastAsia="宋体" w:cs="宋体"/>
          <w:color w:val="auto"/>
          <w:sz w:val="32"/>
          <w:lang w:eastAsia="zh-CN"/>
        </w:rPr>
      </w:pPr>
    </w:p>
    <w:p>
      <w:pPr>
        <w:pStyle w:val="45"/>
        <w:jc w:val="both"/>
        <w:rPr>
          <w:rFonts w:hint="eastAsia" w:ascii="宋体" w:hAnsi="宋体" w:eastAsia="宋体" w:cs="宋体"/>
          <w:color w:val="auto"/>
          <w:sz w:val="32"/>
          <w:lang w:eastAsia="zh-CN"/>
        </w:rPr>
      </w:pPr>
    </w:p>
    <w:p>
      <w:pPr>
        <w:rPr>
          <w:rFonts w:hint="eastAsia" w:ascii="宋体" w:hAnsi="宋体" w:eastAsia="宋体" w:cs="宋体"/>
          <w:color w:val="auto"/>
          <w:lang w:eastAsia="zh-CN"/>
        </w:rPr>
      </w:pPr>
    </w:p>
    <w:p>
      <w:pPr>
        <w:widowControl/>
        <w:ind w:firstLine="562" w:firstLineChars="200"/>
        <w:jc w:val="left"/>
        <w:rPr>
          <w:rFonts w:hint="eastAsia" w:ascii="宋体" w:hAnsi="宋体" w:eastAsia="宋体" w:cs="宋体"/>
          <w:b/>
          <w:color w:val="auto"/>
          <w:sz w:val="28"/>
          <w:szCs w:val="22"/>
        </w:rPr>
      </w:pPr>
    </w:p>
    <w:p>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rPr>
        <w:t>比</w:t>
      </w:r>
      <w:r>
        <w:rPr>
          <w:rFonts w:hint="eastAsia" w:ascii="宋体" w:hAnsi="宋体" w:eastAsia="宋体" w:cs="宋体"/>
          <w:b/>
          <w:color w:val="auto"/>
          <w:spacing w:val="8"/>
          <w:sz w:val="32"/>
          <w:szCs w:val="32"/>
          <w:lang w:val="en-US" w:eastAsia="zh-CN"/>
        </w:rPr>
        <w:t xml:space="preserve">  </w:t>
      </w:r>
      <w:r>
        <w:rPr>
          <w:rFonts w:hint="eastAsia" w:ascii="宋体" w:hAnsi="宋体" w:eastAsia="宋体" w:cs="宋体"/>
          <w:b/>
          <w:color w:val="auto"/>
          <w:spacing w:val="8"/>
          <w:sz w:val="32"/>
          <w:szCs w:val="32"/>
        </w:rPr>
        <w:t>选</w:t>
      </w:r>
      <w:r>
        <w:rPr>
          <w:rFonts w:hint="eastAsia" w:ascii="宋体" w:hAnsi="宋体" w:eastAsia="宋体" w:cs="宋体"/>
          <w:b/>
          <w:color w:val="auto"/>
          <w:spacing w:val="8"/>
          <w:sz w:val="32"/>
          <w:szCs w:val="32"/>
          <w:lang w:val="en-US" w:eastAsia="zh-CN"/>
        </w:rPr>
        <w:t xml:space="preserve">  </w:t>
      </w:r>
      <w:r>
        <w:rPr>
          <w:rFonts w:hint="eastAsia" w:ascii="宋体" w:hAnsi="宋体" w:eastAsia="宋体" w:cs="宋体"/>
          <w:b/>
          <w:color w:val="auto"/>
          <w:spacing w:val="8"/>
          <w:sz w:val="32"/>
          <w:szCs w:val="32"/>
        </w:rPr>
        <w:t>人：</w:t>
      </w:r>
      <w:r>
        <w:rPr>
          <w:rFonts w:hint="eastAsia" w:ascii="宋体" w:hAnsi="宋体" w:eastAsia="宋体" w:cs="宋体"/>
          <w:b/>
          <w:color w:val="auto"/>
          <w:spacing w:val="8"/>
          <w:sz w:val="32"/>
          <w:szCs w:val="32"/>
          <w:u w:val="single"/>
          <w:lang w:eastAsia="zh-CN"/>
        </w:rPr>
        <w:t>重庆荣合物业服务有限公司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eastAsia="宋体" w:cs="宋体"/>
          <w:b/>
          <w:color w:val="auto"/>
          <w:w w:val="99"/>
          <w:kern w:val="0"/>
          <w:sz w:val="32"/>
          <w:szCs w:val="32"/>
        </w:rPr>
      </w:pPr>
      <w:r>
        <w:rPr>
          <w:rFonts w:hint="eastAsia" w:ascii="宋体" w:hAnsi="宋体" w:eastAsia="宋体" w:cs="宋体"/>
          <w:b/>
          <w:color w:val="auto"/>
          <w:spacing w:val="8"/>
          <w:sz w:val="32"/>
          <w:szCs w:val="32"/>
        </w:rPr>
        <w:t>比选代理机构：</w:t>
      </w:r>
      <w:r>
        <w:rPr>
          <w:rFonts w:hint="eastAsia" w:ascii="宋体" w:hAnsi="宋体" w:eastAsia="宋体" w:cs="宋体"/>
          <w:b/>
          <w:color w:val="auto"/>
          <w:spacing w:val="8"/>
          <w:sz w:val="32"/>
          <w:szCs w:val="32"/>
          <w:u w:val="single"/>
          <w:lang w:eastAsia="zh-CN"/>
        </w:rPr>
        <w:t>重庆爱采招标代理有限公司</w:t>
      </w: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autoSpaceDE w:val="0"/>
        <w:autoSpaceDN w:val="0"/>
        <w:spacing w:line="800" w:lineRule="exact"/>
        <w:jc w:val="center"/>
        <w:rPr>
          <w:rFonts w:hint="eastAsia" w:ascii="宋体" w:hAnsi="宋体" w:eastAsia="宋体" w:cs="宋体"/>
          <w:b/>
          <w:color w:val="auto"/>
          <w:spacing w:val="8"/>
          <w:sz w:val="32"/>
          <w:szCs w:val="32"/>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567" w:gutter="0"/>
          <w:pgNumType w:start="0"/>
          <w:cols w:space="720" w:num="1"/>
          <w:docGrid w:linePitch="312" w:charSpace="0"/>
        </w:sectPr>
      </w:pPr>
      <w:r>
        <w:rPr>
          <w:rFonts w:hint="eastAsia" w:ascii="宋体" w:hAnsi="宋体" w:eastAsia="宋体" w:cs="宋体"/>
          <w:b/>
          <w:color w:val="auto"/>
          <w:spacing w:val="8"/>
          <w:sz w:val="32"/>
          <w:szCs w:val="32"/>
        </w:rPr>
        <w:t>二〇二</w:t>
      </w:r>
      <w:r>
        <w:rPr>
          <w:rFonts w:hint="eastAsia" w:ascii="宋体" w:hAnsi="宋体" w:eastAsia="宋体" w:cs="宋体"/>
          <w:b/>
          <w:color w:val="auto"/>
          <w:spacing w:val="8"/>
          <w:sz w:val="32"/>
          <w:szCs w:val="32"/>
          <w:lang w:val="en-US" w:eastAsia="zh-CN"/>
        </w:rPr>
        <w:t>四年五月</w:t>
      </w:r>
    </w:p>
    <w:p>
      <w:pPr>
        <w:spacing w:line="800" w:lineRule="exact"/>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 录</w:t>
      </w:r>
    </w:p>
    <w:p>
      <w:pPr>
        <w:pStyle w:val="34"/>
        <w:tabs>
          <w:tab w:val="right" w:leader="dot" w:pos="9638"/>
        </w:tabs>
        <w:rPr>
          <w:color w:val="auto"/>
        </w:rPr>
      </w:pPr>
      <w:r>
        <w:rPr>
          <w:rFonts w:hint="eastAsia" w:ascii="宋体" w:hAnsi="宋体" w:eastAsia="宋体" w:cs="宋体"/>
          <w:caps w:val="0"/>
          <w:smallCaps/>
          <w:color w:val="auto"/>
          <w:kern w:val="0"/>
          <w:sz w:val="24"/>
          <w:szCs w:val="24"/>
        </w:rPr>
        <w:fldChar w:fldCharType="begin"/>
      </w:r>
      <w:r>
        <w:rPr>
          <w:rFonts w:hint="eastAsia" w:ascii="宋体" w:hAnsi="宋体" w:eastAsia="宋体" w:cs="宋体"/>
          <w:caps w:val="0"/>
          <w:smallCaps/>
          <w:color w:val="auto"/>
          <w:kern w:val="0"/>
          <w:sz w:val="24"/>
          <w:szCs w:val="24"/>
        </w:rPr>
        <w:instrText xml:space="preserve"> TOC \o "1-1" \h \z \u </w:instrText>
      </w:r>
      <w:r>
        <w:rPr>
          <w:rFonts w:hint="eastAsia" w:ascii="宋体" w:hAnsi="宋体" w:eastAsia="宋体" w:cs="宋体"/>
          <w:caps w:val="0"/>
          <w:smallCaps/>
          <w:color w:val="auto"/>
          <w:kern w:val="0"/>
          <w:sz w:val="24"/>
          <w:szCs w:val="24"/>
        </w:rPr>
        <w:fldChar w:fldCharType="separate"/>
      </w:r>
      <w:r>
        <w:rPr>
          <w:rFonts w:hint="eastAsia" w:ascii="宋体" w:hAnsi="宋体" w:eastAsia="宋体" w:cs="宋体"/>
          <w:caps w:val="0"/>
          <w:smallCaps/>
          <w:color w:val="auto"/>
          <w:kern w:val="0"/>
          <w:szCs w:val="24"/>
        </w:rPr>
        <w:fldChar w:fldCharType="begin"/>
      </w:r>
      <w:r>
        <w:rPr>
          <w:rFonts w:hint="eastAsia" w:ascii="宋体" w:hAnsi="宋体" w:eastAsia="宋体" w:cs="宋体"/>
          <w:caps w:val="0"/>
          <w:smallCaps/>
          <w:color w:val="auto"/>
          <w:kern w:val="0"/>
          <w:szCs w:val="24"/>
        </w:rPr>
        <w:instrText xml:space="preserve"> HYPERLINK \l _Toc21609 </w:instrText>
      </w:r>
      <w:r>
        <w:rPr>
          <w:rFonts w:hint="eastAsia" w:ascii="宋体" w:hAnsi="宋体" w:eastAsia="宋体" w:cs="宋体"/>
          <w:caps w:val="0"/>
          <w:smallCaps/>
          <w:color w:val="auto"/>
          <w:kern w:val="0"/>
          <w:szCs w:val="24"/>
        </w:rPr>
        <w:fldChar w:fldCharType="separate"/>
      </w:r>
      <w:r>
        <w:rPr>
          <w:rFonts w:hint="eastAsia" w:ascii="宋体" w:hAnsi="宋体" w:eastAsia="宋体" w:cs="宋体"/>
          <w:color w:val="auto"/>
          <w:kern w:val="0"/>
          <w:szCs w:val="36"/>
        </w:rPr>
        <w:t>第一章 比选公告</w:t>
      </w:r>
      <w:r>
        <w:rPr>
          <w:color w:val="auto"/>
        </w:rPr>
        <w:tab/>
      </w:r>
      <w:r>
        <w:rPr>
          <w:color w:val="auto"/>
        </w:rPr>
        <w:fldChar w:fldCharType="begin"/>
      </w:r>
      <w:r>
        <w:rPr>
          <w:color w:val="auto"/>
        </w:rPr>
        <w:instrText xml:space="preserve"> PAGEREF _Toc21609 \h </w:instrText>
      </w:r>
      <w:r>
        <w:rPr>
          <w:color w:val="auto"/>
        </w:rPr>
        <w:fldChar w:fldCharType="separate"/>
      </w:r>
      <w:r>
        <w:rPr>
          <w:color w:val="auto"/>
        </w:rPr>
        <w:t>2</w:t>
      </w:r>
      <w:r>
        <w:rPr>
          <w:color w:val="auto"/>
        </w:rPr>
        <w:fldChar w:fldCharType="end"/>
      </w:r>
      <w:r>
        <w:rPr>
          <w:rFonts w:hint="eastAsia" w:ascii="宋体" w:hAnsi="宋体" w:eastAsia="宋体" w:cs="宋体"/>
          <w:caps w:val="0"/>
          <w:smallCaps/>
          <w:color w:val="auto"/>
          <w:kern w:val="0"/>
          <w:szCs w:val="24"/>
        </w:rPr>
        <w:fldChar w:fldCharType="end"/>
      </w:r>
    </w:p>
    <w:p>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_Toc23473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第二章 竞选人须知</w:t>
      </w:r>
      <w:r>
        <w:rPr>
          <w:color w:val="auto"/>
        </w:rPr>
        <w:tab/>
      </w:r>
      <w:r>
        <w:rPr>
          <w:color w:val="auto"/>
        </w:rPr>
        <w:fldChar w:fldCharType="begin"/>
      </w:r>
      <w:r>
        <w:rPr>
          <w:color w:val="auto"/>
        </w:rPr>
        <w:instrText xml:space="preserve"> PAGEREF _Toc23473 \h </w:instrText>
      </w:r>
      <w:r>
        <w:rPr>
          <w:color w:val="auto"/>
        </w:rPr>
        <w:fldChar w:fldCharType="separate"/>
      </w:r>
      <w:r>
        <w:rPr>
          <w:color w:val="auto"/>
        </w:rPr>
        <w:t>4</w:t>
      </w:r>
      <w:r>
        <w:rPr>
          <w:color w:val="auto"/>
        </w:rPr>
        <w:fldChar w:fldCharType="end"/>
      </w:r>
      <w:r>
        <w:rPr>
          <w:rFonts w:hint="eastAsia" w:ascii="宋体" w:hAnsi="宋体" w:eastAsia="宋体" w:cs="宋体"/>
          <w:caps/>
          <w:smallCaps w:val="0"/>
          <w:color w:val="auto"/>
          <w:kern w:val="0"/>
          <w:szCs w:val="24"/>
        </w:rPr>
        <w:fldChar w:fldCharType="end"/>
      </w:r>
    </w:p>
    <w:p>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_Toc10509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第三章 评审办法（综合评审法）</w:t>
      </w:r>
      <w:r>
        <w:rPr>
          <w:color w:val="auto"/>
        </w:rPr>
        <w:tab/>
      </w:r>
      <w:r>
        <w:rPr>
          <w:color w:val="auto"/>
        </w:rPr>
        <w:fldChar w:fldCharType="begin"/>
      </w:r>
      <w:r>
        <w:rPr>
          <w:color w:val="auto"/>
        </w:rPr>
        <w:instrText xml:space="preserve"> PAGEREF _Toc10509 \h </w:instrText>
      </w:r>
      <w:r>
        <w:rPr>
          <w:color w:val="auto"/>
        </w:rPr>
        <w:fldChar w:fldCharType="separate"/>
      </w:r>
      <w:r>
        <w:rPr>
          <w:color w:val="auto"/>
        </w:rPr>
        <w:t>17</w:t>
      </w:r>
      <w:r>
        <w:rPr>
          <w:color w:val="auto"/>
        </w:rPr>
        <w:fldChar w:fldCharType="end"/>
      </w:r>
      <w:r>
        <w:rPr>
          <w:rFonts w:hint="eastAsia" w:ascii="宋体" w:hAnsi="宋体" w:eastAsia="宋体" w:cs="宋体"/>
          <w:caps/>
          <w:smallCaps w:val="0"/>
          <w:color w:val="auto"/>
          <w:kern w:val="0"/>
          <w:szCs w:val="24"/>
        </w:rPr>
        <w:fldChar w:fldCharType="end"/>
      </w:r>
    </w:p>
    <w:p>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_Toc25103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第四章 合同条款</w:t>
      </w:r>
      <w:r>
        <w:rPr>
          <w:color w:val="auto"/>
        </w:rPr>
        <w:tab/>
      </w:r>
      <w:r>
        <w:rPr>
          <w:color w:val="auto"/>
        </w:rPr>
        <w:fldChar w:fldCharType="begin"/>
      </w:r>
      <w:r>
        <w:rPr>
          <w:color w:val="auto"/>
        </w:rPr>
        <w:instrText xml:space="preserve"> PAGEREF _Toc25103 \h </w:instrText>
      </w:r>
      <w:r>
        <w:rPr>
          <w:color w:val="auto"/>
        </w:rPr>
        <w:fldChar w:fldCharType="separate"/>
      </w:r>
      <w:r>
        <w:rPr>
          <w:color w:val="auto"/>
        </w:rPr>
        <w:t>24</w:t>
      </w:r>
      <w:r>
        <w:rPr>
          <w:color w:val="auto"/>
        </w:rPr>
        <w:fldChar w:fldCharType="end"/>
      </w:r>
      <w:r>
        <w:rPr>
          <w:rFonts w:hint="eastAsia" w:ascii="宋体" w:hAnsi="宋体" w:eastAsia="宋体" w:cs="宋体"/>
          <w:caps/>
          <w:smallCaps w:val="0"/>
          <w:color w:val="auto"/>
          <w:kern w:val="0"/>
          <w:szCs w:val="24"/>
        </w:rPr>
        <w:fldChar w:fldCharType="end"/>
      </w:r>
    </w:p>
    <w:p>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_Toc13236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第五章 工程量清单</w:t>
      </w:r>
      <w:r>
        <w:rPr>
          <w:color w:val="auto"/>
        </w:rPr>
        <w:tab/>
      </w:r>
      <w:r>
        <w:rPr>
          <w:color w:val="auto"/>
        </w:rPr>
        <w:fldChar w:fldCharType="begin"/>
      </w:r>
      <w:r>
        <w:rPr>
          <w:color w:val="auto"/>
        </w:rPr>
        <w:instrText xml:space="preserve"> PAGEREF _Toc13236 \h </w:instrText>
      </w:r>
      <w:r>
        <w:rPr>
          <w:color w:val="auto"/>
        </w:rPr>
        <w:fldChar w:fldCharType="separate"/>
      </w:r>
      <w:r>
        <w:rPr>
          <w:color w:val="auto"/>
        </w:rPr>
        <w:t>32</w:t>
      </w:r>
      <w:r>
        <w:rPr>
          <w:color w:val="auto"/>
        </w:rPr>
        <w:fldChar w:fldCharType="end"/>
      </w:r>
      <w:r>
        <w:rPr>
          <w:rFonts w:hint="eastAsia" w:ascii="宋体" w:hAnsi="宋体" w:eastAsia="宋体" w:cs="宋体"/>
          <w:caps/>
          <w:smallCaps w:val="0"/>
          <w:color w:val="auto"/>
          <w:kern w:val="0"/>
          <w:szCs w:val="24"/>
        </w:rPr>
        <w:fldChar w:fldCharType="end"/>
      </w:r>
    </w:p>
    <w:p>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_Toc26870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lang w:val="en-US" w:eastAsia="zh-CN"/>
        </w:rPr>
        <w:t>第六章  图   纸</w:t>
      </w:r>
      <w:bookmarkStart w:id="700" w:name="_GoBack"/>
      <w:bookmarkEnd w:id="700"/>
      <w:r>
        <w:rPr>
          <w:color w:val="auto"/>
        </w:rPr>
        <w:tab/>
      </w:r>
      <w:r>
        <w:rPr>
          <w:color w:val="auto"/>
        </w:rPr>
        <w:fldChar w:fldCharType="begin"/>
      </w:r>
      <w:r>
        <w:rPr>
          <w:color w:val="auto"/>
        </w:rPr>
        <w:instrText xml:space="preserve"> PAGEREF _Toc26870 \h </w:instrText>
      </w:r>
      <w:r>
        <w:rPr>
          <w:color w:val="auto"/>
        </w:rPr>
        <w:fldChar w:fldCharType="separate"/>
      </w:r>
      <w:r>
        <w:rPr>
          <w:color w:val="auto"/>
        </w:rPr>
        <w:t>32</w:t>
      </w:r>
      <w:r>
        <w:rPr>
          <w:color w:val="auto"/>
        </w:rPr>
        <w:fldChar w:fldCharType="end"/>
      </w:r>
      <w:r>
        <w:rPr>
          <w:rFonts w:hint="eastAsia" w:ascii="宋体" w:hAnsi="宋体" w:eastAsia="宋体" w:cs="宋体"/>
          <w:caps/>
          <w:smallCaps w:val="0"/>
          <w:color w:val="auto"/>
          <w:kern w:val="0"/>
          <w:szCs w:val="24"/>
        </w:rPr>
        <w:fldChar w:fldCharType="end"/>
      </w:r>
    </w:p>
    <w:p>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_Toc10766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lang w:val="en-US" w:eastAsia="zh-CN"/>
        </w:rPr>
        <w:t>第七章  技术标准和要求</w:t>
      </w:r>
      <w:r>
        <w:rPr>
          <w:color w:val="auto"/>
        </w:rPr>
        <w:tab/>
      </w:r>
      <w:r>
        <w:rPr>
          <w:color w:val="auto"/>
        </w:rPr>
        <w:fldChar w:fldCharType="begin"/>
      </w:r>
      <w:r>
        <w:rPr>
          <w:color w:val="auto"/>
        </w:rPr>
        <w:instrText xml:space="preserve"> PAGEREF _Toc10766 \h </w:instrText>
      </w:r>
      <w:r>
        <w:rPr>
          <w:color w:val="auto"/>
        </w:rPr>
        <w:fldChar w:fldCharType="separate"/>
      </w:r>
      <w:r>
        <w:rPr>
          <w:color w:val="auto"/>
        </w:rPr>
        <w:t>32</w:t>
      </w:r>
      <w:r>
        <w:rPr>
          <w:color w:val="auto"/>
        </w:rPr>
        <w:fldChar w:fldCharType="end"/>
      </w:r>
      <w:r>
        <w:rPr>
          <w:rFonts w:hint="eastAsia" w:ascii="宋体" w:hAnsi="宋体" w:eastAsia="宋体" w:cs="宋体"/>
          <w:caps/>
          <w:smallCaps w:val="0"/>
          <w:color w:val="auto"/>
          <w:kern w:val="0"/>
          <w:szCs w:val="24"/>
        </w:rPr>
        <w:fldChar w:fldCharType="end"/>
      </w:r>
    </w:p>
    <w:p>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_Toc26078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w:t>
      </w:r>
      <w:r>
        <w:rPr>
          <w:rFonts w:hint="eastAsia" w:ascii="宋体" w:hAnsi="宋体" w:eastAsia="宋体" w:cs="宋体"/>
          <w:color w:val="auto"/>
          <w:kern w:val="0"/>
          <w:szCs w:val="36"/>
          <w:lang w:val="en-US" w:eastAsia="zh-CN"/>
        </w:rPr>
        <w:t>八</w:t>
      </w:r>
      <w:r>
        <w:rPr>
          <w:rFonts w:hint="eastAsia" w:ascii="宋体" w:hAnsi="宋体" w:eastAsia="宋体" w:cs="宋体"/>
          <w:color w:val="auto"/>
          <w:kern w:val="0"/>
          <w:szCs w:val="36"/>
        </w:rPr>
        <w:t>章  竞选文件格式</w:t>
      </w:r>
      <w:r>
        <w:rPr>
          <w:color w:val="auto"/>
        </w:rPr>
        <w:tab/>
      </w:r>
      <w:r>
        <w:rPr>
          <w:color w:val="auto"/>
        </w:rPr>
        <w:fldChar w:fldCharType="begin"/>
      </w:r>
      <w:r>
        <w:rPr>
          <w:color w:val="auto"/>
        </w:rPr>
        <w:instrText xml:space="preserve"> PAGEREF _Toc26078 \h </w:instrText>
      </w:r>
      <w:r>
        <w:rPr>
          <w:color w:val="auto"/>
        </w:rPr>
        <w:fldChar w:fldCharType="separate"/>
      </w:r>
      <w:r>
        <w:rPr>
          <w:color w:val="auto"/>
        </w:rPr>
        <w:t>33</w:t>
      </w:r>
      <w:r>
        <w:rPr>
          <w:color w:val="auto"/>
        </w:rPr>
        <w:fldChar w:fldCharType="end"/>
      </w:r>
      <w:r>
        <w:rPr>
          <w:rFonts w:hint="eastAsia" w:ascii="宋体" w:hAnsi="宋体" w:eastAsia="宋体" w:cs="宋体"/>
          <w:caps/>
          <w:smallCaps w:val="0"/>
          <w:color w:val="auto"/>
          <w:kern w:val="0"/>
          <w:szCs w:val="24"/>
        </w:rPr>
        <w:fldChar w:fldCharType="end"/>
      </w:r>
    </w:p>
    <w:p>
      <w:pPr>
        <w:pStyle w:val="34"/>
        <w:tabs>
          <w:tab w:val="right" w:leader="dot" w:pos="9638"/>
        </w:tabs>
        <w:rPr>
          <w:color w:val="auto"/>
        </w:rPr>
      </w:pPr>
    </w:p>
    <w:p>
      <w:pPr>
        <w:pStyle w:val="40"/>
        <w:tabs>
          <w:tab w:val="right" w:leader="dot" w:pos="9638"/>
          <w:tab w:val="clear" w:pos="8609"/>
        </w:tabs>
        <w:adjustRightInd w:val="0"/>
        <w:snapToGrid w:val="0"/>
        <w:spacing w:line="800" w:lineRule="exact"/>
        <w:ind w:left="0"/>
        <w:jc w:val="both"/>
        <w:rPr>
          <w:rFonts w:hint="eastAsia" w:ascii="宋体" w:hAnsi="宋体" w:eastAsia="宋体" w:cs="宋体"/>
          <w:bCs/>
          <w:color w:val="auto"/>
          <w:kern w:val="0"/>
          <w:sz w:val="24"/>
          <w:szCs w:val="24"/>
        </w:rPr>
      </w:pPr>
      <w:r>
        <w:rPr>
          <w:rFonts w:hint="eastAsia" w:ascii="宋体" w:hAnsi="宋体" w:eastAsia="宋体" w:cs="宋体"/>
          <w:caps/>
          <w:smallCaps w:val="0"/>
          <w:color w:val="auto"/>
          <w:kern w:val="0"/>
          <w:szCs w:val="24"/>
        </w:rPr>
        <w:fldChar w:fldCharType="end"/>
      </w:r>
    </w:p>
    <w:p>
      <w:pPr>
        <w:pStyle w:val="3"/>
        <w:numPr>
          <w:ilvl w:val="0"/>
          <w:numId w:val="0"/>
        </w:numPr>
        <w:spacing w:after="156" w:afterLines="50" w:line="500" w:lineRule="exact"/>
        <w:rPr>
          <w:rFonts w:hint="eastAsia" w:ascii="宋体" w:hAnsi="宋体" w:eastAsia="宋体" w:cs="宋体"/>
          <w:b/>
          <w:color w:val="auto"/>
          <w:kern w:val="0"/>
        </w:rPr>
      </w:pPr>
      <w:r>
        <w:rPr>
          <w:rFonts w:hint="eastAsia" w:ascii="宋体" w:hAnsi="宋体" w:eastAsia="宋体" w:cs="宋体"/>
          <w:b/>
          <w:color w:val="auto"/>
          <w:kern w:val="0"/>
          <w:sz w:val="36"/>
          <w:szCs w:val="36"/>
        </w:rPr>
        <w:br w:type="page"/>
      </w:r>
      <w:bookmarkStart w:id="0" w:name="_Toc21609"/>
      <w:r>
        <w:rPr>
          <w:rFonts w:hint="eastAsia" w:ascii="宋体" w:hAnsi="宋体" w:eastAsia="宋体" w:cs="宋体"/>
          <w:b/>
          <w:color w:val="auto"/>
          <w:kern w:val="0"/>
          <w:sz w:val="36"/>
          <w:szCs w:val="36"/>
        </w:rPr>
        <w:t>第一章 比选公告</w:t>
      </w:r>
      <w:bookmarkEnd w:id="0"/>
    </w:p>
    <w:p>
      <w:pPr>
        <w:keepNext w:val="0"/>
        <w:keepLines w:val="0"/>
        <w:pageBreakBefore w:val="0"/>
        <w:widowControl w:val="0"/>
        <w:tabs>
          <w:tab w:val="left" w:pos="1418"/>
        </w:tabs>
        <w:kinsoku/>
        <w:wordWrap/>
        <w:overflowPunct/>
        <w:topLinePunct w:val="0"/>
        <w:autoSpaceDE w:val="0"/>
        <w:autoSpaceDN w:val="0"/>
        <w:bidi w:val="0"/>
        <w:adjustRightInd w:val="0"/>
        <w:snapToGrid w:val="0"/>
        <w:spacing w:after="156" w:afterLines="50" w:line="500" w:lineRule="exact"/>
        <w:jc w:val="center"/>
        <w:textAlignment w:val="auto"/>
        <w:outlineLvl w:val="1"/>
        <w:rPr>
          <w:rFonts w:hint="eastAsia" w:ascii="宋体" w:hAnsi="宋体" w:eastAsia="宋体" w:cs="宋体"/>
          <w:color w:val="auto"/>
        </w:rPr>
      </w:pPr>
      <w:r>
        <w:rPr>
          <w:rFonts w:hint="eastAsia" w:ascii="宋体" w:hAnsi="宋体" w:eastAsia="宋体" w:cs="宋体"/>
          <w:b/>
          <w:snapToGrid w:val="0"/>
          <w:color w:val="auto"/>
          <w:w w:val="99"/>
          <w:kern w:val="0"/>
          <w:sz w:val="28"/>
          <w:szCs w:val="28"/>
          <w:lang w:eastAsia="zh-CN"/>
        </w:rPr>
        <w:t>西泽苑小区消防报警设备、设施更新维修服务项目</w:t>
      </w:r>
      <w:r>
        <w:rPr>
          <w:rFonts w:hint="eastAsia" w:ascii="宋体" w:hAnsi="宋体" w:eastAsia="宋体" w:cs="宋体"/>
          <w:b/>
          <w:snapToGrid w:val="0"/>
          <w:color w:val="auto"/>
          <w:w w:val="99"/>
          <w:kern w:val="0"/>
          <w:sz w:val="28"/>
          <w:szCs w:val="28"/>
        </w:rPr>
        <w:t>比选公告</w:t>
      </w:r>
    </w:p>
    <w:p>
      <w:pPr>
        <w:pStyle w:val="4"/>
        <w:keepNext/>
        <w:keepLines/>
        <w:autoSpaceDE/>
        <w:autoSpaceDN/>
        <w:spacing w:line="500" w:lineRule="exact"/>
        <w:jc w:val="both"/>
        <w:rPr>
          <w:rFonts w:hint="eastAsia" w:ascii="宋体" w:hAnsi="宋体" w:eastAsia="宋体" w:cs="宋体"/>
          <w:bCs/>
          <w:color w:val="auto"/>
          <w:spacing w:val="0"/>
          <w:w w:val="100"/>
          <w:kern w:val="0"/>
          <w:sz w:val="21"/>
          <w:szCs w:val="21"/>
        </w:rPr>
      </w:pPr>
      <w:bookmarkStart w:id="1" w:name="_Toc16223"/>
      <w:r>
        <w:rPr>
          <w:rFonts w:hint="eastAsia" w:ascii="宋体" w:hAnsi="宋体" w:eastAsia="宋体" w:cs="宋体"/>
          <w:bCs/>
          <w:color w:val="auto"/>
          <w:spacing w:val="0"/>
          <w:w w:val="100"/>
          <w:kern w:val="0"/>
          <w:sz w:val="21"/>
          <w:szCs w:val="21"/>
        </w:rPr>
        <w:t>1.比选条件</w:t>
      </w:r>
      <w:bookmarkEnd w:id="1"/>
    </w:p>
    <w:p>
      <w:pPr>
        <w:widowControl/>
        <w:adjustRightInd w:val="0"/>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本项</w:t>
      </w:r>
      <w:r>
        <w:rPr>
          <w:rFonts w:hint="eastAsia" w:ascii="宋体" w:hAnsi="宋体" w:eastAsia="宋体" w:cs="宋体"/>
          <w:color w:val="auto"/>
          <w:szCs w:val="21"/>
          <w:highlight w:val="none"/>
        </w:rPr>
        <w:t>目</w:t>
      </w:r>
      <w:r>
        <w:rPr>
          <w:rFonts w:hint="eastAsia" w:ascii="宋体" w:hAnsi="宋体" w:eastAsia="宋体" w:cs="宋体"/>
          <w:color w:val="auto"/>
          <w:szCs w:val="21"/>
          <w:highlight w:val="none"/>
          <w:u w:val="single"/>
          <w:lang w:val="en-US" w:eastAsia="zh-CN"/>
        </w:rPr>
        <w:t>西泽苑小区消防报警设备、设施更新维修服务项目</w:t>
      </w:r>
      <w:r>
        <w:rPr>
          <w:rFonts w:hint="eastAsia" w:ascii="宋体" w:hAnsi="宋体" w:eastAsia="宋体" w:cs="宋体"/>
          <w:color w:val="auto"/>
          <w:szCs w:val="21"/>
          <w:highlight w:val="none"/>
          <w:u w:val="none"/>
          <w:lang w:val="en-US" w:eastAsia="zh-CN"/>
        </w:rPr>
        <w:t>已由重庆荣合物业服务有限公司批准实施，项目</w:t>
      </w:r>
      <w:r>
        <w:rPr>
          <w:rFonts w:hint="eastAsia" w:ascii="宋体" w:hAnsi="宋体" w:eastAsia="宋体" w:cs="宋体"/>
          <w:color w:val="auto"/>
          <w:szCs w:val="21"/>
          <w:highlight w:val="none"/>
        </w:rPr>
        <w:t>业主为</w:t>
      </w:r>
      <w:r>
        <w:rPr>
          <w:rFonts w:hint="eastAsia" w:ascii="宋体" w:hAnsi="宋体" w:eastAsia="宋体" w:cs="宋体"/>
          <w:color w:val="auto"/>
          <w:szCs w:val="21"/>
          <w:highlight w:val="none"/>
          <w:u w:val="single"/>
          <w:lang w:val="en-US" w:eastAsia="zh-CN"/>
        </w:rPr>
        <w:t>重庆荣合物业服务有限公司</w:t>
      </w:r>
      <w:r>
        <w:rPr>
          <w:rFonts w:hint="eastAsia" w:ascii="宋体" w:hAnsi="宋体" w:eastAsia="宋体" w:cs="宋体"/>
          <w:color w:val="auto"/>
          <w:szCs w:val="21"/>
          <w:highlight w:val="none"/>
        </w:rPr>
        <w:t>，项目资金</w:t>
      </w:r>
      <w:r>
        <w:rPr>
          <w:rFonts w:hint="eastAsia" w:ascii="宋体" w:hAnsi="宋体" w:eastAsia="宋体" w:cs="宋体"/>
          <w:color w:val="auto"/>
          <w:szCs w:val="21"/>
          <w:highlight w:val="none"/>
          <w:u w:val="single"/>
        </w:rPr>
        <w:t>由比选人自筹</w:t>
      </w:r>
      <w:r>
        <w:rPr>
          <w:rFonts w:hint="eastAsia" w:ascii="宋体" w:hAnsi="宋体" w:eastAsia="宋体" w:cs="宋体"/>
          <w:color w:val="auto"/>
          <w:szCs w:val="21"/>
          <w:highlight w:val="none"/>
        </w:rPr>
        <w:t>，出资比例为</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，比选人为</w:t>
      </w:r>
      <w:r>
        <w:rPr>
          <w:rFonts w:hint="eastAsia" w:ascii="宋体" w:hAnsi="宋体" w:eastAsia="宋体" w:cs="宋体"/>
          <w:color w:val="auto"/>
          <w:szCs w:val="21"/>
          <w:highlight w:val="none"/>
          <w:u w:val="single"/>
          <w:lang w:val="en-US" w:eastAsia="zh-CN"/>
        </w:rPr>
        <w:t>重庆荣合物业服务有限公司</w:t>
      </w:r>
      <w:r>
        <w:rPr>
          <w:rFonts w:hint="eastAsia" w:ascii="宋体" w:hAnsi="宋体" w:eastAsia="宋体" w:cs="宋体"/>
          <w:color w:val="auto"/>
          <w:szCs w:val="21"/>
          <w:highlight w:val="none"/>
        </w:rPr>
        <w:t>。项目已具备竞争性比选条件，现对该项目进行公开竞争性比选。</w:t>
      </w:r>
    </w:p>
    <w:p>
      <w:pPr>
        <w:pStyle w:val="4"/>
        <w:keepNext/>
        <w:keepLines/>
        <w:autoSpaceDE/>
        <w:autoSpaceDN/>
        <w:spacing w:line="500" w:lineRule="exact"/>
        <w:jc w:val="both"/>
        <w:rPr>
          <w:rFonts w:hint="eastAsia" w:ascii="宋体" w:hAnsi="宋体" w:eastAsia="宋体" w:cs="宋体"/>
          <w:bCs/>
          <w:color w:val="auto"/>
          <w:spacing w:val="0"/>
          <w:w w:val="100"/>
          <w:kern w:val="0"/>
          <w:sz w:val="21"/>
          <w:szCs w:val="21"/>
        </w:rPr>
      </w:pPr>
      <w:bookmarkStart w:id="2" w:name="_Toc24523"/>
      <w:r>
        <w:rPr>
          <w:rFonts w:hint="eastAsia" w:ascii="宋体" w:hAnsi="宋体" w:eastAsia="宋体" w:cs="宋体"/>
          <w:bCs/>
          <w:color w:val="auto"/>
          <w:spacing w:val="0"/>
          <w:w w:val="100"/>
          <w:kern w:val="0"/>
          <w:sz w:val="21"/>
          <w:szCs w:val="21"/>
        </w:rPr>
        <w:t>2.项目概况与比选范围</w:t>
      </w:r>
      <w:bookmarkEnd w:id="2"/>
    </w:p>
    <w:p>
      <w:pPr>
        <w:spacing w:line="440" w:lineRule="exact"/>
        <w:ind w:firstLine="420" w:firstLineChars="200"/>
        <w:rPr>
          <w:rFonts w:hint="eastAsia" w:ascii="宋体" w:hAnsi="宋体" w:eastAsia="宋体" w:cs="宋体"/>
          <w:color w:val="auto"/>
          <w:szCs w:val="21"/>
        </w:rPr>
      </w:pPr>
      <w:bookmarkStart w:id="3" w:name="_Toc3086"/>
      <w:r>
        <w:rPr>
          <w:rFonts w:hint="eastAsia" w:ascii="宋体" w:hAnsi="宋体" w:eastAsia="宋体" w:cs="宋体"/>
          <w:color w:val="auto"/>
          <w:szCs w:val="21"/>
        </w:rPr>
        <w:t>2.1</w:t>
      </w:r>
      <w:r>
        <w:rPr>
          <w:rFonts w:hint="eastAsia" w:ascii="宋体" w:hAnsi="宋体" w:eastAsia="宋体" w:cs="宋体"/>
          <w:color w:val="auto"/>
          <w:szCs w:val="21"/>
          <w:lang w:val="en-US" w:eastAsia="zh-CN"/>
        </w:rPr>
        <w:t>建设</w:t>
      </w:r>
      <w:r>
        <w:rPr>
          <w:rFonts w:hint="eastAsia" w:ascii="宋体" w:hAnsi="宋体" w:eastAsia="宋体" w:cs="宋体"/>
          <w:color w:val="auto"/>
          <w:szCs w:val="21"/>
        </w:rPr>
        <w:t>地点：</w:t>
      </w:r>
      <w:r>
        <w:rPr>
          <w:rFonts w:hint="eastAsia" w:ascii="宋体" w:hAnsi="宋体" w:eastAsia="宋体" w:cs="宋体"/>
          <w:color w:val="auto"/>
          <w:szCs w:val="21"/>
          <w:highlight w:val="none"/>
          <w:u w:val="single"/>
          <w:lang w:val="en-US" w:eastAsia="zh-CN"/>
        </w:rPr>
        <w:t>重庆市沙坪坝区陈家桥桥北一路4号</w:t>
      </w:r>
      <w:r>
        <w:rPr>
          <w:rFonts w:hint="eastAsia" w:ascii="宋体" w:hAnsi="宋体" w:eastAsia="宋体" w:cs="宋体"/>
          <w:color w:val="auto"/>
          <w:szCs w:val="21"/>
          <w:highlight w:val="none"/>
        </w:rPr>
        <w:t>。</w:t>
      </w:r>
    </w:p>
    <w:p>
      <w:pPr>
        <w:widowControl/>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rPr>
        <w:t>2.2项目概况：</w:t>
      </w:r>
      <w:r>
        <w:rPr>
          <w:rFonts w:hint="eastAsia" w:ascii="宋体" w:hAnsi="宋体" w:eastAsia="宋体" w:cs="宋体"/>
          <w:color w:val="auto"/>
          <w:szCs w:val="21"/>
          <w:highlight w:val="none"/>
          <w:lang w:val="en-US" w:eastAsia="zh-CN"/>
        </w:rPr>
        <w:t>西泽苑小区消防报警设备、设施更新维修服务项目，整改内容包含</w:t>
      </w:r>
      <w:r>
        <w:rPr>
          <w:rFonts w:hint="eastAsia" w:ascii="宋体" w:hAnsi="宋体" w:eastAsia="宋体" w:cs="宋体"/>
          <w:color w:val="auto"/>
          <w:szCs w:val="21"/>
        </w:rPr>
        <w:t>消防水系统</w:t>
      </w:r>
      <w:r>
        <w:rPr>
          <w:rFonts w:hint="eastAsia" w:ascii="宋体" w:hAnsi="宋体" w:eastAsia="宋体" w:cs="宋体"/>
          <w:color w:val="auto"/>
          <w:szCs w:val="21"/>
          <w:lang w:eastAsia="zh-CN"/>
        </w:rPr>
        <w:t>、</w:t>
      </w:r>
      <w:r>
        <w:rPr>
          <w:rFonts w:hint="eastAsia" w:ascii="宋体" w:hAnsi="宋体" w:eastAsia="宋体" w:cs="宋体"/>
          <w:color w:val="auto"/>
          <w:szCs w:val="21"/>
          <w:highlight w:val="none"/>
          <w:lang w:val="en-US" w:eastAsia="zh-CN"/>
        </w:rPr>
        <w:t>火灾自动报警系统、气体灭火系统、应急照明系统</w:t>
      </w:r>
      <w:r>
        <w:rPr>
          <w:rFonts w:hint="eastAsia" w:ascii="宋体" w:hAnsi="宋体" w:eastAsia="宋体" w:cs="宋体"/>
          <w:color w:val="auto"/>
          <w:szCs w:val="21"/>
        </w:rPr>
        <w:t>等。</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2.3采购</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455158.46元</w:t>
      </w:r>
      <w:r>
        <w:rPr>
          <w:rFonts w:hint="eastAsia" w:ascii="宋体" w:hAnsi="宋体" w:eastAsia="宋体" w:cs="宋体"/>
          <w:color w:val="auto"/>
          <w:szCs w:val="21"/>
          <w:highlight w:val="none"/>
        </w:rPr>
        <w:t>。</w:t>
      </w:r>
    </w:p>
    <w:p>
      <w:pPr>
        <w:widowControl/>
        <w:adjustRightInd w:val="0"/>
        <w:snapToGrid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rPr>
        <w:t>2.4比选范围：本项目</w:t>
      </w:r>
      <w:r>
        <w:rPr>
          <w:rFonts w:hint="eastAsia" w:ascii="宋体" w:hAnsi="宋体" w:eastAsia="宋体" w:cs="宋体"/>
          <w:color w:val="auto"/>
          <w:szCs w:val="21"/>
          <w:lang w:val="en-US" w:eastAsia="zh-CN"/>
        </w:rPr>
        <w:t>为</w:t>
      </w:r>
      <w:r>
        <w:rPr>
          <w:rFonts w:hint="eastAsia" w:ascii="宋体" w:hAnsi="宋体" w:eastAsia="宋体" w:cs="宋体"/>
          <w:color w:val="auto"/>
          <w:szCs w:val="21"/>
          <w:lang w:eastAsia="zh-CN"/>
        </w:rPr>
        <w:t>西泽苑小区消防报警设备、设施更新维修服务项目</w:t>
      </w:r>
      <w:r>
        <w:rPr>
          <w:rFonts w:hint="eastAsia" w:ascii="宋体" w:hAnsi="宋体" w:eastAsia="宋体" w:cs="宋体"/>
          <w:color w:val="auto"/>
          <w:szCs w:val="21"/>
        </w:rPr>
        <w:t>，</w:t>
      </w:r>
      <w:r>
        <w:rPr>
          <w:rFonts w:hint="eastAsia" w:ascii="宋体" w:hAnsi="宋体" w:eastAsia="宋体" w:cs="宋体"/>
          <w:color w:val="auto"/>
          <w:szCs w:val="21"/>
          <w:highlight w:val="none"/>
          <w:lang w:val="en-US" w:eastAsia="zh-CN"/>
        </w:rPr>
        <w:t>整改内容包含:</w:t>
      </w:r>
    </w:p>
    <w:p>
      <w:pPr>
        <w:widowControl/>
        <w:adjustRightInd w:val="0"/>
        <w:snapToGrid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（1）消防水系统：泵房、2#、3#楼、屋顶、车库等设备、阀门、管道、消防箱、灭火器整改；</w:t>
      </w:r>
    </w:p>
    <w:p>
      <w:pPr>
        <w:widowControl/>
        <w:adjustRightInd w:val="0"/>
        <w:snapToGrid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（2）火灾自动报警系统：1#、2#楼及商业部分报警设备、管线、装饰等整改；</w:t>
      </w:r>
    </w:p>
    <w:p>
      <w:pPr>
        <w:widowControl/>
        <w:adjustRightInd w:val="0"/>
        <w:snapToGrid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（3）气体灭火系统：车库配电室气体灭火设备、风机控制柜、风管、防火门等整改；</w:t>
      </w:r>
    </w:p>
    <w:p>
      <w:pPr>
        <w:widowControl/>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（4）应急照明系统：1#、2#、3#塔楼、商业、车库、泵房、控制室、专配等应急灯具整改</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竞选人自行踏勘了解可能漏项的内容及工程量，工程量清单和</w:t>
      </w:r>
      <w:r>
        <w:rPr>
          <w:rFonts w:hint="eastAsia" w:ascii="宋体" w:hAnsi="宋体" w:eastAsia="宋体" w:cs="宋体"/>
          <w:color w:val="auto"/>
          <w:szCs w:val="21"/>
          <w:highlight w:val="none"/>
        </w:rPr>
        <w:t>图纸</w:t>
      </w:r>
      <w:r>
        <w:rPr>
          <w:rFonts w:hint="eastAsia" w:ascii="宋体" w:hAnsi="宋体" w:eastAsia="宋体" w:cs="宋体"/>
          <w:color w:val="auto"/>
          <w:szCs w:val="21"/>
        </w:rPr>
        <w:t>详见附件。</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w:t>
      </w:r>
      <w:r>
        <w:rPr>
          <w:rFonts w:hint="eastAsia" w:ascii="宋体" w:hAnsi="宋体" w:eastAsia="宋体" w:cs="宋体"/>
          <w:snapToGrid w:val="0"/>
          <w:color w:val="auto"/>
          <w:kern w:val="0"/>
          <w:szCs w:val="21"/>
        </w:rPr>
        <w:t>工期</w:t>
      </w:r>
      <w:r>
        <w:rPr>
          <w:rFonts w:hint="eastAsia" w:ascii="宋体" w:hAnsi="宋体" w:eastAsia="宋体" w:cs="宋体"/>
          <w:color w:val="auto"/>
          <w:szCs w:val="21"/>
        </w:rPr>
        <w:t>：</w:t>
      </w:r>
      <w:bookmarkStart w:id="4" w:name="OLE_LINK6"/>
      <w:r>
        <w:rPr>
          <w:rFonts w:hint="eastAsia" w:ascii="宋体" w:hAnsi="宋体" w:cs="宋体"/>
          <w:snapToGrid w:val="0"/>
          <w:color w:val="auto"/>
          <w:kern w:val="0"/>
          <w:szCs w:val="21"/>
          <w:highlight w:val="none"/>
          <w:u w:val="single"/>
          <w:lang w:val="en-US" w:eastAsia="zh-CN"/>
        </w:rPr>
        <w:t>60</w:t>
      </w:r>
      <w:r>
        <w:rPr>
          <w:rFonts w:hint="eastAsia" w:ascii="宋体" w:hAnsi="宋体" w:eastAsia="宋体" w:cs="宋体"/>
          <w:snapToGrid w:val="0"/>
          <w:color w:val="auto"/>
          <w:kern w:val="0"/>
          <w:szCs w:val="21"/>
          <w:highlight w:val="none"/>
          <w:u w:val="none"/>
          <w:lang w:val="en-US" w:eastAsia="zh-CN"/>
        </w:rPr>
        <w:t>个</w:t>
      </w:r>
      <w:r>
        <w:rPr>
          <w:rFonts w:hint="eastAsia" w:ascii="宋体" w:hAnsi="宋体" w:eastAsia="宋体" w:cs="宋体"/>
          <w:snapToGrid w:val="0"/>
          <w:color w:val="auto"/>
          <w:kern w:val="0"/>
          <w:szCs w:val="21"/>
          <w:highlight w:val="none"/>
          <w:lang w:val="en-US" w:eastAsia="zh-CN"/>
        </w:rPr>
        <w:t>日历日</w:t>
      </w:r>
      <w:r>
        <w:rPr>
          <w:rFonts w:hint="eastAsia" w:ascii="宋体" w:hAnsi="宋体" w:cs="宋体"/>
          <w:snapToGrid w:val="0"/>
          <w:color w:val="auto"/>
          <w:kern w:val="0"/>
          <w:szCs w:val="21"/>
          <w:highlight w:val="none"/>
          <w:lang w:val="en-US" w:eastAsia="zh-CN"/>
        </w:rPr>
        <w:t>达到使用</w:t>
      </w:r>
      <w:r>
        <w:rPr>
          <w:rFonts w:hint="eastAsia" w:ascii="宋体" w:hAnsi="宋体" w:eastAsia="宋体" w:cs="宋体"/>
          <w:snapToGrid w:val="0"/>
          <w:color w:val="auto"/>
          <w:kern w:val="0"/>
          <w:szCs w:val="21"/>
          <w:lang w:eastAsia="zh-CN"/>
        </w:rPr>
        <w:t>，</w:t>
      </w:r>
      <w:r>
        <w:rPr>
          <w:rFonts w:hint="eastAsia" w:ascii="宋体" w:hAnsi="宋体" w:eastAsia="宋体" w:cs="宋体"/>
          <w:snapToGrid w:val="0"/>
          <w:color w:val="auto"/>
          <w:kern w:val="0"/>
          <w:szCs w:val="21"/>
        </w:rPr>
        <w:t>缺陷责任期要求：</w:t>
      </w:r>
      <w:r>
        <w:rPr>
          <w:rFonts w:hint="eastAsia" w:ascii="宋体" w:hAnsi="宋体" w:eastAsia="宋体" w:cs="宋体"/>
          <w:snapToGrid w:val="0"/>
          <w:color w:val="auto"/>
          <w:kern w:val="0"/>
          <w:szCs w:val="21"/>
          <w:u w:val="single"/>
          <w:lang w:val="en-US" w:eastAsia="zh-CN"/>
        </w:rPr>
        <w:t>24</w:t>
      </w:r>
      <w:r>
        <w:rPr>
          <w:rFonts w:hint="eastAsia" w:ascii="宋体" w:hAnsi="宋体" w:eastAsia="宋体" w:cs="宋体"/>
          <w:snapToGrid w:val="0"/>
          <w:color w:val="auto"/>
          <w:kern w:val="0"/>
          <w:szCs w:val="21"/>
          <w:u w:val="single"/>
        </w:rPr>
        <w:t>个月</w:t>
      </w:r>
      <w:r>
        <w:rPr>
          <w:rFonts w:hint="eastAsia" w:ascii="宋体" w:hAnsi="宋体" w:eastAsia="宋体" w:cs="宋体"/>
          <w:snapToGrid w:val="0"/>
          <w:color w:val="auto"/>
          <w:kern w:val="0"/>
          <w:szCs w:val="21"/>
          <w:lang w:val="en-US" w:eastAsia="zh-CN"/>
        </w:rPr>
        <w:t>。</w:t>
      </w:r>
      <w:bookmarkEnd w:id="4"/>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2.6标段划分：</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pPr>
        <w:pStyle w:val="4"/>
        <w:keepNext/>
        <w:keepLines/>
        <w:autoSpaceDE/>
        <w:autoSpaceDN/>
        <w:spacing w:line="500" w:lineRule="exact"/>
        <w:jc w:val="both"/>
        <w:rPr>
          <w:rFonts w:hint="eastAsia"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3.竞选人资格要求</w:t>
      </w:r>
      <w:bookmarkEnd w:id="3"/>
    </w:p>
    <w:p>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宋体"/>
          <w:color w:val="auto"/>
          <w:szCs w:val="21"/>
        </w:rPr>
      </w:pPr>
      <w:r>
        <w:rPr>
          <w:rFonts w:hint="eastAsia" w:ascii="宋体" w:hAnsi="宋体" w:eastAsia="宋体" w:cs="宋体"/>
          <w:color w:val="auto"/>
          <w:szCs w:val="21"/>
        </w:rPr>
        <w:t>3.1本项目实行资格后审，竞选人应具备以下资格条件：</w:t>
      </w:r>
    </w:p>
    <w:p>
      <w:pPr>
        <w:tabs>
          <w:tab w:val="left" w:pos="747"/>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3.1.1竞选人须具备独立法人资格，具有有效的营业执照。</w:t>
      </w:r>
    </w:p>
    <w:p>
      <w:pPr>
        <w:tabs>
          <w:tab w:val="left" w:pos="747"/>
        </w:tabs>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3.1.2</w:t>
      </w:r>
      <w:r>
        <w:rPr>
          <w:rFonts w:hint="eastAsia" w:ascii="宋体" w:hAnsi="宋体" w:eastAsia="宋体" w:cs="宋体"/>
          <w:color w:val="auto"/>
          <w:szCs w:val="21"/>
          <w:highlight w:val="none"/>
          <w:lang w:val="en-US" w:eastAsia="zh-CN"/>
        </w:rPr>
        <w:t>特定资格条件：竞选人应具备建设行政主管部门颁发的消防设施工程专业承包资质二级及以上资质，且具备有效的安全生产许可证。（提供相关的证书复印件并加盖竞选人公章）。</w:t>
      </w:r>
    </w:p>
    <w:p>
      <w:pPr>
        <w:tabs>
          <w:tab w:val="left" w:pos="747"/>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具体要求详见比选文件第二章竞选人须知前附表1.4.1项内容。</w:t>
      </w:r>
    </w:p>
    <w:p>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宋体"/>
          <w:color w:val="auto"/>
          <w:szCs w:val="21"/>
        </w:rPr>
      </w:pPr>
      <w:r>
        <w:rPr>
          <w:rFonts w:hint="eastAsia" w:ascii="宋体" w:hAnsi="宋体" w:eastAsia="宋体" w:cs="宋体"/>
          <w:color w:val="auto"/>
          <w:szCs w:val="21"/>
        </w:rPr>
        <w:t>3.2本次比选不接受联合体竞选。</w:t>
      </w:r>
    </w:p>
    <w:p>
      <w:pPr>
        <w:pStyle w:val="4"/>
        <w:keepNext/>
        <w:keepLines/>
        <w:autoSpaceDE/>
        <w:autoSpaceDN/>
        <w:spacing w:line="500" w:lineRule="exact"/>
        <w:jc w:val="both"/>
        <w:rPr>
          <w:rFonts w:hint="eastAsia" w:ascii="宋体" w:hAnsi="宋体" w:eastAsia="宋体" w:cs="宋体"/>
          <w:bCs/>
          <w:color w:val="auto"/>
          <w:spacing w:val="0"/>
          <w:w w:val="100"/>
          <w:kern w:val="0"/>
          <w:sz w:val="21"/>
          <w:szCs w:val="21"/>
        </w:rPr>
      </w:pPr>
      <w:bookmarkStart w:id="5" w:name="_Toc12379"/>
      <w:r>
        <w:rPr>
          <w:rFonts w:hint="eastAsia" w:ascii="宋体" w:hAnsi="宋体" w:eastAsia="宋体" w:cs="宋体"/>
          <w:bCs/>
          <w:color w:val="auto"/>
          <w:spacing w:val="0"/>
          <w:w w:val="100"/>
          <w:kern w:val="0"/>
          <w:sz w:val="21"/>
          <w:szCs w:val="21"/>
        </w:rPr>
        <w:t>4.竞争性比选文件的获取</w:t>
      </w:r>
      <w:bookmarkEnd w:id="5"/>
    </w:p>
    <w:p>
      <w:pPr>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rPr>
        <w:t>4.1 本次比选公告的</w:t>
      </w:r>
      <w:r>
        <w:rPr>
          <w:rFonts w:hint="eastAsia" w:ascii="宋体" w:hAnsi="宋体" w:eastAsia="宋体" w:cs="宋体"/>
          <w:snapToGrid w:val="0"/>
          <w:color w:val="auto"/>
          <w:kern w:val="0"/>
          <w:szCs w:val="21"/>
          <w:highlight w:val="none"/>
        </w:rPr>
        <w:t>发布时间为：202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31</w:t>
      </w:r>
      <w:r>
        <w:rPr>
          <w:rFonts w:hint="eastAsia" w:ascii="宋体" w:hAnsi="宋体" w:eastAsia="宋体" w:cs="宋体"/>
          <w:snapToGrid w:val="0"/>
          <w:color w:val="auto"/>
          <w:kern w:val="0"/>
          <w:szCs w:val="21"/>
          <w:highlight w:val="none"/>
        </w:rPr>
        <w:t>日。</w:t>
      </w:r>
    </w:p>
    <w:p>
      <w:pPr>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4.2竞争性比选公告、答疑等比选前的有关资料及相关事宜在</w:t>
      </w:r>
      <w:r>
        <w:rPr>
          <w:rFonts w:hint="eastAsia" w:ascii="宋体" w:hAnsi="宋体" w:eastAsia="宋体" w:cs="宋体"/>
          <w:snapToGrid w:val="0"/>
          <w:color w:val="auto"/>
          <w:kern w:val="0"/>
          <w:szCs w:val="21"/>
          <w:highlight w:val="none"/>
          <w:lang w:eastAsia="zh-CN"/>
        </w:rPr>
        <w:t>行采家（https://www.gec123.com/）</w:t>
      </w:r>
      <w:r>
        <w:rPr>
          <w:rFonts w:hint="eastAsia" w:ascii="宋体" w:hAnsi="宋体" w:eastAsia="宋体" w:cs="宋体"/>
          <w:snapToGrid w:val="0"/>
          <w:color w:val="auto"/>
          <w:kern w:val="0"/>
          <w:szCs w:val="21"/>
          <w:highlight w:val="none"/>
        </w:rPr>
        <w:t>网上下载。不管下载与否都视为竞选人全部知晓有关比选过程和事宜。在比选截止日前，各竞选人应随时关注网上发布的比选补遗通知。</w:t>
      </w:r>
    </w:p>
    <w:p>
      <w:pPr>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 比选文件获取时间：202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31</w:t>
      </w:r>
      <w:r>
        <w:rPr>
          <w:rFonts w:hint="eastAsia" w:ascii="宋体" w:hAnsi="宋体" w:eastAsia="宋体" w:cs="宋体"/>
          <w:snapToGrid w:val="0"/>
          <w:color w:val="auto"/>
          <w:kern w:val="0"/>
          <w:szCs w:val="21"/>
          <w:highlight w:val="none"/>
        </w:rPr>
        <w:t>日-202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日（上午09:00-下午17:00工作时间）。</w:t>
      </w:r>
    </w:p>
    <w:p>
      <w:pPr>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4.4 比选文件获取方式：</w:t>
      </w:r>
    </w:p>
    <w:p>
      <w:pPr>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lang w:val="en-US" w:eastAsia="zh-CN"/>
        </w:rPr>
        <w:t>1</w:t>
      </w:r>
      <w:r>
        <w:rPr>
          <w:rFonts w:hint="eastAsia" w:ascii="宋体" w:hAnsi="宋体" w:eastAsia="宋体" w:cs="宋体"/>
          <w:snapToGrid w:val="0"/>
          <w:color w:val="auto"/>
          <w:kern w:val="0"/>
          <w:szCs w:val="21"/>
        </w:rPr>
        <w:t>）获取方式：在竞争性比选文件获取期限内，竞选人将《</w:t>
      </w:r>
      <w:r>
        <w:rPr>
          <w:rFonts w:hint="eastAsia" w:ascii="宋体" w:hAnsi="宋体" w:eastAsia="宋体" w:cs="宋体"/>
          <w:snapToGrid w:val="0"/>
          <w:color w:val="auto"/>
          <w:kern w:val="0"/>
          <w:szCs w:val="21"/>
          <w:lang w:eastAsia="zh-CN"/>
        </w:rPr>
        <w:t>比选文件获取确认表</w:t>
      </w:r>
      <w:r>
        <w:rPr>
          <w:rFonts w:hint="eastAsia" w:ascii="宋体" w:hAnsi="宋体" w:eastAsia="宋体" w:cs="宋体"/>
          <w:snapToGrid w:val="0"/>
          <w:color w:val="auto"/>
          <w:kern w:val="0"/>
          <w:szCs w:val="21"/>
        </w:rPr>
        <w:t>》（加盖竞选人公章）扫</w:t>
      </w:r>
      <w:r>
        <w:rPr>
          <w:rFonts w:hint="eastAsia" w:ascii="宋体" w:hAnsi="宋体" w:eastAsia="宋体" w:cs="宋体"/>
          <w:snapToGrid w:val="0"/>
          <w:color w:val="auto"/>
          <w:kern w:val="0"/>
          <w:szCs w:val="21"/>
          <w:highlight w:val="none"/>
        </w:rPr>
        <w:t>描后发送邮箱</w:t>
      </w:r>
      <w:r>
        <w:rPr>
          <w:rFonts w:hint="eastAsia" w:ascii="宋体" w:hAnsi="宋体" w:eastAsia="宋体" w:cs="宋体"/>
          <w:snapToGrid w:val="0"/>
          <w:color w:val="auto"/>
          <w:kern w:val="0"/>
          <w:szCs w:val="21"/>
          <w:highlight w:val="none"/>
          <w:lang w:eastAsia="zh-CN"/>
        </w:rPr>
        <w:t>2136746604</w:t>
      </w:r>
      <w:r>
        <w:rPr>
          <w:rFonts w:hint="eastAsia" w:ascii="宋体" w:hAnsi="宋体" w:eastAsia="宋体" w:cs="宋体"/>
          <w:snapToGrid w:val="0"/>
          <w:color w:val="auto"/>
          <w:kern w:val="0"/>
          <w:szCs w:val="21"/>
          <w:highlight w:val="none"/>
        </w:rPr>
        <w:t>@qq.com（邮箱截止时间按邮箱显示邮件达到时间为准）。</w:t>
      </w:r>
    </w:p>
    <w:p>
      <w:pPr>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）在竞争性比选文件获取期限内回传《</w:t>
      </w:r>
      <w:r>
        <w:rPr>
          <w:rFonts w:hint="eastAsia" w:ascii="宋体" w:hAnsi="宋体" w:eastAsia="宋体" w:cs="宋体"/>
          <w:snapToGrid w:val="0"/>
          <w:color w:val="auto"/>
          <w:kern w:val="0"/>
          <w:szCs w:val="21"/>
          <w:highlight w:val="none"/>
          <w:lang w:eastAsia="zh-CN"/>
        </w:rPr>
        <w:t>比选文件获取确认表</w:t>
      </w:r>
      <w:r>
        <w:rPr>
          <w:rFonts w:hint="eastAsia" w:ascii="宋体" w:hAnsi="宋体" w:eastAsia="宋体" w:cs="宋体"/>
          <w:snapToGrid w:val="0"/>
          <w:color w:val="auto"/>
          <w:kern w:val="0"/>
          <w:szCs w:val="21"/>
          <w:highlight w:val="none"/>
        </w:rPr>
        <w:t>》的竞选人，其</w:t>
      </w:r>
      <w:r>
        <w:rPr>
          <w:rFonts w:hint="eastAsia" w:ascii="宋体" w:hAnsi="宋体" w:eastAsia="宋体" w:cs="宋体"/>
          <w:snapToGrid w:val="0"/>
          <w:color w:val="auto"/>
          <w:kern w:val="0"/>
          <w:szCs w:val="21"/>
          <w:highlight w:val="none"/>
          <w:lang w:eastAsia="zh-CN"/>
        </w:rPr>
        <w:t>竞选文件</w:t>
      </w:r>
      <w:r>
        <w:rPr>
          <w:rFonts w:hint="eastAsia" w:ascii="宋体" w:hAnsi="宋体" w:eastAsia="宋体" w:cs="宋体"/>
          <w:snapToGrid w:val="0"/>
          <w:color w:val="auto"/>
          <w:kern w:val="0"/>
          <w:szCs w:val="21"/>
          <w:highlight w:val="none"/>
        </w:rPr>
        <w:t>才能被接收。</w:t>
      </w:r>
    </w:p>
    <w:p>
      <w:pPr>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fldChar w:fldCharType="begin"/>
      </w:r>
      <w:r>
        <w:rPr>
          <w:rFonts w:hint="eastAsia" w:ascii="宋体" w:hAnsi="宋体" w:eastAsia="宋体" w:cs="宋体"/>
          <w:snapToGrid w:val="0"/>
          <w:color w:val="auto"/>
          <w:kern w:val="0"/>
          <w:szCs w:val="21"/>
          <w:highlight w:val="none"/>
          <w:lang w:val="en-US" w:eastAsia="zh-CN"/>
        </w:rPr>
        <w:instrText xml:space="preserve"> HYPERLINK "mailto:4.5竞选人可向代理机构提问，提问时间从本公告发布至2024年2月21日12时00分（北京时间）前发送至电子邮箱（1493461299@qq.com）。" </w:instrText>
      </w:r>
      <w:r>
        <w:rPr>
          <w:rFonts w:hint="eastAsia" w:ascii="宋体" w:hAnsi="宋体" w:eastAsia="宋体" w:cs="宋体"/>
          <w:snapToGrid w:val="0"/>
          <w:color w:val="auto"/>
          <w:kern w:val="0"/>
          <w:szCs w:val="21"/>
          <w:highlight w:val="none"/>
          <w:lang w:val="en-US" w:eastAsia="zh-CN"/>
        </w:rPr>
        <w:fldChar w:fldCharType="separate"/>
      </w:r>
      <w:r>
        <w:rPr>
          <w:rFonts w:hint="eastAsia" w:ascii="宋体" w:hAnsi="宋体" w:eastAsia="宋体" w:cs="宋体"/>
          <w:snapToGrid w:val="0"/>
          <w:color w:val="auto"/>
          <w:kern w:val="0"/>
          <w:szCs w:val="21"/>
          <w:highlight w:val="none"/>
          <w:lang w:val="en-US" w:eastAsia="zh-CN"/>
        </w:rPr>
        <w:t>4.5</w:t>
      </w:r>
      <w:r>
        <w:rPr>
          <w:rFonts w:hint="eastAsia" w:ascii="宋体" w:hAnsi="宋体" w:eastAsia="宋体" w:cs="宋体"/>
          <w:snapToGrid w:val="0"/>
          <w:color w:val="auto"/>
          <w:kern w:val="0"/>
          <w:szCs w:val="21"/>
          <w:highlight w:val="none"/>
        </w:rPr>
        <w:t>竞选人可向代理机构提问，提问时间从本公告发布至2024年</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lang w:val="en-US" w:eastAsia="zh-CN"/>
        </w:rPr>
        <w:t>17</w:t>
      </w:r>
      <w:r>
        <w:rPr>
          <w:rFonts w:hint="eastAsia" w:ascii="宋体" w:hAnsi="宋体" w:eastAsia="宋体" w:cs="宋体"/>
          <w:snapToGrid w:val="0"/>
          <w:color w:val="auto"/>
          <w:kern w:val="0"/>
          <w:szCs w:val="21"/>
          <w:highlight w:val="none"/>
        </w:rPr>
        <w:t>时00分（北京时间）前发送至电子邮箱（</w:t>
      </w:r>
      <w:r>
        <w:rPr>
          <w:rFonts w:hint="eastAsia" w:ascii="宋体" w:hAnsi="宋体" w:eastAsia="宋体" w:cs="宋体"/>
          <w:snapToGrid w:val="0"/>
          <w:color w:val="auto"/>
          <w:kern w:val="0"/>
          <w:szCs w:val="21"/>
          <w:highlight w:val="none"/>
          <w:lang w:eastAsia="zh-CN"/>
        </w:rPr>
        <w:t>2136746604</w:t>
      </w:r>
      <w:r>
        <w:rPr>
          <w:rFonts w:hint="eastAsia" w:ascii="宋体" w:hAnsi="宋体" w:eastAsia="宋体" w:cs="宋体"/>
          <w:snapToGrid w:val="0"/>
          <w:color w:val="auto"/>
          <w:kern w:val="0"/>
          <w:szCs w:val="21"/>
          <w:highlight w:val="none"/>
        </w:rPr>
        <w:t>@qq.com）。</w:t>
      </w:r>
      <w:r>
        <w:rPr>
          <w:rFonts w:hint="eastAsia" w:ascii="宋体" w:hAnsi="宋体" w:eastAsia="宋体" w:cs="宋体"/>
          <w:snapToGrid w:val="0"/>
          <w:color w:val="auto"/>
          <w:kern w:val="0"/>
          <w:szCs w:val="21"/>
          <w:highlight w:val="none"/>
          <w:lang w:val="en-US" w:eastAsia="zh-CN"/>
        </w:rPr>
        <w:fldChar w:fldCharType="end"/>
      </w:r>
    </w:p>
    <w:p>
      <w:pPr>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比选人应于2024年</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时00分（北京时间）前在</w:t>
      </w:r>
      <w:r>
        <w:rPr>
          <w:rFonts w:hint="eastAsia" w:ascii="宋体" w:hAnsi="宋体" w:eastAsia="宋体" w:cs="宋体"/>
          <w:snapToGrid w:val="0"/>
          <w:color w:val="auto"/>
          <w:highlight w:val="none"/>
          <w:lang w:eastAsia="zh-CN"/>
        </w:rPr>
        <w:t>行采家（https://www.gec123.com/）</w:t>
      </w:r>
      <w:r>
        <w:rPr>
          <w:rFonts w:hint="eastAsia" w:ascii="宋体" w:hAnsi="宋体" w:eastAsia="宋体" w:cs="宋体"/>
          <w:snapToGrid w:val="0"/>
          <w:color w:val="auto"/>
          <w:highlight w:val="none"/>
        </w:rPr>
        <w:t>网上</w:t>
      </w:r>
      <w:r>
        <w:rPr>
          <w:rFonts w:hint="eastAsia" w:ascii="宋体" w:hAnsi="宋体" w:eastAsia="宋体" w:cs="宋体"/>
          <w:snapToGrid w:val="0"/>
          <w:color w:val="auto"/>
          <w:kern w:val="0"/>
          <w:szCs w:val="21"/>
          <w:highlight w:val="none"/>
        </w:rPr>
        <w:t>发布澄清及补遗文件</w:t>
      </w:r>
      <w:r>
        <w:rPr>
          <w:rFonts w:hint="eastAsia" w:ascii="宋体" w:hAnsi="宋体" w:eastAsia="宋体" w:cs="宋体"/>
          <w:snapToGrid w:val="0"/>
          <w:color w:val="auto"/>
          <w:kern w:val="0"/>
          <w:szCs w:val="21"/>
          <w:highlight w:val="none"/>
          <w:lang w:eastAsia="zh-CN"/>
        </w:rPr>
        <w:t>。</w:t>
      </w:r>
    </w:p>
    <w:p>
      <w:pPr>
        <w:pStyle w:val="4"/>
        <w:keepNext/>
        <w:keepLines/>
        <w:autoSpaceDE/>
        <w:autoSpaceDN/>
        <w:spacing w:line="500" w:lineRule="exact"/>
        <w:jc w:val="both"/>
        <w:rPr>
          <w:rFonts w:hint="eastAsia" w:ascii="宋体" w:hAnsi="宋体" w:eastAsia="宋体" w:cs="宋体"/>
          <w:bCs/>
          <w:color w:val="auto"/>
          <w:spacing w:val="0"/>
          <w:w w:val="100"/>
          <w:kern w:val="0"/>
          <w:sz w:val="21"/>
          <w:szCs w:val="21"/>
          <w:highlight w:val="none"/>
        </w:rPr>
      </w:pPr>
      <w:bookmarkStart w:id="6" w:name="_Toc4898"/>
      <w:r>
        <w:rPr>
          <w:rFonts w:hint="eastAsia" w:ascii="宋体" w:hAnsi="宋体" w:eastAsia="宋体" w:cs="宋体"/>
          <w:bCs/>
          <w:color w:val="auto"/>
          <w:spacing w:val="0"/>
          <w:w w:val="100"/>
          <w:kern w:val="0"/>
          <w:sz w:val="21"/>
          <w:szCs w:val="21"/>
          <w:highlight w:val="none"/>
        </w:rPr>
        <w:t>5.竞选文件的递交</w:t>
      </w:r>
      <w:bookmarkEnd w:id="6"/>
    </w:p>
    <w:p>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5.1竞选文件递交</w:t>
      </w:r>
      <w:r>
        <w:rPr>
          <w:rFonts w:hint="eastAsia" w:ascii="宋体" w:hAnsi="宋体" w:eastAsia="宋体" w:cs="宋体"/>
          <w:snapToGrid w:val="0"/>
          <w:color w:val="auto"/>
          <w:highlight w:val="none"/>
          <w:lang w:val="en-US" w:eastAsia="zh-CN"/>
        </w:rPr>
        <w:t>开始</w:t>
      </w:r>
      <w:r>
        <w:rPr>
          <w:rFonts w:hint="eastAsia" w:ascii="宋体" w:hAnsi="宋体" w:eastAsia="宋体" w:cs="宋体"/>
          <w:snapToGrid w:val="0"/>
          <w:color w:val="auto"/>
          <w:highlight w:val="none"/>
        </w:rPr>
        <w:t>时间为</w:t>
      </w:r>
      <w:r>
        <w:rPr>
          <w:rFonts w:hint="eastAsia" w:ascii="宋体" w:hAnsi="宋体" w:eastAsia="宋体" w:cs="宋体"/>
          <w:color w:val="auto"/>
          <w:highlight w:val="none"/>
          <w:u w:val="single"/>
        </w:rPr>
        <w:t>202</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rPr>
        <w:t>年</w:t>
      </w:r>
      <w:r>
        <w:rPr>
          <w:rFonts w:hint="eastAsia" w:ascii="宋体" w:hAnsi="宋体" w:cs="宋体"/>
          <w:snapToGrid w:val="0"/>
          <w:color w:val="auto"/>
          <w:kern w:val="0"/>
          <w:szCs w:val="21"/>
          <w:highlight w:val="none"/>
          <w:u w:val="single"/>
          <w:lang w:val="en-US" w:eastAsia="zh-CN"/>
        </w:rPr>
        <w:t>6</w:t>
      </w:r>
      <w:r>
        <w:rPr>
          <w:rFonts w:hint="eastAsia" w:ascii="宋体" w:hAnsi="宋体" w:eastAsia="宋体" w:cs="宋体"/>
          <w:color w:val="auto"/>
          <w:highlight w:val="none"/>
        </w:rPr>
        <w:t>月</w:t>
      </w:r>
      <w:r>
        <w:rPr>
          <w:rFonts w:hint="eastAsia" w:ascii="宋体" w:hAnsi="宋体" w:cs="宋体"/>
          <w:snapToGrid w:val="0"/>
          <w:color w:val="auto"/>
          <w:kern w:val="0"/>
          <w:szCs w:val="21"/>
          <w:highlight w:val="none"/>
          <w:u w:val="single"/>
          <w:lang w:val="en-US" w:eastAsia="zh-CN"/>
        </w:rPr>
        <w:t>6</w:t>
      </w:r>
      <w:r>
        <w:rPr>
          <w:rFonts w:hint="eastAsia" w:ascii="宋体" w:hAnsi="宋体" w:eastAsia="宋体" w:cs="宋体"/>
          <w:color w:val="auto"/>
          <w:highlight w:val="none"/>
        </w:rPr>
        <w:t>日</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snapToGrid w:val="0"/>
          <w:color w:val="auto"/>
          <w:highlight w:val="none"/>
        </w:rPr>
        <w:t>竞选文件递交截止时间（竞选截止时间，下同）为</w:t>
      </w:r>
      <w:r>
        <w:rPr>
          <w:rFonts w:hint="eastAsia" w:ascii="宋体" w:hAnsi="宋体" w:eastAsia="宋体" w:cs="宋体"/>
          <w:color w:val="auto"/>
          <w:highlight w:val="none"/>
          <w:u w:val="single"/>
        </w:rPr>
        <w:t>202</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rPr>
        <w:t>年</w:t>
      </w:r>
      <w:r>
        <w:rPr>
          <w:rFonts w:hint="eastAsia" w:ascii="宋体" w:hAnsi="宋体" w:cs="宋体"/>
          <w:snapToGrid w:val="0"/>
          <w:color w:val="auto"/>
          <w:kern w:val="0"/>
          <w:szCs w:val="21"/>
          <w:highlight w:val="none"/>
          <w:u w:val="single"/>
          <w:lang w:val="en-US" w:eastAsia="zh-CN"/>
        </w:rPr>
        <w:t>6</w:t>
      </w:r>
      <w:r>
        <w:rPr>
          <w:rFonts w:hint="eastAsia" w:ascii="宋体" w:hAnsi="宋体" w:eastAsia="宋体" w:cs="宋体"/>
          <w:color w:val="auto"/>
          <w:highlight w:val="none"/>
        </w:rPr>
        <w:t>月</w:t>
      </w:r>
      <w:r>
        <w:rPr>
          <w:rFonts w:hint="eastAsia" w:ascii="宋体" w:hAnsi="宋体" w:cs="宋体"/>
          <w:snapToGrid w:val="0"/>
          <w:color w:val="auto"/>
          <w:kern w:val="0"/>
          <w:szCs w:val="21"/>
          <w:highlight w:val="none"/>
          <w:u w:val="single"/>
          <w:lang w:val="en-US" w:eastAsia="zh-CN"/>
        </w:rPr>
        <w:t>6</w:t>
      </w:r>
      <w:r>
        <w:rPr>
          <w:rFonts w:hint="eastAsia" w:ascii="宋体" w:hAnsi="宋体" w:eastAsia="宋体" w:cs="宋体"/>
          <w:color w:val="auto"/>
          <w:highlight w:val="none"/>
        </w:rPr>
        <w:t>日</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30</w:t>
      </w:r>
      <w:r>
        <w:rPr>
          <w:rFonts w:hint="eastAsia" w:ascii="宋体" w:hAnsi="宋体" w:eastAsia="宋体" w:cs="宋体"/>
          <w:color w:val="auto"/>
          <w:highlight w:val="none"/>
        </w:rPr>
        <w:t>分</w:t>
      </w:r>
      <w:r>
        <w:rPr>
          <w:rFonts w:hint="eastAsia" w:ascii="宋体" w:hAnsi="宋体" w:eastAsia="宋体" w:cs="宋体"/>
          <w:snapToGrid w:val="0"/>
          <w:color w:val="auto"/>
          <w:highlight w:val="none"/>
        </w:rPr>
        <w:t>，地点为</w:t>
      </w:r>
      <w:r>
        <w:rPr>
          <w:rFonts w:hint="eastAsia" w:ascii="宋体" w:hAnsi="宋体" w:eastAsia="宋体" w:cs="宋体"/>
          <w:snapToGrid w:val="0"/>
          <w:color w:val="auto"/>
          <w:highlight w:val="none"/>
          <w:u w:val="single"/>
          <w:lang w:val="en-US" w:eastAsia="zh-CN"/>
        </w:rPr>
        <w:t>西泽苑小区物业会议室（重庆市沙坪坝区陈家桥桥北一路4号）</w:t>
      </w:r>
      <w:r>
        <w:rPr>
          <w:rFonts w:hint="eastAsia" w:ascii="宋体" w:hAnsi="宋体" w:eastAsia="宋体" w:cs="宋体"/>
          <w:snapToGrid w:val="0"/>
          <w:color w:val="auto"/>
          <w:highlight w:val="none"/>
        </w:rPr>
        <w:t>。</w:t>
      </w:r>
    </w:p>
    <w:p>
      <w:pPr>
        <w:tabs>
          <w:tab w:val="left" w:pos="495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highlight w:val="none"/>
        </w:rPr>
        <w:t>5.2逾期送达的或者未送达指定地点的竞选文件，比选人不予受</w:t>
      </w:r>
      <w:r>
        <w:rPr>
          <w:rFonts w:hint="eastAsia" w:ascii="宋体" w:hAnsi="宋体" w:eastAsia="宋体" w:cs="宋体"/>
          <w:snapToGrid w:val="0"/>
          <w:color w:val="auto"/>
          <w:kern w:val="0"/>
          <w:szCs w:val="21"/>
        </w:rPr>
        <w:t>理。</w:t>
      </w:r>
    </w:p>
    <w:p>
      <w:pPr>
        <w:pStyle w:val="4"/>
        <w:keepNext/>
        <w:keepLines/>
        <w:autoSpaceDE/>
        <w:autoSpaceDN/>
        <w:spacing w:line="500" w:lineRule="exact"/>
        <w:jc w:val="both"/>
        <w:rPr>
          <w:rFonts w:hint="eastAsia" w:ascii="宋体" w:hAnsi="宋体" w:eastAsia="宋体" w:cs="宋体"/>
          <w:bCs/>
          <w:color w:val="auto"/>
          <w:spacing w:val="0"/>
          <w:w w:val="100"/>
          <w:kern w:val="0"/>
          <w:sz w:val="21"/>
          <w:szCs w:val="21"/>
        </w:rPr>
      </w:pPr>
      <w:bookmarkStart w:id="7" w:name="_Toc23284"/>
      <w:bookmarkStart w:id="8" w:name="_Toc12359"/>
      <w:bookmarkStart w:id="9" w:name="_Toc121128921"/>
      <w:bookmarkStart w:id="10" w:name="_Toc21885"/>
      <w:r>
        <w:rPr>
          <w:rFonts w:hint="eastAsia" w:ascii="宋体" w:hAnsi="宋体" w:eastAsia="宋体" w:cs="宋体"/>
          <w:bCs/>
          <w:color w:val="auto"/>
          <w:spacing w:val="0"/>
          <w:w w:val="100"/>
          <w:kern w:val="0"/>
          <w:sz w:val="21"/>
          <w:szCs w:val="21"/>
        </w:rPr>
        <w:t>6.发布公告的媒介</w:t>
      </w:r>
      <w:bookmarkEnd w:id="7"/>
      <w:bookmarkEnd w:id="8"/>
      <w:bookmarkEnd w:id="9"/>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rPr>
        <w:t>本次比选公告在</w:t>
      </w:r>
      <w:r>
        <w:rPr>
          <w:rFonts w:hint="eastAsia" w:ascii="宋体" w:hAnsi="宋体" w:eastAsia="宋体" w:cs="宋体"/>
          <w:snapToGrid w:val="0"/>
          <w:color w:val="auto"/>
          <w:lang w:eastAsia="zh-CN"/>
        </w:rPr>
        <w:t>行采家（https://www.gec123.com/）</w:t>
      </w:r>
      <w:r>
        <w:rPr>
          <w:rFonts w:hint="eastAsia" w:ascii="宋体" w:hAnsi="宋体" w:eastAsia="宋体" w:cs="宋体"/>
          <w:snapToGrid w:val="0"/>
          <w:color w:val="auto"/>
        </w:rPr>
        <w:t>网上发布。</w:t>
      </w:r>
    </w:p>
    <w:p>
      <w:pPr>
        <w:pStyle w:val="4"/>
        <w:keepNext/>
        <w:keepLines/>
        <w:autoSpaceDE/>
        <w:autoSpaceDN/>
        <w:spacing w:line="500" w:lineRule="exact"/>
        <w:jc w:val="both"/>
        <w:rPr>
          <w:rFonts w:hint="eastAsia"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7.联系方式</w:t>
      </w:r>
      <w:bookmarkEnd w:id="10"/>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比 选 人：重庆荣合物业服务有限公司</w:t>
      </w:r>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bookmarkStart w:id="11" w:name="OLE_LINK33"/>
      <w:r>
        <w:rPr>
          <w:rFonts w:hint="eastAsia" w:ascii="宋体" w:hAnsi="宋体" w:eastAsia="宋体" w:cs="宋体"/>
          <w:snapToGrid w:val="0"/>
          <w:color w:val="auto"/>
          <w:highlight w:val="none"/>
        </w:rPr>
        <w:t>地    址</w:t>
      </w:r>
      <w:bookmarkEnd w:id="11"/>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eastAsia="zh-CN"/>
        </w:rPr>
        <w:t>九龙坡区石桥铺白马凼3号二楼</w:t>
      </w:r>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联 系 人：马老师</w:t>
      </w:r>
    </w:p>
    <w:p>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rPr>
        <w:t>电    话：</w:t>
      </w:r>
      <w:r>
        <w:rPr>
          <w:rFonts w:hint="eastAsia" w:ascii="宋体" w:hAnsi="宋体" w:eastAsia="宋体" w:cs="宋体"/>
          <w:snapToGrid w:val="0"/>
          <w:color w:val="auto"/>
          <w:highlight w:val="none"/>
          <w:lang w:eastAsia="zh-CN"/>
        </w:rPr>
        <w:t>023-86058167</w:t>
      </w:r>
      <w:r>
        <w:rPr>
          <w:rFonts w:hint="eastAsia" w:ascii="宋体" w:hAnsi="宋体" w:cs="宋体"/>
          <w:snapToGrid w:val="0"/>
          <w:color w:val="auto"/>
          <w:highlight w:val="none"/>
          <w:lang w:val="en-US" w:eastAsia="zh-CN"/>
        </w:rPr>
        <w:t>，13983633299</w:t>
      </w:r>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eastAsia="zh-CN"/>
        </w:rPr>
      </w:pPr>
      <w:r>
        <w:rPr>
          <w:rFonts w:hint="eastAsia" w:ascii="宋体" w:hAnsi="宋体" w:eastAsia="宋体" w:cs="宋体"/>
          <w:snapToGrid w:val="0"/>
          <w:color w:val="auto"/>
        </w:rPr>
        <w:t>比选代理机构：</w:t>
      </w:r>
      <w:r>
        <w:rPr>
          <w:rFonts w:hint="eastAsia" w:ascii="宋体" w:hAnsi="宋体" w:eastAsia="宋体" w:cs="宋体"/>
          <w:snapToGrid w:val="0"/>
          <w:color w:val="auto"/>
          <w:lang w:eastAsia="zh-CN"/>
        </w:rPr>
        <w:t>重庆爱采招标代理有限公司</w:t>
      </w:r>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eastAsia="宋体" w:cs="宋体"/>
          <w:snapToGrid w:val="0"/>
          <w:color w:val="auto"/>
        </w:rPr>
        <w:t>地址：重庆市巴南区李渡路59号（李家沱大融城B4栋）2-1、2-2</w:t>
      </w:r>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eastAsia="宋体" w:cs="宋体"/>
          <w:snapToGrid w:val="0"/>
          <w:color w:val="auto"/>
        </w:rPr>
        <w:t xml:space="preserve">联系人：李老师 </w:t>
      </w:r>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eastAsia="宋体" w:cs="宋体"/>
          <w:snapToGrid w:val="0"/>
          <w:color w:val="auto"/>
        </w:rPr>
        <w:t>联系电话：023-62551600，17323966875</w:t>
      </w:r>
    </w:p>
    <w:p>
      <w:pPr>
        <w:tabs>
          <w:tab w:val="left" w:pos="4950"/>
        </w:tabs>
        <w:autoSpaceDE w:val="0"/>
        <w:autoSpaceDN w:val="0"/>
        <w:adjustRightInd w:val="0"/>
        <w:snapToGrid w:val="0"/>
        <w:spacing w:line="360" w:lineRule="auto"/>
        <w:jc w:val="right"/>
        <w:rPr>
          <w:rFonts w:hint="eastAsia" w:ascii="宋体" w:hAnsi="宋体" w:eastAsia="宋体" w:cs="宋体"/>
          <w:snapToGrid w:val="0"/>
          <w:color w:val="auto"/>
          <w:kern w:val="0"/>
          <w:szCs w:val="21"/>
        </w:rPr>
      </w:pPr>
    </w:p>
    <w:p>
      <w:pPr>
        <w:pStyle w:val="3"/>
        <w:numPr>
          <w:ilvl w:val="0"/>
          <w:numId w:val="0"/>
        </w:numPr>
        <w:rPr>
          <w:rFonts w:hint="eastAsia" w:ascii="宋体" w:hAnsi="宋体" w:eastAsia="宋体" w:cs="宋体"/>
          <w:b/>
          <w:color w:val="auto"/>
          <w:kern w:val="0"/>
          <w:szCs w:val="22"/>
        </w:rPr>
      </w:pPr>
      <w:r>
        <w:rPr>
          <w:rFonts w:hint="eastAsia" w:ascii="宋体" w:hAnsi="宋体" w:eastAsia="宋体" w:cs="宋体"/>
          <w:snapToGrid w:val="0"/>
          <w:color w:val="auto"/>
          <w:kern w:val="0"/>
          <w:szCs w:val="21"/>
        </w:rPr>
        <w:br w:type="page"/>
      </w:r>
      <w:bookmarkStart w:id="12" w:name="_Toc444155909"/>
      <w:bookmarkStart w:id="13" w:name="_Toc20583"/>
      <w:bookmarkStart w:id="14" w:name="_Toc23473"/>
      <w:bookmarkStart w:id="15" w:name="_Toc4239"/>
      <w:bookmarkStart w:id="16" w:name="_Toc25441"/>
      <w:bookmarkStart w:id="17" w:name="_Toc16932"/>
      <w:r>
        <w:rPr>
          <w:rFonts w:hint="eastAsia" w:ascii="宋体" w:hAnsi="宋体" w:eastAsia="宋体" w:cs="宋体"/>
          <w:b/>
          <w:color w:val="auto"/>
          <w:kern w:val="0"/>
          <w:sz w:val="36"/>
          <w:szCs w:val="36"/>
        </w:rPr>
        <w:t>第二章 竞选人须知</w:t>
      </w:r>
      <w:bookmarkEnd w:id="12"/>
      <w:bookmarkEnd w:id="13"/>
      <w:bookmarkEnd w:id="14"/>
      <w:bookmarkEnd w:id="15"/>
      <w:bookmarkEnd w:id="16"/>
      <w:bookmarkEnd w:id="17"/>
    </w:p>
    <w:p>
      <w:pPr>
        <w:pStyle w:val="4"/>
        <w:jc w:val="both"/>
        <w:rPr>
          <w:rFonts w:hint="eastAsia" w:ascii="宋体" w:hAnsi="宋体" w:eastAsia="宋体" w:cs="宋体"/>
          <w:color w:val="auto"/>
          <w:w w:val="100"/>
          <w:sz w:val="21"/>
          <w:szCs w:val="21"/>
        </w:rPr>
      </w:pPr>
      <w:bookmarkStart w:id="18" w:name="_Toc13397"/>
      <w:bookmarkStart w:id="19" w:name="_Toc18771"/>
      <w:bookmarkStart w:id="20" w:name="_Toc354386951"/>
      <w:bookmarkStart w:id="21" w:name="_Toc22072"/>
      <w:bookmarkStart w:id="22" w:name="_Toc444155910"/>
      <w:bookmarkStart w:id="23" w:name="_Toc19448"/>
      <w:bookmarkStart w:id="24" w:name="_Toc356243614"/>
      <w:bookmarkStart w:id="25" w:name="_Toc32029"/>
      <w:r>
        <w:rPr>
          <w:rFonts w:hint="eastAsia" w:ascii="宋体" w:hAnsi="宋体" w:eastAsia="宋体" w:cs="宋体"/>
          <w:color w:val="auto"/>
          <w:w w:val="100"/>
          <w:sz w:val="21"/>
          <w:szCs w:val="21"/>
        </w:rPr>
        <w:t>竞选人须知前附表</w:t>
      </w:r>
      <w:bookmarkEnd w:id="18"/>
      <w:bookmarkEnd w:id="19"/>
      <w:bookmarkEnd w:id="20"/>
      <w:bookmarkEnd w:id="21"/>
      <w:bookmarkEnd w:id="22"/>
      <w:bookmarkEnd w:id="23"/>
      <w:bookmarkEnd w:id="24"/>
      <w:bookmarkEnd w:id="25"/>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正文内容不允许修改。若竞选人须知前附表与正文不一致的地方，以竞选人须知前附表为准。</w:t>
      </w:r>
    </w:p>
    <w:tbl>
      <w:tblPr>
        <w:tblStyle w:val="49"/>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768"/>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条款号</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条款名称</w:t>
            </w:r>
          </w:p>
        </w:tc>
        <w:tc>
          <w:tcPr>
            <w:tcW w:w="697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1.1.2</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比选人</w:t>
            </w:r>
          </w:p>
        </w:tc>
        <w:tc>
          <w:tcPr>
            <w:tcW w:w="6978" w:type="dxa"/>
            <w:vAlign w:val="center"/>
          </w:tcPr>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比 选 人：重庆荣合物业服务有限公司</w:t>
            </w:r>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地    址：</w:t>
            </w:r>
            <w:r>
              <w:rPr>
                <w:rFonts w:hint="eastAsia" w:ascii="宋体" w:hAnsi="宋体" w:eastAsia="宋体" w:cs="宋体"/>
                <w:snapToGrid w:val="0"/>
                <w:color w:val="auto"/>
                <w:highlight w:val="none"/>
                <w:lang w:eastAsia="zh-CN"/>
              </w:rPr>
              <w:t>九龙坡区石桥铺白马凼3号二楼</w:t>
            </w:r>
          </w:p>
          <w:p>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联 系 人：马老师</w:t>
            </w:r>
          </w:p>
          <w:p>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snapToGrid w:val="0"/>
                <w:color w:val="auto"/>
                <w:highlight w:val="none"/>
              </w:rPr>
              <w:t>电    话：</w:t>
            </w:r>
            <w:r>
              <w:rPr>
                <w:rFonts w:hint="eastAsia" w:ascii="宋体" w:hAnsi="宋体" w:eastAsia="宋体" w:cs="宋体"/>
                <w:snapToGrid w:val="0"/>
                <w:color w:val="auto"/>
                <w:highlight w:val="none"/>
                <w:lang w:eastAsia="zh-CN"/>
              </w:rPr>
              <w:t>023-86058167</w:t>
            </w:r>
            <w:r>
              <w:rPr>
                <w:rFonts w:hint="eastAsia" w:ascii="宋体" w:hAnsi="宋体" w:cs="宋体"/>
                <w:snapToGrid w:val="0"/>
                <w:color w:val="auto"/>
                <w:highlight w:val="none"/>
                <w:lang w:val="en-US" w:eastAsia="zh-CN"/>
              </w:rPr>
              <w:t>，13983633299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1.1.3</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比选代理机构</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比选代理机构：重庆爱采招标代理有限公司</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地址：重庆市巴南区李渡路59号（李家沱大融城B4栋）2-1、2-2</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联系人：李老师 </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联系电话：023-62551600，17323966875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1.1.4</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项目名称</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eastAsia="zh-CN"/>
              </w:rPr>
              <w:t>西泽苑小区消防报警设备、设施更新维修服务项目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1.1.5</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snapToGrid w:val="0"/>
                <w:color w:val="auto"/>
                <w:kern w:val="0"/>
                <w:szCs w:val="21"/>
                <w:lang w:val="en-US" w:eastAsia="zh-CN"/>
              </w:rPr>
              <w:t>建设</w:t>
            </w:r>
            <w:r>
              <w:rPr>
                <w:rFonts w:hint="eastAsia" w:ascii="宋体" w:hAnsi="宋体" w:eastAsia="宋体" w:cs="宋体"/>
                <w:snapToGrid w:val="0"/>
                <w:color w:val="auto"/>
                <w:kern w:val="0"/>
                <w:szCs w:val="21"/>
              </w:rPr>
              <w:t>地点</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重庆市沙坪坝区陈家桥桥北一路4号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1.1.6</w:t>
            </w:r>
          </w:p>
        </w:tc>
        <w:tc>
          <w:tcPr>
            <w:tcW w:w="1768" w:type="dxa"/>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项目概况</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val="en-US" w:eastAsia="zh-CN"/>
              </w:rPr>
              <w:t>西泽苑小区消防报警设备、设施更新维修服务项目，整改内容包含消防水系统、火灾自动报警系统、气体灭火系统、应急照明系统等。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1.2.1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资金来源</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eastAsia="zh-CN"/>
              </w:rPr>
              <w:t>比选人自筹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1.2.2</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出资比例</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1.2.3</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资金落实情况</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1.3.1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snapToGrid w:val="0"/>
                <w:color w:val="auto"/>
                <w:szCs w:val="21"/>
              </w:rPr>
              <w:t>比选</w:t>
            </w:r>
            <w:r>
              <w:rPr>
                <w:rFonts w:hint="eastAsia" w:ascii="宋体" w:hAnsi="宋体" w:eastAsia="宋体" w:cs="宋体"/>
                <w:color w:val="auto"/>
                <w:kern w:val="0"/>
                <w:szCs w:val="21"/>
              </w:rPr>
              <w:t>范围</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本项目为西泽苑小区消防报警设备、设施更新维修服务项目，整改内容包含:</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（1）消防水系统：泵房、2#、3#楼、屋顶、车库等设备、阀门、管道、消防箱、灭火器整改；</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（2）火灾自动报警系统：1#、2#楼及商业部分报警设备、管线、装饰等整改；</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（3）气体灭火系统：车库配电室气体灭火设备、风机控制柜、风管、防火门等整改；</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（4）应急照明系统：1#、2#、3#塔楼、商业、车库、泵房、控制室、专配等应急灯具整改。</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竞选人自行踏勘了解可能漏项的内容及工程量，工程量清单和图纸详见附件。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1.3.2</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工期</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highlight w:val="none"/>
                <w:u w:val="single"/>
                <w:lang w:val="en-US" w:eastAsia="zh-CN"/>
              </w:rPr>
              <w:t>60</w:t>
            </w:r>
            <w:r>
              <w:rPr>
                <w:rFonts w:hint="eastAsia" w:ascii="宋体" w:hAnsi="宋体" w:eastAsia="宋体" w:cs="宋体"/>
                <w:snapToGrid w:val="0"/>
                <w:color w:val="auto"/>
                <w:kern w:val="0"/>
                <w:szCs w:val="21"/>
                <w:highlight w:val="none"/>
                <w:u w:val="none"/>
                <w:lang w:val="en-US" w:eastAsia="zh-CN"/>
              </w:rPr>
              <w:t>个</w:t>
            </w:r>
            <w:r>
              <w:rPr>
                <w:rFonts w:hint="eastAsia" w:ascii="宋体" w:hAnsi="宋体" w:eastAsia="宋体" w:cs="宋体"/>
                <w:snapToGrid w:val="0"/>
                <w:color w:val="auto"/>
                <w:kern w:val="0"/>
                <w:szCs w:val="21"/>
                <w:highlight w:val="none"/>
                <w:lang w:val="en-US" w:eastAsia="zh-CN"/>
              </w:rPr>
              <w:t>日历日</w:t>
            </w:r>
            <w:r>
              <w:rPr>
                <w:rFonts w:hint="eastAsia" w:ascii="宋体" w:hAnsi="宋体" w:cs="宋体"/>
                <w:snapToGrid w:val="0"/>
                <w:color w:val="auto"/>
                <w:kern w:val="0"/>
                <w:szCs w:val="21"/>
                <w:highlight w:val="none"/>
                <w:lang w:val="en-US" w:eastAsia="zh-CN"/>
              </w:rPr>
              <w:t>达到使用</w:t>
            </w:r>
            <w:r>
              <w:rPr>
                <w:rFonts w:hint="eastAsia" w:ascii="宋体" w:hAnsi="宋体" w:eastAsia="宋体" w:cs="宋体"/>
                <w:snapToGrid w:val="0"/>
                <w:color w:val="auto"/>
                <w:kern w:val="0"/>
                <w:szCs w:val="21"/>
                <w:lang w:eastAsia="zh-CN"/>
              </w:rPr>
              <w:t>，</w:t>
            </w:r>
            <w:r>
              <w:rPr>
                <w:rFonts w:hint="eastAsia" w:ascii="宋体" w:hAnsi="宋体" w:eastAsia="宋体" w:cs="宋体"/>
                <w:snapToGrid w:val="0"/>
                <w:color w:val="auto"/>
                <w:kern w:val="0"/>
                <w:szCs w:val="21"/>
              </w:rPr>
              <w:t>缺陷责任期要求：</w:t>
            </w:r>
            <w:r>
              <w:rPr>
                <w:rFonts w:hint="eastAsia" w:ascii="宋体" w:hAnsi="宋体" w:eastAsia="宋体" w:cs="宋体"/>
                <w:snapToGrid w:val="0"/>
                <w:color w:val="auto"/>
                <w:kern w:val="0"/>
                <w:szCs w:val="21"/>
                <w:u w:val="single"/>
                <w:lang w:val="en-US" w:eastAsia="zh-CN"/>
              </w:rPr>
              <w:t>24</w:t>
            </w:r>
            <w:r>
              <w:rPr>
                <w:rFonts w:hint="eastAsia" w:ascii="宋体" w:hAnsi="宋体" w:eastAsia="宋体" w:cs="宋体"/>
                <w:snapToGrid w:val="0"/>
                <w:color w:val="auto"/>
                <w:kern w:val="0"/>
                <w:szCs w:val="21"/>
                <w:u w:val="singl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1.3.3</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质量要求</w:t>
            </w:r>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2"/>
              </w:rPr>
              <w:t>必须满足国家、重庆市现行相关规定和要求规范，符合比选人的质量要求。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1.4.1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bookmarkStart w:id="26" w:name="OLE_LINK117"/>
            <w:bookmarkStart w:id="27" w:name="OLE_LINK116"/>
            <w:bookmarkStart w:id="28" w:name="OLE_LINK115"/>
            <w:r>
              <w:rPr>
                <w:rFonts w:hint="eastAsia" w:ascii="宋体" w:hAnsi="宋体" w:eastAsia="宋体" w:cs="宋体"/>
                <w:color w:val="auto"/>
                <w:kern w:val="0"/>
                <w:szCs w:val="21"/>
              </w:rPr>
              <w:t>竞选人资质条件、能力和信誉</w:t>
            </w:r>
            <w:bookmarkEnd w:id="26"/>
            <w:bookmarkEnd w:id="27"/>
            <w:bookmarkEnd w:id="28"/>
          </w:p>
        </w:tc>
        <w:tc>
          <w:tcPr>
            <w:tcW w:w="6978" w:type="dxa"/>
            <w:vAlign w:val="center"/>
          </w:tcPr>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2"/>
              </w:rPr>
              <w:t>本比选项目实行资格后审，竞选人应具备以下资格条件：</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2"/>
              </w:rPr>
              <w:t>1.营业执照</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2"/>
              </w:rPr>
              <w:t>竞选人须具备独立法人资格，具有有效的营业执照。</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2"/>
              </w:rPr>
              <w:t>竞选人须在竞选文件中提供营业执照复印件。</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2.特定资格条件</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竞选人应具备建设行政主管部门颁发的消防设施工程专业承包资质二级及以上资质，且具备有效的安全生产许可证。（提供相关的证书复印件并加盖竞选人公章）。</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w:t>
            </w:r>
            <w:r>
              <w:rPr>
                <w:rFonts w:hint="eastAsia" w:ascii="宋体" w:hAnsi="宋体" w:eastAsia="宋体" w:cs="宋体"/>
                <w:color w:val="auto"/>
                <w:szCs w:val="22"/>
              </w:rPr>
              <w:t>竞选截止日竞选资格情况</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2"/>
              </w:rPr>
              <w:t>竞选人自行承诺不得存在下列情形之一（格式详见第</w:t>
            </w:r>
            <w:r>
              <w:rPr>
                <w:rFonts w:hint="eastAsia" w:ascii="宋体" w:hAnsi="宋体" w:eastAsia="宋体" w:cs="宋体"/>
                <w:color w:val="auto"/>
                <w:szCs w:val="22"/>
                <w:lang w:val="en-US" w:eastAsia="zh-CN"/>
              </w:rPr>
              <w:t>八</w:t>
            </w:r>
            <w:r>
              <w:rPr>
                <w:rFonts w:hint="eastAsia" w:ascii="宋体" w:hAnsi="宋体" w:eastAsia="宋体" w:cs="宋体"/>
                <w:color w:val="auto"/>
                <w:szCs w:val="22"/>
              </w:rPr>
              <w:t>章竞选文件格式）：</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2"/>
                <w:lang w:val="en-US" w:eastAsia="zh-CN"/>
              </w:rPr>
              <w:t>3</w:t>
            </w:r>
            <w:r>
              <w:rPr>
                <w:rFonts w:hint="eastAsia" w:ascii="宋体" w:hAnsi="宋体" w:eastAsia="宋体" w:cs="宋体"/>
                <w:color w:val="auto"/>
                <w:szCs w:val="22"/>
              </w:rPr>
              <w:t>.1被人民法院列入失信被执行人名单且在被执行期内；</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2"/>
                <w:lang w:val="en-US" w:eastAsia="zh-CN"/>
              </w:rPr>
              <w:t>3</w:t>
            </w:r>
            <w:r>
              <w:rPr>
                <w:rFonts w:hint="eastAsia" w:ascii="宋体" w:hAnsi="宋体" w:eastAsia="宋体" w:cs="宋体"/>
                <w:color w:val="auto"/>
                <w:szCs w:val="22"/>
              </w:rPr>
              <w:t>.2被国家、重庆市（含市或任意区县）有关行政部门处以暂停投标资格行政处罚，且在处罚期限内；</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2"/>
              </w:rPr>
              <w:t>竞选人须在竞选文件中提供承诺。</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特别说明：</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⑴以上所有</w:t>
            </w:r>
            <w:r>
              <w:rPr>
                <w:rFonts w:hint="eastAsia" w:ascii="宋体" w:hAnsi="宋体" w:cs="宋体"/>
                <w:color w:val="auto"/>
                <w:szCs w:val="21"/>
                <w:lang w:val="en-US" w:eastAsia="zh-CN"/>
              </w:rPr>
              <w:t>资料</w:t>
            </w:r>
            <w:r>
              <w:rPr>
                <w:rFonts w:hint="eastAsia" w:ascii="宋体" w:hAnsi="宋体" w:eastAsia="宋体" w:cs="宋体"/>
                <w:color w:val="auto"/>
                <w:szCs w:val="21"/>
              </w:rPr>
              <w:t>均须加盖竞选人单位</w:t>
            </w:r>
            <w:r>
              <w:rPr>
                <w:rFonts w:hint="eastAsia" w:ascii="宋体" w:hAnsi="宋体" w:eastAsia="宋体" w:cs="宋体"/>
                <w:color w:val="auto"/>
                <w:szCs w:val="21"/>
                <w:lang w:val="en-US" w:eastAsia="zh-CN"/>
              </w:rPr>
              <w:t>公</w:t>
            </w:r>
            <w:r>
              <w:rPr>
                <w:rFonts w:hint="eastAsia" w:ascii="宋体" w:hAnsi="宋体" w:eastAsia="宋体" w:cs="宋体"/>
                <w:color w:val="auto"/>
                <w:szCs w:val="21"/>
              </w:rPr>
              <w:t>章。竞选人应对上述资料真实性负责，如提供虚假材料，比选人一经查实，将取消竞选资格或中选资格。</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rPr>
            </w:pPr>
            <w:r>
              <w:rPr>
                <w:rFonts w:hint="eastAsia" w:ascii="宋体" w:hAnsi="宋体" w:eastAsia="宋体" w:cs="宋体"/>
                <w:color w:val="auto"/>
                <w:szCs w:val="21"/>
              </w:rPr>
              <w:t>⑵不满足上述条件的，评审小组作否决比选处理。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1.4.2</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是否接受联合体参加</w:t>
            </w:r>
            <w:r>
              <w:rPr>
                <w:rFonts w:hint="eastAsia" w:ascii="宋体" w:hAnsi="宋体" w:eastAsia="宋体" w:cs="宋体"/>
                <w:color w:val="auto"/>
                <w:kern w:val="0"/>
                <w:szCs w:val="21"/>
                <w:lang w:val="en-US" w:eastAsia="zh-CN"/>
              </w:rPr>
              <w:t>竞</w:t>
            </w:r>
            <w:r>
              <w:rPr>
                <w:rFonts w:hint="eastAsia" w:ascii="宋体" w:hAnsi="宋体" w:eastAsia="宋体" w:cs="宋体"/>
                <w:color w:val="auto"/>
                <w:kern w:val="0"/>
                <w:szCs w:val="21"/>
              </w:rPr>
              <w:t>选</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2"/>
              </w:rPr>
            </w:pPr>
            <w:r>
              <w:rPr>
                <w:rFonts w:hint="eastAsia" w:ascii="宋体" w:hAnsi="宋体" w:eastAsia="宋体" w:cs="宋体"/>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1.9</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snapToGrid w:val="0"/>
                <w:color w:val="auto"/>
                <w:szCs w:val="21"/>
              </w:rPr>
              <w:t>比选</w:t>
            </w:r>
            <w:r>
              <w:rPr>
                <w:rFonts w:hint="eastAsia" w:ascii="宋体" w:hAnsi="宋体" w:eastAsia="宋体" w:cs="宋体"/>
                <w:color w:val="auto"/>
                <w:kern w:val="0"/>
                <w:szCs w:val="21"/>
              </w:rPr>
              <w:t>预备会</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2"/>
              </w:rPr>
            </w:pPr>
            <w:r>
              <w:rPr>
                <w:rFonts w:hint="eastAsia" w:ascii="宋体" w:hAnsi="宋体" w:eastAsia="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1.10</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分包</w:t>
            </w:r>
          </w:p>
        </w:tc>
        <w:tc>
          <w:tcPr>
            <w:tcW w:w="6978" w:type="dxa"/>
            <w:vAlign w:val="center"/>
          </w:tcPr>
          <w:p>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构成竞争性比选文件的其他材料</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前期资料及比选人发出的澄清与修改书或补充通知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adjustRightInd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2.2.1</w:t>
            </w:r>
          </w:p>
        </w:tc>
        <w:tc>
          <w:tcPr>
            <w:tcW w:w="1768" w:type="dxa"/>
            <w:vAlign w:val="center"/>
          </w:tcPr>
          <w:p>
            <w:pPr>
              <w:keepNext w:val="0"/>
              <w:keepLines w:val="0"/>
              <w:pageBreakBefore w:val="0"/>
              <w:kinsoku/>
              <w:wordWrap w:val="0"/>
              <w:overflowPunct/>
              <w:topLinePunct w:val="0"/>
              <w:bidi w:val="0"/>
              <w:adjustRightInd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竞选人要求澄清竞争性比选文件的截止时间</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2"/>
              </w:rPr>
              <w:t>竞选人</w:t>
            </w:r>
            <w:r>
              <w:rPr>
                <w:rFonts w:hint="eastAsia" w:ascii="宋体" w:hAnsi="宋体" w:eastAsia="宋体" w:cs="宋体"/>
                <w:color w:val="auto"/>
                <w:kern w:val="1"/>
                <w:szCs w:val="22"/>
              </w:rPr>
              <w:t>在收到竞争性比选文件及全部资料后，应仔细检查竞争性比选文件的所有内容，如有残缺或文字表述不清，以及存在错、碰、漏、缺、概念模糊和有可能出现歧义或理解上的偏差的内容等应</w:t>
            </w:r>
            <w:r>
              <w:rPr>
                <w:rFonts w:hint="eastAsia" w:ascii="宋体" w:hAnsi="宋体" w:eastAsia="宋体" w:cs="宋体"/>
                <w:color w:val="auto"/>
                <w:szCs w:val="22"/>
              </w:rPr>
              <w:t>以比选公告明确的方式在比选公告规定的时间前提交。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adjustRightInd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2.2.2</w:t>
            </w:r>
          </w:p>
        </w:tc>
        <w:tc>
          <w:tcPr>
            <w:tcW w:w="1768" w:type="dxa"/>
            <w:vAlign w:val="center"/>
          </w:tcPr>
          <w:p>
            <w:pPr>
              <w:keepNext w:val="0"/>
              <w:keepLines w:val="0"/>
              <w:pageBreakBefore w:val="0"/>
              <w:kinsoku/>
              <w:wordWrap w:val="0"/>
              <w:overflowPunct/>
              <w:topLinePunct w:val="0"/>
              <w:bidi w:val="0"/>
              <w:adjustRightInd w:val="0"/>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比选人对竞争性比选文件答疑及对竞争性比选文件的澄清与修改</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2"/>
                <w:highlight w:val="none"/>
              </w:rPr>
              <w:t>比选人应在比选公告规定的时间前，以比选公告明确的方式发布澄清。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2.3</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竞选文件递交截止时间</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rPr>
              <w:t>详见比选公告规定的竞选</w:t>
            </w:r>
            <w:r>
              <w:rPr>
                <w:rFonts w:hint="eastAsia" w:ascii="宋体" w:hAnsi="宋体" w:eastAsia="宋体" w:cs="宋体"/>
                <w:color w:val="auto"/>
                <w:szCs w:val="21"/>
                <w:lang w:val="en-US" w:eastAsia="zh-CN"/>
              </w:rPr>
              <w:t>文件递交</w:t>
            </w:r>
            <w:r>
              <w:rPr>
                <w:rFonts w:hint="eastAsia" w:ascii="宋体" w:hAnsi="宋体" w:eastAsia="宋体" w:cs="宋体"/>
                <w:color w:val="auto"/>
                <w:szCs w:val="21"/>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3.1.1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构成竞选文件的其他材料</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竞选人的书面澄清、说明和补正（但不得改变竞选文件的实质性内容）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3.2</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highlight w:val="none"/>
                <w:lang w:eastAsia="zh-CN"/>
              </w:rPr>
              <w:t>竞选报价</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工程计价方式：本工程采用工程量清单综合单价计价。</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清单依据：《重庆市建设工程工程量清单计价规范》（GQJLGZ -2013）、《建设工程工程量清单计价规范》（GB-50500-2013）、《房屋建筑工程与装饰工程工程量计算规范》（GB50854-2013）、《通用安装工程工程量计算规范》（GB50856-2013）、《重庆市建设工程工程量清单计价编制指南》。</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3、定额依据：按2018年《重庆市建筑工程计价定额》、2018年《重庆市市政工程计价定额》、2018年《重庆市装饰工程计价定额》、2018年《重庆市安装工程计价定额》等其他相关配套文件。</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人工和材料价格：人工单价按《重庆工程造价信息》最新公布的人工信息价主城片区调整；材料单价参照《重庆工程造价信息》最新公布的主城地区材料价格造价信息除税价并结合市场价调整。</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5.税金按重庆市城乡建设委员会关于适用增值税新税率调整建设工程计价依据的通知渝建〔2018〕195号标准执行，销项税按9%计取。</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6.安全文明施工费按渝建发[2018]29号2018年《重庆市建设工程费用定额》执行。</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报价应包括完成采购范围内工程项目的人工费、材料费、机械费、企业管理费、利润、风险费用、措施费（含易撒漏物资密闭运输的费用）、规费、安全文明施工费、税金、项目相关检测费、检验费、后期服务费、保险费、比选代理服务费等完成本项目所需的一切费用。</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竞选人在编制</w:t>
            </w:r>
            <w:r>
              <w:rPr>
                <w:rFonts w:hint="eastAsia" w:ascii="宋体" w:hAnsi="宋体" w:eastAsia="宋体" w:cs="宋体"/>
                <w:color w:val="auto"/>
                <w:szCs w:val="21"/>
                <w:highlight w:val="none"/>
                <w:lang w:eastAsia="zh-CN"/>
              </w:rPr>
              <w:t>竞选报价</w:t>
            </w:r>
            <w:r>
              <w:rPr>
                <w:rFonts w:hint="eastAsia" w:ascii="宋体" w:hAnsi="宋体" w:eastAsia="宋体" w:cs="宋体"/>
                <w:color w:val="auto"/>
                <w:szCs w:val="21"/>
                <w:highlight w:val="none"/>
              </w:rPr>
              <w:t>时不得擅自变改比选人提供的分部分项工程量清单中的序号、项目编码、项目名称、项目特征、工程内容、工程量及计量单位。</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lang w:val="en-US" w:eastAsia="zh-CN"/>
              </w:rPr>
              <w:t>本项目</w:t>
            </w:r>
            <w:r>
              <w:rPr>
                <w:rFonts w:hint="eastAsia" w:ascii="宋体" w:hAnsi="宋体" w:eastAsia="宋体" w:cs="宋体"/>
                <w:color w:val="auto"/>
                <w:szCs w:val="21"/>
                <w:highlight w:val="none"/>
              </w:rPr>
              <w:t>安全文明施工费</w:t>
            </w:r>
            <w:r>
              <w:rPr>
                <w:rFonts w:hint="eastAsia" w:ascii="宋体" w:hAnsi="宋体" w:cs="宋体"/>
                <w:color w:val="auto"/>
                <w:szCs w:val="21"/>
                <w:highlight w:val="none"/>
                <w:lang w:val="en-US" w:eastAsia="zh-CN"/>
              </w:rPr>
              <w:t>为20383.3元</w:t>
            </w:r>
            <w:r>
              <w:rPr>
                <w:rFonts w:hint="eastAsia" w:ascii="宋体" w:hAnsi="宋体" w:eastAsia="宋体" w:cs="宋体"/>
                <w:color w:val="auto"/>
                <w:szCs w:val="21"/>
                <w:highlight w:val="none"/>
              </w:rPr>
              <w:t>，须按</w:t>
            </w:r>
            <w:r>
              <w:rPr>
                <w:rFonts w:hint="eastAsia" w:ascii="宋体" w:hAnsi="宋体" w:cs="宋体"/>
                <w:color w:val="auto"/>
                <w:szCs w:val="21"/>
                <w:highlight w:val="none"/>
                <w:lang w:val="en-US" w:eastAsia="zh-CN"/>
              </w:rPr>
              <w:t>此金额</w:t>
            </w:r>
            <w:r>
              <w:rPr>
                <w:rFonts w:hint="eastAsia" w:ascii="宋体" w:hAnsi="宋体" w:eastAsia="宋体" w:cs="宋体"/>
                <w:color w:val="auto"/>
                <w:szCs w:val="21"/>
                <w:highlight w:val="none"/>
              </w:rPr>
              <w:t>填报，不得改变，否则按</w:t>
            </w:r>
            <w:r>
              <w:rPr>
                <w:rFonts w:hint="eastAsia" w:ascii="宋体" w:hAnsi="宋体" w:eastAsia="宋体" w:cs="宋体"/>
                <w:color w:val="auto"/>
                <w:szCs w:val="21"/>
                <w:highlight w:val="none"/>
                <w:lang w:eastAsia="zh-CN"/>
              </w:rPr>
              <w:t>竞选</w:t>
            </w:r>
            <w:r>
              <w:rPr>
                <w:rFonts w:hint="eastAsia" w:ascii="宋体" w:hAnsi="宋体" w:eastAsia="宋体" w:cs="宋体"/>
                <w:color w:val="auto"/>
                <w:szCs w:val="21"/>
                <w:highlight w:val="none"/>
              </w:rPr>
              <w:t>无效处理。</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2"/>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本项</w:t>
            </w:r>
            <w:r>
              <w:rPr>
                <w:rFonts w:hint="eastAsia" w:ascii="宋体" w:hAnsi="宋体" w:eastAsia="宋体" w:cs="宋体"/>
                <w:color w:val="auto"/>
                <w:szCs w:val="21"/>
                <w:highlight w:val="none"/>
                <w:lang w:eastAsia="zh-CN"/>
              </w:rPr>
              <w:t>竞选报价</w:t>
            </w:r>
            <w:r>
              <w:rPr>
                <w:rFonts w:hint="eastAsia" w:ascii="宋体" w:hAnsi="宋体" w:eastAsia="宋体" w:cs="宋体"/>
                <w:color w:val="auto"/>
                <w:szCs w:val="21"/>
                <w:highlight w:val="none"/>
              </w:rPr>
              <w:t>最高限价为</w:t>
            </w:r>
            <w:r>
              <w:rPr>
                <w:rFonts w:hint="eastAsia" w:ascii="宋体" w:hAnsi="宋体" w:eastAsia="宋体" w:cs="宋体"/>
                <w:color w:val="auto"/>
                <w:szCs w:val="21"/>
                <w:highlight w:val="none"/>
                <w:lang w:val="en-US" w:eastAsia="zh-CN"/>
              </w:rPr>
              <w:t>455158.46</w:t>
            </w:r>
            <w:r>
              <w:rPr>
                <w:rFonts w:hint="eastAsia" w:ascii="宋体" w:hAnsi="宋体" w:eastAsia="宋体" w:cs="宋体"/>
                <w:color w:val="auto"/>
                <w:szCs w:val="21"/>
                <w:highlight w:val="none"/>
              </w:rPr>
              <w:t>元，竞选人的</w:t>
            </w:r>
            <w:r>
              <w:rPr>
                <w:rFonts w:hint="eastAsia" w:ascii="宋体" w:hAnsi="宋体" w:eastAsia="宋体" w:cs="宋体"/>
                <w:color w:val="auto"/>
                <w:szCs w:val="21"/>
                <w:highlight w:val="none"/>
                <w:lang w:eastAsia="zh-CN"/>
              </w:rPr>
              <w:t>竞选报价</w:t>
            </w:r>
            <w:r>
              <w:rPr>
                <w:rFonts w:hint="eastAsia" w:ascii="宋体" w:hAnsi="宋体" w:eastAsia="宋体" w:cs="宋体"/>
                <w:color w:val="auto"/>
                <w:szCs w:val="21"/>
                <w:highlight w:val="none"/>
              </w:rPr>
              <w:t>不得超过最高限价，否则按</w:t>
            </w:r>
            <w:r>
              <w:rPr>
                <w:rFonts w:hint="eastAsia" w:ascii="宋体" w:hAnsi="宋体" w:eastAsia="宋体" w:cs="宋体"/>
                <w:color w:val="auto"/>
                <w:szCs w:val="21"/>
                <w:highlight w:val="none"/>
                <w:lang w:val="en-US" w:eastAsia="zh-CN"/>
              </w:rPr>
              <w:t>竞选</w:t>
            </w:r>
            <w:r>
              <w:rPr>
                <w:rFonts w:hint="eastAsia" w:ascii="宋体" w:hAnsi="宋体" w:eastAsia="宋体" w:cs="宋体"/>
                <w:color w:val="auto"/>
                <w:szCs w:val="21"/>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bookmarkStart w:id="29" w:name="_Hlk529015819"/>
            <w:bookmarkStart w:id="30" w:name="OLE_LINK165" w:colFirst="1" w:colLast="2"/>
            <w:bookmarkStart w:id="31" w:name="OLE_LINK166" w:colFirst="1" w:colLast="2"/>
            <w:bookmarkStart w:id="32" w:name="OLE_LINK167" w:colFirst="1" w:colLast="2"/>
            <w:bookmarkStart w:id="33" w:name="OLE_LINK169" w:colFirst="1" w:colLast="2"/>
            <w:bookmarkStart w:id="34" w:name="OLE_LINK162" w:colFirst="1" w:colLast="2"/>
            <w:bookmarkStart w:id="35" w:name="OLE_LINK168" w:colFirst="1" w:colLast="2"/>
            <w:bookmarkStart w:id="36" w:name="OLE_LINK164" w:colFirst="1" w:colLast="2"/>
            <w:bookmarkStart w:id="37" w:name="OLE_LINK163" w:colFirst="1" w:colLast="2"/>
            <w:r>
              <w:rPr>
                <w:rFonts w:hint="eastAsia" w:ascii="宋体" w:hAnsi="宋体" w:eastAsia="宋体" w:cs="宋体"/>
                <w:color w:val="auto"/>
                <w:kern w:val="0"/>
                <w:szCs w:val="21"/>
              </w:rPr>
              <w:t>3.3.1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bookmarkStart w:id="38" w:name="OLE_LINK160"/>
            <w:bookmarkStart w:id="39" w:name="OLE_LINK161"/>
            <w:r>
              <w:rPr>
                <w:rFonts w:hint="eastAsia" w:ascii="宋体" w:hAnsi="宋体" w:eastAsia="宋体" w:cs="宋体"/>
                <w:color w:val="auto"/>
                <w:kern w:val="0"/>
                <w:szCs w:val="21"/>
              </w:rPr>
              <w:t>竞选有效期</w:t>
            </w:r>
            <w:bookmarkEnd w:id="38"/>
            <w:bookmarkEnd w:id="39"/>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90日历天（从提交竞选文件截止日起计算）</w:t>
            </w:r>
          </w:p>
        </w:tc>
      </w:tr>
      <w:bookmarkEnd w:id="29"/>
      <w:bookmarkEnd w:id="30"/>
      <w:bookmarkEnd w:id="31"/>
      <w:bookmarkEnd w:id="32"/>
      <w:bookmarkEnd w:id="33"/>
      <w:bookmarkEnd w:id="34"/>
      <w:bookmarkEnd w:id="35"/>
      <w:bookmarkEnd w:id="36"/>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3.4.1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竞选保证金</w:t>
            </w:r>
          </w:p>
        </w:tc>
        <w:tc>
          <w:tcPr>
            <w:tcW w:w="6978" w:type="dxa"/>
            <w:vAlign w:val="center"/>
          </w:tcPr>
          <w:p>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竞选保证金金额均为：</w:t>
            </w:r>
            <w:r>
              <w:rPr>
                <w:rFonts w:hint="eastAsia" w:ascii="宋体" w:hAnsi="宋体" w:eastAsia="宋体" w:cs="宋体"/>
                <w:color w:val="auto"/>
                <w:highlight w:val="none"/>
                <w:lang w:val="en-US" w:eastAsia="zh-CN"/>
              </w:rPr>
              <w:t>8000</w:t>
            </w:r>
            <w:r>
              <w:rPr>
                <w:rFonts w:hint="eastAsia" w:ascii="宋体" w:hAnsi="宋体" w:eastAsia="宋体" w:cs="宋体"/>
                <w:color w:val="auto"/>
                <w:highlight w:val="none"/>
              </w:rPr>
              <w:t>元人民币</w:t>
            </w:r>
            <w:r>
              <w:rPr>
                <w:rFonts w:hint="eastAsia" w:ascii="宋体" w:hAnsi="宋体" w:eastAsia="宋体" w:cs="宋体"/>
                <w:color w:val="auto"/>
                <w:highlight w:val="none"/>
                <w:lang w:eastAsia="zh-CN"/>
              </w:rPr>
              <w:t>。</w:t>
            </w:r>
          </w:p>
          <w:p>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竞选保证金账户信息</w:t>
            </w:r>
          </w:p>
          <w:tbl>
            <w:tblPr>
              <w:tblStyle w:val="5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050"/>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pct"/>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szCs w:val="20"/>
                    </w:rPr>
                  </w:pPr>
                  <w:r>
                    <w:rPr>
                      <w:rFonts w:hint="eastAsia" w:ascii="宋体" w:hAnsi="宋体" w:eastAsia="宋体" w:cs="宋体"/>
                      <w:color w:val="auto"/>
                      <w:szCs w:val="22"/>
                    </w:rPr>
                    <w:t>开户银行</w:t>
                  </w:r>
                </w:p>
              </w:tc>
              <w:tc>
                <w:tcPr>
                  <w:tcW w:w="1518" w:type="pct"/>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szCs w:val="20"/>
                    </w:rPr>
                  </w:pPr>
                  <w:r>
                    <w:rPr>
                      <w:rFonts w:hint="eastAsia" w:ascii="宋体" w:hAnsi="宋体" w:eastAsia="宋体" w:cs="宋体"/>
                      <w:color w:val="auto"/>
                      <w:szCs w:val="22"/>
                    </w:rPr>
                    <w:t>户名</w:t>
                  </w:r>
                </w:p>
              </w:tc>
              <w:tc>
                <w:tcPr>
                  <w:tcW w:w="2068" w:type="pct"/>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szCs w:val="20"/>
                    </w:rPr>
                  </w:pPr>
                  <w:r>
                    <w:rPr>
                      <w:rFonts w:hint="eastAsia" w:ascii="宋体" w:hAnsi="宋体" w:eastAsia="宋体" w:cs="宋体"/>
                      <w:color w:val="auto"/>
                      <w:szCs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pct"/>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szCs w:val="20"/>
                    </w:rPr>
                  </w:pPr>
                  <w:r>
                    <w:rPr>
                      <w:rFonts w:hint="eastAsia" w:ascii="宋体" w:hAnsi="宋体" w:eastAsia="宋体" w:cs="宋体"/>
                      <w:color w:val="auto"/>
                      <w:szCs w:val="20"/>
                    </w:rPr>
                    <w:t>交通银行重庆巴南支行</w:t>
                  </w:r>
                </w:p>
              </w:tc>
              <w:tc>
                <w:tcPr>
                  <w:tcW w:w="1518" w:type="pct"/>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szCs w:val="20"/>
                      <w:lang w:eastAsia="zh-CN"/>
                    </w:rPr>
                  </w:pPr>
                  <w:r>
                    <w:rPr>
                      <w:rFonts w:hint="eastAsia" w:ascii="宋体" w:hAnsi="宋体" w:eastAsia="宋体" w:cs="宋体"/>
                      <w:color w:val="auto"/>
                      <w:szCs w:val="22"/>
                      <w:lang w:eastAsia="zh-CN"/>
                    </w:rPr>
                    <w:t>重庆爱采招标代理有限公司</w:t>
                  </w:r>
                </w:p>
              </w:tc>
              <w:tc>
                <w:tcPr>
                  <w:tcW w:w="2068" w:type="pct"/>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szCs w:val="20"/>
                    </w:rPr>
                  </w:pPr>
                  <w:r>
                    <w:rPr>
                      <w:rFonts w:hint="eastAsia" w:ascii="宋体" w:hAnsi="宋体" w:eastAsia="宋体" w:cs="宋体"/>
                      <w:color w:val="auto"/>
                      <w:szCs w:val="20"/>
                    </w:rPr>
                    <w:t xml:space="preserve">500122015018000012342 </w:t>
                  </w:r>
                </w:p>
              </w:tc>
            </w:tr>
          </w:tbl>
          <w:p>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注：竞选保证金必须从竞选人公司</w:t>
            </w:r>
            <w:r>
              <w:rPr>
                <w:rFonts w:hint="eastAsia" w:ascii="宋体" w:hAnsi="宋体" w:eastAsia="宋体" w:cs="宋体"/>
                <w:color w:val="auto"/>
                <w:lang w:val="en-US" w:eastAsia="zh-CN"/>
              </w:rPr>
              <w:t>基本</w:t>
            </w:r>
            <w:r>
              <w:rPr>
                <w:rFonts w:hint="eastAsia" w:ascii="宋体" w:hAnsi="宋体" w:eastAsia="宋体" w:cs="宋体"/>
                <w:color w:val="auto"/>
              </w:rPr>
              <w:t>账户直接转（汇）入。转（汇）款到账截止时间（到账时间）为</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lang w:val="en-US" w:eastAsia="zh-CN"/>
              </w:rPr>
              <w:t>6</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r>
              <w:rPr>
                <w:rFonts w:hint="eastAsia" w:ascii="宋体" w:hAnsi="宋体" w:eastAsia="宋体" w:cs="宋体"/>
                <w:color w:val="auto"/>
              </w:rPr>
              <w:t>（若本比选文件规定的竞选文件递交截止时间顺延，则竞选保证金到账截止时间相应顺延），以</w:t>
            </w:r>
            <w:r>
              <w:rPr>
                <w:rFonts w:hint="eastAsia" w:ascii="宋体" w:hAnsi="宋体" w:eastAsia="宋体" w:cs="宋体"/>
                <w:color w:val="auto"/>
                <w:lang w:eastAsia="zh-CN"/>
              </w:rPr>
              <w:t>重庆爱采招标代理有限公司</w:t>
            </w:r>
            <w:r>
              <w:rPr>
                <w:rFonts w:hint="eastAsia" w:ascii="宋体" w:hAnsi="宋体" w:eastAsia="宋体" w:cs="宋体"/>
                <w:color w:val="auto"/>
              </w:rPr>
              <w:t>财务到账信息为准，否则竞选无效。</w:t>
            </w:r>
          </w:p>
          <w:p>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lang w:val="en-US" w:eastAsia="zh-CN"/>
              </w:rPr>
              <w:t>竞选人须在付款凭证备注栏中注明是“</w:t>
            </w:r>
            <w:r>
              <w:rPr>
                <w:rFonts w:hint="eastAsia" w:ascii="宋体" w:hAnsi="宋体" w:eastAsia="宋体" w:cs="宋体"/>
                <w:color w:val="auto"/>
                <w:highlight w:val="none"/>
                <w:lang w:val="en-US" w:eastAsia="zh-CN"/>
              </w:rPr>
              <w:t>西泽苑小区维修”。</w:t>
            </w:r>
          </w:p>
          <w:p>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highlight w:val="none"/>
                <w:lang w:val="en-US" w:eastAsia="zh-CN"/>
              </w:rPr>
              <w:t>各竞选人在转（汇）款时充分考虑银行转（汇</w:t>
            </w:r>
            <w:r>
              <w:rPr>
                <w:rFonts w:hint="eastAsia" w:ascii="宋体" w:hAnsi="宋体" w:eastAsia="宋体" w:cs="宋体"/>
                <w:color w:val="auto"/>
                <w:lang w:val="en-US" w:eastAsia="zh-CN"/>
              </w:rPr>
              <w:t>）的时间差风险。</w:t>
            </w:r>
          </w:p>
          <w:p>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3.保证金退还方式</w:t>
            </w:r>
          </w:p>
          <w:p>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（1）未中选人的保证金，在中选通知书发放后5个工作日内按来款渠道直接退还。</w:t>
            </w:r>
          </w:p>
          <w:p>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2）中选人的保证金，在中选人与比选人签订合同后，5个工作日内按来款渠道直接退还（中选人签订采购合同后需及时将合同扫描件发送至2136746604@qq.com邮箱，如中选人未按时发送采购合同到指定邮箱导致其保证金未能及时退还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3.5</w:t>
            </w:r>
          </w:p>
        </w:tc>
        <w:tc>
          <w:tcPr>
            <w:tcW w:w="1768" w:type="dxa"/>
            <w:tcBorders>
              <w:top w:val="single" w:color="auto" w:sz="4" w:space="0"/>
            </w:tcBorders>
            <w:vAlign w:val="center"/>
          </w:tcPr>
          <w:p>
            <w:pPr>
              <w:pStyle w:val="164"/>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资格审查资料</w:t>
            </w:r>
          </w:p>
        </w:tc>
        <w:tc>
          <w:tcPr>
            <w:tcW w:w="6978" w:type="dxa"/>
            <w:tcBorders>
              <w:top w:val="single" w:color="auto" w:sz="4" w:space="0"/>
            </w:tcBorders>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bookmarkStart w:id="40" w:name="OLE_LINK105"/>
            <w:bookmarkStart w:id="41" w:name="OLE_LINK106"/>
            <w:r>
              <w:rPr>
                <w:rFonts w:hint="eastAsia" w:ascii="宋体" w:hAnsi="宋体" w:eastAsia="宋体" w:cs="宋体"/>
                <w:color w:val="auto"/>
                <w:szCs w:val="21"/>
              </w:rPr>
              <w:t>按本章须知1.4.1项规定提供。</w:t>
            </w:r>
            <w:bookmarkEnd w:id="40"/>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3.6</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是否允许递交备选竞选方案</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snapToGrid w:val="0"/>
                <w:color w:val="auto"/>
                <w:kern w:val="0"/>
                <w:szCs w:val="21"/>
              </w:rPr>
              <w:t>3.7.1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snapToGrid w:val="0"/>
                <w:color w:val="auto"/>
                <w:szCs w:val="21"/>
              </w:rPr>
              <w:t>竞选文件的编制</w:t>
            </w:r>
          </w:p>
        </w:tc>
        <w:tc>
          <w:tcPr>
            <w:tcW w:w="6978" w:type="dxa"/>
            <w:vAlign w:val="center"/>
          </w:tcPr>
          <w:p>
            <w:pPr>
              <w:keepNext w:val="0"/>
              <w:keepLines w:val="0"/>
              <w:pageBreakBefore w:val="0"/>
              <w:kinsoku/>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auto"/>
                <w:szCs w:val="21"/>
              </w:rPr>
            </w:pPr>
            <w:r>
              <w:rPr>
                <w:rFonts w:hint="eastAsia" w:ascii="宋体" w:hAnsi="宋体" w:eastAsia="宋体" w:cs="宋体"/>
                <w:snapToGrid w:val="0"/>
                <w:color w:val="auto"/>
                <w:kern w:val="0"/>
                <w:szCs w:val="21"/>
              </w:rPr>
              <w:t>竞选文件应按</w:t>
            </w:r>
            <w:r>
              <w:rPr>
                <w:rFonts w:hint="eastAsia" w:ascii="宋体" w:hAnsi="宋体" w:eastAsia="宋体" w:cs="宋体"/>
                <w:snapToGrid w:val="0"/>
                <w:color w:val="auto"/>
                <w:kern w:val="0"/>
                <w:szCs w:val="21"/>
                <w:lang w:eastAsia="zh-CN"/>
              </w:rPr>
              <w:t>第八章“竞选文件格式”</w:t>
            </w:r>
            <w:r>
              <w:rPr>
                <w:rFonts w:hint="eastAsia" w:ascii="宋体" w:hAnsi="宋体" w:eastAsia="宋体" w:cs="宋体"/>
                <w:snapToGrid w:val="0"/>
                <w:color w:val="auto"/>
                <w:kern w:val="0"/>
                <w:szCs w:val="21"/>
              </w:rPr>
              <w:t>进行编写，其中技术部分</w:t>
            </w:r>
            <w:r>
              <w:rPr>
                <w:rFonts w:hint="eastAsia" w:ascii="宋体" w:hAnsi="宋体" w:eastAsia="宋体" w:cs="宋体"/>
                <w:snapToGrid w:val="0"/>
                <w:color w:val="auto"/>
                <w:kern w:val="0"/>
                <w:szCs w:val="21"/>
                <w:lang w:val="en-US" w:eastAsia="zh-CN"/>
              </w:rPr>
              <w:t>原则上</w:t>
            </w:r>
            <w:r>
              <w:rPr>
                <w:rFonts w:hint="eastAsia" w:ascii="宋体" w:hAnsi="宋体" w:eastAsia="宋体" w:cs="宋体"/>
                <w:snapToGrid w:val="0"/>
                <w:color w:val="auto"/>
                <w:kern w:val="0"/>
                <w:szCs w:val="21"/>
              </w:rPr>
              <w:t>单面不超过200页，竞选文件可双面打印。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3.7.3</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签字盖章要求</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按本章竞选人须知3.7.3款执行。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3.7.4</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竞选文件的份数</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1.竞选文件一式叁份（其中：正本1份；副本2份，当副本和正本不一致时，以正本为准）；</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2.电子文档（U盘）：</w:t>
            </w:r>
            <w:r>
              <w:rPr>
                <w:rFonts w:hint="eastAsia" w:ascii="宋体" w:hAnsi="宋体" w:eastAsia="宋体" w:cs="宋体"/>
                <w:color w:val="auto"/>
                <w:szCs w:val="21"/>
                <w:lang w:val="en-US" w:eastAsia="zh-CN"/>
              </w:rPr>
              <w:t>1</w:t>
            </w:r>
            <w:r>
              <w:rPr>
                <w:rFonts w:hint="eastAsia" w:ascii="宋体" w:hAnsi="宋体" w:eastAsia="宋体" w:cs="宋体"/>
                <w:color w:val="auto"/>
                <w:szCs w:val="21"/>
              </w:rPr>
              <w:t>份（包含竞选文件所有资料的电子版）。电子文档需标明项目名称、竞选人单位名称并加盖竞选单位法人章，电子文档标注和盖章的要求只是为了存档使用，不作为否决竞选条件，请各竞选人配合标注并盖章。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3.7.5</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装订要求</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2"/>
              </w:rPr>
            </w:pPr>
            <w:r>
              <w:rPr>
                <w:rFonts w:hint="eastAsia" w:ascii="宋体" w:hAnsi="宋体" w:eastAsia="宋体" w:cs="宋体"/>
                <w:color w:val="auto"/>
                <w:szCs w:val="22"/>
              </w:rPr>
              <w:t>1.竞选文件须装订成一册，并需编制目录，若装订过厚，也可分订成多册。竞选人应将竞选文件正副本分别装订成册。</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2"/>
              </w:rPr>
            </w:pPr>
            <w:r>
              <w:rPr>
                <w:rFonts w:hint="eastAsia" w:ascii="宋体" w:hAnsi="宋体" w:eastAsia="宋体" w:cs="宋体"/>
                <w:color w:val="auto"/>
                <w:szCs w:val="22"/>
              </w:rPr>
              <w:t>2.竞选文件分为正本和副本，正本文件内签字和盖章须为原件。副本可为正本的复印件。</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2"/>
              </w:rPr>
            </w:pPr>
            <w:r>
              <w:rPr>
                <w:rFonts w:hint="eastAsia" w:ascii="宋体" w:hAnsi="宋体" w:eastAsia="宋体" w:cs="宋体"/>
                <w:color w:val="auto"/>
                <w:szCs w:val="22"/>
              </w:rPr>
              <w:t>3.竞争性比选文件中已提供了竞选文件格式的部分，须按其格式填写和提供。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4.1.1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竞选文件的密封</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val="en-GB"/>
              </w:rPr>
            </w:pPr>
            <w:r>
              <w:rPr>
                <w:rFonts w:hint="eastAsia" w:ascii="宋体" w:hAnsi="宋体" w:eastAsia="宋体" w:cs="宋体"/>
                <w:color w:val="auto"/>
                <w:szCs w:val="21"/>
                <w:lang w:val="en-GB"/>
              </w:rPr>
              <w:t>1.</w:t>
            </w:r>
            <w:r>
              <w:rPr>
                <w:rFonts w:hint="eastAsia" w:ascii="宋体" w:hAnsi="宋体" w:eastAsia="宋体" w:cs="宋体"/>
                <w:color w:val="auto"/>
                <w:szCs w:val="21"/>
              </w:rPr>
              <w:t>竞选</w:t>
            </w:r>
            <w:r>
              <w:rPr>
                <w:rFonts w:hint="eastAsia" w:ascii="宋体" w:hAnsi="宋体" w:eastAsia="宋体" w:cs="宋体"/>
                <w:color w:val="auto"/>
                <w:szCs w:val="21"/>
                <w:lang w:val="en-GB"/>
              </w:rPr>
              <w:t>文件袋使用</w:t>
            </w:r>
            <w:r>
              <w:rPr>
                <w:rFonts w:hint="eastAsia" w:ascii="宋体" w:hAnsi="宋体" w:eastAsia="宋体" w:cs="宋体"/>
                <w:color w:val="auto"/>
                <w:szCs w:val="21"/>
              </w:rPr>
              <w:t>竞选人</w:t>
            </w:r>
            <w:r>
              <w:rPr>
                <w:rFonts w:hint="eastAsia" w:ascii="宋体" w:hAnsi="宋体" w:eastAsia="宋体" w:cs="宋体"/>
                <w:color w:val="auto"/>
                <w:szCs w:val="21"/>
                <w:lang w:val="en-GB"/>
              </w:rPr>
              <w:t>自备的“</w:t>
            </w:r>
            <w:r>
              <w:rPr>
                <w:rFonts w:hint="eastAsia" w:ascii="宋体" w:hAnsi="宋体" w:eastAsia="宋体" w:cs="宋体"/>
                <w:color w:val="auto"/>
                <w:szCs w:val="21"/>
              </w:rPr>
              <w:t>竞选</w:t>
            </w:r>
            <w:r>
              <w:rPr>
                <w:rFonts w:hint="eastAsia" w:ascii="宋体" w:hAnsi="宋体" w:eastAsia="宋体" w:cs="宋体"/>
                <w:color w:val="auto"/>
                <w:szCs w:val="21"/>
                <w:lang w:val="en-GB"/>
              </w:rPr>
              <w:t>文件”袋（箱）。</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val="en-GB"/>
              </w:rPr>
            </w:pPr>
            <w:r>
              <w:rPr>
                <w:rFonts w:hint="eastAsia" w:ascii="宋体" w:hAnsi="宋体" w:eastAsia="宋体" w:cs="宋体"/>
                <w:color w:val="auto"/>
                <w:szCs w:val="21"/>
                <w:lang w:val="en-GB"/>
              </w:rPr>
              <w:t>2.《</w:t>
            </w:r>
            <w:r>
              <w:rPr>
                <w:rFonts w:hint="eastAsia" w:ascii="宋体" w:hAnsi="宋体" w:eastAsia="宋体" w:cs="宋体"/>
                <w:color w:val="auto"/>
                <w:szCs w:val="21"/>
              </w:rPr>
              <w:t>竞选</w:t>
            </w:r>
            <w:r>
              <w:rPr>
                <w:rFonts w:hint="eastAsia" w:ascii="宋体" w:hAnsi="宋体" w:eastAsia="宋体" w:cs="宋体"/>
                <w:color w:val="auto"/>
                <w:szCs w:val="21"/>
                <w:lang w:val="en-GB"/>
              </w:rPr>
              <w:t>文件》与电子</w:t>
            </w:r>
            <w:r>
              <w:rPr>
                <w:rFonts w:hint="eastAsia" w:ascii="宋体" w:hAnsi="宋体" w:eastAsia="宋体" w:cs="宋体"/>
                <w:color w:val="auto"/>
                <w:szCs w:val="21"/>
              </w:rPr>
              <w:t>文档</w:t>
            </w:r>
            <w:r>
              <w:rPr>
                <w:rFonts w:hint="eastAsia" w:ascii="宋体" w:hAnsi="宋体" w:eastAsia="宋体" w:cs="宋体"/>
                <w:color w:val="auto"/>
                <w:szCs w:val="21"/>
                <w:lang w:val="en-GB"/>
              </w:rPr>
              <w:t>一起装入“</w:t>
            </w:r>
            <w:r>
              <w:rPr>
                <w:rFonts w:hint="eastAsia" w:ascii="宋体" w:hAnsi="宋体" w:eastAsia="宋体" w:cs="宋体"/>
                <w:color w:val="auto"/>
                <w:szCs w:val="21"/>
              </w:rPr>
              <w:t>竞选</w:t>
            </w:r>
            <w:r>
              <w:rPr>
                <w:rFonts w:hint="eastAsia" w:ascii="宋体" w:hAnsi="宋体" w:eastAsia="宋体" w:cs="宋体"/>
                <w:color w:val="auto"/>
                <w:szCs w:val="21"/>
                <w:lang w:val="en-GB"/>
              </w:rPr>
              <w:t>文件”袋（箱）中，密封并在袋上加盖</w:t>
            </w:r>
            <w:r>
              <w:rPr>
                <w:rFonts w:hint="eastAsia" w:ascii="宋体" w:hAnsi="宋体" w:eastAsia="宋体" w:cs="宋体"/>
                <w:color w:val="auto"/>
                <w:szCs w:val="21"/>
              </w:rPr>
              <w:t>竞选人</w:t>
            </w:r>
            <w:r>
              <w:rPr>
                <w:rFonts w:hint="eastAsia" w:ascii="宋体" w:hAnsi="宋体" w:eastAsia="宋体" w:cs="宋体"/>
                <w:color w:val="auto"/>
                <w:szCs w:val="21"/>
                <w:lang w:val="en-GB"/>
              </w:rPr>
              <w:t>单位</w:t>
            </w:r>
            <w:r>
              <w:rPr>
                <w:rFonts w:hint="eastAsia" w:ascii="宋体" w:hAnsi="宋体" w:eastAsia="宋体" w:cs="宋体"/>
                <w:color w:val="auto"/>
                <w:szCs w:val="21"/>
                <w:lang w:val="en-US" w:eastAsia="zh-CN"/>
              </w:rPr>
              <w:t>公</w:t>
            </w:r>
            <w:r>
              <w:rPr>
                <w:rFonts w:hint="eastAsia" w:ascii="宋体" w:hAnsi="宋体" w:eastAsia="宋体" w:cs="宋体"/>
                <w:color w:val="auto"/>
                <w:szCs w:val="21"/>
                <w:lang w:val="en-GB"/>
              </w:rPr>
              <w:t>章</w:t>
            </w:r>
            <w:r>
              <w:rPr>
                <w:rFonts w:hint="eastAsia" w:ascii="宋体" w:hAnsi="宋体" w:cs="宋体"/>
                <w:color w:val="auto"/>
                <w:szCs w:val="21"/>
                <w:lang w:val="en-US" w:eastAsia="zh-CN"/>
              </w:rPr>
              <w:t>或法人（授权代表）签字</w:t>
            </w:r>
            <w:r>
              <w:rPr>
                <w:rFonts w:hint="eastAsia" w:ascii="宋体" w:hAnsi="宋体" w:eastAsia="宋体" w:cs="宋体"/>
                <w:color w:val="auto"/>
                <w:szCs w:val="21"/>
                <w:lang w:val="en-GB"/>
              </w:rPr>
              <w:t xml:space="preserve">。 </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val="en-GB"/>
              </w:rPr>
            </w:pPr>
            <w:r>
              <w:rPr>
                <w:rFonts w:hint="eastAsia" w:ascii="宋体" w:hAnsi="宋体" w:eastAsia="宋体" w:cs="宋体"/>
                <w:color w:val="auto"/>
                <w:szCs w:val="21"/>
                <w:lang w:val="en-GB"/>
              </w:rPr>
              <w:t>3.“</w:t>
            </w:r>
            <w:r>
              <w:rPr>
                <w:rFonts w:hint="eastAsia" w:ascii="宋体" w:hAnsi="宋体" w:eastAsia="宋体" w:cs="宋体"/>
                <w:color w:val="auto"/>
                <w:szCs w:val="21"/>
              </w:rPr>
              <w:t>竞选</w:t>
            </w:r>
            <w:r>
              <w:rPr>
                <w:rFonts w:hint="eastAsia" w:ascii="宋体" w:hAnsi="宋体" w:eastAsia="宋体" w:cs="宋体"/>
                <w:color w:val="auto"/>
                <w:szCs w:val="21"/>
                <w:lang w:val="en-GB"/>
              </w:rPr>
              <w:t>文件”袋（箱）应按本表第4.1.2项的规定写明相应内容。</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val="en-GB"/>
              </w:rPr>
            </w:pPr>
            <w:r>
              <w:rPr>
                <w:rFonts w:hint="eastAsia" w:ascii="宋体" w:hAnsi="宋体" w:eastAsia="宋体" w:cs="宋体"/>
                <w:color w:val="auto"/>
                <w:szCs w:val="21"/>
                <w:lang w:val="en-GB"/>
              </w:rPr>
              <w:t>4.如果“</w:t>
            </w:r>
            <w:r>
              <w:rPr>
                <w:rFonts w:hint="eastAsia" w:ascii="宋体" w:hAnsi="宋体" w:eastAsia="宋体" w:cs="宋体"/>
                <w:color w:val="auto"/>
                <w:szCs w:val="21"/>
              </w:rPr>
              <w:t>竞选</w:t>
            </w:r>
            <w:r>
              <w:rPr>
                <w:rFonts w:hint="eastAsia" w:ascii="宋体" w:hAnsi="宋体" w:eastAsia="宋体" w:cs="宋体"/>
                <w:color w:val="auto"/>
                <w:szCs w:val="21"/>
                <w:lang w:val="en-GB"/>
              </w:rPr>
              <w:t>文件”袋</w:t>
            </w:r>
            <w:r>
              <w:rPr>
                <w:rFonts w:hint="eastAsia" w:ascii="宋体" w:hAnsi="宋体" w:eastAsia="宋体" w:cs="宋体"/>
                <w:color w:val="auto"/>
                <w:szCs w:val="21"/>
              </w:rPr>
              <w:t>未</w:t>
            </w:r>
            <w:r>
              <w:rPr>
                <w:rFonts w:hint="eastAsia" w:ascii="宋体" w:hAnsi="宋体" w:eastAsia="宋体" w:cs="宋体"/>
                <w:color w:val="auto"/>
                <w:szCs w:val="21"/>
                <w:lang w:val="en-GB"/>
              </w:rPr>
              <w:t>按本</w:t>
            </w:r>
            <w:r>
              <w:rPr>
                <w:rFonts w:hint="eastAsia" w:ascii="宋体" w:hAnsi="宋体" w:eastAsia="宋体" w:cs="宋体"/>
                <w:color w:val="auto"/>
                <w:szCs w:val="21"/>
              </w:rPr>
              <w:t>竞争性比选文件</w:t>
            </w:r>
            <w:r>
              <w:rPr>
                <w:rFonts w:hint="eastAsia" w:ascii="宋体" w:hAnsi="宋体" w:eastAsia="宋体" w:cs="宋体"/>
                <w:color w:val="auto"/>
                <w:szCs w:val="21"/>
                <w:lang w:val="en-GB"/>
              </w:rPr>
              <w:t>规定密封和盖章的，</w:t>
            </w:r>
            <w:r>
              <w:rPr>
                <w:rFonts w:hint="eastAsia" w:ascii="宋体" w:hAnsi="宋体" w:eastAsia="宋体" w:cs="宋体"/>
                <w:color w:val="auto"/>
                <w:szCs w:val="21"/>
              </w:rPr>
              <w:t>比选</w:t>
            </w:r>
            <w:r>
              <w:rPr>
                <w:rFonts w:hint="eastAsia" w:ascii="宋体" w:hAnsi="宋体" w:eastAsia="宋体" w:cs="宋体"/>
                <w:color w:val="auto"/>
                <w:szCs w:val="21"/>
                <w:lang w:val="en-GB"/>
              </w:rPr>
              <w:t>人或</w:t>
            </w:r>
            <w:r>
              <w:rPr>
                <w:rFonts w:hint="eastAsia" w:ascii="宋体" w:hAnsi="宋体" w:eastAsia="宋体" w:cs="宋体"/>
                <w:color w:val="auto"/>
                <w:szCs w:val="21"/>
              </w:rPr>
              <w:t>比选</w:t>
            </w:r>
            <w:r>
              <w:rPr>
                <w:rFonts w:hint="eastAsia" w:ascii="宋体" w:hAnsi="宋体" w:eastAsia="宋体" w:cs="宋体"/>
                <w:color w:val="auto"/>
                <w:szCs w:val="21"/>
                <w:lang w:val="en-GB"/>
              </w:rPr>
              <w:t>代理机构拒绝接收。</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val="en-GB"/>
              </w:rPr>
            </w:pPr>
            <w:r>
              <w:rPr>
                <w:rFonts w:hint="eastAsia" w:ascii="宋体" w:hAnsi="宋体" w:eastAsia="宋体" w:cs="宋体"/>
                <w:color w:val="auto"/>
                <w:szCs w:val="21"/>
                <w:lang w:val="en-GB"/>
              </w:rPr>
              <w:t>注：</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val="en-GB"/>
              </w:rPr>
            </w:pPr>
            <w:r>
              <w:rPr>
                <w:rFonts w:hint="eastAsia" w:ascii="宋体" w:hAnsi="宋体" w:eastAsia="宋体" w:cs="宋体"/>
                <w:color w:val="auto"/>
                <w:szCs w:val="21"/>
                <w:lang w:val="en-GB"/>
              </w:rPr>
              <w:t>(1)如</w:t>
            </w:r>
            <w:r>
              <w:rPr>
                <w:rFonts w:hint="eastAsia" w:ascii="宋体" w:hAnsi="宋体" w:eastAsia="宋体" w:cs="宋体"/>
                <w:color w:val="auto"/>
                <w:szCs w:val="21"/>
              </w:rPr>
              <w:t>竞选</w:t>
            </w:r>
            <w:r>
              <w:rPr>
                <w:rFonts w:hint="eastAsia" w:ascii="宋体" w:hAnsi="宋体" w:eastAsia="宋体" w:cs="宋体"/>
                <w:color w:val="auto"/>
                <w:szCs w:val="21"/>
                <w:lang w:val="en-GB"/>
              </w:rPr>
              <w:t>文件较厚，上述</w:t>
            </w:r>
            <w:r>
              <w:rPr>
                <w:rFonts w:hint="eastAsia" w:ascii="宋体" w:hAnsi="宋体" w:eastAsia="宋体" w:cs="宋体"/>
                <w:color w:val="auto"/>
                <w:szCs w:val="21"/>
              </w:rPr>
              <w:t>竞选</w:t>
            </w:r>
            <w:r>
              <w:rPr>
                <w:rFonts w:hint="eastAsia" w:ascii="宋体" w:hAnsi="宋体" w:eastAsia="宋体" w:cs="宋体"/>
                <w:color w:val="auto"/>
                <w:szCs w:val="21"/>
                <w:lang w:val="en-GB"/>
              </w:rPr>
              <w:t>文件不能装入相应的一个袋（箱）中，</w:t>
            </w:r>
            <w:r>
              <w:rPr>
                <w:rFonts w:hint="eastAsia" w:ascii="宋体" w:hAnsi="宋体" w:eastAsia="宋体" w:cs="宋体"/>
                <w:color w:val="auto"/>
                <w:szCs w:val="21"/>
              </w:rPr>
              <w:t>竞选人</w:t>
            </w:r>
            <w:r>
              <w:rPr>
                <w:rFonts w:hint="eastAsia" w:ascii="宋体" w:hAnsi="宋体" w:eastAsia="宋体" w:cs="宋体"/>
                <w:color w:val="auto"/>
                <w:szCs w:val="21"/>
                <w:lang w:val="en-GB"/>
              </w:rPr>
              <w:t>可按上述要求增加</w:t>
            </w:r>
            <w:r>
              <w:rPr>
                <w:rFonts w:hint="eastAsia" w:ascii="宋体" w:hAnsi="宋体" w:eastAsia="宋体" w:cs="宋体"/>
                <w:color w:val="auto"/>
                <w:szCs w:val="21"/>
              </w:rPr>
              <w:t>竞选</w:t>
            </w:r>
            <w:r>
              <w:rPr>
                <w:rFonts w:hint="eastAsia" w:ascii="宋体" w:hAnsi="宋体" w:eastAsia="宋体" w:cs="宋体"/>
                <w:color w:val="auto"/>
                <w:szCs w:val="21"/>
                <w:lang w:val="en-GB"/>
              </w:rPr>
              <w:t>文件袋（箱）。</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GB"/>
              </w:rPr>
              <w:t>(2)</w:t>
            </w:r>
            <w:r>
              <w:rPr>
                <w:rFonts w:hint="eastAsia" w:ascii="宋体" w:hAnsi="宋体" w:eastAsia="宋体" w:cs="宋体"/>
                <w:color w:val="auto"/>
                <w:szCs w:val="21"/>
              </w:rPr>
              <w:t>竞选</w:t>
            </w:r>
            <w:r>
              <w:rPr>
                <w:rFonts w:hint="eastAsia" w:ascii="宋体" w:hAnsi="宋体" w:eastAsia="宋体" w:cs="宋体"/>
                <w:color w:val="auto"/>
                <w:szCs w:val="21"/>
                <w:lang w:val="en-GB"/>
              </w:rPr>
              <w:t>文件袋可由</w:t>
            </w:r>
            <w:r>
              <w:rPr>
                <w:rFonts w:hint="eastAsia" w:ascii="宋体" w:hAnsi="宋体" w:eastAsia="宋体" w:cs="宋体"/>
                <w:color w:val="auto"/>
                <w:szCs w:val="21"/>
              </w:rPr>
              <w:t>竞选人</w:t>
            </w:r>
            <w:r>
              <w:rPr>
                <w:rFonts w:hint="eastAsia" w:ascii="宋体" w:hAnsi="宋体" w:eastAsia="宋体" w:cs="宋体"/>
                <w:color w:val="auto"/>
                <w:szCs w:val="21"/>
                <w:lang w:val="en-GB"/>
              </w:rPr>
              <w:t>自制，也可采用盒（箱）装的形式，但需满足相关密封及标记要求。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4.1.2</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封套上写明</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应在“竞选文件”袋的封套上写明如下内容：</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比选人名称：</w:t>
            </w:r>
            <w:r>
              <w:rPr>
                <w:rFonts w:hint="eastAsia" w:ascii="宋体" w:hAnsi="宋体" w:eastAsia="宋体" w:cs="宋体"/>
                <w:color w:val="auto"/>
                <w:szCs w:val="21"/>
                <w:u w:val="single"/>
              </w:rPr>
              <w:t xml:space="preserve">               </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项目</w:t>
            </w:r>
            <w:r>
              <w:rPr>
                <w:rFonts w:hint="eastAsia" w:ascii="宋体" w:hAnsi="宋体" w:eastAsia="宋体" w:cs="宋体"/>
                <w:color w:val="auto"/>
                <w:szCs w:val="21"/>
                <w:u w:val="single"/>
              </w:rPr>
              <w:t xml:space="preserve">名称)   </w:t>
            </w:r>
            <w:r>
              <w:rPr>
                <w:rFonts w:hint="eastAsia" w:ascii="宋体" w:hAnsi="宋体" w:eastAsia="宋体" w:cs="宋体"/>
                <w:color w:val="auto"/>
                <w:szCs w:val="21"/>
              </w:rPr>
              <w:t>竞选文件</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分（规定的竞选时间）前不得开启</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竞选人名称：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单位全称</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4.2.2</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递交竞选文件地点和时间</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递交时间：同竞选截止时间</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递交地点：</w:t>
            </w:r>
            <w:r>
              <w:rPr>
                <w:rFonts w:hint="eastAsia" w:ascii="宋体" w:hAnsi="宋体" w:eastAsia="宋体" w:cs="宋体"/>
                <w:snapToGrid w:val="0"/>
                <w:color w:val="auto"/>
                <w:highlight w:val="none"/>
                <w:u w:val="none"/>
                <w:lang w:val="en-US" w:eastAsia="zh-CN"/>
              </w:rPr>
              <w:t>西泽苑小区物业会议室（重庆市沙坪坝区陈家桥桥北一路4号）</w:t>
            </w:r>
            <w:r>
              <w:rPr>
                <w:rFonts w:hint="eastAsia" w:ascii="宋体" w:hAnsi="宋体" w:eastAsia="宋体" w:cs="宋体"/>
                <w:color w:val="auto"/>
                <w:kern w:val="0"/>
                <w:szCs w:val="21"/>
              </w:rPr>
              <w:t>。</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未按时将竞选文件送达指定地点，比选人应拒收。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4.2.3</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是否退还竞选文件</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5.1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开启竞选文件时间和地点</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开启竞选文件时间：同竞选截止时间</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开启竞选文件地点：详见竞选公告。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Cs w:val="21"/>
              </w:rPr>
              <w:t>5.2</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Cs w:val="21"/>
              </w:rPr>
              <w:t>开启竞选文件程序</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主持人按下列程序进行开启竞选文件：</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1.宣布竞选纪律。</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2.宣布开启竞选文件人、唱标人、记录人、监督人等有关人员姓名。</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3.公布在递交竞选文件截止时间前递交竞选文件的竞选人名称，并点名确认竞选人是否派人到场。</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4.展示竞选保证金缴款情况。</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5.密封情况检查：竞选人或者其推选的代表检查竞选文件的密封情况并确认。</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6.设有最高限价的，公布最高限价。</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7.开启竞选文件顺序：随机开启。</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8.当众随机开启“竞选文件”袋，公布竞选人</w:t>
            </w:r>
            <w:r>
              <w:rPr>
                <w:rFonts w:hint="eastAsia" w:ascii="宋体" w:hAnsi="宋体" w:eastAsia="宋体" w:cs="宋体"/>
                <w:color w:val="auto"/>
                <w:kern w:val="0"/>
                <w:szCs w:val="21"/>
                <w:lang w:val="en-US" w:eastAsia="zh-CN"/>
              </w:rPr>
              <w:t>单位</w:t>
            </w:r>
            <w:r>
              <w:rPr>
                <w:rFonts w:hint="eastAsia" w:ascii="宋体" w:hAnsi="宋体" w:eastAsia="宋体" w:cs="宋体"/>
                <w:color w:val="auto"/>
                <w:kern w:val="0"/>
                <w:szCs w:val="21"/>
              </w:rPr>
              <w:t>名称、</w:t>
            </w:r>
            <w:r>
              <w:rPr>
                <w:rFonts w:hint="eastAsia" w:ascii="宋体" w:hAnsi="宋体" w:eastAsia="宋体" w:cs="宋体"/>
                <w:color w:val="auto"/>
                <w:szCs w:val="21"/>
              </w:rPr>
              <w:t>质量</w:t>
            </w:r>
            <w:r>
              <w:rPr>
                <w:rFonts w:hint="eastAsia" w:ascii="宋体" w:hAnsi="宋体" w:eastAsia="宋体" w:cs="宋体"/>
                <w:color w:val="auto"/>
                <w:szCs w:val="21"/>
                <w:lang w:val="en-US" w:eastAsia="zh-CN"/>
              </w:rPr>
              <w:t>要求</w:t>
            </w:r>
            <w:r>
              <w:rPr>
                <w:rFonts w:hint="eastAsia" w:ascii="宋体" w:hAnsi="宋体" w:eastAsia="宋体" w:cs="宋体"/>
                <w:color w:val="auto"/>
                <w:szCs w:val="21"/>
              </w:rPr>
              <w:t>、</w:t>
            </w:r>
            <w:r>
              <w:rPr>
                <w:rFonts w:hint="eastAsia" w:ascii="宋体" w:hAnsi="宋体" w:eastAsia="宋体" w:cs="宋体"/>
                <w:color w:val="auto"/>
                <w:szCs w:val="21"/>
                <w:lang w:val="en-US" w:eastAsia="zh-CN"/>
              </w:rPr>
              <w:t>工期</w:t>
            </w:r>
            <w:r>
              <w:rPr>
                <w:rFonts w:hint="eastAsia" w:ascii="宋体" w:hAnsi="宋体" w:eastAsia="宋体" w:cs="宋体"/>
                <w:color w:val="auto"/>
                <w:szCs w:val="21"/>
              </w:rPr>
              <w:t>及其他内容；并有关人员在开标记录上签字确认后送评审小组评审。</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9.竞选人代表、比选人代表、监督人、记录人等有关人员在开启竞选文件记录上签字确认。</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10.竞选会结束。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6.1.1</w:t>
            </w:r>
          </w:p>
        </w:tc>
        <w:tc>
          <w:tcPr>
            <w:tcW w:w="1768" w:type="dxa"/>
            <w:vAlign w:val="center"/>
          </w:tcPr>
          <w:p>
            <w:pPr>
              <w:keepNext w:val="0"/>
              <w:keepLines w:val="0"/>
              <w:pageBreakBefore w:val="0"/>
              <w:kinsoku/>
              <w:wordWrap w:val="0"/>
              <w:overflowPunct/>
              <w:topLinePunct w:val="0"/>
              <w:bidi w:val="0"/>
              <w:adjustRightInd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评审小组的组建</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szCs w:val="21"/>
              </w:rPr>
              <w:t>由比选人按法律法规及相关规定依法组建评审小组。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7.1</w:t>
            </w:r>
          </w:p>
        </w:tc>
        <w:tc>
          <w:tcPr>
            <w:tcW w:w="1768" w:type="dxa"/>
            <w:vAlign w:val="center"/>
          </w:tcPr>
          <w:p>
            <w:pPr>
              <w:keepNext w:val="0"/>
              <w:keepLines w:val="0"/>
              <w:pageBreakBefore w:val="0"/>
              <w:kinsoku/>
              <w:wordWrap w:val="0"/>
              <w:overflowPunct/>
              <w:topLinePunct w:val="0"/>
              <w:bidi w:val="0"/>
              <w:adjustRightInd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是否授权评审小组确定中选候选人</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推荐经评审综合得分由高到低排名前三名为中选候选人。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7.2</w:t>
            </w:r>
          </w:p>
        </w:tc>
        <w:tc>
          <w:tcPr>
            <w:tcW w:w="1768" w:type="dxa"/>
            <w:vAlign w:val="center"/>
          </w:tcPr>
          <w:p>
            <w:pPr>
              <w:keepNext w:val="0"/>
              <w:keepLines w:val="0"/>
              <w:pageBreakBefore w:val="0"/>
              <w:kinsoku/>
              <w:wordWrap w:val="0"/>
              <w:overflowPunct/>
              <w:topLinePunct w:val="0"/>
              <w:bidi w:val="0"/>
              <w:adjustRightInd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评审结果公示</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行采家（https://www.gec123.com/）</w:t>
            </w:r>
            <w:r>
              <w:rPr>
                <w:rFonts w:hint="eastAsia" w:ascii="宋体" w:hAnsi="宋体" w:eastAsia="宋体" w:cs="宋体"/>
                <w:color w:val="auto"/>
                <w:kern w:val="0"/>
                <w:szCs w:val="21"/>
                <w:highlight w:val="none"/>
              </w:rPr>
              <w:t>”网上进行公示，公示期为3日。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7.3.1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履约担保</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1.履约保证金的形式：</w:t>
            </w:r>
            <w:bookmarkStart w:id="42" w:name="_Hlk42176084"/>
            <w:r>
              <w:rPr>
                <w:rFonts w:hint="eastAsia" w:ascii="宋体" w:hAnsi="宋体" w:eastAsia="宋体" w:cs="宋体"/>
                <w:color w:val="auto"/>
                <w:kern w:val="0"/>
                <w:szCs w:val="21"/>
                <w:highlight w:val="none"/>
              </w:rPr>
              <w:t>中选人应在中选通知书发出后合同签订之前通过转账或保函等非现金方式缴纳履约保证金，从中选人基本账户提交，不得使用现金进账。履约保证金账户由比选人提供。</w:t>
            </w:r>
            <w:bookmarkEnd w:id="42"/>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2.履约保证金的金额：中选金额的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3.提交时间：中选人应在领取中选通知书后，合同签订前提交。若未按时提交，比选人有权取消其中选资格。</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4.履约</w:t>
            </w:r>
            <w:r>
              <w:rPr>
                <w:rFonts w:hint="eastAsia" w:ascii="宋体" w:hAnsi="宋体" w:eastAsia="宋体" w:cs="宋体"/>
                <w:color w:val="auto"/>
                <w:kern w:val="0"/>
                <w:szCs w:val="21"/>
                <w:highlight w:val="none"/>
                <w:lang w:val="en-US" w:eastAsia="zh-CN"/>
              </w:rPr>
              <w:t>保证金</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退还</w:t>
            </w:r>
            <w:r>
              <w:rPr>
                <w:rFonts w:hint="eastAsia" w:ascii="宋体" w:hAnsi="宋体" w:eastAsia="宋体" w:cs="宋体"/>
                <w:color w:val="auto"/>
                <w:kern w:val="0"/>
                <w:szCs w:val="21"/>
                <w:highlight w:val="none"/>
              </w:rPr>
              <w:t xml:space="preserve">：履约保证金在项目完成且验收合格后全部返还，履约保证金不计息。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8.</w:t>
            </w:r>
            <w:r>
              <w:rPr>
                <w:rFonts w:hint="eastAsia" w:ascii="宋体" w:hAnsi="宋体" w:eastAsia="宋体" w:cs="宋体"/>
                <w:color w:val="auto"/>
                <w:kern w:val="0"/>
                <w:szCs w:val="21"/>
                <w:lang w:val="en-US" w:eastAsia="zh-CN"/>
              </w:rPr>
              <w:t>1</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bookmarkStart w:id="43" w:name="_Toc430530434"/>
            <w:bookmarkStart w:id="44" w:name="_Toc13210670"/>
            <w:bookmarkStart w:id="45" w:name="_Toc509218709"/>
            <w:bookmarkStart w:id="46" w:name="_Toc536628250"/>
            <w:bookmarkStart w:id="47" w:name="_Toc16930431"/>
            <w:r>
              <w:rPr>
                <w:rFonts w:hint="eastAsia" w:ascii="宋体" w:hAnsi="宋体" w:eastAsia="宋体" w:cs="宋体"/>
                <w:color w:val="auto"/>
                <w:kern w:val="0"/>
                <w:szCs w:val="21"/>
              </w:rPr>
              <w:t>重新比选和不再招标</w:t>
            </w:r>
            <w:bookmarkEnd w:id="43"/>
            <w:bookmarkEnd w:id="44"/>
            <w:bookmarkEnd w:id="45"/>
            <w:bookmarkEnd w:id="46"/>
            <w:bookmarkEnd w:id="47"/>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出现以下情形本次比选失败：</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1.比选截止时间止，竞选人少于3个的；</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2.经评审小组评审后否决所有竞选的；</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kern w:val="0"/>
                <w:szCs w:val="21"/>
              </w:rPr>
              <w:t>3.经评审后，因不符合资格审查要求导致合格的竞选人不足三个的，评审小组应当否决全部竞选。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746" w:type="dxa"/>
            <w:gridSpan w:val="2"/>
            <w:vAlign w:val="center"/>
          </w:tcPr>
          <w:p>
            <w:pPr>
              <w:keepNext w:val="0"/>
              <w:keepLines w:val="0"/>
              <w:pageBreakBefore w:val="0"/>
              <w:kinsoku/>
              <w:overflowPunct/>
              <w:topLinePunct w:val="0"/>
              <w:bidi w:val="0"/>
              <w:snapToGrid w:val="0"/>
              <w:spacing w:line="400" w:lineRule="exact"/>
              <w:ind w:firstLine="420" w:firstLineChars="200"/>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10.1</w:t>
            </w:r>
          </w:p>
        </w:tc>
        <w:tc>
          <w:tcPr>
            <w:tcW w:w="1768" w:type="dxa"/>
            <w:vAlign w:val="center"/>
          </w:tcPr>
          <w:p>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异议、投诉处理</w:t>
            </w:r>
          </w:p>
        </w:tc>
        <w:tc>
          <w:tcPr>
            <w:tcW w:w="6978" w:type="dxa"/>
            <w:vAlign w:val="center"/>
          </w:tcPr>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竞选人或者其他利害关系人就本项目的竞选文件（含澄清修改）、竞选文件开启情况、评审结果等事项提出异议或投诉的，应当向比选人提出异议；比选人应当在规定时间内答复；对比选人的答复不满意，可向行政监督部门投诉。</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提出异议或投诉时应当包括下列内容：</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⑴异议人或投诉人的名称、地址及有效联系方式；</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⑵被异议人或被投诉人的名称、地址及有效联系方式；</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⑶异议或投诉事项的基本事实；</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⑷请求及主张；</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⑸涉及事项的证据、证明材料。</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en-US" w:eastAsia="zh-CN"/>
              </w:rPr>
              <w:t>参照</w:t>
            </w:r>
            <w:r>
              <w:rPr>
                <w:rFonts w:hint="eastAsia" w:ascii="宋体" w:hAnsi="宋体" w:eastAsia="宋体" w:cs="宋体"/>
                <w:color w:val="auto"/>
                <w:kern w:val="0"/>
                <w:szCs w:val="21"/>
              </w:rPr>
              <w:t>《重庆市工程建设领域招标投标信用管理暂行办法》的规定，竞选人捏造事实、伪造材料，或者以非法手段获取证明材料进行质疑或者投诉的，将被列入黑名单管理；给他人造成损失的，依法承担赔偿责任。</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4.异议受理单位：</w:t>
            </w:r>
            <w:r>
              <w:rPr>
                <w:rFonts w:hint="eastAsia" w:ascii="宋体" w:hAnsi="宋体" w:eastAsia="宋体" w:cs="宋体"/>
                <w:color w:val="auto"/>
                <w:kern w:val="0"/>
                <w:szCs w:val="21"/>
                <w:highlight w:val="none"/>
                <w:lang w:eastAsia="zh-CN"/>
              </w:rPr>
              <w:t>重庆荣合物业服务有限公司</w:t>
            </w:r>
          </w:p>
          <w:p>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lang w:eastAsia="zh-CN"/>
              </w:rPr>
              <w:t>023-86058167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10.2</w:t>
            </w:r>
          </w:p>
        </w:tc>
        <w:tc>
          <w:tcPr>
            <w:tcW w:w="1768"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Cs w:val="21"/>
              </w:rPr>
              <w:t>比选代理服务费</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1.本项目比选代理服务费</w:t>
            </w:r>
            <w:r>
              <w:rPr>
                <w:rFonts w:hint="eastAsia" w:ascii="宋体" w:hAnsi="宋体" w:eastAsia="宋体" w:cs="宋体"/>
                <w:color w:val="auto"/>
                <w:szCs w:val="21"/>
                <w:lang w:val="en-US" w:eastAsia="zh-CN"/>
              </w:rPr>
              <w:t>按成交金额的1.5%收取（不足5000元按5000元</w:t>
            </w:r>
            <w:r>
              <w:rPr>
                <w:rFonts w:hint="eastAsia" w:ascii="宋体" w:hAnsi="宋体" w:eastAsia="宋体" w:cs="宋体"/>
                <w:color w:val="auto"/>
                <w:szCs w:val="21"/>
              </w:rPr>
              <w:t>收取</w:t>
            </w:r>
            <w:r>
              <w:rPr>
                <w:rFonts w:hint="eastAsia" w:ascii="宋体" w:hAnsi="宋体" w:eastAsia="宋体" w:cs="宋体"/>
                <w:color w:val="auto"/>
                <w:szCs w:val="21"/>
                <w:lang w:val="en-US" w:eastAsia="zh-CN"/>
              </w:rPr>
              <w:t>）。</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2.本项目比选代理服务费由中选人支付，竞选人在竞选时应考虑此因素，但不得单独报价。中选人在领取中选通知书时一次性向比选代理机构缴清比选代理服务费。</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招标代理服务费缴纳账号</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户  名：</w:t>
            </w:r>
            <w:r>
              <w:rPr>
                <w:rFonts w:hint="eastAsia" w:ascii="宋体" w:hAnsi="宋体" w:eastAsia="宋体" w:cs="宋体"/>
                <w:color w:val="auto"/>
                <w:szCs w:val="21"/>
                <w:lang w:eastAsia="zh-CN"/>
              </w:rPr>
              <w:t>重庆爱采招标代理有限公司</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开户行：交通银行重庆分行两路口支行</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账  号：500102081018000005415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10.3</w:t>
            </w:r>
          </w:p>
        </w:tc>
        <w:tc>
          <w:tcPr>
            <w:tcW w:w="176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978" w:type="dxa"/>
            <w:vAlign w:val="center"/>
          </w:tcPr>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1.结算方式：本工程采用工程量清单综合单价计价，依据施工图及合同清单按清单计价规则按实结算。</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2.付款方式：（1）中选人按采购合同完成采购内容，经消防等相关部门验收合格后比选人出具项目验收报告；</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（2）本项目无预付款。中选人开具发票、提交采购合同、验收报告等材料，由比选人向大修办申请付款；</w:t>
            </w:r>
          </w:p>
          <w:p>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（3）大修办对中选人提交的付款资料审核通过后，派请第三方审计最终结算金额，并向中选人支付最终结算金额的90%，最终结算金额的10%在缺限期结束后再行支付</w:t>
            </w:r>
            <w:r>
              <w:rPr>
                <w:rFonts w:hint="eastAsia" w:ascii="宋体" w:hAnsi="宋体" w:eastAsia="宋体" w:cs="宋体"/>
                <w:color w:val="auto"/>
                <w:szCs w:val="21"/>
                <w:highlight w:val="none"/>
              </w:rPr>
              <w:t>。</w:t>
            </w:r>
          </w:p>
        </w:tc>
      </w:tr>
    </w:tbl>
    <w:p>
      <w:pPr>
        <w:ind w:firstLine="422" w:firstLineChars="200"/>
        <w:rPr>
          <w:rFonts w:hint="eastAsia" w:ascii="宋体" w:hAnsi="宋体" w:eastAsia="宋体" w:cs="宋体"/>
          <w:b/>
          <w:color w:val="auto"/>
          <w:kern w:val="0"/>
          <w:szCs w:val="21"/>
        </w:rPr>
      </w:pPr>
    </w:p>
    <w:p>
      <w:pPr>
        <w:pStyle w:val="4"/>
        <w:rPr>
          <w:rFonts w:hint="eastAsia" w:ascii="宋体" w:hAnsi="宋体" w:eastAsia="宋体" w:cs="宋体"/>
          <w:bCs/>
          <w:color w:val="auto"/>
          <w:spacing w:val="0"/>
          <w:w w:val="100"/>
          <w:kern w:val="0"/>
          <w:sz w:val="21"/>
          <w:szCs w:val="21"/>
        </w:rPr>
      </w:pPr>
      <w:bookmarkStart w:id="48" w:name="_Toc26851"/>
      <w:bookmarkStart w:id="49" w:name="_Toc17305"/>
      <w:bookmarkStart w:id="50" w:name="_Toc200513126"/>
      <w:bookmarkStart w:id="51" w:name="_Toc444155913"/>
      <w:bookmarkStart w:id="52" w:name="_Toc29165"/>
      <w:r>
        <w:rPr>
          <w:rFonts w:hint="eastAsia" w:ascii="宋体" w:hAnsi="宋体" w:eastAsia="宋体" w:cs="宋体"/>
          <w:snapToGrid w:val="0"/>
          <w:color w:val="auto"/>
          <w:szCs w:val="22"/>
        </w:rPr>
        <w:br w:type="page"/>
      </w:r>
      <w:bookmarkStart w:id="53" w:name="_Toc11726"/>
      <w:bookmarkStart w:id="54" w:name="_Toc21570"/>
      <w:r>
        <w:rPr>
          <w:rFonts w:hint="eastAsia" w:ascii="宋体" w:hAnsi="宋体" w:eastAsia="宋体" w:cs="宋体"/>
          <w:bCs/>
          <w:color w:val="auto"/>
          <w:spacing w:val="0"/>
          <w:w w:val="100"/>
          <w:kern w:val="0"/>
          <w:sz w:val="21"/>
          <w:szCs w:val="21"/>
        </w:rPr>
        <w:t>1. 总则</w:t>
      </w:r>
      <w:bookmarkEnd w:id="48"/>
      <w:bookmarkEnd w:id="49"/>
      <w:bookmarkEnd w:id="50"/>
      <w:bookmarkEnd w:id="51"/>
      <w:bookmarkEnd w:id="52"/>
      <w:bookmarkEnd w:id="53"/>
      <w:bookmarkEnd w:id="54"/>
    </w:p>
    <w:p>
      <w:pPr>
        <w:pStyle w:val="5"/>
        <w:snapToGrid w:val="0"/>
        <w:spacing w:before="0" w:line="360" w:lineRule="auto"/>
        <w:rPr>
          <w:rFonts w:hint="eastAsia" w:ascii="宋体" w:hAnsi="宋体" w:eastAsia="宋体" w:cs="宋体"/>
          <w:snapToGrid w:val="0"/>
          <w:color w:val="auto"/>
          <w:sz w:val="21"/>
          <w:szCs w:val="21"/>
        </w:rPr>
      </w:pPr>
      <w:bookmarkStart w:id="55" w:name="_Toc19723"/>
      <w:bookmarkStart w:id="56" w:name="_Toc200513127"/>
      <w:bookmarkStart w:id="57" w:name="_Toc28398"/>
      <w:bookmarkStart w:id="58" w:name="_Toc25687"/>
      <w:bookmarkStart w:id="59" w:name="_Toc11776"/>
      <w:bookmarkStart w:id="60" w:name="_Toc444155914"/>
      <w:r>
        <w:rPr>
          <w:rFonts w:hint="eastAsia" w:ascii="宋体" w:hAnsi="宋体" w:eastAsia="宋体" w:cs="宋体"/>
          <w:snapToGrid w:val="0"/>
          <w:color w:val="auto"/>
          <w:sz w:val="21"/>
          <w:szCs w:val="21"/>
        </w:rPr>
        <w:t>1.1 项目概况</w:t>
      </w:r>
      <w:bookmarkEnd w:id="55"/>
      <w:bookmarkEnd w:id="56"/>
      <w:bookmarkEnd w:id="57"/>
      <w:bookmarkEnd w:id="58"/>
      <w:bookmarkEnd w:id="59"/>
      <w:bookmarkEnd w:id="60"/>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 本</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项目已具备</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条件，现对本项目进行</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1.1.2 本项目比选人：见竞选人须知前附表。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1.1.3 本项目</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代理机构：见竞选人须知前附表。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1.1.4 本项目名称：见竞选人须知前附表。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bookmarkStart w:id="61" w:name="_Toc31711"/>
      <w:bookmarkStart w:id="62" w:name="_Toc18578"/>
      <w:bookmarkStart w:id="63" w:name="_Toc22935"/>
      <w:r>
        <w:rPr>
          <w:rFonts w:hint="eastAsia" w:ascii="宋体" w:hAnsi="宋体" w:eastAsia="宋体" w:cs="宋体"/>
          <w:snapToGrid w:val="0"/>
          <w:color w:val="auto"/>
          <w:kern w:val="0"/>
          <w:szCs w:val="21"/>
        </w:rPr>
        <w:t>1.1.5 本项目</w:t>
      </w:r>
      <w:r>
        <w:rPr>
          <w:rFonts w:hint="eastAsia" w:ascii="宋体" w:hAnsi="宋体" w:eastAsia="宋体" w:cs="宋体"/>
          <w:snapToGrid w:val="0"/>
          <w:color w:val="auto"/>
          <w:kern w:val="0"/>
          <w:szCs w:val="21"/>
          <w:lang w:val="en-US" w:eastAsia="zh-CN"/>
        </w:rPr>
        <w:t>建设</w:t>
      </w:r>
      <w:r>
        <w:rPr>
          <w:rFonts w:hint="eastAsia" w:ascii="宋体" w:hAnsi="宋体" w:eastAsia="宋体" w:cs="宋体"/>
          <w:snapToGrid w:val="0"/>
          <w:color w:val="auto"/>
          <w:kern w:val="0"/>
          <w:szCs w:val="21"/>
        </w:rPr>
        <w:t>地点：见竞选人须知前附表。</w:t>
      </w:r>
      <w:bookmarkEnd w:id="61"/>
      <w:bookmarkEnd w:id="62"/>
      <w:bookmarkEnd w:id="63"/>
    </w:p>
    <w:p>
      <w:pPr>
        <w:autoSpaceDE w:val="0"/>
        <w:autoSpaceDN w:val="0"/>
        <w:adjustRightInd w:val="0"/>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snapToGrid w:val="0"/>
          <w:color w:val="auto"/>
          <w:kern w:val="0"/>
          <w:szCs w:val="21"/>
        </w:rPr>
        <w:t>1.1.6 本项目项目概况：见竞选人须知前附表。</w:t>
      </w:r>
    </w:p>
    <w:p>
      <w:pPr>
        <w:pStyle w:val="5"/>
        <w:snapToGrid w:val="0"/>
        <w:spacing w:before="0" w:line="360" w:lineRule="auto"/>
        <w:rPr>
          <w:rFonts w:hint="eastAsia" w:ascii="宋体" w:hAnsi="宋体" w:eastAsia="宋体" w:cs="宋体"/>
          <w:snapToGrid w:val="0"/>
          <w:color w:val="auto"/>
          <w:sz w:val="21"/>
          <w:szCs w:val="21"/>
        </w:rPr>
      </w:pPr>
      <w:bookmarkStart w:id="64" w:name="_Toc6411"/>
      <w:bookmarkStart w:id="65" w:name="_Toc31530"/>
      <w:bookmarkStart w:id="66" w:name="_Toc444155915"/>
      <w:bookmarkStart w:id="67" w:name="_Toc21808"/>
      <w:bookmarkStart w:id="68" w:name="_Toc200513128"/>
      <w:bookmarkStart w:id="69" w:name="_Toc31982"/>
      <w:r>
        <w:rPr>
          <w:rFonts w:hint="eastAsia" w:ascii="宋体" w:hAnsi="宋体" w:eastAsia="宋体" w:cs="宋体"/>
          <w:snapToGrid w:val="0"/>
          <w:color w:val="auto"/>
          <w:sz w:val="21"/>
          <w:szCs w:val="21"/>
        </w:rPr>
        <w:t>1.2 资金来源和落实情况</w:t>
      </w:r>
      <w:bookmarkEnd w:id="64"/>
      <w:bookmarkEnd w:id="65"/>
      <w:bookmarkEnd w:id="66"/>
      <w:bookmarkEnd w:id="67"/>
      <w:bookmarkEnd w:id="68"/>
      <w:bookmarkEnd w:id="69"/>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1.2.1 本项目的资金来源：见竞选人须知前附表。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1.2.2 本项目的出资比例：见竞选人须知前附表。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1.2.3 本项目的资金落实情况：见竞选人须知前附表。</w:t>
      </w:r>
    </w:p>
    <w:p>
      <w:pPr>
        <w:pStyle w:val="5"/>
        <w:snapToGrid w:val="0"/>
        <w:spacing w:before="0" w:line="360" w:lineRule="auto"/>
        <w:rPr>
          <w:rFonts w:hint="eastAsia" w:ascii="宋体" w:hAnsi="宋体" w:eastAsia="宋体" w:cs="宋体"/>
          <w:snapToGrid w:val="0"/>
          <w:color w:val="auto"/>
          <w:sz w:val="21"/>
          <w:szCs w:val="21"/>
        </w:rPr>
      </w:pPr>
      <w:bookmarkStart w:id="70" w:name="_Toc492"/>
      <w:bookmarkStart w:id="71" w:name="_Toc4115"/>
      <w:bookmarkStart w:id="72" w:name="_Toc444155916"/>
      <w:bookmarkStart w:id="73" w:name="_Toc20588"/>
      <w:bookmarkStart w:id="74" w:name="_Toc200513129"/>
      <w:bookmarkStart w:id="75" w:name="_Toc7144"/>
      <w:r>
        <w:rPr>
          <w:rFonts w:hint="eastAsia" w:ascii="宋体" w:hAnsi="宋体" w:eastAsia="宋体" w:cs="宋体"/>
          <w:snapToGrid w:val="0"/>
          <w:color w:val="auto"/>
          <w:sz w:val="21"/>
          <w:szCs w:val="21"/>
        </w:rPr>
        <w:t>1.3 比选范围、</w:t>
      </w:r>
      <w:r>
        <w:rPr>
          <w:rFonts w:hint="eastAsia" w:ascii="宋体" w:hAnsi="宋体" w:eastAsia="宋体" w:cs="宋体"/>
          <w:snapToGrid w:val="0"/>
          <w:color w:val="auto"/>
          <w:sz w:val="21"/>
          <w:szCs w:val="21"/>
          <w:lang w:val="en-US" w:eastAsia="zh-CN"/>
        </w:rPr>
        <w:t>工期</w:t>
      </w:r>
      <w:r>
        <w:rPr>
          <w:rFonts w:hint="eastAsia" w:ascii="宋体" w:hAnsi="宋体" w:eastAsia="宋体" w:cs="宋体"/>
          <w:snapToGrid w:val="0"/>
          <w:color w:val="auto"/>
          <w:sz w:val="21"/>
          <w:szCs w:val="21"/>
        </w:rPr>
        <w:t>和质量要求</w:t>
      </w:r>
      <w:bookmarkEnd w:id="70"/>
      <w:bookmarkEnd w:id="71"/>
      <w:bookmarkEnd w:id="72"/>
      <w:bookmarkEnd w:id="73"/>
      <w:bookmarkEnd w:id="74"/>
      <w:bookmarkEnd w:id="75"/>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1.3.1 本次</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范围：见竞选人须知前附表。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1.3.2 本项目的</w:t>
      </w:r>
      <w:r>
        <w:rPr>
          <w:rFonts w:hint="eastAsia" w:ascii="宋体" w:hAnsi="宋体" w:eastAsia="宋体" w:cs="宋体"/>
          <w:snapToGrid w:val="0"/>
          <w:color w:val="auto"/>
          <w:kern w:val="0"/>
          <w:szCs w:val="21"/>
          <w:lang w:val="en-US" w:eastAsia="zh-CN"/>
        </w:rPr>
        <w:t>工期</w:t>
      </w:r>
      <w:r>
        <w:rPr>
          <w:rFonts w:hint="eastAsia" w:ascii="宋体" w:hAnsi="宋体" w:eastAsia="宋体" w:cs="宋体"/>
          <w:snapToGrid w:val="0"/>
          <w:color w:val="auto"/>
          <w:kern w:val="0"/>
          <w:szCs w:val="21"/>
        </w:rPr>
        <w:t>：见竞选人须知前附表。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1.3.3</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本项目的质量要求：见竞选人须知前附表。</w:t>
      </w:r>
    </w:p>
    <w:p>
      <w:pPr>
        <w:pStyle w:val="5"/>
        <w:snapToGrid w:val="0"/>
        <w:spacing w:before="0" w:line="360" w:lineRule="auto"/>
        <w:rPr>
          <w:rFonts w:hint="eastAsia" w:ascii="宋体" w:hAnsi="宋体" w:eastAsia="宋体" w:cs="宋体"/>
          <w:snapToGrid w:val="0"/>
          <w:color w:val="auto"/>
          <w:sz w:val="21"/>
          <w:szCs w:val="21"/>
        </w:rPr>
      </w:pPr>
      <w:bookmarkStart w:id="76" w:name="_Toc20820"/>
      <w:bookmarkStart w:id="77" w:name="_Toc19241"/>
      <w:bookmarkStart w:id="78" w:name="_Toc18526"/>
      <w:bookmarkStart w:id="79" w:name="_Toc200513131"/>
      <w:bookmarkStart w:id="80" w:name="_Toc28083"/>
      <w:bookmarkStart w:id="81" w:name="_Toc444155917"/>
      <w:r>
        <w:rPr>
          <w:rFonts w:hint="eastAsia" w:ascii="宋体" w:hAnsi="宋体" w:eastAsia="宋体" w:cs="宋体"/>
          <w:snapToGrid w:val="0"/>
          <w:color w:val="auto"/>
          <w:sz w:val="21"/>
          <w:szCs w:val="21"/>
        </w:rPr>
        <w:t>1.4 竞选人资格要求</w:t>
      </w:r>
      <w:bookmarkEnd w:id="76"/>
      <w:bookmarkEnd w:id="77"/>
      <w:bookmarkEnd w:id="78"/>
      <w:bookmarkEnd w:id="79"/>
      <w:bookmarkEnd w:id="80"/>
      <w:bookmarkEnd w:id="81"/>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1.4.1 竞选人应具的资质条件、能力和信誉。</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见竞选人须知前附表</w:t>
      </w:r>
      <w:r>
        <w:rPr>
          <w:rFonts w:hint="eastAsia" w:ascii="宋体" w:hAnsi="宋体" w:eastAsia="宋体" w:cs="宋体"/>
          <w:snapToGrid w:val="0"/>
          <w:color w:val="auto"/>
          <w:kern w:val="0"/>
          <w:szCs w:val="21"/>
        </w:rPr>
        <w:t>。</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1.4.2 本项目不接受联合体参加竞选活动。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1.4.3 竞选人不得存在下列情形之一：</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（1）与比选人存在利害关系可能影响</w:t>
      </w:r>
      <w:r>
        <w:rPr>
          <w:rFonts w:hint="eastAsia" w:ascii="宋体" w:hAnsi="宋体" w:eastAsia="宋体" w:cs="宋体"/>
          <w:color w:val="auto"/>
          <w:kern w:val="0"/>
          <w:szCs w:val="21"/>
        </w:rPr>
        <w:t>比选</w:t>
      </w:r>
      <w:r>
        <w:rPr>
          <w:rFonts w:hint="eastAsia" w:ascii="宋体" w:hAnsi="宋体" w:eastAsia="宋体" w:cs="宋体"/>
          <w:color w:val="auto"/>
          <w:szCs w:val="21"/>
        </w:rPr>
        <w:t>公正性的法人、其他组织或者个人；</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）为本标段提供</w:t>
      </w:r>
      <w:r>
        <w:rPr>
          <w:rFonts w:hint="eastAsia" w:ascii="宋体" w:hAnsi="宋体" w:eastAsia="宋体" w:cs="宋体"/>
          <w:color w:val="auto"/>
          <w:kern w:val="0"/>
          <w:szCs w:val="21"/>
        </w:rPr>
        <w:t>比选</w:t>
      </w:r>
      <w:r>
        <w:rPr>
          <w:rFonts w:hint="eastAsia" w:ascii="宋体" w:hAnsi="宋体" w:eastAsia="宋体" w:cs="宋体"/>
          <w:color w:val="auto"/>
          <w:szCs w:val="21"/>
        </w:rPr>
        <w:t>代理服务的；</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）与本标段的</w:t>
      </w:r>
      <w:r>
        <w:rPr>
          <w:rFonts w:hint="eastAsia" w:ascii="宋体" w:hAnsi="宋体" w:eastAsia="宋体" w:cs="宋体"/>
          <w:color w:val="auto"/>
          <w:kern w:val="0"/>
          <w:szCs w:val="21"/>
        </w:rPr>
        <w:t>比选</w:t>
      </w:r>
      <w:r>
        <w:rPr>
          <w:rFonts w:hint="eastAsia" w:ascii="宋体" w:hAnsi="宋体" w:eastAsia="宋体" w:cs="宋体"/>
          <w:color w:val="auto"/>
          <w:szCs w:val="21"/>
        </w:rPr>
        <w:t>代理机构同为一个法定代表人的；</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）与本标段的</w:t>
      </w:r>
      <w:r>
        <w:rPr>
          <w:rFonts w:hint="eastAsia" w:ascii="宋体" w:hAnsi="宋体" w:eastAsia="宋体" w:cs="宋体"/>
          <w:color w:val="auto"/>
          <w:kern w:val="0"/>
          <w:szCs w:val="21"/>
        </w:rPr>
        <w:t>比选</w:t>
      </w:r>
      <w:r>
        <w:rPr>
          <w:rFonts w:hint="eastAsia" w:ascii="宋体" w:hAnsi="宋体" w:eastAsia="宋体" w:cs="宋体"/>
          <w:color w:val="auto"/>
          <w:szCs w:val="21"/>
        </w:rPr>
        <w:t>代理机构相互控股或参股的；</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）与本标段的</w:t>
      </w:r>
      <w:r>
        <w:rPr>
          <w:rFonts w:hint="eastAsia" w:ascii="宋体" w:hAnsi="宋体" w:eastAsia="宋体" w:cs="宋体"/>
          <w:color w:val="auto"/>
          <w:kern w:val="0"/>
          <w:szCs w:val="21"/>
        </w:rPr>
        <w:t>比选</w:t>
      </w:r>
      <w:r>
        <w:rPr>
          <w:rFonts w:hint="eastAsia" w:ascii="宋体" w:hAnsi="宋体" w:eastAsia="宋体" w:cs="宋体"/>
          <w:color w:val="auto"/>
          <w:szCs w:val="21"/>
        </w:rPr>
        <w:t>代理机构相互任职或工作的；</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rPr>
        <w:t>）被责令停业的；</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7</w:t>
      </w:r>
      <w:r>
        <w:rPr>
          <w:rFonts w:hint="eastAsia" w:ascii="宋体" w:hAnsi="宋体" w:eastAsia="宋体" w:cs="宋体"/>
          <w:color w:val="auto"/>
          <w:szCs w:val="21"/>
        </w:rPr>
        <w:t>）被暂停或取消竞选资格的；</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8</w:t>
      </w:r>
      <w:r>
        <w:rPr>
          <w:rFonts w:hint="eastAsia" w:ascii="宋体" w:hAnsi="宋体" w:eastAsia="宋体" w:cs="宋体"/>
          <w:color w:val="auto"/>
          <w:szCs w:val="21"/>
        </w:rPr>
        <w:t>）财产被接管或冻结的；</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9</w:t>
      </w:r>
      <w:r>
        <w:rPr>
          <w:rFonts w:hint="eastAsia" w:ascii="宋体" w:hAnsi="宋体" w:eastAsia="宋体" w:cs="宋体"/>
          <w:color w:val="auto"/>
          <w:szCs w:val="21"/>
        </w:rPr>
        <w:t>）单位负责人为同一人或者存在控股、管理关系的不同单位，不得在同一标段中</w:t>
      </w:r>
      <w:bookmarkStart w:id="82" w:name="OLE_LINK118"/>
      <w:bookmarkStart w:id="83" w:name="OLE_LINK119"/>
      <w:bookmarkStart w:id="84" w:name="OLE_LINK120"/>
      <w:r>
        <w:rPr>
          <w:rFonts w:hint="eastAsia" w:ascii="宋体" w:hAnsi="宋体" w:eastAsia="宋体" w:cs="宋体"/>
          <w:color w:val="auto"/>
          <w:szCs w:val="21"/>
        </w:rPr>
        <w:t>同时参加比选活动</w:t>
      </w:r>
      <w:bookmarkEnd w:id="82"/>
      <w:bookmarkEnd w:id="83"/>
      <w:bookmarkEnd w:id="84"/>
      <w:r>
        <w:rPr>
          <w:rFonts w:hint="eastAsia" w:ascii="宋体" w:hAnsi="宋体" w:eastAsia="宋体" w:cs="宋体"/>
          <w:color w:val="auto"/>
          <w:szCs w:val="21"/>
        </w:rPr>
        <w:t>；</w:t>
      </w: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r>
        <w:rPr>
          <w:rFonts w:hint="eastAsia" w:ascii="宋体" w:hAnsi="宋体" w:eastAsia="宋体" w:cs="宋体"/>
          <w:color w:val="auto"/>
          <w:szCs w:val="21"/>
        </w:rPr>
        <w:t>）两个以上竞选人的法定代表人为同一人，母公司、全资子公司及其控股公司，不得在同一标段中同时参加比选活动。</w:t>
      </w:r>
    </w:p>
    <w:p>
      <w:pPr>
        <w:pStyle w:val="5"/>
        <w:snapToGrid w:val="0"/>
        <w:spacing w:before="0" w:line="360" w:lineRule="auto"/>
        <w:rPr>
          <w:rFonts w:hint="eastAsia" w:ascii="宋体" w:hAnsi="宋体" w:eastAsia="宋体" w:cs="宋体"/>
          <w:snapToGrid w:val="0"/>
          <w:color w:val="auto"/>
          <w:sz w:val="21"/>
          <w:szCs w:val="21"/>
        </w:rPr>
      </w:pPr>
      <w:bookmarkStart w:id="85" w:name="_Toc444155918"/>
      <w:bookmarkStart w:id="86" w:name="_Toc13362"/>
      <w:bookmarkStart w:id="87" w:name="_Toc27398"/>
      <w:bookmarkStart w:id="88" w:name="_Toc200513132"/>
      <w:bookmarkStart w:id="89" w:name="_Toc21028"/>
      <w:bookmarkStart w:id="90" w:name="_Toc25414"/>
      <w:r>
        <w:rPr>
          <w:rFonts w:hint="eastAsia" w:ascii="宋体" w:hAnsi="宋体" w:eastAsia="宋体" w:cs="宋体"/>
          <w:snapToGrid w:val="0"/>
          <w:color w:val="auto"/>
          <w:sz w:val="21"/>
          <w:szCs w:val="21"/>
        </w:rPr>
        <w:t>1.5 费用承担</w:t>
      </w:r>
      <w:bookmarkEnd w:id="85"/>
      <w:bookmarkEnd w:id="86"/>
      <w:bookmarkEnd w:id="87"/>
      <w:bookmarkEnd w:id="88"/>
      <w:bookmarkEnd w:id="89"/>
      <w:bookmarkEnd w:id="90"/>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竞选人准备和参加比选活动发生的费用自理。</w:t>
      </w:r>
    </w:p>
    <w:p>
      <w:pPr>
        <w:pStyle w:val="5"/>
        <w:snapToGrid w:val="0"/>
        <w:spacing w:before="0" w:line="360" w:lineRule="auto"/>
        <w:rPr>
          <w:rFonts w:hint="eastAsia" w:ascii="宋体" w:hAnsi="宋体" w:eastAsia="宋体" w:cs="宋体"/>
          <w:snapToGrid w:val="0"/>
          <w:color w:val="auto"/>
          <w:sz w:val="21"/>
          <w:szCs w:val="21"/>
        </w:rPr>
      </w:pPr>
      <w:bookmarkStart w:id="91" w:name="_Toc200513133"/>
      <w:bookmarkStart w:id="92" w:name="_Toc30130"/>
      <w:bookmarkStart w:id="93" w:name="_Toc19783"/>
      <w:bookmarkStart w:id="94" w:name="_Toc2729"/>
      <w:bookmarkStart w:id="95" w:name="_Toc444155919"/>
      <w:bookmarkStart w:id="96" w:name="_Toc2559"/>
      <w:r>
        <w:rPr>
          <w:rFonts w:hint="eastAsia" w:ascii="宋体" w:hAnsi="宋体" w:eastAsia="宋体" w:cs="宋体"/>
          <w:snapToGrid w:val="0"/>
          <w:color w:val="auto"/>
          <w:sz w:val="21"/>
          <w:szCs w:val="21"/>
        </w:rPr>
        <w:t>1.6 保密</w:t>
      </w:r>
      <w:bookmarkEnd w:id="91"/>
      <w:bookmarkEnd w:id="92"/>
      <w:bookmarkEnd w:id="93"/>
      <w:bookmarkEnd w:id="94"/>
      <w:bookmarkEnd w:id="95"/>
      <w:bookmarkEnd w:id="9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参与</w:t>
      </w:r>
      <w:r>
        <w:rPr>
          <w:rFonts w:hint="eastAsia" w:ascii="宋体" w:hAnsi="宋体" w:eastAsia="宋体" w:cs="宋体"/>
          <w:snapToGrid w:val="0"/>
          <w:color w:val="auto"/>
          <w:kern w:val="0"/>
          <w:szCs w:val="21"/>
          <w:lang w:val="en-US" w:eastAsia="zh-CN"/>
        </w:rPr>
        <w:t>竞</w:t>
      </w:r>
      <w:r>
        <w:rPr>
          <w:rFonts w:hint="eastAsia" w:ascii="宋体" w:hAnsi="宋体" w:eastAsia="宋体" w:cs="宋体"/>
          <w:snapToGrid w:val="0"/>
          <w:color w:val="auto"/>
          <w:kern w:val="0"/>
          <w:szCs w:val="21"/>
        </w:rPr>
        <w:t>选活动的各方应对竞争性比选文件和竞选文件中的商业和技术等秘密保密，违者应对由此造成的后果承担法律责任。</w:t>
      </w:r>
    </w:p>
    <w:p>
      <w:pPr>
        <w:pStyle w:val="5"/>
        <w:snapToGrid w:val="0"/>
        <w:spacing w:before="0" w:line="360" w:lineRule="auto"/>
        <w:rPr>
          <w:rFonts w:hint="eastAsia" w:ascii="宋体" w:hAnsi="宋体" w:eastAsia="宋体" w:cs="宋体"/>
          <w:snapToGrid w:val="0"/>
          <w:color w:val="auto"/>
          <w:sz w:val="21"/>
          <w:szCs w:val="21"/>
        </w:rPr>
      </w:pPr>
      <w:bookmarkStart w:id="97" w:name="_Toc28995"/>
      <w:bookmarkStart w:id="98" w:name="_Toc444155920"/>
      <w:bookmarkStart w:id="99" w:name="_Toc843"/>
      <w:bookmarkStart w:id="100" w:name="_Toc200513134"/>
      <w:bookmarkStart w:id="101" w:name="_Toc18267"/>
      <w:bookmarkStart w:id="102" w:name="_Toc26264"/>
      <w:r>
        <w:rPr>
          <w:rFonts w:hint="eastAsia" w:ascii="宋体" w:hAnsi="宋体" w:eastAsia="宋体" w:cs="宋体"/>
          <w:snapToGrid w:val="0"/>
          <w:color w:val="auto"/>
          <w:sz w:val="21"/>
          <w:szCs w:val="21"/>
        </w:rPr>
        <w:t>1.7 语言文字</w:t>
      </w:r>
      <w:bookmarkEnd w:id="97"/>
      <w:bookmarkEnd w:id="98"/>
      <w:bookmarkEnd w:id="99"/>
      <w:bookmarkEnd w:id="100"/>
      <w:bookmarkEnd w:id="101"/>
      <w:bookmarkEnd w:id="10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除专用术语外，与</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竞选有关的语言均使用中文。必要时专用术语应附有中文注释。</w:t>
      </w:r>
    </w:p>
    <w:p>
      <w:pPr>
        <w:pStyle w:val="5"/>
        <w:snapToGrid w:val="0"/>
        <w:spacing w:before="0" w:line="360" w:lineRule="auto"/>
        <w:rPr>
          <w:rFonts w:hint="eastAsia" w:ascii="宋体" w:hAnsi="宋体" w:eastAsia="宋体" w:cs="宋体"/>
          <w:snapToGrid w:val="0"/>
          <w:color w:val="auto"/>
          <w:sz w:val="21"/>
          <w:szCs w:val="21"/>
        </w:rPr>
      </w:pPr>
      <w:bookmarkStart w:id="103" w:name="_Toc200513135"/>
      <w:bookmarkStart w:id="104" w:name="_Toc22681"/>
      <w:bookmarkStart w:id="105" w:name="_Toc2534"/>
      <w:bookmarkStart w:id="106" w:name="_Toc20631"/>
      <w:bookmarkStart w:id="107" w:name="_Toc17585"/>
      <w:bookmarkStart w:id="108" w:name="_Toc444155921"/>
      <w:r>
        <w:rPr>
          <w:rFonts w:hint="eastAsia" w:ascii="宋体" w:hAnsi="宋体" w:eastAsia="宋体" w:cs="宋体"/>
          <w:snapToGrid w:val="0"/>
          <w:color w:val="auto"/>
          <w:sz w:val="21"/>
          <w:szCs w:val="21"/>
        </w:rPr>
        <w:t>1.8 计量单位</w:t>
      </w:r>
      <w:bookmarkEnd w:id="103"/>
      <w:r>
        <w:rPr>
          <w:rFonts w:hint="eastAsia" w:ascii="宋体" w:hAnsi="宋体" w:eastAsia="宋体" w:cs="宋体"/>
          <w:snapToGrid w:val="0"/>
          <w:color w:val="auto"/>
          <w:sz w:val="21"/>
          <w:szCs w:val="21"/>
        </w:rPr>
        <w:t>及比选币种</w:t>
      </w:r>
      <w:bookmarkEnd w:id="104"/>
      <w:bookmarkEnd w:id="105"/>
      <w:bookmarkEnd w:id="106"/>
      <w:bookmarkEnd w:id="107"/>
      <w:bookmarkEnd w:id="108"/>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1.8.1 所有计量均采用中华人民共和国法定计量单位。</w:t>
      </w:r>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1.8.2 本项目一律采用人民币进行</w:t>
      </w:r>
      <w:r>
        <w:rPr>
          <w:rFonts w:hint="eastAsia" w:ascii="宋体" w:hAnsi="宋体" w:eastAsia="宋体" w:cs="宋体"/>
          <w:snapToGrid w:val="0"/>
          <w:color w:val="auto"/>
          <w:kern w:val="0"/>
          <w:szCs w:val="21"/>
          <w:lang w:val="en-US" w:eastAsia="zh-CN"/>
        </w:rPr>
        <w:t>结算</w:t>
      </w:r>
      <w:r>
        <w:rPr>
          <w:rFonts w:hint="eastAsia" w:ascii="宋体" w:hAnsi="宋体" w:eastAsia="宋体" w:cs="宋体"/>
          <w:snapToGrid w:val="0"/>
          <w:color w:val="auto"/>
          <w:kern w:val="0"/>
          <w:szCs w:val="21"/>
        </w:rPr>
        <w:t>。</w:t>
      </w:r>
    </w:p>
    <w:p>
      <w:pPr>
        <w:pStyle w:val="5"/>
        <w:snapToGrid w:val="0"/>
        <w:spacing w:before="0" w:line="360" w:lineRule="auto"/>
        <w:rPr>
          <w:rFonts w:hint="eastAsia" w:ascii="宋体" w:hAnsi="宋体" w:eastAsia="宋体" w:cs="宋体"/>
          <w:snapToGrid w:val="0"/>
          <w:color w:val="auto"/>
          <w:sz w:val="21"/>
          <w:szCs w:val="21"/>
        </w:rPr>
      </w:pPr>
      <w:bookmarkStart w:id="109" w:name="_Toc200513137"/>
      <w:bookmarkStart w:id="110" w:name="_Toc24355"/>
      <w:bookmarkStart w:id="111" w:name="_Toc444155923"/>
      <w:bookmarkStart w:id="112" w:name="_Toc21201"/>
      <w:bookmarkStart w:id="113" w:name="_Toc31156"/>
      <w:bookmarkStart w:id="114" w:name="_Toc6190"/>
      <w:r>
        <w:rPr>
          <w:rFonts w:hint="eastAsia" w:ascii="宋体" w:hAnsi="宋体" w:eastAsia="宋体" w:cs="宋体"/>
          <w:snapToGrid w:val="0"/>
          <w:color w:val="auto"/>
          <w:sz w:val="21"/>
          <w:szCs w:val="21"/>
        </w:rPr>
        <w:t>1.9 比选预备会</w:t>
      </w:r>
      <w:bookmarkEnd w:id="109"/>
      <w:bookmarkEnd w:id="110"/>
      <w:bookmarkEnd w:id="111"/>
      <w:bookmarkEnd w:id="112"/>
      <w:bookmarkEnd w:id="113"/>
      <w:bookmarkEnd w:id="114"/>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bookmarkStart w:id="115" w:name="_Toc200513138"/>
      <w:r>
        <w:rPr>
          <w:rFonts w:hint="eastAsia" w:ascii="宋体" w:hAnsi="宋体" w:eastAsia="宋体" w:cs="宋体"/>
          <w:snapToGrid w:val="0"/>
          <w:color w:val="auto"/>
          <w:kern w:val="0"/>
          <w:szCs w:val="21"/>
        </w:rPr>
        <w:t>见竞选人须知前附表。</w:t>
      </w:r>
    </w:p>
    <w:p>
      <w:pPr>
        <w:pStyle w:val="5"/>
        <w:snapToGrid w:val="0"/>
        <w:spacing w:before="0" w:line="360" w:lineRule="auto"/>
        <w:rPr>
          <w:rFonts w:hint="eastAsia" w:ascii="宋体" w:hAnsi="宋体" w:eastAsia="宋体" w:cs="宋体"/>
          <w:snapToGrid w:val="0"/>
          <w:color w:val="auto"/>
          <w:sz w:val="21"/>
          <w:szCs w:val="21"/>
        </w:rPr>
      </w:pPr>
      <w:bookmarkStart w:id="116" w:name="_Toc21965"/>
      <w:bookmarkStart w:id="117" w:name="_Toc11435"/>
      <w:bookmarkStart w:id="118" w:name="_Toc444155924"/>
      <w:bookmarkStart w:id="119" w:name="_Toc28450"/>
      <w:bookmarkStart w:id="120" w:name="_Toc29538"/>
      <w:r>
        <w:rPr>
          <w:rFonts w:hint="eastAsia" w:ascii="宋体" w:hAnsi="宋体" w:eastAsia="宋体" w:cs="宋体"/>
          <w:snapToGrid w:val="0"/>
          <w:color w:val="auto"/>
          <w:sz w:val="21"/>
          <w:szCs w:val="21"/>
        </w:rPr>
        <w:t>1.10 分包</w:t>
      </w:r>
      <w:bookmarkEnd w:id="115"/>
      <w:bookmarkEnd w:id="116"/>
      <w:bookmarkEnd w:id="117"/>
      <w:bookmarkEnd w:id="118"/>
      <w:bookmarkEnd w:id="119"/>
      <w:bookmarkEnd w:id="120"/>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bookmarkStart w:id="121" w:name="_Toc444155926"/>
      <w:bookmarkStart w:id="122" w:name="_Toc200513139"/>
      <w:bookmarkStart w:id="123" w:name="_Toc19598"/>
      <w:r>
        <w:rPr>
          <w:rFonts w:hint="eastAsia" w:ascii="宋体" w:hAnsi="宋体" w:eastAsia="宋体" w:cs="宋体"/>
          <w:snapToGrid w:val="0"/>
          <w:color w:val="auto"/>
          <w:kern w:val="0"/>
          <w:szCs w:val="21"/>
        </w:rPr>
        <w:t>见竞选人须知前附表。</w:t>
      </w:r>
    </w:p>
    <w:p>
      <w:pPr>
        <w:pStyle w:val="5"/>
        <w:snapToGrid w:val="0"/>
        <w:spacing w:before="0" w:line="360" w:lineRule="auto"/>
        <w:rPr>
          <w:rFonts w:hint="eastAsia" w:ascii="宋体" w:hAnsi="宋体" w:eastAsia="宋体" w:cs="宋体"/>
          <w:snapToGrid w:val="0"/>
          <w:color w:val="auto"/>
          <w:sz w:val="21"/>
          <w:szCs w:val="21"/>
        </w:rPr>
      </w:pPr>
      <w:bookmarkStart w:id="124" w:name="_Toc1932"/>
      <w:bookmarkStart w:id="125" w:name="_Toc28505"/>
      <w:bookmarkStart w:id="126" w:name="_Toc32641"/>
      <w:r>
        <w:rPr>
          <w:rFonts w:hint="eastAsia" w:ascii="宋体" w:hAnsi="宋体" w:eastAsia="宋体" w:cs="宋体"/>
          <w:snapToGrid w:val="0"/>
          <w:color w:val="auto"/>
          <w:sz w:val="21"/>
          <w:szCs w:val="21"/>
        </w:rPr>
        <w:t>1.1</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偏离</w:t>
      </w:r>
      <w:bookmarkEnd w:id="121"/>
      <w:bookmarkEnd w:id="122"/>
      <w:bookmarkEnd w:id="123"/>
      <w:bookmarkEnd w:id="124"/>
      <w:bookmarkEnd w:id="125"/>
      <w:bookmarkEnd w:id="126"/>
    </w:p>
    <w:p>
      <w:pPr>
        <w:autoSpaceDE w:val="0"/>
        <w:autoSpaceDN w:val="0"/>
        <w:adjustRightInd w:val="0"/>
        <w:snapToGrid w:val="0"/>
        <w:spacing w:line="360" w:lineRule="auto"/>
        <w:ind w:firstLine="426"/>
        <w:jc w:val="left"/>
        <w:rPr>
          <w:rFonts w:hint="eastAsia" w:ascii="宋体" w:hAnsi="宋体" w:eastAsia="宋体" w:cs="宋体"/>
          <w:snapToGrid w:val="0"/>
          <w:color w:val="auto"/>
          <w:kern w:val="0"/>
          <w:szCs w:val="21"/>
        </w:rPr>
      </w:pPr>
      <w:bookmarkStart w:id="127" w:name="_Toc200513140"/>
      <w:r>
        <w:rPr>
          <w:rFonts w:hint="eastAsia" w:ascii="宋体" w:hAnsi="宋体" w:eastAsia="宋体" w:cs="宋体"/>
          <w:snapToGrid w:val="0"/>
          <w:color w:val="auto"/>
          <w:kern w:val="0"/>
          <w:szCs w:val="21"/>
        </w:rPr>
        <w:t>不允许负偏离。</w:t>
      </w:r>
    </w:p>
    <w:p>
      <w:pPr>
        <w:pStyle w:val="4"/>
        <w:keepNext/>
        <w:keepLines/>
        <w:autoSpaceDE/>
        <w:autoSpaceDN/>
        <w:jc w:val="both"/>
        <w:rPr>
          <w:rFonts w:hint="eastAsia" w:ascii="宋体" w:hAnsi="宋体" w:eastAsia="宋体" w:cs="宋体"/>
          <w:bCs/>
          <w:color w:val="auto"/>
          <w:spacing w:val="0"/>
          <w:w w:val="100"/>
          <w:kern w:val="0"/>
          <w:sz w:val="21"/>
          <w:szCs w:val="21"/>
        </w:rPr>
      </w:pPr>
      <w:bookmarkStart w:id="128" w:name="_Toc1562"/>
      <w:bookmarkStart w:id="129" w:name="_Toc17741"/>
      <w:bookmarkStart w:id="130" w:name="_Toc444155927"/>
      <w:bookmarkStart w:id="131" w:name="_Toc16706"/>
      <w:bookmarkStart w:id="132" w:name="_Toc30237"/>
      <w:bookmarkStart w:id="133" w:name="_Toc22036"/>
      <w:r>
        <w:rPr>
          <w:rFonts w:hint="eastAsia" w:ascii="宋体" w:hAnsi="宋体" w:eastAsia="宋体" w:cs="宋体"/>
          <w:bCs/>
          <w:color w:val="auto"/>
          <w:spacing w:val="0"/>
          <w:w w:val="100"/>
          <w:kern w:val="0"/>
          <w:sz w:val="21"/>
          <w:szCs w:val="21"/>
        </w:rPr>
        <w:t xml:space="preserve">2. </w:t>
      </w:r>
      <w:bookmarkEnd w:id="127"/>
      <w:bookmarkEnd w:id="128"/>
      <w:bookmarkEnd w:id="129"/>
      <w:bookmarkEnd w:id="130"/>
      <w:bookmarkEnd w:id="131"/>
      <w:r>
        <w:rPr>
          <w:rFonts w:hint="eastAsia" w:ascii="宋体" w:hAnsi="宋体" w:eastAsia="宋体" w:cs="宋体"/>
          <w:bCs/>
          <w:color w:val="auto"/>
          <w:spacing w:val="0"/>
          <w:w w:val="100"/>
          <w:kern w:val="0"/>
          <w:sz w:val="21"/>
          <w:szCs w:val="21"/>
        </w:rPr>
        <w:t>竞争性比选文件</w:t>
      </w:r>
      <w:bookmarkEnd w:id="132"/>
      <w:bookmarkEnd w:id="133"/>
    </w:p>
    <w:p>
      <w:pPr>
        <w:pStyle w:val="5"/>
        <w:snapToGrid w:val="0"/>
        <w:spacing w:before="0" w:line="360" w:lineRule="auto"/>
        <w:rPr>
          <w:rFonts w:hint="eastAsia" w:ascii="宋体" w:hAnsi="宋体" w:eastAsia="宋体" w:cs="宋体"/>
          <w:snapToGrid w:val="0"/>
          <w:color w:val="auto"/>
          <w:sz w:val="21"/>
          <w:szCs w:val="21"/>
        </w:rPr>
      </w:pPr>
      <w:bookmarkStart w:id="134" w:name="_Toc5120"/>
      <w:bookmarkStart w:id="135" w:name="_Toc21518"/>
      <w:bookmarkStart w:id="136" w:name="_Toc30552"/>
      <w:bookmarkStart w:id="137" w:name="_Toc200513141"/>
      <w:bookmarkStart w:id="138" w:name="_Toc444155928"/>
      <w:bookmarkStart w:id="139" w:name="_Toc23724"/>
      <w:r>
        <w:rPr>
          <w:rFonts w:hint="eastAsia" w:ascii="宋体" w:hAnsi="宋体" w:eastAsia="宋体" w:cs="宋体"/>
          <w:snapToGrid w:val="0"/>
          <w:color w:val="auto"/>
          <w:sz w:val="21"/>
          <w:szCs w:val="21"/>
        </w:rPr>
        <w:t>2.1 竞争性比选文件的组成</w:t>
      </w:r>
      <w:bookmarkEnd w:id="134"/>
      <w:bookmarkEnd w:id="135"/>
      <w:bookmarkEnd w:id="136"/>
      <w:bookmarkEnd w:id="137"/>
      <w:bookmarkEnd w:id="138"/>
      <w:bookmarkEnd w:id="139"/>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rPr>
      </w:pPr>
      <w:bookmarkStart w:id="140" w:name="OLE_LINK159"/>
      <w:bookmarkStart w:id="141" w:name="OLE_LINK132"/>
      <w:bookmarkStart w:id="142" w:name="OLE_LINK130"/>
      <w:bookmarkStart w:id="143" w:name="OLE_LINK131"/>
      <w:r>
        <w:rPr>
          <w:rFonts w:hint="eastAsia" w:ascii="宋体" w:hAnsi="宋体" w:eastAsia="宋体" w:cs="宋体"/>
          <w:snapToGrid w:val="0"/>
          <w:color w:val="auto"/>
          <w:kern w:val="0"/>
          <w:szCs w:val="21"/>
        </w:rPr>
        <w:t>本竞争性比选文件包括：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rPr>
      </w:pPr>
      <w:bookmarkStart w:id="144" w:name="OLE_LINK125"/>
      <w:bookmarkStart w:id="145" w:name="OLE_LINK123"/>
      <w:bookmarkStart w:id="146" w:name="OLE_LINK124"/>
      <w:bookmarkStart w:id="147" w:name="OLE_LINK129"/>
      <w:bookmarkStart w:id="148" w:name="OLE_LINK121"/>
      <w:bookmarkStart w:id="149" w:name="OLE_LINK122"/>
      <w:bookmarkStart w:id="150" w:name="OLE_LINK127"/>
      <w:bookmarkStart w:id="151" w:name="OLE_LINK128"/>
      <w:bookmarkStart w:id="152" w:name="OLE_LINK126"/>
      <w:r>
        <w:rPr>
          <w:rFonts w:hint="eastAsia" w:ascii="宋体" w:hAnsi="宋体" w:eastAsia="宋体" w:cs="宋体"/>
          <w:snapToGrid w:val="0"/>
          <w:color w:val="auto"/>
          <w:kern w:val="0"/>
          <w:szCs w:val="21"/>
        </w:rPr>
        <w:t>（1）</w:t>
      </w:r>
      <w:r>
        <w:rPr>
          <w:rFonts w:hint="eastAsia" w:ascii="宋体" w:hAnsi="宋体" w:eastAsia="宋体" w:cs="宋体"/>
          <w:color w:val="auto"/>
          <w:kern w:val="0"/>
          <w:szCs w:val="21"/>
        </w:rPr>
        <w:t>比选公告</w:t>
      </w:r>
      <w:r>
        <w:rPr>
          <w:rFonts w:hint="eastAsia" w:ascii="宋体" w:hAnsi="宋体" w:eastAsia="宋体" w:cs="宋体"/>
          <w:snapToGrid w:val="0"/>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（2）竞选人须知；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（3）评审办法；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（4）合同主要条款；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（5）工程量清单</w:t>
      </w:r>
      <w:r>
        <w:rPr>
          <w:rFonts w:hint="eastAsia" w:ascii="宋体" w:hAnsi="宋体" w:eastAsia="宋体" w:cs="宋体"/>
          <w:snapToGrid w:val="0"/>
          <w:color w:val="auto"/>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eastAsia="zh-CN"/>
        </w:rPr>
        <w:t>（</w:t>
      </w:r>
      <w:r>
        <w:rPr>
          <w:rFonts w:hint="eastAsia" w:ascii="宋体" w:hAnsi="宋体" w:eastAsia="宋体" w:cs="宋体"/>
          <w:snapToGrid w:val="0"/>
          <w:color w:val="auto"/>
          <w:kern w:val="0"/>
          <w:szCs w:val="21"/>
          <w:lang w:val="en-US" w:eastAsia="zh-CN"/>
        </w:rPr>
        <w:t>6）图纸；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lang w:eastAsia="zh-CN"/>
        </w:rPr>
        <w:t>（</w:t>
      </w:r>
      <w:r>
        <w:rPr>
          <w:rFonts w:hint="eastAsia" w:ascii="宋体" w:hAnsi="宋体" w:eastAsia="宋体" w:cs="宋体"/>
          <w:snapToGrid w:val="0"/>
          <w:color w:val="auto"/>
          <w:kern w:val="0"/>
          <w:szCs w:val="21"/>
          <w:lang w:val="en-US" w:eastAsia="zh-CN"/>
        </w:rPr>
        <w:t>7）</w:t>
      </w:r>
      <w:r>
        <w:rPr>
          <w:rFonts w:hint="eastAsia" w:ascii="宋体" w:hAnsi="宋体" w:eastAsia="宋体" w:cs="宋体"/>
          <w:snapToGrid w:val="0"/>
          <w:color w:val="auto"/>
          <w:kern w:val="0"/>
          <w:szCs w:val="21"/>
        </w:rPr>
        <w:t>技术标准和要求；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eastAsia="zh-CN"/>
        </w:rPr>
      </w:pPr>
      <w:bookmarkStart w:id="153" w:name="OLE_LINK134"/>
      <w:bookmarkStart w:id="154" w:name="OLE_LINK133"/>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lang w:val="en-US" w:eastAsia="zh-CN"/>
        </w:rPr>
        <w:t>8</w:t>
      </w:r>
      <w:r>
        <w:rPr>
          <w:rFonts w:hint="eastAsia" w:ascii="宋体" w:hAnsi="宋体" w:eastAsia="宋体" w:cs="宋体"/>
          <w:snapToGrid w:val="0"/>
          <w:color w:val="auto"/>
          <w:kern w:val="0"/>
          <w:szCs w:val="21"/>
        </w:rPr>
        <w:t>）竞选文件格式</w:t>
      </w:r>
      <w:r>
        <w:rPr>
          <w:rFonts w:hint="eastAsia" w:ascii="宋体" w:hAnsi="宋体" w:eastAsia="宋体" w:cs="宋体"/>
          <w:snapToGrid w:val="0"/>
          <w:color w:val="auto"/>
          <w:kern w:val="0"/>
          <w:szCs w:val="21"/>
          <w:lang w:eastAsia="zh-CN"/>
        </w:rPr>
        <w:t>；</w:t>
      </w:r>
    </w:p>
    <w:bookmarkEnd w:id="153"/>
    <w:bookmarkEnd w:id="154"/>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lang w:val="en-US" w:eastAsia="zh-CN"/>
        </w:rPr>
        <w:t>9</w:t>
      </w:r>
      <w:r>
        <w:rPr>
          <w:rFonts w:hint="eastAsia" w:ascii="宋体" w:hAnsi="宋体" w:eastAsia="宋体" w:cs="宋体"/>
          <w:snapToGrid w:val="0"/>
          <w:color w:val="auto"/>
          <w:kern w:val="0"/>
          <w:szCs w:val="21"/>
        </w:rPr>
        <w:t>）其他材料。</w:t>
      </w:r>
    </w:p>
    <w:bookmarkEnd w:id="144"/>
    <w:bookmarkEnd w:id="145"/>
    <w:bookmarkEnd w:id="146"/>
    <w:bookmarkEnd w:id="147"/>
    <w:bookmarkEnd w:id="148"/>
    <w:bookmarkEnd w:id="149"/>
    <w:bookmarkEnd w:id="150"/>
    <w:bookmarkEnd w:id="151"/>
    <w:bookmarkEnd w:id="152"/>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根据本章第2.2款对竞争性比选文件所作的澄清、修改，构成竞争性比选文件的组成部</w:t>
      </w:r>
      <w:bookmarkEnd w:id="140"/>
      <w:r>
        <w:rPr>
          <w:rFonts w:hint="eastAsia" w:ascii="宋体" w:hAnsi="宋体" w:eastAsia="宋体" w:cs="宋体"/>
          <w:snapToGrid w:val="0"/>
          <w:color w:val="auto"/>
          <w:kern w:val="0"/>
          <w:szCs w:val="21"/>
        </w:rPr>
        <w:t>分。</w:t>
      </w:r>
    </w:p>
    <w:bookmarkEnd w:id="141"/>
    <w:bookmarkEnd w:id="142"/>
    <w:bookmarkEnd w:id="143"/>
    <w:p>
      <w:pPr>
        <w:pStyle w:val="5"/>
        <w:snapToGrid w:val="0"/>
        <w:spacing w:before="0" w:line="360" w:lineRule="auto"/>
        <w:rPr>
          <w:rFonts w:hint="eastAsia" w:ascii="宋体" w:hAnsi="宋体" w:eastAsia="宋体" w:cs="宋体"/>
          <w:snapToGrid w:val="0"/>
          <w:color w:val="auto"/>
          <w:sz w:val="21"/>
          <w:szCs w:val="21"/>
        </w:rPr>
      </w:pPr>
      <w:bookmarkStart w:id="155" w:name="_Toc9907"/>
      <w:bookmarkStart w:id="156" w:name="_Toc2593"/>
      <w:bookmarkStart w:id="157" w:name="_Toc16847"/>
      <w:bookmarkStart w:id="158" w:name="_Toc200513142"/>
      <w:bookmarkStart w:id="159" w:name="_Toc444155929"/>
      <w:bookmarkStart w:id="160" w:name="_Toc28494"/>
      <w:bookmarkStart w:id="161" w:name="OLE_LINK89"/>
      <w:r>
        <w:rPr>
          <w:rFonts w:hint="eastAsia" w:ascii="宋体" w:hAnsi="宋体" w:eastAsia="宋体" w:cs="宋体"/>
          <w:snapToGrid w:val="0"/>
          <w:color w:val="auto"/>
          <w:sz w:val="21"/>
          <w:szCs w:val="21"/>
        </w:rPr>
        <w:t>2.2 竞争性比选文件的澄清</w:t>
      </w:r>
      <w:bookmarkEnd w:id="155"/>
      <w:bookmarkEnd w:id="156"/>
      <w:bookmarkEnd w:id="157"/>
      <w:bookmarkEnd w:id="158"/>
      <w:bookmarkEnd w:id="159"/>
      <w:bookmarkEnd w:id="160"/>
    </w:p>
    <w:bookmarkEnd w:id="161"/>
    <w:p>
      <w:pPr>
        <w:autoSpaceDE w:val="0"/>
        <w:autoSpaceDN w:val="0"/>
        <w:adjustRightInd w:val="0"/>
        <w:snapToGrid w:val="0"/>
        <w:spacing w:line="360" w:lineRule="auto"/>
        <w:ind w:firstLine="357" w:firstLineChars="170"/>
        <w:jc w:val="left"/>
        <w:rPr>
          <w:rFonts w:hint="eastAsia" w:ascii="宋体" w:hAnsi="宋体" w:eastAsia="宋体" w:cs="宋体"/>
          <w:snapToGrid w:val="0"/>
          <w:color w:val="auto"/>
          <w:kern w:val="0"/>
          <w:szCs w:val="21"/>
        </w:rPr>
      </w:pPr>
      <w:bookmarkStart w:id="162" w:name="_Toc200513143"/>
      <w:r>
        <w:rPr>
          <w:rFonts w:hint="eastAsia" w:ascii="宋体" w:hAnsi="宋体" w:eastAsia="宋体" w:cs="宋体"/>
          <w:snapToGrid w:val="0"/>
          <w:color w:val="auto"/>
          <w:kern w:val="0"/>
          <w:szCs w:val="21"/>
        </w:rPr>
        <w:t>2.2.1</w:t>
      </w:r>
      <w:r>
        <w:rPr>
          <w:rFonts w:hint="eastAsia" w:ascii="宋体" w:hAnsi="宋体" w:eastAsia="宋体" w:cs="宋体"/>
          <w:color w:val="auto"/>
          <w:kern w:val="0"/>
          <w:szCs w:val="21"/>
        </w:rPr>
        <w:t>竞选人要求澄清竞争性比选文件的截止时间</w:t>
      </w:r>
      <w:r>
        <w:rPr>
          <w:rFonts w:hint="eastAsia" w:ascii="宋体" w:hAnsi="宋体" w:eastAsia="宋体" w:cs="宋体"/>
          <w:snapToGrid w:val="0"/>
          <w:color w:val="auto"/>
          <w:kern w:val="0"/>
          <w:szCs w:val="21"/>
        </w:rPr>
        <w:t>见竞选人须知前附表规定。</w:t>
      </w:r>
    </w:p>
    <w:p>
      <w:pPr>
        <w:autoSpaceDE w:val="0"/>
        <w:autoSpaceDN w:val="0"/>
        <w:adjustRightInd w:val="0"/>
        <w:snapToGrid w:val="0"/>
        <w:spacing w:line="360" w:lineRule="auto"/>
        <w:ind w:firstLine="357" w:firstLineChars="17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2.2.2</w:t>
      </w:r>
      <w:r>
        <w:rPr>
          <w:rFonts w:hint="eastAsia" w:ascii="宋体" w:hAnsi="宋体" w:eastAsia="宋体" w:cs="宋体"/>
          <w:color w:val="auto"/>
          <w:kern w:val="0"/>
          <w:szCs w:val="21"/>
        </w:rPr>
        <w:t>比选人对竞争性比选文件答疑及对竞争性比选文件的澄清与修改</w:t>
      </w:r>
      <w:r>
        <w:rPr>
          <w:rFonts w:hint="eastAsia" w:ascii="宋体" w:hAnsi="宋体" w:eastAsia="宋体" w:cs="宋体"/>
          <w:snapToGrid w:val="0"/>
          <w:color w:val="auto"/>
          <w:kern w:val="0"/>
          <w:szCs w:val="21"/>
        </w:rPr>
        <w:t>见竞选人须知前附表规定。</w:t>
      </w:r>
    </w:p>
    <w:bookmarkEnd w:id="162"/>
    <w:p>
      <w:pPr>
        <w:pStyle w:val="5"/>
        <w:snapToGrid w:val="0"/>
        <w:spacing w:before="0" w:line="360" w:lineRule="auto"/>
        <w:rPr>
          <w:rFonts w:hint="eastAsia" w:ascii="宋体" w:hAnsi="宋体" w:eastAsia="宋体" w:cs="宋体"/>
          <w:snapToGrid w:val="0"/>
          <w:color w:val="auto"/>
          <w:sz w:val="21"/>
          <w:szCs w:val="21"/>
        </w:rPr>
      </w:pPr>
      <w:bookmarkStart w:id="163" w:name="_Toc6600"/>
      <w:bookmarkStart w:id="164" w:name="_Toc444155931"/>
      <w:bookmarkStart w:id="165" w:name="_Toc200513144"/>
      <w:bookmarkStart w:id="166" w:name="_Toc12703"/>
      <w:bookmarkStart w:id="167" w:name="_Toc10931"/>
      <w:bookmarkStart w:id="168" w:name="_Toc30887"/>
      <w:r>
        <w:rPr>
          <w:rFonts w:hint="eastAsia" w:ascii="宋体" w:hAnsi="宋体" w:eastAsia="宋体" w:cs="宋体"/>
          <w:snapToGrid w:val="0"/>
          <w:color w:val="auto"/>
          <w:sz w:val="21"/>
          <w:szCs w:val="21"/>
        </w:rPr>
        <w:t>2.3 竞选文件递交截止时间</w:t>
      </w:r>
    </w:p>
    <w:p>
      <w:pPr>
        <w:autoSpaceDE w:val="0"/>
        <w:autoSpaceDN w:val="0"/>
        <w:adjustRightInd w:val="0"/>
        <w:snapToGrid w:val="0"/>
        <w:spacing w:line="360" w:lineRule="auto"/>
        <w:ind w:firstLine="357" w:firstLineChars="17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见竞选人须知前附表规定。</w:t>
      </w:r>
    </w:p>
    <w:p>
      <w:pPr>
        <w:pStyle w:val="4"/>
        <w:keepNext/>
        <w:keepLines/>
        <w:autoSpaceDE/>
        <w:autoSpaceDN/>
        <w:jc w:val="both"/>
        <w:rPr>
          <w:rFonts w:hint="eastAsia" w:ascii="宋体" w:hAnsi="宋体" w:eastAsia="宋体" w:cs="宋体"/>
          <w:bCs/>
          <w:color w:val="auto"/>
          <w:spacing w:val="0"/>
          <w:w w:val="100"/>
          <w:kern w:val="0"/>
          <w:sz w:val="21"/>
          <w:szCs w:val="21"/>
        </w:rPr>
      </w:pPr>
      <w:bookmarkStart w:id="169" w:name="_Toc19085"/>
      <w:r>
        <w:rPr>
          <w:rFonts w:hint="eastAsia" w:ascii="宋体" w:hAnsi="宋体" w:eastAsia="宋体" w:cs="宋体"/>
          <w:bCs/>
          <w:color w:val="auto"/>
          <w:spacing w:val="0"/>
          <w:w w:val="100"/>
          <w:kern w:val="0"/>
          <w:sz w:val="21"/>
          <w:szCs w:val="21"/>
        </w:rPr>
        <w:t xml:space="preserve">3. </w:t>
      </w:r>
      <w:bookmarkEnd w:id="163"/>
      <w:bookmarkEnd w:id="164"/>
      <w:bookmarkEnd w:id="165"/>
      <w:bookmarkEnd w:id="166"/>
      <w:bookmarkEnd w:id="167"/>
      <w:r>
        <w:rPr>
          <w:rFonts w:hint="eastAsia" w:ascii="宋体" w:hAnsi="宋体" w:eastAsia="宋体" w:cs="宋体"/>
          <w:bCs/>
          <w:color w:val="auto"/>
          <w:spacing w:val="0"/>
          <w:w w:val="100"/>
          <w:kern w:val="0"/>
          <w:sz w:val="21"/>
          <w:szCs w:val="21"/>
        </w:rPr>
        <w:t>竞选文件</w:t>
      </w:r>
      <w:bookmarkEnd w:id="168"/>
      <w:bookmarkEnd w:id="169"/>
    </w:p>
    <w:p>
      <w:pPr>
        <w:pStyle w:val="5"/>
        <w:snapToGrid w:val="0"/>
        <w:spacing w:before="0" w:line="360" w:lineRule="auto"/>
        <w:rPr>
          <w:rFonts w:hint="eastAsia" w:ascii="宋体" w:hAnsi="宋体" w:eastAsia="宋体" w:cs="宋体"/>
          <w:snapToGrid w:val="0"/>
          <w:color w:val="auto"/>
          <w:sz w:val="21"/>
          <w:szCs w:val="21"/>
        </w:rPr>
      </w:pPr>
      <w:bookmarkStart w:id="170" w:name="_Toc13900"/>
      <w:bookmarkStart w:id="171" w:name="_Toc14726"/>
      <w:bookmarkStart w:id="172" w:name="_Toc200513145"/>
      <w:bookmarkStart w:id="173" w:name="_Toc444155932"/>
      <w:bookmarkStart w:id="174" w:name="_Toc3690"/>
      <w:bookmarkStart w:id="175" w:name="_Toc16394"/>
      <w:r>
        <w:rPr>
          <w:rFonts w:hint="eastAsia" w:ascii="宋体" w:hAnsi="宋体" w:eastAsia="宋体" w:cs="宋体"/>
          <w:snapToGrid w:val="0"/>
          <w:color w:val="auto"/>
          <w:sz w:val="21"/>
          <w:szCs w:val="21"/>
        </w:rPr>
        <w:t>3.1 竞选文件的组成</w:t>
      </w:r>
      <w:bookmarkEnd w:id="170"/>
      <w:bookmarkEnd w:id="171"/>
      <w:bookmarkEnd w:id="172"/>
      <w:bookmarkEnd w:id="173"/>
      <w:bookmarkEnd w:id="174"/>
      <w:bookmarkEnd w:id="175"/>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bookmarkStart w:id="176" w:name="_Toc9566"/>
      <w:bookmarkStart w:id="177" w:name="_Toc28017"/>
      <w:bookmarkStart w:id="178" w:name="_Toc31840"/>
      <w:bookmarkStart w:id="179" w:name="_Toc444155933"/>
      <w:bookmarkStart w:id="180" w:name="_Toc200513146"/>
      <w:r>
        <w:rPr>
          <w:rFonts w:hint="eastAsia" w:ascii="宋体" w:hAnsi="宋体" w:eastAsia="宋体" w:cs="宋体"/>
          <w:snapToGrid w:val="0"/>
          <w:color w:val="auto"/>
          <w:kern w:val="0"/>
          <w:szCs w:val="21"/>
        </w:rPr>
        <w:t>见第</w:t>
      </w:r>
      <w:r>
        <w:rPr>
          <w:rFonts w:hint="eastAsia" w:ascii="宋体" w:hAnsi="宋体" w:eastAsia="宋体" w:cs="宋体"/>
          <w:snapToGrid w:val="0"/>
          <w:color w:val="auto"/>
          <w:kern w:val="0"/>
          <w:szCs w:val="21"/>
          <w:lang w:val="en-US" w:eastAsia="zh-CN"/>
        </w:rPr>
        <w:t>八</w:t>
      </w:r>
      <w:r>
        <w:rPr>
          <w:rFonts w:hint="eastAsia" w:ascii="宋体" w:hAnsi="宋体" w:eastAsia="宋体" w:cs="宋体"/>
          <w:snapToGrid w:val="0"/>
          <w:color w:val="auto"/>
          <w:kern w:val="0"/>
          <w:szCs w:val="21"/>
        </w:rPr>
        <w:t>章。</w:t>
      </w:r>
    </w:p>
    <w:p>
      <w:pPr>
        <w:pStyle w:val="5"/>
        <w:snapToGrid w:val="0"/>
        <w:spacing w:before="0" w:line="360" w:lineRule="auto"/>
        <w:rPr>
          <w:rFonts w:hint="eastAsia" w:ascii="宋体" w:hAnsi="宋体" w:eastAsia="宋体" w:cs="宋体"/>
          <w:snapToGrid w:val="0"/>
          <w:color w:val="auto"/>
          <w:sz w:val="21"/>
          <w:szCs w:val="21"/>
          <w:lang w:eastAsia="zh-CN"/>
        </w:rPr>
      </w:pPr>
      <w:bookmarkStart w:id="181" w:name="_Toc21895"/>
      <w:r>
        <w:rPr>
          <w:rFonts w:hint="eastAsia" w:ascii="宋体" w:hAnsi="宋体" w:eastAsia="宋体" w:cs="宋体"/>
          <w:snapToGrid w:val="0"/>
          <w:color w:val="auto"/>
          <w:sz w:val="21"/>
          <w:szCs w:val="21"/>
        </w:rPr>
        <w:t xml:space="preserve">3.2 </w:t>
      </w:r>
      <w:bookmarkEnd w:id="176"/>
      <w:bookmarkEnd w:id="177"/>
      <w:bookmarkEnd w:id="178"/>
      <w:bookmarkEnd w:id="179"/>
      <w:bookmarkEnd w:id="180"/>
      <w:bookmarkEnd w:id="181"/>
      <w:r>
        <w:rPr>
          <w:rFonts w:hint="eastAsia" w:ascii="宋体" w:hAnsi="宋体" w:eastAsia="宋体" w:cs="宋体"/>
          <w:snapToGrid w:val="0"/>
          <w:color w:val="auto"/>
          <w:sz w:val="21"/>
          <w:szCs w:val="21"/>
          <w:lang w:eastAsia="zh-CN"/>
        </w:rPr>
        <w:t>竞选报价</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竞选人应</w:t>
      </w:r>
      <w:r>
        <w:rPr>
          <w:rFonts w:hint="eastAsia" w:ascii="宋体" w:hAnsi="宋体" w:eastAsia="宋体" w:cs="宋体"/>
          <w:color w:val="auto"/>
          <w:szCs w:val="21"/>
        </w:rPr>
        <w:t>参照竞选人须知前附表3.2款</w:t>
      </w:r>
      <w:r>
        <w:rPr>
          <w:rFonts w:hint="eastAsia" w:ascii="宋体" w:hAnsi="宋体" w:eastAsia="宋体" w:cs="宋体"/>
          <w:snapToGrid w:val="0"/>
          <w:color w:val="auto"/>
          <w:kern w:val="0"/>
          <w:szCs w:val="21"/>
        </w:rPr>
        <w:t>。</w:t>
      </w:r>
    </w:p>
    <w:p>
      <w:pPr>
        <w:pStyle w:val="5"/>
        <w:snapToGrid w:val="0"/>
        <w:spacing w:before="0" w:line="360" w:lineRule="auto"/>
        <w:rPr>
          <w:rFonts w:hint="eastAsia" w:ascii="宋体" w:hAnsi="宋体" w:eastAsia="宋体" w:cs="宋体"/>
          <w:snapToGrid w:val="0"/>
          <w:color w:val="auto"/>
          <w:sz w:val="21"/>
          <w:szCs w:val="21"/>
        </w:rPr>
      </w:pPr>
      <w:bookmarkStart w:id="182" w:name="_Toc444155934"/>
      <w:bookmarkStart w:id="183" w:name="_Toc200513147"/>
      <w:bookmarkStart w:id="184" w:name="_Toc17656"/>
      <w:bookmarkStart w:id="185" w:name="_Toc24651"/>
      <w:bookmarkStart w:id="186" w:name="_Toc6616"/>
      <w:bookmarkStart w:id="187" w:name="_Toc4106"/>
      <w:r>
        <w:rPr>
          <w:rFonts w:hint="eastAsia" w:ascii="宋体" w:hAnsi="宋体" w:eastAsia="宋体" w:cs="宋体"/>
          <w:snapToGrid w:val="0"/>
          <w:color w:val="auto"/>
          <w:sz w:val="21"/>
          <w:szCs w:val="21"/>
        </w:rPr>
        <w:t xml:space="preserve">3.3 </w:t>
      </w:r>
      <w:bookmarkEnd w:id="182"/>
      <w:bookmarkEnd w:id="183"/>
      <w:bookmarkEnd w:id="184"/>
      <w:r>
        <w:rPr>
          <w:rFonts w:hint="eastAsia" w:ascii="宋体" w:hAnsi="宋体" w:eastAsia="宋体" w:cs="宋体"/>
          <w:snapToGrid w:val="0"/>
          <w:color w:val="auto"/>
          <w:sz w:val="21"/>
          <w:szCs w:val="21"/>
        </w:rPr>
        <w:t>竞选文件有效期</w:t>
      </w:r>
      <w:bookmarkEnd w:id="185"/>
      <w:bookmarkEnd w:id="186"/>
      <w:bookmarkEnd w:id="187"/>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3.3.1 在竞选人须知前附表规定的竞选文件有效期内，竞选人不得要求撤销或修改其竞选文件。</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3.3.2 出现特殊情况需要延长竞选文件有效期的，比选人以书面形式通知所有竞选人延长竞选文件有效期。竞选人同意延长的，应相应延长其</w:t>
      </w:r>
      <w:r>
        <w:rPr>
          <w:rFonts w:hint="eastAsia" w:ascii="宋体" w:hAnsi="宋体" w:eastAsia="宋体" w:cs="宋体"/>
          <w:color w:val="auto"/>
          <w:szCs w:val="21"/>
        </w:rPr>
        <w:t>竞选</w:t>
      </w:r>
      <w:r>
        <w:rPr>
          <w:rFonts w:hint="eastAsia" w:ascii="宋体" w:hAnsi="宋体" w:eastAsia="宋体" w:cs="宋体"/>
          <w:snapToGrid w:val="0"/>
          <w:color w:val="auto"/>
          <w:kern w:val="0"/>
          <w:szCs w:val="21"/>
        </w:rPr>
        <w:t>保证金的有效期，但不得要求或被允许修改或撤销其竞选文件；竞选人拒绝延长的，其</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竞选文件失效，但竞选人有权收回其</w:t>
      </w:r>
      <w:r>
        <w:rPr>
          <w:rFonts w:hint="eastAsia" w:ascii="宋体" w:hAnsi="宋体" w:eastAsia="宋体" w:cs="宋体"/>
          <w:color w:val="auto"/>
          <w:szCs w:val="21"/>
        </w:rPr>
        <w:t>竞选</w:t>
      </w:r>
      <w:r>
        <w:rPr>
          <w:rFonts w:hint="eastAsia" w:ascii="宋体" w:hAnsi="宋体" w:eastAsia="宋体" w:cs="宋体"/>
          <w:snapToGrid w:val="0"/>
          <w:color w:val="auto"/>
          <w:kern w:val="0"/>
          <w:szCs w:val="21"/>
        </w:rPr>
        <w:t>保证金。</w:t>
      </w:r>
    </w:p>
    <w:p>
      <w:pPr>
        <w:pStyle w:val="5"/>
        <w:snapToGrid w:val="0"/>
        <w:spacing w:before="0" w:line="360" w:lineRule="auto"/>
        <w:rPr>
          <w:rFonts w:hint="eastAsia" w:ascii="宋体" w:hAnsi="宋体" w:eastAsia="宋体" w:cs="宋体"/>
          <w:snapToGrid w:val="0"/>
          <w:color w:val="auto"/>
          <w:sz w:val="21"/>
          <w:szCs w:val="21"/>
        </w:rPr>
      </w:pPr>
      <w:bookmarkStart w:id="188" w:name="_Toc444155935"/>
      <w:bookmarkStart w:id="189" w:name="_Toc200513148"/>
      <w:bookmarkStart w:id="190" w:name="_Toc23124"/>
      <w:bookmarkStart w:id="191" w:name="_Toc22726"/>
      <w:bookmarkStart w:id="192" w:name="_Toc17889"/>
      <w:bookmarkStart w:id="193" w:name="_Toc10078"/>
      <w:r>
        <w:rPr>
          <w:rFonts w:hint="eastAsia" w:ascii="宋体" w:hAnsi="宋体" w:eastAsia="宋体" w:cs="宋体"/>
          <w:snapToGrid w:val="0"/>
          <w:color w:val="auto"/>
          <w:sz w:val="21"/>
          <w:szCs w:val="21"/>
        </w:rPr>
        <w:t xml:space="preserve">3.4 </w:t>
      </w:r>
      <w:bookmarkEnd w:id="188"/>
      <w:bookmarkEnd w:id="189"/>
      <w:bookmarkEnd w:id="190"/>
      <w:r>
        <w:rPr>
          <w:rFonts w:hint="eastAsia" w:ascii="宋体" w:hAnsi="宋体" w:eastAsia="宋体" w:cs="宋体"/>
          <w:snapToGrid w:val="0"/>
          <w:color w:val="auto"/>
          <w:sz w:val="21"/>
          <w:szCs w:val="21"/>
        </w:rPr>
        <w:t>竞选保证金</w:t>
      </w:r>
      <w:bookmarkEnd w:id="191"/>
      <w:bookmarkEnd w:id="192"/>
      <w:bookmarkEnd w:id="193"/>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bookmarkStart w:id="194" w:name="_Toc200513150"/>
      <w:r>
        <w:rPr>
          <w:rFonts w:hint="eastAsia" w:ascii="宋体" w:hAnsi="宋体" w:eastAsia="宋体" w:cs="宋体"/>
          <w:snapToGrid w:val="0"/>
          <w:color w:val="auto"/>
          <w:kern w:val="0"/>
          <w:szCs w:val="21"/>
        </w:rPr>
        <w:t>3.4.1 竞选人在递交竞选文件的同时，应按竞选人须知前附表规定的金额、担保形式递交</w:t>
      </w:r>
      <w:r>
        <w:rPr>
          <w:rFonts w:hint="eastAsia" w:ascii="宋体" w:hAnsi="宋体" w:eastAsia="宋体" w:cs="宋体"/>
          <w:color w:val="auto"/>
          <w:szCs w:val="21"/>
        </w:rPr>
        <w:t>竞选</w:t>
      </w:r>
      <w:r>
        <w:rPr>
          <w:rFonts w:hint="eastAsia" w:ascii="宋体" w:hAnsi="宋体" w:eastAsia="宋体" w:cs="宋体"/>
          <w:snapToGrid w:val="0"/>
          <w:color w:val="auto"/>
          <w:kern w:val="0"/>
          <w:szCs w:val="21"/>
        </w:rPr>
        <w:t>保证金，并作为其竞选文件的组成部分。</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3.4.2 竞选人不按本章第3.4.1项要求提交</w:t>
      </w:r>
      <w:r>
        <w:rPr>
          <w:rFonts w:hint="eastAsia" w:ascii="宋体" w:hAnsi="宋体" w:eastAsia="宋体" w:cs="宋体"/>
          <w:color w:val="auto"/>
          <w:szCs w:val="21"/>
        </w:rPr>
        <w:t>竞选</w:t>
      </w:r>
      <w:r>
        <w:rPr>
          <w:rFonts w:hint="eastAsia" w:ascii="宋体" w:hAnsi="宋体" w:eastAsia="宋体" w:cs="宋体"/>
          <w:snapToGrid w:val="0"/>
          <w:color w:val="auto"/>
          <w:kern w:val="0"/>
          <w:szCs w:val="21"/>
        </w:rPr>
        <w:t>保证金的，其竞选文件作否决比选处理。</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3.4.3 </w:t>
      </w:r>
      <w:r>
        <w:rPr>
          <w:rFonts w:hint="eastAsia" w:ascii="宋体" w:hAnsi="宋体" w:eastAsia="宋体" w:cs="宋体"/>
          <w:color w:val="auto"/>
          <w:szCs w:val="21"/>
        </w:rPr>
        <w:t>竞选</w:t>
      </w:r>
      <w:r>
        <w:rPr>
          <w:rFonts w:hint="eastAsia" w:ascii="宋体" w:hAnsi="宋体" w:eastAsia="宋体" w:cs="宋体"/>
          <w:snapToGrid w:val="0"/>
          <w:color w:val="auto"/>
          <w:kern w:val="0"/>
          <w:szCs w:val="21"/>
        </w:rPr>
        <w:t>保证金退还：见竞选人须知前附表。</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3.4.4 有下列情形之一的，</w:t>
      </w:r>
      <w:r>
        <w:rPr>
          <w:rFonts w:hint="eastAsia" w:ascii="宋体" w:hAnsi="宋体" w:eastAsia="宋体" w:cs="宋体"/>
          <w:color w:val="auto"/>
          <w:szCs w:val="21"/>
        </w:rPr>
        <w:t>竞选</w:t>
      </w:r>
      <w:r>
        <w:rPr>
          <w:rFonts w:hint="eastAsia" w:ascii="宋体" w:hAnsi="宋体" w:eastAsia="宋体" w:cs="宋体"/>
          <w:snapToGrid w:val="0"/>
          <w:color w:val="auto"/>
          <w:kern w:val="0"/>
          <w:szCs w:val="21"/>
        </w:rPr>
        <w:t>保证金将不予退还：</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（1）参加比选活动过程中，提供虚假材料；</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（2）竞选人在规定的竞选文件有效期内撤销或修改其竞选文件；</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w:t>
      </w:r>
      <w:r>
        <w:rPr>
          <w:rFonts w:hint="eastAsia" w:ascii="宋体" w:hAnsi="宋体" w:eastAsia="宋体" w:cs="宋体"/>
          <w:color w:val="auto"/>
          <w:kern w:val="0"/>
          <w:szCs w:val="21"/>
        </w:rPr>
        <w:t>中选候选人</w:t>
      </w:r>
      <w:r>
        <w:rPr>
          <w:rFonts w:hint="eastAsia" w:ascii="宋体" w:hAnsi="宋体" w:eastAsia="宋体" w:cs="宋体"/>
          <w:snapToGrid w:val="0"/>
          <w:color w:val="auto"/>
          <w:kern w:val="0"/>
          <w:szCs w:val="21"/>
        </w:rPr>
        <w:t>在收到中选通知书后，无正当理由拒签合同协议书或未按竞争性比选文件规定提交履约担保。</w:t>
      </w:r>
    </w:p>
    <w:p>
      <w:pPr>
        <w:pStyle w:val="5"/>
        <w:snapToGrid w:val="0"/>
        <w:spacing w:before="0" w:line="360" w:lineRule="auto"/>
        <w:rPr>
          <w:rFonts w:hint="eastAsia" w:ascii="宋体" w:hAnsi="宋体" w:eastAsia="宋体" w:cs="宋体"/>
          <w:snapToGrid w:val="0"/>
          <w:color w:val="auto"/>
          <w:sz w:val="21"/>
          <w:szCs w:val="21"/>
        </w:rPr>
      </w:pPr>
      <w:bookmarkStart w:id="195" w:name="_Toc21763"/>
      <w:bookmarkStart w:id="196" w:name="_Toc28288"/>
      <w:bookmarkStart w:id="197" w:name="_Toc17678"/>
      <w:bookmarkStart w:id="198" w:name="_Toc30056"/>
      <w:bookmarkStart w:id="199" w:name="_Toc444155936"/>
      <w:r>
        <w:rPr>
          <w:rFonts w:hint="eastAsia" w:ascii="宋体" w:hAnsi="宋体" w:eastAsia="宋体" w:cs="宋体"/>
          <w:snapToGrid w:val="0"/>
          <w:color w:val="auto"/>
          <w:sz w:val="21"/>
          <w:szCs w:val="21"/>
        </w:rPr>
        <w:t>3.5 资格审查资料</w:t>
      </w:r>
      <w:bookmarkEnd w:id="194"/>
      <w:bookmarkEnd w:id="195"/>
      <w:bookmarkEnd w:id="196"/>
      <w:bookmarkEnd w:id="197"/>
      <w:bookmarkEnd w:id="198"/>
      <w:bookmarkEnd w:id="199"/>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按</w:t>
      </w:r>
      <w:r>
        <w:rPr>
          <w:rFonts w:hint="eastAsia" w:ascii="宋体" w:hAnsi="宋体" w:eastAsia="宋体" w:cs="宋体"/>
          <w:snapToGrid w:val="0"/>
          <w:color w:val="auto"/>
          <w:kern w:val="0"/>
          <w:szCs w:val="21"/>
          <w:lang w:val="en-US" w:eastAsia="zh-CN"/>
        </w:rPr>
        <w:t>竞选人</w:t>
      </w:r>
      <w:r>
        <w:rPr>
          <w:rFonts w:hint="eastAsia" w:ascii="宋体" w:hAnsi="宋体" w:eastAsia="宋体" w:cs="宋体"/>
          <w:snapToGrid w:val="0"/>
          <w:color w:val="auto"/>
          <w:kern w:val="0"/>
          <w:szCs w:val="21"/>
        </w:rPr>
        <w:t>须知第1.4.1项的规定执行。</w:t>
      </w:r>
    </w:p>
    <w:p>
      <w:pPr>
        <w:pStyle w:val="5"/>
        <w:snapToGrid w:val="0"/>
        <w:spacing w:before="0" w:line="360" w:lineRule="auto"/>
        <w:rPr>
          <w:rFonts w:hint="eastAsia" w:ascii="宋体" w:hAnsi="宋体" w:eastAsia="宋体" w:cs="宋体"/>
          <w:snapToGrid w:val="0"/>
          <w:color w:val="auto"/>
          <w:sz w:val="21"/>
          <w:szCs w:val="21"/>
        </w:rPr>
      </w:pPr>
      <w:bookmarkStart w:id="200" w:name="_Toc22565"/>
      <w:bookmarkStart w:id="201" w:name="_Toc200513151"/>
      <w:bookmarkStart w:id="202" w:name="_Toc444155937"/>
      <w:bookmarkStart w:id="203" w:name="_Toc32516"/>
      <w:bookmarkStart w:id="204" w:name="_Toc13792"/>
      <w:bookmarkStart w:id="205" w:name="_Toc23582"/>
      <w:r>
        <w:rPr>
          <w:rFonts w:hint="eastAsia" w:ascii="宋体" w:hAnsi="宋体" w:eastAsia="宋体" w:cs="宋体"/>
          <w:snapToGrid w:val="0"/>
          <w:color w:val="auto"/>
          <w:sz w:val="21"/>
          <w:szCs w:val="21"/>
        </w:rPr>
        <w:t>3.6 备选竞选方案</w:t>
      </w:r>
      <w:bookmarkEnd w:id="200"/>
      <w:bookmarkEnd w:id="201"/>
      <w:bookmarkEnd w:id="202"/>
      <w:bookmarkEnd w:id="203"/>
      <w:bookmarkEnd w:id="204"/>
      <w:bookmarkEnd w:id="205"/>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竞选人不得递交备选方案。</w:t>
      </w:r>
    </w:p>
    <w:p>
      <w:pPr>
        <w:pStyle w:val="5"/>
        <w:snapToGrid w:val="0"/>
        <w:spacing w:before="0" w:line="360" w:lineRule="auto"/>
        <w:rPr>
          <w:rFonts w:hint="eastAsia" w:ascii="宋体" w:hAnsi="宋体" w:eastAsia="宋体" w:cs="宋体"/>
          <w:snapToGrid w:val="0"/>
          <w:color w:val="auto"/>
          <w:sz w:val="21"/>
          <w:szCs w:val="21"/>
        </w:rPr>
      </w:pPr>
      <w:bookmarkStart w:id="206" w:name="_Toc186"/>
      <w:bookmarkStart w:id="207" w:name="_Toc23962"/>
      <w:bookmarkStart w:id="208" w:name="_Toc10960"/>
      <w:bookmarkStart w:id="209" w:name="_Toc11016"/>
      <w:bookmarkStart w:id="210" w:name="_Toc444155938"/>
      <w:r>
        <w:rPr>
          <w:rFonts w:hint="eastAsia" w:ascii="宋体" w:hAnsi="宋体" w:eastAsia="宋体" w:cs="宋体"/>
          <w:snapToGrid w:val="0"/>
          <w:color w:val="auto"/>
          <w:sz w:val="21"/>
          <w:szCs w:val="21"/>
        </w:rPr>
        <w:t>3.7 竞选文件的编制</w:t>
      </w:r>
      <w:bookmarkEnd w:id="206"/>
      <w:bookmarkEnd w:id="207"/>
      <w:bookmarkEnd w:id="208"/>
      <w:bookmarkEnd w:id="209"/>
      <w:bookmarkEnd w:id="210"/>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bookmarkStart w:id="211" w:name="_Toc200513153"/>
      <w:r>
        <w:rPr>
          <w:rFonts w:hint="eastAsia" w:ascii="宋体" w:hAnsi="宋体" w:eastAsia="宋体" w:cs="宋体"/>
          <w:snapToGrid w:val="0"/>
          <w:color w:val="auto"/>
          <w:kern w:val="0"/>
          <w:szCs w:val="21"/>
        </w:rPr>
        <w:t>3.7.1 竞选文件应按</w:t>
      </w:r>
      <w:r>
        <w:rPr>
          <w:rFonts w:hint="eastAsia" w:ascii="宋体" w:hAnsi="宋体" w:eastAsia="宋体" w:cs="宋体"/>
          <w:snapToGrid w:val="0"/>
          <w:color w:val="auto"/>
          <w:kern w:val="0"/>
          <w:szCs w:val="21"/>
          <w:lang w:eastAsia="zh-CN"/>
        </w:rPr>
        <w:t>第八章“竞选文件格式”</w:t>
      </w:r>
      <w:r>
        <w:rPr>
          <w:rFonts w:hint="eastAsia" w:ascii="宋体" w:hAnsi="宋体" w:eastAsia="宋体" w:cs="宋体"/>
          <w:snapToGrid w:val="0"/>
          <w:color w:val="auto"/>
          <w:kern w:val="0"/>
          <w:szCs w:val="21"/>
        </w:rPr>
        <w:t>进行编写，如有必要，可以增加附页，作为竞选文件的组成部分。可以提出比竞争性比选文件要求更有利于比选人的承诺。</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3.7.2 竞选文件应当对竞争性比选文件有关</w:t>
      </w:r>
      <w:r>
        <w:rPr>
          <w:rFonts w:hint="eastAsia" w:ascii="宋体" w:hAnsi="宋体" w:eastAsia="宋体" w:cs="宋体"/>
          <w:snapToGrid w:val="0"/>
          <w:color w:val="auto"/>
          <w:kern w:val="0"/>
          <w:szCs w:val="21"/>
          <w:lang w:val="en-US" w:eastAsia="zh-CN"/>
        </w:rPr>
        <w:t>工期</w:t>
      </w:r>
      <w:r>
        <w:rPr>
          <w:rFonts w:hint="eastAsia" w:ascii="宋体" w:hAnsi="宋体" w:eastAsia="宋体" w:cs="宋体"/>
          <w:snapToGrid w:val="0"/>
          <w:color w:val="auto"/>
          <w:kern w:val="0"/>
          <w:szCs w:val="21"/>
        </w:rPr>
        <w:t>、竞选有效期、质量要求、技术标准和要求、</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范围等实质性内容做出响应。</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3.7.4 竞选文件正本一份，副本份数见竞选人须知前附表。正本和副本的封面上应清楚地标记“正本”或“副本”的字样，正本封面均须加盖单位公章（鲜章）。当副本和正本不一致时，以正本为准。</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3.7.5 竞选文件的正本与副本应分别装订成册，并编制目录，具体装订要求见竞选人须知前附表规定。</w:t>
      </w:r>
    </w:p>
    <w:p>
      <w:pPr>
        <w:pStyle w:val="4"/>
        <w:keepNext/>
        <w:keepLines/>
        <w:autoSpaceDE/>
        <w:autoSpaceDN/>
        <w:jc w:val="both"/>
        <w:rPr>
          <w:rFonts w:hint="eastAsia" w:ascii="宋体" w:hAnsi="宋体" w:eastAsia="宋体" w:cs="宋体"/>
          <w:bCs/>
          <w:color w:val="auto"/>
          <w:spacing w:val="0"/>
          <w:w w:val="100"/>
          <w:kern w:val="0"/>
          <w:sz w:val="21"/>
          <w:szCs w:val="21"/>
        </w:rPr>
      </w:pPr>
      <w:bookmarkStart w:id="212" w:name="_Toc18299"/>
      <w:bookmarkStart w:id="213" w:name="_Toc444155939"/>
      <w:bookmarkStart w:id="214" w:name="_Toc22541"/>
      <w:bookmarkStart w:id="215" w:name="_Toc29832"/>
      <w:bookmarkStart w:id="216" w:name="_Toc20250"/>
      <w:bookmarkStart w:id="217" w:name="_Toc4165"/>
      <w:r>
        <w:rPr>
          <w:rFonts w:hint="eastAsia" w:ascii="宋体" w:hAnsi="宋体" w:eastAsia="宋体" w:cs="宋体"/>
          <w:bCs/>
          <w:color w:val="auto"/>
          <w:spacing w:val="0"/>
          <w:w w:val="100"/>
          <w:kern w:val="0"/>
          <w:sz w:val="21"/>
          <w:szCs w:val="21"/>
        </w:rPr>
        <w:t xml:space="preserve">4. </w:t>
      </w:r>
      <w:bookmarkEnd w:id="211"/>
      <w:bookmarkEnd w:id="212"/>
      <w:bookmarkEnd w:id="213"/>
      <w:bookmarkEnd w:id="214"/>
      <w:bookmarkEnd w:id="215"/>
      <w:bookmarkEnd w:id="216"/>
      <w:r>
        <w:rPr>
          <w:rFonts w:hint="eastAsia" w:ascii="宋体" w:hAnsi="宋体" w:eastAsia="宋体" w:cs="宋体"/>
          <w:bCs/>
          <w:color w:val="auto"/>
          <w:spacing w:val="0"/>
          <w:w w:val="100"/>
          <w:kern w:val="0"/>
          <w:sz w:val="21"/>
          <w:szCs w:val="21"/>
        </w:rPr>
        <w:t>竞选</w:t>
      </w:r>
      <w:bookmarkEnd w:id="217"/>
    </w:p>
    <w:p>
      <w:pPr>
        <w:pStyle w:val="5"/>
        <w:snapToGrid w:val="0"/>
        <w:spacing w:before="0" w:line="360" w:lineRule="auto"/>
        <w:rPr>
          <w:rFonts w:hint="eastAsia" w:ascii="宋体" w:hAnsi="宋体" w:eastAsia="宋体" w:cs="宋体"/>
          <w:snapToGrid w:val="0"/>
          <w:color w:val="auto"/>
          <w:sz w:val="21"/>
          <w:szCs w:val="21"/>
        </w:rPr>
      </w:pPr>
      <w:bookmarkStart w:id="218" w:name="_Toc200513154"/>
      <w:bookmarkStart w:id="219" w:name="_Toc3204"/>
      <w:bookmarkStart w:id="220" w:name="_Toc14282"/>
      <w:bookmarkStart w:id="221" w:name="_Toc9316"/>
      <w:bookmarkStart w:id="222" w:name="_Toc7204"/>
      <w:bookmarkStart w:id="223" w:name="_Toc444155940"/>
      <w:r>
        <w:rPr>
          <w:rFonts w:hint="eastAsia" w:ascii="宋体" w:hAnsi="宋体" w:eastAsia="宋体" w:cs="宋体"/>
          <w:snapToGrid w:val="0"/>
          <w:color w:val="auto"/>
          <w:sz w:val="21"/>
          <w:szCs w:val="21"/>
        </w:rPr>
        <w:t>4.1 竞选文件的密封和标记</w:t>
      </w:r>
      <w:bookmarkEnd w:id="218"/>
      <w:bookmarkEnd w:id="219"/>
      <w:bookmarkEnd w:id="220"/>
      <w:bookmarkEnd w:id="221"/>
      <w:bookmarkEnd w:id="222"/>
      <w:bookmarkEnd w:id="223"/>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bookmarkStart w:id="224" w:name="_Toc200513155"/>
      <w:r>
        <w:rPr>
          <w:rFonts w:hint="eastAsia" w:ascii="宋体" w:hAnsi="宋体" w:eastAsia="宋体" w:cs="宋体"/>
          <w:snapToGrid w:val="0"/>
          <w:color w:val="auto"/>
          <w:kern w:val="0"/>
          <w:szCs w:val="21"/>
        </w:rPr>
        <w:t>4.1.1 竞选文件的正本与副本密封见竞选人须知前附表。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4.1.2 竞选文件的封套上应写明的内容见竞选人须知前附表。</w:t>
      </w:r>
      <w:bookmarkStart w:id="225" w:name="OLE_LINK136"/>
      <w:bookmarkStart w:id="226" w:name="OLE_LINK135"/>
    </w:p>
    <w:bookmarkEnd w:id="225"/>
    <w:bookmarkEnd w:id="226"/>
    <w:p>
      <w:pPr>
        <w:pStyle w:val="5"/>
        <w:snapToGrid w:val="0"/>
        <w:spacing w:before="0" w:line="360" w:lineRule="auto"/>
        <w:rPr>
          <w:rFonts w:hint="eastAsia" w:ascii="宋体" w:hAnsi="宋体" w:eastAsia="宋体" w:cs="宋体"/>
          <w:snapToGrid w:val="0"/>
          <w:color w:val="auto"/>
          <w:sz w:val="21"/>
          <w:szCs w:val="21"/>
        </w:rPr>
      </w:pPr>
      <w:bookmarkStart w:id="227" w:name="_Toc444155941"/>
      <w:bookmarkStart w:id="228" w:name="_Toc10680"/>
      <w:bookmarkStart w:id="229" w:name="_Toc32182"/>
      <w:bookmarkStart w:id="230" w:name="_Toc24971"/>
      <w:bookmarkStart w:id="231" w:name="_Toc18168"/>
      <w:r>
        <w:rPr>
          <w:rFonts w:hint="eastAsia" w:ascii="宋体" w:hAnsi="宋体" w:eastAsia="宋体" w:cs="宋体"/>
          <w:snapToGrid w:val="0"/>
          <w:color w:val="auto"/>
          <w:sz w:val="21"/>
          <w:szCs w:val="21"/>
        </w:rPr>
        <w:t>4.2 竞选文件的递交</w:t>
      </w:r>
      <w:bookmarkEnd w:id="224"/>
      <w:bookmarkEnd w:id="227"/>
      <w:bookmarkEnd w:id="228"/>
      <w:bookmarkEnd w:id="229"/>
      <w:bookmarkEnd w:id="230"/>
      <w:bookmarkEnd w:id="231"/>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bookmarkStart w:id="232" w:name="OLE_LINK137"/>
      <w:bookmarkStart w:id="233" w:name="OLE_LINK138"/>
      <w:r>
        <w:rPr>
          <w:rFonts w:hint="eastAsia" w:ascii="宋体" w:hAnsi="宋体" w:eastAsia="宋体" w:cs="宋体"/>
          <w:snapToGrid w:val="0"/>
          <w:color w:val="auto"/>
          <w:kern w:val="0"/>
          <w:szCs w:val="21"/>
        </w:rPr>
        <w:t>4.2.1 竞选人应在本章第2.3项规定的递交竞选文件截止时间前递交竞选文件。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4.2.2 竞选人递交竞选文件的地点：见竞选人须知前附表。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4.2.3 除竞选人须知前附表另有规定外，竞选人所递交的竞选文件不予退还。</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4.2.4 逾期送达的或者未送达指定地点的竞选文件，比选人不予受理。</w:t>
      </w:r>
    </w:p>
    <w:bookmarkEnd w:id="232"/>
    <w:bookmarkEnd w:id="233"/>
    <w:p>
      <w:pPr>
        <w:pStyle w:val="5"/>
        <w:snapToGrid w:val="0"/>
        <w:spacing w:before="0" w:line="360" w:lineRule="auto"/>
        <w:rPr>
          <w:rFonts w:hint="eastAsia" w:ascii="宋体" w:hAnsi="宋体" w:eastAsia="宋体" w:cs="宋体"/>
          <w:snapToGrid w:val="0"/>
          <w:color w:val="auto"/>
          <w:sz w:val="21"/>
          <w:szCs w:val="21"/>
        </w:rPr>
      </w:pPr>
      <w:bookmarkStart w:id="234" w:name="_Toc23600"/>
      <w:bookmarkStart w:id="235" w:name="_Toc610"/>
      <w:bookmarkStart w:id="236" w:name="_Toc31565"/>
      <w:bookmarkStart w:id="237" w:name="_Toc444155942"/>
      <w:bookmarkStart w:id="238" w:name="_Toc27488"/>
      <w:bookmarkStart w:id="239" w:name="_Toc200513156"/>
      <w:r>
        <w:rPr>
          <w:rFonts w:hint="eastAsia" w:ascii="宋体" w:hAnsi="宋体" w:eastAsia="宋体" w:cs="宋体"/>
          <w:snapToGrid w:val="0"/>
          <w:color w:val="auto"/>
          <w:sz w:val="21"/>
          <w:szCs w:val="21"/>
        </w:rPr>
        <w:t>4.3 竞选文件的修改与撤回</w:t>
      </w:r>
      <w:bookmarkEnd w:id="234"/>
      <w:bookmarkEnd w:id="235"/>
      <w:bookmarkEnd w:id="236"/>
      <w:bookmarkEnd w:id="237"/>
      <w:bookmarkEnd w:id="238"/>
      <w:bookmarkEnd w:id="239"/>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4.3.1 在本章第2.3项规定的递交竞选文件截止时间前，竞选人可以修改或撤回已递交的竞选文件，但应以书面形式通知比选人。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4.3.2 竞选人修改或撤回已递交竞选文件的书面通知应按照本章第3.7.3项的要求签字或盖章。比选人收到书面通知后，向竞选人出具签收凭证。</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4.3.3 修改的内容为竞选文件的组成部分。修改的竞选文件应按照本章第3条、第4条规定进行编制、密封、标记和递交，并标明“修改”字样。</w:t>
      </w:r>
    </w:p>
    <w:p>
      <w:pPr>
        <w:pStyle w:val="4"/>
        <w:keepNext/>
        <w:keepLines/>
        <w:autoSpaceDE/>
        <w:autoSpaceDN/>
        <w:jc w:val="both"/>
        <w:rPr>
          <w:rFonts w:hint="eastAsia" w:ascii="宋体" w:hAnsi="宋体" w:eastAsia="宋体" w:cs="宋体"/>
          <w:bCs/>
          <w:color w:val="auto"/>
          <w:spacing w:val="0"/>
          <w:w w:val="100"/>
          <w:kern w:val="0"/>
          <w:sz w:val="21"/>
          <w:szCs w:val="21"/>
        </w:rPr>
      </w:pPr>
      <w:bookmarkStart w:id="240" w:name="_Toc444155943"/>
      <w:bookmarkStart w:id="241" w:name="_Toc200513157"/>
      <w:bookmarkStart w:id="242" w:name="_Toc19714"/>
      <w:bookmarkStart w:id="243" w:name="_Toc5249"/>
      <w:bookmarkStart w:id="244" w:name="_Toc29216"/>
      <w:bookmarkStart w:id="245" w:name="_Toc26099"/>
      <w:bookmarkStart w:id="246" w:name="_Toc25319"/>
      <w:r>
        <w:rPr>
          <w:rFonts w:hint="eastAsia" w:ascii="宋体" w:hAnsi="宋体" w:eastAsia="宋体" w:cs="宋体"/>
          <w:bCs/>
          <w:color w:val="auto"/>
          <w:spacing w:val="0"/>
          <w:w w:val="100"/>
          <w:kern w:val="0"/>
          <w:sz w:val="21"/>
          <w:szCs w:val="21"/>
        </w:rPr>
        <w:t xml:space="preserve">5. </w:t>
      </w:r>
      <w:bookmarkEnd w:id="240"/>
      <w:bookmarkEnd w:id="241"/>
      <w:bookmarkEnd w:id="242"/>
      <w:r>
        <w:rPr>
          <w:rFonts w:hint="eastAsia" w:ascii="宋体" w:hAnsi="宋体" w:eastAsia="宋体" w:cs="宋体"/>
          <w:bCs/>
          <w:color w:val="auto"/>
          <w:spacing w:val="0"/>
          <w:w w:val="100"/>
          <w:kern w:val="0"/>
          <w:sz w:val="21"/>
          <w:szCs w:val="21"/>
        </w:rPr>
        <w:t>开</w:t>
      </w:r>
      <w:bookmarkEnd w:id="243"/>
      <w:bookmarkEnd w:id="244"/>
      <w:bookmarkEnd w:id="245"/>
      <w:r>
        <w:rPr>
          <w:rFonts w:hint="eastAsia" w:ascii="宋体" w:hAnsi="宋体" w:eastAsia="宋体" w:cs="宋体"/>
          <w:bCs/>
          <w:color w:val="auto"/>
          <w:spacing w:val="0"/>
          <w:w w:val="100"/>
          <w:kern w:val="0"/>
          <w:sz w:val="21"/>
          <w:szCs w:val="21"/>
        </w:rPr>
        <w:t>标</w:t>
      </w:r>
      <w:bookmarkEnd w:id="246"/>
    </w:p>
    <w:p>
      <w:pPr>
        <w:pStyle w:val="5"/>
        <w:snapToGrid w:val="0"/>
        <w:spacing w:before="0" w:line="360" w:lineRule="auto"/>
        <w:rPr>
          <w:rFonts w:hint="eastAsia" w:ascii="宋体" w:hAnsi="宋体" w:eastAsia="宋体" w:cs="宋体"/>
          <w:snapToGrid w:val="0"/>
          <w:color w:val="auto"/>
          <w:sz w:val="21"/>
          <w:szCs w:val="21"/>
        </w:rPr>
      </w:pPr>
      <w:bookmarkStart w:id="247" w:name="_Toc287607778"/>
      <w:bookmarkStart w:id="248" w:name="_Toc425350170"/>
      <w:bookmarkStart w:id="249" w:name="_Toc224103349"/>
      <w:bookmarkStart w:id="250" w:name="_Toc425327680"/>
      <w:bookmarkStart w:id="251" w:name="_Toc200513158"/>
      <w:bookmarkStart w:id="252" w:name="_Toc11901"/>
      <w:bookmarkStart w:id="253" w:name="_Toc277082584"/>
      <w:bookmarkStart w:id="254" w:name="_Toc425327560"/>
      <w:bookmarkStart w:id="255" w:name="_Toc26082"/>
      <w:bookmarkStart w:id="256" w:name="_Toc31602"/>
      <w:bookmarkStart w:id="257" w:name="_Toc445821125"/>
      <w:bookmarkStart w:id="258" w:name="_Toc1789"/>
      <w:bookmarkStart w:id="259" w:name="_Toc200513160"/>
      <w:r>
        <w:rPr>
          <w:rFonts w:hint="eastAsia" w:ascii="宋体" w:hAnsi="宋体" w:eastAsia="宋体" w:cs="宋体"/>
          <w:snapToGrid w:val="0"/>
          <w:color w:val="auto"/>
          <w:sz w:val="21"/>
          <w:szCs w:val="21"/>
        </w:rPr>
        <w:t>5.1开启竞选文件时间和地点</w:t>
      </w:r>
      <w:bookmarkEnd w:id="247"/>
      <w:bookmarkEnd w:id="248"/>
      <w:bookmarkEnd w:id="249"/>
      <w:bookmarkEnd w:id="250"/>
      <w:bookmarkEnd w:id="251"/>
      <w:bookmarkEnd w:id="252"/>
      <w:bookmarkEnd w:id="253"/>
      <w:bookmarkEnd w:id="254"/>
      <w:bookmarkEnd w:id="255"/>
      <w:bookmarkEnd w:id="256"/>
      <w:bookmarkEnd w:id="257"/>
      <w:bookmarkEnd w:id="258"/>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bookmarkStart w:id="260" w:name="_Toc425327561"/>
      <w:bookmarkStart w:id="261" w:name="_Toc287607779"/>
      <w:bookmarkStart w:id="262" w:name="_Toc224103350"/>
      <w:bookmarkStart w:id="263" w:name="_Toc200513159"/>
      <w:bookmarkStart w:id="264" w:name="_Toc277082585"/>
      <w:bookmarkStart w:id="265" w:name="_Toc425327681"/>
      <w:bookmarkStart w:id="266" w:name="_Toc425350171"/>
      <w:bookmarkStart w:id="267" w:name="_Toc445821126"/>
      <w:r>
        <w:rPr>
          <w:rFonts w:hint="eastAsia" w:ascii="宋体" w:hAnsi="宋体" w:eastAsia="宋体" w:cs="宋体"/>
          <w:snapToGrid w:val="0"/>
          <w:color w:val="auto"/>
          <w:kern w:val="0"/>
          <w:szCs w:val="21"/>
        </w:rPr>
        <w:t>见竞选人须知前附表。</w:t>
      </w:r>
    </w:p>
    <w:p>
      <w:pPr>
        <w:pStyle w:val="5"/>
        <w:snapToGrid w:val="0"/>
        <w:spacing w:before="0" w:line="360" w:lineRule="auto"/>
        <w:rPr>
          <w:rFonts w:hint="eastAsia" w:ascii="宋体" w:hAnsi="宋体" w:eastAsia="宋体" w:cs="宋体"/>
          <w:snapToGrid w:val="0"/>
          <w:color w:val="auto"/>
          <w:sz w:val="21"/>
          <w:szCs w:val="21"/>
        </w:rPr>
      </w:pPr>
      <w:bookmarkStart w:id="268" w:name="_Toc32113"/>
      <w:bookmarkStart w:id="269" w:name="_Toc31618"/>
      <w:bookmarkStart w:id="270" w:name="_Toc11177"/>
      <w:bookmarkStart w:id="271" w:name="_Toc1751"/>
      <w:r>
        <w:rPr>
          <w:rFonts w:hint="eastAsia" w:ascii="宋体" w:hAnsi="宋体" w:eastAsia="宋体" w:cs="宋体"/>
          <w:snapToGrid w:val="0"/>
          <w:color w:val="auto"/>
          <w:sz w:val="21"/>
          <w:szCs w:val="21"/>
        </w:rPr>
        <w:t>5.2开启竞选文件程序</w:t>
      </w:r>
      <w:bookmarkEnd w:id="260"/>
      <w:bookmarkEnd w:id="261"/>
      <w:bookmarkEnd w:id="262"/>
      <w:bookmarkEnd w:id="263"/>
      <w:bookmarkEnd w:id="264"/>
      <w:bookmarkEnd w:id="265"/>
      <w:bookmarkEnd w:id="266"/>
      <w:bookmarkEnd w:id="267"/>
      <w:bookmarkEnd w:id="268"/>
      <w:bookmarkEnd w:id="269"/>
      <w:bookmarkEnd w:id="270"/>
      <w:bookmarkEnd w:id="271"/>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见竞选人须知前附表。</w:t>
      </w:r>
    </w:p>
    <w:p>
      <w:pPr>
        <w:pStyle w:val="4"/>
        <w:textAlignment w:val="baseline"/>
        <w:rPr>
          <w:rFonts w:hint="eastAsia" w:ascii="宋体" w:hAnsi="宋体" w:eastAsia="宋体" w:cs="宋体"/>
          <w:snapToGrid w:val="0"/>
          <w:color w:val="auto"/>
          <w:spacing w:val="0"/>
          <w:w w:val="100"/>
          <w:sz w:val="21"/>
          <w:szCs w:val="21"/>
        </w:rPr>
      </w:pPr>
      <w:bookmarkStart w:id="272" w:name="_Toc22268"/>
      <w:bookmarkStart w:id="273" w:name="_Toc444155946"/>
      <w:bookmarkStart w:id="274" w:name="_Toc2331"/>
      <w:bookmarkStart w:id="275" w:name="_Toc5896"/>
      <w:bookmarkStart w:id="276" w:name="_Toc24696"/>
      <w:bookmarkStart w:id="277" w:name="_Toc6159"/>
      <w:r>
        <w:rPr>
          <w:rFonts w:hint="eastAsia" w:ascii="宋体" w:hAnsi="宋体" w:eastAsia="宋体" w:cs="宋体"/>
          <w:snapToGrid w:val="0"/>
          <w:color w:val="auto"/>
          <w:spacing w:val="0"/>
          <w:w w:val="100"/>
          <w:sz w:val="21"/>
          <w:szCs w:val="21"/>
        </w:rPr>
        <w:t xml:space="preserve">6. </w:t>
      </w:r>
      <w:bookmarkEnd w:id="259"/>
      <w:bookmarkEnd w:id="272"/>
      <w:bookmarkEnd w:id="273"/>
      <w:bookmarkEnd w:id="274"/>
      <w:r>
        <w:rPr>
          <w:rFonts w:hint="eastAsia" w:ascii="宋体" w:hAnsi="宋体" w:eastAsia="宋体" w:cs="宋体"/>
          <w:snapToGrid w:val="0"/>
          <w:color w:val="auto"/>
          <w:spacing w:val="0"/>
          <w:w w:val="100"/>
          <w:sz w:val="21"/>
          <w:szCs w:val="21"/>
        </w:rPr>
        <w:t>评审</w:t>
      </w:r>
      <w:bookmarkEnd w:id="275"/>
      <w:bookmarkEnd w:id="276"/>
      <w:bookmarkEnd w:id="277"/>
    </w:p>
    <w:p>
      <w:pPr>
        <w:pStyle w:val="5"/>
        <w:snapToGrid w:val="0"/>
        <w:spacing w:before="0" w:line="360" w:lineRule="auto"/>
        <w:rPr>
          <w:rFonts w:hint="eastAsia" w:ascii="宋体" w:hAnsi="宋体" w:eastAsia="宋体" w:cs="宋体"/>
          <w:snapToGrid w:val="0"/>
          <w:color w:val="auto"/>
          <w:sz w:val="21"/>
          <w:szCs w:val="21"/>
        </w:rPr>
      </w:pPr>
      <w:bookmarkStart w:id="278" w:name="_Toc200513161"/>
      <w:bookmarkStart w:id="279" w:name="_Toc444155947"/>
      <w:bookmarkStart w:id="280" w:name="_Toc2212"/>
      <w:bookmarkStart w:id="281" w:name="_Toc5489"/>
      <w:bookmarkStart w:id="282" w:name="_Toc24412"/>
      <w:bookmarkStart w:id="283" w:name="_Toc19076"/>
      <w:r>
        <w:rPr>
          <w:rFonts w:hint="eastAsia" w:ascii="宋体" w:hAnsi="宋体" w:eastAsia="宋体" w:cs="宋体"/>
          <w:snapToGrid w:val="0"/>
          <w:color w:val="auto"/>
          <w:sz w:val="21"/>
          <w:szCs w:val="21"/>
        </w:rPr>
        <w:t xml:space="preserve">6.1 </w:t>
      </w:r>
      <w:bookmarkEnd w:id="278"/>
      <w:bookmarkEnd w:id="279"/>
      <w:bookmarkEnd w:id="280"/>
      <w:bookmarkEnd w:id="281"/>
      <w:r>
        <w:rPr>
          <w:rFonts w:hint="eastAsia" w:ascii="宋体" w:hAnsi="宋体" w:eastAsia="宋体" w:cs="宋体"/>
          <w:snapToGrid w:val="0"/>
          <w:color w:val="auto"/>
          <w:sz w:val="21"/>
          <w:szCs w:val="21"/>
        </w:rPr>
        <w:t>评审小组</w:t>
      </w:r>
      <w:bookmarkEnd w:id="282"/>
      <w:bookmarkEnd w:id="283"/>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bookmarkStart w:id="284" w:name="_Toc200513162"/>
      <w:r>
        <w:rPr>
          <w:rFonts w:hint="eastAsia" w:ascii="宋体" w:hAnsi="宋体" w:eastAsia="宋体" w:cs="宋体"/>
          <w:snapToGrid w:val="0"/>
          <w:color w:val="auto"/>
          <w:kern w:val="0"/>
          <w:szCs w:val="21"/>
        </w:rPr>
        <w:t>6.1.1 评审由评审小组负责。</w:t>
      </w:r>
      <w:bookmarkStart w:id="285" w:name="OLE_LINK140"/>
      <w:bookmarkStart w:id="286" w:name="OLE_LINK139"/>
      <w:r>
        <w:rPr>
          <w:rFonts w:hint="eastAsia" w:ascii="宋体" w:hAnsi="宋体" w:eastAsia="宋体" w:cs="宋体"/>
          <w:snapToGrid w:val="0"/>
          <w:color w:val="auto"/>
          <w:kern w:val="0"/>
          <w:szCs w:val="21"/>
        </w:rPr>
        <w:t>评审小组由</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代理机构按相关要求抽取的技术、经济等方面专家组成。评审小组成员人数以及技术、经济等方面专家的确定方式见竞选人须知前附表。</w:t>
      </w:r>
    </w:p>
    <w:bookmarkEnd w:id="285"/>
    <w:bookmarkEnd w:id="286"/>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6.1.2 评审小组成员有下列情形之一的，应当回避：</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（1）竞选人或竞选人的主要负责人的近亲属；</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（2）项目主管部门或者行政监督部门的人员；</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（3）与竞选人有利害关系，可能影响对竞选文件公正评审的；</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（4）曾因在比选、评审以及其他与招标投标有关活动中从事违法行为而受过行政处罚或刑事处罚的。</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6.1.3 评审过程中，评审小组成员有回避事由、擅离职守或者因健康等原因不能继续评审的，应当及时更换。被更换的评审小组成员作出的评审结论无效，由更换后的评审小组成员重新进行评审。</w:t>
      </w:r>
    </w:p>
    <w:p>
      <w:pPr>
        <w:pStyle w:val="5"/>
        <w:snapToGrid w:val="0"/>
        <w:spacing w:before="0" w:line="360" w:lineRule="auto"/>
        <w:rPr>
          <w:rFonts w:hint="eastAsia" w:ascii="宋体" w:hAnsi="宋体" w:eastAsia="宋体" w:cs="宋体"/>
          <w:snapToGrid w:val="0"/>
          <w:color w:val="auto"/>
          <w:sz w:val="21"/>
          <w:szCs w:val="21"/>
        </w:rPr>
      </w:pPr>
      <w:bookmarkStart w:id="287" w:name="_Toc23544"/>
      <w:bookmarkStart w:id="288" w:name="_Toc25157"/>
      <w:bookmarkStart w:id="289" w:name="_Toc24050"/>
      <w:bookmarkStart w:id="290" w:name="_Toc25412"/>
      <w:bookmarkStart w:id="291" w:name="_Toc444155948"/>
      <w:r>
        <w:rPr>
          <w:rFonts w:hint="eastAsia" w:ascii="宋体" w:hAnsi="宋体" w:eastAsia="宋体" w:cs="宋体"/>
          <w:snapToGrid w:val="0"/>
          <w:color w:val="auto"/>
          <w:sz w:val="21"/>
          <w:szCs w:val="21"/>
        </w:rPr>
        <w:t>6.2 评审原则</w:t>
      </w:r>
      <w:bookmarkEnd w:id="284"/>
      <w:bookmarkEnd w:id="287"/>
      <w:bookmarkEnd w:id="288"/>
      <w:bookmarkEnd w:id="289"/>
      <w:bookmarkEnd w:id="290"/>
      <w:bookmarkEnd w:id="291"/>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评审活动遵循公平、公正、科学和择优的原则。</w:t>
      </w:r>
    </w:p>
    <w:p>
      <w:pPr>
        <w:pStyle w:val="5"/>
        <w:snapToGrid w:val="0"/>
        <w:spacing w:before="0" w:line="360" w:lineRule="auto"/>
        <w:rPr>
          <w:rFonts w:hint="eastAsia" w:ascii="宋体" w:hAnsi="宋体" w:eastAsia="宋体" w:cs="宋体"/>
          <w:snapToGrid w:val="0"/>
          <w:color w:val="auto"/>
          <w:sz w:val="21"/>
          <w:szCs w:val="21"/>
        </w:rPr>
      </w:pPr>
      <w:bookmarkStart w:id="292" w:name="_Toc444155949"/>
      <w:bookmarkStart w:id="293" w:name="_Toc19298"/>
      <w:bookmarkStart w:id="294" w:name="_Toc200513163"/>
      <w:bookmarkStart w:id="295" w:name="_Toc26939"/>
      <w:bookmarkStart w:id="296" w:name="_Toc10567"/>
      <w:bookmarkStart w:id="297" w:name="_Toc11346"/>
      <w:r>
        <w:rPr>
          <w:rFonts w:hint="eastAsia" w:ascii="宋体" w:hAnsi="宋体" w:eastAsia="宋体" w:cs="宋体"/>
          <w:snapToGrid w:val="0"/>
          <w:color w:val="auto"/>
          <w:sz w:val="21"/>
          <w:szCs w:val="21"/>
        </w:rPr>
        <w:t xml:space="preserve">6.3 </w:t>
      </w:r>
      <w:bookmarkEnd w:id="292"/>
      <w:bookmarkEnd w:id="293"/>
      <w:bookmarkEnd w:id="294"/>
      <w:bookmarkEnd w:id="295"/>
      <w:r>
        <w:rPr>
          <w:rFonts w:hint="eastAsia" w:ascii="宋体" w:hAnsi="宋体" w:eastAsia="宋体" w:cs="宋体"/>
          <w:snapToGrid w:val="0"/>
          <w:color w:val="auto"/>
          <w:sz w:val="21"/>
          <w:szCs w:val="21"/>
        </w:rPr>
        <w:t>评审</w:t>
      </w:r>
      <w:bookmarkEnd w:id="296"/>
      <w:bookmarkEnd w:id="297"/>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评审小组按照第三章“评审办法”规定的方法、评审因素、标准和程序对竞选文件进行评审。第三章“评审办法”没有规定的方法、评审因素和标准，不作为评审依据。</w:t>
      </w:r>
    </w:p>
    <w:p>
      <w:pPr>
        <w:pStyle w:val="4"/>
        <w:rPr>
          <w:rFonts w:hint="eastAsia" w:ascii="宋体" w:hAnsi="宋体" w:eastAsia="宋体" w:cs="宋体"/>
          <w:snapToGrid w:val="0"/>
          <w:color w:val="auto"/>
          <w:spacing w:val="0"/>
          <w:w w:val="100"/>
          <w:sz w:val="21"/>
          <w:szCs w:val="21"/>
        </w:rPr>
      </w:pPr>
      <w:bookmarkStart w:id="298" w:name="_Toc1965"/>
      <w:bookmarkStart w:id="299" w:name="_Toc200513164"/>
      <w:bookmarkStart w:id="300" w:name="_Toc14750"/>
      <w:bookmarkStart w:id="301" w:name="_Toc20620"/>
      <w:bookmarkStart w:id="302" w:name="_Toc25443"/>
      <w:bookmarkStart w:id="303" w:name="_Toc444155950"/>
      <w:bookmarkStart w:id="304" w:name="_Toc26655"/>
      <w:r>
        <w:rPr>
          <w:rFonts w:hint="eastAsia" w:ascii="宋体" w:hAnsi="宋体" w:eastAsia="宋体" w:cs="宋体"/>
          <w:snapToGrid w:val="0"/>
          <w:color w:val="auto"/>
          <w:spacing w:val="0"/>
          <w:w w:val="100"/>
          <w:sz w:val="21"/>
          <w:szCs w:val="21"/>
        </w:rPr>
        <w:t>7. 合同授予</w:t>
      </w:r>
      <w:bookmarkEnd w:id="298"/>
      <w:bookmarkEnd w:id="299"/>
      <w:bookmarkEnd w:id="300"/>
      <w:bookmarkEnd w:id="301"/>
      <w:bookmarkEnd w:id="302"/>
      <w:bookmarkEnd w:id="303"/>
      <w:bookmarkEnd w:id="304"/>
    </w:p>
    <w:p>
      <w:pPr>
        <w:pStyle w:val="5"/>
        <w:snapToGrid w:val="0"/>
        <w:spacing w:before="0" w:line="360" w:lineRule="auto"/>
        <w:rPr>
          <w:rFonts w:hint="eastAsia" w:ascii="宋体" w:hAnsi="宋体" w:eastAsia="宋体" w:cs="宋体"/>
          <w:snapToGrid w:val="0"/>
          <w:color w:val="auto"/>
          <w:sz w:val="21"/>
          <w:szCs w:val="21"/>
        </w:rPr>
      </w:pPr>
      <w:bookmarkStart w:id="305" w:name="_Toc26610"/>
      <w:bookmarkStart w:id="306" w:name="_Toc11422"/>
      <w:bookmarkStart w:id="307" w:name="_Toc24419"/>
      <w:bookmarkStart w:id="308" w:name="_Toc16724"/>
      <w:bookmarkStart w:id="309" w:name="_Toc444155951"/>
      <w:bookmarkStart w:id="310" w:name="_Toc200513165"/>
      <w:r>
        <w:rPr>
          <w:rFonts w:hint="eastAsia" w:ascii="宋体" w:hAnsi="宋体" w:eastAsia="宋体" w:cs="宋体"/>
          <w:snapToGrid w:val="0"/>
          <w:color w:val="auto"/>
          <w:sz w:val="21"/>
          <w:szCs w:val="21"/>
        </w:rPr>
        <w:t>7.1 定标方式</w:t>
      </w:r>
      <w:bookmarkEnd w:id="305"/>
      <w:bookmarkEnd w:id="306"/>
      <w:bookmarkEnd w:id="307"/>
      <w:bookmarkEnd w:id="308"/>
      <w:bookmarkEnd w:id="309"/>
      <w:bookmarkEnd w:id="310"/>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bookmarkStart w:id="311" w:name="_Toc200513166"/>
      <w:r>
        <w:rPr>
          <w:rFonts w:hint="eastAsia" w:ascii="宋体" w:hAnsi="宋体" w:eastAsia="宋体" w:cs="宋体"/>
          <w:snapToGrid w:val="0"/>
          <w:color w:val="auto"/>
          <w:kern w:val="0"/>
          <w:szCs w:val="21"/>
        </w:rPr>
        <w:t>比选人应当确定排名第一的</w:t>
      </w:r>
      <w:r>
        <w:rPr>
          <w:rFonts w:hint="eastAsia" w:ascii="宋体" w:hAnsi="宋体" w:eastAsia="宋体" w:cs="宋体"/>
          <w:color w:val="auto"/>
          <w:kern w:val="0"/>
          <w:szCs w:val="21"/>
        </w:rPr>
        <w:t>中选候选人</w:t>
      </w:r>
      <w:r>
        <w:rPr>
          <w:rFonts w:hint="eastAsia" w:ascii="宋体" w:hAnsi="宋体" w:eastAsia="宋体" w:cs="宋体"/>
          <w:snapToGrid w:val="0"/>
          <w:color w:val="auto"/>
          <w:kern w:val="0"/>
          <w:szCs w:val="21"/>
        </w:rPr>
        <w:t>为中选人。排名第一的</w:t>
      </w:r>
      <w:r>
        <w:rPr>
          <w:rFonts w:hint="eastAsia" w:ascii="宋体" w:hAnsi="宋体" w:eastAsia="宋体" w:cs="宋体"/>
          <w:color w:val="auto"/>
          <w:kern w:val="0"/>
          <w:szCs w:val="21"/>
        </w:rPr>
        <w:t>中选候选人</w:t>
      </w:r>
      <w:r>
        <w:rPr>
          <w:rFonts w:hint="eastAsia" w:ascii="宋体" w:hAnsi="宋体" w:eastAsia="宋体" w:cs="宋体"/>
          <w:snapToGrid w:val="0"/>
          <w:color w:val="auto"/>
          <w:kern w:val="0"/>
          <w:szCs w:val="21"/>
        </w:rPr>
        <w:t>放弃中选、因不可抗力不能履行合同、不按照竞争性比选文件要求提交履约保证金，或者被查实存在影响</w:t>
      </w:r>
      <w:r>
        <w:rPr>
          <w:rFonts w:hint="eastAsia" w:ascii="宋体" w:hAnsi="宋体" w:eastAsia="宋体" w:cs="宋体"/>
          <w:color w:val="auto"/>
          <w:kern w:val="0"/>
          <w:szCs w:val="21"/>
        </w:rPr>
        <w:t>中选候选人</w:t>
      </w:r>
      <w:r>
        <w:rPr>
          <w:rFonts w:hint="eastAsia" w:ascii="宋体" w:hAnsi="宋体" w:eastAsia="宋体" w:cs="宋体"/>
          <w:snapToGrid w:val="0"/>
          <w:color w:val="auto"/>
          <w:kern w:val="0"/>
          <w:szCs w:val="21"/>
        </w:rPr>
        <w:t>结果的违法行为等情形，不符合中选条件的，比选人可以按照评审小组提出的</w:t>
      </w:r>
      <w:r>
        <w:rPr>
          <w:rFonts w:hint="eastAsia" w:ascii="宋体" w:hAnsi="宋体" w:eastAsia="宋体" w:cs="宋体"/>
          <w:color w:val="auto"/>
          <w:kern w:val="0"/>
          <w:szCs w:val="21"/>
        </w:rPr>
        <w:t>中选候选人</w:t>
      </w:r>
      <w:r>
        <w:rPr>
          <w:rFonts w:hint="eastAsia" w:ascii="宋体" w:hAnsi="宋体" w:eastAsia="宋体" w:cs="宋体"/>
          <w:snapToGrid w:val="0"/>
          <w:color w:val="auto"/>
          <w:kern w:val="0"/>
          <w:szCs w:val="21"/>
        </w:rPr>
        <w:t>名单排序依次确定其他</w:t>
      </w:r>
      <w:r>
        <w:rPr>
          <w:rFonts w:hint="eastAsia" w:ascii="宋体" w:hAnsi="宋体" w:eastAsia="宋体" w:cs="宋体"/>
          <w:color w:val="auto"/>
          <w:kern w:val="0"/>
          <w:szCs w:val="21"/>
        </w:rPr>
        <w:t>中选候选人</w:t>
      </w:r>
      <w:r>
        <w:rPr>
          <w:rFonts w:hint="eastAsia" w:ascii="宋体" w:hAnsi="宋体" w:eastAsia="宋体" w:cs="宋体"/>
          <w:snapToGrid w:val="0"/>
          <w:color w:val="auto"/>
          <w:kern w:val="0"/>
          <w:szCs w:val="21"/>
        </w:rPr>
        <w:t>为中选人，也可以重新</w:t>
      </w:r>
      <w:r>
        <w:rPr>
          <w:rFonts w:hint="eastAsia" w:ascii="宋体" w:hAnsi="宋体" w:eastAsia="宋体" w:cs="宋体"/>
          <w:color w:val="auto"/>
          <w:kern w:val="0"/>
          <w:szCs w:val="21"/>
        </w:rPr>
        <w:t>比选</w:t>
      </w:r>
      <w:r>
        <w:rPr>
          <w:rFonts w:hint="eastAsia" w:ascii="宋体" w:hAnsi="宋体" w:eastAsia="宋体" w:cs="宋体"/>
          <w:snapToGrid w:val="0"/>
          <w:color w:val="auto"/>
          <w:kern w:val="0"/>
          <w:szCs w:val="21"/>
        </w:rPr>
        <w:t>。</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评审小组推荐中选候选人的人数见竞选人须知前附表。</w:t>
      </w:r>
    </w:p>
    <w:p>
      <w:pPr>
        <w:pStyle w:val="5"/>
        <w:snapToGrid w:val="0"/>
        <w:spacing w:before="0" w:line="360" w:lineRule="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7.2  中选候选人公示及中选通知</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比选人在竞选人须知前附表规定的媒介公示中选候选人。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bookmarkStart w:id="312" w:name="_Toc444155952"/>
      <w:bookmarkStart w:id="313" w:name="_Toc10580"/>
      <w:bookmarkStart w:id="314" w:name="_Toc9040"/>
      <w:bookmarkStart w:id="315" w:name="_Toc20635"/>
      <w:bookmarkStart w:id="316" w:name="_Toc27538"/>
      <w:r>
        <w:rPr>
          <w:rFonts w:hint="eastAsia" w:ascii="宋体" w:hAnsi="宋体" w:eastAsia="宋体" w:cs="宋体"/>
          <w:snapToGrid w:val="0"/>
          <w:color w:val="auto"/>
          <w:kern w:val="0"/>
          <w:szCs w:val="21"/>
        </w:rPr>
        <w:t>在本章第3.3款规定的竞选文件有效期内，且未有竞选人的异议与投诉，比选人以书面形式向中选人发出中选通知书，并将结果通知其他竞选人。</w:t>
      </w:r>
    </w:p>
    <w:bookmarkEnd w:id="311"/>
    <w:bookmarkEnd w:id="312"/>
    <w:bookmarkEnd w:id="313"/>
    <w:bookmarkEnd w:id="314"/>
    <w:bookmarkEnd w:id="315"/>
    <w:bookmarkEnd w:id="316"/>
    <w:p>
      <w:pPr>
        <w:pStyle w:val="5"/>
        <w:snapToGrid w:val="0"/>
        <w:spacing w:before="0" w:line="360" w:lineRule="auto"/>
        <w:rPr>
          <w:rFonts w:hint="eastAsia" w:ascii="宋体" w:hAnsi="宋体" w:eastAsia="宋体" w:cs="宋体"/>
          <w:snapToGrid w:val="0"/>
          <w:color w:val="auto"/>
          <w:sz w:val="21"/>
          <w:szCs w:val="21"/>
        </w:rPr>
      </w:pPr>
      <w:bookmarkStart w:id="317" w:name="_Toc235966566"/>
      <w:bookmarkStart w:id="318" w:name="_Toc18079"/>
      <w:bookmarkStart w:id="319" w:name="_Toc32475"/>
      <w:bookmarkStart w:id="320" w:name="_Toc2511"/>
      <w:bookmarkStart w:id="321" w:name="_Toc444155953"/>
      <w:bookmarkStart w:id="322" w:name="_Toc16084"/>
      <w:bookmarkStart w:id="323" w:name="_Toc200513168"/>
      <w:r>
        <w:rPr>
          <w:rFonts w:hint="eastAsia" w:ascii="宋体" w:hAnsi="宋体" w:eastAsia="宋体" w:cs="宋体"/>
          <w:snapToGrid w:val="0"/>
          <w:color w:val="auto"/>
          <w:sz w:val="21"/>
          <w:szCs w:val="21"/>
        </w:rPr>
        <w:t xml:space="preserve">7.3 </w:t>
      </w:r>
      <w:bookmarkEnd w:id="317"/>
      <w:r>
        <w:rPr>
          <w:rFonts w:hint="eastAsia" w:ascii="宋体" w:hAnsi="宋体" w:eastAsia="宋体" w:cs="宋体"/>
          <w:snapToGrid w:val="0"/>
          <w:color w:val="auto"/>
          <w:sz w:val="21"/>
          <w:szCs w:val="21"/>
        </w:rPr>
        <w:t>履约担保</w:t>
      </w:r>
      <w:bookmarkEnd w:id="318"/>
      <w:bookmarkEnd w:id="319"/>
      <w:bookmarkEnd w:id="320"/>
      <w:bookmarkEnd w:id="321"/>
      <w:bookmarkEnd w:id="322"/>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7.3.1 在签订合同前，中选人应按竞选人须知前附表规定的金额、担保形式和竞争性比选文件第四章“合同条款及格式”规定的履约担保格式向比选人提交履约担保。并应符合竞选人须知前附表规定的金额、担保形式和竞争性比选文件第四章“合同条款及格式”规定的履约担保格式要求。</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7.3.2 中选人不能按本章第7.3.1项要求提交履约担保的，视为放弃中选，其竞选保证金不予退还，给比选人造成的损失超过竞选保证金数额的，中选人还应当对超过部分予以赔偿。</w:t>
      </w:r>
    </w:p>
    <w:p>
      <w:pPr>
        <w:pStyle w:val="5"/>
        <w:snapToGrid w:val="0"/>
        <w:spacing w:before="0" w:line="360" w:lineRule="auto"/>
        <w:rPr>
          <w:rFonts w:hint="eastAsia" w:ascii="宋体" w:hAnsi="宋体" w:eastAsia="宋体" w:cs="宋体"/>
          <w:snapToGrid w:val="0"/>
          <w:color w:val="auto"/>
          <w:sz w:val="21"/>
          <w:szCs w:val="21"/>
        </w:rPr>
      </w:pPr>
      <w:bookmarkStart w:id="324" w:name="_Toc13455"/>
      <w:bookmarkStart w:id="325" w:name="_Toc24570"/>
      <w:bookmarkStart w:id="326" w:name="_Toc29643"/>
      <w:bookmarkStart w:id="327" w:name="_Toc444155954"/>
      <w:bookmarkStart w:id="328" w:name="_Toc17711"/>
      <w:r>
        <w:rPr>
          <w:rFonts w:hint="eastAsia" w:ascii="宋体" w:hAnsi="宋体" w:eastAsia="宋体" w:cs="宋体"/>
          <w:snapToGrid w:val="0"/>
          <w:color w:val="auto"/>
          <w:sz w:val="21"/>
          <w:szCs w:val="21"/>
        </w:rPr>
        <w:t>7.4 签订合同</w:t>
      </w:r>
      <w:bookmarkEnd w:id="323"/>
      <w:bookmarkEnd w:id="324"/>
      <w:bookmarkEnd w:id="325"/>
      <w:bookmarkEnd w:id="326"/>
      <w:bookmarkEnd w:id="327"/>
      <w:bookmarkEnd w:id="328"/>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7.4.1 比选人和中选人应当自中选通知书发出之日起30天内，根据竞争性比选文件和中选人的竞选文件订立书面合同。中选人无正当理由拒签合同的，比选人取消其中选资格，其竞选保证金不予退还；给比选人造成的损失超过竞选保证金数额的，中选人还应当对超过部分予以赔偿。</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7.4.2 发出中选通知书后，比选人无正当理由拒签合同的，比选人向中选人退还竞选保证金；给中选人造成损失的，还应当赔偿损失。</w:t>
      </w:r>
    </w:p>
    <w:p>
      <w:pPr>
        <w:pStyle w:val="4"/>
        <w:keepNext/>
        <w:keepLines/>
        <w:autoSpaceDE/>
        <w:autoSpaceDN/>
        <w:jc w:val="both"/>
        <w:rPr>
          <w:rFonts w:hint="eastAsia" w:ascii="宋体" w:hAnsi="宋体" w:eastAsia="宋体" w:cs="宋体"/>
          <w:bCs/>
          <w:color w:val="auto"/>
          <w:spacing w:val="0"/>
          <w:w w:val="100"/>
          <w:kern w:val="0"/>
          <w:sz w:val="21"/>
          <w:szCs w:val="21"/>
        </w:rPr>
      </w:pPr>
      <w:bookmarkStart w:id="329" w:name="_Toc5261"/>
      <w:bookmarkStart w:id="330" w:name="_Toc444155955"/>
      <w:bookmarkStart w:id="331" w:name="_Toc30051"/>
      <w:bookmarkStart w:id="332" w:name="_Toc200513169"/>
      <w:bookmarkStart w:id="333" w:name="_Toc2419"/>
      <w:bookmarkStart w:id="334" w:name="_Toc8469"/>
      <w:bookmarkStart w:id="335" w:name="_Toc1355"/>
      <w:r>
        <w:rPr>
          <w:rFonts w:hint="eastAsia" w:ascii="宋体" w:hAnsi="宋体" w:eastAsia="宋体" w:cs="宋体"/>
          <w:bCs/>
          <w:color w:val="auto"/>
          <w:spacing w:val="0"/>
          <w:w w:val="100"/>
          <w:kern w:val="0"/>
          <w:sz w:val="21"/>
          <w:szCs w:val="21"/>
        </w:rPr>
        <w:t xml:space="preserve">8. </w:t>
      </w:r>
      <w:bookmarkEnd w:id="329"/>
      <w:bookmarkEnd w:id="330"/>
      <w:bookmarkEnd w:id="331"/>
      <w:bookmarkEnd w:id="332"/>
      <w:bookmarkEnd w:id="333"/>
      <w:bookmarkEnd w:id="334"/>
      <w:bookmarkEnd w:id="335"/>
      <w:r>
        <w:rPr>
          <w:rFonts w:hint="eastAsia" w:ascii="宋体" w:hAnsi="宋体" w:eastAsia="宋体" w:cs="宋体"/>
          <w:bCs/>
          <w:color w:val="auto"/>
          <w:spacing w:val="0"/>
          <w:w w:val="100"/>
          <w:kern w:val="0"/>
          <w:sz w:val="21"/>
          <w:szCs w:val="21"/>
        </w:rPr>
        <w:t>重新比选和不再招标</w:t>
      </w:r>
    </w:p>
    <w:p>
      <w:pPr>
        <w:pStyle w:val="5"/>
        <w:snapToGrid w:val="0"/>
        <w:spacing w:before="0" w:line="360" w:lineRule="auto"/>
        <w:rPr>
          <w:rFonts w:hint="eastAsia" w:ascii="宋体" w:hAnsi="宋体" w:eastAsia="宋体" w:cs="宋体"/>
          <w:snapToGrid w:val="0"/>
          <w:color w:val="auto"/>
          <w:sz w:val="21"/>
          <w:szCs w:val="21"/>
        </w:rPr>
      </w:pPr>
      <w:bookmarkStart w:id="336" w:name="_Toc16885"/>
      <w:bookmarkStart w:id="337" w:name="_Toc200513170"/>
      <w:bookmarkStart w:id="338" w:name="_Toc444155956"/>
      <w:bookmarkStart w:id="339" w:name="_Toc4988"/>
      <w:bookmarkStart w:id="340" w:name="_Toc4282"/>
      <w:bookmarkStart w:id="341" w:name="_Toc28925"/>
      <w:r>
        <w:rPr>
          <w:rFonts w:hint="eastAsia" w:ascii="宋体" w:hAnsi="宋体" w:eastAsia="宋体" w:cs="宋体"/>
          <w:snapToGrid w:val="0"/>
          <w:color w:val="auto"/>
          <w:sz w:val="21"/>
          <w:szCs w:val="21"/>
        </w:rPr>
        <w:t>8.</w:t>
      </w:r>
      <w:bookmarkEnd w:id="336"/>
      <w:bookmarkEnd w:id="337"/>
      <w:bookmarkEnd w:id="338"/>
      <w:bookmarkEnd w:id="339"/>
      <w:bookmarkEnd w:id="340"/>
      <w:bookmarkEnd w:id="341"/>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重新比选和不再招标</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bookmarkStart w:id="342" w:name="_Toc28991"/>
      <w:r>
        <w:rPr>
          <w:rFonts w:hint="eastAsia" w:ascii="宋体" w:hAnsi="宋体" w:eastAsia="宋体" w:cs="宋体"/>
          <w:snapToGrid w:val="0"/>
          <w:color w:val="auto"/>
          <w:kern w:val="0"/>
          <w:szCs w:val="21"/>
        </w:rPr>
        <w:t>按须知前附表规定执行。</w:t>
      </w:r>
      <w:bookmarkEnd w:id="342"/>
      <w:bookmarkStart w:id="343" w:name="_Toc444155957"/>
      <w:bookmarkStart w:id="344" w:name="_Toc24265"/>
      <w:bookmarkStart w:id="345" w:name="_Toc200513171"/>
      <w:bookmarkStart w:id="346" w:name="_Toc32764"/>
    </w:p>
    <w:bookmarkEnd w:id="343"/>
    <w:bookmarkEnd w:id="344"/>
    <w:bookmarkEnd w:id="345"/>
    <w:bookmarkEnd w:id="346"/>
    <w:p>
      <w:pPr>
        <w:pStyle w:val="4"/>
        <w:rPr>
          <w:rFonts w:hint="eastAsia" w:ascii="宋体" w:hAnsi="宋体" w:eastAsia="宋体" w:cs="宋体"/>
          <w:snapToGrid w:val="0"/>
          <w:color w:val="auto"/>
          <w:spacing w:val="0"/>
          <w:w w:val="100"/>
          <w:sz w:val="21"/>
          <w:szCs w:val="21"/>
        </w:rPr>
      </w:pPr>
      <w:bookmarkStart w:id="347" w:name="_Toc200513172"/>
      <w:bookmarkStart w:id="348" w:name="_Toc6731"/>
      <w:bookmarkStart w:id="349" w:name="_Toc7282"/>
      <w:bookmarkStart w:id="350" w:name="_Toc444155958"/>
      <w:bookmarkStart w:id="351" w:name="_Toc10320"/>
      <w:bookmarkStart w:id="352" w:name="_Toc12766"/>
      <w:bookmarkStart w:id="353" w:name="_Toc12698"/>
      <w:r>
        <w:rPr>
          <w:rFonts w:hint="eastAsia" w:ascii="宋体" w:hAnsi="宋体" w:eastAsia="宋体" w:cs="宋体"/>
          <w:snapToGrid w:val="0"/>
          <w:color w:val="auto"/>
          <w:spacing w:val="0"/>
          <w:w w:val="100"/>
          <w:sz w:val="21"/>
          <w:szCs w:val="21"/>
        </w:rPr>
        <w:t>9. 纪律和监督</w:t>
      </w:r>
      <w:bookmarkEnd w:id="347"/>
      <w:bookmarkEnd w:id="348"/>
      <w:bookmarkEnd w:id="349"/>
      <w:bookmarkEnd w:id="350"/>
      <w:bookmarkEnd w:id="351"/>
      <w:bookmarkEnd w:id="352"/>
      <w:bookmarkEnd w:id="353"/>
    </w:p>
    <w:p>
      <w:pPr>
        <w:pStyle w:val="5"/>
        <w:snapToGrid w:val="0"/>
        <w:spacing w:before="0" w:line="360" w:lineRule="auto"/>
        <w:rPr>
          <w:rFonts w:hint="eastAsia" w:ascii="宋体" w:hAnsi="宋体" w:eastAsia="宋体" w:cs="宋体"/>
          <w:snapToGrid w:val="0"/>
          <w:color w:val="auto"/>
          <w:sz w:val="21"/>
          <w:szCs w:val="21"/>
        </w:rPr>
      </w:pPr>
      <w:bookmarkStart w:id="354" w:name="_Toc444155959"/>
      <w:bookmarkStart w:id="355" w:name="_Toc1584"/>
      <w:bookmarkStart w:id="356" w:name="_Toc13293"/>
      <w:bookmarkStart w:id="357" w:name="_Toc10975"/>
      <w:bookmarkStart w:id="358" w:name="_Toc20325"/>
      <w:bookmarkStart w:id="359" w:name="_Toc200513173"/>
      <w:r>
        <w:rPr>
          <w:rFonts w:hint="eastAsia" w:ascii="宋体" w:hAnsi="宋体" w:eastAsia="宋体" w:cs="宋体"/>
          <w:snapToGrid w:val="0"/>
          <w:color w:val="auto"/>
          <w:sz w:val="21"/>
          <w:szCs w:val="21"/>
        </w:rPr>
        <w:t>9.1 对比选人的纪律要求</w:t>
      </w:r>
      <w:bookmarkEnd w:id="354"/>
      <w:bookmarkEnd w:id="355"/>
      <w:bookmarkEnd w:id="356"/>
      <w:bookmarkEnd w:id="357"/>
      <w:bookmarkEnd w:id="358"/>
      <w:bookmarkEnd w:id="359"/>
    </w:p>
    <w:p>
      <w:pPr>
        <w:adjustRightInd w:val="0"/>
        <w:snapToGrid w:val="0"/>
        <w:spacing w:line="360" w:lineRule="auto"/>
        <w:ind w:firstLine="365" w:firstLineChars="174"/>
        <w:rPr>
          <w:rFonts w:hint="eastAsia" w:ascii="宋体" w:hAnsi="宋体" w:eastAsia="宋体" w:cs="宋体"/>
          <w:color w:val="auto"/>
          <w:kern w:val="0"/>
          <w:szCs w:val="21"/>
        </w:rPr>
      </w:pPr>
      <w:bookmarkStart w:id="360" w:name="_Toc200513174"/>
      <w:r>
        <w:rPr>
          <w:rFonts w:hint="eastAsia" w:ascii="宋体" w:hAnsi="宋体" w:eastAsia="宋体" w:cs="宋体"/>
          <w:color w:val="auto"/>
        </w:rPr>
        <w:t>比选人不得泄露比选竞选活动中应当保密的情况和资料，不得与竞选人串通损害国家利益、社会公共利益或者他人合法权益。</w:t>
      </w:r>
    </w:p>
    <w:p>
      <w:pPr>
        <w:pStyle w:val="5"/>
        <w:snapToGrid w:val="0"/>
        <w:spacing w:before="0" w:line="360" w:lineRule="auto"/>
        <w:rPr>
          <w:rFonts w:hint="eastAsia" w:ascii="宋体" w:hAnsi="宋体" w:eastAsia="宋体" w:cs="宋体"/>
          <w:snapToGrid w:val="0"/>
          <w:color w:val="auto"/>
          <w:sz w:val="21"/>
          <w:szCs w:val="21"/>
        </w:rPr>
      </w:pPr>
      <w:bookmarkStart w:id="361" w:name="_Toc444155960"/>
      <w:bookmarkStart w:id="362" w:name="_Toc1290"/>
      <w:bookmarkStart w:id="363" w:name="_Toc22066"/>
      <w:bookmarkStart w:id="364" w:name="_Toc6290"/>
      <w:bookmarkStart w:id="365" w:name="_Toc31876"/>
      <w:r>
        <w:rPr>
          <w:rFonts w:hint="eastAsia" w:ascii="宋体" w:hAnsi="宋体" w:eastAsia="宋体" w:cs="宋体"/>
          <w:snapToGrid w:val="0"/>
          <w:color w:val="auto"/>
          <w:sz w:val="21"/>
          <w:szCs w:val="21"/>
        </w:rPr>
        <w:t>9.2 对竞选人的纪律要求</w:t>
      </w:r>
      <w:bookmarkEnd w:id="360"/>
      <w:bookmarkEnd w:id="361"/>
      <w:bookmarkEnd w:id="362"/>
      <w:bookmarkEnd w:id="363"/>
      <w:bookmarkEnd w:id="364"/>
      <w:bookmarkEnd w:id="365"/>
    </w:p>
    <w:p>
      <w:pPr>
        <w:adjustRightInd w:val="0"/>
        <w:snapToGrid w:val="0"/>
        <w:spacing w:line="360" w:lineRule="auto"/>
        <w:ind w:firstLine="420" w:firstLineChars="200"/>
        <w:rPr>
          <w:rFonts w:hint="eastAsia" w:ascii="宋体" w:hAnsi="宋体" w:eastAsia="宋体" w:cs="宋体"/>
          <w:color w:val="auto"/>
          <w:kern w:val="0"/>
          <w:szCs w:val="21"/>
        </w:rPr>
      </w:pPr>
      <w:bookmarkStart w:id="366" w:name="_Toc200513175"/>
      <w:r>
        <w:rPr>
          <w:rFonts w:hint="eastAsia" w:ascii="宋体" w:hAnsi="宋体" w:eastAsia="宋体" w:cs="宋体"/>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pPr>
        <w:pStyle w:val="5"/>
        <w:snapToGrid w:val="0"/>
        <w:spacing w:before="0" w:line="360" w:lineRule="auto"/>
        <w:rPr>
          <w:rFonts w:hint="eastAsia" w:ascii="宋体" w:hAnsi="宋体" w:eastAsia="宋体" w:cs="宋体"/>
          <w:snapToGrid w:val="0"/>
          <w:color w:val="auto"/>
          <w:sz w:val="21"/>
          <w:szCs w:val="21"/>
        </w:rPr>
      </w:pPr>
      <w:bookmarkStart w:id="367" w:name="_Toc24095"/>
      <w:bookmarkStart w:id="368" w:name="_Toc444155961"/>
      <w:bookmarkStart w:id="369" w:name="_Toc13155"/>
      <w:bookmarkStart w:id="370" w:name="_Toc30953"/>
      <w:bookmarkStart w:id="371" w:name="_Toc21499"/>
      <w:r>
        <w:rPr>
          <w:rFonts w:hint="eastAsia" w:ascii="宋体" w:hAnsi="宋体" w:eastAsia="宋体" w:cs="宋体"/>
          <w:snapToGrid w:val="0"/>
          <w:color w:val="auto"/>
          <w:sz w:val="21"/>
          <w:szCs w:val="21"/>
        </w:rPr>
        <w:t>9.3 对评审小组成员的纪律要求</w:t>
      </w:r>
      <w:bookmarkEnd w:id="366"/>
      <w:bookmarkEnd w:id="367"/>
      <w:bookmarkEnd w:id="368"/>
      <w:bookmarkEnd w:id="369"/>
      <w:bookmarkEnd w:id="370"/>
      <w:bookmarkEnd w:id="371"/>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color w:val="auto"/>
        </w:rPr>
        <w:t>评审小组成员不得收受他人的财物或者其他好处，不得向他人透露对竞选文件的评审和比较、中选候选人的推荐情况以及评审有关的其他情况。在评审活动中，评审小组成员应当客观、公正地履行职责，遵守职业道德，不得擅离职守，影响评审程序正常进行，不得使用第</w:t>
      </w:r>
      <w:r>
        <w:rPr>
          <w:rFonts w:hint="eastAsia" w:ascii="宋体" w:hAnsi="宋体" w:eastAsia="宋体" w:cs="宋体"/>
          <w:color w:val="auto"/>
          <w:position w:val="-1"/>
        </w:rPr>
        <w:t>三章“评审办法”没有规定的评审因素和标准进行评审。</w:t>
      </w:r>
    </w:p>
    <w:p>
      <w:pPr>
        <w:pStyle w:val="5"/>
        <w:snapToGrid w:val="0"/>
        <w:spacing w:before="0" w:line="360" w:lineRule="auto"/>
        <w:rPr>
          <w:rFonts w:hint="eastAsia" w:ascii="宋体" w:hAnsi="宋体" w:eastAsia="宋体" w:cs="宋体"/>
          <w:snapToGrid w:val="0"/>
          <w:color w:val="auto"/>
          <w:sz w:val="21"/>
          <w:szCs w:val="21"/>
        </w:rPr>
      </w:pPr>
      <w:bookmarkStart w:id="372" w:name="_Toc200513176"/>
      <w:bookmarkStart w:id="373" w:name="_Toc18998"/>
      <w:bookmarkStart w:id="374" w:name="_Toc12062"/>
      <w:bookmarkStart w:id="375" w:name="_Toc20019"/>
      <w:bookmarkStart w:id="376" w:name="_Toc444155962"/>
      <w:bookmarkStart w:id="377" w:name="_Toc8486"/>
      <w:r>
        <w:rPr>
          <w:rFonts w:hint="eastAsia" w:ascii="宋体" w:hAnsi="宋体" w:eastAsia="宋体" w:cs="宋体"/>
          <w:snapToGrid w:val="0"/>
          <w:color w:val="auto"/>
          <w:sz w:val="21"/>
          <w:szCs w:val="21"/>
        </w:rPr>
        <w:t>9.4 对与评审活动有关的工作人员的纪律要求</w:t>
      </w:r>
      <w:bookmarkEnd w:id="372"/>
      <w:bookmarkEnd w:id="373"/>
      <w:bookmarkEnd w:id="374"/>
      <w:bookmarkEnd w:id="375"/>
      <w:bookmarkEnd w:id="376"/>
      <w:bookmarkEnd w:id="377"/>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pPr>
        <w:pStyle w:val="5"/>
        <w:snapToGrid w:val="0"/>
        <w:spacing w:before="0" w:line="360" w:lineRule="auto"/>
        <w:rPr>
          <w:rFonts w:hint="eastAsia" w:ascii="宋体" w:hAnsi="宋体" w:eastAsia="宋体" w:cs="宋体"/>
          <w:snapToGrid w:val="0"/>
          <w:color w:val="auto"/>
          <w:sz w:val="21"/>
          <w:szCs w:val="21"/>
        </w:rPr>
      </w:pPr>
      <w:bookmarkStart w:id="378" w:name="_Toc18718"/>
      <w:bookmarkStart w:id="379" w:name="_Toc444155963"/>
      <w:bookmarkStart w:id="380" w:name="_Toc9829"/>
      <w:bookmarkStart w:id="381" w:name="_Toc22229"/>
      <w:bookmarkStart w:id="382" w:name="_Toc22328"/>
      <w:bookmarkStart w:id="383" w:name="_Toc200513177"/>
      <w:bookmarkStart w:id="384" w:name="OLE_LINK141"/>
      <w:bookmarkStart w:id="385" w:name="OLE_LINK142"/>
      <w:bookmarkStart w:id="386" w:name="OLE_LINK143"/>
      <w:r>
        <w:rPr>
          <w:rFonts w:hint="eastAsia" w:ascii="宋体" w:hAnsi="宋体" w:eastAsia="宋体" w:cs="宋体"/>
          <w:snapToGrid w:val="0"/>
          <w:color w:val="auto"/>
          <w:sz w:val="21"/>
          <w:szCs w:val="21"/>
        </w:rPr>
        <w:t>9.5 投诉</w:t>
      </w:r>
      <w:bookmarkEnd w:id="378"/>
      <w:bookmarkEnd w:id="379"/>
      <w:bookmarkEnd w:id="380"/>
      <w:bookmarkEnd w:id="381"/>
      <w:bookmarkEnd w:id="382"/>
      <w:bookmarkEnd w:id="383"/>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竞选人和其他利害关系人认为本次比选活动违反法律、法规和规章规定的，有权向有关行政监督部门投诉。</w:t>
      </w:r>
    </w:p>
    <w:bookmarkEnd w:id="384"/>
    <w:bookmarkEnd w:id="385"/>
    <w:bookmarkEnd w:id="386"/>
    <w:p>
      <w:pPr>
        <w:pStyle w:val="4"/>
        <w:keepNext/>
        <w:keepLines/>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bCs/>
          <w:color w:val="auto"/>
          <w:spacing w:val="0"/>
          <w:w w:val="100"/>
          <w:kern w:val="0"/>
          <w:sz w:val="21"/>
          <w:szCs w:val="21"/>
        </w:rPr>
      </w:pPr>
      <w:bookmarkStart w:id="387" w:name="_Toc14781"/>
      <w:bookmarkStart w:id="388" w:name="_Toc444155964"/>
      <w:bookmarkStart w:id="389" w:name="_Toc23374"/>
      <w:bookmarkStart w:id="390" w:name="_Toc21517"/>
      <w:bookmarkStart w:id="391" w:name="_Toc200513178"/>
      <w:bookmarkStart w:id="392" w:name="_Toc22950"/>
      <w:bookmarkStart w:id="393" w:name="_Toc10393"/>
      <w:r>
        <w:rPr>
          <w:rFonts w:hint="eastAsia" w:ascii="宋体" w:hAnsi="宋体" w:eastAsia="宋体" w:cs="宋体"/>
          <w:bCs/>
          <w:color w:val="auto"/>
          <w:spacing w:val="0"/>
          <w:w w:val="100"/>
          <w:kern w:val="0"/>
          <w:sz w:val="21"/>
          <w:szCs w:val="21"/>
        </w:rPr>
        <w:t>10. 需要补充的其他内容</w:t>
      </w:r>
      <w:bookmarkEnd w:id="387"/>
      <w:bookmarkEnd w:id="388"/>
      <w:bookmarkEnd w:id="389"/>
      <w:bookmarkEnd w:id="390"/>
      <w:bookmarkEnd w:id="391"/>
      <w:bookmarkEnd w:id="392"/>
      <w:bookmarkEnd w:id="393"/>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需要补充的其他内容：见竞选人须知前附表。</w:t>
      </w: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p>
    <w:p>
      <w:pPr>
        <w:pStyle w:val="3"/>
        <w:numPr>
          <w:ilvl w:val="0"/>
          <w:numId w:val="0"/>
        </w:numPr>
        <w:rPr>
          <w:rFonts w:hint="eastAsia" w:ascii="宋体" w:hAnsi="宋体" w:eastAsia="宋体" w:cs="宋体"/>
          <w:color w:val="auto"/>
        </w:rPr>
      </w:pPr>
      <w:r>
        <w:rPr>
          <w:rFonts w:hint="eastAsia" w:ascii="宋体" w:hAnsi="宋体" w:eastAsia="宋体" w:cs="宋体"/>
          <w:b/>
          <w:color w:val="auto"/>
          <w:kern w:val="0"/>
        </w:rPr>
        <w:br w:type="page"/>
      </w:r>
      <w:bookmarkStart w:id="394" w:name="_Toc11534"/>
      <w:bookmarkStart w:id="395" w:name="_Toc440022824"/>
      <w:bookmarkStart w:id="396" w:name="_Toc18073"/>
      <w:bookmarkStart w:id="397" w:name="_Toc444155965"/>
      <w:bookmarkStart w:id="398" w:name="_Toc10625"/>
      <w:bookmarkStart w:id="399" w:name="_Toc17243"/>
      <w:bookmarkStart w:id="400" w:name="_Toc10509"/>
      <w:r>
        <w:rPr>
          <w:rFonts w:hint="eastAsia" w:ascii="宋体" w:hAnsi="宋体" w:eastAsia="宋体" w:cs="宋体"/>
          <w:b/>
          <w:color w:val="auto"/>
          <w:kern w:val="0"/>
          <w:sz w:val="36"/>
          <w:szCs w:val="36"/>
        </w:rPr>
        <w:t>第三章 评审办法</w:t>
      </w:r>
      <w:bookmarkEnd w:id="394"/>
      <w:bookmarkEnd w:id="395"/>
      <w:bookmarkEnd w:id="396"/>
      <w:bookmarkEnd w:id="397"/>
      <w:bookmarkEnd w:id="398"/>
      <w:bookmarkEnd w:id="399"/>
      <w:r>
        <w:rPr>
          <w:rFonts w:hint="eastAsia" w:ascii="宋体" w:hAnsi="宋体" w:eastAsia="宋体" w:cs="宋体"/>
          <w:b/>
          <w:color w:val="auto"/>
          <w:kern w:val="0"/>
          <w:sz w:val="36"/>
          <w:szCs w:val="36"/>
        </w:rPr>
        <w:t>（综合评审法）</w:t>
      </w:r>
      <w:bookmarkEnd w:id="400"/>
    </w:p>
    <w:p>
      <w:pPr>
        <w:keepNext/>
        <w:keepLines/>
        <w:adjustRightInd w:val="0"/>
        <w:snapToGrid w:val="0"/>
        <w:spacing w:line="400" w:lineRule="exact"/>
        <w:outlineLvl w:val="1"/>
        <w:rPr>
          <w:rFonts w:hint="eastAsia" w:ascii="宋体" w:hAnsi="宋体" w:eastAsia="宋体" w:cs="宋体"/>
          <w:b/>
          <w:color w:val="auto"/>
          <w:spacing w:val="1"/>
          <w:szCs w:val="21"/>
        </w:rPr>
      </w:pPr>
      <w:bookmarkStart w:id="401" w:name="_Toc27076"/>
      <w:r>
        <w:rPr>
          <w:rFonts w:hint="eastAsia" w:ascii="宋体" w:hAnsi="宋体" w:eastAsia="宋体" w:cs="宋体"/>
          <w:b/>
          <w:color w:val="auto"/>
          <w:spacing w:val="1"/>
          <w:szCs w:val="21"/>
        </w:rPr>
        <w:t>评审办法前附表</w:t>
      </w:r>
      <w:bookmarkEnd w:id="401"/>
    </w:p>
    <w:p>
      <w:pPr>
        <w:adjustRightInd w:val="0"/>
        <w:snapToGrid w:val="0"/>
        <w:spacing w:line="400" w:lineRule="exact"/>
        <w:ind w:firstLine="427" w:firstLineChars="196"/>
        <w:rPr>
          <w:rFonts w:hint="eastAsia" w:ascii="宋体" w:hAnsi="宋体" w:eastAsia="宋体" w:cs="宋体"/>
          <w:color w:val="auto"/>
          <w:spacing w:val="4"/>
          <w:kern w:val="0"/>
          <w:szCs w:val="21"/>
        </w:rPr>
      </w:pPr>
      <w:r>
        <w:rPr>
          <w:rFonts w:hint="eastAsia" w:ascii="宋体" w:hAnsi="宋体" w:eastAsia="宋体" w:cs="宋体"/>
          <w:color w:val="auto"/>
          <w:spacing w:val="4"/>
          <w:kern w:val="0"/>
          <w:szCs w:val="21"/>
        </w:rPr>
        <w:t>评审办法前附表与正文不一致的，以评审办法前附表为准。</w:t>
      </w:r>
    </w:p>
    <w:tbl>
      <w:tblPr>
        <w:tblStyle w:val="49"/>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643"/>
        <w:gridCol w:w="510"/>
        <w:gridCol w:w="197"/>
        <w:gridCol w:w="1351"/>
        <w:gridCol w:w="2091"/>
        <w:gridCol w:w="384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vAlign w:val="center"/>
          </w:tcPr>
          <w:p>
            <w:pPr>
              <w:spacing w:line="400" w:lineRule="exact"/>
              <w:jc w:val="center"/>
              <w:rPr>
                <w:rFonts w:hint="eastAsia" w:ascii="宋体" w:hAnsi="宋体" w:eastAsia="宋体" w:cs="宋体"/>
                <w:b/>
                <w:color w:val="auto"/>
                <w:kern w:val="0"/>
                <w:szCs w:val="22"/>
              </w:rPr>
            </w:pPr>
            <w:r>
              <w:rPr>
                <w:rFonts w:hint="eastAsia" w:ascii="宋体" w:hAnsi="宋体" w:eastAsia="宋体" w:cs="宋体"/>
                <w:b/>
                <w:color w:val="auto"/>
                <w:kern w:val="0"/>
                <w:szCs w:val="22"/>
              </w:rPr>
              <w:t>条款号</w:t>
            </w:r>
          </w:p>
        </w:tc>
        <w:tc>
          <w:tcPr>
            <w:tcW w:w="2058" w:type="dxa"/>
            <w:gridSpan w:val="3"/>
            <w:vAlign w:val="center"/>
          </w:tcPr>
          <w:p>
            <w:pPr>
              <w:spacing w:line="400" w:lineRule="exact"/>
              <w:jc w:val="center"/>
              <w:rPr>
                <w:rFonts w:hint="eastAsia" w:ascii="宋体" w:hAnsi="宋体" w:eastAsia="宋体" w:cs="宋体"/>
                <w:b/>
                <w:color w:val="auto"/>
                <w:kern w:val="0"/>
                <w:szCs w:val="22"/>
              </w:rPr>
            </w:pPr>
            <w:r>
              <w:rPr>
                <w:rFonts w:hint="eastAsia" w:ascii="宋体" w:hAnsi="宋体" w:eastAsia="宋体" w:cs="宋体"/>
                <w:b/>
                <w:color w:val="auto"/>
                <w:kern w:val="0"/>
                <w:szCs w:val="22"/>
              </w:rPr>
              <w:t>评审因素</w:t>
            </w:r>
          </w:p>
        </w:tc>
        <w:tc>
          <w:tcPr>
            <w:tcW w:w="5936" w:type="dxa"/>
            <w:gridSpan w:val="2"/>
            <w:vAlign w:val="center"/>
          </w:tcPr>
          <w:p>
            <w:pPr>
              <w:spacing w:line="400" w:lineRule="exact"/>
              <w:jc w:val="center"/>
              <w:rPr>
                <w:rFonts w:hint="eastAsia" w:ascii="宋体" w:hAnsi="宋体" w:eastAsia="宋体" w:cs="宋体"/>
                <w:b/>
                <w:color w:val="auto"/>
                <w:kern w:val="0"/>
                <w:szCs w:val="22"/>
              </w:rPr>
            </w:pPr>
            <w:r>
              <w:rPr>
                <w:rFonts w:hint="eastAsia" w:ascii="宋体" w:hAnsi="宋体" w:eastAsia="宋体" w:cs="宋体"/>
                <w:b/>
                <w:color w:val="auto"/>
                <w:kern w:val="0"/>
                <w:szCs w:val="22"/>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1</w:t>
            </w:r>
          </w:p>
        </w:tc>
        <w:tc>
          <w:tcPr>
            <w:tcW w:w="2058" w:type="dxa"/>
            <w:gridSpan w:val="3"/>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评审办法</w:t>
            </w:r>
          </w:p>
        </w:tc>
        <w:tc>
          <w:tcPr>
            <w:tcW w:w="5936" w:type="dxa"/>
            <w:gridSpan w:val="2"/>
            <w:vAlign w:val="center"/>
          </w:tcPr>
          <w:p>
            <w:pPr>
              <w:spacing w:line="400" w:lineRule="exact"/>
              <w:ind w:firstLine="420" w:firstLineChars="200"/>
              <w:jc w:val="left"/>
              <w:rPr>
                <w:rFonts w:hint="eastAsia" w:ascii="宋体" w:hAnsi="宋体" w:eastAsia="宋体" w:cs="宋体"/>
                <w:color w:val="auto"/>
                <w:kern w:val="0"/>
                <w:szCs w:val="22"/>
              </w:rPr>
            </w:pPr>
            <w:r>
              <w:rPr>
                <w:rFonts w:hint="eastAsia" w:ascii="宋体" w:hAnsi="宋体" w:eastAsia="宋体" w:cs="宋体"/>
                <w:color w:val="auto"/>
                <w:kern w:val="0"/>
                <w:szCs w:val="21"/>
              </w:rPr>
              <w:t>本次评审采用综合评估法</w:t>
            </w:r>
            <w:r>
              <w:rPr>
                <w:rFonts w:hint="eastAsia" w:ascii="宋体" w:hAnsi="宋体" w:eastAsia="宋体" w:cs="宋体"/>
                <w:color w:val="auto"/>
                <w:spacing w:val="-47"/>
                <w:kern w:val="0"/>
                <w:szCs w:val="21"/>
              </w:rPr>
              <w:t>。</w:t>
            </w:r>
            <w:r>
              <w:rPr>
                <w:rFonts w:hint="eastAsia" w:ascii="宋体" w:hAnsi="宋体" w:eastAsia="宋体" w:cs="宋体"/>
                <w:color w:val="auto"/>
                <w:kern w:val="0"/>
                <w:szCs w:val="21"/>
              </w:rPr>
              <w:t>评审小组按照本章第</w:t>
            </w:r>
            <w:r>
              <w:rPr>
                <w:rFonts w:hint="eastAsia" w:ascii="宋体" w:hAnsi="宋体" w:eastAsia="宋体" w:cs="宋体"/>
                <w:color w:val="auto"/>
                <w:spacing w:val="1"/>
                <w:kern w:val="0"/>
                <w:szCs w:val="21"/>
              </w:rPr>
              <w:t>2</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2款</w:t>
            </w:r>
            <w:r>
              <w:rPr>
                <w:rFonts w:hint="eastAsia" w:ascii="宋体" w:hAnsi="宋体" w:eastAsia="宋体" w:cs="宋体"/>
                <w:color w:val="auto"/>
                <w:spacing w:val="-1"/>
                <w:kern w:val="0"/>
                <w:szCs w:val="21"/>
              </w:rPr>
              <w:t>规</w:t>
            </w:r>
            <w:r>
              <w:rPr>
                <w:rFonts w:hint="eastAsia" w:ascii="宋体" w:hAnsi="宋体" w:eastAsia="宋体" w:cs="宋体"/>
                <w:color w:val="auto"/>
                <w:kern w:val="0"/>
                <w:szCs w:val="21"/>
              </w:rPr>
              <w:t>定的评分标准进行评分，按得分由高到低顺序推荐中选候选人</w:t>
            </w:r>
            <w:r>
              <w:rPr>
                <w:rFonts w:hint="eastAsia" w:ascii="宋体" w:hAnsi="宋体" w:eastAsia="宋体" w:cs="宋体"/>
                <w:color w:val="auto"/>
                <w:spacing w:val="-31"/>
                <w:kern w:val="0"/>
                <w:szCs w:val="21"/>
              </w:rPr>
              <w:t>。</w:t>
            </w:r>
            <w:r>
              <w:rPr>
                <w:rFonts w:hint="eastAsia" w:ascii="宋体" w:hAnsi="宋体" w:eastAsia="宋体" w:cs="宋体"/>
                <w:color w:val="auto"/>
                <w:kern w:val="0"/>
                <w:szCs w:val="21"/>
              </w:rPr>
              <w:t>综合评分相等时</w:t>
            </w:r>
            <w:r>
              <w:rPr>
                <w:rFonts w:hint="eastAsia" w:ascii="宋体" w:hAnsi="宋体" w:eastAsia="宋体" w:cs="宋体"/>
                <w:color w:val="auto"/>
                <w:spacing w:val="-31"/>
                <w:kern w:val="0"/>
                <w:szCs w:val="21"/>
              </w:rPr>
              <w:t>，</w:t>
            </w:r>
            <w:r>
              <w:rPr>
                <w:rFonts w:hint="eastAsia" w:ascii="宋体" w:hAnsi="宋体" w:eastAsia="宋体" w:cs="宋体"/>
                <w:color w:val="auto"/>
                <w:kern w:val="0"/>
                <w:szCs w:val="21"/>
              </w:rPr>
              <w:t>以</w:t>
            </w:r>
            <w:r>
              <w:rPr>
                <w:rFonts w:hint="eastAsia" w:ascii="宋体" w:hAnsi="宋体" w:eastAsia="宋体" w:cs="宋体"/>
                <w:color w:val="auto"/>
                <w:kern w:val="0"/>
                <w:szCs w:val="21"/>
                <w:lang w:val="en-US" w:eastAsia="zh-CN"/>
              </w:rPr>
              <w:t>经济部分得分高</w:t>
            </w:r>
            <w:r>
              <w:rPr>
                <w:rFonts w:hint="eastAsia" w:ascii="宋体" w:hAnsi="宋体" w:eastAsia="宋体" w:cs="宋体"/>
                <w:color w:val="auto"/>
                <w:kern w:val="0"/>
                <w:szCs w:val="21"/>
              </w:rPr>
              <w:t>的优先；</w:t>
            </w:r>
            <w:r>
              <w:rPr>
                <w:rFonts w:hint="eastAsia" w:ascii="宋体" w:hAnsi="宋体" w:eastAsia="宋体" w:cs="宋体"/>
                <w:color w:val="auto"/>
                <w:kern w:val="0"/>
                <w:szCs w:val="21"/>
                <w:lang w:val="en-US" w:eastAsia="zh-CN"/>
              </w:rPr>
              <w:t>经济部分得分</w:t>
            </w:r>
            <w:r>
              <w:rPr>
                <w:rFonts w:hint="eastAsia" w:ascii="宋体" w:hAnsi="宋体" w:eastAsia="宋体" w:cs="宋体"/>
                <w:color w:val="auto"/>
                <w:kern w:val="0"/>
                <w:szCs w:val="21"/>
              </w:rPr>
              <w:t>相等的</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以</w:t>
            </w:r>
            <w:r>
              <w:rPr>
                <w:rFonts w:hint="eastAsia" w:ascii="宋体" w:hAnsi="宋体" w:eastAsia="宋体" w:cs="宋体"/>
                <w:color w:val="auto"/>
                <w:kern w:val="0"/>
                <w:szCs w:val="21"/>
                <w:lang w:val="en-US" w:eastAsia="zh-CN"/>
              </w:rPr>
              <w:t>技术部分得分高</w:t>
            </w:r>
            <w:r>
              <w:rPr>
                <w:rFonts w:hint="eastAsia" w:ascii="宋体" w:hAnsi="宋体" w:eastAsia="宋体" w:cs="宋体"/>
                <w:color w:val="auto"/>
                <w:kern w:val="0"/>
                <w:szCs w:val="21"/>
              </w:rPr>
              <w:t>的优先；</w:t>
            </w:r>
            <w:r>
              <w:rPr>
                <w:rFonts w:hint="eastAsia" w:ascii="宋体" w:hAnsi="宋体" w:eastAsia="宋体" w:cs="宋体"/>
                <w:color w:val="auto"/>
                <w:kern w:val="0"/>
                <w:szCs w:val="21"/>
                <w:lang w:val="en-US" w:eastAsia="zh-CN"/>
              </w:rPr>
              <w:t>技术部分得分</w:t>
            </w:r>
            <w:r>
              <w:rPr>
                <w:rFonts w:hint="eastAsia" w:ascii="宋体" w:hAnsi="宋体" w:eastAsia="宋体" w:cs="宋体"/>
                <w:color w:val="auto"/>
                <w:kern w:val="0"/>
                <w:szCs w:val="21"/>
              </w:rPr>
              <w:t>相等的，则由评审小组</w:t>
            </w:r>
            <w:r>
              <w:rPr>
                <w:rFonts w:hint="eastAsia" w:ascii="宋体" w:hAnsi="宋体" w:eastAsia="宋体" w:cs="宋体"/>
                <w:color w:val="auto"/>
                <w:kern w:val="0"/>
                <w:szCs w:val="21"/>
                <w:highlight w:val="none"/>
              </w:rPr>
              <w:t>按照</w:t>
            </w:r>
            <w:r>
              <w:rPr>
                <w:rFonts w:hint="eastAsia" w:ascii="宋体" w:hAnsi="宋体" w:eastAsia="宋体" w:cs="宋体"/>
                <w:color w:val="auto"/>
                <w:kern w:val="0"/>
                <w:szCs w:val="21"/>
                <w:highlight w:val="none"/>
                <w:u w:val="single"/>
                <w:lang w:val="en-US" w:eastAsia="zh-CN"/>
              </w:rPr>
              <w:t>有利于合同履行的</w:t>
            </w:r>
            <w:r>
              <w:rPr>
                <w:rFonts w:hint="eastAsia" w:ascii="宋体" w:hAnsi="宋体" w:eastAsia="宋体" w:cs="宋体"/>
                <w:color w:val="auto"/>
                <w:kern w:val="0"/>
                <w:szCs w:val="21"/>
                <w:highlight w:val="none"/>
              </w:rPr>
              <w:t>原</w:t>
            </w:r>
            <w:r>
              <w:rPr>
                <w:rFonts w:hint="eastAsia" w:ascii="宋体" w:hAnsi="宋体" w:eastAsia="宋体" w:cs="宋体"/>
                <w:color w:val="auto"/>
                <w:kern w:val="0"/>
                <w:szCs w:val="21"/>
              </w:rPr>
              <w:t>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2.1.1</w:t>
            </w:r>
          </w:p>
        </w:tc>
        <w:tc>
          <w:tcPr>
            <w:tcW w:w="643" w:type="dxa"/>
            <w:vMerge w:val="restart"/>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资格评审标准</w:t>
            </w:r>
          </w:p>
        </w:tc>
        <w:tc>
          <w:tcPr>
            <w:tcW w:w="2058" w:type="dxa"/>
            <w:gridSpan w:val="3"/>
            <w:tcBorders>
              <w:bottom w:val="single" w:color="auto" w:sz="4" w:space="0"/>
            </w:tcBorders>
            <w:vAlign w:val="center"/>
          </w:tcPr>
          <w:p>
            <w:pPr>
              <w:spacing w:line="400" w:lineRule="exact"/>
              <w:rPr>
                <w:rFonts w:hint="eastAsia" w:ascii="宋体" w:hAnsi="宋体" w:eastAsia="宋体" w:cs="宋体"/>
                <w:color w:val="auto"/>
                <w:kern w:val="0"/>
                <w:szCs w:val="22"/>
              </w:rPr>
            </w:pPr>
            <w:r>
              <w:rPr>
                <w:rFonts w:hint="eastAsia" w:ascii="宋体" w:hAnsi="宋体" w:eastAsia="宋体" w:cs="宋体"/>
                <w:color w:val="auto"/>
                <w:kern w:val="0"/>
                <w:szCs w:val="22"/>
              </w:rPr>
              <w:t>营业执照</w:t>
            </w:r>
          </w:p>
        </w:tc>
        <w:tc>
          <w:tcPr>
            <w:tcW w:w="5936" w:type="dxa"/>
            <w:gridSpan w:val="2"/>
            <w:vAlign w:val="center"/>
          </w:tcPr>
          <w:p>
            <w:pPr>
              <w:spacing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符合第二章“</w:t>
            </w:r>
            <w:r>
              <w:rPr>
                <w:rFonts w:hint="eastAsia" w:ascii="宋体" w:hAnsi="宋体" w:eastAsia="宋体" w:cs="宋体"/>
                <w:color w:val="auto"/>
                <w:kern w:val="0"/>
                <w:szCs w:val="21"/>
              </w:rPr>
              <w:t>竞选人须知前附表</w:t>
            </w:r>
            <w:r>
              <w:rPr>
                <w:rFonts w:hint="eastAsia" w:ascii="宋体" w:hAnsi="宋体" w:eastAsia="宋体" w:cs="宋体"/>
                <w:color w:val="auto"/>
                <w:kern w:val="0"/>
                <w:szCs w:val="22"/>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65" w:hRule="atLeast"/>
          <w:jc w:val="center"/>
        </w:trPr>
        <w:tc>
          <w:tcPr>
            <w:tcW w:w="833" w:type="dxa"/>
            <w:vMerge w:val="continue"/>
          </w:tcPr>
          <w:p>
            <w:pPr>
              <w:spacing w:line="400" w:lineRule="exact"/>
              <w:rPr>
                <w:rFonts w:hint="eastAsia" w:ascii="宋体" w:hAnsi="宋体" w:eastAsia="宋体" w:cs="宋体"/>
                <w:color w:val="auto"/>
                <w:szCs w:val="22"/>
              </w:rPr>
            </w:pPr>
          </w:p>
        </w:tc>
        <w:tc>
          <w:tcPr>
            <w:tcW w:w="643" w:type="dxa"/>
            <w:vMerge w:val="continue"/>
          </w:tcPr>
          <w:p>
            <w:pPr>
              <w:spacing w:line="400" w:lineRule="exact"/>
              <w:rPr>
                <w:rFonts w:hint="eastAsia" w:ascii="宋体" w:hAnsi="宋体" w:eastAsia="宋体" w:cs="宋体"/>
                <w:color w:val="auto"/>
                <w:szCs w:val="22"/>
              </w:rPr>
            </w:pPr>
          </w:p>
        </w:tc>
        <w:tc>
          <w:tcPr>
            <w:tcW w:w="2058" w:type="dxa"/>
            <w:gridSpan w:val="3"/>
            <w:tcBorders>
              <w:top w:val="single" w:color="auto" w:sz="4" w:space="0"/>
            </w:tcBorders>
            <w:vAlign w:val="center"/>
          </w:tcPr>
          <w:p>
            <w:pPr>
              <w:spacing w:line="400" w:lineRule="exact"/>
              <w:rPr>
                <w:rFonts w:hint="eastAsia" w:ascii="宋体" w:hAnsi="宋体" w:eastAsia="宋体" w:cs="宋体"/>
                <w:color w:val="auto"/>
                <w:kern w:val="0"/>
                <w:szCs w:val="22"/>
              </w:rPr>
            </w:pPr>
            <w:r>
              <w:rPr>
                <w:rFonts w:hint="eastAsia" w:ascii="宋体" w:hAnsi="宋体" w:eastAsia="宋体" w:cs="宋体"/>
                <w:color w:val="auto"/>
                <w:kern w:val="0"/>
                <w:szCs w:val="22"/>
              </w:rPr>
              <w:t>竞选截止日竞选资格情况</w:t>
            </w:r>
          </w:p>
        </w:tc>
        <w:tc>
          <w:tcPr>
            <w:tcW w:w="5936" w:type="dxa"/>
            <w:gridSpan w:val="2"/>
            <w:vAlign w:val="center"/>
          </w:tcPr>
          <w:p>
            <w:pPr>
              <w:spacing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符合第二章“</w:t>
            </w:r>
            <w:r>
              <w:rPr>
                <w:rFonts w:hint="eastAsia" w:ascii="宋体" w:hAnsi="宋体" w:eastAsia="宋体" w:cs="宋体"/>
                <w:color w:val="auto"/>
                <w:kern w:val="0"/>
                <w:szCs w:val="21"/>
              </w:rPr>
              <w:t>竞选人须知前附表</w:t>
            </w:r>
            <w:r>
              <w:rPr>
                <w:rFonts w:hint="eastAsia" w:ascii="宋体" w:hAnsi="宋体" w:eastAsia="宋体" w:cs="宋体"/>
                <w:color w:val="auto"/>
                <w:kern w:val="0"/>
                <w:szCs w:val="22"/>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kern w:val="0"/>
                <w:szCs w:val="22"/>
              </w:rPr>
              <w:t>2.1.2</w:t>
            </w:r>
          </w:p>
        </w:tc>
        <w:tc>
          <w:tcPr>
            <w:tcW w:w="643" w:type="dxa"/>
            <w:vMerge w:val="restart"/>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kern w:val="0"/>
                <w:szCs w:val="22"/>
              </w:rPr>
              <w:t>形式评审标准</w:t>
            </w:r>
          </w:p>
        </w:tc>
        <w:tc>
          <w:tcPr>
            <w:tcW w:w="2058" w:type="dxa"/>
            <w:gridSpan w:val="3"/>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竞选人名称</w:t>
            </w:r>
          </w:p>
        </w:tc>
        <w:tc>
          <w:tcPr>
            <w:tcW w:w="5936" w:type="dxa"/>
            <w:gridSpan w:val="2"/>
            <w:vAlign w:val="center"/>
          </w:tcPr>
          <w:p>
            <w:pPr>
              <w:spacing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与营业执照一致，依法变更名称的应提交相应证明材料。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rPr>
                <w:rFonts w:hint="eastAsia" w:ascii="宋体" w:hAnsi="宋体" w:eastAsia="宋体" w:cs="宋体"/>
                <w:color w:val="auto"/>
                <w:szCs w:val="22"/>
              </w:rPr>
            </w:pPr>
          </w:p>
        </w:tc>
        <w:tc>
          <w:tcPr>
            <w:tcW w:w="643" w:type="dxa"/>
            <w:vMerge w:val="continue"/>
          </w:tcPr>
          <w:p>
            <w:pPr>
              <w:spacing w:line="400" w:lineRule="exact"/>
              <w:rPr>
                <w:rFonts w:hint="eastAsia" w:ascii="宋体" w:hAnsi="宋体" w:eastAsia="宋体" w:cs="宋体"/>
                <w:color w:val="auto"/>
                <w:szCs w:val="22"/>
              </w:rPr>
            </w:pPr>
          </w:p>
        </w:tc>
        <w:tc>
          <w:tcPr>
            <w:tcW w:w="2058" w:type="dxa"/>
            <w:gridSpan w:val="3"/>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竞选函签名盖章</w:t>
            </w:r>
          </w:p>
        </w:tc>
        <w:tc>
          <w:tcPr>
            <w:tcW w:w="5936" w:type="dxa"/>
            <w:gridSpan w:val="2"/>
            <w:vAlign w:val="center"/>
          </w:tcPr>
          <w:p>
            <w:pPr>
              <w:spacing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竞选函格式规定签名、盖章的位置有法定代表人或其委托代理人签名（或盖章）、加盖单位</w:t>
            </w:r>
            <w:r>
              <w:rPr>
                <w:rFonts w:hint="eastAsia" w:ascii="宋体" w:hAnsi="宋体" w:eastAsia="宋体" w:cs="宋体"/>
                <w:color w:val="auto"/>
                <w:kern w:val="0"/>
                <w:szCs w:val="22"/>
                <w:lang w:val="en-US" w:eastAsia="zh-CN"/>
              </w:rPr>
              <w:t>公</w:t>
            </w:r>
            <w:r>
              <w:rPr>
                <w:rFonts w:hint="eastAsia" w:ascii="宋体" w:hAnsi="宋体" w:eastAsia="宋体" w:cs="宋体"/>
                <w:color w:val="auto"/>
                <w:kern w:val="0"/>
                <w:szCs w:val="22"/>
              </w:rPr>
              <w:t>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rPr>
                <w:rFonts w:hint="eastAsia" w:ascii="宋体" w:hAnsi="宋体" w:eastAsia="宋体" w:cs="宋体"/>
                <w:color w:val="auto"/>
                <w:szCs w:val="22"/>
              </w:rPr>
            </w:pPr>
          </w:p>
        </w:tc>
        <w:tc>
          <w:tcPr>
            <w:tcW w:w="643" w:type="dxa"/>
            <w:vMerge w:val="continue"/>
          </w:tcPr>
          <w:p>
            <w:pPr>
              <w:spacing w:line="400" w:lineRule="exact"/>
              <w:rPr>
                <w:rFonts w:hint="eastAsia" w:ascii="宋体" w:hAnsi="宋体" w:eastAsia="宋体" w:cs="宋体"/>
                <w:color w:val="auto"/>
                <w:szCs w:val="22"/>
              </w:rPr>
            </w:pPr>
          </w:p>
        </w:tc>
        <w:tc>
          <w:tcPr>
            <w:tcW w:w="2058" w:type="dxa"/>
            <w:gridSpan w:val="3"/>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竞选文件格式</w:t>
            </w:r>
          </w:p>
        </w:tc>
        <w:tc>
          <w:tcPr>
            <w:tcW w:w="5936" w:type="dxa"/>
            <w:gridSpan w:val="2"/>
            <w:vAlign w:val="center"/>
          </w:tcPr>
          <w:p>
            <w:pPr>
              <w:spacing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符合第二章“竞选人须知”第3.7款的要求。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rPr>
                <w:rFonts w:hint="eastAsia" w:ascii="宋体" w:hAnsi="宋体" w:eastAsia="宋体" w:cs="宋体"/>
                <w:color w:val="auto"/>
                <w:szCs w:val="22"/>
              </w:rPr>
            </w:pPr>
          </w:p>
        </w:tc>
        <w:tc>
          <w:tcPr>
            <w:tcW w:w="643" w:type="dxa"/>
            <w:vMerge w:val="continue"/>
          </w:tcPr>
          <w:p>
            <w:pPr>
              <w:spacing w:line="400" w:lineRule="exact"/>
              <w:rPr>
                <w:rFonts w:hint="eastAsia" w:ascii="宋体" w:hAnsi="宋体" w:eastAsia="宋体" w:cs="宋体"/>
                <w:color w:val="auto"/>
                <w:szCs w:val="22"/>
              </w:rPr>
            </w:pPr>
          </w:p>
        </w:tc>
        <w:tc>
          <w:tcPr>
            <w:tcW w:w="2058" w:type="dxa"/>
            <w:gridSpan w:val="3"/>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竞选文件份数</w:t>
            </w:r>
          </w:p>
        </w:tc>
        <w:tc>
          <w:tcPr>
            <w:tcW w:w="5936" w:type="dxa"/>
            <w:gridSpan w:val="2"/>
            <w:vAlign w:val="center"/>
          </w:tcPr>
          <w:p>
            <w:pPr>
              <w:spacing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符合第二章“竞选人须知”第3.7.4项规定。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rPr>
                <w:rFonts w:hint="eastAsia" w:ascii="宋体" w:hAnsi="宋体" w:eastAsia="宋体" w:cs="宋体"/>
                <w:color w:val="auto"/>
                <w:szCs w:val="22"/>
              </w:rPr>
            </w:pPr>
          </w:p>
        </w:tc>
        <w:tc>
          <w:tcPr>
            <w:tcW w:w="643" w:type="dxa"/>
            <w:vMerge w:val="continue"/>
          </w:tcPr>
          <w:p>
            <w:pPr>
              <w:spacing w:line="400" w:lineRule="exact"/>
              <w:rPr>
                <w:rFonts w:hint="eastAsia" w:ascii="宋体" w:hAnsi="宋体" w:eastAsia="宋体" w:cs="宋体"/>
                <w:color w:val="auto"/>
                <w:szCs w:val="22"/>
              </w:rPr>
            </w:pPr>
          </w:p>
        </w:tc>
        <w:tc>
          <w:tcPr>
            <w:tcW w:w="2058" w:type="dxa"/>
            <w:gridSpan w:val="3"/>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竞选文件的签署</w:t>
            </w:r>
          </w:p>
        </w:tc>
        <w:tc>
          <w:tcPr>
            <w:tcW w:w="5936" w:type="dxa"/>
            <w:gridSpan w:val="2"/>
            <w:vAlign w:val="center"/>
          </w:tcPr>
          <w:p>
            <w:pPr>
              <w:spacing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第</w:t>
            </w:r>
            <w:r>
              <w:rPr>
                <w:rFonts w:hint="eastAsia" w:ascii="宋体" w:hAnsi="宋体" w:eastAsia="宋体" w:cs="宋体"/>
                <w:color w:val="auto"/>
                <w:kern w:val="0"/>
                <w:szCs w:val="22"/>
                <w:lang w:val="en-US" w:eastAsia="zh-CN"/>
              </w:rPr>
              <w:t>八</w:t>
            </w:r>
            <w:r>
              <w:rPr>
                <w:rFonts w:hint="eastAsia" w:ascii="宋体" w:hAnsi="宋体" w:eastAsia="宋体" w:cs="宋体"/>
                <w:color w:val="auto"/>
                <w:kern w:val="0"/>
                <w:szCs w:val="22"/>
              </w:rPr>
              <w:t>章 竞选文件格式要求法定代表人或其委托代理人签名（或盖章）的须齐全。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rPr>
                <w:rFonts w:hint="eastAsia" w:ascii="宋体" w:hAnsi="宋体" w:eastAsia="宋体" w:cs="宋体"/>
                <w:color w:val="auto"/>
                <w:szCs w:val="22"/>
              </w:rPr>
            </w:pPr>
          </w:p>
        </w:tc>
        <w:tc>
          <w:tcPr>
            <w:tcW w:w="643" w:type="dxa"/>
            <w:vMerge w:val="continue"/>
          </w:tcPr>
          <w:p>
            <w:pPr>
              <w:spacing w:line="400" w:lineRule="exact"/>
              <w:rPr>
                <w:rFonts w:hint="eastAsia" w:ascii="宋体" w:hAnsi="宋体" w:eastAsia="宋体" w:cs="宋体"/>
                <w:color w:val="auto"/>
                <w:szCs w:val="22"/>
              </w:rPr>
            </w:pPr>
          </w:p>
        </w:tc>
        <w:tc>
          <w:tcPr>
            <w:tcW w:w="2058" w:type="dxa"/>
            <w:gridSpan w:val="3"/>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委托代理人</w:t>
            </w:r>
          </w:p>
        </w:tc>
        <w:tc>
          <w:tcPr>
            <w:tcW w:w="5936" w:type="dxa"/>
            <w:gridSpan w:val="2"/>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竞选人法定代表人的委托代理人有法定代表人签署的授权委托书。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rPr>
                <w:rFonts w:hint="eastAsia" w:ascii="宋体" w:hAnsi="宋体" w:eastAsia="宋体" w:cs="宋体"/>
                <w:color w:val="auto"/>
                <w:szCs w:val="22"/>
              </w:rPr>
            </w:pPr>
          </w:p>
        </w:tc>
        <w:tc>
          <w:tcPr>
            <w:tcW w:w="643" w:type="dxa"/>
            <w:vMerge w:val="continue"/>
          </w:tcPr>
          <w:p>
            <w:pPr>
              <w:spacing w:line="400" w:lineRule="exact"/>
              <w:rPr>
                <w:rFonts w:hint="eastAsia" w:ascii="宋体" w:hAnsi="宋体" w:eastAsia="宋体" w:cs="宋体"/>
                <w:color w:val="auto"/>
                <w:szCs w:val="22"/>
              </w:rPr>
            </w:pPr>
          </w:p>
        </w:tc>
        <w:tc>
          <w:tcPr>
            <w:tcW w:w="2058" w:type="dxa"/>
            <w:gridSpan w:val="3"/>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报价唯一</w:t>
            </w:r>
          </w:p>
        </w:tc>
        <w:tc>
          <w:tcPr>
            <w:tcW w:w="5936" w:type="dxa"/>
            <w:gridSpan w:val="2"/>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只能有一个有效报价。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rPr>
                <w:rFonts w:hint="eastAsia" w:ascii="宋体" w:hAnsi="宋体" w:eastAsia="宋体" w:cs="宋体"/>
                <w:color w:val="auto"/>
                <w:szCs w:val="22"/>
              </w:rPr>
            </w:pPr>
          </w:p>
        </w:tc>
        <w:tc>
          <w:tcPr>
            <w:tcW w:w="643" w:type="dxa"/>
            <w:vMerge w:val="continue"/>
          </w:tcPr>
          <w:p>
            <w:pPr>
              <w:spacing w:line="400" w:lineRule="exact"/>
              <w:rPr>
                <w:rFonts w:hint="eastAsia" w:ascii="宋体" w:hAnsi="宋体" w:eastAsia="宋体" w:cs="宋体"/>
                <w:color w:val="auto"/>
                <w:szCs w:val="22"/>
              </w:rPr>
            </w:pPr>
          </w:p>
        </w:tc>
        <w:tc>
          <w:tcPr>
            <w:tcW w:w="2058" w:type="dxa"/>
            <w:gridSpan w:val="3"/>
            <w:tcBorders>
              <w:top w:val="single" w:color="auto" w:sz="4" w:space="0"/>
              <w:bottom w:val="single" w:color="auto" w:sz="4" w:space="0"/>
            </w:tcBorders>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已标价工程量清单</w:t>
            </w:r>
          </w:p>
        </w:tc>
        <w:tc>
          <w:tcPr>
            <w:tcW w:w="5936" w:type="dxa"/>
            <w:gridSpan w:val="2"/>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符合第五章“工程量清单”给出的范围及数量，且</w:t>
            </w:r>
            <w:r>
              <w:rPr>
                <w:rFonts w:hint="eastAsia" w:ascii="宋体" w:hAnsi="宋体" w:eastAsia="宋体" w:cs="宋体"/>
                <w:color w:val="auto"/>
                <w:kern w:val="0"/>
                <w:szCs w:val="22"/>
                <w:lang w:eastAsia="zh-CN"/>
              </w:rPr>
              <w:t>竞选报价</w:t>
            </w:r>
            <w:r>
              <w:rPr>
                <w:rFonts w:hint="eastAsia" w:ascii="宋体" w:hAnsi="宋体" w:eastAsia="宋体" w:cs="宋体"/>
                <w:color w:val="auto"/>
                <w:kern w:val="0"/>
                <w:szCs w:val="22"/>
              </w:rPr>
              <w:t>不得高于比选人公布的最高限价。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kern w:val="0"/>
                <w:szCs w:val="22"/>
              </w:rPr>
              <w:t>2.1.3</w:t>
            </w:r>
          </w:p>
        </w:tc>
        <w:tc>
          <w:tcPr>
            <w:tcW w:w="643" w:type="dxa"/>
            <w:vMerge w:val="restart"/>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kern w:val="0"/>
                <w:szCs w:val="22"/>
              </w:rPr>
              <w:t>响应性评审标准</w:t>
            </w:r>
          </w:p>
        </w:tc>
        <w:tc>
          <w:tcPr>
            <w:tcW w:w="2058" w:type="dxa"/>
            <w:gridSpan w:val="3"/>
            <w:vAlign w:val="center"/>
          </w:tcPr>
          <w:p>
            <w:pPr>
              <w:spacing w:line="400" w:lineRule="exact"/>
              <w:jc w:val="left"/>
              <w:rPr>
                <w:rFonts w:hint="eastAsia" w:ascii="宋体" w:hAnsi="宋体" w:eastAsia="宋体" w:cs="宋体"/>
                <w:color w:val="auto"/>
                <w:kern w:val="0"/>
                <w:sz w:val="21"/>
                <w:szCs w:val="22"/>
                <w:lang w:val="en-US" w:eastAsia="zh-CN" w:bidi="ar-SA"/>
              </w:rPr>
            </w:pPr>
            <w:r>
              <w:rPr>
                <w:rFonts w:hint="eastAsia" w:ascii="宋体" w:hAnsi="宋体" w:eastAsia="宋体" w:cs="宋体"/>
                <w:color w:val="auto"/>
                <w:kern w:val="0"/>
                <w:szCs w:val="22"/>
              </w:rPr>
              <w:t>比选范围</w:t>
            </w:r>
          </w:p>
        </w:tc>
        <w:tc>
          <w:tcPr>
            <w:tcW w:w="5936" w:type="dxa"/>
            <w:gridSpan w:val="2"/>
            <w:vAlign w:val="center"/>
          </w:tcPr>
          <w:p>
            <w:pPr>
              <w:spacing w:line="400" w:lineRule="exact"/>
              <w:ind w:firstLine="420" w:firstLineChars="200"/>
              <w:jc w:val="left"/>
              <w:rPr>
                <w:rFonts w:hint="eastAsia" w:ascii="宋体" w:hAnsi="宋体" w:eastAsia="宋体" w:cs="宋体"/>
                <w:color w:val="auto"/>
                <w:kern w:val="0"/>
                <w:sz w:val="21"/>
                <w:szCs w:val="22"/>
                <w:lang w:val="en-US" w:eastAsia="zh-CN" w:bidi="ar-SA"/>
              </w:rPr>
            </w:pPr>
            <w:r>
              <w:rPr>
                <w:rFonts w:hint="eastAsia" w:ascii="宋体" w:hAnsi="宋体" w:eastAsia="宋体" w:cs="宋体"/>
                <w:color w:val="auto"/>
                <w:kern w:val="0"/>
                <w:szCs w:val="21"/>
              </w:rPr>
              <w:t>符合第二章“竞选人须知前附表”第1.3.1项规定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jc w:val="center"/>
              <w:rPr>
                <w:rFonts w:hint="eastAsia" w:ascii="宋体" w:hAnsi="宋体" w:eastAsia="宋体" w:cs="宋体"/>
                <w:color w:val="auto"/>
                <w:szCs w:val="22"/>
              </w:rPr>
            </w:pPr>
          </w:p>
        </w:tc>
        <w:tc>
          <w:tcPr>
            <w:tcW w:w="643" w:type="dxa"/>
            <w:vMerge w:val="continue"/>
          </w:tcPr>
          <w:p>
            <w:pPr>
              <w:spacing w:line="400" w:lineRule="exact"/>
              <w:jc w:val="center"/>
              <w:rPr>
                <w:rFonts w:hint="eastAsia" w:ascii="宋体" w:hAnsi="宋体" w:eastAsia="宋体" w:cs="宋体"/>
                <w:color w:val="auto"/>
                <w:szCs w:val="22"/>
              </w:rPr>
            </w:pPr>
          </w:p>
        </w:tc>
        <w:tc>
          <w:tcPr>
            <w:tcW w:w="2058" w:type="dxa"/>
            <w:gridSpan w:val="3"/>
            <w:vAlign w:val="center"/>
          </w:tcPr>
          <w:p>
            <w:pPr>
              <w:spacing w:line="400" w:lineRule="exact"/>
              <w:jc w:val="left"/>
              <w:rPr>
                <w:rFonts w:hint="eastAsia" w:ascii="宋体" w:hAnsi="宋体" w:eastAsia="宋体" w:cs="宋体"/>
                <w:color w:val="auto"/>
                <w:kern w:val="0"/>
                <w:szCs w:val="22"/>
                <w:lang w:eastAsia="zh-CN"/>
              </w:rPr>
            </w:pPr>
            <w:r>
              <w:rPr>
                <w:rFonts w:hint="eastAsia" w:ascii="宋体" w:hAnsi="宋体" w:eastAsia="宋体" w:cs="宋体"/>
                <w:color w:val="auto"/>
                <w:kern w:val="0"/>
                <w:szCs w:val="22"/>
                <w:lang w:val="en-US" w:eastAsia="zh-CN"/>
              </w:rPr>
              <w:t>工期</w:t>
            </w:r>
          </w:p>
        </w:tc>
        <w:tc>
          <w:tcPr>
            <w:tcW w:w="5936" w:type="dxa"/>
            <w:gridSpan w:val="2"/>
            <w:vAlign w:val="center"/>
          </w:tcPr>
          <w:p>
            <w:pPr>
              <w:spacing w:line="400" w:lineRule="exact"/>
              <w:ind w:firstLine="420" w:firstLineChars="200"/>
              <w:jc w:val="left"/>
              <w:rPr>
                <w:rFonts w:hint="eastAsia" w:ascii="宋体" w:hAnsi="宋体" w:eastAsia="宋体" w:cs="宋体"/>
                <w:color w:val="auto"/>
                <w:kern w:val="0"/>
                <w:szCs w:val="22"/>
              </w:rPr>
            </w:pPr>
            <w:r>
              <w:rPr>
                <w:rFonts w:hint="eastAsia" w:ascii="宋体" w:hAnsi="宋体" w:eastAsia="宋体" w:cs="宋体"/>
                <w:color w:val="auto"/>
                <w:kern w:val="0"/>
                <w:szCs w:val="21"/>
              </w:rPr>
              <w:t>符合第二章“竞选人须知前附表”第1.3.2项规定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jc w:val="center"/>
              <w:rPr>
                <w:rFonts w:hint="eastAsia" w:ascii="宋体" w:hAnsi="宋体" w:eastAsia="宋体" w:cs="宋体"/>
                <w:color w:val="auto"/>
                <w:szCs w:val="22"/>
              </w:rPr>
            </w:pPr>
          </w:p>
        </w:tc>
        <w:tc>
          <w:tcPr>
            <w:tcW w:w="643" w:type="dxa"/>
            <w:vMerge w:val="continue"/>
          </w:tcPr>
          <w:p>
            <w:pPr>
              <w:spacing w:line="400" w:lineRule="exact"/>
              <w:jc w:val="center"/>
              <w:rPr>
                <w:rFonts w:hint="eastAsia" w:ascii="宋体" w:hAnsi="宋体" w:eastAsia="宋体" w:cs="宋体"/>
                <w:color w:val="auto"/>
                <w:szCs w:val="22"/>
              </w:rPr>
            </w:pPr>
          </w:p>
        </w:tc>
        <w:tc>
          <w:tcPr>
            <w:tcW w:w="2058" w:type="dxa"/>
            <w:gridSpan w:val="3"/>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质量要求</w:t>
            </w:r>
          </w:p>
        </w:tc>
        <w:tc>
          <w:tcPr>
            <w:tcW w:w="5936" w:type="dxa"/>
            <w:gridSpan w:val="2"/>
            <w:vAlign w:val="center"/>
          </w:tcPr>
          <w:p>
            <w:pPr>
              <w:spacing w:line="400" w:lineRule="exact"/>
              <w:ind w:firstLine="420" w:firstLineChars="200"/>
              <w:jc w:val="left"/>
              <w:rPr>
                <w:rFonts w:hint="eastAsia" w:ascii="宋体" w:hAnsi="宋体" w:eastAsia="宋体" w:cs="宋体"/>
                <w:color w:val="auto"/>
                <w:kern w:val="0"/>
                <w:szCs w:val="22"/>
              </w:rPr>
            </w:pPr>
            <w:r>
              <w:rPr>
                <w:rFonts w:hint="eastAsia" w:ascii="宋体" w:hAnsi="宋体" w:eastAsia="宋体" w:cs="宋体"/>
                <w:color w:val="auto"/>
                <w:kern w:val="0"/>
                <w:szCs w:val="22"/>
              </w:rPr>
              <w:t>符合第二章“</w:t>
            </w:r>
            <w:r>
              <w:rPr>
                <w:rFonts w:hint="eastAsia" w:ascii="宋体" w:hAnsi="宋体" w:eastAsia="宋体" w:cs="宋体"/>
                <w:color w:val="auto"/>
                <w:kern w:val="0"/>
                <w:szCs w:val="21"/>
              </w:rPr>
              <w:t>竞选人须知前附表</w:t>
            </w:r>
            <w:r>
              <w:rPr>
                <w:rFonts w:hint="eastAsia" w:ascii="宋体" w:hAnsi="宋体" w:eastAsia="宋体" w:cs="宋体"/>
                <w:color w:val="auto"/>
                <w:kern w:val="0"/>
                <w:szCs w:val="22"/>
              </w:rPr>
              <w:t>”第1.3.3项规定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jc w:val="center"/>
              <w:rPr>
                <w:rFonts w:hint="eastAsia" w:ascii="宋体" w:hAnsi="宋体" w:eastAsia="宋体" w:cs="宋体"/>
                <w:color w:val="auto"/>
                <w:szCs w:val="22"/>
              </w:rPr>
            </w:pPr>
          </w:p>
        </w:tc>
        <w:tc>
          <w:tcPr>
            <w:tcW w:w="643" w:type="dxa"/>
            <w:vMerge w:val="continue"/>
          </w:tcPr>
          <w:p>
            <w:pPr>
              <w:spacing w:line="400" w:lineRule="exact"/>
              <w:jc w:val="center"/>
              <w:rPr>
                <w:rFonts w:hint="eastAsia" w:ascii="宋体" w:hAnsi="宋体" w:eastAsia="宋体" w:cs="宋体"/>
                <w:color w:val="auto"/>
                <w:szCs w:val="22"/>
              </w:rPr>
            </w:pPr>
          </w:p>
        </w:tc>
        <w:tc>
          <w:tcPr>
            <w:tcW w:w="2058" w:type="dxa"/>
            <w:gridSpan w:val="3"/>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竞选有效期</w:t>
            </w:r>
          </w:p>
        </w:tc>
        <w:tc>
          <w:tcPr>
            <w:tcW w:w="5936" w:type="dxa"/>
            <w:gridSpan w:val="2"/>
            <w:vAlign w:val="center"/>
          </w:tcPr>
          <w:p>
            <w:pPr>
              <w:spacing w:line="400" w:lineRule="exact"/>
              <w:ind w:firstLine="420" w:firstLineChars="200"/>
              <w:jc w:val="left"/>
              <w:rPr>
                <w:rFonts w:hint="eastAsia" w:ascii="宋体" w:hAnsi="宋体" w:eastAsia="宋体" w:cs="宋体"/>
                <w:color w:val="auto"/>
                <w:kern w:val="0"/>
                <w:szCs w:val="22"/>
              </w:rPr>
            </w:pPr>
            <w:r>
              <w:rPr>
                <w:rFonts w:hint="eastAsia" w:ascii="宋体" w:hAnsi="宋体" w:eastAsia="宋体" w:cs="宋体"/>
                <w:color w:val="auto"/>
                <w:kern w:val="0"/>
                <w:szCs w:val="22"/>
              </w:rPr>
              <w:t>符合第二章“</w:t>
            </w:r>
            <w:r>
              <w:rPr>
                <w:rFonts w:hint="eastAsia" w:ascii="宋体" w:hAnsi="宋体" w:eastAsia="宋体" w:cs="宋体"/>
                <w:color w:val="auto"/>
                <w:kern w:val="0"/>
                <w:szCs w:val="21"/>
              </w:rPr>
              <w:t>竞选人须知前附表</w:t>
            </w:r>
            <w:r>
              <w:rPr>
                <w:rFonts w:hint="eastAsia" w:ascii="宋体" w:hAnsi="宋体" w:eastAsia="宋体" w:cs="宋体"/>
                <w:color w:val="auto"/>
                <w:kern w:val="0"/>
                <w:szCs w:val="22"/>
              </w:rPr>
              <w:t>”第3.3.1项规定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jc w:val="center"/>
              <w:rPr>
                <w:rFonts w:hint="eastAsia" w:ascii="宋体" w:hAnsi="宋体" w:eastAsia="宋体" w:cs="宋体"/>
                <w:color w:val="auto"/>
                <w:szCs w:val="22"/>
              </w:rPr>
            </w:pPr>
          </w:p>
        </w:tc>
        <w:tc>
          <w:tcPr>
            <w:tcW w:w="643" w:type="dxa"/>
            <w:vMerge w:val="continue"/>
          </w:tcPr>
          <w:p>
            <w:pPr>
              <w:spacing w:line="400" w:lineRule="exact"/>
              <w:jc w:val="center"/>
              <w:rPr>
                <w:rFonts w:hint="eastAsia" w:ascii="宋体" w:hAnsi="宋体" w:eastAsia="宋体" w:cs="宋体"/>
                <w:color w:val="auto"/>
                <w:szCs w:val="22"/>
              </w:rPr>
            </w:pPr>
          </w:p>
        </w:tc>
        <w:tc>
          <w:tcPr>
            <w:tcW w:w="2058" w:type="dxa"/>
            <w:gridSpan w:val="3"/>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权利义务</w:t>
            </w:r>
          </w:p>
        </w:tc>
        <w:tc>
          <w:tcPr>
            <w:tcW w:w="5936" w:type="dxa"/>
            <w:gridSpan w:val="2"/>
            <w:vAlign w:val="center"/>
          </w:tcPr>
          <w:p>
            <w:pPr>
              <w:spacing w:after="62" w:afterLines="20"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符合第四章“合同条款及格式”规定，竞选文件不应附有比选人不能接受的条件。（由竞选人承诺，承诺书格式详见第</w:t>
            </w:r>
            <w:r>
              <w:rPr>
                <w:rFonts w:hint="eastAsia" w:ascii="宋体" w:hAnsi="宋体" w:eastAsia="宋体" w:cs="宋体"/>
                <w:color w:val="auto"/>
                <w:kern w:val="0"/>
                <w:szCs w:val="22"/>
                <w:lang w:val="en-US" w:eastAsia="zh-CN"/>
              </w:rPr>
              <w:t>八</w:t>
            </w:r>
            <w:r>
              <w:rPr>
                <w:rFonts w:hint="eastAsia" w:ascii="宋体" w:hAnsi="宋体" w:eastAsia="宋体" w:cs="宋体"/>
                <w:color w:val="auto"/>
                <w:kern w:val="0"/>
                <w:szCs w:val="22"/>
              </w:rPr>
              <w:t>章竞选文件格式。）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pPr>
              <w:spacing w:line="400" w:lineRule="exact"/>
              <w:rPr>
                <w:rFonts w:hint="eastAsia" w:ascii="宋体" w:hAnsi="宋体" w:eastAsia="宋体" w:cs="宋体"/>
                <w:color w:val="auto"/>
                <w:szCs w:val="22"/>
              </w:rPr>
            </w:pPr>
          </w:p>
        </w:tc>
        <w:tc>
          <w:tcPr>
            <w:tcW w:w="643" w:type="dxa"/>
            <w:vMerge w:val="continue"/>
          </w:tcPr>
          <w:p>
            <w:pPr>
              <w:spacing w:line="400" w:lineRule="exact"/>
              <w:rPr>
                <w:rFonts w:hint="eastAsia" w:ascii="宋体" w:hAnsi="宋体" w:eastAsia="宋体" w:cs="宋体"/>
                <w:color w:val="auto"/>
                <w:szCs w:val="22"/>
              </w:rPr>
            </w:pPr>
          </w:p>
        </w:tc>
        <w:tc>
          <w:tcPr>
            <w:tcW w:w="2058" w:type="dxa"/>
            <w:gridSpan w:val="3"/>
            <w:vAlign w:val="center"/>
          </w:tcPr>
          <w:p>
            <w:pPr>
              <w:spacing w:line="400" w:lineRule="exact"/>
              <w:jc w:val="left"/>
              <w:rPr>
                <w:rFonts w:hint="eastAsia" w:ascii="宋体" w:hAnsi="宋体" w:eastAsia="宋体" w:cs="宋体"/>
                <w:color w:val="auto"/>
                <w:kern w:val="0"/>
                <w:szCs w:val="22"/>
              </w:rPr>
            </w:pPr>
            <w:r>
              <w:rPr>
                <w:rFonts w:hint="eastAsia" w:ascii="宋体" w:hAnsi="宋体" w:eastAsia="宋体" w:cs="宋体"/>
                <w:color w:val="auto"/>
                <w:kern w:val="0"/>
                <w:szCs w:val="22"/>
              </w:rPr>
              <w:t>实质性要求</w:t>
            </w:r>
          </w:p>
        </w:tc>
        <w:tc>
          <w:tcPr>
            <w:tcW w:w="5936" w:type="dxa"/>
            <w:gridSpan w:val="2"/>
            <w:vAlign w:val="center"/>
          </w:tcPr>
          <w:p>
            <w:pPr>
              <w:spacing w:after="62" w:afterLines="20"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符合第二章“竞选人须知”第1.4.3项规定。</w:t>
            </w:r>
          </w:p>
          <w:p>
            <w:pPr>
              <w:spacing w:after="62" w:afterLines="20"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本次竞选不得有串通投标、弄虚作假等其他违反招投标相关法律、法规行为。</w:t>
            </w:r>
          </w:p>
          <w:p>
            <w:pPr>
              <w:spacing w:after="62" w:afterLines="20"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rPr>
              <w:t>按评审小组要求澄清、说明或补正。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76" w:type="dxa"/>
            <w:gridSpan w:val="2"/>
            <w:vAlign w:val="center"/>
          </w:tcPr>
          <w:p>
            <w:pPr>
              <w:spacing w:line="400" w:lineRule="exact"/>
              <w:ind w:firstLine="210" w:firstLineChars="100"/>
              <w:jc w:val="center"/>
              <w:rPr>
                <w:rFonts w:hint="eastAsia" w:ascii="宋体" w:hAnsi="宋体" w:eastAsia="宋体" w:cs="宋体"/>
                <w:color w:val="auto"/>
                <w:kern w:val="0"/>
                <w:szCs w:val="22"/>
              </w:rPr>
            </w:pPr>
            <w:r>
              <w:rPr>
                <w:rFonts w:hint="eastAsia" w:ascii="宋体" w:hAnsi="宋体" w:eastAsia="宋体" w:cs="宋体"/>
                <w:color w:val="auto"/>
                <w:kern w:val="0"/>
                <w:szCs w:val="22"/>
              </w:rPr>
              <w:t>2.2.1</w:t>
            </w:r>
          </w:p>
        </w:tc>
        <w:tc>
          <w:tcPr>
            <w:tcW w:w="2058" w:type="dxa"/>
            <w:gridSpan w:val="3"/>
            <w:vAlign w:val="center"/>
          </w:tcPr>
          <w:p>
            <w:pPr>
              <w:tabs>
                <w:tab w:val="left" w:pos="1875"/>
              </w:tabs>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分值构成</w:t>
            </w:r>
          </w:p>
          <w:p>
            <w:pPr>
              <w:tabs>
                <w:tab w:val="left" w:pos="1875"/>
              </w:tabs>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（总分100分）</w:t>
            </w:r>
          </w:p>
        </w:tc>
        <w:tc>
          <w:tcPr>
            <w:tcW w:w="5936" w:type="dxa"/>
            <w:gridSpan w:val="2"/>
            <w:vAlign w:val="center"/>
          </w:tcPr>
          <w:p>
            <w:pPr>
              <w:snapToGrid w:val="0"/>
              <w:spacing w:line="400" w:lineRule="exact"/>
              <w:ind w:firstLine="42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rPr>
              <w:t>1.技术部</w:t>
            </w:r>
            <w:r>
              <w:rPr>
                <w:rFonts w:hint="eastAsia" w:ascii="宋体" w:hAnsi="宋体" w:eastAsia="宋体" w:cs="宋体"/>
                <w:color w:val="auto"/>
                <w:kern w:val="0"/>
                <w:szCs w:val="22"/>
                <w:highlight w:val="none"/>
              </w:rPr>
              <w:t>分</w:t>
            </w:r>
            <w:r>
              <w:rPr>
                <w:rFonts w:hint="eastAsia" w:ascii="宋体" w:hAnsi="宋体" w:eastAsia="宋体" w:cs="宋体"/>
                <w:color w:val="auto"/>
                <w:kern w:val="0"/>
                <w:szCs w:val="22"/>
                <w:highlight w:val="none"/>
                <w:lang w:val="en-US" w:eastAsia="zh-CN"/>
              </w:rPr>
              <w:t>50</w:t>
            </w:r>
            <w:r>
              <w:rPr>
                <w:rFonts w:hint="eastAsia" w:ascii="宋体" w:hAnsi="宋体" w:eastAsia="宋体" w:cs="宋体"/>
                <w:color w:val="auto"/>
                <w:kern w:val="0"/>
                <w:szCs w:val="22"/>
                <w:highlight w:val="none"/>
              </w:rPr>
              <w:t>分；</w:t>
            </w:r>
          </w:p>
          <w:p>
            <w:pPr>
              <w:snapToGrid w:val="0"/>
              <w:spacing w:line="400" w:lineRule="exact"/>
              <w:ind w:firstLine="42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2.商务部分</w:t>
            </w:r>
            <w:r>
              <w:rPr>
                <w:rFonts w:hint="eastAsia" w:ascii="宋体" w:hAnsi="宋体" w:eastAsia="宋体" w:cs="宋体"/>
                <w:color w:val="auto"/>
                <w:kern w:val="0"/>
                <w:szCs w:val="22"/>
                <w:highlight w:val="none"/>
                <w:lang w:val="en-US" w:eastAsia="zh-CN"/>
              </w:rPr>
              <w:t>20</w:t>
            </w:r>
            <w:r>
              <w:rPr>
                <w:rFonts w:hint="eastAsia" w:ascii="宋体" w:hAnsi="宋体" w:eastAsia="宋体" w:cs="宋体"/>
                <w:color w:val="auto"/>
                <w:kern w:val="0"/>
                <w:szCs w:val="22"/>
                <w:highlight w:val="none"/>
              </w:rPr>
              <w:t>分。</w:t>
            </w:r>
          </w:p>
          <w:p>
            <w:pPr>
              <w:snapToGrid w:val="0"/>
              <w:spacing w:line="400" w:lineRule="exact"/>
              <w:ind w:firstLine="420" w:firstLineChars="200"/>
              <w:rPr>
                <w:rFonts w:hint="eastAsia" w:ascii="宋体" w:hAnsi="宋体" w:eastAsia="宋体" w:cs="宋体"/>
                <w:i/>
                <w:color w:val="auto"/>
                <w:kern w:val="0"/>
                <w:szCs w:val="22"/>
                <w:lang w:val="en-US" w:eastAsia="zh-CN"/>
              </w:rPr>
            </w:pPr>
            <w:r>
              <w:rPr>
                <w:rFonts w:hint="eastAsia" w:ascii="宋体" w:hAnsi="宋体" w:eastAsia="宋体" w:cs="宋体"/>
                <w:color w:val="auto"/>
                <w:kern w:val="0"/>
                <w:szCs w:val="22"/>
                <w:highlight w:val="none"/>
                <w:lang w:val="en-US" w:eastAsia="zh-CN"/>
              </w:rPr>
              <w:t>3.价格部分30</w:t>
            </w:r>
            <w:r>
              <w:rPr>
                <w:rFonts w:hint="eastAsia" w:ascii="宋体" w:hAnsi="宋体" w:eastAsia="宋体" w:cs="宋体"/>
                <w:color w:val="auto"/>
                <w:kern w:val="0"/>
                <w:szCs w:val="22"/>
                <w:highlight w:val="none"/>
              </w:rPr>
              <w:t>分</w:t>
            </w:r>
            <w:r>
              <w:rPr>
                <w:rFonts w:hint="eastAsia" w:ascii="宋体" w:hAnsi="宋体" w:eastAsia="宋体" w:cs="宋体"/>
                <w:color w:val="auto"/>
                <w:kern w:val="0"/>
                <w:szCs w:val="22"/>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76" w:type="dxa"/>
            <w:gridSpan w:val="2"/>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2.2.</w:t>
            </w:r>
            <w:r>
              <w:rPr>
                <w:rFonts w:hint="eastAsia" w:ascii="宋体" w:hAnsi="宋体" w:eastAsia="宋体" w:cs="宋体"/>
                <w:color w:val="auto"/>
                <w:kern w:val="0"/>
                <w:szCs w:val="22"/>
                <w:lang w:val="en-US" w:eastAsia="zh-CN"/>
              </w:rPr>
              <w:t>2</w:t>
            </w:r>
          </w:p>
        </w:tc>
        <w:tc>
          <w:tcPr>
            <w:tcW w:w="2058" w:type="dxa"/>
            <w:gridSpan w:val="3"/>
            <w:vAlign w:val="center"/>
          </w:tcPr>
          <w:p>
            <w:pPr>
              <w:tabs>
                <w:tab w:val="left" w:pos="1875"/>
              </w:tabs>
              <w:spacing w:line="400" w:lineRule="exact"/>
              <w:jc w:val="center"/>
              <w:rPr>
                <w:rFonts w:hint="eastAsia" w:ascii="宋体" w:hAnsi="宋体" w:eastAsia="宋体" w:cs="宋体"/>
                <w:color w:val="auto"/>
                <w:kern w:val="0"/>
                <w:szCs w:val="22"/>
                <w:highlight w:val="yellow"/>
              </w:rPr>
            </w:pPr>
            <w:r>
              <w:rPr>
                <w:rFonts w:hint="eastAsia" w:ascii="宋体" w:hAnsi="宋体" w:eastAsia="宋体" w:cs="宋体"/>
                <w:color w:val="auto"/>
                <w:kern w:val="0"/>
                <w:szCs w:val="22"/>
                <w:highlight w:val="none"/>
              </w:rPr>
              <w:t>评标基准价计算方法</w:t>
            </w:r>
          </w:p>
        </w:tc>
        <w:tc>
          <w:tcPr>
            <w:tcW w:w="5936" w:type="dxa"/>
            <w:gridSpan w:val="2"/>
            <w:tcBorders>
              <w:bottom w:val="single" w:color="auto" w:sz="4" w:space="0"/>
            </w:tcBorders>
            <w:vAlign w:val="center"/>
          </w:tcPr>
          <w:p>
            <w:pPr>
              <w:tabs>
                <w:tab w:val="left" w:pos="1875"/>
              </w:tabs>
              <w:spacing w:line="400" w:lineRule="exact"/>
              <w:ind w:firstLine="420" w:firstLineChars="200"/>
              <w:rPr>
                <w:rFonts w:hint="eastAsia" w:ascii="宋体" w:hAnsi="宋体" w:eastAsia="宋体" w:cs="宋体"/>
                <w:color w:val="auto"/>
                <w:kern w:val="0"/>
                <w:szCs w:val="22"/>
                <w:highlight w:val="yellow"/>
                <w:lang w:eastAsia="zh-CN"/>
              </w:rPr>
            </w:pPr>
            <w:r>
              <w:rPr>
                <w:rFonts w:hint="eastAsia" w:ascii="宋体" w:hAnsi="宋体" w:eastAsia="宋体" w:cs="宋体"/>
                <w:color w:val="auto"/>
                <w:kern w:val="0"/>
                <w:szCs w:val="22"/>
                <w:highlight w:val="none"/>
                <w:lang w:val="en-US" w:eastAsia="zh-CN"/>
              </w:rPr>
              <w:t>有效</w:t>
            </w:r>
            <w:r>
              <w:rPr>
                <w:rFonts w:hint="eastAsia" w:ascii="宋体" w:hAnsi="宋体" w:eastAsia="宋体" w:cs="宋体"/>
                <w:color w:val="auto"/>
                <w:kern w:val="0"/>
                <w:szCs w:val="22"/>
                <w:highlight w:val="none"/>
              </w:rPr>
              <w:t>的</w:t>
            </w:r>
            <w:r>
              <w:rPr>
                <w:rFonts w:hint="eastAsia" w:ascii="宋体" w:hAnsi="宋体" w:eastAsia="宋体" w:cs="宋体"/>
                <w:color w:val="auto"/>
                <w:kern w:val="0"/>
                <w:szCs w:val="22"/>
                <w:highlight w:val="none"/>
                <w:lang w:eastAsia="zh-CN"/>
              </w:rPr>
              <w:t>竞选总报价（</w:t>
            </w:r>
            <w:r>
              <w:rPr>
                <w:rFonts w:hint="eastAsia" w:ascii="宋体" w:hAnsi="宋体" w:eastAsia="宋体" w:cs="宋体"/>
                <w:color w:val="auto"/>
                <w:kern w:val="0"/>
                <w:szCs w:val="22"/>
                <w:highlight w:val="none"/>
                <w:lang w:val="en-US" w:eastAsia="zh-CN"/>
              </w:rPr>
              <w:t>通过</w:t>
            </w:r>
            <w:r>
              <w:rPr>
                <w:rFonts w:hint="eastAsia" w:ascii="宋体" w:hAnsi="宋体" w:eastAsia="宋体" w:cs="宋体"/>
                <w:color w:val="auto"/>
                <w:kern w:val="0"/>
                <w:szCs w:val="22"/>
                <w:highlight w:val="none"/>
              </w:rPr>
              <w:t>资格评审、形式评审、响应性评审</w:t>
            </w:r>
            <w:r>
              <w:rPr>
                <w:rFonts w:hint="eastAsia" w:ascii="宋体" w:hAnsi="宋体" w:eastAsia="宋体" w:cs="宋体"/>
                <w:color w:val="auto"/>
                <w:kern w:val="0"/>
                <w:szCs w:val="22"/>
                <w:highlight w:val="none"/>
                <w:lang w:eastAsia="zh-CN"/>
              </w:rPr>
              <w:t>）</w:t>
            </w:r>
            <w:r>
              <w:rPr>
                <w:rFonts w:hint="eastAsia" w:ascii="宋体" w:hAnsi="宋体" w:eastAsia="宋体" w:cs="宋体"/>
                <w:color w:val="auto"/>
                <w:kern w:val="0"/>
                <w:szCs w:val="22"/>
                <w:highlight w:val="none"/>
                <w:lang w:val="en-US" w:eastAsia="zh-CN"/>
              </w:rPr>
              <w:t>中报价最低的为评标基准价</w:t>
            </w:r>
            <w:r>
              <w:rPr>
                <w:rFonts w:hint="eastAsia" w:ascii="宋体" w:hAnsi="宋体" w:eastAsia="宋体" w:cs="宋体"/>
                <w:color w:val="auto"/>
                <w:kern w:val="0"/>
                <w:szCs w:val="22"/>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33" w:type="dxa"/>
            <w:vMerge w:val="restart"/>
            <w:tcBorders>
              <w:right w:val="single" w:color="auto" w:sz="4" w:space="0"/>
            </w:tcBorders>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2.2.</w:t>
            </w:r>
            <w:r>
              <w:rPr>
                <w:rFonts w:hint="eastAsia" w:ascii="宋体" w:hAnsi="宋体" w:eastAsia="宋体" w:cs="宋体"/>
                <w:color w:val="auto"/>
                <w:kern w:val="0"/>
                <w:szCs w:val="22"/>
                <w:lang w:val="en-US" w:eastAsia="zh-CN"/>
              </w:rPr>
              <w:t>3</w:t>
            </w:r>
            <w:r>
              <w:rPr>
                <w:rFonts w:hint="eastAsia" w:ascii="宋体" w:hAnsi="宋体" w:eastAsia="宋体" w:cs="宋体"/>
                <w:color w:val="auto"/>
                <w:kern w:val="0"/>
                <w:szCs w:val="22"/>
              </w:rPr>
              <w:t>（1）</w:t>
            </w:r>
          </w:p>
        </w:tc>
        <w:tc>
          <w:tcPr>
            <w:tcW w:w="643" w:type="dxa"/>
            <w:vMerge w:val="restart"/>
            <w:tcBorders>
              <w:left w:val="single" w:color="auto" w:sz="4" w:space="0"/>
            </w:tcBorders>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技术部分评分标准</w:t>
            </w:r>
            <w:r>
              <w:rPr>
                <w:rFonts w:hint="eastAsia" w:ascii="宋体" w:hAnsi="宋体" w:eastAsia="宋体" w:cs="宋体"/>
                <w:color w:val="auto"/>
                <w:kern w:val="0"/>
                <w:szCs w:val="22"/>
                <w:highlight w:val="none"/>
              </w:rPr>
              <w:t>（</w:t>
            </w:r>
            <w:r>
              <w:rPr>
                <w:rFonts w:hint="eastAsia" w:ascii="宋体" w:hAnsi="宋体" w:eastAsia="宋体" w:cs="宋体"/>
                <w:color w:val="auto"/>
                <w:kern w:val="0"/>
                <w:szCs w:val="22"/>
                <w:highlight w:val="none"/>
                <w:lang w:val="en-US" w:eastAsia="zh-CN"/>
              </w:rPr>
              <w:t>50</w:t>
            </w:r>
            <w:r>
              <w:rPr>
                <w:rFonts w:hint="eastAsia" w:ascii="宋体" w:hAnsi="宋体" w:eastAsia="宋体" w:cs="宋体"/>
                <w:color w:val="auto"/>
                <w:kern w:val="0"/>
                <w:szCs w:val="22"/>
                <w:highlight w:val="none"/>
              </w:rPr>
              <w:t>分）</w:t>
            </w:r>
          </w:p>
        </w:tc>
        <w:tc>
          <w:tcPr>
            <w:tcW w:w="510" w:type="dxa"/>
            <w:vMerge w:val="restart"/>
            <w:tcBorders>
              <w:right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技术评</w:t>
            </w:r>
          </w:p>
          <w:p>
            <w:pPr>
              <w:tabs>
                <w:tab w:val="left" w:pos="1875"/>
              </w:tabs>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审</w:t>
            </w:r>
          </w:p>
        </w:tc>
        <w:tc>
          <w:tcPr>
            <w:tcW w:w="1548" w:type="dxa"/>
            <w:gridSpan w:val="2"/>
            <w:tcBorders>
              <w:left w:val="single" w:color="auto" w:sz="4" w:space="0"/>
              <w:bottom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highlight w:val="none"/>
                <w:lang w:val="en-US" w:eastAsia="zh-CN"/>
              </w:rPr>
            </w:pPr>
            <w:r>
              <w:rPr>
                <w:rFonts w:hint="eastAsia" w:ascii="宋体" w:hAnsi="宋体" w:eastAsia="宋体" w:cs="宋体"/>
                <w:color w:val="auto"/>
                <w:kern w:val="0"/>
                <w:szCs w:val="22"/>
                <w:highlight w:val="none"/>
                <w:lang w:val="en-US" w:eastAsia="zh-CN"/>
              </w:rPr>
              <w:t>施工方案与技术措施</w:t>
            </w:r>
          </w:p>
          <w:p>
            <w:pPr>
              <w:tabs>
                <w:tab w:val="left" w:pos="1875"/>
              </w:tabs>
              <w:spacing w:line="400" w:lineRule="exact"/>
              <w:jc w:val="center"/>
              <w:rPr>
                <w:rFonts w:hint="eastAsia" w:ascii="宋体" w:hAnsi="宋体" w:eastAsia="宋体" w:cs="宋体"/>
                <w:color w:val="auto"/>
                <w:kern w:val="0"/>
                <w:szCs w:val="22"/>
                <w:highlight w:val="yellow"/>
                <w:lang w:val="en-US" w:eastAsia="zh-CN"/>
              </w:rPr>
            </w:pPr>
            <w:r>
              <w:rPr>
                <w:rFonts w:hint="eastAsia" w:ascii="宋体" w:hAnsi="宋体" w:eastAsia="宋体" w:cs="宋体"/>
                <w:color w:val="auto"/>
                <w:kern w:val="0"/>
                <w:szCs w:val="22"/>
                <w:highlight w:val="none"/>
                <w:lang w:val="en-US" w:eastAsia="zh-CN"/>
              </w:rPr>
              <w:t>（10分）</w:t>
            </w:r>
          </w:p>
        </w:tc>
        <w:tc>
          <w:tcPr>
            <w:tcW w:w="5936" w:type="dxa"/>
            <w:gridSpan w:val="2"/>
            <w:tcBorders>
              <w:bottom w:val="single" w:color="auto" w:sz="4" w:space="0"/>
            </w:tcBorders>
            <w:vAlign w:val="center"/>
          </w:tcPr>
          <w:p>
            <w:pPr>
              <w:tabs>
                <w:tab w:val="left" w:pos="1875"/>
              </w:tabs>
              <w:spacing w:line="400" w:lineRule="exact"/>
              <w:ind w:firstLine="42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竞选人根据本项目的实际情况，提供施工方案与技术措施，包含不限于施工方法、施工顺序、施工器具、施工技术、对施工现场周围环境污染的保护措施等内容；根据内容进行评分，方案内容完整、详尽、无缺项、符合项目实际情况得</w:t>
            </w:r>
            <w:r>
              <w:rPr>
                <w:rFonts w:hint="eastAsia" w:ascii="宋体" w:hAnsi="宋体" w:eastAsia="宋体" w:cs="宋体"/>
                <w:color w:val="auto"/>
                <w:kern w:val="0"/>
                <w:szCs w:val="22"/>
                <w:highlight w:val="none"/>
                <w:lang w:val="en-US" w:eastAsia="zh-CN"/>
              </w:rPr>
              <w:t>10</w:t>
            </w:r>
            <w:r>
              <w:rPr>
                <w:rFonts w:hint="eastAsia" w:ascii="宋体" w:hAnsi="宋体" w:eastAsia="宋体" w:cs="宋体"/>
                <w:color w:val="auto"/>
                <w:kern w:val="0"/>
                <w:szCs w:val="22"/>
                <w:highlight w:val="none"/>
              </w:rPr>
              <w:t>分，方案内容较完整、较详尽、无缺项、较符合项目实际情况得</w:t>
            </w:r>
            <w:r>
              <w:rPr>
                <w:rFonts w:hint="eastAsia" w:ascii="宋体" w:hAnsi="宋体" w:eastAsia="宋体" w:cs="宋体"/>
                <w:color w:val="auto"/>
                <w:kern w:val="0"/>
                <w:szCs w:val="22"/>
                <w:highlight w:val="none"/>
                <w:lang w:val="en-US" w:eastAsia="zh-CN"/>
              </w:rPr>
              <w:t>7</w:t>
            </w:r>
            <w:r>
              <w:rPr>
                <w:rFonts w:hint="eastAsia" w:ascii="宋体" w:hAnsi="宋体" w:eastAsia="宋体" w:cs="宋体"/>
                <w:color w:val="auto"/>
                <w:kern w:val="0"/>
                <w:szCs w:val="22"/>
                <w:highlight w:val="none"/>
              </w:rPr>
              <w:t>分，方案内容基本完整、基本符合项目实际情况得</w:t>
            </w:r>
            <w:r>
              <w:rPr>
                <w:rFonts w:hint="eastAsia" w:ascii="宋体" w:hAnsi="宋体" w:eastAsia="宋体" w:cs="宋体"/>
                <w:color w:val="auto"/>
                <w:kern w:val="0"/>
                <w:szCs w:val="22"/>
                <w:highlight w:val="none"/>
                <w:lang w:val="en-US" w:eastAsia="zh-CN"/>
              </w:rPr>
              <w:t>4</w:t>
            </w:r>
            <w:r>
              <w:rPr>
                <w:rFonts w:hint="eastAsia" w:ascii="宋体" w:hAnsi="宋体" w:eastAsia="宋体" w:cs="宋体"/>
                <w:color w:val="auto"/>
                <w:kern w:val="0"/>
                <w:szCs w:val="22"/>
                <w:highlight w:val="none"/>
              </w:rPr>
              <w:t>分，方案内容存在缺项、不太符合项目实际情况得1分，没有提供不得分。</w:t>
            </w:r>
          </w:p>
          <w:p>
            <w:pPr>
              <w:tabs>
                <w:tab w:val="left" w:pos="1875"/>
              </w:tabs>
              <w:spacing w:line="400" w:lineRule="exact"/>
              <w:ind w:firstLine="420" w:firstLineChars="200"/>
              <w:rPr>
                <w:rFonts w:hint="eastAsia" w:ascii="宋体" w:hAnsi="宋体" w:eastAsia="宋体" w:cs="宋体"/>
                <w:color w:val="auto"/>
                <w:kern w:val="0"/>
                <w:szCs w:val="22"/>
                <w:highlight w:val="yellow"/>
              </w:rPr>
            </w:pPr>
            <w:r>
              <w:rPr>
                <w:rFonts w:hint="eastAsia" w:ascii="宋体" w:hAnsi="宋体" w:eastAsia="宋体" w:cs="宋体"/>
                <w:color w:val="auto"/>
                <w:kern w:val="0"/>
                <w:szCs w:val="22"/>
                <w:highlight w:val="none"/>
              </w:rPr>
              <w:t>注：提供施工方案与技术措施方案，格式自拟。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Cs w:val="22"/>
              </w:rPr>
            </w:pPr>
          </w:p>
        </w:tc>
        <w:tc>
          <w:tcPr>
            <w:tcW w:w="643"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Cs w:val="22"/>
              </w:rPr>
            </w:pPr>
          </w:p>
        </w:tc>
        <w:tc>
          <w:tcPr>
            <w:tcW w:w="510" w:type="dxa"/>
            <w:vMerge w:val="continue"/>
            <w:tcBorders>
              <w:right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rPr>
            </w:pPr>
          </w:p>
        </w:tc>
        <w:tc>
          <w:tcPr>
            <w:tcW w:w="1548" w:type="dxa"/>
            <w:gridSpan w:val="2"/>
            <w:tcBorders>
              <w:top w:val="single" w:color="auto" w:sz="4" w:space="0"/>
              <w:left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资源配备计划和施工设备配置情况</w:t>
            </w:r>
          </w:p>
          <w:p>
            <w:pPr>
              <w:tabs>
                <w:tab w:val="left" w:pos="1875"/>
              </w:tabs>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highlight w:val="none"/>
              </w:rPr>
              <w:t>（</w:t>
            </w:r>
            <w:r>
              <w:rPr>
                <w:rFonts w:hint="eastAsia" w:ascii="宋体" w:hAnsi="宋体" w:eastAsia="宋体" w:cs="宋体"/>
                <w:color w:val="auto"/>
                <w:kern w:val="0"/>
                <w:szCs w:val="22"/>
                <w:highlight w:val="none"/>
                <w:lang w:val="en-US" w:eastAsia="zh-CN"/>
              </w:rPr>
              <w:t>10分</w:t>
            </w:r>
            <w:r>
              <w:rPr>
                <w:rFonts w:hint="eastAsia" w:ascii="宋体" w:hAnsi="宋体" w:eastAsia="宋体" w:cs="宋体"/>
                <w:color w:val="auto"/>
                <w:kern w:val="0"/>
                <w:szCs w:val="22"/>
                <w:highlight w:val="none"/>
              </w:rPr>
              <w:t>）</w:t>
            </w:r>
          </w:p>
        </w:tc>
        <w:tc>
          <w:tcPr>
            <w:tcW w:w="5936" w:type="dxa"/>
            <w:gridSpan w:val="2"/>
            <w:tcBorders>
              <w:top w:val="single" w:color="auto" w:sz="4" w:space="0"/>
            </w:tcBorders>
            <w:vAlign w:val="center"/>
          </w:tcPr>
          <w:p>
            <w:pPr>
              <w:tabs>
                <w:tab w:val="left" w:pos="1875"/>
              </w:tabs>
              <w:spacing w:line="400" w:lineRule="exact"/>
              <w:ind w:firstLine="42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竞选人根据本项目的实际情况，提供资源配备计划和施工设备配置情况，包含不限于施工组织架构、人员配备、资源配备及设备配置等内容；根据内容进行评分，方案内容完整、详尽、无缺项、符合项目实际情况得</w:t>
            </w:r>
            <w:r>
              <w:rPr>
                <w:rFonts w:hint="eastAsia" w:ascii="宋体" w:hAnsi="宋体" w:eastAsia="宋体" w:cs="宋体"/>
                <w:color w:val="auto"/>
                <w:kern w:val="0"/>
                <w:szCs w:val="22"/>
                <w:highlight w:val="none"/>
                <w:lang w:val="en-US" w:eastAsia="zh-CN"/>
              </w:rPr>
              <w:t>10</w:t>
            </w:r>
            <w:r>
              <w:rPr>
                <w:rFonts w:hint="eastAsia" w:ascii="宋体" w:hAnsi="宋体" w:eastAsia="宋体" w:cs="宋体"/>
                <w:color w:val="auto"/>
                <w:kern w:val="0"/>
                <w:szCs w:val="22"/>
                <w:highlight w:val="none"/>
              </w:rPr>
              <w:t>分，方案内容较完整、较详尽、无缺项、较符合项目实际情况得</w:t>
            </w:r>
            <w:r>
              <w:rPr>
                <w:rFonts w:hint="eastAsia" w:ascii="宋体" w:hAnsi="宋体" w:eastAsia="宋体" w:cs="宋体"/>
                <w:color w:val="auto"/>
                <w:kern w:val="0"/>
                <w:szCs w:val="22"/>
                <w:highlight w:val="none"/>
                <w:lang w:val="en-US" w:eastAsia="zh-CN"/>
              </w:rPr>
              <w:t>7</w:t>
            </w:r>
            <w:r>
              <w:rPr>
                <w:rFonts w:hint="eastAsia" w:ascii="宋体" w:hAnsi="宋体" w:eastAsia="宋体" w:cs="宋体"/>
                <w:color w:val="auto"/>
                <w:kern w:val="0"/>
                <w:szCs w:val="22"/>
                <w:highlight w:val="none"/>
              </w:rPr>
              <w:t>分，方案内容基本完整、基本符合项目实际情况得</w:t>
            </w:r>
            <w:r>
              <w:rPr>
                <w:rFonts w:hint="eastAsia" w:ascii="宋体" w:hAnsi="宋体" w:eastAsia="宋体" w:cs="宋体"/>
                <w:color w:val="auto"/>
                <w:kern w:val="0"/>
                <w:szCs w:val="22"/>
                <w:highlight w:val="none"/>
                <w:lang w:val="en-US" w:eastAsia="zh-CN"/>
              </w:rPr>
              <w:t>4</w:t>
            </w:r>
            <w:r>
              <w:rPr>
                <w:rFonts w:hint="eastAsia" w:ascii="宋体" w:hAnsi="宋体" w:eastAsia="宋体" w:cs="宋体"/>
                <w:color w:val="auto"/>
                <w:kern w:val="0"/>
                <w:szCs w:val="22"/>
                <w:highlight w:val="none"/>
              </w:rPr>
              <w:t>分，方案内容存在缺项、不太符合项目实际情况得1分，没有提供不得分。</w:t>
            </w:r>
          </w:p>
          <w:p>
            <w:pPr>
              <w:tabs>
                <w:tab w:val="left" w:pos="1875"/>
              </w:tabs>
              <w:spacing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highlight w:val="none"/>
              </w:rPr>
              <w:t>注：提供资源配备计划和施工设备配置情况方案，格式自拟。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Cs w:val="22"/>
              </w:rPr>
            </w:pPr>
          </w:p>
        </w:tc>
        <w:tc>
          <w:tcPr>
            <w:tcW w:w="643"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Cs w:val="22"/>
              </w:rPr>
            </w:pPr>
          </w:p>
        </w:tc>
        <w:tc>
          <w:tcPr>
            <w:tcW w:w="510" w:type="dxa"/>
            <w:vMerge w:val="continue"/>
            <w:tcBorders>
              <w:right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rPr>
            </w:pPr>
          </w:p>
        </w:tc>
        <w:tc>
          <w:tcPr>
            <w:tcW w:w="1548" w:type="dxa"/>
            <w:gridSpan w:val="2"/>
            <w:tcBorders>
              <w:top w:val="single" w:color="auto" w:sz="4" w:space="0"/>
              <w:left w:val="single" w:color="auto" w:sz="4" w:space="0"/>
            </w:tcBorders>
            <w:vAlign w:val="center"/>
          </w:tcPr>
          <w:p>
            <w:pPr>
              <w:tabs>
                <w:tab w:val="left" w:pos="1875"/>
              </w:tabs>
              <w:spacing w:line="400" w:lineRule="exact"/>
              <w:jc w:val="center"/>
              <w:rPr>
                <w:rFonts w:hint="eastAsia" w:ascii="宋体" w:hAnsi="宋体" w:eastAsia="宋体" w:cs="宋体"/>
                <w:color w:val="auto"/>
                <w:kern w:val="0"/>
                <w:sz w:val="21"/>
                <w:szCs w:val="22"/>
                <w:lang w:val="en-US" w:eastAsia="zh-CN" w:bidi="ar-SA"/>
              </w:rPr>
            </w:pPr>
            <w:r>
              <w:rPr>
                <w:rFonts w:hint="eastAsia" w:ascii="宋体" w:hAnsi="宋体" w:eastAsia="宋体" w:cs="宋体"/>
                <w:color w:val="auto"/>
                <w:kern w:val="0"/>
                <w:szCs w:val="22"/>
                <w:highlight w:val="none"/>
                <w:lang w:val="en-US" w:eastAsia="zh-CN"/>
              </w:rPr>
              <w:t>进度计划方案（10分）</w:t>
            </w:r>
          </w:p>
        </w:tc>
        <w:tc>
          <w:tcPr>
            <w:tcW w:w="5936" w:type="dxa"/>
            <w:gridSpan w:val="2"/>
            <w:tcBorders>
              <w:top w:val="single" w:color="auto" w:sz="4" w:space="0"/>
            </w:tcBorders>
            <w:vAlign w:val="center"/>
          </w:tcPr>
          <w:p>
            <w:pPr>
              <w:tabs>
                <w:tab w:val="left" w:pos="1875"/>
              </w:tabs>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竞选人根据本项目的实际情况，提供进度计划方案，包含不限于进度安排、工期安排等内容；</w:t>
            </w:r>
            <w:r>
              <w:rPr>
                <w:rFonts w:hint="eastAsia" w:ascii="宋体" w:hAnsi="宋体" w:eastAsia="宋体" w:cs="宋体"/>
                <w:color w:val="auto"/>
                <w:kern w:val="0"/>
                <w:szCs w:val="22"/>
                <w:highlight w:val="none"/>
              </w:rPr>
              <w:t>根据内容进行评分，方案内容完整、详尽、无缺项、符合项目实际情况得</w:t>
            </w:r>
            <w:r>
              <w:rPr>
                <w:rFonts w:hint="eastAsia" w:ascii="宋体" w:hAnsi="宋体" w:eastAsia="宋体" w:cs="宋体"/>
                <w:color w:val="auto"/>
                <w:kern w:val="0"/>
                <w:szCs w:val="22"/>
                <w:highlight w:val="none"/>
                <w:lang w:val="en-US" w:eastAsia="zh-CN"/>
              </w:rPr>
              <w:t>10</w:t>
            </w:r>
            <w:r>
              <w:rPr>
                <w:rFonts w:hint="eastAsia" w:ascii="宋体" w:hAnsi="宋体" w:eastAsia="宋体" w:cs="宋体"/>
                <w:color w:val="auto"/>
                <w:kern w:val="0"/>
                <w:szCs w:val="22"/>
                <w:highlight w:val="none"/>
              </w:rPr>
              <w:t>分，方案内容较完整、较详尽、无缺项、较符合项目实际情况得</w:t>
            </w:r>
            <w:r>
              <w:rPr>
                <w:rFonts w:hint="eastAsia" w:ascii="宋体" w:hAnsi="宋体" w:eastAsia="宋体" w:cs="宋体"/>
                <w:color w:val="auto"/>
                <w:kern w:val="0"/>
                <w:szCs w:val="22"/>
                <w:highlight w:val="none"/>
                <w:lang w:val="en-US" w:eastAsia="zh-CN"/>
              </w:rPr>
              <w:t>7</w:t>
            </w:r>
            <w:r>
              <w:rPr>
                <w:rFonts w:hint="eastAsia" w:ascii="宋体" w:hAnsi="宋体" w:eastAsia="宋体" w:cs="宋体"/>
                <w:color w:val="auto"/>
                <w:kern w:val="0"/>
                <w:szCs w:val="22"/>
                <w:highlight w:val="none"/>
              </w:rPr>
              <w:t>分，方案内容基本完整、基本符合项目实际情况得</w:t>
            </w:r>
            <w:r>
              <w:rPr>
                <w:rFonts w:hint="eastAsia" w:ascii="宋体" w:hAnsi="宋体" w:eastAsia="宋体" w:cs="宋体"/>
                <w:color w:val="auto"/>
                <w:kern w:val="0"/>
                <w:szCs w:val="22"/>
                <w:highlight w:val="none"/>
                <w:lang w:val="en-US" w:eastAsia="zh-CN"/>
              </w:rPr>
              <w:t>4</w:t>
            </w:r>
            <w:r>
              <w:rPr>
                <w:rFonts w:hint="eastAsia" w:ascii="宋体" w:hAnsi="宋体" w:eastAsia="宋体" w:cs="宋体"/>
                <w:color w:val="auto"/>
                <w:kern w:val="0"/>
                <w:szCs w:val="22"/>
                <w:highlight w:val="none"/>
              </w:rPr>
              <w:t>分，方案内容存在缺项、不太符合项目实际情况得1分，没有提供不得分。</w:t>
            </w:r>
          </w:p>
          <w:p>
            <w:pPr>
              <w:tabs>
                <w:tab w:val="left" w:pos="1875"/>
              </w:tabs>
              <w:spacing w:line="400" w:lineRule="exact"/>
              <w:ind w:firstLine="420" w:firstLineChars="200"/>
              <w:rPr>
                <w:rFonts w:hint="eastAsia" w:ascii="宋体" w:hAnsi="宋体" w:eastAsia="宋体" w:cs="宋体"/>
                <w:color w:val="auto"/>
                <w:kern w:val="2"/>
                <w:sz w:val="21"/>
                <w:lang w:val="en-US" w:eastAsia="zh-CN" w:bidi="ar-SA"/>
              </w:rPr>
            </w:pPr>
            <w:r>
              <w:rPr>
                <w:rFonts w:hint="eastAsia" w:ascii="宋体" w:hAnsi="宋体" w:eastAsia="宋体" w:cs="宋体"/>
                <w:color w:val="auto"/>
                <w:highlight w:val="none"/>
              </w:rPr>
              <w:t>注：提供进度计划方案，格式自拟。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Cs w:val="22"/>
              </w:rPr>
            </w:pPr>
          </w:p>
        </w:tc>
        <w:tc>
          <w:tcPr>
            <w:tcW w:w="643"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Cs w:val="22"/>
              </w:rPr>
            </w:pPr>
          </w:p>
        </w:tc>
        <w:tc>
          <w:tcPr>
            <w:tcW w:w="510" w:type="dxa"/>
            <w:vMerge w:val="continue"/>
            <w:tcBorders>
              <w:right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rPr>
            </w:pPr>
          </w:p>
        </w:tc>
        <w:tc>
          <w:tcPr>
            <w:tcW w:w="1548" w:type="dxa"/>
            <w:gridSpan w:val="2"/>
            <w:tcBorders>
              <w:top w:val="single" w:color="auto" w:sz="4" w:space="0"/>
              <w:left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highlight w:val="none"/>
              </w:rPr>
              <w:t>质量管理</w:t>
            </w:r>
            <w:r>
              <w:rPr>
                <w:rFonts w:hint="eastAsia" w:ascii="宋体" w:hAnsi="宋体" w:eastAsia="宋体" w:cs="宋体"/>
                <w:color w:val="auto"/>
                <w:kern w:val="0"/>
                <w:szCs w:val="22"/>
                <w:highlight w:val="none"/>
                <w:lang w:val="en-US" w:eastAsia="zh-CN"/>
              </w:rPr>
              <w:t>方案</w:t>
            </w:r>
            <w:r>
              <w:rPr>
                <w:rFonts w:hint="eastAsia" w:ascii="宋体" w:hAnsi="宋体" w:eastAsia="宋体" w:cs="宋体"/>
                <w:color w:val="auto"/>
                <w:kern w:val="0"/>
                <w:szCs w:val="22"/>
                <w:highlight w:val="none"/>
              </w:rPr>
              <w:t>（</w:t>
            </w:r>
            <w:r>
              <w:rPr>
                <w:rFonts w:hint="eastAsia" w:ascii="宋体" w:hAnsi="宋体" w:eastAsia="宋体" w:cs="宋体"/>
                <w:color w:val="auto"/>
                <w:kern w:val="0"/>
                <w:szCs w:val="22"/>
                <w:highlight w:val="none"/>
                <w:lang w:val="en-US" w:eastAsia="zh-CN"/>
              </w:rPr>
              <w:t>10分</w:t>
            </w:r>
            <w:r>
              <w:rPr>
                <w:rFonts w:hint="eastAsia" w:ascii="宋体" w:hAnsi="宋体" w:eastAsia="宋体" w:cs="宋体"/>
                <w:color w:val="auto"/>
                <w:kern w:val="0"/>
                <w:szCs w:val="22"/>
                <w:highlight w:val="none"/>
              </w:rPr>
              <w:t>）</w:t>
            </w:r>
          </w:p>
        </w:tc>
        <w:tc>
          <w:tcPr>
            <w:tcW w:w="5936" w:type="dxa"/>
            <w:gridSpan w:val="2"/>
            <w:tcBorders>
              <w:top w:val="single" w:color="auto" w:sz="4" w:space="0"/>
            </w:tcBorders>
            <w:vAlign w:val="center"/>
          </w:tcPr>
          <w:p>
            <w:pPr>
              <w:tabs>
                <w:tab w:val="left" w:pos="1875"/>
              </w:tabs>
              <w:spacing w:line="400" w:lineRule="exact"/>
              <w:ind w:firstLine="42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竞选人根据本项目的实际情况，提供质量管理</w:t>
            </w:r>
            <w:r>
              <w:rPr>
                <w:rFonts w:hint="eastAsia" w:ascii="宋体" w:hAnsi="宋体" w:eastAsia="宋体" w:cs="宋体"/>
                <w:color w:val="auto"/>
                <w:kern w:val="0"/>
                <w:szCs w:val="22"/>
                <w:highlight w:val="none"/>
                <w:lang w:val="en-US" w:eastAsia="zh-CN"/>
              </w:rPr>
              <w:t>方案</w:t>
            </w:r>
            <w:r>
              <w:rPr>
                <w:rFonts w:hint="eastAsia" w:ascii="宋体" w:hAnsi="宋体" w:eastAsia="宋体" w:cs="宋体"/>
                <w:color w:val="auto"/>
                <w:kern w:val="0"/>
                <w:szCs w:val="22"/>
                <w:highlight w:val="none"/>
              </w:rPr>
              <w:t>，包含不限于硬性措施、限期工程的赶工措施、保证措施、材料的质量保证措施等内容；根据内容进行评分，方案内容完整、详尽、无缺项、符合项目实际情况得</w:t>
            </w:r>
            <w:r>
              <w:rPr>
                <w:rFonts w:hint="eastAsia" w:ascii="宋体" w:hAnsi="宋体" w:eastAsia="宋体" w:cs="宋体"/>
                <w:color w:val="auto"/>
                <w:kern w:val="0"/>
                <w:szCs w:val="22"/>
                <w:highlight w:val="none"/>
                <w:lang w:val="en-US" w:eastAsia="zh-CN"/>
              </w:rPr>
              <w:t>10</w:t>
            </w:r>
            <w:r>
              <w:rPr>
                <w:rFonts w:hint="eastAsia" w:ascii="宋体" w:hAnsi="宋体" w:eastAsia="宋体" w:cs="宋体"/>
                <w:color w:val="auto"/>
                <w:kern w:val="0"/>
                <w:szCs w:val="22"/>
                <w:highlight w:val="none"/>
              </w:rPr>
              <w:t>分，方案内容较完整、较详尽、无缺项、较符合项目实际情况得</w:t>
            </w:r>
            <w:r>
              <w:rPr>
                <w:rFonts w:hint="eastAsia" w:ascii="宋体" w:hAnsi="宋体" w:eastAsia="宋体" w:cs="宋体"/>
                <w:color w:val="auto"/>
                <w:kern w:val="0"/>
                <w:szCs w:val="22"/>
                <w:highlight w:val="none"/>
                <w:lang w:val="en-US" w:eastAsia="zh-CN"/>
              </w:rPr>
              <w:t>7</w:t>
            </w:r>
            <w:r>
              <w:rPr>
                <w:rFonts w:hint="eastAsia" w:ascii="宋体" w:hAnsi="宋体" w:eastAsia="宋体" w:cs="宋体"/>
                <w:color w:val="auto"/>
                <w:kern w:val="0"/>
                <w:szCs w:val="22"/>
                <w:highlight w:val="none"/>
              </w:rPr>
              <w:t>分，方案内容基本完整、基本符合项目实际情况得</w:t>
            </w:r>
            <w:r>
              <w:rPr>
                <w:rFonts w:hint="eastAsia" w:ascii="宋体" w:hAnsi="宋体" w:eastAsia="宋体" w:cs="宋体"/>
                <w:color w:val="auto"/>
                <w:kern w:val="0"/>
                <w:szCs w:val="22"/>
                <w:highlight w:val="none"/>
                <w:lang w:val="en-US" w:eastAsia="zh-CN"/>
              </w:rPr>
              <w:t>4</w:t>
            </w:r>
            <w:r>
              <w:rPr>
                <w:rFonts w:hint="eastAsia" w:ascii="宋体" w:hAnsi="宋体" w:eastAsia="宋体" w:cs="宋体"/>
                <w:color w:val="auto"/>
                <w:kern w:val="0"/>
                <w:szCs w:val="22"/>
                <w:highlight w:val="none"/>
              </w:rPr>
              <w:t>分，方案内容存在缺项、不太符合项目实际情况得1分，没有提供不得分。</w:t>
            </w:r>
          </w:p>
          <w:p>
            <w:pPr>
              <w:tabs>
                <w:tab w:val="left" w:pos="1875"/>
              </w:tabs>
              <w:spacing w:line="400" w:lineRule="exact"/>
              <w:ind w:firstLine="420" w:firstLineChars="200"/>
              <w:rPr>
                <w:rFonts w:hint="eastAsia" w:ascii="宋体" w:hAnsi="宋体" w:eastAsia="宋体" w:cs="宋体"/>
                <w:color w:val="auto"/>
                <w:kern w:val="0"/>
                <w:szCs w:val="22"/>
              </w:rPr>
            </w:pPr>
            <w:r>
              <w:rPr>
                <w:rFonts w:hint="eastAsia" w:ascii="宋体" w:hAnsi="宋体" w:eastAsia="宋体" w:cs="宋体"/>
                <w:color w:val="auto"/>
                <w:kern w:val="0"/>
                <w:szCs w:val="22"/>
                <w:highlight w:val="none"/>
              </w:rPr>
              <w:t>注：提供质量管理</w:t>
            </w:r>
            <w:r>
              <w:rPr>
                <w:rFonts w:hint="eastAsia" w:ascii="宋体" w:hAnsi="宋体" w:eastAsia="宋体" w:cs="宋体"/>
                <w:color w:val="auto"/>
                <w:kern w:val="0"/>
                <w:szCs w:val="22"/>
                <w:highlight w:val="none"/>
                <w:lang w:val="en-US" w:eastAsia="zh-CN"/>
              </w:rPr>
              <w:t>方案</w:t>
            </w:r>
            <w:r>
              <w:rPr>
                <w:rFonts w:hint="eastAsia" w:ascii="宋体" w:hAnsi="宋体" w:eastAsia="宋体" w:cs="宋体"/>
                <w:color w:val="auto"/>
                <w:kern w:val="0"/>
                <w:szCs w:val="22"/>
                <w:highlight w:val="none"/>
              </w:rPr>
              <w:t>，格式自拟。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Cs w:val="22"/>
              </w:rPr>
            </w:pPr>
          </w:p>
        </w:tc>
        <w:tc>
          <w:tcPr>
            <w:tcW w:w="643"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Cs w:val="22"/>
              </w:rPr>
            </w:pPr>
          </w:p>
        </w:tc>
        <w:tc>
          <w:tcPr>
            <w:tcW w:w="510" w:type="dxa"/>
            <w:vMerge w:val="continue"/>
            <w:tcBorders>
              <w:right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rPr>
            </w:pPr>
          </w:p>
        </w:tc>
        <w:tc>
          <w:tcPr>
            <w:tcW w:w="1548" w:type="dxa"/>
            <w:gridSpan w:val="2"/>
            <w:tcBorders>
              <w:top w:val="single" w:color="auto" w:sz="4" w:space="0"/>
              <w:left w:val="single" w:color="auto" w:sz="4" w:space="0"/>
            </w:tcBorders>
            <w:vAlign w:val="center"/>
          </w:tcPr>
          <w:p>
            <w:pPr>
              <w:pStyle w:val="2"/>
              <w:spacing w:line="360" w:lineRule="auto"/>
              <w:jc w:val="center"/>
              <w:rPr>
                <w:rFonts w:hint="eastAsia" w:ascii="宋体" w:hAnsi="宋体" w:eastAsia="宋体" w:cs="宋体"/>
                <w:color w:val="auto"/>
                <w:kern w:val="0"/>
                <w:szCs w:val="22"/>
              </w:rPr>
            </w:pPr>
            <w:r>
              <w:rPr>
                <w:rFonts w:hint="eastAsia" w:ascii="宋体" w:hAnsi="宋体" w:eastAsia="宋体" w:cs="宋体"/>
                <w:color w:val="auto"/>
                <w:kern w:val="0"/>
                <w:sz w:val="21"/>
                <w:szCs w:val="22"/>
                <w:highlight w:val="none"/>
                <w:lang w:val="en-US" w:eastAsia="zh-CN" w:bidi="ar-SA"/>
              </w:rPr>
              <w:t>安全管理方案（10分）</w:t>
            </w:r>
          </w:p>
        </w:tc>
        <w:tc>
          <w:tcPr>
            <w:tcW w:w="5936" w:type="dxa"/>
            <w:gridSpan w:val="2"/>
            <w:tcBorders>
              <w:top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竞选人根据本项目的实际情况，提供安全管理</w:t>
            </w:r>
            <w:r>
              <w:rPr>
                <w:rFonts w:hint="eastAsia" w:ascii="宋体" w:hAnsi="宋体" w:eastAsia="宋体" w:cs="宋体"/>
                <w:color w:val="auto"/>
                <w:kern w:val="0"/>
                <w:sz w:val="21"/>
                <w:szCs w:val="22"/>
                <w:highlight w:val="none"/>
                <w:lang w:val="en-US" w:eastAsia="zh-CN" w:bidi="ar-SA"/>
              </w:rPr>
              <w:t>方案</w:t>
            </w:r>
            <w:r>
              <w:rPr>
                <w:rFonts w:hint="eastAsia" w:ascii="宋体" w:hAnsi="宋体" w:eastAsia="宋体" w:cs="宋体"/>
                <w:color w:val="auto"/>
                <w:kern w:val="0"/>
                <w:szCs w:val="22"/>
                <w:highlight w:val="none"/>
              </w:rPr>
              <w:t>，包含不限于施工安全专项方案、安全管理保证措施、文明施工和防止扰民措施等内容；根据内容进行评分，方案内容完整、详尽、无缺项、符合项目实际情况得</w:t>
            </w:r>
            <w:r>
              <w:rPr>
                <w:rFonts w:hint="eastAsia" w:ascii="宋体" w:hAnsi="宋体" w:eastAsia="宋体" w:cs="宋体"/>
                <w:color w:val="auto"/>
                <w:kern w:val="0"/>
                <w:szCs w:val="22"/>
                <w:highlight w:val="none"/>
                <w:lang w:val="en-US" w:eastAsia="zh-CN"/>
              </w:rPr>
              <w:t>10</w:t>
            </w:r>
            <w:r>
              <w:rPr>
                <w:rFonts w:hint="eastAsia" w:ascii="宋体" w:hAnsi="宋体" w:eastAsia="宋体" w:cs="宋体"/>
                <w:color w:val="auto"/>
                <w:kern w:val="0"/>
                <w:szCs w:val="22"/>
                <w:highlight w:val="none"/>
              </w:rPr>
              <w:t>分，方案内容较完整、较详尽、无缺项、较符合项目实际情况得</w:t>
            </w:r>
            <w:r>
              <w:rPr>
                <w:rFonts w:hint="eastAsia" w:ascii="宋体" w:hAnsi="宋体" w:eastAsia="宋体" w:cs="宋体"/>
                <w:color w:val="auto"/>
                <w:kern w:val="0"/>
                <w:szCs w:val="22"/>
                <w:highlight w:val="none"/>
                <w:lang w:val="en-US" w:eastAsia="zh-CN"/>
              </w:rPr>
              <w:t>7</w:t>
            </w:r>
            <w:r>
              <w:rPr>
                <w:rFonts w:hint="eastAsia" w:ascii="宋体" w:hAnsi="宋体" w:eastAsia="宋体" w:cs="宋体"/>
                <w:color w:val="auto"/>
                <w:kern w:val="0"/>
                <w:szCs w:val="22"/>
                <w:highlight w:val="none"/>
              </w:rPr>
              <w:t>分，方案内容基本完整、基本符合项目实际情况得</w:t>
            </w:r>
            <w:r>
              <w:rPr>
                <w:rFonts w:hint="eastAsia" w:ascii="宋体" w:hAnsi="宋体" w:eastAsia="宋体" w:cs="宋体"/>
                <w:color w:val="auto"/>
                <w:kern w:val="0"/>
                <w:szCs w:val="22"/>
                <w:highlight w:val="none"/>
                <w:lang w:val="en-US" w:eastAsia="zh-CN"/>
              </w:rPr>
              <w:t>4</w:t>
            </w:r>
            <w:r>
              <w:rPr>
                <w:rFonts w:hint="eastAsia" w:ascii="宋体" w:hAnsi="宋体" w:eastAsia="宋体" w:cs="宋体"/>
                <w:color w:val="auto"/>
                <w:kern w:val="0"/>
                <w:szCs w:val="22"/>
                <w:highlight w:val="none"/>
              </w:rPr>
              <w:t>分，方案内容存在缺项、不太符合项目实际情况得1分，没有提供不得分。</w:t>
            </w:r>
          </w:p>
          <w:p>
            <w:pPr>
              <w:adjustRightInd w:val="0"/>
              <w:snapToGrid w:val="0"/>
              <w:spacing w:line="400" w:lineRule="exact"/>
              <w:ind w:firstLine="420" w:firstLineChars="200"/>
              <w:jc w:val="left"/>
              <w:rPr>
                <w:rFonts w:hint="eastAsia" w:ascii="宋体" w:hAnsi="宋体" w:eastAsia="宋体" w:cs="宋体"/>
                <w:color w:val="auto"/>
                <w:kern w:val="0"/>
                <w:szCs w:val="22"/>
              </w:rPr>
            </w:pPr>
            <w:r>
              <w:rPr>
                <w:rFonts w:hint="eastAsia" w:ascii="宋体" w:hAnsi="宋体" w:eastAsia="宋体" w:cs="宋体"/>
                <w:color w:val="auto"/>
                <w:kern w:val="0"/>
                <w:szCs w:val="22"/>
                <w:highlight w:val="none"/>
              </w:rPr>
              <w:t>注：提供</w:t>
            </w:r>
            <w:r>
              <w:rPr>
                <w:rFonts w:hint="eastAsia" w:ascii="宋体" w:hAnsi="宋体" w:eastAsia="宋体" w:cs="宋体"/>
                <w:color w:val="auto"/>
                <w:kern w:val="0"/>
                <w:sz w:val="21"/>
                <w:szCs w:val="22"/>
                <w:highlight w:val="none"/>
                <w:lang w:val="en-US" w:eastAsia="zh-CN" w:bidi="ar-SA"/>
              </w:rPr>
              <w:t>安全管理方案</w:t>
            </w:r>
            <w:r>
              <w:rPr>
                <w:rFonts w:hint="eastAsia" w:ascii="宋体" w:hAnsi="宋体" w:eastAsia="宋体" w:cs="宋体"/>
                <w:color w:val="auto"/>
                <w:kern w:val="0"/>
                <w:szCs w:val="22"/>
                <w:highlight w:val="none"/>
              </w:rPr>
              <w:t>，格式自拟。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05" w:hRule="atLeast"/>
          <w:jc w:val="center"/>
        </w:trPr>
        <w:tc>
          <w:tcPr>
            <w:tcW w:w="833" w:type="dxa"/>
            <w:tcBorders>
              <w:right w:val="single" w:color="auto" w:sz="4" w:space="0"/>
            </w:tcBorders>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2.2.</w:t>
            </w:r>
            <w:r>
              <w:rPr>
                <w:rFonts w:hint="eastAsia" w:ascii="宋体" w:hAnsi="宋体" w:eastAsia="宋体" w:cs="宋体"/>
                <w:color w:val="auto"/>
                <w:kern w:val="0"/>
                <w:szCs w:val="22"/>
                <w:lang w:val="en-US" w:eastAsia="zh-CN"/>
              </w:rPr>
              <w:t>3</w:t>
            </w:r>
            <w:r>
              <w:rPr>
                <w:rFonts w:hint="eastAsia" w:ascii="宋体" w:hAnsi="宋体" w:eastAsia="宋体" w:cs="宋体"/>
                <w:color w:val="auto"/>
                <w:kern w:val="0"/>
                <w:szCs w:val="22"/>
              </w:rPr>
              <w:t>（2）</w:t>
            </w:r>
          </w:p>
        </w:tc>
        <w:tc>
          <w:tcPr>
            <w:tcW w:w="643" w:type="dxa"/>
            <w:tcBorders>
              <w:left w:val="single" w:color="auto" w:sz="4" w:space="0"/>
            </w:tcBorders>
            <w:vAlign w:val="center"/>
          </w:tcPr>
          <w:p>
            <w:pPr>
              <w:spacing w:line="400" w:lineRule="exac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商务部分评分标准（</w:t>
            </w:r>
            <w:r>
              <w:rPr>
                <w:rFonts w:hint="eastAsia" w:ascii="宋体" w:hAnsi="宋体" w:eastAsia="宋体" w:cs="宋体"/>
                <w:color w:val="auto"/>
                <w:kern w:val="0"/>
                <w:szCs w:val="22"/>
                <w:highlight w:val="none"/>
                <w:lang w:val="en-US" w:eastAsia="zh-CN"/>
              </w:rPr>
              <w:t>20</w:t>
            </w:r>
            <w:r>
              <w:rPr>
                <w:rFonts w:hint="eastAsia" w:ascii="宋体" w:hAnsi="宋体" w:eastAsia="宋体" w:cs="宋体"/>
                <w:color w:val="auto"/>
                <w:kern w:val="0"/>
                <w:szCs w:val="22"/>
                <w:highlight w:val="none"/>
              </w:rPr>
              <w:t>分）</w:t>
            </w:r>
          </w:p>
        </w:tc>
        <w:tc>
          <w:tcPr>
            <w:tcW w:w="510" w:type="dxa"/>
            <w:tcBorders>
              <w:right w:val="single" w:color="auto" w:sz="4" w:space="0"/>
            </w:tcBorders>
            <w:vAlign w:val="center"/>
          </w:tcPr>
          <w:p>
            <w:pPr>
              <w:tabs>
                <w:tab w:val="left" w:pos="1875"/>
              </w:tabs>
              <w:spacing w:line="400" w:lineRule="exac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商务评</w:t>
            </w:r>
          </w:p>
          <w:p>
            <w:pPr>
              <w:tabs>
                <w:tab w:val="left" w:pos="1875"/>
              </w:tabs>
              <w:spacing w:line="400" w:lineRule="exact"/>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审</w:t>
            </w:r>
          </w:p>
        </w:tc>
        <w:tc>
          <w:tcPr>
            <w:tcW w:w="1548" w:type="dxa"/>
            <w:gridSpan w:val="2"/>
            <w:tcBorders>
              <w:left w:val="single" w:color="auto" w:sz="4" w:space="0"/>
            </w:tcBorders>
            <w:vAlign w:val="center"/>
          </w:tcPr>
          <w:p>
            <w:pPr>
              <w:spacing w:after="62" w:afterLines="20" w:line="400" w:lineRule="exact"/>
              <w:jc w:val="center"/>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项目业绩</w:t>
            </w:r>
          </w:p>
          <w:p>
            <w:pPr>
              <w:spacing w:after="62" w:afterLines="20" w:line="400" w:lineRule="exact"/>
              <w:jc w:val="center"/>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w:t>
            </w:r>
            <w:r>
              <w:rPr>
                <w:rFonts w:hint="eastAsia" w:ascii="宋体" w:hAnsi="宋体" w:eastAsia="宋体" w:cs="宋体"/>
                <w:color w:val="auto"/>
                <w:kern w:val="0"/>
                <w:szCs w:val="22"/>
                <w:highlight w:val="none"/>
                <w:lang w:val="en-US" w:eastAsia="zh-CN"/>
              </w:rPr>
              <w:t>20</w:t>
            </w:r>
            <w:r>
              <w:rPr>
                <w:rFonts w:hint="eastAsia" w:ascii="宋体" w:hAnsi="宋体" w:eastAsia="宋体" w:cs="宋体"/>
                <w:color w:val="auto"/>
                <w:kern w:val="0"/>
                <w:szCs w:val="22"/>
                <w:highlight w:val="none"/>
              </w:rPr>
              <w:t>分）</w:t>
            </w:r>
          </w:p>
        </w:tc>
        <w:tc>
          <w:tcPr>
            <w:tcW w:w="5936" w:type="dxa"/>
            <w:gridSpan w:val="2"/>
            <w:vAlign w:val="center"/>
          </w:tcPr>
          <w:p>
            <w:pPr>
              <w:spacing w:after="62" w:afterLines="20" w:line="400" w:lineRule="exact"/>
              <w:ind w:firstLine="42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竞选人</w:t>
            </w:r>
            <w:r>
              <w:rPr>
                <w:rFonts w:hint="eastAsia" w:ascii="宋体" w:hAnsi="宋体" w:eastAsia="宋体" w:cs="宋体"/>
                <w:color w:val="auto"/>
                <w:kern w:val="0"/>
                <w:szCs w:val="22"/>
                <w:highlight w:val="none"/>
                <w:lang w:val="en-US" w:eastAsia="zh-CN"/>
              </w:rPr>
              <w:t>自</w:t>
            </w:r>
            <w:r>
              <w:rPr>
                <w:rFonts w:hint="eastAsia" w:ascii="宋体" w:hAnsi="宋体" w:eastAsia="宋体" w:cs="宋体"/>
                <w:color w:val="auto"/>
                <w:kern w:val="0"/>
                <w:szCs w:val="22"/>
                <w:highlight w:val="none"/>
              </w:rPr>
              <w:t>20</w:t>
            </w:r>
            <w:r>
              <w:rPr>
                <w:rFonts w:hint="eastAsia" w:ascii="宋体" w:hAnsi="宋体" w:eastAsia="宋体" w:cs="宋体"/>
                <w:color w:val="auto"/>
                <w:kern w:val="0"/>
                <w:szCs w:val="22"/>
                <w:highlight w:val="none"/>
                <w:lang w:val="en-US" w:eastAsia="zh-CN"/>
              </w:rPr>
              <w:t>21</w:t>
            </w:r>
            <w:r>
              <w:rPr>
                <w:rFonts w:hint="eastAsia" w:ascii="宋体" w:hAnsi="宋体" w:eastAsia="宋体" w:cs="宋体"/>
                <w:color w:val="auto"/>
                <w:kern w:val="0"/>
                <w:szCs w:val="22"/>
                <w:highlight w:val="none"/>
              </w:rPr>
              <w:t>年1月1日至比选截止日止（以合同签订时间为准），</w:t>
            </w:r>
            <w:r>
              <w:rPr>
                <w:rFonts w:hint="eastAsia" w:ascii="宋体" w:hAnsi="宋体" w:eastAsia="宋体" w:cs="宋体"/>
                <w:color w:val="auto"/>
                <w:kern w:val="0"/>
                <w:szCs w:val="22"/>
                <w:highlight w:val="none"/>
                <w:lang w:val="en-US" w:eastAsia="zh-CN"/>
              </w:rPr>
              <w:t>提供1个类似业绩的</w:t>
            </w:r>
            <w:r>
              <w:rPr>
                <w:rFonts w:hint="eastAsia" w:ascii="宋体" w:hAnsi="宋体" w:eastAsia="宋体" w:cs="宋体"/>
                <w:color w:val="auto"/>
                <w:kern w:val="0"/>
                <w:szCs w:val="22"/>
                <w:highlight w:val="none"/>
              </w:rPr>
              <w:t>得</w:t>
            </w:r>
            <w:r>
              <w:rPr>
                <w:rFonts w:hint="eastAsia" w:ascii="宋体" w:hAnsi="宋体" w:eastAsia="宋体" w:cs="宋体"/>
                <w:color w:val="auto"/>
                <w:kern w:val="0"/>
                <w:szCs w:val="22"/>
                <w:highlight w:val="none"/>
                <w:lang w:val="en-US" w:eastAsia="zh-CN"/>
              </w:rPr>
              <w:t>5</w:t>
            </w:r>
            <w:r>
              <w:rPr>
                <w:rFonts w:hint="eastAsia" w:ascii="宋体" w:hAnsi="宋体" w:eastAsia="宋体" w:cs="宋体"/>
                <w:color w:val="auto"/>
                <w:kern w:val="0"/>
                <w:szCs w:val="22"/>
                <w:highlight w:val="none"/>
              </w:rPr>
              <w:t>分，</w:t>
            </w:r>
            <w:r>
              <w:rPr>
                <w:rFonts w:hint="eastAsia" w:ascii="宋体" w:hAnsi="宋体" w:eastAsia="宋体" w:cs="宋体"/>
                <w:color w:val="auto"/>
                <w:kern w:val="0"/>
                <w:szCs w:val="22"/>
                <w:highlight w:val="none"/>
                <w:lang w:val="en-US" w:eastAsia="zh-CN"/>
              </w:rPr>
              <w:t>本项</w:t>
            </w:r>
            <w:r>
              <w:rPr>
                <w:rFonts w:hint="eastAsia" w:ascii="宋体" w:hAnsi="宋体" w:eastAsia="宋体" w:cs="宋体"/>
                <w:color w:val="auto"/>
                <w:kern w:val="0"/>
                <w:szCs w:val="22"/>
                <w:highlight w:val="none"/>
              </w:rPr>
              <w:t>最高得</w:t>
            </w:r>
            <w:r>
              <w:rPr>
                <w:rFonts w:hint="eastAsia" w:ascii="宋体" w:hAnsi="宋体" w:eastAsia="宋体" w:cs="宋体"/>
                <w:color w:val="auto"/>
                <w:kern w:val="0"/>
                <w:szCs w:val="22"/>
                <w:highlight w:val="none"/>
                <w:lang w:val="en-US" w:eastAsia="zh-CN"/>
              </w:rPr>
              <w:t>20</w:t>
            </w:r>
            <w:r>
              <w:rPr>
                <w:rFonts w:hint="eastAsia" w:ascii="宋体" w:hAnsi="宋体" w:eastAsia="宋体" w:cs="宋体"/>
                <w:color w:val="auto"/>
                <w:kern w:val="0"/>
                <w:szCs w:val="22"/>
                <w:highlight w:val="none"/>
              </w:rPr>
              <w:t>分。</w:t>
            </w:r>
          </w:p>
          <w:p>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竞选人须在竞选文件中提供合同</w:t>
            </w:r>
            <w:r>
              <w:rPr>
                <w:rFonts w:hint="eastAsia" w:ascii="宋体" w:hAnsi="宋体" w:eastAsia="宋体" w:cs="宋体"/>
                <w:color w:val="auto"/>
                <w:szCs w:val="22"/>
                <w:highlight w:val="none"/>
                <w:lang w:val="en-US" w:eastAsia="zh-CN"/>
              </w:rPr>
              <w:t>或协议等相关证明材料</w:t>
            </w:r>
            <w:r>
              <w:rPr>
                <w:rFonts w:hint="eastAsia" w:ascii="宋体" w:hAnsi="宋体" w:eastAsia="宋体" w:cs="宋体"/>
                <w:color w:val="auto"/>
                <w:szCs w:val="22"/>
                <w:highlight w:val="none"/>
              </w:rPr>
              <w:t>复印件。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szCs w:val="22"/>
              </w:rPr>
              <w:t>3</w:t>
            </w:r>
          </w:p>
        </w:tc>
        <w:tc>
          <w:tcPr>
            <w:tcW w:w="2701" w:type="dxa"/>
            <w:gridSpan w:val="4"/>
            <w:vAlign w:val="center"/>
          </w:tcPr>
          <w:p>
            <w:pPr>
              <w:spacing w:line="400" w:lineRule="exact"/>
              <w:jc w:val="center"/>
              <w:rPr>
                <w:rFonts w:hint="eastAsia" w:ascii="宋体" w:hAnsi="宋体" w:eastAsia="宋体" w:cs="宋体"/>
                <w:color w:val="auto"/>
                <w:kern w:val="0"/>
                <w:szCs w:val="22"/>
              </w:rPr>
            </w:pPr>
            <w:r>
              <w:rPr>
                <w:rFonts w:hint="eastAsia" w:ascii="宋体" w:hAnsi="宋体" w:eastAsia="宋体" w:cs="宋体"/>
                <w:color w:val="auto"/>
                <w:szCs w:val="22"/>
              </w:rPr>
              <w:t>评审程序</w:t>
            </w:r>
          </w:p>
        </w:tc>
        <w:tc>
          <w:tcPr>
            <w:tcW w:w="5936" w:type="dxa"/>
            <w:gridSpan w:val="2"/>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1.按本章评审办法第3.1款进行初步评审。未通过初步评审或评审小组认定为无效的竞选文件的不再进行后续评审。</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2.按本章评</w:t>
            </w:r>
            <w:r>
              <w:rPr>
                <w:rFonts w:hint="eastAsia" w:ascii="宋体" w:hAnsi="宋体" w:eastAsia="宋体" w:cs="宋体"/>
                <w:color w:val="auto"/>
                <w:szCs w:val="21"/>
                <w:highlight w:val="none"/>
              </w:rPr>
              <w:t>审办法前附表第2.2.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项及第3.2.1（1）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3.2.1（2）</w:t>
            </w:r>
            <w:r>
              <w:rPr>
                <w:rFonts w:hint="eastAsia" w:ascii="宋体" w:hAnsi="宋体" w:eastAsia="宋体" w:cs="宋体"/>
                <w:color w:val="auto"/>
                <w:szCs w:val="21"/>
                <w:highlight w:val="none"/>
                <w:lang w:val="en-US" w:eastAsia="zh-CN"/>
              </w:rPr>
              <w:t>和3.2.1（3）</w:t>
            </w:r>
            <w:r>
              <w:rPr>
                <w:rFonts w:hint="eastAsia" w:ascii="宋体" w:hAnsi="宋体" w:eastAsia="宋体" w:cs="宋体"/>
                <w:color w:val="auto"/>
                <w:szCs w:val="21"/>
                <w:highlight w:val="none"/>
              </w:rPr>
              <w:t>的规定对</w:t>
            </w:r>
            <w:r>
              <w:rPr>
                <w:rFonts w:hint="eastAsia" w:ascii="宋体" w:hAnsi="宋体" w:eastAsia="宋体" w:cs="宋体"/>
                <w:color w:val="auto"/>
                <w:szCs w:val="21"/>
                <w:highlight w:val="none"/>
                <w:lang w:val="en-US" w:eastAsia="zh-CN"/>
              </w:rPr>
              <w:t>经济部分、</w:t>
            </w:r>
            <w:r>
              <w:rPr>
                <w:rFonts w:hint="eastAsia" w:ascii="宋体" w:hAnsi="宋体" w:eastAsia="宋体" w:cs="宋体"/>
                <w:color w:val="auto"/>
                <w:szCs w:val="21"/>
                <w:highlight w:val="none"/>
              </w:rPr>
              <w:t>技术部分和商务部分进行评审。</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3.因评审小组作否决比选处理导致有效竞选人不足三个的，评审小组应当否决所有竞选。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4.对</w:t>
            </w:r>
            <w:r>
              <w:rPr>
                <w:rFonts w:hint="eastAsia" w:ascii="宋体" w:hAnsi="宋体" w:eastAsia="宋体" w:cs="宋体"/>
                <w:color w:val="auto"/>
                <w:szCs w:val="21"/>
                <w:lang w:val="en-US" w:eastAsia="zh-CN"/>
              </w:rPr>
              <w:t>经济部分、</w:t>
            </w:r>
            <w:r>
              <w:rPr>
                <w:rFonts w:hint="eastAsia" w:ascii="宋体" w:hAnsi="宋体" w:eastAsia="宋体" w:cs="宋体"/>
                <w:color w:val="auto"/>
                <w:szCs w:val="21"/>
              </w:rPr>
              <w:t>技术部分、商务部分得分进行汇总，确定得分由高至低前三名竞选人为中</w:t>
            </w:r>
            <w:r>
              <w:rPr>
                <w:rFonts w:hint="eastAsia" w:ascii="宋体" w:hAnsi="宋体" w:eastAsia="宋体" w:cs="宋体"/>
                <w:color w:val="auto"/>
                <w:szCs w:val="21"/>
                <w:lang w:val="en-US" w:eastAsia="zh-CN"/>
              </w:rPr>
              <w:t>选</w:t>
            </w:r>
            <w:r>
              <w:rPr>
                <w:rFonts w:hint="eastAsia" w:ascii="宋体" w:hAnsi="宋体" w:eastAsia="宋体" w:cs="宋体"/>
                <w:color w:val="auto"/>
                <w:szCs w:val="21"/>
              </w:rPr>
              <w:t>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szCs w:val="22"/>
              </w:rPr>
              <w:t>3.2.1</w:t>
            </w:r>
          </w:p>
          <w:p>
            <w:pPr>
              <w:spacing w:line="400" w:lineRule="exact"/>
              <w:jc w:val="center"/>
              <w:rPr>
                <w:rFonts w:hint="eastAsia" w:ascii="宋体" w:hAnsi="宋体" w:eastAsia="宋体" w:cs="宋体"/>
                <w:color w:val="auto"/>
                <w:szCs w:val="22"/>
              </w:rPr>
            </w:pPr>
            <w:r>
              <w:rPr>
                <w:rFonts w:hint="eastAsia" w:ascii="宋体" w:hAnsi="宋体" w:eastAsia="宋体" w:cs="宋体"/>
                <w:color w:val="auto"/>
                <w:szCs w:val="22"/>
              </w:rPr>
              <w:t>（1）</w:t>
            </w:r>
          </w:p>
        </w:tc>
        <w:tc>
          <w:tcPr>
            <w:tcW w:w="1350" w:type="dxa"/>
            <w:gridSpan w:val="3"/>
            <w:vAlign w:val="center"/>
          </w:tcPr>
          <w:p>
            <w:pPr>
              <w:spacing w:line="400" w:lineRule="exact"/>
              <w:jc w:val="center"/>
              <w:rPr>
                <w:rFonts w:hint="eastAsia" w:ascii="宋体" w:hAnsi="宋体" w:eastAsia="宋体" w:cs="宋体"/>
                <w:color w:val="auto"/>
                <w:szCs w:val="22"/>
                <w:lang w:val="en-US" w:eastAsia="zh-CN"/>
              </w:rPr>
            </w:pPr>
            <w:r>
              <w:rPr>
                <w:rFonts w:hint="eastAsia" w:ascii="宋体" w:hAnsi="宋体" w:eastAsia="宋体" w:cs="宋体"/>
                <w:color w:val="auto"/>
                <w:szCs w:val="22"/>
                <w:lang w:eastAsia="zh-CN"/>
              </w:rPr>
              <w:t>竞选报价</w:t>
            </w:r>
            <w:r>
              <w:rPr>
                <w:rFonts w:hint="eastAsia" w:ascii="宋体" w:hAnsi="宋体" w:eastAsia="宋体" w:cs="宋体"/>
                <w:color w:val="auto"/>
                <w:szCs w:val="22"/>
              </w:rPr>
              <w:t>得分</w:t>
            </w:r>
            <w:r>
              <w:rPr>
                <w:rFonts w:hint="eastAsia" w:ascii="宋体" w:hAnsi="宋体" w:eastAsia="宋体" w:cs="宋体"/>
                <w:color w:val="auto"/>
                <w:szCs w:val="22"/>
                <w:lang w:eastAsia="zh-CN"/>
              </w:rPr>
              <w:t>（</w:t>
            </w:r>
            <w:r>
              <w:rPr>
                <w:rFonts w:hint="eastAsia" w:ascii="宋体" w:hAnsi="宋体" w:eastAsia="宋体" w:cs="宋体"/>
                <w:color w:val="auto"/>
                <w:szCs w:val="22"/>
                <w:lang w:val="en-US" w:eastAsia="zh-CN"/>
              </w:rPr>
              <w:t xml:space="preserve">A） </w:t>
            </w:r>
          </w:p>
        </w:tc>
        <w:tc>
          <w:tcPr>
            <w:tcW w:w="1351" w:type="dxa"/>
            <w:vAlign w:val="center"/>
          </w:tcPr>
          <w:p>
            <w:pPr>
              <w:spacing w:line="400" w:lineRule="exact"/>
              <w:jc w:val="center"/>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eastAsia="zh-CN"/>
              </w:rPr>
              <w:t>竞选总报价（</w:t>
            </w:r>
            <w:r>
              <w:rPr>
                <w:rFonts w:hint="eastAsia" w:ascii="宋体" w:hAnsi="宋体" w:eastAsia="宋体" w:cs="宋体"/>
                <w:color w:val="auto"/>
                <w:szCs w:val="22"/>
                <w:highlight w:val="none"/>
                <w:lang w:val="en-US" w:eastAsia="zh-CN"/>
              </w:rPr>
              <w:t>30分）</w:t>
            </w:r>
          </w:p>
        </w:tc>
        <w:tc>
          <w:tcPr>
            <w:tcW w:w="5936" w:type="dxa"/>
            <w:gridSpan w:val="2"/>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有效的</w:t>
            </w:r>
            <w:r>
              <w:rPr>
                <w:rFonts w:hint="eastAsia" w:ascii="宋体" w:hAnsi="宋体" w:eastAsia="宋体" w:cs="宋体"/>
                <w:color w:val="auto"/>
                <w:szCs w:val="21"/>
                <w:highlight w:val="none"/>
                <w:lang w:eastAsia="zh-CN"/>
              </w:rPr>
              <w:t>竞选总报价</w:t>
            </w:r>
            <w:r>
              <w:rPr>
                <w:rFonts w:hint="eastAsia" w:ascii="宋体" w:hAnsi="宋体" w:eastAsia="宋体" w:cs="宋体"/>
                <w:color w:val="auto"/>
                <w:szCs w:val="21"/>
                <w:highlight w:val="none"/>
              </w:rPr>
              <w:t>中的最低价为评标基准价，按照下列公式计算每个</w:t>
            </w:r>
            <w:r>
              <w:rPr>
                <w:rFonts w:hint="eastAsia" w:ascii="宋体" w:hAnsi="宋体" w:eastAsia="宋体" w:cs="宋体"/>
                <w:color w:val="auto"/>
                <w:szCs w:val="21"/>
                <w:highlight w:val="none"/>
                <w:lang w:val="en-US" w:eastAsia="zh-CN"/>
              </w:rPr>
              <w:t>竞选人</w:t>
            </w:r>
            <w:r>
              <w:rPr>
                <w:rFonts w:hint="eastAsia" w:ascii="宋体" w:hAnsi="宋体" w:eastAsia="宋体" w:cs="宋体"/>
                <w:color w:val="auto"/>
                <w:szCs w:val="21"/>
                <w:highlight w:val="none"/>
              </w:rPr>
              <w:t>的投标价格得分。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竞选总报价</w:t>
            </w:r>
            <w:r>
              <w:rPr>
                <w:rFonts w:hint="eastAsia" w:ascii="宋体" w:hAnsi="宋体" w:eastAsia="宋体" w:cs="宋体"/>
                <w:color w:val="auto"/>
                <w:szCs w:val="21"/>
                <w:highlight w:val="none"/>
              </w:rPr>
              <w:t>得分＝（评标基准价/</w:t>
            </w:r>
            <w:r>
              <w:rPr>
                <w:rFonts w:hint="eastAsia" w:ascii="宋体" w:hAnsi="宋体" w:eastAsia="宋体" w:cs="宋体"/>
                <w:color w:val="auto"/>
                <w:szCs w:val="21"/>
                <w:highlight w:val="none"/>
                <w:lang w:eastAsia="zh-CN"/>
              </w:rPr>
              <w:t>竞选总报价</w:t>
            </w:r>
            <w:r>
              <w:rPr>
                <w:rFonts w:hint="eastAsia" w:ascii="宋体" w:hAnsi="宋体" w:eastAsia="宋体" w:cs="宋体"/>
                <w:color w:val="auto"/>
                <w:szCs w:val="21"/>
                <w:highlight w:val="none"/>
              </w:rPr>
              <w:t>）×30%×100。</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以上计算取小数点后两位，第三位四舍五入。</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满分30分。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restart"/>
            <w:tcBorders>
              <w:bottom w:val="single" w:color="000000" w:sz="4" w:space="0"/>
            </w:tcBorders>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szCs w:val="22"/>
              </w:rPr>
              <w:t>3.2.1</w:t>
            </w:r>
          </w:p>
          <w:p>
            <w:pPr>
              <w:spacing w:line="400" w:lineRule="exact"/>
              <w:jc w:val="center"/>
              <w:rPr>
                <w:rFonts w:hint="eastAsia" w:ascii="宋体" w:hAnsi="宋体" w:eastAsia="宋体" w:cs="宋体"/>
                <w:color w:val="auto"/>
                <w:szCs w:val="22"/>
              </w:rPr>
            </w:pPr>
            <w:r>
              <w:rPr>
                <w:rFonts w:hint="eastAsia" w:ascii="宋体" w:hAnsi="宋体" w:eastAsia="宋体" w:cs="宋体"/>
                <w:color w:val="auto"/>
                <w:szCs w:val="22"/>
              </w:rPr>
              <w:t>（</w:t>
            </w:r>
            <w:r>
              <w:rPr>
                <w:rFonts w:hint="eastAsia" w:ascii="宋体" w:hAnsi="宋体" w:eastAsia="宋体" w:cs="宋体"/>
                <w:color w:val="auto"/>
                <w:szCs w:val="22"/>
                <w:lang w:val="en-US" w:eastAsia="zh-CN"/>
              </w:rPr>
              <w:t>2</w:t>
            </w:r>
            <w:r>
              <w:rPr>
                <w:rFonts w:hint="eastAsia" w:ascii="宋体" w:hAnsi="宋体" w:eastAsia="宋体" w:cs="宋体"/>
                <w:color w:val="auto"/>
                <w:szCs w:val="22"/>
              </w:rPr>
              <w:t>）</w:t>
            </w:r>
          </w:p>
        </w:tc>
        <w:tc>
          <w:tcPr>
            <w:tcW w:w="2701" w:type="dxa"/>
            <w:gridSpan w:val="4"/>
            <w:vMerge w:val="restart"/>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szCs w:val="22"/>
              </w:rPr>
              <w:t>技术部分</w:t>
            </w:r>
            <w:r>
              <w:rPr>
                <w:rFonts w:hint="eastAsia" w:ascii="宋体" w:hAnsi="宋体" w:eastAsia="宋体" w:cs="宋体"/>
                <w:color w:val="auto"/>
                <w:kern w:val="0"/>
                <w:szCs w:val="22"/>
              </w:rPr>
              <w:t>得分</w:t>
            </w:r>
            <w:r>
              <w:rPr>
                <w:rFonts w:hint="eastAsia" w:ascii="宋体" w:hAnsi="宋体" w:eastAsia="宋体" w:cs="宋体"/>
                <w:color w:val="auto"/>
                <w:spacing w:val="-4"/>
                <w:szCs w:val="22"/>
              </w:rPr>
              <w:t>（</w:t>
            </w:r>
            <w:r>
              <w:rPr>
                <w:rFonts w:hint="eastAsia" w:ascii="宋体" w:hAnsi="宋体" w:eastAsia="宋体" w:cs="宋体"/>
                <w:color w:val="auto"/>
                <w:spacing w:val="-4"/>
                <w:szCs w:val="22"/>
                <w:lang w:val="en-US" w:eastAsia="zh-CN"/>
              </w:rPr>
              <w:t>B</w:t>
            </w:r>
            <w:r>
              <w:rPr>
                <w:rFonts w:hint="eastAsia" w:ascii="宋体" w:hAnsi="宋体" w:eastAsia="宋体" w:cs="宋体"/>
                <w:color w:val="auto"/>
                <w:spacing w:val="-4"/>
                <w:szCs w:val="22"/>
              </w:rPr>
              <w:t>）</w:t>
            </w:r>
          </w:p>
        </w:tc>
        <w:tc>
          <w:tcPr>
            <w:tcW w:w="2091" w:type="dxa"/>
            <w:tcBorders>
              <w:bottom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施工方案与技术措施</w:t>
            </w:r>
          </w:p>
          <w:p>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2"/>
                <w:highlight w:val="none"/>
              </w:rPr>
              <w:t>（</w:t>
            </w:r>
            <w:r>
              <w:rPr>
                <w:rFonts w:hint="eastAsia" w:ascii="宋体" w:hAnsi="宋体" w:eastAsia="宋体" w:cs="宋体"/>
                <w:color w:val="auto"/>
                <w:kern w:val="0"/>
                <w:szCs w:val="22"/>
                <w:highlight w:val="none"/>
                <w:lang w:val="en-US" w:eastAsia="zh-CN"/>
              </w:rPr>
              <w:t>10分</w:t>
            </w:r>
            <w:r>
              <w:rPr>
                <w:rFonts w:hint="eastAsia" w:ascii="宋体" w:hAnsi="宋体" w:eastAsia="宋体" w:cs="宋体"/>
                <w:color w:val="auto"/>
                <w:kern w:val="0"/>
                <w:szCs w:val="22"/>
                <w:highlight w:val="none"/>
              </w:rPr>
              <w:t>）</w:t>
            </w:r>
          </w:p>
        </w:tc>
        <w:tc>
          <w:tcPr>
            <w:tcW w:w="3845" w:type="dxa"/>
            <w:vMerge w:val="restart"/>
            <w:vAlign w:val="center"/>
          </w:tcPr>
          <w:p>
            <w:pPr>
              <w:snapToGrid w:val="0"/>
              <w:spacing w:line="400" w:lineRule="exact"/>
              <w:ind w:firstLine="420" w:firstLineChars="200"/>
              <w:jc w:val="both"/>
              <w:rPr>
                <w:rFonts w:hint="eastAsia" w:ascii="宋体" w:hAnsi="宋体" w:eastAsia="宋体" w:cs="宋体"/>
                <w:color w:val="auto"/>
                <w:kern w:val="0"/>
                <w:szCs w:val="21"/>
              </w:rPr>
            </w:pPr>
            <w:r>
              <w:rPr>
                <w:rFonts w:hint="eastAsia" w:ascii="宋体" w:hAnsi="宋体" w:eastAsia="宋体" w:cs="宋体"/>
                <w:color w:val="auto"/>
                <w:szCs w:val="21"/>
              </w:rPr>
              <w:t>评审小组按第2.2.</w:t>
            </w:r>
            <w:r>
              <w:rPr>
                <w:rFonts w:hint="eastAsia" w:ascii="宋体" w:hAnsi="宋体" w:eastAsia="宋体" w:cs="宋体"/>
                <w:color w:val="auto"/>
                <w:szCs w:val="21"/>
                <w:lang w:val="en-US" w:eastAsia="zh-CN"/>
              </w:rPr>
              <w:t>3</w:t>
            </w:r>
            <w:r>
              <w:rPr>
                <w:rFonts w:hint="eastAsia" w:ascii="宋体" w:hAnsi="宋体" w:eastAsia="宋体" w:cs="宋体"/>
                <w:color w:val="auto"/>
                <w:szCs w:val="21"/>
              </w:rPr>
              <w:t>项各评审因素设定的分值评分，取其算术平均值作为最后得分。</w:t>
            </w:r>
            <w:r>
              <w:rPr>
                <w:rFonts w:hint="eastAsia" w:ascii="宋体" w:hAnsi="宋体" w:eastAsia="宋体" w:cs="宋体"/>
                <w:color w:val="auto"/>
                <w:kern w:val="0"/>
                <w:szCs w:val="21"/>
              </w:rPr>
              <w:t>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pPr>
              <w:spacing w:line="400" w:lineRule="exact"/>
              <w:jc w:val="center"/>
              <w:rPr>
                <w:rFonts w:hint="eastAsia" w:ascii="宋体" w:hAnsi="宋体" w:eastAsia="宋体" w:cs="宋体"/>
                <w:color w:val="auto"/>
                <w:szCs w:val="22"/>
              </w:rPr>
            </w:pPr>
          </w:p>
        </w:tc>
        <w:tc>
          <w:tcPr>
            <w:tcW w:w="2701" w:type="dxa"/>
            <w:gridSpan w:val="4"/>
            <w:vMerge w:val="continue"/>
            <w:vAlign w:val="center"/>
          </w:tcPr>
          <w:p>
            <w:pPr>
              <w:spacing w:line="400" w:lineRule="exact"/>
              <w:jc w:val="center"/>
              <w:rPr>
                <w:rFonts w:hint="eastAsia" w:ascii="宋体" w:hAnsi="宋体" w:eastAsia="宋体" w:cs="宋体"/>
                <w:color w:val="auto"/>
                <w:szCs w:val="22"/>
              </w:rPr>
            </w:pPr>
          </w:p>
        </w:tc>
        <w:tc>
          <w:tcPr>
            <w:tcW w:w="2091" w:type="dxa"/>
            <w:tcBorders>
              <w:top w:val="single" w:color="auto" w:sz="4" w:space="0"/>
              <w:bottom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资源配备计划和施工设备配置情况</w:t>
            </w:r>
          </w:p>
          <w:p>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2"/>
                <w:highlight w:val="none"/>
              </w:rPr>
              <w:t>（</w:t>
            </w:r>
            <w:r>
              <w:rPr>
                <w:rFonts w:hint="eastAsia" w:ascii="宋体" w:hAnsi="宋体" w:eastAsia="宋体" w:cs="宋体"/>
                <w:color w:val="auto"/>
                <w:kern w:val="0"/>
                <w:szCs w:val="22"/>
                <w:highlight w:val="none"/>
                <w:lang w:val="en-US" w:eastAsia="zh-CN"/>
              </w:rPr>
              <w:t>10分</w:t>
            </w:r>
            <w:r>
              <w:rPr>
                <w:rFonts w:hint="eastAsia" w:ascii="宋体" w:hAnsi="宋体" w:eastAsia="宋体" w:cs="宋体"/>
                <w:color w:val="auto"/>
                <w:kern w:val="0"/>
                <w:szCs w:val="22"/>
                <w:highlight w:val="none"/>
              </w:rPr>
              <w:t>）</w:t>
            </w:r>
          </w:p>
        </w:tc>
        <w:tc>
          <w:tcPr>
            <w:tcW w:w="3845"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pPr>
              <w:spacing w:line="400" w:lineRule="exact"/>
              <w:jc w:val="center"/>
              <w:rPr>
                <w:rFonts w:hint="eastAsia" w:ascii="宋体" w:hAnsi="宋体" w:eastAsia="宋体" w:cs="宋体"/>
                <w:color w:val="auto"/>
                <w:szCs w:val="22"/>
              </w:rPr>
            </w:pPr>
          </w:p>
        </w:tc>
        <w:tc>
          <w:tcPr>
            <w:tcW w:w="2701" w:type="dxa"/>
            <w:gridSpan w:val="4"/>
            <w:vMerge w:val="continue"/>
            <w:vAlign w:val="center"/>
          </w:tcPr>
          <w:p>
            <w:pPr>
              <w:spacing w:line="400" w:lineRule="exact"/>
              <w:jc w:val="center"/>
              <w:rPr>
                <w:rFonts w:hint="eastAsia" w:ascii="宋体" w:hAnsi="宋体" w:eastAsia="宋体" w:cs="宋体"/>
                <w:color w:val="auto"/>
                <w:szCs w:val="22"/>
              </w:rPr>
            </w:pPr>
          </w:p>
        </w:tc>
        <w:tc>
          <w:tcPr>
            <w:tcW w:w="2091" w:type="dxa"/>
            <w:tcBorders>
              <w:top w:val="single" w:color="auto" w:sz="4" w:space="0"/>
              <w:bottom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highlight w:val="none"/>
                <w:lang w:val="en-US" w:eastAsia="zh-CN"/>
              </w:rPr>
            </w:pPr>
            <w:r>
              <w:rPr>
                <w:rFonts w:hint="eastAsia" w:ascii="宋体" w:hAnsi="宋体" w:eastAsia="宋体" w:cs="宋体"/>
                <w:color w:val="auto"/>
                <w:kern w:val="0"/>
                <w:szCs w:val="22"/>
                <w:highlight w:val="none"/>
              </w:rPr>
              <w:t>质量管理</w:t>
            </w:r>
            <w:r>
              <w:rPr>
                <w:rFonts w:hint="eastAsia" w:ascii="宋体" w:hAnsi="宋体" w:eastAsia="宋体" w:cs="宋体"/>
                <w:color w:val="auto"/>
                <w:kern w:val="0"/>
                <w:szCs w:val="22"/>
                <w:highlight w:val="none"/>
                <w:lang w:val="en-US" w:eastAsia="zh-CN"/>
              </w:rPr>
              <w:t>方案</w:t>
            </w:r>
          </w:p>
          <w:p>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2"/>
                <w:highlight w:val="none"/>
                <w:lang w:eastAsia="zh-CN"/>
              </w:rPr>
              <w:t>（</w:t>
            </w:r>
            <w:r>
              <w:rPr>
                <w:rFonts w:hint="eastAsia" w:ascii="宋体" w:hAnsi="宋体" w:eastAsia="宋体" w:cs="宋体"/>
                <w:color w:val="auto"/>
                <w:kern w:val="0"/>
                <w:szCs w:val="22"/>
                <w:highlight w:val="none"/>
                <w:lang w:val="en-US" w:eastAsia="zh-CN"/>
              </w:rPr>
              <w:t>10分）</w:t>
            </w:r>
          </w:p>
        </w:tc>
        <w:tc>
          <w:tcPr>
            <w:tcW w:w="3845"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pPr>
              <w:spacing w:line="400" w:lineRule="exact"/>
              <w:jc w:val="center"/>
              <w:rPr>
                <w:rFonts w:hint="eastAsia" w:ascii="宋体" w:hAnsi="宋体" w:eastAsia="宋体" w:cs="宋体"/>
                <w:color w:val="auto"/>
                <w:szCs w:val="22"/>
              </w:rPr>
            </w:pPr>
          </w:p>
        </w:tc>
        <w:tc>
          <w:tcPr>
            <w:tcW w:w="2701" w:type="dxa"/>
            <w:gridSpan w:val="4"/>
            <w:vMerge w:val="continue"/>
            <w:vAlign w:val="center"/>
          </w:tcPr>
          <w:p>
            <w:pPr>
              <w:spacing w:line="400" w:lineRule="exact"/>
              <w:jc w:val="center"/>
              <w:rPr>
                <w:rFonts w:hint="eastAsia" w:ascii="宋体" w:hAnsi="宋体" w:eastAsia="宋体" w:cs="宋体"/>
                <w:color w:val="auto"/>
                <w:szCs w:val="22"/>
              </w:rPr>
            </w:pPr>
          </w:p>
        </w:tc>
        <w:tc>
          <w:tcPr>
            <w:tcW w:w="2091" w:type="dxa"/>
            <w:tcBorders>
              <w:top w:val="single" w:color="auto" w:sz="4" w:space="0"/>
              <w:bottom w:val="single" w:color="auto" w:sz="4" w:space="0"/>
            </w:tcBorders>
            <w:vAlign w:val="center"/>
          </w:tcPr>
          <w:p>
            <w:pPr>
              <w:pStyle w:val="2"/>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安全管理方案</w:t>
            </w:r>
          </w:p>
          <w:p>
            <w:pPr>
              <w:pStyle w:val="2"/>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2"/>
                <w:highlight w:val="none"/>
                <w:lang w:eastAsia="zh-CN"/>
              </w:rPr>
              <w:t>（</w:t>
            </w:r>
            <w:r>
              <w:rPr>
                <w:rFonts w:hint="eastAsia" w:ascii="宋体" w:hAnsi="宋体" w:eastAsia="宋体" w:cs="宋体"/>
                <w:color w:val="auto"/>
                <w:kern w:val="0"/>
                <w:sz w:val="21"/>
                <w:szCs w:val="22"/>
                <w:highlight w:val="none"/>
                <w:lang w:val="en-US" w:eastAsia="zh-CN"/>
              </w:rPr>
              <w:t>10分）</w:t>
            </w:r>
          </w:p>
        </w:tc>
        <w:tc>
          <w:tcPr>
            <w:tcW w:w="3845"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pPr>
              <w:spacing w:line="400" w:lineRule="exact"/>
              <w:jc w:val="center"/>
              <w:rPr>
                <w:rFonts w:hint="eastAsia" w:ascii="宋体" w:hAnsi="宋体" w:eastAsia="宋体" w:cs="宋体"/>
                <w:color w:val="auto"/>
                <w:szCs w:val="22"/>
              </w:rPr>
            </w:pPr>
          </w:p>
        </w:tc>
        <w:tc>
          <w:tcPr>
            <w:tcW w:w="2701" w:type="dxa"/>
            <w:gridSpan w:val="4"/>
            <w:vMerge w:val="continue"/>
            <w:vAlign w:val="center"/>
          </w:tcPr>
          <w:p>
            <w:pPr>
              <w:spacing w:line="400" w:lineRule="exact"/>
              <w:jc w:val="center"/>
              <w:rPr>
                <w:rFonts w:hint="eastAsia" w:ascii="宋体" w:hAnsi="宋体" w:eastAsia="宋体" w:cs="宋体"/>
                <w:color w:val="auto"/>
                <w:szCs w:val="22"/>
              </w:rPr>
            </w:pPr>
          </w:p>
        </w:tc>
        <w:tc>
          <w:tcPr>
            <w:tcW w:w="2091" w:type="dxa"/>
            <w:tcBorders>
              <w:top w:val="single" w:color="auto" w:sz="4" w:space="0"/>
              <w:bottom w:val="single" w:color="auto" w:sz="4" w:space="0"/>
            </w:tcBorders>
            <w:vAlign w:val="center"/>
          </w:tcPr>
          <w:p>
            <w:pPr>
              <w:tabs>
                <w:tab w:val="left" w:pos="1875"/>
              </w:tabs>
              <w:spacing w:line="400" w:lineRule="exact"/>
              <w:jc w:val="center"/>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进度计划方案</w:t>
            </w:r>
          </w:p>
          <w:p>
            <w:pPr>
              <w:tabs>
                <w:tab w:val="left" w:pos="1875"/>
              </w:tabs>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2"/>
                <w:highlight w:val="none"/>
              </w:rPr>
              <w:t>（</w:t>
            </w:r>
            <w:r>
              <w:rPr>
                <w:rFonts w:hint="eastAsia" w:ascii="宋体" w:hAnsi="宋体" w:eastAsia="宋体" w:cs="宋体"/>
                <w:color w:val="auto"/>
                <w:kern w:val="0"/>
                <w:szCs w:val="22"/>
                <w:highlight w:val="none"/>
                <w:lang w:val="en-US" w:eastAsia="zh-CN"/>
              </w:rPr>
              <w:t>10分</w:t>
            </w:r>
            <w:r>
              <w:rPr>
                <w:rFonts w:hint="eastAsia" w:ascii="宋体" w:hAnsi="宋体" w:eastAsia="宋体" w:cs="宋体"/>
                <w:color w:val="auto"/>
                <w:kern w:val="0"/>
                <w:szCs w:val="22"/>
                <w:highlight w:val="none"/>
              </w:rPr>
              <w:t>）</w:t>
            </w:r>
          </w:p>
        </w:tc>
        <w:tc>
          <w:tcPr>
            <w:tcW w:w="3845" w:type="dxa"/>
            <w:vMerge w:val="continue"/>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33" w:type="dxa"/>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szCs w:val="22"/>
              </w:rPr>
              <w:t>3.2.1（</w:t>
            </w:r>
            <w:r>
              <w:rPr>
                <w:rFonts w:hint="eastAsia" w:ascii="宋体" w:hAnsi="宋体" w:eastAsia="宋体" w:cs="宋体"/>
                <w:color w:val="auto"/>
                <w:szCs w:val="22"/>
                <w:lang w:val="en-US" w:eastAsia="zh-CN"/>
              </w:rPr>
              <w:t>3</w:t>
            </w:r>
            <w:r>
              <w:rPr>
                <w:rFonts w:hint="eastAsia" w:ascii="宋体" w:hAnsi="宋体" w:eastAsia="宋体" w:cs="宋体"/>
                <w:color w:val="auto"/>
                <w:szCs w:val="22"/>
              </w:rPr>
              <w:t>）</w:t>
            </w:r>
          </w:p>
        </w:tc>
        <w:tc>
          <w:tcPr>
            <w:tcW w:w="2701" w:type="dxa"/>
            <w:gridSpan w:val="4"/>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szCs w:val="22"/>
              </w:rPr>
              <w:t>商务部分</w:t>
            </w:r>
            <w:r>
              <w:rPr>
                <w:rFonts w:hint="eastAsia" w:ascii="宋体" w:hAnsi="宋体" w:eastAsia="宋体" w:cs="宋体"/>
                <w:color w:val="auto"/>
                <w:kern w:val="0"/>
                <w:szCs w:val="22"/>
              </w:rPr>
              <w:t>得分</w:t>
            </w:r>
            <w:r>
              <w:rPr>
                <w:rFonts w:hint="eastAsia" w:ascii="宋体" w:hAnsi="宋体" w:eastAsia="宋体" w:cs="宋体"/>
                <w:color w:val="auto"/>
                <w:spacing w:val="-8"/>
                <w:szCs w:val="22"/>
              </w:rPr>
              <w:t>（</w:t>
            </w:r>
            <w:r>
              <w:rPr>
                <w:rFonts w:hint="eastAsia" w:ascii="宋体" w:hAnsi="宋体" w:eastAsia="宋体" w:cs="宋体"/>
                <w:color w:val="auto"/>
                <w:spacing w:val="-8"/>
                <w:szCs w:val="22"/>
                <w:lang w:val="en-US" w:eastAsia="zh-CN"/>
              </w:rPr>
              <w:t>C</w:t>
            </w:r>
            <w:r>
              <w:rPr>
                <w:rFonts w:hint="eastAsia" w:ascii="宋体" w:hAnsi="宋体" w:eastAsia="宋体" w:cs="宋体"/>
                <w:color w:val="auto"/>
                <w:spacing w:val="-8"/>
                <w:szCs w:val="22"/>
              </w:rPr>
              <w:t>）</w:t>
            </w:r>
          </w:p>
        </w:tc>
        <w:tc>
          <w:tcPr>
            <w:tcW w:w="5936" w:type="dxa"/>
            <w:gridSpan w:val="2"/>
            <w:vAlign w:val="center"/>
          </w:tcPr>
          <w:p>
            <w:pPr>
              <w:spacing w:line="400" w:lineRule="exact"/>
              <w:ind w:firstLine="420" w:firstLineChars="200"/>
              <w:rPr>
                <w:rFonts w:hint="eastAsia" w:ascii="宋体" w:hAnsi="宋体" w:eastAsia="宋体" w:cs="宋体"/>
                <w:bCs/>
                <w:color w:val="auto"/>
                <w:kern w:val="0"/>
                <w:szCs w:val="21"/>
              </w:rPr>
            </w:pPr>
            <w:r>
              <w:rPr>
                <w:rFonts w:hint="eastAsia" w:ascii="宋体" w:hAnsi="宋体" w:eastAsia="宋体" w:cs="宋体"/>
                <w:color w:val="auto"/>
                <w:szCs w:val="21"/>
              </w:rPr>
              <w:t>评审小组按第2.2.</w:t>
            </w:r>
            <w:r>
              <w:rPr>
                <w:rFonts w:hint="eastAsia" w:ascii="宋体" w:hAnsi="宋体" w:eastAsia="宋体" w:cs="宋体"/>
                <w:color w:val="auto"/>
                <w:szCs w:val="21"/>
                <w:lang w:val="en-US" w:eastAsia="zh-CN"/>
              </w:rPr>
              <w:t>3</w:t>
            </w:r>
            <w:r>
              <w:rPr>
                <w:rFonts w:hint="eastAsia" w:ascii="宋体" w:hAnsi="宋体" w:eastAsia="宋体" w:cs="宋体"/>
                <w:color w:val="auto"/>
                <w:szCs w:val="21"/>
              </w:rPr>
              <w:t>项各评审因素设定的分值评分。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986" w:type="dxa"/>
            <w:gridSpan w:val="3"/>
            <w:vAlign w:val="center"/>
          </w:tcPr>
          <w:p>
            <w:pPr>
              <w:spacing w:line="400" w:lineRule="exact"/>
              <w:ind w:firstLine="18" w:firstLineChars="9"/>
              <w:jc w:val="center"/>
              <w:rPr>
                <w:rFonts w:hint="eastAsia" w:ascii="宋体" w:hAnsi="宋体" w:eastAsia="宋体" w:cs="宋体"/>
                <w:color w:val="auto"/>
                <w:szCs w:val="21"/>
              </w:rPr>
            </w:pPr>
            <w:r>
              <w:rPr>
                <w:rFonts w:hint="eastAsia" w:ascii="宋体" w:hAnsi="宋体" w:eastAsia="宋体" w:cs="宋体"/>
                <w:color w:val="auto"/>
                <w:szCs w:val="21"/>
              </w:rPr>
              <w:t>3.2.3</w:t>
            </w:r>
          </w:p>
        </w:tc>
        <w:tc>
          <w:tcPr>
            <w:tcW w:w="3639" w:type="dxa"/>
            <w:gridSpan w:val="3"/>
            <w:vAlign w:val="center"/>
          </w:tcPr>
          <w:p>
            <w:pPr>
              <w:spacing w:line="400" w:lineRule="exact"/>
              <w:ind w:firstLine="18" w:firstLineChars="9"/>
              <w:jc w:val="center"/>
              <w:rPr>
                <w:rFonts w:hint="eastAsia" w:ascii="宋体" w:hAnsi="宋体" w:eastAsia="宋体" w:cs="宋体"/>
                <w:color w:val="auto"/>
                <w:szCs w:val="21"/>
              </w:rPr>
            </w:pPr>
            <w:r>
              <w:rPr>
                <w:rFonts w:hint="eastAsia" w:ascii="宋体" w:hAnsi="宋体" w:eastAsia="宋体" w:cs="宋体"/>
                <w:color w:val="auto"/>
                <w:szCs w:val="21"/>
              </w:rPr>
              <w:t>竞选人得分</w:t>
            </w:r>
          </w:p>
        </w:tc>
        <w:tc>
          <w:tcPr>
            <w:tcW w:w="3845" w:type="dxa"/>
            <w:vAlign w:val="center"/>
          </w:tcPr>
          <w:p>
            <w:pPr>
              <w:spacing w:line="400" w:lineRule="exact"/>
              <w:jc w:val="center"/>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rPr>
              <w:t>竞选人得分=A+B</w:t>
            </w:r>
            <w:r>
              <w:rPr>
                <w:rFonts w:hint="eastAsia" w:ascii="宋体" w:hAnsi="宋体" w:eastAsia="宋体" w:cs="宋体"/>
                <w:color w:val="auto"/>
                <w:szCs w:val="21"/>
                <w:u w:val="single"/>
                <w:lang w:val="en-US" w:eastAsia="zh-CN"/>
              </w:rPr>
              <w:t>+C</w:t>
            </w:r>
          </w:p>
        </w:tc>
      </w:tr>
    </w:tbl>
    <w:p>
      <w:pPr>
        <w:bidi w:val="0"/>
        <w:rPr>
          <w:rFonts w:hint="eastAsia" w:ascii="宋体" w:hAnsi="宋体" w:eastAsia="宋体" w:cs="宋体"/>
          <w:color w:val="auto"/>
        </w:rPr>
      </w:pPr>
      <w:bookmarkStart w:id="402" w:name="_Toc377067338"/>
      <w:bookmarkStart w:id="403" w:name="_Toc21111"/>
      <w:bookmarkStart w:id="404" w:name="_Toc444155967"/>
      <w:bookmarkStart w:id="405" w:name="_Toc440022826"/>
      <w:bookmarkStart w:id="406" w:name="_Toc376114119"/>
      <w:bookmarkStart w:id="407" w:name="_Toc377115418"/>
      <w:bookmarkStart w:id="408" w:name="_Toc636"/>
      <w:bookmarkStart w:id="409" w:name="_Toc32032"/>
      <w:bookmarkStart w:id="410" w:name="_Toc27466"/>
      <w:bookmarkStart w:id="411" w:name="_Toc27912"/>
      <w:bookmarkStart w:id="412" w:name="_Toc407195378"/>
    </w:p>
    <w:p>
      <w:pPr>
        <w:widowControl/>
        <w:jc w:val="left"/>
        <w:rPr>
          <w:rFonts w:hint="eastAsia" w:ascii="宋体" w:hAnsi="宋体" w:eastAsia="宋体" w:cs="宋体"/>
          <w:b/>
          <w:snapToGrid w:val="0"/>
          <w:color w:val="auto"/>
          <w:szCs w:val="21"/>
        </w:rPr>
      </w:pPr>
      <w:r>
        <w:rPr>
          <w:rFonts w:hint="eastAsia" w:ascii="宋体" w:hAnsi="宋体" w:eastAsia="宋体" w:cs="宋体"/>
          <w:snapToGrid w:val="0"/>
          <w:color w:val="auto"/>
          <w:szCs w:val="21"/>
        </w:rPr>
        <w:br w:type="page"/>
      </w:r>
    </w:p>
    <w:p>
      <w:pPr>
        <w:pStyle w:val="4"/>
        <w:rPr>
          <w:rFonts w:hint="eastAsia"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1. 评审方法</w:t>
      </w:r>
      <w:bookmarkEnd w:id="402"/>
      <w:bookmarkEnd w:id="403"/>
      <w:bookmarkEnd w:id="404"/>
      <w:bookmarkEnd w:id="405"/>
      <w:bookmarkEnd w:id="406"/>
      <w:bookmarkEnd w:id="407"/>
      <w:bookmarkEnd w:id="408"/>
      <w:bookmarkEnd w:id="409"/>
      <w:bookmarkEnd w:id="410"/>
      <w:bookmarkEnd w:id="411"/>
      <w:bookmarkEnd w:id="412"/>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bookmarkStart w:id="413" w:name="_Toc277082619"/>
      <w:bookmarkStart w:id="414" w:name="_Toc224103385"/>
      <w:bookmarkStart w:id="415" w:name="_Toc444155968"/>
      <w:bookmarkStart w:id="416" w:name="_Toc5950"/>
      <w:bookmarkStart w:id="417" w:name="_Toc287607813"/>
      <w:bookmarkStart w:id="418" w:name="_Toc287620752"/>
      <w:bookmarkStart w:id="419" w:name="_Toc2274"/>
      <w:bookmarkStart w:id="420" w:name="_Toc377115419"/>
      <w:bookmarkStart w:id="421" w:name="_Toc376114120"/>
      <w:bookmarkStart w:id="422" w:name="_Toc27406"/>
      <w:bookmarkStart w:id="423" w:name="_Toc407195379"/>
      <w:bookmarkStart w:id="424" w:name="_Toc200513199"/>
      <w:bookmarkStart w:id="425" w:name="_Toc330569206"/>
      <w:bookmarkStart w:id="426" w:name="_Toc23969"/>
      <w:bookmarkStart w:id="427" w:name="_Toc440022827"/>
      <w:bookmarkStart w:id="428" w:name="_Toc16716"/>
      <w:bookmarkStart w:id="429" w:name="_Toc377067339"/>
      <w:r>
        <w:rPr>
          <w:rFonts w:hint="eastAsia" w:ascii="宋体" w:hAnsi="宋体" w:eastAsia="宋体" w:cs="宋体"/>
          <w:color w:val="auto"/>
          <w:kern w:val="0"/>
          <w:szCs w:val="21"/>
        </w:rPr>
        <w:t>本次评审采用综合评估法</w:t>
      </w:r>
      <w:r>
        <w:rPr>
          <w:rFonts w:hint="eastAsia" w:ascii="宋体" w:hAnsi="宋体" w:eastAsia="宋体" w:cs="宋体"/>
          <w:color w:val="auto"/>
          <w:spacing w:val="-47"/>
          <w:kern w:val="0"/>
          <w:szCs w:val="21"/>
        </w:rPr>
        <w:t>。</w:t>
      </w:r>
      <w:r>
        <w:rPr>
          <w:rFonts w:hint="eastAsia" w:ascii="宋体" w:hAnsi="宋体" w:eastAsia="宋体" w:cs="宋体"/>
          <w:color w:val="auto"/>
          <w:kern w:val="0"/>
          <w:szCs w:val="21"/>
        </w:rPr>
        <w:t>评审小组按照本章第</w:t>
      </w:r>
      <w:r>
        <w:rPr>
          <w:rFonts w:hint="eastAsia" w:ascii="宋体" w:hAnsi="宋体" w:eastAsia="宋体" w:cs="宋体"/>
          <w:color w:val="auto"/>
          <w:spacing w:val="1"/>
          <w:kern w:val="0"/>
          <w:szCs w:val="21"/>
        </w:rPr>
        <w:t>2</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2款</w:t>
      </w:r>
      <w:r>
        <w:rPr>
          <w:rFonts w:hint="eastAsia" w:ascii="宋体" w:hAnsi="宋体" w:eastAsia="宋体" w:cs="宋体"/>
          <w:color w:val="auto"/>
          <w:spacing w:val="-1"/>
          <w:kern w:val="0"/>
          <w:szCs w:val="21"/>
        </w:rPr>
        <w:t>规</w:t>
      </w:r>
      <w:r>
        <w:rPr>
          <w:rFonts w:hint="eastAsia" w:ascii="宋体" w:hAnsi="宋体" w:eastAsia="宋体" w:cs="宋体"/>
          <w:color w:val="auto"/>
          <w:kern w:val="0"/>
          <w:szCs w:val="21"/>
        </w:rPr>
        <w:t>定的评分标准进行评分，按得分由高到低顺序推荐中选候选人。综合评分相等时，以</w:t>
      </w:r>
      <w:r>
        <w:rPr>
          <w:rFonts w:hint="eastAsia" w:ascii="宋体" w:hAnsi="宋体" w:eastAsia="宋体" w:cs="宋体"/>
          <w:color w:val="auto"/>
          <w:kern w:val="0"/>
          <w:szCs w:val="21"/>
          <w:lang w:val="en-US" w:eastAsia="zh-CN"/>
        </w:rPr>
        <w:t>经济部分得分高</w:t>
      </w:r>
      <w:r>
        <w:rPr>
          <w:rFonts w:hint="eastAsia" w:ascii="宋体" w:hAnsi="宋体" w:eastAsia="宋体" w:cs="宋体"/>
          <w:color w:val="auto"/>
          <w:kern w:val="0"/>
          <w:szCs w:val="21"/>
        </w:rPr>
        <w:t>的优先；</w:t>
      </w:r>
      <w:r>
        <w:rPr>
          <w:rFonts w:hint="eastAsia" w:ascii="宋体" w:hAnsi="宋体" w:eastAsia="宋体" w:cs="宋体"/>
          <w:color w:val="auto"/>
          <w:kern w:val="0"/>
          <w:szCs w:val="21"/>
          <w:lang w:val="en-US" w:eastAsia="zh-CN"/>
        </w:rPr>
        <w:t>经济部分得分</w:t>
      </w:r>
      <w:r>
        <w:rPr>
          <w:rFonts w:hint="eastAsia" w:ascii="宋体" w:hAnsi="宋体" w:eastAsia="宋体" w:cs="宋体"/>
          <w:color w:val="auto"/>
          <w:kern w:val="0"/>
          <w:szCs w:val="21"/>
        </w:rPr>
        <w:t>相等的</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以</w:t>
      </w:r>
      <w:r>
        <w:rPr>
          <w:rFonts w:hint="eastAsia" w:ascii="宋体" w:hAnsi="宋体" w:eastAsia="宋体" w:cs="宋体"/>
          <w:color w:val="auto"/>
          <w:kern w:val="0"/>
          <w:szCs w:val="21"/>
          <w:lang w:val="en-US" w:eastAsia="zh-CN"/>
        </w:rPr>
        <w:t>技术部分得分高</w:t>
      </w:r>
      <w:r>
        <w:rPr>
          <w:rFonts w:hint="eastAsia" w:ascii="宋体" w:hAnsi="宋体" w:eastAsia="宋体" w:cs="宋体"/>
          <w:color w:val="auto"/>
          <w:kern w:val="0"/>
          <w:szCs w:val="21"/>
        </w:rPr>
        <w:t>的优先；</w:t>
      </w:r>
      <w:r>
        <w:rPr>
          <w:rFonts w:hint="eastAsia" w:ascii="宋体" w:hAnsi="宋体" w:eastAsia="宋体" w:cs="宋体"/>
          <w:color w:val="auto"/>
          <w:kern w:val="0"/>
          <w:szCs w:val="21"/>
          <w:lang w:val="en-US" w:eastAsia="zh-CN"/>
        </w:rPr>
        <w:t>技术部分得分</w:t>
      </w:r>
      <w:r>
        <w:rPr>
          <w:rFonts w:hint="eastAsia" w:ascii="宋体" w:hAnsi="宋体" w:eastAsia="宋体" w:cs="宋体"/>
          <w:color w:val="auto"/>
          <w:kern w:val="0"/>
          <w:szCs w:val="21"/>
        </w:rPr>
        <w:t>相等的，以评审办法前附表约定的原则确定排序</w:t>
      </w:r>
      <w:r>
        <w:rPr>
          <w:rFonts w:hint="eastAsia" w:ascii="宋体" w:hAnsi="宋体" w:eastAsia="宋体" w:cs="宋体"/>
          <w:color w:val="auto"/>
          <w:spacing w:val="-31"/>
          <w:kern w:val="0"/>
          <w:szCs w:val="21"/>
        </w:rPr>
        <w:t>。</w:t>
      </w:r>
    </w:p>
    <w:p>
      <w:pPr>
        <w:pStyle w:val="4"/>
        <w:rPr>
          <w:rFonts w:hint="eastAsia"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2. 评审标准</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pStyle w:val="5"/>
        <w:snapToGrid w:val="0"/>
        <w:spacing w:before="0" w:line="360" w:lineRule="auto"/>
        <w:rPr>
          <w:rFonts w:hint="eastAsia" w:ascii="宋体" w:hAnsi="宋体" w:eastAsia="宋体" w:cs="宋体"/>
          <w:color w:val="auto"/>
          <w:sz w:val="21"/>
          <w:szCs w:val="21"/>
        </w:rPr>
      </w:pPr>
      <w:bookmarkStart w:id="430" w:name="_Toc57820618"/>
      <w:bookmarkStart w:id="431" w:name="_Toc8004"/>
      <w:bookmarkStart w:id="432" w:name="_Toc14353"/>
      <w:bookmarkStart w:id="433" w:name="_Toc287607816"/>
      <w:bookmarkStart w:id="434" w:name="_Toc407195382"/>
      <w:bookmarkStart w:id="435" w:name="_Toc287620755"/>
      <w:bookmarkStart w:id="436" w:name="_Toc200513202"/>
      <w:bookmarkStart w:id="437" w:name="_Toc15132"/>
      <w:bookmarkStart w:id="438" w:name="_Toc377115422"/>
      <w:bookmarkStart w:id="439" w:name="_Toc330569209"/>
      <w:bookmarkStart w:id="440" w:name="_Toc277082622"/>
      <w:bookmarkStart w:id="441" w:name="_Toc377067342"/>
      <w:bookmarkStart w:id="442" w:name="_Toc12538"/>
      <w:bookmarkStart w:id="443" w:name="_Toc444155971"/>
      <w:bookmarkStart w:id="444" w:name="_Toc376114123"/>
      <w:bookmarkStart w:id="445" w:name="_Toc224103388"/>
      <w:bookmarkStart w:id="446" w:name="_Toc440022830"/>
      <w:bookmarkStart w:id="447" w:name="_Toc9488"/>
      <w:r>
        <w:rPr>
          <w:rFonts w:hint="eastAsia" w:ascii="宋体" w:hAnsi="宋体" w:eastAsia="宋体" w:cs="宋体"/>
          <w:color w:val="auto"/>
          <w:sz w:val="21"/>
          <w:szCs w:val="21"/>
        </w:rPr>
        <w:t>2.1</w:t>
      </w:r>
      <w:bookmarkEnd w:id="430"/>
      <w:r>
        <w:rPr>
          <w:rFonts w:hint="eastAsia" w:ascii="宋体" w:hAnsi="宋体" w:eastAsia="宋体" w:cs="宋体"/>
          <w:color w:val="auto"/>
          <w:sz w:val="21"/>
          <w:szCs w:val="21"/>
        </w:rPr>
        <w:t>初步评审标准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bookmarkStart w:id="448" w:name="_Toc57820619"/>
      <w:r>
        <w:rPr>
          <w:rFonts w:hint="eastAsia" w:ascii="宋体" w:hAnsi="宋体" w:eastAsia="宋体" w:cs="宋体"/>
          <w:color w:val="auto"/>
          <w:kern w:val="0"/>
          <w:szCs w:val="21"/>
        </w:rPr>
        <w:t>2.1.1 资格评审标准：见评审办法前附表。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2.1.2 形式评审标准：见评审办法前附表。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2.1.3 响应性评审标准：见评审办法前附表。</w:t>
      </w:r>
    </w:p>
    <w:p>
      <w:pPr>
        <w:pStyle w:val="5"/>
        <w:snapToGrid w:val="0"/>
        <w:spacing w:before="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w:t>
      </w:r>
      <w:bookmarkEnd w:id="448"/>
      <w:r>
        <w:rPr>
          <w:rFonts w:hint="eastAsia" w:ascii="宋体" w:hAnsi="宋体" w:eastAsia="宋体" w:cs="宋体"/>
          <w:color w:val="auto"/>
          <w:sz w:val="21"/>
          <w:szCs w:val="21"/>
        </w:rPr>
        <w:t>分值构成与评分标准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2.2.1  分值构成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（1）技术部分：见评审办法前附表；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（2）商务部分：见评审办法前附表</w:t>
      </w:r>
      <w:r>
        <w:rPr>
          <w:rFonts w:hint="eastAsia" w:ascii="宋体" w:hAnsi="宋体" w:eastAsia="宋体" w:cs="宋体"/>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3）经济部分：</w:t>
      </w:r>
      <w:r>
        <w:rPr>
          <w:rFonts w:hint="eastAsia" w:ascii="宋体" w:hAnsi="宋体" w:eastAsia="宋体" w:cs="宋体"/>
          <w:color w:val="auto"/>
          <w:kern w:val="0"/>
          <w:szCs w:val="21"/>
        </w:rPr>
        <w:t>见评审办法前附表</w:t>
      </w:r>
      <w:r>
        <w:rPr>
          <w:rFonts w:hint="eastAsia" w:ascii="宋体" w:hAnsi="宋体" w:eastAsia="宋体" w:cs="宋体"/>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2.2.2  评分标准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技术部分评分标准：见评审办法前附表。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商务部分评分标准：见评审办法前附表。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经济部分评分标准：见评审办法前附表。</w:t>
      </w:r>
    </w:p>
    <w:p>
      <w:pPr>
        <w:pStyle w:val="4"/>
        <w:rPr>
          <w:rFonts w:hint="eastAsia"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3. 评审程序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pStyle w:val="5"/>
        <w:snapToGrid w:val="0"/>
        <w:spacing w:before="0" w:line="360" w:lineRule="auto"/>
        <w:rPr>
          <w:rFonts w:hint="eastAsia" w:ascii="宋体" w:hAnsi="宋体" w:eastAsia="宋体" w:cs="宋体"/>
          <w:color w:val="auto"/>
          <w:sz w:val="21"/>
          <w:szCs w:val="21"/>
        </w:rPr>
      </w:pPr>
      <w:bookmarkStart w:id="449" w:name="_Toc57820621"/>
      <w:bookmarkStart w:id="450" w:name="_Toc444155974"/>
      <w:bookmarkStart w:id="451" w:name="_Toc224103390"/>
      <w:bookmarkStart w:id="452" w:name="_Toc330569212"/>
      <w:bookmarkStart w:id="453" w:name="_Toc377115425"/>
      <w:bookmarkStart w:id="454" w:name="_Toc376114126"/>
      <w:bookmarkStart w:id="455" w:name="_Toc377067345"/>
      <w:bookmarkStart w:id="456" w:name="_Toc29925"/>
      <w:bookmarkStart w:id="457" w:name="_Toc19604"/>
      <w:bookmarkStart w:id="458" w:name="_Toc440022833"/>
      <w:bookmarkStart w:id="459" w:name="_Toc22246"/>
      <w:bookmarkStart w:id="460" w:name="_Toc11246"/>
      <w:bookmarkStart w:id="461" w:name="_Toc407195385"/>
      <w:bookmarkStart w:id="462" w:name="_Toc200513204"/>
      <w:bookmarkStart w:id="463" w:name="_Toc277082624"/>
      <w:bookmarkStart w:id="464" w:name="_Toc287620757"/>
      <w:bookmarkStart w:id="465" w:name="_Toc287607818"/>
      <w:r>
        <w:rPr>
          <w:rFonts w:hint="eastAsia" w:ascii="宋体" w:hAnsi="宋体" w:eastAsia="宋体" w:cs="宋体"/>
          <w:color w:val="auto"/>
          <w:sz w:val="21"/>
          <w:szCs w:val="21"/>
        </w:rPr>
        <w:t>3.1</w:t>
      </w:r>
      <w:bookmarkEnd w:id="449"/>
      <w:r>
        <w:rPr>
          <w:rFonts w:hint="eastAsia" w:ascii="宋体" w:hAnsi="宋体" w:eastAsia="宋体" w:cs="宋体"/>
          <w:color w:val="auto"/>
          <w:sz w:val="21"/>
          <w:szCs w:val="21"/>
        </w:rPr>
        <w:t>初步评审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bookmarkStart w:id="466" w:name="_Toc57820622"/>
      <w:r>
        <w:rPr>
          <w:rFonts w:hint="eastAsia" w:ascii="宋体" w:hAnsi="宋体" w:eastAsia="宋体" w:cs="宋体"/>
          <w:color w:val="auto"/>
          <w:kern w:val="0"/>
          <w:szCs w:val="21"/>
        </w:rPr>
        <w:t>3.1.1  评审小组依据本章第 2.1 款规定的标准对竞选文件进行初步评审。有一项不符合评审标准的，作否决比选处理。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3.1.2  竞选人有以下情形之一的，其竞选作否决比选处理：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1</w:t>
      </w:r>
      <w:r>
        <w:rPr>
          <w:rFonts w:hint="eastAsia" w:ascii="宋体" w:hAnsi="宋体" w:eastAsia="宋体" w:cs="宋体"/>
          <w:color w:val="auto"/>
          <w:kern w:val="0"/>
          <w:szCs w:val="21"/>
        </w:rPr>
        <w:t>）第二</w:t>
      </w:r>
      <w:r>
        <w:rPr>
          <w:rFonts w:hint="eastAsia" w:ascii="宋体" w:hAnsi="宋体" w:eastAsia="宋体" w:cs="宋体"/>
          <w:color w:val="auto"/>
          <w:spacing w:val="-1"/>
          <w:kern w:val="0"/>
          <w:szCs w:val="21"/>
        </w:rPr>
        <w:t>章</w:t>
      </w:r>
      <w:r>
        <w:rPr>
          <w:rFonts w:hint="eastAsia" w:ascii="宋体" w:hAnsi="宋体" w:eastAsia="宋体" w:cs="宋体"/>
          <w:color w:val="auto"/>
          <w:kern w:val="0"/>
          <w:szCs w:val="21"/>
        </w:rPr>
        <w:t>“竞选人须知”第</w:t>
      </w:r>
      <w:r>
        <w:rPr>
          <w:rFonts w:hint="eastAsia" w:ascii="宋体" w:hAnsi="宋体" w:eastAsia="宋体" w:cs="宋体"/>
          <w:color w:val="auto"/>
          <w:spacing w:val="1"/>
          <w:kern w:val="0"/>
          <w:szCs w:val="21"/>
        </w:rPr>
        <w:t>1</w:t>
      </w:r>
      <w:r>
        <w:rPr>
          <w:rFonts w:hint="eastAsia" w:ascii="宋体" w:hAnsi="宋体" w:eastAsia="宋体" w:cs="宋体"/>
          <w:color w:val="auto"/>
          <w:spacing w:val="-1"/>
          <w:kern w:val="0"/>
          <w:szCs w:val="21"/>
        </w:rPr>
        <w:t>.</w:t>
      </w:r>
      <w:r>
        <w:rPr>
          <w:rFonts w:hint="eastAsia" w:ascii="宋体" w:hAnsi="宋体" w:eastAsia="宋体" w:cs="宋体"/>
          <w:color w:val="auto"/>
          <w:spacing w:val="1"/>
          <w:kern w:val="0"/>
          <w:szCs w:val="21"/>
        </w:rPr>
        <w:t>4</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3项规定的任何一种情形的；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2</w:t>
      </w:r>
      <w:r>
        <w:rPr>
          <w:rFonts w:hint="eastAsia" w:ascii="宋体" w:hAnsi="宋体" w:eastAsia="宋体" w:cs="宋体"/>
          <w:color w:val="auto"/>
          <w:kern w:val="0"/>
          <w:szCs w:val="21"/>
        </w:rPr>
        <w:t>）</w:t>
      </w:r>
      <w:r>
        <w:rPr>
          <w:rFonts w:hint="eastAsia" w:ascii="宋体" w:hAnsi="宋体" w:eastAsia="宋体" w:cs="宋体"/>
          <w:color w:val="auto"/>
          <w:szCs w:val="21"/>
        </w:rPr>
        <w:t>本次竞选有串通投标、弄虚作假等其他违反招投标相关法律、法规行为的</w:t>
      </w:r>
      <w:r>
        <w:rPr>
          <w:rFonts w:hint="eastAsia" w:ascii="宋体" w:hAnsi="宋体" w:eastAsia="宋体" w:cs="宋体"/>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3</w:t>
      </w:r>
      <w:r>
        <w:rPr>
          <w:rFonts w:hint="eastAsia" w:ascii="宋体" w:hAnsi="宋体" w:eastAsia="宋体" w:cs="宋体"/>
          <w:color w:val="auto"/>
          <w:kern w:val="0"/>
          <w:szCs w:val="21"/>
        </w:rPr>
        <w:t>）拒绝按</w:t>
      </w:r>
      <w:r>
        <w:rPr>
          <w:rFonts w:hint="eastAsia" w:ascii="宋体" w:hAnsi="宋体" w:eastAsia="宋体" w:cs="宋体"/>
          <w:color w:val="auto"/>
          <w:spacing w:val="-1"/>
          <w:kern w:val="0"/>
          <w:szCs w:val="21"/>
        </w:rPr>
        <w:t>评</w:t>
      </w:r>
      <w:r>
        <w:rPr>
          <w:rFonts w:hint="eastAsia" w:ascii="宋体" w:hAnsi="宋体" w:eastAsia="宋体" w:cs="宋体"/>
          <w:color w:val="auto"/>
          <w:kern w:val="0"/>
          <w:szCs w:val="21"/>
        </w:rPr>
        <w:t>审小组要求澄清、说明或补正的。</w:t>
      </w:r>
    </w:p>
    <w:p>
      <w:pPr>
        <w:pStyle w:val="5"/>
        <w:snapToGrid w:val="0"/>
        <w:spacing w:before="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3.2</w:t>
      </w:r>
      <w:bookmarkEnd w:id="466"/>
      <w:r>
        <w:rPr>
          <w:rFonts w:hint="eastAsia" w:ascii="宋体" w:hAnsi="宋体" w:eastAsia="宋体" w:cs="宋体"/>
          <w:color w:val="auto"/>
          <w:sz w:val="21"/>
          <w:szCs w:val="21"/>
        </w:rPr>
        <w:t>详细评审</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bookmarkStart w:id="467" w:name="_Toc444155975"/>
      <w:bookmarkStart w:id="468" w:name="_Toc287607819"/>
      <w:bookmarkStart w:id="469" w:name="_Toc377115426"/>
      <w:bookmarkStart w:id="470" w:name="_Toc440022834"/>
      <w:bookmarkStart w:id="471" w:name="_Toc224103391"/>
      <w:bookmarkStart w:id="472" w:name="_Toc407195386"/>
      <w:bookmarkStart w:id="473" w:name="_Toc377067346"/>
      <w:bookmarkStart w:id="474" w:name="_Toc1080"/>
      <w:bookmarkStart w:id="475" w:name="_Toc287620758"/>
      <w:bookmarkStart w:id="476" w:name="_Toc330569213"/>
      <w:bookmarkStart w:id="477" w:name="_Toc29261"/>
      <w:bookmarkStart w:id="478" w:name="_Toc376114127"/>
      <w:bookmarkStart w:id="479" w:name="_Toc18708"/>
      <w:bookmarkStart w:id="480" w:name="_Toc20948"/>
      <w:bookmarkStart w:id="481" w:name="_Toc277082625"/>
      <w:bookmarkStart w:id="482" w:name="_Toc200513205"/>
      <w:r>
        <w:rPr>
          <w:rFonts w:hint="eastAsia" w:ascii="宋体" w:hAnsi="宋体" w:eastAsia="宋体" w:cs="宋体"/>
          <w:color w:val="auto"/>
          <w:kern w:val="0"/>
          <w:szCs w:val="21"/>
        </w:rPr>
        <w:t>3.2.1 评审小组按本章第3.2款规定的量化因素和分值进行打分，并计算出综合评估得分。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（1）按本章第3.2.1（1）目规定的评审因素和分值对</w:t>
      </w:r>
      <w:r>
        <w:rPr>
          <w:rFonts w:hint="eastAsia" w:ascii="宋体" w:hAnsi="宋体" w:eastAsia="宋体" w:cs="宋体"/>
          <w:color w:val="auto"/>
          <w:kern w:val="0"/>
          <w:szCs w:val="21"/>
          <w:lang w:val="en-US" w:eastAsia="zh-CN"/>
        </w:rPr>
        <w:t>经济</w:t>
      </w:r>
      <w:r>
        <w:rPr>
          <w:rFonts w:hint="eastAsia" w:ascii="宋体" w:hAnsi="宋体" w:eastAsia="宋体" w:cs="宋体"/>
          <w:color w:val="auto"/>
          <w:kern w:val="0"/>
          <w:szCs w:val="21"/>
        </w:rPr>
        <w:t>部分计算出得分A</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按本章第3.2.1（1）目规定的评审因素和分值对技术部分计算出得分</w:t>
      </w:r>
      <w:r>
        <w:rPr>
          <w:rFonts w:hint="eastAsia" w:ascii="宋体" w:hAnsi="宋体" w:eastAsia="宋体" w:cs="宋体"/>
          <w:color w:val="auto"/>
          <w:kern w:val="0"/>
          <w:szCs w:val="21"/>
          <w:lang w:val="en-US" w:eastAsia="zh-CN"/>
        </w:rPr>
        <w:t>B</w:t>
      </w:r>
      <w:r>
        <w:rPr>
          <w:rFonts w:hint="eastAsia" w:ascii="宋体" w:hAnsi="宋体" w:eastAsia="宋体" w:cs="宋体"/>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）按本章第3.2.1（2）目规定的评审因素和分值对商务部分计算出得分</w:t>
      </w:r>
      <w:r>
        <w:rPr>
          <w:rFonts w:hint="eastAsia" w:ascii="宋体" w:hAnsi="宋体" w:eastAsia="宋体" w:cs="宋体"/>
          <w:color w:val="auto"/>
          <w:kern w:val="0"/>
          <w:szCs w:val="21"/>
          <w:lang w:val="en-US" w:eastAsia="zh-CN"/>
        </w:rPr>
        <w:t>C</w:t>
      </w:r>
      <w:r>
        <w:rPr>
          <w:rFonts w:hint="eastAsia" w:ascii="宋体" w:hAnsi="宋体" w:eastAsia="宋体" w:cs="宋体"/>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3.2.2 评分分值计算保留小数点后两位，小数点后第三位“四舍五入”。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3.2.3 竞选人得分=A+B</w:t>
      </w:r>
      <w:r>
        <w:rPr>
          <w:rFonts w:hint="eastAsia" w:ascii="宋体" w:hAnsi="宋体" w:eastAsia="宋体" w:cs="宋体"/>
          <w:color w:val="auto"/>
          <w:kern w:val="0"/>
          <w:szCs w:val="21"/>
          <w:lang w:val="en-US" w:eastAsia="zh-CN"/>
        </w:rPr>
        <w:t>+C</w:t>
      </w:r>
      <w:r>
        <w:rPr>
          <w:rFonts w:hint="eastAsia" w:ascii="宋体" w:hAnsi="宋体" w:eastAsia="宋体" w:cs="宋体"/>
          <w:color w:val="auto"/>
          <w:kern w:val="0"/>
          <w:szCs w:val="21"/>
        </w:rPr>
        <w:t>。</w:t>
      </w:r>
    </w:p>
    <w:p>
      <w:pPr>
        <w:pStyle w:val="5"/>
        <w:snapToGrid w:val="0"/>
        <w:spacing w:before="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3.3 竞选文件的澄清和补正</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3.3.2 澄清、说明和补正不得改变竞选文件的实质性内容（算术性错误修正的除外）。竞选人的书面澄清、说明和补正属于竞选文件的组成部分。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3.3.3 评审小组对竞选人提交的澄清、说明或补正有疑问的，可以要求竞选人进一步澄清、说明或补正，直至满足评审小组的要求。</w:t>
      </w:r>
    </w:p>
    <w:p>
      <w:pPr>
        <w:pStyle w:val="5"/>
        <w:snapToGrid w:val="0"/>
        <w:spacing w:before="0" w:line="360" w:lineRule="auto"/>
        <w:rPr>
          <w:rFonts w:hint="eastAsia" w:ascii="宋体" w:hAnsi="宋体" w:eastAsia="宋体" w:cs="宋体"/>
          <w:color w:val="auto"/>
          <w:sz w:val="21"/>
          <w:szCs w:val="21"/>
        </w:rPr>
      </w:pPr>
      <w:bookmarkStart w:id="483" w:name="_Toc19054"/>
      <w:bookmarkStart w:id="484" w:name="_Toc200513206"/>
      <w:bookmarkStart w:id="485" w:name="_Toc277082626"/>
      <w:bookmarkStart w:id="486" w:name="_Toc440022835"/>
      <w:bookmarkStart w:id="487" w:name="_Toc376114128"/>
      <w:bookmarkStart w:id="488" w:name="_Toc287620759"/>
      <w:bookmarkStart w:id="489" w:name="_Toc287607820"/>
      <w:bookmarkStart w:id="490" w:name="_Toc377067347"/>
      <w:bookmarkStart w:id="491" w:name="_Toc14840"/>
      <w:bookmarkStart w:id="492" w:name="_Toc31270"/>
      <w:bookmarkStart w:id="493" w:name="_Toc444155976"/>
      <w:bookmarkStart w:id="494" w:name="_Toc224103392"/>
      <w:bookmarkStart w:id="495" w:name="_Toc330569214"/>
      <w:bookmarkStart w:id="496" w:name="_Toc407195387"/>
      <w:bookmarkStart w:id="497" w:name="_Toc30672"/>
      <w:bookmarkStart w:id="498" w:name="_Toc377115427"/>
      <w:r>
        <w:rPr>
          <w:rFonts w:hint="eastAsia" w:ascii="宋体" w:hAnsi="宋体" w:eastAsia="宋体" w:cs="宋体"/>
          <w:color w:val="auto"/>
          <w:sz w:val="21"/>
          <w:szCs w:val="21"/>
        </w:rPr>
        <w:t>3.4 评审结果</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3.4.1 除第二章“竞选人须知”前附表授权直接确定中选人外，评审小组按照得分由高到低的顺序推荐中选候选人。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3.4.2 评审小组完成评审后，应当向比选人提交书面评审报告。</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br w:type="page"/>
      </w:r>
    </w:p>
    <w:p>
      <w:pPr>
        <w:outlineLvl w:val="1"/>
        <w:rPr>
          <w:rFonts w:hint="eastAsia" w:ascii="宋体" w:hAnsi="宋体" w:eastAsia="宋体" w:cs="宋体"/>
          <w:color w:val="auto"/>
        </w:rPr>
      </w:pPr>
      <w:bookmarkStart w:id="499" w:name="_Toc19078"/>
      <w:r>
        <w:rPr>
          <w:rFonts w:hint="eastAsia" w:ascii="宋体" w:hAnsi="宋体" w:eastAsia="宋体" w:cs="宋体"/>
          <w:color w:val="auto"/>
        </w:rPr>
        <w:t>附件A：否决比选条件</w:t>
      </w:r>
      <w:bookmarkEnd w:id="499"/>
    </w:p>
    <w:p>
      <w:pPr>
        <w:pStyle w:val="36"/>
        <w:spacing w:line="360" w:lineRule="auto"/>
        <w:rPr>
          <w:rFonts w:hint="eastAsia" w:ascii="宋体" w:hAnsi="宋体" w:eastAsia="宋体" w:cs="宋体"/>
          <w:b/>
          <w:color w:val="auto"/>
          <w:szCs w:val="21"/>
          <w:lang w:eastAsia="zh-CN"/>
        </w:rPr>
      </w:pPr>
      <w:bookmarkStart w:id="500" w:name="招标文件03章02评标办法综合评估法02附件02"/>
      <w:bookmarkEnd w:id="500"/>
      <w:bookmarkStart w:id="501" w:name="招标文件04章合同条款及格式"/>
      <w:bookmarkEnd w:id="501"/>
      <w:bookmarkStart w:id="502" w:name="_Toc230410480"/>
      <w:bookmarkStart w:id="503" w:name="_Toc277082627"/>
      <w:r>
        <w:rPr>
          <w:rFonts w:hint="eastAsia" w:ascii="宋体" w:hAnsi="宋体" w:eastAsia="宋体" w:cs="宋体"/>
          <w:b/>
          <w:color w:val="auto"/>
          <w:szCs w:val="21"/>
          <w:lang w:eastAsia="zh-CN"/>
        </w:rPr>
        <w:t>附件A：否决比选情况一览表</w:t>
      </w:r>
      <w:bookmarkEnd w:id="502"/>
    </w:p>
    <w:p>
      <w:pPr>
        <w:pStyle w:val="36"/>
        <w:spacing w:line="360" w:lineRule="auto"/>
        <w:ind w:firstLine="211" w:firstLineChars="100"/>
        <w:jc w:val="both"/>
        <w:rPr>
          <w:rFonts w:hint="eastAsia" w:ascii="宋体" w:hAnsi="宋体" w:eastAsia="宋体" w:cs="宋体"/>
          <w:b/>
          <w:color w:val="auto"/>
          <w:szCs w:val="21"/>
          <w:u w:val="none"/>
          <w:lang w:eastAsia="zh-CN"/>
        </w:rPr>
      </w:pPr>
      <w:r>
        <w:rPr>
          <w:rFonts w:hint="eastAsia" w:ascii="宋体" w:hAnsi="宋体" w:eastAsia="宋体" w:cs="宋体"/>
          <w:b/>
          <w:color w:val="auto"/>
          <w:szCs w:val="21"/>
          <w:u w:val="none"/>
          <w:lang w:eastAsia="zh-CN"/>
        </w:rPr>
        <w:t>否决比选条件一览表之外的评审小组不得判为重大偏差。</w:t>
      </w:r>
    </w:p>
    <w:bookmarkEnd w:id="503"/>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竞争性比选文件章节号</w:t>
            </w:r>
          </w:p>
        </w:tc>
        <w:tc>
          <w:tcPr>
            <w:tcW w:w="1425" w:type="dxa"/>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275" w:type="dxa"/>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否决比选条件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第二章3.2</w:t>
            </w:r>
          </w:p>
        </w:tc>
        <w:tc>
          <w:tcPr>
            <w:tcW w:w="1425" w:type="dxa"/>
            <w:vAlign w:val="center"/>
          </w:tcPr>
          <w:p>
            <w:pPr>
              <w:adjustRightInd w:val="0"/>
              <w:snapToGrid w:val="0"/>
              <w:spacing w:line="400" w:lineRule="exact"/>
              <w:jc w:val="center"/>
              <w:rPr>
                <w:rFonts w:hint="eastAsia" w:ascii="宋体" w:hAnsi="宋体" w:eastAsia="宋体" w:cs="宋体"/>
                <w:b/>
                <w:color w:val="auto"/>
                <w:szCs w:val="21"/>
                <w:lang w:eastAsia="zh-CN"/>
              </w:rPr>
            </w:pPr>
            <w:r>
              <w:rPr>
                <w:rFonts w:hint="eastAsia" w:ascii="宋体" w:hAnsi="宋体" w:eastAsia="宋体" w:cs="宋体"/>
                <w:color w:val="auto"/>
                <w:szCs w:val="21"/>
                <w:lang w:eastAsia="zh-CN"/>
              </w:rPr>
              <w:t>竞选报价</w:t>
            </w:r>
          </w:p>
        </w:tc>
        <w:tc>
          <w:tcPr>
            <w:tcW w:w="6275" w:type="dxa"/>
            <w:vAlign w:val="center"/>
          </w:tcPr>
          <w:p>
            <w:pPr>
              <w:adjustRightInd w:val="0"/>
              <w:snapToGrid w:val="0"/>
              <w:spacing w:line="400" w:lineRule="exact"/>
              <w:ind w:firstLine="420" w:firstLineChars="200"/>
              <w:jc w:val="left"/>
              <w:rPr>
                <w:rFonts w:hint="eastAsia" w:ascii="宋体" w:hAnsi="宋体" w:eastAsia="宋体" w:cs="宋体"/>
                <w:b/>
                <w:color w:val="auto"/>
                <w:szCs w:val="21"/>
              </w:rPr>
            </w:pPr>
            <w:r>
              <w:rPr>
                <w:rFonts w:hint="eastAsia" w:ascii="宋体" w:hAnsi="宋体" w:eastAsia="宋体" w:cs="宋体"/>
                <w:color w:val="auto"/>
                <w:szCs w:val="21"/>
              </w:rPr>
              <w:t>满足第二章竞选人须知前附表3.2“</w:t>
            </w:r>
            <w:r>
              <w:rPr>
                <w:rFonts w:hint="eastAsia" w:ascii="宋体" w:hAnsi="宋体" w:eastAsia="宋体" w:cs="宋体"/>
                <w:color w:val="auto"/>
                <w:kern w:val="0"/>
                <w:szCs w:val="21"/>
                <w:lang w:eastAsia="zh-CN"/>
              </w:rPr>
              <w:t>竞选报价</w:t>
            </w:r>
            <w:r>
              <w:rPr>
                <w:rFonts w:hint="eastAsia" w:ascii="宋体" w:hAnsi="宋体" w:eastAsia="宋体" w:cs="宋体"/>
                <w:color w:val="auto"/>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第二章3.4.1</w:t>
            </w:r>
          </w:p>
        </w:tc>
        <w:tc>
          <w:tcPr>
            <w:tcW w:w="1425" w:type="dxa"/>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竞选保证金</w:t>
            </w:r>
          </w:p>
        </w:tc>
        <w:tc>
          <w:tcPr>
            <w:tcW w:w="6275" w:type="dxa"/>
            <w:vAlign w:val="center"/>
          </w:tcPr>
          <w:p>
            <w:pPr>
              <w:adjustRightInd w:val="0"/>
              <w:snapToGrid w:val="0"/>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满足第二章3.4.1要求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第三章3.1</w:t>
            </w:r>
          </w:p>
        </w:tc>
        <w:tc>
          <w:tcPr>
            <w:tcW w:w="1425" w:type="dxa"/>
            <w:vMerge w:val="restar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初步评审</w:t>
            </w:r>
          </w:p>
        </w:tc>
        <w:tc>
          <w:tcPr>
            <w:tcW w:w="6275" w:type="dxa"/>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评审小组依据本章第2.1款规定的标准对竞选文件进行初步评审。有一项不符合评审标准的，竞选文件按否决比选处理。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tcPr>
          <w:p>
            <w:pPr>
              <w:adjustRightInd w:val="0"/>
              <w:snapToGrid w:val="0"/>
              <w:spacing w:line="400" w:lineRule="exact"/>
              <w:jc w:val="center"/>
              <w:rPr>
                <w:rFonts w:hint="eastAsia" w:ascii="宋体" w:hAnsi="宋体" w:eastAsia="宋体" w:cs="宋体"/>
                <w:color w:val="auto"/>
                <w:szCs w:val="21"/>
              </w:rPr>
            </w:pPr>
          </w:p>
        </w:tc>
        <w:tc>
          <w:tcPr>
            <w:tcW w:w="1425" w:type="dxa"/>
            <w:vMerge w:val="continue"/>
          </w:tcPr>
          <w:p>
            <w:pPr>
              <w:adjustRightInd w:val="0"/>
              <w:snapToGrid w:val="0"/>
              <w:spacing w:line="400" w:lineRule="exact"/>
              <w:rPr>
                <w:rFonts w:hint="eastAsia" w:ascii="宋体" w:hAnsi="宋体" w:eastAsia="宋体" w:cs="宋体"/>
                <w:color w:val="auto"/>
                <w:szCs w:val="21"/>
              </w:rPr>
            </w:pPr>
          </w:p>
        </w:tc>
        <w:tc>
          <w:tcPr>
            <w:tcW w:w="6275" w:type="dxa"/>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竞选人有以下情形之一的，其竞选文件按否决比选处理：</w:t>
            </w:r>
          </w:p>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（1）第二章“竞选人须知”第1.4.3项规定的任何一种情形的；</w:t>
            </w:r>
          </w:p>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（2）串通竞选或弄虚作假或有其他违法行为的；</w:t>
            </w:r>
          </w:p>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（3）不按评审小组要求澄清、说明或补正的。</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（4）本竞争性比选文件约定的其它情形。</w:t>
            </w:r>
          </w:p>
        </w:tc>
      </w:tr>
    </w:tbl>
    <w:p>
      <w:pPr>
        <w:pStyle w:val="39"/>
        <w:spacing w:after="0" w:line="400" w:lineRule="exact"/>
        <w:ind w:left="0" w:leftChars="0" w:firstLine="321" w:firstLineChars="200"/>
        <w:rPr>
          <w:rFonts w:hint="eastAsia" w:ascii="宋体" w:hAnsi="宋体" w:eastAsia="宋体" w:cs="宋体"/>
          <w:b/>
          <w:bCs/>
          <w:color w:val="auto"/>
        </w:rPr>
      </w:pPr>
      <w:bookmarkStart w:id="504" w:name="_Toc16033"/>
      <w:bookmarkEnd w:id="504"/>
      <w:bookmarkStart w:id="505" w:name="_Toc12655"/>
      <w:bookmarkEnd w:id="505"/>
      <w:bookmarkStart w:id="506" w:name="_Toc27237"/>
      <w:bookmarkStart w:id="507" w:name="_Toc277543153"/>
      <w:bookmarkStart w:id="508" w:name="_Toc359587985"/>
      <w:bookmarkStart w:id="509" w:name="_Toc26213"/>
      <w:bookmarkStart w:id="510" w:name="_Toc454967660"/>
      <w:bookmarkStart w:id="511" w:name="_Toc359588084"/>
      <w:bookmarkStart w:id="512" w:name="_Toc24282"/>
      <w:bookmarkStart w:id="513" w:name="_Toc224103476"/>
      <w:bookmarkStart w:id="514" w:name="_Toc444155988"/>
    </w:p>
    <w:p>
      <w:pPr>
        <w:pStyle w:val="3"/>
        <w:numPr>
          <w:ilvl w:val="0"/>
          <w:numId w:val="0"/>
        </w:numPr>
        <w:rPr>
          <w:rFonts w:hint="eastAsia" w:ascii="宋体" w:hAnsi="宋体" w:eastAsia="宋体" w:cs="宋体"/>
          <w:b/>
          <w:bCs/>
          <w:color w:val="auto"/>
        </w:rPr>
      </w:pPr>
      <w:r>
        <w:rPr>
          <w:rFonts w:hint="eastAsia" w:ascii="宋体" w:hAnsi="宋体" w:eastAsia="宋体" w:cs="宋体"/>
          <w:b/>
          <w:bCs/>
          <w:color w:val="auto"/>
        </w:rPr>
        <w:br w:type="page"/>
      </w:r>
      <w:bookmarkStart w:id="515" w:name="_Toc25103"/>
      <w:bookmarkStart w:id="516" w:name="_Toc27248"/>
      <w:r>
        <w:rPr>
          <w:rFonts w:hint="eastAsia" w:ascii="宋体" w:hAnsi="宋体" w:eastAsia="宋体" w:cs="宋体"/>
          <w:b/>
          <w:color w:val="auto"/>
          <w:kern w:val="0"/>
          <w:sz w:val="36"/>
          <w:szCs w:val="36"/>
        </w:rPr>
        <w:t>第四章 合同条款</w:t>
      </w:r>
      <w:bookmarkEnd w:id="515"/>
      <w:bookmarkEnd w:id="516"/>
    </w:p>
    <w:p>
      <w:pPr>
        <w:widowControl/>
        <w:jc w:val="left"/>
        <w:rPr>
          <w:rFonts w:hint="eastAsia" w:ascii="宋体" w:hAnsi="宋体" w:eastAsia="宋体" w:cs="宋体"/>
          <w:color w:val="auto"/>
        </w:rPr>
      </w:pPr>
      <w:r>
        <w:rPr>
          <w:rFonts w:hint="eastAsia" w:ascii="宋体" w:hAnsi="宋体" w:eastAsia="宋体" w:cs="宋体"/>
          <w:color w:val="auto"/>
        </w:rPr>
        <w:br w:type="page"/>
      </w:r>
    </w:p>
    <w:bookmarkEnd w:id="506"/>
    <w:bookmarkEnd w:id="507"/>
    <w:bookmarkEnd w:id="508"/>
    <w:bookmarkEnd w:id="509"/>
    <w:bookmarkEnd w:id="510"/>
    <w:bookmarkEnd w:id="511"/>
    <w:bookmarkEnd w:id="512"/>
    <w:bookmarkEnd w:id="513"/>
    <w:bookmarkEnd w:id="514"/>
    <w:p>
      <w:pPr>
        <w:jc w:val="left"/>
        <w:rPr>
          <w:rFonts w:hint="eastAsia" w:ascii="宋体" w:hAnsi="宋体" w:eastAsia="宋体" w:cs="宋体"/>
          <w:color w:val="auto"/>
          <w:sz w:val="24"/>
          <w:szCs w:val="24"/>
          <w:highlight w:val="none"/>
          <w:lang w:val="en-US" w:eastAsia="zh-CN"/>
        </w:rPr>
      </w:pPr>
      <w:bookmarkStart w:id="517" w:name="_Toc312326634"/>
      <w:bookmarkStart w:id="518" w:name="_Toc312326016"/>
      <w:bookmarkStart w:id="519" w:name="_Toc475703884"/>
      <w:bookmarkStart w:id="520" w:name="_Toc312326143"/>
      <w:bookmarkStart w:id="521" w:name="_Toc312325930"/>
      <w:bookmarkStart w:id="522" w:name="_Toc310932781"/>
      <w:bookmarkStart w:id="523" w:name="_Toc312326142"/>
      <w:bookmarkStart w:id="524" w:name="_Toc13570"/>
      <w:bookmarkStart w:id="525" w:name="_Toc312326017"/>
      <w:bookmarkStart w:id="526" w:name="_Toc312325929"/>
      <w:r>
        <w:rPr>
          <w:rFonts w:hint="eastAsia" w:ascii="宋体" w:hAnsi="宋体" w:eastAsia="宋体" w:cs="宋体"/>
          <w:color w:val="auto"/>
          <w:sz w:val="24"/>
          <w:szCs w:val="24"/>
          <w:highlight w:val="none"/>
          <w:lang w:eastAsia="zh-CN"/>
        </w:rPr>
        <w:t>本合同为参考版本，可根据项目情况</w:t>
      </w:r>
      <w:r>
        <w:rPr>
          <w:rFonts w:hint="eastAsia" w:ascii="宋体" w:hAnsi="宋体" w:eastAsia="宋体" w:cs="宋体"/>
          <w:color w:val="auto"/>
          <w:sz w:val="24"/>
          <w:szCs w:val="24"/>
          <w:highlight w:val="none"/>
          <w:lang w:val="en-US" w:eastAsia="zh-CN"/>
        </w:rPr>
        <w:t>按相关规定调整。</w:t>
      </w: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bCs/>
          <w:color w:val="auto"/>
          <w:sz w:val="44"/>
          <w:szCs w:val="44"/>
          <w:highlight w:val="none"/>
        </w:rPr>
      </w:pPr>
      <w:bookmarkStart w:id="527" w:name="_Toc32072"/>
      <w:bookmarkStart w:id="528" w:name="_Toc1837"/>
      <w:r>
        <w:rPr>
          <w:rFonts w:hint="eastAsia" w:ascii="宋体" w:hAnsi="宋体" w:eastAsia="宋体" w:cs="宋体"/>
          <w:b/>
          <w:bCs/>
          <w:color w:val="auto"/>
          <w:sz w:val="44"/>
          <w:szCs w:val="44"/>
          <w:highlight w:val="none"/>
        </w:rPr>
        <w:t>合同协议书</w:t>
      </w:r>
      <w:bookmarkEnd w:id="527"/>
      <w:bookmarkEnd w:id="528"/>
    </w:p>
    <w:p>
      <w:pPr>
        <w:keepNext w:val="0"/>
        <w:keepLines w:val="0"/>
        <w:pageBreakBefore w:val="0"/>
        <w:kinsoku/>
        <w:wordWrap/>
        <w:overflowPunct/>
        <w:topLinePunct w:val="0"/>
        <w:bidi w:val="0"/>
        <w:spacing w:line="240" w:lineRule="auto"/>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施工及有关事项协商一致，共同达成如下协议：</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29" w:name="_Toc351203481"/>
      <w:bookmarkStart w:id="530" w:name="_Toc6202"/>
      <w:bookmarkStart w:id="531" w:name="_Toc25789"/>
      <w:r>
        <w:rPr>
          <w:rFonts w:hint="eastAsia" w:ascii="宋体" w:hAnsi="宋体" w:eastAsia="宋体" w:cs="宋体"/>
          <w:b/>
          <w:color w:val="auto"/>
          <w:sz w:val="24"/>
          <w:szCs w:val="24"/>
          <w:highlight w:val="none"/>
        </w:rPr>
        <w:t>一、工程概况</w:t>
      </w:r>
      <w:bookmarkEnd w:id="529"/>
      <w:bookmarkEnd w:id="530"/>
      <w:bookmarkEnd w:id="531"/>
    </w:p>
    <w:p>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tabs>
          <w:tab w:val="left" w:pos="2580"/>
          <w:tab w:val="left" w:pos="3280"/>
          <w:tab w:val="left" w:pos="6120"/>
          <w:tab w:val="left" w:pos="7540"/>
          <w:tab w:val="left" w:pos="8320"/>
        </w:tabs>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eastAsia="宋体" w:cs="宋体"/>
          <w:snapToGrid w:val="0"/>
          <w:color w:val="auto"/>
          <w:kern w:val="0"/>
          <w:position w:val="-2"/>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snapToGrid w:val="0"/>
          <w:color w:val="auto"/>
          <w:kern w:val="0"/>
          <w:position w:val="-2"/>
          <w:sz w:val="24"/>
          <w:szCs w:val="24"/>
          <w:highlight w:val="none"/>
        </w:rPr>
        <w:t xml:space="preserve"> </w:t>
      </w:r>
    </w:p>
    <w:p>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532" w:name="_Toc351203482"/>
      <w:bookmarkStart w:id="533" w:name="_Toc1829"/>
      <w:bookmarkStart w:id="534" w:name="_Toc31111"/>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二、合同工期</w:t>
      </w:r>
      <w:bookmarkEnd w:id="532"/>
      <w:bookmarkEnd w:id="533"/>
      <w:bookmarkEnd w:id="534"/>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pPr>
        <w:keepNext w:val="0"/>
        <w:keepLines w:val="0"/>
        <w:pageBreakBefore w:val="0"/>
        <w:widowControl w:val="0"/>
        <w:numPr>
          <w:ilvl w:val="0"/>
          <w:numId w:val="0"/>
        </w:numPr>
        <w:kinsoku/>
        <w:wordWrap/>
        <w:overflowPunct/>
        <w:topLinePunct w:val="0"/>
        <w:bidi w:val="0"/>
        <w:spacing w:line="360" w:lineRule="exact"/>
        <w:ind w:left="480" w:leftChars="0" w:firstLine="0" w:firstLineChars="0"/>
        <w:textAlignment w:val="auto"/>
        <w:rPr>
          <w:rFonts w:hint="eastAsia" w:ascii="宋体" w:hAnsi="宋体" w:eastAsia="宋体" w:cs="宋体"/>
          <w:b/>
          <w:color w:val="auto"/>
          <w:sz w:val="24"/>
          <w:szCs w:val="24"/>
          <w:highlight w:val="none"/>
          <w:lang w:val="en-US" w:eastAsia="zh-CN"/>
        </w:rPr>
      </w:pPr>
      <w:bookmarkStart w:id="535" w:name="_Toc17490"/>
      <w:bookmarkStart w:id="536" w:name="_Toc27926"/>
      <w:bookmarkStart w:id="537" w:name="_Toc351203483"/>
      <w:r>
        <w:rPr>
          <w:rFonts w:hint="eastAsia" w:ascii="宋体" w:hAnsi="宋体" w:eastAsia="宋体" w:cs="宋体"/>
          <w:b/>
          <w:color w:val="auto"/>
          <w:kern w:val="2"/>
          <w:sz w:val="24"/>
          <w:szCs w:val="24"/>
          <w:lang w:val="en-US" w:eastAsia="zh-CN" w:bidi="ar-SA"/>
        </w:rPr>
        <w:t>三、</w:t>
      </w:r>
      <w:r>
        <w:rPr>
          <w:rFonts w:hint="eastAsia" w:ascii="宋体" w:hAnsi="宋体" w:eastAsia="宋体" w:cs="宋体"/>
          <w:b/>
          <w:color w:val="auto"/>
          <w:sz w:val="24"/>
          <w:szCs w:val="24"/>
          <w:highlight w:val="none"/>
          <w:lang w:val="en-US" w:eastAsia="zh-CN"/>
        </w:rPr>
        <w:t>承包方式</w:t>
      </w:r>
    </w:p>
    <w:p>
      <w:pPr>
        <w:keepNext w:val="0"/>
        <w:keepLines w:val="0"/>
        <w:pageBreakBefore w:val="0"/>
        <w:widowControl w:val="0"/>
        <w:numPr>
          <w:ilvl w:val="0"/>
          <w:numId w:val="0"/>
        </w:numPr>
        <w:kinsoku/>
        <w:wordWrap/>
        <w:overflowPunct/>
        <w:topLinePunct w:val="0"/>
        <w:bidi w:val="0"/>
        <w:spacing w:line="360" w:lineRule="exact"/>
        <w:ind w:left="480" w:left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全承包。</w:t>
      </w:r>
    </w:p>
    <w:p>
      <w:pPr>
        <w:keepNext w:val="0"/>
        <w:keepLines w:val="0"/>
        <w:pageBreakBefore w:val="0"/>
        <w:widowControl w:val="0"/>
        <w:kinsoku/>
        <w:wordWrap/>
        <w:overflowPunct/>
        <w:topLinePunct w:val="0"/>
        <w:bidi w:val="0"/>
        <w:spacing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质量标准</w:t>
      </w:r>
      <w:bookmarkEnd w:id="535"/>
      <w:bookmarkEnd w:id="536"/>
      <w:bookmarkEnd w:id="537"/>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工程质量达到国家现行有关施工质量验收规范要求，并达到合格标准。</w:t>
      </w:r>
    </w:p>
    <w:p>
      <w:pPr>
        <w:keepNext w:val="0"/>
        <w:keepLines w:val="0"/>
        <w:pageBreakBefore w:val="0"/>
        <w:kinsoku/>
        <w:overflowPunct/>
        <w:topLinePunct w:val="0"/>
        <w:autoSpaceDE w:val="0"/>
        <w:autoSpaceDN w:val="0"/>
        <w:bidi w:val="0"/>
        <w:adjustRightInd w:val="0"/>
        <w:snapToGrid/>
        <w:spacing w:line="500" w:lineRule="exact"/>
        <w:ind w:right="-14" w:firstLine="482" w:firstLineChars="200"/>
        <w:jc w:val="left"/>
        <w:textAlignment w:val="auto"/>
        <w:outlineLvl w:val="9"/>
        <w:rPr>
          <w:rFonts w:hint="eastAsia" w:ascii="宋体" w:hAnsi="宋体" w:eastAsia="宋体" w:cs="宋体"/>
          <w:color w:val="auto"/>
          <w:kern w:val="0"/>
          <w:sz w:val="21"/>
          <w:szCs w:val="21"/>
        </w:rPr>
      </w:pPr>
      <w:bookmarkStart w:id="538" w:name="_Toc24210"/>
      <w:bookmarkStart w:id="539" w:name="_Toc351203484"/>
      <w:bookmarkStart w:id="540" w:name="_Toc12594"/>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bookmarkEnd w:id="538"/>
      <w:bookmarkEnd w:id="539"/>
      <w:bookmarkEnd w:id="540"/>
      <w:r>
        <w:rPr>
          <w:rFonts w:hint="eastAsia" w:ascii="宋体" w:hAnsi="宋体" w:eastAsia="宋体" w:cs="宋体"/>
          <w:b/>
          <w:color w:val="auto"/>
          <w:sz w:val="24"/>
          <w:szCs w:val="24"/>
          <w:highlight w:val="none"/>
        </w:rPr>
        <w:t>合同价款及支付</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本合同价款（含税价）暂定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），其中安全文明施工费暂定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.支付方式：（1）承包人按采购合同完成采购内容，经消防等相关部门验收合格后发包人出具项目验收报告；</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（2）本项目无预付款。承包人开具发票、提交采购合同、验收报告等材料，由发包人向大修办申请付款；</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（3）大修办对承包人提交的付款资料审核通过后，派请第三方审计最终结算金额，并向承包人支付最终结算金额的90%，最终结算金额的10%在缺限期结束后再行支付</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36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41" w:name="_Toc351203485"/>
      <w:bookmarkStart w:id="542" w:name="_Toc7595"/>
      <w:bookmarkStart w:id="543" w:name="_Toc6386"/>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bookmarkEnd w:id="541"/>
      <w:r>
        <w:rPr>
          <w:rFonts w:hint="eastAsia" w:ascii="宋体" w:hAnsi="宋体" w:eastAsia="宋体" w:cs="宋体"/>
          <w:b/>
          <w:color w:val="auto"/>
          <w:sz w:val="24"/>
          <w:szCs w:val="24"/>
          <w:highlight w:val="none"/>
        </w:rPr>
        <w:t>项目经理</w:t>
      </w:r>
      <w:bookmarkEnd w:id="542"/>
      <w:bookmarkEnd w:id="543"/>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bidi w:val="0"/>
        <w:spacing w:line="360" w:lineRule="exact"/>
        <w:ind w:firstLine="482" w:firstLineChars="200"/>
        <w:textAlignment w:val="auto"/>
        <w:rPr>
          <w:rFonts w:hint="eastAsia" w:ascii="宋体" w:hAnsi="宋体" w:eastAsia="宋体" w:cs="宋体"/>
          <w:b/>
          <w:color w:val="auto"/>
          <w:sz w:val="24"/>
          <w:szCs w:val="24"/>
          <w:highlight w:val="none"/>
        </w:rPr>
      </w:pPr>
      <w:bookmarkStart w:id="544" w:name="_Toc21544"/>
      <w:bookmarkStart w:id="545" w:name="_Toc27968"/>
      <w:bookmarkStart w:id="546" w:name="_Toc351203486"/>
      <w:r>
        <w:rPr>
          <w:rFonts w:hint="eastAsia" w:ascii="宋体" w:hAnsi="宋体" w:eastAsia="宋体" w:cs="宋体"/>
          <w:b/>
          <w:color w:val="auto"/>
          <w:kern w:val="2"/>
          <w:sz w:val="24"/>
          <w:szCs w:val="24"/>
          <w:lang w:val="en-US" w:eastAsia="zh-CN" w:bidi="ar-SA"/>
        </w:rPr>
        <w:t>七、</w:t>
      </w:r>
      <w:r>
        <w:rPr>
          <w:rFonts w:hint="eastAsia" w:ascii="宋体" w:hAnsi="宋体" w:eastAsia="宋体" w:cs="宋体"/>
          <w:b/>
          <w:color w:val="auto"/>
          <w:sz w:val="24"/>
          <w:szCs w:val="24"/>
          <w:highlight w:val="none"/>
          <w:lang w:eastAsia="zh-CN"/>
        </w:rPr>
        <w:t>发包人</w:t>
      </w:r>
      <w:r>
        <w:rPr>
          <w:rFonts w:hint="eastAsia" w:ascii="宋体" w:hAnsi="宋体" w:eastAsia="宋体" w:cs="宋体"/>
          <w:b/>
          <w:color w:val="auto"/>
          <w:sz w:val="24"/>
          <w:szCs w:val="24"/>
          <w:highlight w:val="none"/>
        </w:rPr>
        <w:t>责任及义务</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提供施工用水、电接点；</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、按照本协议约定的期限和方式支付价款；</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、协助</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协调处理好交通、环卫、施工噪音管理及邻近单位的工作。</w:t>
      </w:r>
    </w:p>
    <w:p>
      <w:pPr>
        <w:keepNext w:val="0"/>
        <w:keepLines w:val="0"/>
        <w:pageBreakBefore w:val="0"/>
        <w:widowControl w:val="0"/>
        <w:numPr>
          <w:ilvl w:val="0"/>
          <w:numId w:val="0"/>
        </w:numPr>
        <w:kinsoku/>
        <w:wordWrap/>
        <w:overflowPunct/>
        <w:topLinePunct w:val="0"/>
        <w:bidi w:val="0"/>
        <w:spacing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八、</w:t>
      </w:r>
      <w:r>
        <w:rPr>
          <w:rFonts w:hint="eastAsia" w:ascii="宋体" w:hAnsi="宋体" w:eastAsia="宋体" w:cs="宋体"/>
          <w:b/>
          <w:color w:val="auto"/>
          <w:sz w:val="24"/>
          <w:szCs w:val="24"/>
          <w:highlight w:val="none"/>
          <w:lang w:val="en-US" w:eastAsia="zh-CN"/>
        </w:rPr>
        <w:t>承包人</w:t>
      </w:r>
      <w:r>
        <w:rPr>
          <w:rFonts w:hint="eastAsia" w:ascii="宋体" w:hAnsi="宋体" w:eastAsia="宋体" w:cs="宋体"/>
          <w:b/>
          <w:color w:val="auto"/>
          <w:sz w:val="24"/>
          <w:szCs w:val="24"/>
          <w:highlight w:val="none"/>
        </w:rPr>
        <w:t>责任及义务</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1、按照合同约定进行施工、竣工，并保证合同约定的工程质量标准；</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2、做好施工组织管理，施工全过程派专人负责施工安全保卫工作及施工照明；</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3、遵守政府有关主管部门对施工场地交通、施工噪音以及环境保护和安全生产等的管理规定，按规定办理相关手续；</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4、如因</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本身原因造成的停工、返工所发生的一切费用，由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自行负责。</w:t>
      </w:r>
    </w:p>
    <w:p>
      <w:pPr>
        <w:keepNext w:val="0"/>
        <w:keepLines w:val="0"/>
        <w:pageBreakBefore w:val="0"/>
        <w:widowControl w:val="0"/>
        <w:numPr>
          <w:ilvl w:val="0"/>
          <w:numId w:val="0"/>
        </w:numPr>
        <w:kinsoku/>
        <w:wordWrap/>
        <w:overflowPunct/>
        <w:topLinePunct w:val="0"/>
        <w:bidi w:val="0"/>
        <w:spacing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安全施工</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应遵守工程建设安全生产有关管理规定，严格按安全标准组织施工，采取必要的安全防护措施，消除事故隐患。由于</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安全措施不力造成事故的责任和因此发生的费用，由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自行承担；</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应对其在施工场地工作人员进行安全教育，并对他们的安全负责。</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不得要求</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违反安全管理的规定进行施工。</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安全措施不当造成施工区域及其附近的非施工人员伤亡，一切责任由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4、发生重大伤亡及其他安全事故，</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应按有关规定立即上报有关部门并通知发包人及监理工程师，同时按政府有关部门要求处理，由事故责任方承担发生的费用。</w:t>
      </w:r>
    </w:p>
    <w:p>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发包人、承包人</w:t>
      </w:r>
      <w:r>
        <w:rPr>
          <w:rFonts w:hint="eastAsia" w:ascii="宋体" w:hAnsi="宋体" w:eastAsia="宋体" w:cs="宋体"/>
          <w:color w:val="auto"/>
          <w:sz w:val="24"/>
          <w:szCs w:val="24"/>
          <w:highlight w:val="none"/>
        </w:rPr>
        <w:t>双方对事故责任有争议时，应按政府有关部门的认定处理。</w:t>
      </w:r>
    </w:p>
    <w:p>
      <w:pPr>
        <w:keepNext w:val="0"/>
        <w:keepLines w:val="0"/>
        <w:pageBreakBefore w:val="0"/>
        <w:widowControl w:val="0"/>
        <w:kinsoku/>
        <w:wordWrap/>
        <w:overflowPunct/>
        <w:topLinePunct w:val="0"/>
        <w:bidi w:val="0"/>
        <w:spacing w:line="36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、合同文件构成</w:t>
      </w:r>
      <w:bookmarkEnd w:id="544"/>
      <w:bookmarkEnd w:id="545"/>
      <w:bookmarkEnd w:id="546"/>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中选通知书</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（2）竞标函； </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已标价工程量清单</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bidi w:val="0"/>
        <w:spacing w:line="360" w:lineRule="exact"/>
        <w:ind w:firstLine="481"/>
        <w:textAlignment w:val="auto"/>
        <w:rPr>
          <w:rFonts w:hint="default" w:ascii="宋体" w:hAnsi="宋体" w:eastAsia="宋体" w:cs="宋体"/>
          <w:b/>
          <w:color w:val="auto"/>
          <w:sz w:val="24"/>
          <w:szCs w:val="24"/>
          <w:highlight w:val="none"/>
          <w:lang w:val="en-US" w:eastAsia="zh-CN"/>
        </w:rPr>
      </w:pPr>
      <w:bookmarkStart w:id="547" w:name="_Toc351203488"/>
      <w:r>
        <w:rPr>
          <w:rFonts w:hint="eastAsia" w:ascii="宋体" w:hAnsi="宋体" w:eastAsia="宋体" w:cs="宋体"/>
          <w:b/>
          <w:color w:val="auto"/>
          <w:sz w:val="24"/>
          <w:szCs w:val="24"/>
          <w:highlight w:val="none"/>
          <w:lang w:val="en-US" w:eastAsia="zh-CN"/>
        </w:rPr>
        <w:t>十</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履约担保</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1.履约保证金的形式：</w:t>
      </w:r>
      <w:r>
        <w:rPr>
          <w:rFonts w:hint="eastAsia" w:ascii="宋体" w:hAnsi="宋体" w:cs="宋体"/>
          <w:bCs/>
          <w:color w:val="auto"/>
          <w:sz w:val="24"/>
          <w:szCs w:val="24"/>
          <w:highlight w:val="none"/>
          <w:lang w:eastAsia="zh-CN"/>
        </w:rPr>
        <w:t>承包人</w:t>
      </w:r>
      <w:r>
        <w:rPr>
          <w:rFonts w:hint="eastAsia" w:ascii="宋体" w:hAnsi="宋体" w:eastAsia="宋体" w:cs="宋体"/>
          <w:bCs/>
          <w:color w:val="auto"/>
          <w:sz w:val="24"/>
          <w:szCs w:val="24"/>
          <w:highlight w:val="none"/>
        </w:rPr>
        <w:t>应在中选通知书发出后合同签订之前通过转账或保函等非现金方式缴纳履约保证金，从</w:t>
      </w:r>
      <w:r>
        <w:rPr>
          <w:rFonts w:hint="eastAsia" w:ascii="宋体" w:hAnsi="宋体" w:cs="宋体"/>
          <w:bCs/>
          <w:color w:val="auto"/>
          <w:sz w:val="24"/>
          <w:szCs w:val="24"/>
          <w:highlight w:val="none"/>
          <w:lang w:eastAsia="zh-CN"/>
        </w:rPr>
        <w:t>承包人</w:t>
      </w:r>
      <w:r>
        <w:rPr>
          <w:rFonts w:hint="eastAsia" w:ascii="宋体" w:hAnsi="宋体" w:eastAsia="宋体" w:cs="宋体"/>
          <w:bCs/>
          <w:color w:val="auto"/>
          <w:sz w:val="24"/>
          <w:szCs w:val="24"/>
          <w:highlight w:val="none"/>
        </w:rPr>
        <w:t>基本账户提交，不得使用现金进账。履约保证金账户由</w:t>
      </w:r>
      <w:r>
        <w:rPr>
          <w:rFonts w:hint="eastAsia" w:ascii="宋体" w:hAnsi="宋体" w:cs="宋体"/>
          <w:bCs/>
          <w:color w:val="auto"/>
          <w:sz w:val="24"/>
          <w:szCs w:val="24"/>
          <w:highlight w:val="none"/>
          <w:lang w:eastAsia="zh-CN"/>
        </w:rPr>
        <w:t>发包人</w:t>
      </w:r>
      <w:r>
        <w:rPr>
          <w:rFonts w:hint="eastAsia" w:ascii="宋体" w:hAnsi="宋体" w:eastAsia="宋体" w:cs="宋体"/>
          <w:bCs/>
          <w:color w:val="auto"/>
          <w:sz w:val="24"/>
          <w:szCs w:val="24"/>
          <w:highlight w:val="none"/>
        </w:rPr>
        <w:t>提供。</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2.履约保证金的金额：中选金额的</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3.提交时间：</w:t>
      </w:r>
      <w:r>
        <w:rPr>
          <w:rFonts w:hint="eastAsia" w:ascii="宋体" w:hAnsi="宋体" w:cs="宋体"/>
          <w:bCs/>
          <w:color w:val="auto"/>
          <w:sz w:val="24"/>
          <w:szCs w:val="24"/>
          <w:highlight w:val="none"/>
          <w:lang w:eastAsia="zh-CN"/>
        </w:rPr>
        <w:t>承包人</w:t>
      </w:r>
      <w:r>
        <w:rPr>
          <w:rFonts w:hint="eastAsia" w:ascii="宋体" w:hAnsi="宋体" w:eastAsia="宋体" w:cs="宋体"/>
          <w:bCs/>
          <w:color w:val="auto"/>
          <w:sz w:val="24"/>
          <w:szCs w:val="24"/>
          <w:highlight w:val="none"/>
        </w:rPr>
        <w:t>应在领取中选通知书后，合同签订前提交。若未按时提交，</w:t>
      </w:r>
      <w:r>
        <w:rPr>
          <w:rFonts w:hint="eastAsia" w:ascii="宋体" w:hAnsi="宋体" w:cs="宋体"/>
          <w:bCs/>
          <w:color w:val="auto"/>
          <w:sz w:val="24"/>
          <w:szCs w:val="24"/>
          <w:highlight w:val="none"/>
          <w:lang w:eastAsia="zh-CN"/>
        </w:rPr>
        <w:t>发包人</w:t>
      </w:r>
      <w:r>
        <w:rPr>
          <w:rFonts w:hint="eastAsia" w:ascii="宋体" w:hAnsi="宋体" w:eastAsia="宋体" w:cs="宋体"/>
          <w:bCs/>
          <w:color w:val="auto"/>
          <w:sz w:val="24"/>
          <w:szCs w:val="24"/>
          <w:highlight w:val="none"/>
        </w:rPr>
        <w:t>有权取消其中选资格。</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 w:val="24"/>
          <w:szCs w:val="24"/>
          <w:highlight w:val="none"/>
        </w:rPr>
        <w:t>4.履约</w:t>
      </w:r>
      <w:r>
        <w:rPr>
          <w:rFonts w:hint="eastAsia" w:ascii="宋体" w:hAnsi="宋体" w:eastAsia="宋体" w:cs="宋体"/>
          <w:bCs/>
          <w:color w:val="auto"/>
          <w:sz w:val="24"/>
          <w:szCs w:val="24"/>
          <w:highlight w:val="none"/>
          <w:lang w:val="en-US" w:eastAsia="zh-CN"/>
        </w:rPr>
        <w:t>保证金</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退还</w:t>
      </w:r>
      <w:r>
        <w:rPr>
          <w:rFonts w:hint="eastAsia" w:ascii="宋体" w:hAnsi="宋体" w:eastAsia="宋体" w:cs="宋体"/>
          <w:bCs/>
          <w:color w:val="auto"/>
          <w:sz w:val="24"/>
          <w:szCs w:val="24"/>
          <w:highlight w:val="none"/>
        </w:rPr>
        <w:t>：履约保证金在项目完成且验收合格后全部返还，履约保证金不计息。</w:t>
      </w:r>
      <w:r>
        <w:rPr>
          <w:rFonts w:hint="eastAsia" w:ascii="宋体" w:hAnsi="宋体" w:eastAsia="宋体" w:cs="宋体"/>
          <w:color w:val="auto"/>
          <w:kern w:val="0"/>
          <w:szCs w:val="21"/>
          <w:highlight w:val="none"/>
        </w:rPr>
        <w:t xml:space="preserve"> </w:t>
      </w:r>
    </w:p>
    <w:p>
      <w:pPr>
        <w:keepNext w:val="0"/>
        <w:keepLines w:val="0"/>
        <w:pageBreakBefore w:val="0"/>
        <w:widowControl w:val="0"/>
        <w:kinsoku/>
        <w:wordWrap/>
        <w:overflowPunct/>
        <w:topLinePunct w:val="0"/>
        <w:bidi w:val="0"/>
        <w:spacing w:line="360" w:lineRule="exact"/>
        <w:ind w:firstLine="481"/>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十二、工程保修</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工程缺陷责任期</w:t>
      </w:r>
      <w:r>
        <w:rPr>
          <w:rFonts w:hint="eastAsia" w:ascii="宋体" w:hAnsi="宋体" w:eastAsia="宋体" w:cs="宋体"/>
          <w:bCs/>
          <w:color w:val="auto"/>
          <w:sz w:val="24"/>
          <w:szCs w:val="24"/>
          <w:highlight w:val="none"/>
          <w:u w:val="single"/>
        </w:rPr>
        <w:t>24</w:t>
      </w:r>
      <w:r>
        <w:rPr>
          <w:rFonts w:hint="eastAsia" w:ascii="宋体" w:hAnsi="宋体" w:eastAsia="宋体" w:cs="宋体"/>
          <w:bCs/>
          <w:color w:val="auto"/>
          <w:sz w:val="24"/>
          <w:szCs w:val="24"/>
          <w:highlight w:val="none"/>
        </w:rPr>
        <w:t>个月，自工程竣工验收合格之日起计算。</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在工程质量保修期内，因</w:t>
      </w:r>
      <w:r>
        <w:rPr>
          <w:rFonts w:hint="eastAsia" w:ascii="宋体" w:hAnsi="宋体" w:eastAsia="宋体" w:cs="宋体"/>
          <w:bCs/>
          <w:color w:val="auto"/>
          <w:sz w:val="24"/>
          <w:szCs w:val="24"/>
          <w:highlight w:val="none"/>
          <w:lang w:eastAsia="zh-CN"/>
        </w:rPr>
        <w:t>承包人</w:t>
      </w:r>
      <w:r>
        <w:rPr>
          <w:rFonts w:hint="eastAsia" w:ascii="宋体" w:hAnsi="宋体" w:eastAsia="宋体" w:cs="宋体"/>
          <w:bCs/>
          <w:color w:val="auto"/>
          <w:sz w:val="24"/>
          <w:szCs w:val="24"/>
          <w:highlight w:val="none"/>
        </w:rPr>
        <w:t>施工原因造成的质量缺陷，由</w:t>
      </w:r>
      <w:r>
        <w:rPr>
          <w:rFonts w:hint="eastAsia" w:ascii="宋体" w:hAnsi="宋体" w:eastAsia="宋体" w:cs="宋体"/>
          <w:bCs/>
          <w:color w:val="auto"/>
          <w:sz w:val="24"/>
          <w:szCs w:val="24"/>
          <w:highlight w:val="none"/>
          <w:lang w:eastAsia="zh-CN"/>
        </w:rPr>
        <w:t>承包人</w:t>
      </w:r>
      <w:r>
        <w:rPr>
          <w:rFonts w:hint="eastAsia" w:ascii="宋体" w:hAnsi="宋体" w:eastAsia="宋体" w:cs="宋体"/>
          <w:bCs/>
          <w:color w:val="auto"/>
          <w:sz w:val="24"/>
          <w:szCs w:val="24"/>
          <w:highlight w:val="none"/>
        </w:rPr>
        <w:t>负责维修及其费用。如</w:t>
      </w:r>
      <w:r>
        <w:rPr>
          <w:rFonts w:hint="eastAsia" w:ascii="宋体" w:hAnsi="宋体" w:eastAsia="宋体" w:cs="宋体"/>
          <w:bCs/>
          <w:color w:val="auto"/>
          <w:sz w:val="24"/>
          <w:szCs w:val="24"/>
          <w:highlight w:val="none"/>
          <w:lang w:eastAsia="zh-CN"/>
        </w:rPr>
        <w:t>承包人</w:t>
      </w:r>
      <w:r>
        <w:rPr>
          <w:rFonts w:hint="eastAsia" w:ascii="宋体" w:hAnsi="宋体" w:eastAsia="宋体" w:cs="宋体"/>
          <w:bCs/>
          <w:color w:val="auto"/>
          <w:sz w:val="24"/>
          <w:szCs w:val="24"/>
          <w:highlight w:val="none"/>
        </w:rPr>
        <w:t>接到</w:t>
      </w:r>
      <w:r>
        <w:rPr>
          <w:rFonts w:hint="eastAsia" w:ascii="宋体" w:hAnsi="宋体" w:eastAsia="宋体" w:cs="宋体"/>
          <w:bCs/>
          <w:color w:val="auto"/>
          <w:sz w:val="24"/>
          <w:szCs w:val="24"/>
          <w:highlight w:val="none"/>
          <w:lang w:eastAsia="zh-CN"/>
        </w:rPr>
        <w:t>发包人</w:t>
      </w:r>
      <w:r>
        <w:rPr>
          <w:rFonts w:hint="eastAsia" w:ascii="宋体" w:hAnsi="宋体" w:eastAsia="宋体" w:cs="宋体"/>
          <w:bCs/>
          <w:color w:val="auto"/>
          <w:sz w:val="24"/>
          <w:szCs w:val="24"/>
          <w:highlight w:val="none"/>
        </w:rPr>
        <w:t>通知七日内未进行维修，</w:t>
      </w:r>
      <w:r>
        <w:rPr>
          <w:rFonts w:hint="eastAsia" w:ascii="宋体" w:hAnsi="宋体" w:eastAsia="宋体" w:cs="宋体"/>
          <w:bCs/>
          <w:color w:val="auto"/>
          <w:sz w:val="24"/>
          <w:szCs w:val="24"/>
          <w:highlight w:val="none"/>
          <w:lang w:eastAsia="zh-CN"/>
        </w:rPr>
        <w:t>发包人</w:t>
      </w:r>
      <w:r>
        <w:rPr>
          <w:rFonts w:hint="eastAsia" w:ascii="宋体" w:hAnsi="宋体" w:eastAsia="宋体" w:cs="宋体"/>
          <w:bCs/>
          <w:color w:val="auto"/>
          <w:sz w:val="24"/>
          <w:szCs w:val="24"/>
          <w:highlight w:val="none"/>
        </w:rPr>
        <w:t>可委托其它单位进行维修，费用</w:t>
      </w:r>
      <w:r>
        <w:rPr>
          <w:rFonts w:hint="eastAsia" w:ascii="宋体" w:hAnsi="宋体" w:eastAsia="宋体" w:cs="宋体"/>
          <w:bCs/>
          <w:color w:val="auto"/>
          <w:sz w:val="24"/>
          <w:szCs w:val="24"/>
          <w:highlight w:val="none"/>
          <w:lang w:val="en-US" w:eastAsia="zh-CN"/>
        </w:rPr>
        <w:t>由承包人支付</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bidi w:val="0"/>
        <w:spacing w:line="360" w:lineRule="exact"/>
        <w:ind w:firstLine="482" w:firstLineChars="200"/>
        <w:textAlignment w:val="auto"/>
        <w:rPr>
          <w:rFonts w:hint="eastAsia" w:ascii="宋体" w:hAnsi="宋体" w:eastAsia="宋体" w:cs="宋体"/>
          <w:b/>
          <w:bCs/>
          <w:color w:val="auto"/>
          <w:sz w:val="24"/>
          <w:szCs w:val="24"/>
          <w:highlight w:val="none"/>
        </w:rPr>
      </w:pPr>
      <w:bookmarkStart w:id="548" w:name="_Toc351203487"/>
      <w:bookmarkStart w:id="549" w:name="_Toc24344"/>
      <w:bookmarkStart w:id="550" w:name="_Toc29844"/>
      <w:r>
        <w:rPr>
          <w:rFonts w:hint="eastAsia" w:ascii="宋体" w:hAnsi="宋体" w:eastAsia="宋体" w:cs="宋体"/>
          <w:b/>
          <w:color w:val="auto"/>
          <w:sz w:val="24"/>
          <w:szCs w:val="24"/>
          <w:highlight w:val="none"/>
          <w:lang w:val="en-US" w:eastAsia="zh-CN"/>
        </w:rPr>
        <w:t>十</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、承诺</w:t>
      </w:r>
      <w:bookmarkEnd w:id="548"/>
      <w:bookmarkEnd w:id="549"/>
      <w:bookmarkEnd w:id="550"/>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必须及时支付人工费、材料费等费用，如有投诉材料费、人工费未结清的情况，</w:t>
      </w:r>
      <w:r>
        <w:rPr>
          <w:rFonts w:hint="eastAsia" w:ascii="宋体" w:hAnsi="宋体" w:cs="宋体"/>
          <w:bCs/>
          <w:color w:val="auto"/>
          <w:sz w:val="24"/>
          <w:szCs w:val="24"/>
          <w:highlight w:val="none"/>
          <w:lang w:eastAsia="zh-CN"/>
        </w:rPr>
        <w:t>发包人</w:t>
      </w:r>
      <w:r>
        <w:rPr>
          <w:rFonts w:hint="eastAsia" w:ascii="宋体" w:hAnsi="宋体" w:eastAsia="宋体" w:cs="宋体"/>
          <w:bCs/>
          <w:color w:val="auto"/>
          <w:sz w:val="24"/>
          <w:szCs w:val="24"/>
          <w:highlight w:val="none"/>
        </w:rPr>
        <w:t>有权动用</w:t>
      </w:r>
      <w:r>
        <w:rPr>
          <w:rFonts w:hint="eastAsia" w:ascii="宋体" w:hAnsi="宋体" w:cs="宋体"/>
          <w:bCs/>
          <w:color w:val="auto"/>
          <w:sz w:val="24"/>
          <w:szCs w:val="24"/>
          <w:highlight w:val="none"/>
          <w:lang w:eastAsia="zh-CN"/>
        </w:rPr>
        <w:t>承包人</w:t>
      </w:r>
      <w:r>
        <w:rPr>
          <w:rFonts w:hint="eastAsia" w:ascii="宋体" w:hAnsi="宋体" w:eastAsia="宋体" w:cs="宋体"/>
          <w:bCs/>
          <w:color w:val="auto"/>
          <w:sz w:val="24"/>
          <w:szCs w:val="24"/>
          <w:highlight w:val="none"/>
        </w:rPr>
        <w:t>一切费用解决属实投诉纠纷。</w:t>
      </w:r>
    </w:p>
    <w:p>
      <w:pPr>
        <w:keepNext w:val="0"/>
        <w:keepLines w:val="0"/>
        <w:pageBreakBefore w:val="0"/>
        <w:widowControl w:val="0"/>
        <w:kinsoku/>
        <w:wordWrap/>
        <w:overflowPunct/>
        <w:topLinePunct w:val="0"/>
        <w:bidi w:val="0"/>
        <w:spacing w:line="360" w:lineRule="exact"/>
        <w:ind w:firstLine="481"/>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十四、违约和争议</w:t>
      </w:r>
      <w:r>
        <w:rPr>
          <w:rFonts w:hint="eastAsia" w:ascii="宋体" w:hAnsi="宋体" w:eastAsia="宋体" w:cs="宋体"/>
          <w:color w:val="auto"/>
          <w:kern w:val="0"/>
          <w:sz w:val="21"/>
          <w:szCs w:val="21"/>
        </w:rPr>
        <w:t xml:space="preserve">   </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1.发包人、承包人双方任一方违约，违约方向对方支付合同价10%的违约金。</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2.发包人、承包人双方在合同执行过程中发生争议，由双方协商解决。</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bCs/>
          <w:color w:val="auto"/>
          <w:sz w:val="24"/>
          <w:szCs w:val="24"/>
          <w:highlight w:val="none"/>
          <w:lang w:val="en-US" w:eastAsia="zh-CN"/>
        </w:rPr>
        <w:t>3.发包人、承包人双方协商达不成一致意见，可向人民法院予以起诉。</w:t>
      </w:r>
      <w:r>
        <w:rPr>
          <w:rFonts w:hint="eastAsia" w:ascii="宋体" w:hAnsi="宋体" w:eastAsia="宋体" w:cs="宋体"/>
          <w:color w:val="auto"/>
          <w:lang w:val="en-US" w:eastAsia="zh-CN"/>
        </w:rPr>
        <w:t xml:space="preserve"> </w:t>
      </w:r>
    </w:p>
    <w:p>
      <w:pPr>
        <w:keepNext w:val="0"/>
        <w:keepLines w:val="0"/>
        <w:pageBreakBefore w:val="0"/>
        <w:widowControl w:val="0"/>
        <w:kinsoku/>
        <w:wordWrap/>
        <w:overflowPunct/>
        <w:topLinePunct w:val="0"/>
        <w:bidi w:val="0"/>
        <w:spacing w:line="36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十五</w:t>
      </w:r>
      <w:r>
        <w:rPr>
          <w:rFonts w:hint="eastAsia" w:ascii="宋体" w:hAnsi="宋体" w:eastAsia="宋体" w:cs="宋体"/>
          <w:b/>
          <w:color w:val="auto"/>
          <w:sz w:val="24"/>
          <w:szCs w:val="24"/>
          <w:highlight w:val="none"/>
        </w:rPr>
        <w:t>、词语含义</w:t>
      </w:r>
      <w:bookmarkEnd w:id="547"/>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w:t>
      </w:r>
      <w:bookmarkStart w:id="551" w:name="_Toc351203489"/>
      <w:bookmarkStart w:id="552" w:name="_Toc3263"/>
      <w:bookmarkStart w:id="553" w:name="_Toc26194"/>
      <w:r>
        <w:rPr>
          <w:rFonts w:hint="eastAsia" w:ascii="宋体" w:hAnsi="宋体" w:eastAsia="宋体" w:cs="宋体"/>
          <w:b/>
          <w:color w:val="auto"/>
          <w:sz w:val="24"/>
          <w:szCs w:val="24"/>
          <w:highlight w:val="none"/>
          <w:lang w:val="en-US" w:eastAsia="zh-CN"/>
        </w:rPr>
        <w:t>十六</w:t>
      </w:r>
      <w:r>
        <w:rPr>
          <w:rFonts w:hint="eastAsia" w:ascii="宋体" w:hAnsi="宋体" w:eastAsia="宋体" w:cs="宋体"/>
          <w:b/>
          <w:color w:val="auto"/>
          <w:sz w:val="24"/>
          <w:szCs w:val="24"/>
          <w:highlight w:val="none"/>
        </w:rPr>
        <w:t>、签订时间</w:t>
      </w:r>
      <w:bookmarkEnd w:id="551"/>
      <w:bookmarkEnd w:id="552"/>
      <w:bookmarkEnd w:id="553"/>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4" w:name="_Toc351203490"/>
      <w:bookmarkStart w:id="555" w:name="_Toc19415"/>
      <w:bookmarkStart w:id="556" w:name="_Toc31767"/>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、签订地点</w:t>
      </w:r>
      <w:bookmarkEnd w:id="554"/>
      <w:bookmarkEnd w:id="555"/>
      <w:bookmarkEnd w:id="556"/>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7" w:name="_Toc351203491"/>
      <w:bookmarkStart w:id="558" w:name="_Toc23575"/>
      <w:bookmarkStart w:id="559" w:name="_Toc13113"/>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、补充协议</w:t>
      </w:r>
      <w:bookmarkEnd w:id="557"/>
      <w:bookmarkEnd w:id="558"/>
      <w:bookmarkEnd w:id="559"/>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60" w:name="_Toc351203492"/>
      <w:bookmarkStart w:id="561" w:name="_Toc14385"/>
      <w:bookmarkStart w:id="562" w:name="_Toc4528"/>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、合同生效</w:t>
      </w:r>
      <w:bookmarkEnd w:id="560"/>
      <w:bookmarkEnd w:id="561"/>
      <w:bookmarkEnd w:id="562"/>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63" w:name="_Toc4358"/>
      <w:bookmarkStart w:id="564" w:name="_Toc351203493"/>
      <w:bookmarkStart w:id="565" w:name="_Toc12068"/>
      <w:r>
        <w:rPr>
          <w:rFonts w:hint="eastAsia" w:ascii="宋体" w:hAnsi="宋体" w:eastAsia="宋体" w:cs="宋体"/>
          <w:b/>
          <w:color w:val="auto"/>
          <w:sz w:val="24"/>
          <w:szCs w:val="24"/>
          <w:highlight w:val="none"/>
          <w:lang w:val="en-US" w:eastAsia="zh-CN"/>
        </w:rPr>
        <w:t>二十</w:t>
      </w:r>
      <w:r>
        <w:rPr>
          <w:rFonts w:hint="eastAsia" w:ascii="宋体" w:hAnsi="宋体" w:eastAsia="宋体" w:cs="宋体"/>
          <w:b/>
          <w:color w:val="auto"/>
          <w:sz w:val="24"/>
          <w:szCs w:val="24"/>
          <w:highlight w:val="none"/>
        </w:rPr>
        <w:t>、合同份数</w:t>
      </w:r>
      <w:bookmarkEnd w:id="563"/>
      <w:bookmarkEnd w:id="564"/>
      <w:bookmarkEnd w:id="565"/>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p>
    <w:p>
      <w:pPr>
        <w:keepNext w:val="0"/>
        <w:keepLines w:val="0"/>
        <w:pageBreakBefore w:val="0"/>
        <w:widowControl w:val="0"/>
        <w:tabs>
          <w:tab w:val="left" w:pos="4410"/>
        </w:tabs>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pPr>
        <w:widowControl/>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widowControl/>
        <w:jc w:val="left"/>
        <w:rPr>
          <w:rFonts w:hint="eastAsia" w:ascii="宋体" w:hAnsi="宋体" w:eastAsia="宋体" w:cs="宋体"/>
          <w:color w:val="auto"/>
          <w:sz w:val="24"/>
          <w:szCs w:val="24"/>
          <w:highlight w:val="none"/>
          <w:u w:val="single"/>
        </w:rPr>
      </w:pPr>
    </w:p>
    <w:p>
      <w:pPr>
        <w:widowControl/>
        <w:jc w:val="left"/>
        <w:rPr>
          <w:rFonts w:hint="eastAsia" w:ascii="宋体" w:hAnsi="宋体" w:eastAsia="宋体" w:cs="宋体"/>
          <w:color w:val="auto"/>
          <w:sz w:val="24"/>
          <w:szCs w:val="24"/>
          <w:highlight w:val="none"/>
          <w:u w:val="single"/>
        </w:rPr>
      </w:pP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合同附件</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以下附件是本合同的有效组成部分：</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附件1：工程质量保修书</w:t>
      </w:r>
    </w:p>
    <w:p>
      <w:pPr>
        <w:widowControl/>
        <w:ind w:firstLine="480" w:firstLineChars="200"/>
        <w:jc w:val="left"/>
        <w:rPr>
          <w:rFonts w:hint="eastAsia" w:ascii="宋体" w:hAnsi="宋体" w:eastAsia="宋体" w:cs="宋体"/>
          <w:color w:val="auto"/>
          <w:sz w:val="28"/>
          <w:szCs w:val="28"/>
        </w:rPr>
      </w:pPr>
      <w:r>
        <w:rPr>
          <w:rFonts w:hint="eastAsia" w:ascii="宋体" w:hAnsi="宋体" w:eastAsia="宋体" w:cs="宋体"/>
          <w:bCs/>
          <w:color w:val="auto"/>
          <w:sz w:val="24"/>
          <w:szCs w:val="24"/>
          <w:highlight w:val="none"/>
          <w:lang w:val="en-US" w:eastAsia="zh-CN"/>
        </w:rPr>
        <w:t>附件2：</w:t>
      </w:r>
      <w:r>
        <w:rPr>
          <w:rFonts w:hint="eastAsia" w:ascii="宋体" w:hAnsi="宋体" w:eastAsia="宋体" w:cs="宋体"/>
          <w:bCs/>
          <w:color w:val="auto"/>
          <w:sz w:val="24"/>
          <w:szCs w:val="24"/>
          <w:highlight w:val="none"/>
        </w:rPr>
        <w:t>廉洁从业协议</w:t>
      </w:r>
      <w:r>
        <w:rPr>
          <w:rFonts w:hint="eastAsia" w:ascii="宋体" w:hAnsi="宋体" w:eastAsia="宋体" w:cs="宋体"/>
          <w:color w:val="auto"/>
          <w:sz w:val="28"/>
          <w:szCs w:val="28"/>
        </w:rPr>
        <w:br w:type="page"/>
      </w:r>
    </w:p>
    <w:p>
      <w:pPr>
        <w:pStyle w:val="2"/>
        <w:rPr>
          <w:rFonts w:hint="eastAsia" w:ascii="宋体" w:hAnsi="宋体" w:eastAsia="宋体" w:cs="宋体"/>
          <w:b/>
          <w:bCs/>
          <w:color w:val="auto"/>
          <w:kern w:val="2"/>
          <w:sz w:val="21"/>
          <w:szCs w:val="21"/>
          <w:highlight w:val="none"/>
          <w:lang w:val="en-US" w:eastAsia="zh-CN" w:bidi="ar-SA"/>
        </w:rPr>
        <w:sectPr>
          <w:headerReference r:id="rId8" w:type="default"/>
          <w:footerReference r:id="rId9" w:type="default"/>
          <w:pgSz w:w="11906" w:h="16838"/>
          <w:pgMar w:top="1247" w:right="1134" w:bottom="1247" w:left="1134" w:header="851" w:footer="992" w:gutter="0"/>
          <w:pgNumType w:start="1"/>
          <w:cols w:space="720" w:num="1"/>
          <w:docGrid w:type="lines" w:linePitch="312" w:charSpace="0"/>
        </w:sectPr>
      </w:pPr>
    </w:p>
    <w:p>
      <w:pPr>
        <w:pStyle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附件1：</w:t>
      </w:r>
    </w:p>
    <w:p>
      <w:pPr>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工程质量保修书</w:t>
      </w:r>
    </w:p>
    <w:p>
      <w:pPr>
        <w:keepNext w:val="0"/>
        <w:keepLines w:val="0"/>
        <w:pageBreakBefore w:val="0"/>
        <w:widowControl w:val="0"/>
        <w:kinsoku/>
        <w:wordWrap/>
        <w:overflowPunct/>
        <w:topLinePunct w:val="0"/>
        <w:autoSpaceDE/>
        <w:autoSpaceDN/>
        <w:bidi w:val="0"/>
        <w:adjustRightInd/>
        <w:snapToGrid/>
        <w:ind w:firstLine="630" w:firstLineChars="300"/>
        <w:textAlignment w:val="auto"/>
        <w:outlineLvl w:val="9"/>
        <w:rPr>
          <w:rFonts w:hint="eastAsia" w:ascii="宋体" w:hAnsi="宋体" w:eastAsia="宋体" w:cs="宋体"/>
          <w:snapToGrid w:val="0"/>
          <w:color w:val="auto"/>
          <w:kern w:val="0"/>
          <w:sz w:val="21"/>
          <w:szCs w:val="21"/>
          <w:highlight w:val="none"/>
          <w:u w:val="single"/>
          <w:lang w:eastAsia="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pacing w:val="0"/>
          <w:sz w:val="21"/>
          <w:szCs w:val="21"/>
          <w:u w:val="single"/>
          <w:lang w:eastAsia="zh-CN"/>
        </w:rPr>
        <w:t>西泽苑小区消防报警设备、设施更新维修服务项目</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bookmarkStart w:id="566" w:name="_Toc532375687"/>
      <w:r>
        <w:rPr>
          <w:rFonts w:hint="eastAsia" w:ascii="宋体" w:hAnsi="宋体" w:eastAsia="宋体" w:cs="宋体"/>
          <w:color w:val="auto"/>
          <w:sz w:val="21"/>
          <w:szCs w:val="21"/>
          <w:highlight w:val="none"/>
        </w:rPr>
        <w:t>一、工程质量保修范围和内容</w:t>
      </w:r>
      <w:bookmarkEnd w:id="566"/>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质量保修范围包括消防水系统、火灾自动报警系统、气体灭火系统、应急照明系统等，以及双方约定的其他项目。具体保修的内容，双方约定如下：</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承包人承包范围内容均属质量保修范围内容；其中：</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1.属于设计原因造成的质量问题，承包人负责维修，不留隐患，费用由发包人承担；</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2.属于施工造成的质量问题，承包人负责维修，不留隐患；</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3.属于业主使用不当造成的质量问题，配合抢修，费用由发包人承担。</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二、质量保修期</w:t>
      </w:r>
    </w:p>
    <w:p>
      <w:pPr>
        <w:keepNext w:val="0"/>
        <w:keepLines w:val="0"/>
        <w:pageBreakBefore w:val="0"/>
        <w:widowControl w:val="0"/>
        <w:kinsoku/>
        <w:wordWrap/>
        <w:overflowPunct/>
        <w:topLinePunct w:val="0"/>
        <w:autoSpaceDE/>
        <w:autoSpaceDN/>
        <w:bidi w:val="0"/>
        <w:adjustRightInd/>
        <w:snapToGrid/>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双方根据《建设工程质量管理条例》及有关规定，约定本工程的保修期</w:t>
      </w:r>
      <w:r>
        <w:rPr>
          <w:rFonts w:hint="eastAsia" w:ascii="宋体" w:hAnsi="宋体" w:eastAsia="宋体" w:cs="宋体"/>
          <w:color w:val="auto"/>
          <w:sz w:val="21"/>
          <w:szCs w:val="21"/>
          <w:highlight w:val="none"/>
          <w:lang w:val="en-US" w:eastAsia="zh-CN"/>
        </w:rPr>
        <w:t>为24个月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建设工程的保修期，自工程竣工验收合格之日起计算。</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67" w:name="_Toc532375689"/>
      <w:r>
        <w:rPr>
          <w:rFonts w:hint="eastAsia" w:ascii="宋体" w:hAnsi="宋体" w:eastAsia="宋体" w:cs="宋体"/>
          <w:color w:val="auto"/>
          <w:sz w:val="21"/>
          <w:szCs w:val="21"/>
          <w:highlight w:val="none"/>
        </w:rPr>
        <w:t>三、质量保修责任</w:t>
      </w:r>
      <w:bookmarkEnd w:id="567"/>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.质量保修完成后，由发包人组织验收。</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bookmarkStart w:id="568" w:name="_Toc532375690"/>
      <w:r>
        <w:rPr>
          <w:rFonts w:hint="eastAsia" w:ascii="宋体" w:hAnsi="宋体" w:eastAsia="宋体" w:cs="宋体"/>
          <w:color w:val="auto"/>
          <w:sz w:val="21"/>
          <w:szCs w:val="21"/>
          <w:highlight w:val="none"/>
        </w:rPr>
        <w:t>四、保修费用</w:t>
      </w:r>
      <w:bookmarkEnd w:id="568"/>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保修费用由质量缺陷的责任方承担。</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bookmarkStart w:id="569" w:name="_Toc532375691"/>
      <w:r>
        <w:rPr>
          <w:rFonts w:hint="eastAsia" w:ascii="宋体" w:hAnsi="宋体" w:eastAsia="宋体" w:cs="宋体"/>
          <w:color w:val="auto"/>
          <w:sz w:val="21"/>
          <w:szCs w:val="21"/>
          <w:highlight w:val="none"/>
        </w:rPr>
        <w:t>五、双方约定的其他工程质量保修事项</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按国家相关法律和规定执行。</w:t>
      </w:r>
      <w:bookmarkEnd w:id="569"/>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六、本文件生效</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本工程质量保修书经发包人与承包人盖章后生效。</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lang w:eastAsia="zh-CN"/>
        </w:rPr>
        <w:t>签名</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签名</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ind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签约时间：     年     月     日</w:t>
      </w:r>
    </w:p>
    <w:p>
      <w:pPr>
        <w:pStyle w:val="3"/>
        <w:numPr>
          <w:ilvl w:val="0"/>
          <w:numId w:val="0"/>
        </w:numPr>
        <w:rPr>
          <w:rFonts w:hint="eastAsia" w:ascii="宋体" w:hAnsi="宋体" w:eastAsia="宋体" w:cs="宋体"/>
          <w:b/>
          <w:color w:val="auto"/>
          <w:kern w:val="0"/>
          <w:sz w:val="36"/>
          <w:szCs w:val="36"/>
        </w:rPr>
      </w:pPr>
    </w:p>
    <w:p>
      <w:pPr>
        <w:pStyle w:val="2"/>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附件2：</w:t>
      </w:r>
    </w:p>
    <w:p>
      <w:pPr>
        <w:pStyle w:val="159"/>
        <w:rPr>
          <w:rFonts w:hint="eastAsia" w:ascii="宋体" w:hAnsi="宋体" w:eastAsia="宋体" w:cs="宋体"/>
          <w:b/>
          <w:color w:val="auto"/>
          <w:sz w:val="21"/>
          <w:szCs w:val="21"/>
        </w:rPr>
      </w:pPr>
    </w:p>
    <w:p>
      <w:pPr>
        <w:keepNext w:val="0"/>
        <w:keepLines w:val="0"/>
        <w:pageBreakBefore w:val="0"/>
        <w:widowControl w:val="0"/>
        <w:kinsoku/>
        <w:wordWrap/>
        <w:overflowPunct/>
        <w:topLinePunct w:val="0"/>
        <w:autoSpaceDE/>
        <w:autoSpaceDN/>
        <w:bidi w:val="0"/>
        <w:adjustRightInd/>
        <w:snapToGrid/>
        <w:spacing w:beforeLines="50" w:afterLines="50" w:line="48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廉洁从业协议</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20" w:firstLineChars="200"/>
        <w:jc w:val="left"/>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w:t>
      </w:r>
      <w:r>
        <w:rPr>
          <w:rFonts w:hint="eastAsia" w:ascii="宋体" w:hAnsi="宋体" w:eastAsia="宋体" w:cs="宋体"/>
          <w:color w:val="auto"/>
          <w:sz w:val="21"/>
          <w:szCs w:val="21"/>
          <w:lang w:val="en-US" w:eastAsia="zh-CN"/>
        </w:rPr>
        <w:t>全称</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承包人（全称）：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 发包人承包人的权利和义务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（1）严格遵守党的政策规定和国家有关法律法规及相关部门的有关规定。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（2）严格执行 工程的合同文件，自觉按合同办事。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（6）发现对方严重违反协议义务条款的行为，有向其上级有关部门举报、建议给予处理并要求告知处理结果的权利。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 发包人的义务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（2）发包人工作人员不得参加承包人安排的超标准宴请和娱乐活动；不得接受承包人提供的通讯工具、交通工具和高档办公用品等。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（3）发包人及其工作人员不得要求或者接受承包人为其住房装修、婚丧嫁娶活动、配偶子女的工作安排以及出国出境、旅游等提供方便等。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（4）发包人工作人员及其配偶、子女不得从事与发包人工程有关的材料设备供应、工程分包、劳务等经济活动等。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（5）发包人及其工作人员不得以任何理由向承包人推荐分包单位或推销材料，不得要求承包人购买合同规定外的材料和设备。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（6）发包人工作人员要秉公办事，不准营私舞弊，不准利用职权从事各种个人有偿中介活动和安排个人施工队伍。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 承包人义务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（1）承包人不得以任何理由向发包人及其工作人员行贿或馈赠礼金、有价证券、贵重礼品。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（2）承包人不得以任何名义为发包人及其工作人员报销应由发包人单位或个人支付的任何费用。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（3）承包人不得以任何理由安排发包人工作人员参加超标准宴请及娱乐活动。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（4）承包人不得为发包人单位和个人购置或提供通讯工具、交通工具和高档办公用品等。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 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（1）发包人及其工作人员违反合同第1、2条，按管理权限，依据有关规定给予党纪、政纪或组织处理；涉嫌犯罪的，移交司法机关追究刑事责任；给承包人单位造成经济损失的，应予以赔偿。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（2）承包人及其工作人员违反合同第1、3条，按管理权限，依据有关规定给予党纪、政纪或组织处理；给发包人单位造成经济损失的，应予以赔偿。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 协议有效期为</w:t>
      </w:r>
      <w:r>
        <w:rPr>
          <w:rFonts w:hint="eastAsia" w:ascii="宋体" w:hAnsi="宋体" w:eastAsia="宋体" w:cs="宋体"/>
          <w:color w:val="auto"/>
          <w:sz w:val="21"/>
          <w:szCs w:val="21"/>
          <w:lang w:eastAsia="zh-CN"/>
        </w:rPr>
        <w:t>发包人、承包人</w:t>
      </w:r>
      <w:r>
        <w:rPr>
          <w:rFonts w:hint="eastAsia" w:ascii="宋体" w:hAnsi="宋体" w:eastAsia="宋体" w:cs="宋体"/>
          <w:color w:val="auto"/>
          <w:sz w:val="21"/>
          <w:szCs w:val="21"/>
        </w:rPr>
        <w:t>双方签署之日起至该工程项目竣工验收后止。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7.协议作为 工程施工合同的附件，与工程施工合同具有同等的法律效力，经合同双方签署立即生效。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                              </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或其授权的代理人：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乙</w:t>
      </w:r>
      <w:r>
        <w:rPr>
          <w:rFonts w:hint="eastAsia" w:ascii="宋体" w:hAnsi="宋体" w:eastAsia="宋体" w:cs="宋体"/>
          <w:color w:val="auto"/>
          <w:sz w:val="21"/>
          <w:szCs w:val="21"/>
        </w:rPr>
        <w:t xml:space="preserve">     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或其授权的代理人：</w:t>
      </w:r>
    </w:p>
    <w:p>
      <w:pPr>
        <w:rPr>
          <w:rFonts w:hint="eastAsia" w:ascii="宋体" w:hAnsi="宋体" w:eastAsia="宋体" w:cs="宋体"/>
          <w:color w:val="auto"/>
        </w:rPr>
        <w:sectPr>
          <w:pgSz w:w="11906" w:h="16838"/>
          <w:pgMar w:top="1247" w:right="1134" w:bottom="1247" w:left="1134" w:header="851" w:footer="992" w:gutter="0"/>
          <w:cols w:space="720" w:num="1"/>
          <w:docGrid w:type="lines" w:linePitch="312" w:charSpace="0"/>
        </w:sectPr>
      </w:pPr>
    </w:p>
    <w:p>
      <w:pPr>
        <w:pStyle w:val="3"/>
        <w:numPr>
          <w:ilvl w:val="0"/>
          <w:numId w:val="0"/>
        </w:numPr>
        <w:rPr>
          <w:rFonts w:hint="eastAsia" w:ascii="宋体" w:hAnsi="宋体" w:eastAsia="宋体" w:cs="宋体"/>
          <w:b/>
          <w:color w:val="auto"/>
          <w:kern w:val="0"/>
          <w:sz w:val="36"/>
          <w:szCs w:val="36"/>
        </w:rPr>
      </w:pPr>
      <w:bookmarkStart w:id="570" w:name="_Toc13236"/>
      <w:r>
        <w:rPr>
          <w:rFonts w:hint="eastAsia" w:ascii="宋体" w:hAnsi="宋体" w:eastAsia="宋体" w:cs="宋体"/>
          <w:b/>
          <w:color w:val="auto"/>
          <w:kern w:val="0"/>
          <w:sz w:val="36"/>
          <w:szCs w:val="36"/>
        </w:rPr>
        <w:t>第五章 工程量清单</w:t>
      </w:r>
      <w:bookmarkEnd w:id="570"/>
    </w:p>
    <w:p>
      <w:pPr>
        <w:tabs>
          <w:tab w:val="left" w:pos="425"/>
        </w:tabs>
        <w:spacing w:before="0" w:after="0" w:line="360" w:lineRule="auto"/>
        <w:ind w:firstLine="420" w:firstLineChars="200"/>
        <w:jc w:val="both"/>
        <w:outlineLvl w:val="9"/>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详见行采家（https://www.gec123.com/）下载。</w:t>
      </w:r>
    </w:p>
    <w:p>
      <w:pPr>
        <w:numPr>
          <w:ilvl w:val="0"/>
          <w:numId w:val="0"/>
        </w:numPr>
        <w:spacing w:before="0" w:after="0" w:line="360" w:lineRule="auto"/>
        <w:jc w:val="both"/>
        <w:outlineLvl w:val="9"/>
        <w:rPr>
          <w:rFonts w:hint="eastAsia" w:ascii="宋体" w:hAnsi="宋体" w:eastAsia="宋体" w:cs="宋体"/>
          <w:b/>
          <w:bCs w:val="0"/>
          <w:color w:val="auto"/>
          <w:sz w:val="32"/>
          <w:szCs w:val="22"/>
          <w:lang w:val="en-US" w:eastAsia="zh-CN"/>
        </w:rPr>
      </w:pPr>
      <w:bookmarkStart w:id="571" w:name="_Hlt228003518"/>
      <w:bookmarkEnd w:id="571"/>
      <w:bookmarkStart w:id="572" w:name="_Toc323825718"/>
      <w:bookmarkStart w:id="573" w:name="_Toc18408"/>
    </w:p>
    <w:p>
      <w:pPr>
        <w:numPr>
          <w:ilvl w:val="0"/>
          <w:numId w:val="0"/>
        </w:numPr>
        <w:spacing w:before="0" w:after="0" w:line="360" w:lineRule="auto"/>
        <w:jc w:val="both"/>
        <w:outlineLvl w:val="9"/>
        <w:rPr>
          <w:rFonts w:hint="eastAsia" w:ascii="宋体" w:hAnsi="宋体" w:eastAsia="宋体" w:cs="宋体"/>
          <w:b/>
          <w:bCs w:val="0"/>
          <w:color w:val="auto"/>
          <w:sz w:val="32"/>
          <w:szCs w:val="22"/>
          <w:lang w:val="en-US" w:eastAsia="zh-CN"/>
        </w:rPr>
      </w:pPr>
    </w:p>
    <w:p>
      <w:pPr>
        <w:pStyle w:val="3"/>
        <w:numPr>
          <w:ilvl w:val="0"/>
          <w:numId w:val="0"/>
        </w:numPr>
        <w:rPr>
          <w:rFonts w:hint="eastAsia" w:ascii="宋体" w:hAnsi="宋体" w:eastAsia="宋体" w:cs="宋体"/>
          <w:b/>
          <w:color w:val="auto"/>
          <w:kern w:val="0"/>
          <w:sz w:val="36"/>
          <w:szCs w:val="36"/>
        </w:rPr>
      </w:pPr>
      <w:bookmarkStart w:id="574" w:name="_Toc26870"/>
      <w:r>
        <w:rPr>
          <w:rFonts w:hint="eastAsia" w:ascii="宋体" w:hAnsi="宋体" w:eastAsia="宋体" w:cs="宋体"/>
          <w:b/>
          <w:color w:val="auto"/>
          <w:kern w:val="0"/>
          <w:sz w:val="36"/>
          <w:szCs w:val="36"/>
          <w:lang w:val="en-US" w:eastAsia="zh-CN"/>
        </w:rPr>
        <w:t>第六章  图   纸</w:t>
      </w:r>
      <w:bookmarkEnd w:id="572"/>
      <w:bookmarkEnd w:id="573"/>
      <w:bookmarkEnd w:id="574"/>
    </w:p>
    <w:p>
      <w:pPr>
        <w:tabs>
          <w:tab w:val="left" w:pos="425"/>
        </w:tabs>
        <w:spacing w:before="0" w:after="0" w:line="360" w:lineRule="auto"/>
        <w:ind w:firstLine="420" w:firstLineChars="200"/>
        <w:jc w:val="both"/>
        <w:outlineLvl w:val="9"/>
        <w:rPr>
          <w:rFonts w:hint="eastAsia" w:ascii="宋体" w:hAnsi="宋体" w:eastAsia="宋体" w:cs="宋体"/>
          <w:color w:val="auto"/>
        </w:rPr>
      </w:pPr>
      <w:r>
        <w:rPr>
          <w:rFonts w:hint="eastAsia" w:ascii="宋体" w:hAnsi="宋体" w:eastAsia="宋体" w:cs="宋体"/>
          <w:color w:val="auto"/>
          <w:kern w:val="0"/>
          <w:szCs w:val="21"/>
          <w:lang w:val="en-US" w:eastAsia="zh-CN"/>
        </w:rPr>
        <w:t>详见行采家（https://www.gec123.com/）下载。</w:t>
      </w:r>
      <w:bookmarkStart w:id="575" w:name="_Hlt228003520"/>
      <w:bookmarkEnd w:id="575"/>
      <w:bookmarkStart w:id="576" w:name="_Toc323825719"/>
      <w:bookmarkStart w:id="577" w:name="_Toc20773"/>
    </w:p>
    <w:p>
      <w:pPr>
        <w:tabs>
          <w:tab w:val="left" w:pos="425"/>
        </w:tabs>
        <w:spacing w:before="0" w:after="0" w:line="360" w:lineRule="auto"/>
        <w:jc w:val="center"/>
        <w:outlineLvl w:val="9"/>
        <w:rPr>
          <w:rFonts w:hint="eastAsia" w:ascii="宋体" w:hAnsi="宋体" w:eastAsia="宋体" w:cs="宋体"/>
          <w:color w:val="auto"/>
        </w:rPr>
      </w:pPr>
    </w:p>
    <w:p>
      <w:pPr>
        <w:tabs>
          <w:tab w:val="left" w:pos="425"/>
        </w:tabs>
        <w:spacing w:before="0" w:after="0" w:line="360" w:lineRule="auto"/>
        <w:jc w:val="center"/>
        <w:outlineLvl w:val="9"/>
        <w:rPr>
          <w:rFonts w:hint="eastAsia" w:ascii="宋体" w:hAnsi="宋体" w:eastAsia="宋体" w:cs="宋体"/>
          <w:color w:val="auto"/>
        </w:rPr>
      </w:pPr>
    </w:p>
    <w:p>
      <w:pPr>
        <w:pStyle w:val="3"/>
        <w:numPr>
          <w:ilvl w:val="0"/>
          <w:numId w:val="0"/>
        </w:numPr>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bookmarkStart w:id="578" w:name="_Toc10766"/>
      <w:r>
        <w:rPr>
          <w:rFonts w:hint="eastAsia" w:ascii="宋体" w:hAnsi="宋体" w:eastAsia="宋体" w:cs="宋体"/>
          <w:b/>
          <w:color w:val="auto"/>
          <w:kern w:val="0"/>
          <w:sz w:val="36"/>
          <w:szCs w:val="36"/>
          <w:lang w:val="en-US" w:eastAsia="zh-CN"/>
        </w:rPr>
        <w:t>第七章  技术标准和要求</w:t>
      </w:r>
      <w:bookmarkEnd w:id="576"/>
      <w:bookmarkEnd w:id="577"/>
      <w:bookmarkEnd w:id="578"/>
    </w:p>
    <w:p>
      <w:pPr>
        <w:wordWrap w:val="0"/>
        <w:snapToGrid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按现行国家和重庆市相关技术规定和要求执行。</w:t>
      </w:r>
    </w:p>
    <w:p>
      <w:pPr>
        <w:wordWrap w:val="0"/>
        <w:snapToGrid w:val="0"/>
        <w:spacing w:line="440" w:lineRule="exact"/>
        <w:ind w:firstLine="723" w:firstLineChars="200"/>
        <w:jc w:val="center"/>
        <w:rPr>
          <w:rFonts w:hint="eastAsia" w:ascii="宋体" w:hAnsi="宋体" w:eastAsia="宋体" w:cs="宋体"/>
          <w:b/>
          <w:color w:val="auto"/>
          <w:kern w:val="0"/>
          <w:sz w:val="36"/>
          <w:szCs w:val="36"/>
        </w:rPr>
      </w:pPr>
    </w:p>
    <w:bookmarkEnd w:id="517"/>
    <w:bookmarkEnd w:id="518"/>
    <w:bookmarkEnd w:id="519"/>
    <w:bookmarkEnd w:id="520"/>
    <w:bookmarkEnd w:id="521"/>
    <w:bookmarkEnd w:id="522"/>
    <w:bookmarkEnd w:id="523"/>
    <w:bookmarkEnd w:id="524"/>
    <w:bookmarkEnd w:id="525"/>
    <w:bookmarkEnd w:id="526"/>
    <w:p>
      <w:pPr>
        <w:pStyle w:val="3"/>
        <w:numPr>
          <w:ilvl w:val="0"/>
          <w:numId w:val="0"/>
        </w:numPr>
        <w:ind w:firstLine="422"/>
        <w:rPr>
          <w:rFonts w:hint="eastAsia" w:ascii="宋体" w:hAnsi="宋体" w:eastAsia="宋体" w:cs="宋体"/>
          <w:b/>
          <w:color w:val="auto"/>
          <w:kern w:val="0"/>
        </w:rPr>
      </w:pPr>
      <w:bookmarkStart w:id="579" w:name="_Toc30368"/>
      <w:bookmarkStart w:id="580" w:name="_Toc444155995"/>
      <w:bookmarkStart w:id="581" w:name="_Toc14326"/>
      <w:bookmarkStart w:id="582" w:name="_Toc11387"/>
      <w:r>
        <w:rPr>
          <w:rFonts w:hint="eastAsia" w:ascii="宋体" w:hAnsi="宋体" w:eastAsia="宋体" w:cs="宋体"/>
          <w:b/>
          <w:color w:val="auto"/>
          <w:kern w:val="0"/>
        </w:rPr>
        <w:br w:type="page"/>
      </w:r>
      <w:bookmarkStart w:id="583" w:name="_Toc26078"/>
      <w:bookmarkStart w:id="584" w:name="_Toc315"/>
      <w:r>
        <w:rPr>
          <w:rFonts w:hint="eastAsia" w:ascii="宋体" w:hAnsi="宋体" w:eastAsia="宋体" w:cs="宋体"/>
          <w:b/>
          <w:color w:val="auto"/>
          <w:kern w:val="0"/>
          <w:sz w:val="36"/>
          <w:szCs w:val="36"/>
        </w:rPr>
        <w:t>第</w:t>
      </w:r>
      <w:r>
        <w:rPr>
          <w:rFonts w:hint="eastAsia" w:ascii="宋体" w:hAnsi="宋体" w:eastAsia="宋体" w:cs="宋体"/>
          <w:b/>
          <w:color w:val="auto"/>
          <w:kern w:val="0"/>
          <w:sz w:val="36"/>
          <w:szCs w:val="36"/>
          <w:lang w:val="en-US" w:eastAsia="zh-CN"/>
        </w:rPr>
        <w:t>八</w:t>
      </w:r>
      <w:r>
        <w:rPr>
          <w:rFonts w:hint="eastAsia" w:ascii="宋体" w:hAnsi="宋体" w:eastAsia="宋体" w:cs="宋体"/>
          <w:b/>
          <w:color w:val="auto"/>
          <w:kern w:val="0"/>
          <w:sz w:val="36"/>
          <w:szCs w:val="36"/>
        </w:rPr>
        <w:t>章  竞选文件格式</w:t>
      </w:r>
      <w:bookmarkEnd w:id="579"/>
      <w:bookmarkEnd w:id="580"/>
      <w:bookmarkEnd w:id="581"/>
      <w:bookmarkEnd w:id="582"/>
      <w:bookmarkEnd w:id="583"/>
      <w:bookmarkEnd w:id="584"/>
    </w:p>
    <w:p>
      <w:pPr>
        <w:widowControl/>
        <w:jc w:val="left"/>
        <w:rPr>
          <w:rFonts w:hint="eastAsia" w:ascii="宋体" w:hAnsi="宋体" w:eastAsia="宋体" w:cs="宋体"/>
          <w:color w:val="auto"/>
          <w:kern w:val="0"/>
          <w:sz w:val="28"/>
        </w:rPr>
      </w:pPr>
      <w:r>
        <w:rPr>
          <w:rFonts w:hint="eastAsia" w:ascii="宋体" w:hAnsi="宋体" w:eastAsia="宋体" w:cs="宋体"/>
          <w:color w:val="auto"/>
          <w:kern w:val="0"/>
          <w:sz w:val="28"/>
        </w:rPr>
        <w:br w:type="page"/>
      </w:r>
    </w:p>
    <w:p>
      <w:pPr>
        <w:tabs>
          <w:tab w:val="left" w:pos="1418"/>
        </w:tabs>
        <w:autoSpaceDE w:val="0"/>
        <w:autoSpaceDN w:val="0"/>
        <w:adjustRightInd w:val="0"/>
        <w:snapToGrid w:val="0"/>
        <w:spacing w:line="360" w:lineRule="auto"/>
        <w:ind w:firstLine="635" w:firstLineChars="200"/>
        <w:jc w:val="left"/>
        <w:outlineLvl w:val="0"/>
        <w:rPr>
          <w:rFonts w:hint="eastAsia" w:ascii="宋体" w:hAnsi="宋体" w:eastAsia="宋体" w:cs="宋体"/>
          <w:b/>
          <w:snapToGrid w:val="0"/>
          <w:color w:val="auto"/>
          <w:w w:val="99"/>
          <w:sz w:val="32"/>
          <w:szCs w:val="32"/>
        </w:rPr>
      </w:pPr>
      <w:bookmarkStart w:id="585" w:name="_Toc4112"/>
      <w:bookmarkStart w:id="586" w:name="_Toc10224"/>
      <w:bookmarkStart w:id="587" w:name="_Toc17455"/>
      <w:bookmarkStart w:id="588" w:name="_Toc17485"/>
      <w:r>
        <w:rPr>
          <w:rFonts w:hint="eastAsia" w:ascii="宋体" w:hAnsi="宋体" w:eastAsia="宋体" w:cs="宋体"/>
          <w:b/>
          <w:snapToGrid w:val="0"/>
          <w:color w:val="auto"/>
          <w:w w:val="99"/>
          <w:sz w:val="32"/>
          <w:szCs w:val="32"/>
        </w:rPr>
        <w:t>项目名称：</w:t>
      </w:r>
      <w:bookmarkEnd w:id="585"/>
      <w:bookmarkEnd w:id="586"/>
      <w:bookmarkEnd w:id="587"/>
      <w:bookmarkEnd w:id="588"/>
    </w:p>
    <w:p>
      <w:pPr>
        <w:adjustRightInd w:val="0"/>
        <w:snapToGrid w:val="0"/>
        <w:jc w:val="center"/>
        <w:rPr>
          <w:rFonts w:hint="eastAsia" w:ascii="宋体" w:hAnsi="宋体" w:eastAsia="宋体" w:cs="宋体"/>
          <w:b/>
          <w:color w:val="auto"/>
          <w:sz w:val="32"/>
          <w:szCs w:val="32"/>
        </w:rPr>
      </w:pPr>
    </w:p>
    <w:p>
      <w:pPr>
        <w:adjustRightInd w:val="0"/>
        <w:snapToGrid w:val="0"/>
        <w:rPr>
          <w:rFonts w:hint="eastAsia" w:ascii="宋体" w:hAnsi="宋体" w:eastAsia="宋体" w:cs="宋体"/>
          <w:b/>
          <w:color w:val="auto"/>
          <w:sz w:val="116"/>
        </w:rPr>
      </w:pPr>
    </w:p>
    <w:p>
      <w:pPr>
        <w:pStyle w:val="2"/>
        <w:rPr>
          <w:rFonts w:hint="eastAsia" w:ascii="宋体" w:hAnsi="宋体" w:eastAsia="宋体" w:cs="宋体"/>
          <w:b/>
          <w:color w:val="auto"/>
        </w:rPr>
      </w:pPr>
    </w:p>
    <w:p>
      <w:pPr>
        <w:rPr>
          <w:rFonts w:hint="eastAsia" w:ascii="宋体" w:hAnsi="宋体" w:eastAsia="宋体" w:cs="宋体"/>
          <w:b/>
          <w:color w:val="auto"/>
        </w:rPr>
      </w:pPr>
    </w:p>
    <w:p>
      <w:pPr>
        <w:pStyle w:val="2"/>
        <w:rPr>
          <w:rFonts w:hint="eastAsia" w:ascii="宋体" w:hAnsi="宋体" w:eastAsia="宋体" w:cs="宋体"/>
          <w:b/>
          <w:color w:val="auto"/>
        </w:rPr>
      </w:pPr>
    </w:p>
    <w:p>
      <w:pPr>
        <w:rPr>
          <w:rFonts w:hint="eastAsia" w:ascii="宋体" w:hAnsi="宋体" w:eastAsia="宋体" w:cs="宋体"/>
          <w:b/>
          <w:color w:val="auto"/>
        </w:rPr>
      </w:pPr>
    </w:p>
    <w:p>
      <w:pPr>
        <w:pStyle w:val="2"/>
        <w:rPr>
          <w:rFonts w:hint="eastAsia" w:ascii="宋体" w:hAnsi="宋体" w:eastAsia="宋体" w:cs="宋体"/>
          <w:b/>
          <w:color w:val="auto"/>
        </w:rPr>
      </w:pPr>
    </w:p>
    <w:p>
      <w:pPr>
        <w:pStyle w:val="2"/>
        <w:rPr>
          <w:rFonts w:hint="eastAsia" w:ascii="宋体" w:hAnsi="宋体" w:eastAsia="宋体" w:cs="宋体"/>
          <w:b/>
          <w:color w:val="auto"/>
        </w:rPr>
      </w:pPr>
    </w:p>
    <w:p>
      <w:pPr>
        <w:adjustRightInd w:val="0"/>
        <w:snapToGrid w:val="0"/>
        <w:jc w:val="center"/>
        <w:outlineLvl w:val="1"/>
        <w:rPr>
          <w:rFonts w:hint="eastAsia" w:ascii="宋体" w:hAnsi="宋体" w:eastAsia="宋体" w:cs="宋体"/>
          <w:b/>
          <w:color w:val="auto"/>
          <w:sz w:val="96"/>
        </w:rPr>
      </w:pPr>
      <w:r>
        <w:rPr>
          <w:rFonts w:hint="eastAsia" w:ascii="宋体" w:hAnsi="宋体" w:eastAsia="宋体" w:cs="宋体"/>
          <w:b/>
          <w:color w:val="auto"/>
          <w:sz w:val="96"/>
        </w:rPr>
        <w:t>竞 选 文 件</w:t>
      </w:r>
    </w:p>
    <w:p>
      <w:pPr>
        <w:adjustRightInd w:val="0"/>
        <w:snapToGrid w:val="0"/>
        <w:spacing w:line="500" w:lineRule="exact"/>
        <w:jc w:val="center"/>
        <w:rPr>
          <w:rFonts w:hint="eastAsia" w:ascii="宋体" w:hAnsi="宋体" w:eastAsia="宋体" w:cs="宋体"/>
          <w:b/>
          <w:color w:val="auto"/>
          <w:sz w:val="36"/>
          <w:szCs w:val="36"/>
        </w:rPr>
      </w:pPr>
    </w:p>
    <w:p>
      <w:pPr>
        <w:adjustRightInd w:val="0"/>
        <w:snapToGrid w:val="0"/>
        <w:spacing w:line="500" w:lineRule="exact"/>
        <w:rPr>
          <w:rFonts w:hint="eastAsia" w:ascii="宋体" w:hAnsi="宋体" w:eastAsia="宋体" w:cs="宋体"/>
          <w:b/>
          <w:color w:val="auto"/>
          <w:sz w:val="32"/>
        </w:rPr>
      </w:pPr>
    </w:p>
    <w:p>
      <w:pPr>
        <w:adjustRightInd w:val="0"/>
        <w:snapToGrid w:val="0"/>
        <w:spacing w:line="500" w:lineRule="exact"/>
        <w:rPr>
          <w:rFonts w:hint="eastAsia" w:ascii="宋体" w:hAnsi="宋体" w:eastAsia="宋体" w:cs="宋体"/>
          <w:b/>
          <w:color w:val="auto"/>
          <w:sz w:val="32"/>
        </w:rPr>
      </w:pPr>
    </w:p>
    <w:p>
      <w:pPr>
        <w:adjustRightInd w:val="0"/>
        <w:snapToGrid w:val="0"/>
        <w:spacing w:line="500" w:lineRule="exact"/>
        <w:rPr>
          <w:rFonts w:hint="eastAsia" w:ascii="宋体" w:hAnsi="宋体" w:eastAsia="宋体" w:cs="宋体"/>
          <w:b/>
          <w:color w:val="auto"/>
          <w:sz w:val="28"/>
          <w:szCs w:val="28"/>
        </w:rPr>
      </w:pPr>
    </w:p>
    <w:p>
      <w:pPr>
        <w:adjustRightInd w:val="0"/>
        <w:snapToGrid w:val="0"/>
        <w:spacing w:line="500" w:lineRule="exact"/>
        <w:jc w:val="center"/>
        <w:rPr>
          <w:rFonts w:hint="eastAsia" w:ascii="宋体" w:hAnsi="宋体" w:eastAsia="宋体" w:cs="宋体"/>
          <w:b/>
          <w:color w:val="auto"/>
          <w:sz w:val="28"/>
          <w:szCs w:val="28"/>
        </w:rPr>
      </w:pPr>
    </w:p>
    <w:p>
      <w:pPr>
        <w:pStyle w:val="2"/>
        <w:rPr>
          <w:rFonts w:hint="eastAsia" w:ascii="宋体" w:hAnsi="宋体" w:eastAsia="宋体" w:cs="宋体"/>
          <w:b/>
          <w:color w:val="auto"/>
        </w:rPr>
      </w:pPr>
    </w:p>
    <w:p>
      <w:pPr>
        <w:rPr>
          <w:rFonts w:hint="eastAsia" w:ascii="宋体" w:hAnsi="宋体" w:eastAsia="宋体" w:cs="宋体"/>
          <w:b/>
          <w:color w:val="auto"/>
        </w:rPr>
      </w:pPr>
    </w:p>
    <w:p>
      <w:pPr>
        <w:pStyle w:val="2"/>
        <w:rPr>
          <w:rFonts w:hint="eastAsia" w:ascii="宋体" w:hAnsi="宋体" w:eastAsia="宋体" w:cs="宋体"/>
          <w:b/>
          <w:color w:val="auto"/>
        </w:rPr>
      </w:pPr>
    </w:p>
    <w:p>
      <w:pPr>
        <w:adjustRightInd w:val="0"/>
        <w:snapToGrid w:val="0"/>
        <w:spacing w:line="500" w:lineRule="exact"/>
        <w:jc w:val="center"/>
        <w:outlineLvl w:val="1"/>
        <w:rPr>
          <w:rFonts w:hint="eastAsia" w:ascii="宋体" w:hAnsi="宋体" w:eastAsia="宋体" w:cs="宋体"/>
          <w:b/>
          <w:color w:val="auto"/>
          <w:sz w:val="32"/>
          <w:szCs w:val="30"/>
        </w:rPr>
      </w:pPr>
      <w:r>
        <w:rPr>
          <w:rFonts w:hint="eastAsia" w:ascii="宋体" w:hAnsi="宋体" w:eastAsia="宋体" w:cs="宋体"/>
          <w:b/>
          <w:color w:val="auto"/>
          <w:sz w:val="32"/>
          <w:szCs w:val="30"/>
        </w:rPr>
        <w:t>竞选人:</w:t>
      </w:r>
      <w:r>
        <w:rPr>
          <w:rFonts w:hint="eastAsia" w:ascii="宋体" w:hAnsi="宋体" w:eastAsia="宋体" w:cs="宋体"/>
          <w:b/>
          <w:color w:val="auto"/>
          <w:sz w:val="32"/>
          <w:szCs w:val="30"/>
          <w:u w:val="single"/>
        </w:rPr>
        <w:t xml:space="preserve">                               </w:t>
      </w:r>
      <w:r>
        <w:rPr>
          <w:rFonts w:hint="eastAsia" w:ascii="宋体" w:hAnsi="宋体" w:eastAsia="宋体" w:cs="宋体"/>
          <w:b/>
          <w:color w:val="auto"/>
          <w:sz w:val="32"/>
          <w:szCs w:val="30"/>
        </w:rPr>
        <w:t>(盖单位法人章)</w:t>
      </w:r>
    </w:p>
    <w:p>
      <w:pPr>
        <w:adjustRightInd w:val="0"/>
        <w:snapToGrid w:val="0"/>
        <w:spacing w:line="500" w:lineRule="exact"/>
        <w:rPr>
          <w:rFonts w:hint="eastAsia" w:ascii="宋体" w:hAnsi="宋体" w:eastAsia="宋体" w:cs="宋体"/>
          <w:b/>
          <w:color w:val="auto"/>
          <w:sz w:val="32"/>
          <w:szCs w:val="30"/>
        </w:rPr>
      </w:pPr>
    </w:p>
    <w:p>
      <w:pPr>
        <w:adjustRightInd w:val="0"/>
        <w:snapToGrid w:val="0"/>
        <w:spacing w:line="276" w:lineRule="auto"/>
        <w:ind w:firstLine="643" w:firstLineChars="200"/>
        <w:outlineLvl w:val="0"/>
        <w:rPr>
          <w:rFonts w:hint="eastAsia" w:ascii="宋体" w:hAnsi="宋体" w:eastAsia="宋体" w:cs="宋体"/>
          <w:b/>
          <w:color w:val="auto"/>
          <w:sz w:val="32"/>
          <w:szCs w:val="30"/>
        </w:rPr>
      </w:pPr>
      <w:bookmarkStart w:id="589" w:name="_Toc10180"/>
      <w:bookmarkStart w:id="590" w:name="_Toc24566"/>
      <w:bookmarkStart w:id="591" w:name="_Toc3065"/>
      <w:bookmarkStart w:id="592" w:name="_Toc11502"/>
      <w:r>
        <w:rPr>
          <w:rFonts w:hint="eastAsia" w:ascii="宋体" w:hAnsi="宋体" w:eastAsia="宋体" w:cs="宋体"/>
          <w:b/>
          <w:color w:val="auto"/>
          <w:sz w:val="32"/>
          <w:szCs w:val="30"/>
        </w:rPr>
        <w:t>法定代表人</w:t>
      </w:r>
      <w:r>
        <w:rPr>
          <w:rFonts w:hint="eastAsia" w:ascii="宋体" w:hAnsi="宋体" w:eastAsia="宋体" w:cs="宋体"/>
          <w:b/>
          <w:color w:val="auto"/>
          <w:w w:val="99"/>
          <w:kern w:val="0"/>
          <w:sz w:val="32"/>
          <w:szCs w:val="30"/>
        </w:rPr>
        <w:t>或其委托代理人</w:t>
      </w:r>
      <w:r>
        <w:rPr>
          <w:rFonts w:hint="eastAsia" w:ascii="宋体" w:hAnsi="宋体" w:eastAsia="宋体" w:cs="宋体"/>
          <w:b/>
          <w:color w:val="auto"/>
          <w:sz w:val="32"/>
          <w:szCs w:val="30"/>
        </w:rPr>
        <w:t>:</w:t>
      </w:r>
      <w:r>
        <w:rPr>
          <w:rFonts w:hint="eastAsia" w:ascii="宋体" w:hAnsi="宋体" w:eastAsia="宋体" w:cs="宋体"/>
          <w:b/>
          <w:color w:val="auto"/>
          <w:sz w:val="32"/>
          <w:szCs w:val="30"/>
          <w:u w:val="single"/>
        </w:rPr>
        <w:t xml:space="preserve">               </w:t>
      </w:r>
      <w:r>
        <w:rPr>
          <w:rFonts w:hint="eastAsia" w:ascii="宋体" w:hAnsi="宋体" w:eastAsia="宋体" w:cs="宋体"/>
          <w:b/>
          <w:color w:val="auto"/>
          <w:sz w:val="32"/>
          <w:szCs w:val="30"/>
        </w:rPr>
        <w:t>(签字或盖章)</w:t>
      </w:r>
      <w:bookmarkEnd w:id="589"/>
      <w:bookmarkEnd w:id="590"/>
      <w:bookmarkEnd w:id="591"/>
      <w:bookmarkEnd w:id="592"/>
    </w:p>
    <w:p>
      <w:pPr>
        <w:adjustRightInd w:val="0"/>
        <w:snapToGrid w:val="0"/>
        <w:spacing w:line="500" w:lineRule="exact"/>
        <w:jc w:val="center"/>
        <w:rPr>
          <w:rFonts w:hint="eastAsia" w:ascii="宋体" w:hAnsi="宋体" w:eastAsia="宋体" w:cs="宋体"/>
          <w:b/>
          <w:color w:val="auto"/>
          <w:sz w:val="30"/>
          <w:szCs w:val="30"/>
        </w:rPr>
      </w:pPr>
    </w:p>
    <w:p>
      <w:pPr>
        <w:autoSpaceDE w:val="0"/>
        <w:autoSpaceDN w:val="0"/>
        <w:adjustRightInd w:val="0"/>
        <w:spacing w:line="500" w:lineRule="exact"/>
        <w:jc w:val="center"/>
        <w:outlineLvl w:val="0"/>
        <w:rPr>
          <w:rFonts w:hint="eastAsia" w:ascii="宋体" w:hAnsi="宋体" w:eastAsia="宋体" w:cs="宋体"/>
          <w:color w:val="auto"/>
          <w:sz w:val="28"/>
          <w:szCs w:val="28"/>
        </w:rPr>
      </w:pPr>
      <w:r>
        <w:rPr>
          <w:rFonts w:hint="eastAsia" w:ascii="宋体" w:hAnsi="宋体" w:eastAsia="宋体" w:cs="宋体"/>
          <w:b/>
          <w:color w:val="auto"/>
          <w:sz w:val="30"/>
          <w:szCs w:val="30"/>
          <w:u w:val="single"/>
        </w:rPr>
        <w:t xml:space="preserve">      </w:t>
      </w:r>
      <w:bookmarkStart w:id="593" w:name="_Toc21726"/>
      <w:bookmarkStart w:id="594" w:name="_Toc25316"/>
      <w:bookmarkStart w:id="595" w:name="_Toc20539"/>
      <w:bookmarkStart w:id="596" w:name="_Toc26042"/>
      <w:r>
        <w:rPr>
          <w:rFonts w:hint="eastAsia" w:ascii="宋体" w:hAnsi="宋体" w:eastAsia="宋体" w:cs="宋体"/>
          <w:b/>
          <w:color w:val="auto"/>
          <w:sz w:val="30"/>
          <w:szCs w:val="30"/>
        </w:rPr>
        <w:t>年</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rPr>
        <w:t>月</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rPr>
        <w:t>日</w:t>
      </w:r>
      <w:r>
        <w:rPr>
          <w:rFonts w:hint="eastAsia" w:ascii="宋体" w:hAnsi="宋体" w:eastAsia="宋体" w:cs="宋体"/>
          <w:color w:val="auto"/>
          <w:sz w:val="28"/>
          <w:szCs w:val="28"/>
        </w:rPr>
        <w:br w:type="page"/>
      </w:r>
      <w:bookmarkEnd w:id="593"/>
      <w:bookmarkEnd w:id="594"/>
      <w:bookmarkEnd w:id="595"/>
      <w:bookmarkEnd w:id="596"/>
    </w:p>
    <w:p>
      <w:pPr>
        <w:pageBreakBefore/>
        <w:autoSpaceDE w:val="0"/>
        <w:autoSpaceDN w:val="0"/>
        <w:adjustRightInd w:val="0"/>
        <w:spacing w:line="700" w:lineRule="exact"/>
        <w:jc w:val="center"/>
        <w:outlineLvl w:val="0"/>
        <w:rPr>
          <w:rFonts w:hint="eastAsia" w:ascii="宋体" w:hAnsi="宋体" w:eastAsia="宋体" w:cs="宋体"/>
          <w:color w:val="auto"/>
          <w:sz w:val="36"/>
          <w:szCs w:val="36"/>
        </w:rPr>
      </w:pPr>
      <w:bookmarkStart w:id="597" w:name="_Toc6812"/>
      <w:bookmarkStart w:id="598" w:name="_Toc30942"/>
      <w:bookmarkStart w:id="599" w:name="_Toc23387"/>
      <w:bookmarkStart w:id="600" w:name="_Toc12496"/>
      <w:r>
        <w:rPr>
          <w:rFonts w:hint="eastAsia" w:ascii="宋体" w:hAnsi="宋体" w:eastAsia="宋体" w:cs="宋体"/>
          <w:color w:val="auto"/>
          <w:sz w:val="36"/>
          <w:szCs w:val="36"/>
        </w:rPr>
        <w:t>目  录</w:t>
      </w:r>
      <w:bookmarkEnd w:id="597"/>
      <w:bookmarkEnd w:id="598"/>
      <w:bookmarkEnd w:id="599"/>
      <w:bookmarkEnd w:id="600"/>
    </w:p>
    <w:p>
      <w:pPr>
        <w:autoSpaceDE w:val="0"/>
        <w:autoSpaceDN w:val="0"/>
        <w:adjustRightInd w:val="0"/>
        <w:spacing w:line="700" w:lineRule="exact"/>
        <w:ind w:firstLine="480" w:firstLineChars="200"/>
        <w:outlineLvl w:val="0"/>
        <w:rPr>
          <w:rFonts w:hint="eastAsia" w:ascii="宋体" w:hAnsi="宋体" w:eastAsia="宋体" w:cs="宋体"/>
          <w:color w:val="auto"/>
          <w:sz w:val="24"/>
          <w:szCs w:val="32"/>
        </w:rPr>
      </w:pPr>
      <w:bookmarkStart w:id="601" w:name="_Toc29240"/>
      <w:bookmarkStart w:id="602" w:name="_Toc9325"/>
      <w:bookmarkStart w:id="603" w:name="_Toc15185"/>
      <w:bookmarkStart w:id="604" w:name="_Toc18197"/>
      <w:r>
        <w:rPr>
          <w:rFonts w:hint="eastAsia" w:ascii="宋体" w:hAnsi="宋体" w:eastAsia="宋体" w:cs="宋体"/>
          <w:color w:val="auto"/>
          <w:sz w:val="24"/>
          <w:szCs w:val="32"/>
        </w:rPr>
        <w:t>一、竞选函</w:t>
      </w:r>
      <w:bookmarkEnd w:id="601"/>
      <w:bookmarkEnd w:id="602"/>
      <w:bookmarkEnd w:id="603"/>
      <w:bookmarkEnd w:id="604"/>
    </w:p>
    <w:p>
      <w:pPr>
        <w:autoSpaceDE w:val="0"/>
        <w:autoSpaceDN w:val="0"/>
        <w:adjustRightInd w:val="0"/>
        <w:spacing w:line="700" w:lineRule="exact"/>
        <w:ind w:firstLine="480" w:firstLineChars="200"/>
        <w:outlineLvl w:val="0"/>
        <w:rPr>
          <w:rFonts w:hint="eastAsia" w:ascii="宋体" w:hAnsi="宋体" w:eastAsia="宋体" w:cs="宋体"/>
          <w:color w:val="auto"/>
          <w:sz w:val="24"/>
          <w:szCs w:val="32"/>
        </w:rPr>
      </w:pPr>
      <w:bookmarkStart w:id="605" w:name="_Toc1299"/>
      <w:bookmarkStart w:id="606" w:name="_Toc19046"/>
      <w:bookmarkStart w:id="607" w:name="_Toc8965"/>
      <w:bookmarkStart w:id="608" w:name="_Toc23691"/>
      <w:r>
        <w:rPr>
          <w:rFonts w:hint="eastAsia" w:ascii="宋体" w:hAnsi="宋体" w:eastAsia="宋体" w:cs="宋体"/>
          <w:color w:val="auto"/>
          <w:sz w:val="24"/>
          <w:szCs w:val="32"/>
        </w:rPr>
        <w:t>二、</w:t>
      </w:r>
      <w:bookmarkEnd w:id="605"/>
      <w:r>
        <w:rPr>
          <w:rFonts w:hint="eastAsia" w:ascii="宋体" w:hAnsi="宋体" w:eastAsia="宋体" w:cs="宋体"/>
          <w:color w:val="auto"/>
          <w:sz w:val="24"/>
          <w:szCs w:val="32"/>
        </w:rPr>
        <w:t>已标价工程量清单</w:t>
      </w:r>
      <w:bookmarkEnd w:id="606"/>
      <w:bookmarkEnd w:id="607"/>
    </w:p>
    <w:p>
      <w:pPr>
        <w:autoSpaceDE w:val="0"/>
        <w:autoSpaceDN w:val="0"/>
        <w:adjustRightInd w:val="0"/>
        <w:spacing w:line="700" w:lineRule="exact"/>
        <w:ind w:firstLine="480" w:firstLineChars="200"/>
        <w:outlineLvl w:val="0"/>
        <w:rPr>
          <w:rFonts w:hint="eastAsia" w:ascii="宋体" w:hAnsi="宋体" w:eastAsia="宋体" w:cs="宋体"/>
          <w:color w:val="auto"/>
          <w:sz w:val="24"/>
          <w:szCs w:val="32"/>
        </w:rPr>
      </w:pPr>
      <w:bookmarkStart w:id="609" w:name="_Toc27189"/>
      <w:bookmarkStart w:id="610" w:name="_Toc25478"/>
      <w:bookmarkStart w:id="611" w:name="_Toc18976"/>
      <w:r>
        <w:rPr>
          <w:rFonts w:hint="eastAsia" w:ascii="宋体" w:hAnsi="宋体" w:eastAsia="宋体" w:cs="宋体"/>
          <w:color w:val="auto"/>
          <w:sz w:val="24"/>
          <w:szCs w:val="32"/>
          <w:lang w:val="en-US" w:eastAsia="zh-CN"/>
        </w:rPr>
        <w:t>三</w:t>
      </w:r>
      <w:r>
        <w:rPr>
          <w:rFonts w:hint="eastAsia" w:ascii="宋体" w:hAnsi="宋体" w:eastAsia="宋体" w:cs="宋体"/>
          <w:color w:val="auto"/>
          <w:sz w:val="24"/>
          <w:szCs w:val="32"/>
        </w:rPr>
        <w:t>、法定代表人身份证明及授权委托书</w:t>
      </w:r>
      <w:bookmarkEnd w:id="608"/>
      <w:bookmarkEnd w:id="609"/>
      <w:bookmarkEnd w:id="610"/>
      <w:bookmarkEnd w:id="611"/>
    </w:p>
    <w:p>
      <w:pPr>
        <w:autoSpaceDE w:val="0"/>
        <w:autoSpaceDN w:val="0"/>
        <w:adjustRightInd w:val="0"/>
        <w:spacing w:line="700" w:lineRule="exact"/>
        <w:ind w:firstLine="480" w:firstLineChars="200"/>
        <w:outlineLvl w:val="0"/>
        <w:rPr>
          <w:rFonts w:hint="eastAsia" w:ascii="宋体" w:hAnsi="宋体" w:eastAsia="宋体" w:cs="宋体"/>
          <w:color w:val="auto"/>
          <w:sz w:val="24"/>
          <w:szCs w:val="32"/>
        </w:rPr>
      </w:pPr>
      <w:bookmarkStart w:id="612" w:name="_Toc13899"/>
      <w:bookmarkStart w:id="613" w:name="_Toc14194"/>
      <w:bookmarkStart w:id="614" w:name="_Toc16235"/>
      <w:bookmarkStart w:id="615" w:name="_Toc3738"/>
      <w:r>
        <w:rPr>
          <w:rFonts w:hint="eastAsia" w:ascii="宋体" w:hAnsi="宋体" w:eastAsia="宋体" w:cs="宋体"/>
          <w:color w:val="auto"/>
          <w:sz w:val="24"/>
          <w:szCs w:val="32"/>
          <w:lang w:val="en-US" w:eastAsia="zh-CN"/>
        </w:rPr>
        <w:t>四</w:t>
      </w:r>
      <w:r>
        <w:rPr>
          <w:rFonts w:hint="eastAsia" w:ascii="宋体" w:hAnsi="宋体" w:eastAsia="宋体" w:cs="宋体"/>
          <w:color w:val="auto"/>
          <w:sz w:val="24"/>
          <w:szCs w:val="32"/>
        </w:rPr>
        <w:t>、竞选人基本情况表</w:t>
      </w:r>
      <w:bookmarkEnd w:id="612"/>
      <w:bookmarkEnd w:id="613"/>
      <w:bookmarkEnd w:id="614"/>
      <w:bookmarkEnd w:id="615"/>
    </w:p>
    <w:p>
      <w:pPr>
        <w:autoSpaceDE w:val="0"/>
        <w:autoSpaceDN w:val="0"/>
        <w:adjustRightInd w:val="0"/>
        <w:spacing w:line="700" w:lineRule="exact"/>
        <w:ind w:firstLine="480" w:firstLineChars="200"/>
        <w:outlineLvl w:val="0"/>
        <w:rPr>
          <w:rFonts w:hint="eastAsia" w:ascii="宋体" w:hAnsi="宋体" w:eastAsia="宋体" w:cs="宋体"/>
          <w:color w:val="auto"/>
          <w:sz w:val="24"/>
          <w:szCs w:val="32"/>
        </w:rPr>
      </w:pPr>
      <w:bookmarkStart w:id="616" w:name="_Toc4433"/>
      <w:bookmarkStart w:id="617" w:name="_Toc19187"/>
      <w:bookmarkStart w:id="618" w:name="_Toc20035"/>
      <w:bookmarkStart w:id="619" w:name="_Toc23964"/>
      <w:r>
        <w:rPr>
          <w:rFonts w:hint="eastAsia" w:ascii="宋体" w:hAnsi="宋体" w:eastAsia="宋体" w:cs="宋体"/>
          <w:color w:val="auto"/>
          <w:sz w:val="24"/>
          <w:szCs w:val="32"/>
          <w:lang w:val="en-US" w:eastAsia="zh-CN"/>
        </w:rPr>
        <w:t>五</w:t>
      </w:r>
      <w:r>
        <w:rPr>
          <w:rFonts w:hint="eastAsia" w:ascii="宋体" w:hAnsi="宋体" w:eastAsia="宋体" w:cs="宋体"/>
          <w:color w:val="auto"/>
          <w:sz w:val="24"/>
          <w:szCs w:val="32"/>
        </w:rPr>
        <w:t>、类似业绩情况表</w:t>
      </w:r>
      <w:bookmarkEnd w:id="616"/>
      <w:bookmarkEnd w:id="617"/>
      <w:bookmarkEnd w:id="618"/>
      <w:bookmarkEnd w:id="619"/>
    </w:p>
    <w:p>
      <w:pPr>
        <w:autoSpaceDE w:val="0"/>
        <w:autoSpaceDN w:val="0"/>
        <w:adjustRightInd w:val="0"/>
        <w:spacing w:line="700" w:lineRule="exact"/>
        <w:ind w:firstLine="480" w:firstLineChars="200"/>
        <w:outlineLvl w:val="0"/>
        <w:rPr>
          <w:rFonts w:hint="eastAsia" w:ascii="宋体" w:hAnsi="宋体" w:eastAsia="宋体" w:cs="宋体"/>
          <w:color w:val="auto"/>
          <w:sz w:val="24"/>
          <w:szCs w:val="32"/>
        </w:rPr>
      </w:pPr>
      <w:bookmarkStart w:id="620" w:name="_Toc6499"/>
      <w:bookmarkStart w:id="621" w:name="_Toc10684"/>
      <w:bookmarkStart w:id="622" w:name="_Toc14937"/>
      <w:bookmarkStart w:id="623" w:name="_Toc6017"/>
      <w:r>
        <w:rPr>
          <w:rFonts w:hint="eastAsia" w:ascii="宋体" w:hAnsi="宋体" w:eastAsia="宋体" w:cs="宋体"/>
          <w:color w:val="auto"/>
          <w:sz w:val="24"/>
          <w:szCs w:val="32"/>
          <w:lang w:val="en-US" w:eastAsia="zh-CN"/>
        </w:rPr>
        <w:t>六</w:t>
      </w:r>
      <w:r>
        <w:rPr>
          <w:rFonts w:hint="eastAsia" w:ascii="宋体" w:hAnsi="宋体" w:eastAsia="宋体" w:cs="宋体"/>
          <w:color w:val="auto"/>
          <w:sz w:val="24"/>
          <w:szCs w:val="32"/>
        </w:rPr>
        <w:t>、承诺</w:t>
      </w:r>
      <w:bookmarkEnd w:id="620"/>
      <w:bookmarkEnd w:id="621"/>
      <w:bookmarkEnd w:id="622"/>
      <w:bookmarkEnd w:id="623"/>
    </w:p>
    <w:p>
      <w:pPr>
        <w:autoSpaceDE w:val="0"/>
        <w:autoSpaceDN w:val="0"/>
        <w:adjustRightInd w:val="0"/>
        <w:spacing w:line="700" w:lineRule="exact"/>
        <w:ind w:firstLine="480" w:firstLineChars="200"/>
        <w:outlineLvl w:val="0"/>
        <w:rPr>
          <w:rFonts w:hint="eastAsia" w:ascii="宋体" w:hAnsi="宋体" w:eastAsia="宋体" w:cs="宋体"/>
          <w:color w:val="auto"/>
          <w:sz w:val="24"/>
          <w:szCs w:val="32"/>
          <w:lang w:val="en-US" w:eastAsia="zh-CN"/>
        </w:rPr>
      </w:pPr>
      <w:bookmarkStart w:id="624" w:name="_Toc5910"/>
      <w:bookmarkStart w:id="625" w:name="_Toc10055"/>
      <w:bookmarkStart w:id="626" w:name="_Toc3829"/>
      <w:bookmarkStart w:id="627" w:name="_Toc10166"/>
      <w:r>
        <w:rPr>
          <w:rFonts w:hint="eastAsia" w:ascii="宋体" w:hAnsi="宋体" w:eastAsia="宋体" w:cs="宋体"/>
          <w:color w:val="auto"/>
          <w:sz w:val="24"/>
          <w:szCs w:val="32"/>
          <w:lang w:val="en-US" w:eastAsia="zh-CN"/>
        </w:rPr>
        <w:t>七</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技术部分</w:t>
      </w:r>
      <w:bookmarkEnd w:id="624"/>
      <w:bookmarkEnd w:id="625"/>
      <w:bookmarkEnd w:id="626"/>
      <w:bookmarkEnd w:id="627"/>
    </w:p>
    <w:p>
      <w:pPr>
        <w:autoSpaceDE w:val="0"/>
        <w:autoSpaceDN w:val="0"/>
        <w:adjustRightInd w:val="0"/>
        <w:spacing w:line="700" w:lineRule="exact"/>
        <w:ind w:firstLine="480" w:firstLineChars="200"/>
        <w:outlineLvl w:val="0"/>
        <w:rPr>
          <w:rFonts w:hint="eastAsia" w:ascii="宋体" w:hAnsi="宋体" w:eastAsia="宋体" w:cs="宋体"/>
          <w:color w:val="auto"/>
          <w:sz w:val="24"/>
          <w:szCs w:val="32"/>
        </w:rPr>
      </w:pPr>
      <w:bookmarkStart w:id="628" w:name="_Toc30152"/>
      <w:bookmarkStart w:id="629" w:name="_Toc4697"/>
      <w:bookmarkStart w:id="630" w:name="_Toc4166"/>
      <w:bookmarkStart w:id="631" w:name="_Toc20859"/>
      <w:r>
        <w:rPr>
          <w:rFonts w:hint="eastAsia" w:ascii="宋体" w:hAnsi="宋体" w:eastAsia="宋体" w:cs="宋体"/>
          <w:color w:val="auto"/>
          <w:sz w:val="24"/>
          <w:szCs w:val="32"/>
          <w:lang w:val="en-US" w:eastAsia="zh-CN"/>
        </w:rPr>
        <w:t>八</w:t>
      </w:r>
      <w:r>
        <w:rPr>
          <w:rFonts w:hint="eastAsia" w:ascii="宋体" w:hAnsi="宋体" w:eastAsia="宋体" w:cs="宋体"/>
          <w:color w:val="auto"/>
          <w:sz w:val="24"/>
          <w:szCs w:val="32"/>
        </w:rPr>
        <w:t>、其他资料</w:t>
      </w:r>
      <w:bookmarkEnd w:id="628"/>
      <w:bookmarkEnd w:id="629"/>
      <w:bookmarkEnd w:id="630"/>
      <w:bookmarkEnd w:id="631"/>
    </w:p>
    <w:p>
      <w:pPr>
        <w:pStyle w:val="2"/>
        <w:rPr>
          <w:rFonts w:hint="eastAsia" w:ascii="宋体" w:hAnsi="宋体" w:eastAsia="宋体" w:cs="宋体"/>
          <w:color w:val="auto"/>
        </w:rPr>
      </w:pPr>
      <w:r>
        <w:rPr>
          <w:rFonts w:hint="eastAsia" w:ascii="宋体" w:hAnsi="宋体" w:eastAsia="宋体" w:cs="宋体"/>
          <w:color w:val="auto"/>
        </w:rPr>
        <w:br w:type="page"/>
      </w:r>
    </w:p>
    <w:p>
      <w:pPr>
        <w:pStyle w:val="4"/>
        <w:jc w:val="center"/>
        <w:outlineLvl w:val="0"/>
        <w:rPr>
          <w:rFonts w:hint="eastAsia" w:ascii="宋体" w:hAnsi="宋体" w:eastAsia="宋体" w:cs="宋体"/>
          <w:color w:val="auto"/>
          <w:szCs w:val="22"/>
        </w:rPr>
      </w:pPr>
      <w:bookmarkStart w:id="632" w:name="_Toc13912"/>
      <w:bookmarkStart w:id="633" w:name="_Toc32169"/>
      <w:bookmarkStart w:id="634" w:name="_Toc31351"/>
      <w:bookmarkStart w:id="635" w:name="_Toc9100"/>
      <w:r>
        <w:rPr>
          <w:rFonts w:hint="eastAsia" w:ascii="宋体" w:hAnsi="宋体" w:eastAsia="宋体" w:cs="宋体"/>
          <w:color w:val="auto"/>
          <w:szCs w:val="22"/>
        </w:rPr>
        <w:t>一、竞选函</w:t>
      </w:r>
      <w:bookmarkEnd w:id="632"/>
      <w:bookmarkEnd w:id="633"/>
      <w:bookmarkEnd w:id="634"/>
      <w:bookmarkEnd w:id="635"/>
    </w:p>
    <w:p>
      <w:pPr>
        <w:tabs>
          <w:tab w:val="left" w:pos="2655"/>
          <w:tab w:val="left" w:pos="3520"/>
          <w:tab w:val="left" w:pos="4920"/>
          <w:tab w:val="left" w:pos="5715"/>
          <w:tab w:val="left" w:pos="6945"/>
          <w:tab w:val="left" w:pos="7980"/>
        </w:tabs>
        <w:autoSpaceDE w:val="0"/>
        <w:autoSpaceDN w:val="0"/>
        <w:adjustRightInd w:val="0"/>
        <w:spacing w:line="360" w:lineRule="auto"/>
        <w:rPr>
          <w:rFonts w:hint="eastAsia" w:ascii="宋体" w:hAnsi="宋体" w:eastAsia="宋体" w:cs="宋体"/>
          <w:snapToGrid w:val="0"/>
          <w:color w:val="auto"/>
          <w:szCs w:val="21"/>
          <w:u w:val="single"/>
        </w:rPr>
      </w:pPr>
      <w:bookmarkStart w:id="636" w:name="_Toc249770226"/>
      <w:r>
        <w:rPr>
          <w:rFonts w:hint="eastAsia" w:ascii="宋体" w:hAnsi="宋体" w:eastAsia="宋体" w:cs="宋体"/>
          <w:snapToGrid w:val="0"/>
          <w:color w:val="auto"/>
          <w:szCs w:val="21"/>
          <w:u w:val="single"/>
        </w:rPr>
        <w:t xml:space="preserve">                     (比选人):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auto"/>
          <w:kern w:val="0"/>
        </w:rPr>
      </w:pPr>
      <w:r>
        <w:rPr>
          <w:rFonts w:hint="eastAsia" w:ascii="宋体" w:hAnsi="宋体" w:eastAsia="宋体" w:cs="宋体"/>
          <w:snapToGrid w:val="0"/>
          <w:color w:val="auto"/>
          <w:kern w:val="0"/>
          <w:szCs w:val="21"/>
          <w:lang w:val="en-US" w:eastAsia="zh-CN"/>
        </w:rPr>
        <w:t>1.</w:t>
      </w:r>
      <w:r>
        <w:rPr>
          <w:rFonts w:hint="eastAsia" w:ascii="宋体" w:hAnsi="宋体" w:eastAsia="宋体" w:cs="宋体"/>
          <w:snapToGrid w:val="0"/>
          <w:color w:val="auto"/>
          <w:kern w:val="0"/>
          <w:szCs w:val="21"/>
        </w:rPr>
        <w:t>根据已收到的</w:t>
      </w:r>
      <w:r>
        <w:rPr>
          <w:rFonts w:hint="eastAsia" w:ascii="宋体" w:hAnsi="宋体" w:eastAsia="宋体" w:cs="宋体"/>
          <w:snapToGrid w:val="0"/>
          <w:color w:val="auto"/>
          <w:kern w:val="0"/>
          <w:szCs w:val="21"/>
          <w:u w:val="single"/>
        </w:rPr>
        <w:t xml:space="preserve">          （项目名称）</w:t>
      </w:r>
      <w:r>
        <w:rPr>
          <w:rFonts w:hint="eastAsia" w:ascii="宋体" w:hAnsi="宋体" w:eastAsia="宋体" w:cs="宋体"/>
          <w:snapToGrid w:val="0"/>
          <w:color w:val="auto"/>
          <w:kern w:val="0"/>
          <w:szCs w:val="21"/>
        </w:rPr>
        <w:t>的竞争性比选文件的全部内容，愿意以人民币（大写）</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元）的</w:t>
      </w:r>
      <w:r>
        <w:rPr>
          <w:rFonts w:hint="eastAsia" w:ascii="宋体" w:hAnsi="宋体" w:eastAsia="宋体" w:cs="宋体"/>
          <w:snapToGrid w:val="0"/>
          <w:color w:val="auto"/>
          <w:kern w:val="0"/>
          <w:szCs w:val="21"/>
          <w:lang w:eastAsia="zh-CN"/>
        </w:rPr>
        <w:t>竞选总报价</w:t>
      </w:r>
      <w:r>
        <w:rPr>
          <w:rFonts w:hint="eastAsia" w:ascii="宋体" w:hAnsi="宋体" w:eastAsia="宋体" w:cs="宋体"/>
          <w:snapToGrid w:val="0"/>
          <w:color w:val="auto"/>
          <w:kern w:val="0"/>
          <w:szCs w:val="21"/>
        </w:rPr>
        <w:t>完成竞争性比选文件和</w:t>
      </w:r>
      <w:r>
        <w:rPr>
          <w:rFonts w:hint="eastAsia" w:ascii="宋体" w:hAnsi="宋体" w:eastAsia="宋体" w:cs="宋体"/>
          <w:snapToGrid w:val="0"/>
          <w:color w:val="auto"/>
          <w:kern w:val="0"/>
        </w:rPr>
        <w:t>按合同约定的全部内容。</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2.我方承诺在竞选有效期内不修改、撤销竞选文件。</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3.如我方中选:</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（1）我方承诺在收到中选通知书后，在中选通知书规定的期限内与你方签订合同。</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（2）随同本竞选函递交的竞选函附录属于合同文件的组成部分。</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（3）我方承诺在合同期限内按合同约定履行义务</w:t>
      </w:r>
      <w:r>
        <w:rPr>
          <w:rFonts w:hint="eastAsia" w:ascii="宋体" w:hAnsi="宋体" w:eastAsia="宋体" w:cs="宋体"/>
          <w:snapToGrid w:val="0"/>
          <w:color w:val="auto"/>
          <w:kern w:val="0"/>
          <w:szCs w:val="21"/>
          <w:lang w:eastAsia="zh-CN"/>
        </w:rPr>
        <w:t>。</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（4）我方承诺以不低于竞争性比选文件第五章</w:t>
      </w:r>
      <w:r>
        <w:rPr>
          <w:rFonts w:hint="eastAsia" w:ascii="宋体" w:hAnsi="宋体" w:eastAsia="宋体" w:cs="宋体"/>
          <w:snapToGrid w:val="0"/>
          <w:color w:val="auto"/>
          <w:kern w:val="0"/>
          <w:szCs w:val="21"/>
          <w:lang w:val="en-US" w:eastAsia="zh-CN"/>
        </w:rPr>
        <w:t>工程量清单</w:t>
      </w:r>
      <w:r>
        <w:rPr>
          <w:rFonts w:hint="eastAsia" w:ascii="宋体" w:hAnsi="宋体" w:eastAsia="宋体" w:cs="宋体"/>
          <w:snapToGrid w:val="0"/>
          <w:color w:val="auto"/>
          <w:kern w:val="0"/>
          <w:szCs w:val="21"/>
        </w:rPr>
        <w:t>中所列的技术指标和参数要求完成全部要求。</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4.我方在此声明，所递交的竞选文件及有关资料内容完整、真实和准确，</w:t>
      </w:r>
      <w:r>
        <w:rPr>
          <w:rFonts w:hint="eastAsia" w:ascii="宋体" w:hAnsi="宋体" w:eastAsia="宋体" w:cs="宋体"/>
          <w:bCs/>
          <w:snapToGrid w:val="0"/>
          <w:color w:val="auto"/>
          <w:kern w:val="0"/>
          <w:szCs w:val="21"/>
        </w:rPr>
        <w:t>符合第四章“合同条款”的规定</w:t>
      </w:r>
      <w:r>
        <w:rPr>
          <w:rFonts w:hint="eastAsia" w:ascii="宋体" w:hAnsi="宋体" w:eastAsia="宋体" w:cs="宋体"/>
          <w:bCs/>
          <w:snapToGrid w:val="0"/>
          <w:color w:val="auto"/>
          <w:kern w:val="0"/>
          <w:szCs w:val="21"/>
          <w:lang w:eastAsia="zh-CN"/>
        </w:rPr>
        <w:t>，</w:t>
      </w:r>
      <w:r>
        <w:rPr>
          <w:rFonts w:hint="eastAsia" w:ascii="宋体" w:hAnsi="宋体" w:eastAsia="宋体" w:cs="宋体"/>
          <w:bCs/>
          <w:snapToGrid w:val="0"/>
          <w:color w:val="auto"/>
          <w:kern w:val="0"/>
          <w:szCs w:val="21"/>
          <w:lang w:val="en-US" w:eastAsia="zh-CN"/>
        </w:rPr>
        <w:t>竞选文件没有比选人不能接受的条件，</w:t>
      </w:r>
      <w:r>
        <w:rPr>
          <w:rFonts w:hint="eastAsia" w:ascii="宋体" w:hAnsi="宋体" w:eastAsia="宋体" w:cs="宋体"/>
          <w:bCs/>
          <w:snapToGrid w:val="0"/>
          <w:color w:val="auto"/>
          <w:kern w:val="0"/>
          <w:szCs w:val="21"/>
        </w:rPr>
        <w:t>且</w:t>
      </w:r>
      <w:r>
        <w:rPr>
          <w:rFonts w:hint="eastAsia" w:ascii="宋体" w:hAnsi="宋体" w:eastAsia="宋体" w:cs="宋体"/>
          <w:snapToGrid w:val="0"/>
          <w:color w:val="auto"/>
          <w:kern w:val="0"/>
          <w:szCs w:val="21"/>
        </w:rPr>
        <w:t>不存在第二章“竞选人须知”第1.4.3项规定的任何一种情形。同时我方承诺接受比选文件及附件、澄清及修改通知中所有的内容。</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lang w:val="en-US" w:eastAsia="zh-CN"/>
        </w:rPr>
        <w:t>5</w:t>
      </w: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（其他补充说明）。</w:t>
      </w:r>
    </w:p>
    <w:p>
      <w:pPr>
        <w:tabs>
          <w:tab w:val="left" w:pos="7140"/>
          <w:tab w:val="left" w:pos="7560"/>
          <w:tab w:val="left" w:pos="8300"/>
        </w:tabs>
        <w:autoSpaceDE w:val="0"/>
        <w:autoSpaceDN w:val="0"/>
        <w:adjustRightInd w:val="0"/>
        <w:spacing w:line="360" w:lineRule="auto"/>
        <w:rPr>
          <w:rFonts w:hint="eastAsia" w:ascii="宋体" w:hAnsi="宋体" w:eastAsia="宋体" w:cs="宋体"/>
          <w:snapToGrid w:val="0"/>
          <w:color w:val="auto"/>
          <w:kern w:val="0"/>
          <w:szCs w:val="21"/>
        </w:rPr>
      </w:pPr>
    </w:p>
    <w:p>
      <w:pPr>
        <w:tabs>
          <w:tab w:val="left" w:pos="7140"/>
          <w:tab w:val="left" w:pos="7560"/>
          <w:tab w:val="left" w:pos="8300"/>
        </w:tabs>
        <w:autoSpaceDE w:val="0"/>
        <w:autoSpaceDN w:val="0"/>
        <w:adjustRightInd w:val="0"/>
        <w:spacing w:line="500" w:lineRule="exact"/>
        <w:ind w:right="210" w:firstLine="1982" w:firstLineChars="944"/>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竞选</w:t>
      </w:r>
      <w:r>
        <w:rPr>
          <w:rFonts w:hint="eastAsia" w:ascii="宋体" w:hAnsi="宋体" w:eastAsia="宋体" w:cs="宋体"/>
          <w:snapToGrid w:val="0"/>
          <w:color w:val="auto"/>
          <w:kern w:val="0"/>
        </w:rPr>
        <w:t xml:space="preserve">人： </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（盖单位法人章）</w:t>
      </w:r>
    </w:p>
    <w:p>
      <w:pPr>
        <w:tabs>
          <w:tab w:val="left" w:pos="7140"/>
          <w:tab w:val="left" w:pos="7560"/>
          <w:tab w:val="left" w:pos="8300"/>
        </w:tabs>
        <w:autoSpaceDE w:val="0"/>
        <w:autoSpaceDN w:val="0"/>
        <w:adjustRightInd w:val="0"/>
        <w:spacing w:line="500" w:lineRule="exact"/>
        <w:ind w:right="210" w:firstLine="1995" w:firstLineChars="950"/>
        <w:rPr>
          <w:rFonts w:hint="eastAsia" w:ascii="宋体" w:hAnsi="宋体" w:eastAsia="宋体" w:cs="宋体"/>
          <w:snapToGrid w:val="0"/>
          <w:color w:val="auto"/>
          <w:kern w:val="0"/>
        </w:rPr>
      </w:pPr>
      <w:r>
        <w:rPr>
          <w:rFonts w:hint="eastAsia" w:ascii="宋体" w:hAnsi="宋体" w:eastAsia="宋体" w:cs="宋体"/>
          <w:snapToGrid w:val="0"/>
          <w:color w:val="auto"/>
          <w:kern w:val="0"/>
        </w:rPr>
        <w:t>法定代表人或其委托代理人：</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（签字或盖章）</w:t>
      </w:r>
    </w:p>
    <w:p>
      <w:pPr>
        <w:tabs>
          <w:tab w:val="left" w:pos="7035"/>
          <w:tab w:val="left" w:pos="7560"/>
          <w:tab w:val="left" w:pos="8300"/>
        </w:tabs>
        <w:autoSpaceDE w:val="0"/>
        <w:autoSpaceDN w:val="0"/>
        <w:adjustRightInd w:val="0"/>
        <w:spacing w:line="500" w:lineRule="exact"/>
        <w:ind w:right="210" w:firstLine="1982" w:firstLineChars="944"/>
        <w:rPr>
          <w:rFonts w:hint="eastAsia" w:ascii="宋体" w:hAnsi="宋体" w:eastAsia="宋体" w:cs="宋体"/>
          <w:snapToGrid w:val="0"/>
          <w:color w:val="auto"/>
          <w:kern w:val="0"/>
          <w:szCs w:val="22"/>
        </w:rPr>
      </w:pPr>
      <w:r>
        <w:rPr>
          <w:rFonts w:hint="eastAsia" w:ascii="宋体" w:hAnsi="宋体" w:eastAsia="宋体" w:cs="宋体"/>
          <w:snapToGrid w:val="0"/>
          <w:color w:val="auto"/>
          <w:kern w:val="0"/>
          <w:szCs w:val="22"/>
        </w:rPr>
        <w:t>地址：</w:t>
      </w:r>
      <w:r>
        <w:rPr>
          <w:rFonts w:hint="eastAsia" w:ascii="宋体" w:hAnsi="宋体" w:eastAsia="宋体" w:cs="宋体"/>
          <w:snapToGrid w:val="0"/>
          <w:color w:val="auto"/>
          <w:kern w:val="0"/>
          <w:szCs w:val="22"/>
          <w:u w:val="single"/>
        </w:rPr>
        <w:t xml:space="preserve">                                </w:t>
      </w:r>
      <w:r>
        <w:rPr>
          <w:rFonts w:hint="eastAsia" w:ascii="宋体" w:hAnsi="宋体" w:eastAsia="宋体" w:cs="宋体"/>
          <w:snapToGrid w:val="0"/>
          <w:color w:val="auto"/>
          <w:kern w:val="0"/>
          <w:szCs w:val="22"/>
        </w:rPr>
        <w:t>；</w:t>
      </w:r>
    </w:p>
    <w:p>
      <w:pPr>
        <w:tabs>
          <w:tab w:val="left" w:pos="7035"/>
          <w:tab w:val="left" w:pos="7560"/>
          <w:tab w:val="left" w:pos="8300"/>
        </w:tabs>
        <w:autoSpaceDE w:val="0"/>
        <w:autoSpaceDN w:val="0"/>
        <w:adjustRightInd w:val="0"/>
        <w:spacing w:line="500" w:lineRule="exact"/>
        <w:ind w:right="210" w:firstLine="1982" w:firstLineChars="944"/>
        <w:rPr>
          <w:rFonts w:hint="eastAsia" w:ascii="宋体" w:hAnsi="宋体" w:eastAsia="宋体" w:cs="宋体"/>
          <w:snapToGrid w:val="0"/>
          <w:color w:val="auto"/>
          <w:kern w:val="0"/>
          <w:szCs w:val="22"/>
        </w:rPr>
      </w:pPr>
      <w:r>
        <w:rPr>
          <w:rFonts w:hint="eastAsia" w:ascii="宋体" w:hAnsi="宋体" w:eastAsia="宋体" w:cs="宋体"/>
          <w:color w:val="auto"/>
        </w:rPr>
        <w:t>单 位 电 话（座机）</w:t>
      </w:r>
      <w:r>
        <w:rPr>
          <w:rFonts w:hint="eastAsia" w:ascii="宋体" w:hAnsi="宋体" w:eastAsia="宋体" w:cs="宋体"/>
          <w:snapToGrid w:val="0"/>
          <w:color w:val="auto"/>
          <w:kern w:val="0"/>
          <w:szCs w:val="22"/>
        </w:rPr>
        <w:t>：</w:t>
      </w:r>
      <w:r>
        <w:rPr>
          <w:rFonts w:hint="eastAsia" w:ascii="宋体" w:hAnsi="宋体" w:eastAsia="宋体" w:cs="宋体"/>
          <w:snapToGrid w:val="0"/>
          <w:color w:val="auto"/>
          <w:kern w:val="0"/>
          <w:szCs w:val="22"/>
          <w:u w:val="single"/>
        </w:rPr>
        <w:t xml:space="preserve">                       </w:t>
      </w:r>
      <w:r>
        <w:rPr>
          <w:rFonts w:hint="eastAsia" w:ascii="宋体" w:hAnsi="宋体" w:eastAsia="宋体" w:cs="宋体"/>
          <w:snapToGrid w:val="0"/>
          <w:color w:val="auto"/>
          <w:kern w:val="0"/>
          <w:szCs w:val="22"/>
        </w:rPr>
        <w:t>；</w:t>
      </w:r>
    </w:p>
    <w:p>
      <w:pPr>
        <w:tabs>
          <w:tab w:val="left" w:pos="7035"/>
          <w:tab w:val="left" w:pos="7560"/>
          <w:tab w:val="left" w:pos="8300"/>
        </w:tabs>
        <w:autoSpaceDE w:val="0"/>
        <w:autoSpaceDN w:val="0"/>
        <w:adjustRightInd w:val="0"/>
        <w:spacing w:line="500" w:lineRule="exact"/>
        <w:ind w:right="210" w:firstLine="1982" w:firstLineChars="944"/>
        <w:rPr>
          <w:rFonts w:hint="eastAsia" w:ascii="宋体" w:hAnsi="宋体" w:eastAsia="宋体" w:cs="宋体"/>
          <w:snapToGrid w:val="0"/>
          <w:color w:val="auto"/>
          <w:kern w:val="0"/>
          <w:szCs w:val="22"/>
        </w:rPr>
      </w:pPr>
      <w:r>
        <w:rPr>
          <w:rFonts w:hint="eastAsia" w:ascii="宋体" w:hAnsi="宋体" w:eastAsia="宋体" w:cs="宋体"/>
          <w:color w:val="auto"/>
        </w:rPr>
        <w:t>委托代理人电话（手机）</w:t>
      </w:r>
      <w:r>
        <w:rPr>
          <w:rFonts w:hint="eastAsia" w:ascii="宋体" w:hAnsi="宋体" w:eastAsia="宋体" w:cs="宋体"/>
          <w:snapToGrid w:val="0"/>
          <w:color w:val="auto"/>
          <w:kern w:val="0"/>
          <w:szCs w:val="22"/>
        </w:rPr>
        <w:t>：</w:t>
      </w:r>
      <w:r>
        <w:rPr>
          <w:rFonts w:hint="eastAsia" w:ascii="宋体" w:hAnsi="宋体" w:eastAsia="宋体" w:cs="宋体"/>
          <w:snapToGrid w:val="0"/>
          <w:color w:val="auto"/>
          <w:kern w:val="0"/>
          <w:szCs w:val="22"/>
          <w:u w:val="single"/>
        </w:rPr>
        <w:t xml:space="preserve">                   </w:t>
      </w:r>
      <w:r>
        <w:rPr>
          <w:rFonts w:hint="eastAsia" w:ascii="宋体" w:hAnsi="宋体" w:eastAsia="宋体" w:cs="宋体"/>
          <w:snapToGrid w:val="0"/>
          <w:color w:val="auto"/>
          <w:kern w:val="0"/>
          <w:szCs w:val="22"/>
        </w:rPr>
        <w:t xml:space="preserve"> ；</w:t>
      </w:r>
    </w:p>
    <w:p>
      <w:pPr>
        <w:tabs>
          <w:tab w:val="left" w:pos="7035"/>
          <w:tab w:val="left" w:pos="7560"/>
          <w:tab w:val="left" w:pos="8300"/>
        </w:tabs>
        <w:autoSpaceDE w:val="0"/>
        <w:autoSpaceDN w:val="0"/>
        <w:adjustRightInd w:val="0"/>
        <w:spacing w:line="500" w:lineRule="exact"/>
        <w:ind w:right="210" w:firstLine="1982" w:firstLineChars="944"/>
        <w:rPr>
          <w:rFonts w:hint="eastAsia" w:ascii="宋体" w:hAnsi="宋体" w:eastAsia="宋体" w:cs="宋体"/>
          <w:snapToGrid w:val="0"/>
          <w:color w:val="auto"/>
          <w:kern w:val="0"/>
          <w:szCs w:val="22"/>
        </w:rPr>
      </w:pPr>
      <w:r>
        <w:rPr>
          <w:rFonts w:hint="eastAsia" w:ascii="宋体" w:hAnsi="宋体" w:eastAsia="宋体" w:cs="宋体"/>
          <w:snapToGrid w:val="0"/>
          <w:color w:val="auto"/>
          <w:kern w:val="0"/>
          <w:szCs w:val="22"/>
        </w:rPr>
        <w:t>邮政编码：</w:t>
      </w:r>
      <w:r>
        <w:rPr>
          <w:rFonts w:hint="eastAsia" w:ascii="宋体" w:hAnsi="宋体" w:eastAsia="宋体" w:cs="宋体"/>
          <w:snapToGrid w:val="0"/>
          <w:color w:val="auto"/>
          <w:kern w:val="0"/>
          <w:szCs w:val="22"/>
          <w:u w:val="single"/>
        </w:rPr>
        <w:t xml:space="preserve">                              </w:t>
      </w:r>
      <w:r>
        <w:rPr>
          <w:rFonts w:hint="eastAsia" w:ascii="宋体" w:hAnsi="宋体" w:eastAsia="宋体" w:cs="宋体"/>
          <w:snapToGrid w:val="0"/>
          <w:color w:val="auto"/>
          <w:kern w:val="0"/>
          <w:szCs w:val="22"/>
        </w:rPr>
        <w:t>；</w:t>
      </w:r>
    </w:p>
    <w:p>
      <w:pPr>
        <w:wordWrap w:val="0"/>
        <w:jc w:val="center"/>
        <w:rPr>
          <w:rFonts w:hint="eastAsia" w:ascii="宋体" w:hAnsi="宋体" w:eastAsia="宋体" w:cs="宋体"/>
          <w:snapToGrid w:val="0"/>
          <w:color w:val="auto"/>
          <w:kern w:val="0"/>
          <w:sz w:val="24"/>
          <w:szCs w:val="32"/>
          <w:u w:val="single"/>
        </w:rPr>
      </w:pPr>
    </w:p>
    <w:p>
      <w:pPr>
        <w:wordWrap w:val="0"/>
        <w:jc w:val="center"/>
        <w:rPr>
          <w:rFonts w:hint="eastAsia" w:ascii="宋体" w:hAnsi="宋体" w:eastAsia="宋体" w:cs="宋体"/>
          <w:snapToGrid w:val="0"/>
          <w:color w:val="auto"/>
          <w:kern w:val="0"/>
          <w:sz w:val="24"/>
          <w:szCs w:val="32"/>
        </w:rPr>
      </w:pPr>
      <w:r>
        <w:rPr>
          <w:rFonts w:hint="eastAsia" w:ascii="宋体" w:hAnsi="宋体" w:eastAsia="宋体" w:cs="宋体"/>
          <w:snapToGrid w:val="0"/>
          <w:color w:val="auto"/>
          <w:kern w:val="0"/>
          <w:sz w:val="24"/>
          <w:szCs w:val="32"/>
          <w:u w:val="single"/>
        </w:rPr>
        <w:t xml:space="preserve">        </w:t>
      </w:r>
      <w:r>
        <w:rPr>
          <w:rFonts w:hint="eastAsia" w:ascii="宋体" w:hAnsi="宋体" w:eastAsia="宋体" w:cs="宋体"/>
          <w:snapToGrid w:val="0"/>
          <w:color w:val="auto"/>
          <w:kern w:val="0"/>
          <w:sz w:val="24"/>
          <w:szCs w:val="32"/>
        </w:rPr>
        <w:t>年</w:t>
      </w:r>
      <w:r>
        <w:rPr>
          <w:rFonts w:hint="eastAsia" w:ascii="宋体" w:hAnsi="宋体" w:eastAsia="宋体" w:cs="宋体"/>
          <w:snapToGrid w:val="0"/>
          <w:color w:val="auto"/>
          <w:w w:val="200"/>
          <w:kern w:val="0"/>
          <w:sz w:val="24"/>
          <w:szCs w:val="32"/>
          <w:u w:val="single"/>
        </w:rPr>
        <w:t xml:space="preserve">  </w:t>
      </w:r>
      <w:r>
        <w:rPr>
          <w:rFonts w:hint="eastAsia" w:ascii="宋体" w:hAnsi="宋体" w:eastAsia="宋体" w:cs="宋体"/>
          <w:snapToGrid w:val="0"/>
          <w:color w:val="auto"/>
          <w:kern w:val="0"/>
          <w:sz w:val="24"/>
          <w:szCs w:val="32"/>
        </w:rPr>
        <w:t>月</w:t>
      </w:r>
      <w:r>
        <w:rPr>
          <w:rFonts w:hint="eastAsia" w:ascii="宋体" w:hAnsi="宋体" w:eastAsia="宋体" w:cs="宋体"/>
          <w:snapToGrid w:val="0"/>
          <w:color w:val="auto"/>
          <w:w w:val="200"/>
          <w:kern w:val="0"/>
          <w:sz w:val="24"/>
          <w:szCs w:val="32"/>
          <w:u w:val="single"/>
        </w:rPr>
        <w:t xml:space="preserve">  </w:t>
      </w:r>
      <w:r>
        <w:rPr>
          <w:rFonts w:hint="eastAsia" w:ascii="宋体" w:hAnsi="宋体" w:eastAsia="宋体" w:cs="宋体"/>
          <w:snapToGrid w:val="0"/>
          <w:color w:val="auto"/>
          <w:kern w:val="0"/>
          <w:sz w:val="24"/>
          <w:szCs w:val="32"/>
        </w:rPr>
        <w:t>日</w:t>
      </w:r>
    </w:p>
    <w:p>
      <w:pPr>
        <w:tabs>
          <w:tab w:val="left" w:pos="7140"/>
          <w:tab w:val="left" w:pos="7560"/>
          <w:tab w:val="left" w:pos="8300"/>
        </w:tabs>
        <w:autoSpaceDE w:val="0"/>
        <w:autoSpaceDN w:val="0"/>
        <w:adjustRightInd w:val="0"/>
        <w:spacing w:line="360" w:lineRule="auto"/>
        <w:ind w:firstLine="1680" w:firstLineChars="800"/>
        <w:rPr>
          <w:rFonts w:hint="eastAsia" w:ascii="宋体" w:hAnsi="宋体" w:eastAsia="宋体" w:cs="宋体"/>
          <w:snapToGrid w:val="0"/>
          <w:color w:val="auto"/>
          <w:kern w:val="0"/>
          <w:szCs w:val="21"/>
        </w:rPr>
      </w:pPr>
    </w:p>
    <w:p>
      <w:pPr>
        <w:widowControl/>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bookmarkEnd w:id="636"/>
    <w:p>
      <w:pPr>
        <w:pStyle w:val="4"/>
        <w:jc w:val="center"/>
        <w:outlineLvl w:val="0"/>
        <w:rPr>
          <w:rFonts w:hint="eastAsia" w:ascii="宋体" w:hAnsi="宋体" w:eastAsia="宋体" w:cs="宋体"/>
          <w:color w:val="auto"/>
          <w:szCs w:val="22"/>
          <w:lang w:eastAsia="zh-CN"/>
        </w:rPr>
      </w:pPr>
      <w:bookmarkStart w:id="637" w:name="_Toc7299"/>
      <w:bookmarkStart w:id="638" w:name="_Toc5276"/>
      <w:bookmarkStart w:id="639" w:name="_Toc27811"/>
      <w:bookmarkStart w:id="640" w:name="_Toc1740"/>
      <w:bookmarkStart w:id="641" w:name="_Toc2174"/>
      <w:bookmarkStart w:id="642" w:name="_Toc11340"/>
      <w:bookmarkStart w:id="643" w:name="_Toc31455"/>
      <w:bookmarkStart w:id="644" w:name="_Toc17493"/>
      <w:bookmarkStart w:id="645" w:name="_Toc16070"/>
      <w:bookmarkStart w:id="646" w:name="_Toc2955720"/>
      <w:r>
        <w:rPr>
          <w:rFonts w:hint="eastAsia" w:ascii="宋体" w:hAnsi="宋体" w:eastAsia="宋体" w:cs="宋体"/>
          <w:color w:val="auto"/>
          <w:szCs w:val="22"/>
          <w:lang w:val="en-US" w:eastAsia="zh-CN"/>
        </w:rPr>
        <w:t>二、</w:t>
      </w:r>
      <w:bookmarkEnd w:id="637"/>
      <w:bookmarkEnd w:id="638"/>
      <w:r>
        <w:rPr>
          <w:rFonts w:hint="eastAsia" w:ascii="宋体" w:hAnsi="宋体" w:eastAsia="宋体" w:cs="宋体"/>
          <w:color w:val="auto"/>
          <w:szCs w:val="22"/>
          <w:lang w:eastAsia="zh-CN"/>
        </w:rPr>
        <w:t>已标价工程量清单</w:t>
      </w:r>
      <w:bookmarkEnd w:id="639"/>
      <w:bookmarkEnd w:id="640"/>
    </w:p>
    <w:p>
      <w:pPr>
        <w:rPr>
          <w:rFonts w:hint="eastAsia" w:ascii="宋体" w:hAnsi="宋体" w:eastAsia="宋体" w:cs="宋体"/>
          <w:color w:val="auto"/>
          <w:highlight w:val="none"/>
        </w:rPr>
      </w:pPr>
    </w:p>
    <w:p>
      <w:pPr>
        <w:pStyle w:val="2"/>
        <w:spacing w:before="7"/>
        <w:rPr>
          <w:rFonts w:hint="eastAsia" w:ascii="宋体" w:hAnsi="宋体" w:eastAsia="宋体" w:cs="宋体"/>
          <w:color w:val="auto"/>
          <w:sz w:val="21"/>
          <w:szCs w:val="21"/>
          <w:highlight w:val="none"/>
          <w:lang w:eastAsia="zh-CN"/>
        </w:rPr>
      </w:pPr>
    </w:p>
    <w:p>
      <w:pPr>
        <w:tabs>
          <w:tab w:val="left" w:pos="7140"/>
          <w:tab w:val="left" w:pos="7560"/>
          <w:tab w:val="left" w:pos="8300"/>
        </w:tabs>
        <w:autoSpaceDE w:val="0"/>
        <w:autoSpaceDN w:val="0"/>
        <w:adjustRightIn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一</w:t>
      </w:r>
      <w:r>
        <w:rPr>
          <w:rFonts w:hint="eastAsia" w:ascii="宋体" w:hAnsi="宋体" w:cs="宋体"/>
          <w:snapToGrid w:val="0"/>
          <w:color w:val="auto"/>
          <w:kern w:val="0"/>
          <w:szCs w:val="21"/>
          <w:lang w:eastAsia="zh-CN"/>
        </w:rPr>
        <w:t>）</w:t>
      </w:r>
      <w:r>
        <w:rPr>
          <w:rFonts w:hint="eastAsia" w:ascii="宋体" w:hAnsi="宋体" w:eastAsia="宋体" w:cs="宋体"/>
          <w:snapToGrid w:val="0"/>
          <w:color w:val="auto"/>
          <w:kern w:val="0"/>
          <w:szCs w:val="21"/>
        </w:rPr>
        <w:t>根据</w:t>
      </w:r>
      <w:r>
        <w:rPr>
          <w:rFonts w:hint="eastAsia" w:ascii="宋体" w:hAnsi="宋体" w:eastAsia="宋体" w:cs="宋体"/>
          <w:snapToGrid w:val="0"/>
          <w:color w:val="auto"/>
          <w:kern w:val="0"/>
          <w:szCs w:val="21"/>
          <w:lang w:eastAsia="zh-CN"/>
        </w:rPr>
        <w:t>比选人</w:t>
      </w:r>
      <w:r>
        <w:rPr>
          <w:rFonts w:hint="eastAsia" w:ascii="宋体" w:hAnsi="宋体" w:eastAsia="宋体" w:cs="宋体"/>
          <w:snapToGrid w:val="0"/>
          <w:color w:val="auto"/>
          <w:kern w:val="0"/>
          <w:szCs w:val="21"/>
        </w:rPr>
        <w:t>提供的工程量清单报价。</w:t>
      </w:r>
    </w:p>
    <w:p>
      <w:pPr>
        <w:pStyle w:val="2"/>
        <w:rPr>
          <w:rFonts w:hint="default"/>
          <w:lang w:val="en-US" w:eastAsia="zh-CN"/>
        </w:rPr>
      </w:pP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eastAsia="zh-CN"/>
        </w:rPr>
        <w:t>注：1.竞选人应严格按照比选人给出的工程量清单进行填报，不得增减项，不得修改工程量。</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eastAsia="zh-CN"/>
        </w:rPr>
        <w:t xml:space="preserve">    2.工程量清单逐页签字或盖章。</w:t>
      </w:r>
    </w:p>
    <w:p>
      <w:pPr>
        <w:tabs>
          <w:tab w:val="left" w:pos="7140"/>
          <w:tab w:val="left" w:pos="7560"/>
          <w:tab w:val="left" w:pos="8300"/>
        </w:tabs>
        <w:autoSpaceDE w:val="0"/>
        <w:autoSpaceDN w:val="0"/>
        <w:adjustRightInd w:val="0"/>
        <w:spacing w:line="360" w:lineRule="auto"/>
        <w:ind w:firstLine="840" w:firstLineChars="400"/>
        <w:rPr>
          <w:rFonts w:hint="eastAsia"/>
        </w:rPr>
        <w:sectPr>
          <w:pgSz w:w="11906" w:h="16838"/>
          <w:pgMar w:top="1247" w:right="1134" w:bottom="1247" w:left="1134" w:header="851" w:footer="992" w:gutter="0"/>
          <w:cols w:space="720" w:num="1"/>
          <w:docGrid w:type="lines" w:linePitch="312" w:charSpace="0"/>
        </w:sectPr>
      </w:pPr>
      <w:r>
        <w:rPr>
          <w:rFonts w:hint="eastAsia" w:ascii="宋体" w:hAnsi="宋体" w:eastAsia="宋体" w:cs="宋体"/>
          <w:snapToGrid w:val="0"/>
          <w:color w:val="auto"/>
          <w:kern w:val="0"/>
          <w:szCs w:val="21"/>
          <w:lang w:val="en-US" w:eastAsia="zh-CN"/>
        </w:rPr>
        <w:t>3.</w:t>
      </w:r>
      <w:r>
        <w:rPr>
          <w:rFonts w:hint="eastAsia" w:ascii="宋体" w:hAnsi="宋体" w:eastAsia="宋体" w:cs="宋体"/>
          <w:snapToGrid w:val="0"/>
          <w:color w:val="auto"/>
          <w:kern w:val="0"/>
          <w:szCs w:val="21"/>
          <w:lang w:eastAsia="zh-CN"/>
        </w:rPr>
        <w:t>总价超出比选人给出的限价的，其响应文件按无效处理。</w:t>
      </w:r>
    </w:p>
    <w:p>
      <w:pPr>
        <w:pStyle w:val="2"/>
        <w:rPr>
          <w:rFonts w:hint="eastAsia"/>
        </w:rPr>
      </w:pPr>
    </w:p>
    <w:p>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二</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分项明细报价表</w:t>
      </w:r>
    </w:p>
    <w:p>
      <w:pPr>
        <w:tabs>
          <w:tab w:val="left" w:pos="631"/>
          <w:tab w:val="left" w:pos="1471"/>
          <w:tab w:val="left" w:pos="2311"/>
        </w:tabs>
        <w:autoSpaceDE w:val="0"/>
        <w:autoSpaceDN w:val="0"/>
        <w:spacing w:before="37"/>
        <w:ind w:right="597"/>
        <w:jc w:val="right"/>
        <w:rPr>
          <w:rFonts w:hint="eastAsia" w:ascii="宋体" w:hAnsi="宋体" w:eastAsia="宋体" w:cs="宋体"/>
          <w:color w:val="auto"/>
          <w:szCs w:val="22"/>
        </w:rPr>
      </w:pPr>
    </w:p>
    <w:tbl>
      <w:tblPr>
        <w:tblStyle w:val="49"/>
        <w:tblW w:w="973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299"/>
        <w:gridCol w:w="1299"/>
        <w:gridCol w:w="1570"/>
        <w:gridCol w:w="658"/>
        <w:gridCol w:w="667"/>
        <w:gridCol w:w="731"/>
        <w:gridCol w:w="683"/>
        <w:gridCol w:w="683"/>
        <w:gridCol w:w="68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品牌或制造商名称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040503001001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管道水泥支墩 300*300*300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1.规格:300*300*300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2.面层厚度、砂浆配合比:零星项目一般抹灰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1.模板制作、安装、拆除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2.混凝土拌和、运输、浇筑、养护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3.砌筑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4.勾缝、抹面</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2.开挖方式:人工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3.挖土深度:综合考虑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3.围护(挡土板)及拆除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4.基底钎探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5.场内运输</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1.填方材料品种:原土方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3.压实</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拆除混凝土路面及垫层</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1.材质:拆除混凝土路面及垫层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2.厚度:200mm+200mm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041001002002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拆除透水砖人行道路面及垫层</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1.材质:拆除花岗石路面砖及垫层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2.厚度:混凝土垫层150mm厚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水泥混凝土路面及垫层恢复</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1.混凝土强度等级:C30自拌砼路面+C20自拌砼垫层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2.掺和料:自拌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3.厚度:200mm+200mm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1.模板制作、安装、拆除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2.混凝土拌和、运输、浇筑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3.拉毛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4.压痕或刻防滑槽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5.伸缝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6.缩缝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7.锯缝、嵌缝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8.路面养护</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040204002002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透水砖人行道路面及垫层恢复</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1.块料品种、规格:花岗石路面砖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2.基础、垫层：材料品种、厚度:混凝土垫层150mm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1.基础、垫层铺筑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2.块料铺设</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1.废弃料品种:原石方弃渣及路面弃渣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1.余方点装料运输至弃置点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消防水系统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030404016002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水泵控制柜维修</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1.名称:水泵控制柜维修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1.本体拆除、维修、更换零配件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2.焊、压接线端子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030901002003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镀锌钢管拆除 DN100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1.材质、规格:镀锌钢管 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2.连接形式:沟槽连接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1.管道及管件拆除</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030901002004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镀锌钢管 DN100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1.材质、规格:镀锌钢管 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2.连接形式:沟槽连接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1.管道及管件安装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2.钢管镀锌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3.压力试验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5.管道标识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031201001001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管道刷油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1.除锈级别:轻锈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2.油漆品种:红丹防锈漆、调和漆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3.涂刷遍数、漆膜厚度:各二遍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2.调配、涂刷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031202002001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管道防腐蚀</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1.除锈级别:轻锈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2.涂刷(喷)品种:三道沥青两道玻璃丝布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2.调配、涂刷(喷)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030906001001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管道支架制作安装</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031201003002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1.除锈级别:一般钢结构 手工除锈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2.油漆品种:防锈漆、调和漆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3.结构类型:角钢支架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4.涂刷遍数、漆膜厚度:各二遍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2.调配、涂刷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031001011002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镀锌钢管新旧管连接(碰头)DN100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1.介质:消防水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2.材质、规格:镀锌钢管 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1.挖填工作坑或暖气沟拆除及修复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2.碰头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3.接口处防腐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4.接口处绝热及保护层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080807014001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墙面开孔 DN150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1.开孔</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031003003012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蝶阀 DN100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1.类型:蝶阀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030901013001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 4kg</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1.形式:放置式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2.规格、型号:ABC4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1.设置</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030905002001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旧管道试水、试压 DN100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1.系统装置调试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火灾自动报警系统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030904009003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火灾报警控制器</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2.校接线、摇测绝缘电阻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3.排线、绑扎、导线标识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4.显示器安装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030904016001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电源盘</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1.名称:电源盘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030904016003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总线盘</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1.名称:总线盘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2.容量:32*5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030904016002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多线盘</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1.名称:多线盘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2.容量:4*8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030904014001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电话盘</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1.名称:电话盘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030904014002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广播盘</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1.名称:广播盘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030904014004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功放盘</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1.名称:功放盘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030405001001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蓄电池组</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1.名称:蓄电池组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2.容量(A·h):24AH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2.充放电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感温探测器</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1.名称:感温探测器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1.底座安装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2.探头安装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5.探测器调试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030904001002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感烟探测器</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1.名称:感烟探测器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1.底座安装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2.探头安装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5.探测器调试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030904003001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消火栓按钮</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1.名称:消火栓按钮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030904003002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手动报警按钮</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1.名称:手动报警按钮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030904005001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1.名称:声光报警器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030904006001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消防报警电话</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1.名称:消防报警电话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030904007001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消防广播</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1.名称:消防广播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2.安装方式:吸顶式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030904008001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输入模块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1.名称:输入模块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030904008003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广播模块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1.名称:广播模块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030904008002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输入输出模块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1.名称:单输入输出模块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KBG管 DN20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2.材质:KBG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1.电线管路敷设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2.钢索架设(拉紧装置安装)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3.砖墙开沟槽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金属软管 DN20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1.名称:金属软管 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1.电线管路敷设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2.钢索架设(拉紧装置安装)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3.砖墙开沟槽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 RVS-2*1.5mm2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1.名称:双绞线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2.型号:RVS-2*1.5mm2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2.钢索架设(拉紧装置安装)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3.支持体(夹板、绝缘子、槽板等)安装</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报警线路排查</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1.名称:报警线路排查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1.线路排查、维修、恢复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030411001007</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广播线路故障排查</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1.名称:广播线路故障排查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1.线路排查、维修、恢复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030411001008</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电话线路故障排查</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1.名称:电话线路故障排查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1.线路排查、维修、恢复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030905001001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自动报警系统调试</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1.点数:1000点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气体灭火系统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030904009001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更换气体灭火控制器2区</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1.名称:气体灭火控制器2区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2.校接线、摇测绝缘电阻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3.排线、绑扎、导线标识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4.显示器安装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030904009004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更换气体灭火控制器1区</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1.名称:气体灭火控制器1区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2.校接线、摇测绝缘电阻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3.排线、绑扎、导线标识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4.显示器安装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030903009002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气溶胶 10KG</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1.类型:气溶胶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2.型号、规格:10KG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030903009005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气溶胶 5KG</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1.类型:气溶胶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030904003003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更换紧急启停按钮</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1.名称:紧急启停按钮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030904005003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更换声光报警器</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1.名称:声光报警器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080903018001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更换放气指示灯</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1.名称:放气指示灯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1.更换、调试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3.运输</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030904003004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手自动转换盒</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1.名称:手自动转换盒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防排烟、其他</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030702001001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更换风管</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1.名称:镀锌钢板风管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 ≤1250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1.风管、管件、法兰、零件、支吊架制作、安装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2.过跨风管落地支架制作、安装</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030404016003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风机控制柜维修</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1.名称:风机控制柜维修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1.本体拆除、维修、更换零配件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2.焊、压接线端子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3.补刷(喷)油漆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010802003001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更换钢木质防火门</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2.五金安装</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030704001001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通风工程检测、调试</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1.通风管道风量测定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2.风压测定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3.温度测定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4.各系统风口、阀门调整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rPr>
      </w:pPr>
    </w:p>
    <w:p>
      <w:pPr>
        <w:rPr>
          <w:rFonts w:hint="eastAsia"/>
        </w:rPr>
      </w:pP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说明：1、主材品牌要求：国内一线品牌。</w:t>
      </w:r>
    </w:p>
    <w:p>
      <w:pPr>
        <w:numPr>
          <w:ilvl w:val="0"/>
          <w:numId w:val="2"/>
        </w:numP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不属于材料设备的“规格、型号”、“品牌或制造商名称”列可填“\”或不填。</w:t>
      </w:r>
    </w:p>
    <w:p>
      <w:pPr>
        <w:pStyle w:val="2"/>
        <w:rPr>
          <w:rFonts w:hint="default"/>
          <w:lang w:val="en-US" w:eastAsia="zh-CN"/>
        </w:rPr>
        <w:sectPr>
          <w:pgSz w:w="11906" w:h="16838"/>
          <w:pgMar w:top="1247" w:right="1134" w:bottom="1247" w:left="1134" w:header="851" w:footer="992" w:gutter="0"/>
          <w:cols w:space="720" w:num="1"/>
          <w:docGrid w:type="lines" w:linePitch="312" w:charSpace="0"/>
        </w:sectPr>
      </w:pPr>
      <w:r>
        <w:rPr>
          <w:rFonts w:hint="eastAsia" w:ascii="宋体" w:hAnsi="宋体" w:cs="宋体"/>
          <w:i w:val="0"/>
          <w:iCs w:val="0"/>
          <w:color w:val="000000"/>
          <w:kern w:val="0"/>
          <w:sz w:val="18"/>
          <w:szCs w:val="18"/>
          <w:u w:val="none"/>
          <w:lang w:val="en-US" w:eastAsia="zh-CN" w:bidi="ar"/>
        </w:rPr>
        <w:t>3、分项明细报价表合计应与报价在工程量清单中“表-09 分部分项工程项目清单计价表”合计一致。</w:t>
      </w:r>
    </w:p>
    <w:p>
      <w:pPr>
        <w:pStyle w:val="4"/>
        <w:jc w:val="center"/>
        <w:outlineLvl w:val="0"/>
        <w:rPr>
          <w:rFonts w:hint="eastAsia" w:ascii="宋体" w:hAnsi="宋体" w:eastAsia="宋体" w:cs="宋体"/>
          <w:color w:val="auto"/>
          <w:szCs w:val="22"/>
        </w:rPr>
      </w:pPr>
      <w:bookmarkStart w:id="647" w:name="_Toc1725768"/>
      <w:bookmarkStart w:id="648" w:name="_Toc1725856"/>
      <w:bookmarkStart w:id="649" w:name="_Toc11581"/>
      <w:bookmarkStart w:id="650" w:name="_Toc14832"/>
      <w:bookmarkStart w:id="651" w:name="_Toc13474"/>
      <w:r>
        <w:rPr>
          <w:rFonts w:hint="eastAsia" w:ascii="宋体" w:hAnsi="宋体" w:eastAsia="宋体" w:cs="宋体"/>
          <w:color w:val="auto"/>
          <w:szCs w:val="22"/>
          <w:lang w:val="en-US" w:eastAsia="zh-CN"/>
        </w:rPr>
        <w:t>三</w:t>
      </w:r>
      <w:r>
        <w:rPr>
          <w:rFonts w:hint="eastAsia" w:ascii="宋体" w:hAnsi="宋体" w:eastAsia="宋体" w:cs="宋体"/>
          <w:color w:val="auto"/>
          <w:szCs w:val="22"/>
        </w:rPr>
        <w:t>、法定代表人身份证明及授权委托书</w:t>
      </w:r>
      <w:bookmarkEnd w:id="641"/>
      <w:bookmarkEnd w:id="642"/>
      <w:bookmarkEnd w:id="643"/>
      <w:bookmarkEnd w:id="644"/>
      <w:bookmarkEnd w:id="645"/>
      <w:bookmarkEnd w:id="647"/>
      <w:bookmarkEnd w:id="648"/>
      <w:bookmarkEnd w:id="649"/>
      <w:bookmarkEnd w:id="650"/>
      <w:bookmarkEnd w:id="651"/>
    </w:p>
    <w:p>
      <w:pPr>
        <w:tabs>
          <w:tab w:val="left" w:pos="5760"/>
        </w:tabs>
        <w:autoSpaceDE w:val="0"/>
        <w:autoSpaceDN w:val="0"/>
        <w:adjustRightInd w:val="0"/>
        <w:spacing w:line="300" w:lineRule="exact"/>
        <w:ind w:left="919" w:leftChars="253" w:right="11" w:hanging="388" w:hangingChars="138"/>
        <w:jc w:val="center"/>
        <w:outlineLvl w:val="1"/>
        <w:rPr>
          <w:rFonts w:hint="eastAsia" w:ascii="宋体" w:hAnsi="宋体" w:eastAsia="宋体" w:cs="宋体"/>
          <w:b/>
          <w:bCs/>
          <w:snapToGrid w:val="0"/>
          <w:color w:val="auto"/>
          <w:kern w:val="32"/>
          <w:sz w:val="28"/>
          <w:szCs w:val="28"/>
        </w:rPr>
      </w:pPr>
      <w:r>
        <w:rPr>
          <w:rFonts w:hint="eastAsia" w:ascii="宋体" w:hAnsi="宋体" w:eastAsia="宋体" w:cs="宋体"/>
          <w:b/>
          <w:bCs/>
          <w:snapToGrid w:val="0"/>
          <w:color w:val="auto"/>
          <w:kern w:val="32"/>
          <w:sz w:val="28"/>
          <w:szCs w:val="28"/>
        </w:rPr>
        <w:t>法定代表人身份证明</w:t>
      </w:r>
    </w:p>
    <w:p>
      <w:pPr>
        <w:jc w:val="center"/>
        <w:rPr>
          <w:rFonts w:hint="eastAsia" w:ascii="宋体" w:hAnsi="宋体" w:eastAsia="宋体" w:cs="宋体"/>
          <w:b/>
          <w:bCs/>
          <w:snapToGrid w:val="0"/>
          <w:color w:val="auto"/>
          <w:kern w:val="0"/>
          <w:szCs w:val="21"/>
        </w:rPr>
      </w:pPr>
    </w:p>
    <w:p>
      <w:pPr>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竞选人名称：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ab/>
      </w:r>
    </w:p>
    <w:p>
      <w:pPr>
        <w:ind w:firstLine="420" w:firstLineChars="200"/>
        <w:rPr>
          <w:rFonts w:hint="eastAsia" w:ascii="宋体" w:hAnsi="宋体" w:eastAsia="宋体" w:cs="宋体"/>
          <w:color w:val="auto"/>
          <w:szCs w:val="21"/>
          <w:u w:val="single"/>
        </w:rPr>
      </w:pPr>
    </w:p>
    <w:p>
      <w:pPr>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ab/>
      </w:r>
    </w:p>
    <w:p>
      <w:pPr>
        <w:ind w:firstLine="420" w:firstLineChars="200"/>
        <w:rPr>
          <w:rFonts w:hint="eastAsia" w:ascii="宋体" w:hAnsi="宋体" w:eastAsia="宋体" w:cs="宋体"/>
          <w:color w:val="auto"/>
          <w:szCs w:val="21"/>
        </w:rPr>
      </w:pPr>
    </w:p>
    <w:p>
      <w:pPr>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ab/>
      </w:r>
    </w:p>
    <w:p>
      <w:pPr>
        <w:ind w:firstLine="420" w:firstLineChars="200"/>
        <w:rPr>
          <w:rFonts w:hint="eastAsia" w:ascii="宋体" w:hAnsi="宋体" w:eastAsia="宋体" w:cs="宋体"/>
          <w:color w:val="auto"/>
          <w:szCs w:val="21"/>
          <w:u w:val="single"/>
        </w:rPr>
      </w:pPr>
    </w:p>
    <w:p>
      <w:pPr>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ind w:firstLine="420" w:firstLineChars="200"/>
        <w:rPr>
          <w:rFonts w:hint="eastAsia" w:ascii="宋体" w:hAnsi="宋体" w:eastAsia="宋体" w:cs="宋体"/>
          <w:color w:val="auto"/>
          <w:szCs w:val="21"/>
        </w:rPr>
      </w:pPr>
    </w:p>
    <w:p>
      <w:pPr>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ab/>
      </w:r>
    </w:p>
    <w:p>
      <w:pPr>
        <w:ind w:firstLine="420" w:firstLineChars="200"/>
        <w:rPr>
          <w:rFonts w:hint="eastAsia" w:ascii="宋体" w:hAnsi="宋体" w:eastAsia="宋体" w:cs="宋体"/>
          <w:color w:val="auto"/>
          <w:szCs w:val="21"/>
        </w:rPr>
      </w:pPr>
    </w:p>
    <w:p>
      <w:pPr>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rPr>
        <w:tab/>
      </w:r>
      <w:r>
        <w:rPr>
          <w:rFonts w:hint="eastAsia" w:ascii="宋体" w:hAnsi="宋体" w:eastAsia="宋体" w:cs="宋体"/>
          <w:color w:val="auto"/>
          <w:szCs w:val="21"/>
        </w:rPr>
        <w:t>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rPr>
        <w:tab/>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ab/>
      </w:r>
    </w:p>
    <w:p>
      <w:pPr>
        <w:rPr>
          <w:rFonts w:hint="eastAsia" w:ascii="宋体" w:hAnsi="宋体" w:eastAsia="宋体" w:cs="宋体"/>
          <w:color w:val="auto"/>
          <w:szCs w:val="21"/>
        </w:rPr>
      </w:pP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（竞选人名称）             </w:t>
      </w:r>
      <w:r>
        <w:rPr>
          <w:rFonts w:hint="eastAsia" w:ascii="宋体" w:hAnsi="宋体" w:eastAsia="宋体" w:cs="宋体"/>
          <w:color w:val="auto"/>
          <w:szCs w:val="21"/>
        </w:rPr>
        <w:t>的法定代表人。</w:t>
      </w:r>
    </w:p>
    <w:p>
      <w:pPr>
        <w:rPr>
          <w:rFonts w:hint="eastAsia" w:ascii="宋体" w:hAnsi="宋体" w:eastAsia="宋体" w:cs="宋体"/>
          <w:color w:val="auto"/>
          <w:szCs w:val="21"/>
        </w:rPr>
      </w:pPr>
    </w:p>
    <w:p>
      <w:pPr>
        <w:ind w:firstLine="1050" w:firstLineChars="500"/>
        <w:rPr>
          <w:rFonts w:hint="eastAsia" w:ascii="宋体" w:hAnsi="宋体" w:eastAsia="宋体" w:cs="宋体"/>
          <w:color w:val="auto"/>
          <w:szCs w:val="21"/>
        </w:rPr>
      </w:pPr>
      <w:r>
        <w:rPr>
          <w:rFonts w:hint="eastAsia" w:ascii="宋体" w:hAnsi="宋体" w:eastAsia="宋体" w:cs="宋体"/>
          <w:color w:val="auto"/>
          <w:szCs w:val="21"/>
        </w:rPr>
        <w:t>特此证明。</w:t>
      </w:r>
    </w:p>
    <w:p>
      <w:pPr>
        <w:rPr>
          <w:rFonts w:hint="eastAsia" w:ascii="宋体" w:hAnsi="宋体" w:eastAsia="宋体" w:cs="宋体"/>
          <w:snapToGrid w:val="0"/>
          <w:color w:val="auto"/>
          <w:kern w:val="0"/>
          <w:sz w:val="24"/>
        </w:rPr>
      </w:pPr>
      <w:r>
        <w:rPr>
          <w:rFonts w:hint="eastAsia" w:ascii="宋体" w:hAnsi="宋体" w:eastAsia="宋体" w:cs="宋体"/>
          <w:color w:val="auto"/>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pPr>
                              <w:jc w:val="center"/>
                            </w:pPr>
                          </w:p>
                          <w:p>
                            <w:pPr>
                              <w:jc w:val="center"/>
                            </w:pPr>
                            <w:r>
                              <w:rPr>
                                <w:rFonts w:hint="eastAsia"/>
                              </w:rPr>
                              <w:t>法定代表人身份证复印件</w:t>
                            </w:r>
                          </w:p>
                          <w:p>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3360;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BQNyA7YgIAAKMEAAAOAAAAZHJzL2Uyb0RvYy54bWytVM1u&#10;EzEQviPxDpbvdJNt059VN1XVqgipQKXCAzheb9bC9pixk005wQkhDjwAL8CNE1d4mvLzFsx6k5AW&#10;Dj2wB8vjmflm5puZPTxaWMPmCoMGV/Lh1oAz5SRU2k1L/vzZ2YN9zkIUrhIGnCr5lQr8aHz/3mHr&#10;C5VDA6ZSyAjEhaL1JW9i9EWWBdkoK8IWeOVIWQNaEUnEaVahaAndmiwfDHazFrDyCFKFQK+nvZIv&#10;EfEugFDXWqpTkDOrXOxRURkRqaTQaB/4OGVb10rGp3UdVGSm5FRpTCcFofukO7PxoSimKHyj5TIF&#10;cZcUbtVkhXYUdA11KqJgM9R/QVktEQLUcUuCzfpCEiNUxXBwi5vLRniVaiGqg1+THv4frHwyv0Cm&#10;K5qEIWdOWOr49y9vfnx6f/3xa8GuP3z+9frdz29v6YGRBdHV+lCQ16W/wK7g4M9BvgjMwUkj3FQd&#10;I0LbKFFRksk+u+HQCYFc2aR9DBUFE7MIiblFjbYDJE7YIjXoat0gtYhM0mM+2t7eHVHvJOmGozzf&#10;204tzESxcvcY4kMFlnWXktcGWkoM47GJCp2I6qIfvRRTzM9DpJrIf+WXagKjqzNtTBJwOjkxyOaC&#10;RugsfR0N5BI2zYxjbckPRvkoId/QhU2IQfr+BWE1pciMtiXf3zQyjsKtiOsbEBeTxbIXE6iuiE+E&#10;frZps+nSAL7irKW5Lnl4OROoODOPHPXkYLiz0y1CEnZGezkJuKmZbGqEkwRV8shZfz2J/fLMPOpp&#10;Q5GGqVwHx9THWicyu1T7rJZ50+wmwpZ71i3Hp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FA3IDtiAgAAowQAAA4AAAAAAAAAAQAgAAAAJgEAAGRycy9lMm9Eb2MueG1sUEsFBgAA&#10;AAAGAAYAWQEAAPoFAAAAAA==&#10;">
                <v:fill on="t" focussize="0,0"/>
                <v:stroke color="#000000" miterlimit="8" joinstyle="miter"/>
                <v:imagedata o:title=""/>
                <o:lock v:ext="edit" aspectratio="f"/>
                <v:textbox>
                  <w:txbxContent>
                    <w:p>
                      <w:pPr>
                        <w:jc w:val="center"/>
                      </w:pPr>
                    </w:p>
                    <w:p>
                      <w:pPr>
                        <w:jc w:val="center"/>
                      </w:pPr>
                      <w:r>
                        <w:rPr>
                          <w:rFonts w:hint="eastAsia"/>
                        </w:rPr>
                        <w:t>法定代表人身份证复印件</w:t>
                      </w:r>
                    </w:p>
                    <w:p>
                      <w:pPr>
                        <w:jc w:val="center"/>
                      </w:pPr>
                      <w:r>
                        <w:rPr>
                          <w:rFonts w:hint="eastAsia"/>
                        </w:rPr>
                        <w:t>（公民身份信息面）</w:t>
                      </w:r>
                    </w:p>
                  </w:txbxContent>
                </v:textbox>
              </v:shape>
            </w:pict>
          </mc:Fallback>
        </mc:AlternateContent>
      </w:r>
      <w:r>
        <w:rPr>
          <w:rFonts w:hint="eastAsia" w:ascii="宋体" w:hAnsi="宋体" w:eastAsia="宋体" w:cs="宋体"/>
          <w:color w:val="auto"/>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pPr>
                              <w:jc w:val="center"/>
                            </w:pPr>
                          </w:p>
                          <w:p>
                            <w:pPr>
                              <w:jc w:val="center"/>
                            </w:pPr>
                            <w:r>
                              <w:rPr>
                                <w:rFonts w:hint="eastAsia"/>
                              </w:rPr>
                              <w:t>法定代表人身份证复印件</w:t>
                            </w:r>
                          </w:p>
                          <w:p>
                            <w:pPr>
                              <w:jc w:val="center"/>
                            </w:pPr>
                            <w:r>
                              <w:rPr>
                                <w:rFonts w:hint="eastAsia"/>
                              </w:rPr>
                              <w:t>（签发单位面）</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4384;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QIh9lGICAACjBAAADgAAAGRycy9lMm9Eb2MueG1srVTN&#10;bhMxEL4j8Q6W73STbdOfVTdV1KoIqUClwgM4Xm/WwvaYsZNNOcEJIQ48AC/AjRNXeJry8xbMetOQ&#10;Fg49sAfL47E/f9834z08WlrDFgqDBlfy4daAM+UkVNrNSv782emDfc5CFK4SBpwq+aUK/Gh8/95h&#10;6wuVQwOmUsgIxIWi9SVvYvRFlgXZKCvCFnjlKFkDWhEpxFlWoWgJ3ZosHwx2sxaw8ghShUCrJ32S&#10;rxDxLoBQ11qqE5Bzq1zsUVEZEUlSaLQPfJzY1rWS8WldBxWZKTkpjWmkS2g+7cZsfCiKGQrfaLmi&#10;IO5C4ZYmK7SjS9dQJyIKNkf9F5TVEiFAHbck2KwXkhwhFcPBLW8uGuFV0kJWB782Pfw/WPlkcY5M&#10;V9QJZIkTlir+/cubH5/eX338WrCrD59/vX7389tbWmC0g+xqfSjo1IU/x05w8GcgXwTm4LgRbqYm&#10;iNA2SlREctjtz24c6IJAR9m0fQwVXSbmEZJzyxptB0iesGUq0OW6QGoZmaTFfLS9vTsiopJyw1Ge&#10;720nTpkoro97DPGhAsu6SclrAy0RwzgxUaETUZ33rZfuFIuzEDuOorg+lzSB0dWpNiYFOJseG2QL&#10;QS10mr4ki6RvbjOOtSU/GOWjhHwjFzYhBun7F4TVRJEZbUu+v7nJuJWLnXF9AeJyulzVYgrVJfmJ&#10;0Pc2vWyaNICvOGupr0seXs4FKs7MI0c1ORju7HQPIQU7o72cAtzMTDczwkmCKnnkrJ8ex/7xzD3q&#10;WUM3DZNcBxOqY62TmV2Ne1Yr3tS7yePVO+sex2acdv35t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BAiH2UYgIAAKMEAAAOAAAAAAAAAAEAIAAAACcBAABkcnMvZTJvRG9jLnhtbFBLBQYA&#10;AAAABgAGAFkBAAD7BQAAAAA=&#10;">
                <v:fill on="t" focussize="0,0"/>
                <v:stroke color="#000000" miterlimit="8" joinstyle="miter"/>
                <v:imagedata o:title=""/>
                <o:lock v:ext="edit" aspectratio="f"/>
                <v:textbox>
                  <w:txbxContent>
                    <w:p>
                      <w:pPr>
                        <w:jc w:val="center"/>
                      </w:pPr>
                    </w:p>
                    <w:p>
                      <w:pPr>
                        <w:jc w:val="center"/>
                      </w:pPr>
                      <w:r>
                        <w:rPr>
                          <w:rFonts w:hint="eastAsia"/>
                        </w:rPr>
                        <w:t>法定代表人身份证复印件</w:t>
                      </w:r>
                    </w:p>
                    <w:p>
                      <w:pPr>
                        <w:jc w:val="center"/>
                      </w:pPr>
                      <w:r>
                        <w:rPr>
                          <w:rFonts w:hint="eastAsia"/>
                        </w:rPr>
                        <w:t>（签发单位面）</w:t>
                      </w:r>
                    </w:p>
                    <w:p>
                      <w:pPr>
                        <w:jc w:val="center"/>
                      </w:pPr>
                    </w:p>
                  </w:txbxContent>
                </v:textbox>
              </v:shape>
            </w:pict>
          </mc:Fallback>
        </mc:AlternateConten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auto"/>
          <w:kern w:val="0"/>
          <w:szCs w:val="21"/>
        </w:rPr>
      </w:pPr>
    </w:p>
    <w:p>
      <w:pPr>
        <w:ind w:firstLine="3150" w:firstLineChars="1500"/>
        <w:rPr>
          <w:rFonts w:hint="eastAsia" w:ascii="宋体" w:hAnsi="宋体" w:eastAsia="宋体" w:cs="宋体"/>
          <w:color w:val="auto"/>
          <w:szCs w:val="21"/>
          <w:u w:val="single"/>
        </w:rPr>
      </w:pPr>
      <w:r>
        <w:rPr>
          <w:rFonts w:hint="eastAsia" w:ascii="宋体" w:hAnsi="宋体" w:eastAsia="宋体" w:cs="宋体"/>
          <w:color w:val="auto"/>
          <w:szCs w:val="21"/>
        </w:rPr>
        <w:t>竞选人：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（盖单位法人章）</w:t>
      </w:r>
    </w:p>
    <w:p>
      <w:pPr>
        <w:ind w:firstLine="420" w:firstLineChars="200"/>
        <w:rPr>
          <w:rFonts w:hint="eastAsia" w:ascii="宋体" w:hAnsi="宋体" w:eastAsia="宋体" w:cs="宋体"/>
          <w:color w:val="auto"/>
          <w:szCs w:val="21"/>
        </w:rPr>
      </w:pPr>
    </w:p>
    <w:p>
      <w:pPr>
        <w:ind w:firstLine="3968" w:firstLineChars="189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utoSpaceDE w:val="0"/>
        <w:autoSpaceDN w:val="0"/>
        <w:jc w:val="left"/>
        <w:rPr>
          <w:rFonts w:hint="eastAsia" w:ascii="宋体" w:hAnsi="宋体" w:eastAsia="宋体" w:cs="宋体"/>
          <w:color w:val="auto"/>
          <w:kern w:val="0"/>
          <w:sz w:val="22"/>
        </w:rPr>
      </w:pPr>
    </w:p>
    <w:p>
      <w:pPr>
        <w:autoSpaceDE w:val="0"/>
        <w:autoSpaceDN w:val="0"/>
        <w:spacing w:after="120"/>
        <w:jc w:val="left"/>
        <w:rPr>
          <w:rFonts w:hint="eastAsia" w:ascii="宋体" w:hAnsi="宋体" w:eastAsia="宋体" w:cs="宋体"/>
          <w:color w:val="auto"/>
          <w:kern w:val="0"/>
          <w:sz w:val="22"/>
        </w:rPr>
      </w:pPr>
    </w:p>
    <w:p>
      <w:pPr>
        <w:autoSpaceDE w:val="0"/>
        <w:autoSpaceDN w:val="0"/>
        <w:spacing w:after="120"/>
        <w:jc w:val="left"/>
        <w:rPr>
          <w:rFonts w:hint="eastAsia" w:ascii="宋体" w:hAnsi="宋体" w:eastAsia="宋体" w:cs="宋体"/>
          <w:color w:val="auto"/>
          <w:kern w:val="0"/>
          <w:sz w:val="22"/>
        </w:rPr>
      </w:pPr>
    </w:p>
    <w:p>
      <w:pPr>
        <w:autoSpaceDE w:val="0"/>
        <w:autoSpaceDN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注：法定代表人身份证明需按上述格式填写完整，不可缺少内容。在此基础上增加内容的不影响其有效性。</w:t>
      </w:r>
    </w:p>
    <w:p>
      <w:pPr>
        <w:autoSpaceDE w:val="0"/>
        <w:autoSpaceDN w:val="0"/>
        <w:spacing w:after="120"/>
        <w:jc w:val="center"/>
        <w:outlineLvl w:val="1"/>
        <w:rPr>
          <w:rFonts w:hint="eastAsia" w:ascii="宋体" w:hAnsi="宋体" w:eastAsia="宋体" w:cs="宋体"/>
          <w:b/>
          <w:color w:val="auto"/>
          <w:kern w:val="0"/>
          <w:sz w:val="32"/>
        </w:rPr>
      </w:pPr>
      <w:bookmarkStart w:id="652" w:name="_bookmark158"/>
      <w:bookmarkEnd w:id="652"/>
      <w:r>
        <w:rPr>
          <w:rFonts w:hint="eastAsia" w:ascii="宋体" w:hAnsi="宋体" w:eastAsia="宋体" w:cs="宋体"/>
          <w:b/>
          <w:color w:val="auto"/>
          <w:kern w:val="0"/>
          <w:szCs w:val="21"/>
        </w:rPr>
        <w:br w:type="page"/>
      </w:r>
      <w:r>
        <w:rPr>
          <w:rFonts w:hint="eastAsia" w:ascii="宋体" w:hAnsi="宋体" w:eastAsia="宋体" w:cs="宋体"/>
          <w:b/>
          <w:color w:val="auto"/>
          <w:kern w:val="0"/>
          <w:sz w:val="24"/>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（姓名）   </w:t>
      </w:r>
      <w:r>
        <w:rPr>
          <w:rFonts w:hint="eastAsia" w:ascii="宋体" w:hAnsi="宋体" w:eastAsia="宋体" w:cs="宋体"/>
          <w:color w:val="auto"/>
          <w:kern w:val="0"/>
          <w:szCs w:val="21"/>
        </w:rPr>
        <w:t>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spacing w:val="-1"/>
          <w:kern w:val="0"/>
          <w:szCs w:val="21"/>
          <w:u w:val="single"/>
        </w:rPr>
        <w:t>竞选</w:t>
      </w:r>
      <w:r>
        <w:rPr>
          <w:rFonts w:hint="eastAsia" w:ascii="宋体" w:hAnsi="宋体" w:eastAsia="宋体" w:cs="宋体"/>
          <w:color w:val="auto"/>
          <w:kern w:val="0"/>
          <w:szCs w:val="21"/>
          <w:u w:val="single"/>
        </w:rPr>
        <w:t>人名称</w:t>
      </w:r>
      <w:r>
        <w:rPr>
          <w:rFonts w:hint="eastAsia" w:ascii="宋体" w:hAnsi="宋体" w:eastAsia="宋体" w:cs="宋体"/>
          <w:color w:val="auto"/>
          <w:spacing w:val="1"/>
          <w:kern w:val="0"/>
          <w:szCs w:val="21"/>
          <w:u w:val="single"/>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的法定代</w:t>
      </w:r>
      <w:r>
        <w:rPr>
          <w:rFonts w:hint="eastAsia" w:ascii="宋体" w:hAnsi="宋体" w:eastAsia="宋体" w:cs="宋体"/>
          <w:color w:val="auto"/>
          <w:spacing w:val="1"/>
          <w:kern w:val="0"/>
          <w:szCs w:val="21"/>
        </w:rPr>
        <w:t>表</w:t>
      </w:r>
      <w:r>
        <w:rPr>
          <w:rFonts w:hint="eastAsia" w:ascii="宋体" w:hAnsi="宋体" w:eastAsia="宋体" w:cs="宋体"/>
          <w:color w:val="auto"/>
          <w:kern w:val="0"/>
          <w:szCs w:val="21"/>
        </w:rPr>
        <w:t xml:space="preserve">人，现委托 </w:t>
      </w:r>
      <w:r>
        <w:rPr>
          <w:rFonts w:hint="eastAsia" w:ascii="宋体" w:hAnsi="宋体" w:eastAsia="宋体" w:cs="宋体"/>
          <w:color w:val="auto"/>
          <w:kern w:val="0"/>
          <w:szCs w:val="21"/>
          <w:u w:val="single"/>
        </w:rPr>
        <w:t xml:space="preserve">    （姓名） </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为我方代理人。代理人根据授权，以我方名义签署、澄清、说明、补正、递交、撤回、修改</w:t>
      </w:r>
      <w:r>
        <w:rPr>
          <w:rFonts w:hint="eastAsia" w:ascii="宋体" w:hAnsi="宋体" w:eastAsia="宋体" w:cs="宋体"/>
          <w:bCs/>
          <w:color w:val="auto"/>
          <w:kern w:val="0"/>
          <w:szCs w:val="21"/>
          <w:u w:val="single"/>
        </w:rPr>
        <w:t xml:space="preserve">                    （项目名称）                      </w:t>
      </w:r>
      <w:r>
        <w:rPr>
          <w:rFonts w:hint="eastAsia" w:ascii="宋体" w:hAnsi="宋体" w:eastAsia="宋体" w:cs="宋体"/>
          <w:color w:val="auto"/>
          <w:kern w:val="0"/>
          <w:szCs w:val="21"/>
        </w:rPr>
        <w:t>竞选文件、签订合同及处理有关事宜，其法律责任及后果由我方承担。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委托</w:t>
      </w:r>
      <w:r>
        <w:rPr>
          <w:rFonts w:hint="eastAsia" w:ascii="宋体" w:hAnsi="宋体" w:eastAsia="宋体" w:cs="宋体"/>
          <w:color w:val="auto"/>
          <w:spacing w:val="-1"/>
          <w:kern w:val="0"/>
          <w:szCs w:val="21"/>
        </w:rPr>
        <w:t>期</w:t>
      </w:r>
      <w:r>
        <w:rPr>
          <w:rFonts w:hint="eastAsia" w:ascii="宋体" w:hAnsi="宋体" w:eastAsia="宋体" w:cs="宋体"/>
          <w:color w:val="auto"/>
          <w:kern w:val="0"/>
          <w:szCs w:val="21"/>
        </w:rPr>
        <w:t>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p>
    <w:p>
      <w:pPr>
        <w:autoSpaceDE w:val="0"/>
        <w:autoSpaceDN w:val="0"/>
        <w:adjustRightInd w:val="0"/>
        <w:snapToGrid w:val="0"/>
        <w:spacing w:line="360" w:lineRule="auto"/>
        <w:jc w:val="left"/>
        <w:rPr>
          <w:rFonts w:hint="eastAsia" w:ascii="宋体" w:hAnsi="宋体" w:eastAsia="宋体" w:cs="宋体"/>
          <w:color w:val="auto"/>
          <w:kern w:val="0"/>
          <w:sz w:val="12"/>
          <w:szCs w:val="12"/>
        </w:rPr>
      </w:pPr>
    </w:p>
    <w:p>
      <w:pPr>
        <w:rPr>
          <w:rFonts w:hint="eastAsia" w:ascii="宋体" w:hAnsi="宋体" w:eastAsia="宋体" w:cs="宋体"/>
          <w:snapToGrid w:val="0"/>
          <w:color w:val="auto"/>
          <w:kern w:val="0"/>
          <w:sz w:val="24"/>
        </w:rPr>
      </w:pPr>
      <w:r>
        <w:rPr>
          <w:rFonts w:hint="eastAsia" w:ascii="宋体" w:hAnsi="宋体" w:eastAsia="宋体" w:cs="宋体"/>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pPr>
                              <w:jc w:val="center"/>
                            </w:pPr>
                          </w:p>
                          <w:p>
                            <w:pPr>
                              <w:jc w:val="center"/>
                            </w:pPr>
                            <w:r>
                              <w:rPr>
                                <w:rFonts w:hint="eastAsia"/>
                              </w:rPr>
                              <w:t>委托代理人身份证复印件</w:t>
                            </w:r>
                          </w:p>
                          <w:p>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5408;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AxT+q+YgIAAKMEAAAOAAAAZHJzL2Uyb0RvYy54bWytVM1u&#10;EzEQviPxDpbvdJNN059VNlXVqgipQKXCAzheb9bC9pixk005wQkhDjwAL8CNE1d4mvLzFsx605IW&#10;Dj2wB8vjGX8z3zfjnRysrGFLhUGDK/lwa8CZchIq7eYlf/7s5MEeZyEKVwkDTpX8QgV+ML1/b9L6&#10;QuXQgKkUMgJxoWh9yZsYfZFlQTbKirAFXjly1oBWRDJxnlUoWkK3JssHg52sBaw8glQh0Olx7+Rr&#10;RLwLINS1luoY5MIqF3tUVEZEohQa7QOfpmrrWsn4tK6DisyUnJjGtFIS2s+6NZtORDFH4Rst1yWI&#10;u5Rwi5MV2lHSa6hjEQVboP4LymqJEKCOWxJs1hNJihCL4eCWNueN8CpxIamDvxY9/D9Y+WR5hkxX&#10;NAkjzpyw1PHvX978+PT+8uPXgl1++Pzr9buf397SAaMIkqv1oaBb5/4MO8LBn4J8EZiDo0a4uTpE&#10;hLZRoqIih118duNCZwS6ymbtY6gomVhESMqtarQdIGnCVqlBF9cNUqvIJB3m49FoZ0y9k+QbjvN8&#10;d5RamIni6rrHEB8qsKzblLw20FJhGA9NVOhEVGf96KWcYnkaYlejKK7uJU5gdHWijUkGzmdHBtlS&#10;0AidpC/RIuqbYcaxtuT743yckG/4wibEIH3/grCaSmRG25LvbQYZt1axE65vQFzNVutezKC6ID0R&#10;+tmml02bBvAVZy3NdcnDy4VAxZl55Kgn+8Pt7e4hJGN7vJuTgZue2aZHOElQJY+c9duj2D+ehUc9&#10;byjTMNF1cEh9rHUSs+txX9W6bprdpPH6nXWPY9NOUX/+Ld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DFP6r5iAgAAowQAAA4AAAAAAAAAAQAgAAAAJgEAAGRycy9lMm9Eb2MueG1sUEsFBgAA&#10;AAAGAAYAWQEAAPoFAAAAAA==&#10;">
                <v:fill on="t" focussize="0,0"/>
                <v:stroke color="#000000" miterlimit="8" joinstyle="miter"/>
                <v:imagedata o:title=""/>
                <o:lock v:ext="edit" aspectratio="f"/>
                <v:textbox>
                  <w:txbxContent>
                    <w:p>
                      <w:pPr>
                        <w:jc w:val="center"/>
                      </w:pPr>
                    </w:p>
                    <w:p>
                      <w:pPr>
                        <w:jc w:val="center"/>
                      </w:pPr>
                      <w:r>
                        <w:rPr>
                          <w:rFonts w:hint="eastAsia"/>
                        </w:rPr>
                        <w:t>委托代理人身份证复印件</w:t>
                      </w:r>
                    </w:p>
                    <w:p>
                      <w:pPr>
                        <w:jc w:val="center"/>
                      </w:pPr>
                      <w:r>
                        <w:rPr>
                          <w:rFonts w:hint="eastAsia"/>
                        </w:rPr>
                        <w:t>（公民身份信息面）</w:t>
                      </w:r>
                    </w:p>
                  </w:txbxContent>
                </v:textbox>
              </v:shape>
            </w:pict>
          </mc:Fallback>
        </mc:AlternateContent>
      </w:r>
      <w:r>
        <w:rPr>
          <w:rFonts w:hint="eastAsia" w:ascii="宋体" w:hAnsi="宋体" w:eastAsia="宋体" w:cs="宋体"/>
          <w:color w:val="auto"/>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pPr>
                              <w:jc w:val="center"/>
                            </w:pPr>
                          </w:p>
                          <w:p>
                            <w:pPr>
                              <w:jc w:val="center"/>
                            </w:pPr>
                            <w:r>
                              <w:rPr>
                                <w:rFonts w:hint="eastAsia"/>
                              </w:rPr>
                              <w:t>委托代理人身份证复印件</w:t>
                            </w:r>
                          </w:p>
                          <w:p>
                            <w:pPr>
                              <w:jc w:val="center"/>
                            </w:pPr>
                            <w:r>
                              <w:rPr>
                                <w:rFonts w:hint="eastAsia"/>
                              </w:rPr>
                              <w:t>（签发单位面）</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6432;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IfC3EWICAACjBAAADgAAAGRycy9lMm9Eb2MueG1srVTN&#10;bhMxEL4j8Q6W73STbdOfVTdV1KoIqUClwgM4Xm/WwvaYsZNNOcEJIQ48AC/AjRNXeJry8xbMetOQ&#10;Fg49sAfL4xl/M9834z08WlrDFgqDBlfy4daAM+UkVNrNSv782emDfc5CFK4SBpwq+aUK/Gh8/95h&#10;6wuVQwOmUsgIxIWi9SVvYvRFlgXZKCvCFnjlyFkDWhHJxFlWoWgJ3ZosHwx2sxaw8ghShUCnJ72T&#10;rxDxLoBQ11qqE5Bzq1zsUVEZEYlSaLQPfJyqrWsl49O6DioyU3JiGtNKSWg/7dZsfCiKGQrfaLkq&#10;QdylhFucrNCOkq6hTkQUbI76LyirJUKAOm5JsFlPJClCLIaDW9pcNMKrxIWkDn4tevh/sPLJ4hyZ&#10;rmgScs6csNTx71/e/Pj0/urj14Jdffj86/W7n9/e0gGjCJKr9aGgWxf+HDvCwZ+BfBGYg+NGuJma&#10;IELbKFFRkcMuPrtxoTMCXWXT9jFUlEzMIyTlljXaDpA0YcvUoMt1g9QyMkmH+Wh7e3dEvZPkG47y&#10;fG87tTATxfV1jyE+VGBZtyl5baClwjBOTFToRFTn/eilnGJxFmJXoyiu7yVOYHR1qo1JBs6mxwbZ&#10;QtAInaYv0SLqm2HGsbbkB6N8lJBv+MImxCB9/4KwmkpkRtuS728GGbdSsROub0BcTperXkyhuiQ9&#10;EfrZppdNmwbwFWctzXXJw8u5QMWZeeSoJwfDnZ3uISRjZ7SXk4GbnummRzhJUCWPnPXb49g/nrlH&#10;PWso0zDRdTChPtY6idn1uK9qVTfNbtJ49c66x7Fpp6g//5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Ah8LcRYgIAAKMEAAAOAAAAAAAAAAEAIAAAACcBAABkcnMvZTJvRG9jLnhtbFBLBQYA&#10;AAAABgAGAFkBAAD7BQAAAAA=&#10;">
                <v:fill on="t" focussize="0,0"/>
                <v:stroke color="#000000" miterlimit="8" joinstyle="miter"/>
                <v:imagedata o:title=""/>
                <o:lock v:ext="edit" aspectratio="f"/>
                <v:textbox>
                  <w:txbxContent>
                    <w:p>
                      <w:pPr>
                        <w:jc w:val="center"/>
                      </w:pPr>
                    </w:p>
                    <w:p>
                      <w:pPr>
                        <w:jc w:val="center"/>
                      </w:pPr>
                      <w:r>
                        <w:rPr>
                          <w:rFonts w:hint="eastAsia"/>
                        </w:rPr>
                        <w:t>委托代理人身份证复印件</w:t>
                      </w:r>
                    </w:p>
                    <w:p>
                      <w:pPr>
                        <w:jc w:val="center"/>
                      </w:pPr>
                      <w:r>
                        <w:rPr>
                          <w:rFonts w:hint="eastAsia"/>
                        </w:rPr>
                        <w:t>（签发单位面）</w:t>
                      </w:r>
                    </w:p>
                    <w:p>
                      <w:pPr>
                        <w:jc w:val="center"/>
                      </w:pPr>
                    </w:p>
                  </w:txbxContent>
                </v:textbox>
              </v:shape>
            </w:pict>
          </mc:Fallback>
        </mc:AlternateContent>
      </w:r>
      <w:bookmarkStart w:id="653" w:name="_Toc434242032"/>
      <w:bookmarkEnd w:id="653"/>
      <w:bookmarkStart w:id="654" w:name="_Toc434242234"/>
      <w:bookmarkEnd w:id="654"/>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auto"/>
          <w:kern w:val="0"/>
          <w:szCs w:val="21"/>
        </w:rPr>
      </w:pPr>
    </w:p>
    <w:p>
      <w:pPr>
        <w:tabs>
          <w:tab w:val="left" w:pos="4200"/>
          <w:tab w:val="left" w:pos="4620"/>
        </w:tabs>
        <w:autoSpaceDE w:val="0"/>
        <w:autoSpaceDN w:val="0"/>
        <w:adjustRightInd w:val="0"/>
        <w:snapToGrid w:val="0"/>
        <w:spacing w:line="480" w:lineRule="auto"/>
        <w:ind w:firstLine="1694"/>
        <w:jc w:val="left"/>
        <w:rPr>
          <w:rFonts w:hint="eastAsia" w:ascii="宋体" w:hAnsi="宋体" w:eastAsia="宋体" w:cs="宋体"/>
          <w:color w:val="auto"/>
          <w:kern w:val="0"/>
          <w:szCs w:val="21"/>
        </w:rPr>
      </w:pPr>
      <w:r>
        <w:rPr>
          <w:rFonts w:hint="eastAsia" w:ascii="宋体" w:hAnsi="宋体" w:eastAsia="宋体" w:cs="宋体"/>
          <w:color w:val="auto"/>
          <w:kern w:val="0"/>
          <w:szCs w:val="21"/>
        </w:rPr>
        <w:t>竞选人：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 xml:space="preserve">） </w:t>
      </w:r>
    </w:p>
    <w:p>
      <w:pPr>
        <w:tabs>
          <w:tab w:val="left" w:pos="6090"/>
        </w:tabs>
        <w:autoSpaceDE w:val="0"/>
        <w:autoSpaceDN w:val="0"/>
        <w:adjustRightInd w:val="0"/>
        <w:snapToGrid w:val="0"/>
        <w:spacing w:line="48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（签字）</w:t>
      </w:r>
    </w:p>
    <w:p>
      <w:pPr>
        <w:tabs>
          <w:tab w:val="left" w:pos="5260"/>
        </w:tabs>
        <w:autoSpaceDE w:val="0"/>
        <w:autoSpaceDN w:val="0"/>
        <w:adjustRightInd w:val="0"/>
        <w:snapToGrid w:val="0"/>
        <w:spacing w:line="48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szCs w:val="21"/>
        </w:rPr>
        <w:tab/>
      </w:r>
    </w:p>
    <w:p>
      <w:pPr>
        <w:tabs>
          <w:tab w:val="left" w:pos="6090"/>
        </w:tabs>
        <w:autoSpaceDE w:val="0"/>
        <w:autoSpaceDN w:val="0"/>
        <w:adjustRightInd w:val="0"/>
        <w:snapToGrid w:val="0"/>
        <w:spacing w:line="48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（签</w:t>
      </w:r>
      <w:r>
        <w:rPr>
          <w:rFonts w:hint="eastAsia" w:ascii="宋体" w:hAnsi="宋体" w:eastAsia="宋体" w:cs="宋体"/>
          <w:color w:val="auto"/>
          <w:spacing w:val="-1"/>
          <w:kern w:val="0"/>
          <w:szCs w:val="21"/>
        </w:rPr>
        <w:t>字</w:t>
      </w:r>
      <w:r>
        <w:rPr>
          <w:rFonts w:hint="eastAsia" w:ascii="宋体" w:hAnsi="宋体" w:eastAsia="宋体" w:cs="宋体"/>
          <w:color w:val="auto"/>
          <w:kern w:val="0"/>
          <w:szCs w:val="21"/>
        </w:rPr>
        <w:t>）</w:t>
      </w:r>
    </w:p>
    <w:p>
      <w:pPr>
        <w:tabs>
          <w:tab w:val="left" w:pos="6090"/>
        </w:tabs>
        <w:autoSpaceDE w:val="0"/>
        <w:autoSpaceDN w:val="0"/>
        <w:adjustRightInd w:val="0"/>
        <w:snapToGrid w:val="0"/>
        <w:spacing w:line="48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spacing w:line="480" w:lineRule="auto"/>
        <w:ind w:firstLine="2975" w:firstLineChars="1417"/>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rPr>
          <w:rFonts w:hint="eastAsia" w:ascii="宋体" w:hAnsi="宋体" w:eastAsia="宋体" w:cs="宋体"/>
          <w:color w:val="auto"/>
        </w:rPr>
      </w:pPr>
    </w:p>
    <w:p>
      <w:pPr>
        <w:pStyle w:val="45"/>
        <w:rPr>
          <w:rFonts w:hint="eastAsia" w:ascii="宋体" w:hAnsi="宋体" w:eastAsia="宋体" w:cs="宋体"/>
          <w:color w:val="auto"/>
          <w:lang w:eastAsia="zh-CN"/>
        </w:rPr>
      </w:pPr>
    </w:p>
    <w:p>
      <w:pPr>
        <w:pStyle w:val="45"/>
        <w:rPr>
          <w:rFonts w:hint="eastAsia" w:ascii="宋体" w:hAnsi="宋体" w:eastAsia="宋体" w:cs="宋体"/>
          <w:color w:val="auto"/>
          <w:lang w:eastAsia="zh-CN"/>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46"/>
    <w:p>
      <w:pPr>
        <w:autoSpaceDE w:val="0"/>
        <w:autoSpaceDN w:val="0"/>
        <w:spacing w:after="120" w:line="360" w:lineRule="auto"/>
        <w:jc w:val="left"/>
        <w:rPr>
          <w:rFonts w:hint="eastAsia" w:ascii="宋体" w:hAnsi="宋体" w:eastAsia="宋体" w:cs="宋体"/>
          <w:color w:val="auto"/>
          <w:kern w:val="0"/>
          <w:szCs w:val="21"/>
        </w:rPr>
      </w:pPr>
      <w:bookmarkStart w:id="655" w:name="_bookmark160"/>
      <w:bookmarkEnd w:id="655"/>
    </w:p>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hint="eastAsia" w:ascii="宋体" w:hAnsi="宋体" w:eastAsia="宋体" w:cs="宋体"/>
          <w:b w:val="0"/>
          <w:bCs/>
          <w:color w:val="auto"/>
          <w:szCs w:val="21"/>
        </w:rPr>
      </w:pPr>
      <w:bookmarkStart w:id="656" w:name="_bookmark161"/>
      <w:bookmarkEnd w:id="656"/>
      <w:bookmarkStart w:id="657" w:name="_Toc1132"/>
      <w:r>
        <w:rPr>
          <w:rFonts w:hint="eastAsia" w:ascii="宋体" w:hAnsi="宋体" w:eastAsia="宋体" w:cs="宋体"/>
          <w:color w:val="auto"/>
        </w:rPr>
        <w:br w:type="page"/>
      </w:r>
      <w:bookmarkEnd w:id="657"/>
      <w:bookmarkStart w:id="658" w:name="_Toc287620831"/>
      <w:bookmarkStart w:id="659" w:name="_Toc17055"/>
      <w:bookmarkStart w:id="660" w:name="_Toc224103512"/>
      <w:bookmarkStart w:id="661" w:name="_Toc277082658"/>
      <w:bookmarkStart w:id="662" w:name="_Toc430530547"/>
      <w:bookmarkStart w:id="663" w:name="_Toc287607884"/>
      <w:bookmarkStart w:id="664" w:name="_Toc1725776"/>
    </w:p>
    <w:bookmarkEnd w:id="658"/>
    <w:bookmarkEnd w:id="659"/>
    <w:bookmarkEnd w:id="660"/>
    <w:bookmarkEnd w:id="661"/>
    <w:bookmarkEnd w:id="662"/>
    <w:bookmarkEnd w:id="663"/>
    <w:p>
      <w:pPr>
        <w:pStyle w:val="4"/>
        <w:jc w:val="center"/>
        <w:outlineLvl w:val="0"/>
        <w:rPr>
          <w:rFonts w:hint="eastAsia" w:ascii="宋体" w:hAnsi="宋体" w:eastAsia="宋体" w:cs="宋体"/>
          <w:color w:val="auto"/>
          <w:szCs w:val="22"/>
        </w:rPr>
      </w:pPr>
      <w:bookmarkStart w:id="665" w:name="_Toc7854"/>
      <w:bookmarkStart w:id="666" w:name="_Toc22392"/>
      <w:bookmarkStart w:id="667" w:name="_Toc21791"/>
      <w:bookmarkStart w:id="668" w:name="_Toc25994"/>
      <w:bookmarkStart w:id="669" w:name="_Toc24416"/>
      <w:bookmarkStart w:id="670" w:name="_Toc277082659"/>
      <w:bookmarkStart w:id="671" w:name="_Toc287607887"/>
      <w:r>
        <w:rPr>
          <w:rFonts w:hint="eastAsia" w:ascii="宋体" w:hAnsi="宋体" w:eastAsia="宋体" w:cs="宋体"/>
          <w:color w:val="auto"/>
          <w:szCs w:val="22"/>
          <w:lang w:val="en-US" w:eastAsia="zh-CN"/>
        </w:rPr>
        <w:t>四</w:t>
      </w:r>
      <w:r>
        <w:rPr>
          <w:rFonts w:hint="eastAsia" w:ascii="宋体" w:hAnsi="宋体" w:eastAsia="宋体" w:cs="宋体"/>
          <w:color w:val="auto"/>
          <w:szCs w:val="22"/>
        </w:rPr>
        <w:t>、竞选人基本情况表</w:t>
      </w:r>
      <w:bookmarkEnd w:id="665"/>
      <w:bookmarkEnd w:id="666"/>
      <w:bookmarkEnd w:id="667"/>
      <w:bookmarkEnd w:id="668"/>
      <w:bookmarkEnd w:id="669"/>
    </w:p>
    <w:tbl>
      <w:tblPr>
        <w:tblStyle w:val="4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rPr>
              <w:t>竞选</w:t>
            </w:r>
            <w:r>
              <w:rPr>
                <w:rFonts w:hint="eastAsia" w:ascii="宋体" w:hAnsi="宋体" w:eastAsia="宋体" w:cs="宋体"/>
                <w:color w:val="auto"/>
                <w:kern w:val="0"/>
                <w:sz w:val="22"/>
                <w:szCs w:val="22"/>
                <w:lang w:eastAsia="en-US"/>
              </w:rPr>
              <w:t>人名称</w:t>
            </w:r>
          </w:p>
        </w:tc>
        <w:tc>
          <w:tcPr>
            <w:tcW w:w="7176" w:type="dxa"/>
            <w:gridSpan w:val="8"/>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注册地址</w:t>
            </w:r>
          </w:p>
        </w:tc>
        <w:tc>
          <w:tcPr>
            <w:tcW w:w="3368" w:type="dxa"/>
            <w:gridSpan w:val="3"/>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1348" w:type="dxa"/>
            <w:gridSpan w:val="2"/>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邮政编码</w:t>
            </w:r>
          </w:p>
        </w:tc>
        <w:tc>
          <w:tcPr>
            <w:tcW w:w="2460" w:type="dxa"/>
            <w:gridSpan w:val="3"/>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联系方式</w:t>
            </w:r>
          </w:p>
        </w:tc>
        <w:tc>
          <w:tcPr>
            <w:tcW w:w="941"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联系人</w:t>
            </w:r>
          </w:p>
        </w:tc>
        <w:tc>
          <w:tcPr>
            <w:tcW w:w="2427" w:type="dxa"/>
            <w:gridSpan w:val="2"/>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1348" w:type="dxa"/>
            <w:gridSpan w:val="2"/>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电 话</w:t>
            </w:r>
          </w:p>
        </w:tc>
        <w:tc>
          <w:tcPr>
            <w:tcW w:w="2460" w:type="dxa"/>
            <w:gridSpan w:val="3"/>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shd w:val="clear" w:color="auto" w:fill="auto"/>
            <w:vAlign w:val="center"/>
          </w:tcPr>
          <w:p>
            <w:pPr>
              <w:autoSpaceDE w:val="0"/>
              <w:autoSpaceDN w:val="0"/>
              <w:jc w:val="center"/>
              <w:rPr>
                <w:rFonts w:hint="eastAsia" w:ascii="宋体" w:hAnsi="宋体" w:eastAsia="宋体" w:cs="宋体"/>
                <w:color w:val="auto"/>
                <w:kern w:val="0"/>
                <w:sz w:val="2"/>
                <w:szCs w:val="2"/>
                <w:lang w:eastAsia="en-US"/>
              </w:rPr>
            </w:pPr>
          </w:p>
        </w:tc>
        <w:tc>
          <w:tcPr>
            <w:tcW w:w="941" w:type="dxa"/>
            <w:shd w:val="clear" w:color="auto" w:fill="auto"/>
            <w:vAlign w:val="center"/>
          </w:tcPr>
          <w:p>
            <w:pPr>
              <w:tabs>
                <w:tab w:val="left" w:pos="432"/>
              </w:tabs>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传</w:t>
            </w:r>
            <w:r>
              <w:rPr>
                <w:rFonts w:hint="eastAsia" w:ascii="宋体" w:hAnsi="宋体" w:eastAsia="宋体" w:cs="宋体"/>
                <w:color w:val="auto"/>
                <w:kern w:val="0"/>
                <w:sz w:val="22"/>
                <w:szCs w:val="22"/>
                <w:lang w:eastAsia="en-US"/>
              </w:rPr>
              <w:tab/>
            </w:r>
            <w:r>
              <w:rPr>
                <w:rFonts w:hint="eastAsia" w:ascii="宋体" w:hAnsi="宋体" w:eastAsia="宋体" w:cs="宋体"/>
                <w:color w:val="auto"/>
                <w:kern w:val="0"/>
                <w:sz w:val="22"/>
                <w:szCs w:val="22"/>
                <w:lang w:eastAsia="en-US"/>
              </w:rPr>
              <w:t>真</w:t>
            </w:r>
          </w:p>
        </w:tc>
        <w:tc>
          <w:tcPr>
            <w:tcW w:w="2427" w:type="dxa"/>
            <w:gridSpan w:val="2"/>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1348" w:type="dxa"/>
            <w:gridSpan w:val="2"/>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网 址</w:t>
            </w:r>
          </w:p>
        </w:tc>
        <w:tc>
          <w:tcPr>
            <w:tcW w:w="2460" w:type="dxa"/>
            <w:gridSpan w:val="3"/>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法定代表人</w:t>
            </w:r>
          </w:p>
        </w:tc>
        <w:tc>
          <w:tcPr>
            <w:tcW w:w="941"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姓名</w:t>
            </w:r>
          </w:p>
        </w:tc>
        <w:tc>
          <w:tcPr>
            <w:tcW w:w="1076" w:type="dxa"/>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1351"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技术职称</w:t>
            </w:r>
          </w:p>
        </w:tc>
        <w:tc>
          <w:tcPr>
            <w:tcW w:w="1348" w:type="dxa"/>
            <w:gridSpan w:val="2"/>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1168" w:type="dxa"/>
            <w:gridSpan w:val="2"/>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电话</w:t>
            </w:r>
          </w:p>
        </w:tc>
        <w:tc>
          <w:tcPr>
            <w:tcW w:w="1292" w:type="dxa"/>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质量管理体系证书</w:t>
            </w:r>
          </w:p>
          <w:p>
            <w:pPr>
              <w:autoSpaceDE w:val="0"/>
              <w:autoSpaceDN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（如有）</w:t>
            </w:r>
          </w:p>
        </w:tc>
        <w:tc>
          <w:tcPr>
            <w:tcW w:w="7176" w:type="dxa"/>
            <w:gridSpan w:val="8"/>
            <w:shd w:val="clear" w:color="auto" w:fill="auto"/>
            <w:vAlign w:val="center"/>
          </w:tcPr>
          <w:p>
            <w:pPr>
              <w:autoSpaceDE w:val="0"/>
              <w:autoSpaceDN w:val="0"/>
              <w:jc w:val="center"/>
              <w:rPr>
                <w:rFonts w:hint="eastAsia" w:ascii="宋体" w:hAnsi="宋体" w:eastAsia="宋体" w:cs="宋体"/>
                <w:color w:val="auto"/>
                <w:kern w:val="0"/>
                <w:sz w:val="25"/>
                <w:szCs w:val="22"/>
              </w:rPr>
            </w:pPr>
          </w:p>
          <w:p>
            <w:pPr>
              <w:tabs>
                <w:tab w:val="left" w:pos="3790"/>
                <w:tab w:val="left" w:pos="5050"/>
              </w:tabs>
              <w:autoSpaceDE w:val="0"/>
              <w:autoSpaceDN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类型：                </w:t>
            </w:r>
            <w:r>
              <w:rPr>
                <w:rFonts w:hint="eastAsia" w:ascii="宋体" w:hAnsi="宋体" w:eastAsia="宋体" w:cs="宋体"/>
                <w:color w:val="auto"/>
                <w:spacing w:val="-3"/>
                <w:kern w:val="0"/>
                <w:sz w:val="22"/>
                <w:szCs w:val="22"/>
              </w:rPr>
              <w:t>等</w:t>
            </w:r>
            <w:r>
              <w:rPr>
                <w:rFonts w:hint="eastAsia" w:ascii="宋体" w:hAnsi="宋体" w:eastAsia="宋体" w:cs="宋体"/>
                <w:color w:val="auto"/>
                <w:kern w:val="0"/>
                <w:sz w:val="22"/>
                <w:szCs w:val="22"/>
              </w:rPr>
              <w:t>级：</w:t>
            </w:r>
            <w:r>
              <w:rPr>
                <w:rFonts w:hint="eastAsia" w:ascii="宋体" w:hAnsi="宋体" w:eastAsia="宋体" w:cs="宋体"/>
                <w:color w:val="auto"/>
                <w:kern w:val="0"/>
                <w:sz w:val="22"/>
                <w:szCs w:val="22"/>
              </w:rPr>
              <w:tab/>
            </w:r>
            <w:r>
              <w:rPr>
                <w:rFonts w:hint="eastAsia" w:ascii="宋体" w:hAnsi="宋体" w:eastAsia="宋体" w:cs="宋体"/>
                <w:color w:val="auto"/>
                <w:spacing w:val="-3"/>
                <w:kern w:val="0"/>
                <w:sz w:val="22"/>
                <w:szCs w:val="22"/>
              </w:rPr>
              <w:t>证</w:t>
            </w:r>
            <w:r>
              <w:rPr>
                <w:rFonts w:hint="eastAsia" w:ascii="宋体" w:hAnsi="宋体" w:eastAsia="宋体" w:cs="宋体"/>
                <w:color w:val="auto"/>
                <w:kern w:val="0"/>
                <w:sz w:val="22"/>
                <w:szCs w:val="22"/>
              </w:rPr>
              <w:t>书</w:t>
            </w:r>
            <w:r>
              <w:rPr>
                <w:rFonts w:hint="eastAsia" w:ascii="宋体" w:hAnsi="宋体" w:eastAsia="宋体" w:cs="宋体"/>
                <w:color w:val="auto"/>
                <w:spacing w:val="-3"/>
                <w:kern w:val="0"/>
                <w:sz w:val="22"/>
                <w:szCs w:val="22"/>
              </w:rPr>
              <w:t>号</w:t>
            </w:r>
            <w:r>
              <w:rPr>
                <w:rFonts w:hint="eastAsia" w:ascii="宋体" w:hAnsi="宋体" w:eastAsia="宋体" w:cs="宋体"/>
                <w:color w:val="auto"/>
                <w:kern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sz w:val="22"/>
                <w:szCs w:val="22"/>
              </w:rPr>
              <w:t>统一社会信用代码</w:t>
            </w:r>
          </w:p>
        </w:tc>
        <w:tc>
          <w:tcPr>
            <w:tcW w:w="3368" w:type="dxa"/>
            <w:gridSpan w:val="3"/>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3808" w:type="dxa"/>
            <w:gridSpan w:val="5"/>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注册资本</w:t>
            </w:r>
          </w:p>
        </w:tc>
        <w:tc>
          <w:tcPr>
            <w:tcW w:w="3368" w:type="dxa"/>
            <w:gridSpan w:val="3"/>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434" w:type="dxa"/>
            <w:vMerge w:val="restart"/>
            <w:shd w:val="clear" w:color="auto" w:fill="auto"/>
            <w:vAlign w:val="center"/>
          </w:tcPr>
          <w:p>
            <w:pPr>
              <w:autoSpaceDE w:val="0"/>
              <w:autoSpaceDN w:val="0"/>
              <w:spacing w:line="384" w:lineRule="auto"/>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其中</w:t>
            </w:r>
          </w:p>
        </w:tc>
        <w:tc>
          <w:tcPr>
            <w:tcW w:w="1781" w:type="dxa"/>
            <w:gridSpan w:val="2"/>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高级职称人员</w:t>
            </w:r>
          </w:p>
        </w:tc>
        <w:tc>
          <w:tcPr>
            <w:tcW w:w="1593" w:type="dxa"/>
            <w:gridSpan w:val="2"/>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成立日期</w:t>
            </w:r>
          </w:p>
        </w:tc>
        <w:tc>
          <w:tcPr>
            <w:tcW w:w="3368" w:type="dxa"/>
            <w:gridSpan w:val="3"/>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434" w:type="dxa"/>
            <w:vMerge w:val="continue"/>
            <w:tcBorders>
              <w:top w:val="nil"/>
            </w:tcBorders>
            <w:shd w:val="clear" w:color="auto" w:fill="auto"/>
            <w:vAlign w:val="center"/>
          </w:tcPr>
          <w:p>
            <w:pPr>
              <w:autoSpaceDE w:val="0"/>
              <w:autoSpaceDN w:val="0"/>
              <w:jc w:val="center"/>
              <w:rPr>
                <w:rFonts w:hint="eastAsia" w:ascii="宋体" w:hAnsi="宋体" w:eastAsia="宋体" w:cs="宋体"/>
                <w:color w:val="auto"/>
                <w:kern w:val="0"/>
                <w:sz w:val="2"/>
                <w:szCs w:val="2"/>
                <w:lang w:eastAsia="en-US"/>
              </w:rPr>
            </w:pPr>
          </w:p>
        </w:tc>
        <w:tc>
          <w:tcPr>
            <w:tcW w:w="1781" w:type="dxa"/>
            <w:gridSpan w:val="2"/>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中级职称人员</w:t>
            </w:r>
          </w:p>
        </w:tc>
        <w:tc>
          <w:tcPr>
            <w:tcW w:w="1593" w:type="dxa"/>
            <w:gridSpan w:val="2"/>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基本账户开户银行</w:t>
            </w:r>
          </w:p>
        </w:tc>
        <w:tc>
          <w:tcPr>
            <w:tcW w:w="3368" w:type="dxa"/>
            <w:gridSpan w:val="3"/>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434" w:type="dxa"/>
            <w:vMerge w:val="continue"/>
            <w:tcBorders>
              <w:top w:val="nil"/>
            </w:tcBorders>
            <w:shd w:val="clear" w:color="auto" w:fill="auto"/>
            <w:vAlign w:val="center"/>
          </w:tcPr>
          <w:p>
            <w:pPr>
              <w:autoSpaceDE w:val="0"/>
              <w:autoSpaceDN w:val="0"/>
              <w:jc w:val="center"/>
              <w:rPr>
                <w:rFonts w:hint="eastAsia" w:ascii="宋体" w:hAnsi="宋体" w:eastAsia="宋体" w:cs="宋体"/>
                <w:color w:val="auto"/>
                <w:kern w:val="0"/>
                <w:sz w:val="2"/>
                <w:szCs w:val="2"/>
                <w:lang w:eastAsia="en-US"/>
              </w:rPr>
            </w:pPr>
          </w:p>
        </w:tc>
        <w:tc>
          <w:tcPr>
            <w:tcW w:w="1781" w:type="dxa"/>
            <w:gridSpan w:val="2"/>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技术人员数量</w:t>
            </w:r>
          </w:p>
        </w:tc>
        <w:tc>
          <w:tcPr>
            <w:tcW w:w="1593" w:type="dxa"/>
            <w:gridSpan w:val="2"/>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基本账户银行账号</w:t>
            </w:r>
          </w:p>
        </w:tc>
        <w:tc>
          <w:tcPr>
            <w:tcW w:w="3368" w:type="dxa"/>
            <w:gridSpan w:val="3"/>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c>
          <w:tcPr>
            <w:tcW w:w="434" w:type="dxa"/>
            <w:vMerge w:val="continue"/>
            <w:tcBorders>
              <w:top w:val="nil"/>
            </w:tcBorders>
            <w:shd w:val="clear" w:color="auto" w:fill="auto"/>
            <w:vAlign w:val="center"/>
          </w:tcPr>
          <w:p>
            <w:pPr>
              <w:autoSpaceDE w:val="0"/>
              <w:autoSpaceDN w:val="0"/>
              <w:jc w:val="center"/>
              <w:rPr>
                <w:rFonts w:hint="eastAsia" w:ascii="宋体" w:hAnsi="宋体" w:eastAsia="宋体" w:cs="宋体"/>
                <w:color w:val="auto"/>
                <w:kern w:val="0"/>
                <w:sz w:val="2"/>
                <w:szCs w:val="2"/>
                <w:lang w:eastAsia="en-US"/>
              </w:rPr>
            </w:pPr>
          </w:p>
        </w:tc>
        <w:tc>
          <w:tcPr>
            <w:tcW w:w="1781" w:type="dxa"/>
            <w:gridSpan w:val="2"/>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各类注册人员</w:t>
            </w:r>
          </w:p>
        </w:tc>
        <w:tc>
          <w:tcPr>
            <w:tcW w:w="1593" w:type="dxa"/>
            <w:gridSpan w:val="2"/>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经营范围</w:t>
            </w:r>
          </w:p>
        </w:tc>
        <w:tc>
          <w:tcPr>
            <w:tcW w:w="7176" w:type="dxa"/>
            <w:gridSpan w:val="8"/>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143" w:type="dxa"/>
            <w:shd w:val="clear" w:color="auto" w:fill="auto"/>
            <w:vAlign w:val="center"/>
          </w:tcPr>
          <w:p>
            <w:pPr>
              <w:autoSpaceDE w:val="0"/>
              <w:autoSpaceDN w:val="0"/>
              <w:jc w:val="center"/>
              <w:rPr>
                <w:rFonts w:hint="eastAsia" w:ascii="宋体" w:hAnsi="宋体" w:eastAsia="宋体" w:cs="宋体"/>
                <w:color w:val="auto"/>
                <w:kern w:val="0"/>
                <w:sz w:val="22"/>
                <w:szCs w:val="22"/>
                <w:lang w:eastAsia="en-US"/>
              </w:rPr>
            </w:pPr>
            <w:r>
              <w:rPr>
                <w:rFonts w:hint="eastAsia" w:ascii="宋体" w:hAnsi="宋体" w:eastAsia="宋体" w:cs="宋体"/>
                <w:color w:val="auto"/>
                <w:kern w:val="0"/>
                <w:sz w:val="22"/>
                <w:szCs w:val="22"/>
                <w:lang w:eastAsia="en-US"/>
              </w:rPr>
              <w:t>备注</w:t>
            </w:r>
          </w:p>
        </w:tc>
        <w:tc>
          <w:tcPr>
            <w:tcW w:w="7176" w:type="dxa"/>
            <w:gridSpan w:val="8"/>
            <w:shd w:val="clear" w:color="auto" w:fill="auto"/>
            <w:vAlign w:val="center"/>
          </w:tcPr>
          <w:p>
            <w:pPr>
              <w:autoSpaceDE w:val="0"/>
              <w:autoSpaceDN w:val="0"/>
              <w:jc w:val="center"/>
              <w:rPr>
                <w:rFonts w:hint="eastAsia" w:ascii="宋体" w:hAnsi="宋体" w:eastAsia="宋体" w:cs="宋体"/>
                <w:color w:val="auto"/>
                <w:kern w:val="0"/>
                <w:sz w:val="20"/>
                <w:szCs w:val="22"/>
                <w:lang w:eastAsia="en-US"/>
              </w:rPr>
            </w:pPr>
          </w:p>
        </w:tc>
      </w:tr>
    </w:tbl>
    <w:p>
      <w:pPr>
        <w:spacing w:line="360" w:lineRule="auto"/>
        <w:jc w:val="center"/>
        <w:rPr>
          <w:rFonts w:hint="eastAsia" w:ascii="宋体" w:hAnsi="宋体" w:eastAsia="宋体" w:cs="宋体"/>
          <w:color w:val="auto"/>
          <w:szCs w:val="21"/>
        </w:rPr>
      </w:pPr>
    </w:p>
    <w:p>
      <w:pPr>
        <w:widowControl/>
        <w:jc w:val="left"/>
        <w:rPr>
          <w:rFonts w:hint="eastAsia" w:ascii="宋体" w:hAnsi="宋体" w:eastAsia="宋体" w:cs="宋体"/>
          <w:color w:val="auto"/>
          <w:szCs w:val="21"/>
        </w:rPr>
      </w:pPr>
      <w:r>
        <w:rPr>
          <w:rFonts w:hint="eastAsia" w:ascii="宋体" w:hAnsi="宋体" w:eastAsia="宋体" w:cs="宋体"/>
          <w:color w:val="auto"/>
          <w:szCs w:val="21"/>
        </w:rPr>
        <w:br w:type="page"/>
      </w:r>
    </w:p>
    <w:p>
      <w:pPr>
        <w:pStyle w:val="4"/>
        <w:jc w:val="center"/>
        <w:outlineLvl w:val="0"/>
        <w:rPr>
          <w:rFonts w:hint="eastAsia" w:ascii="宋体" w:hAnsi="宋体" w:eastAsia="宋体" w:cs="宋体"/>
          <w:color w:val="auto"/>
        </w:rPr>
      </w:pPr>
      <w:bookmarkStart w:id="672" w:name="_Toc22420"/>
      <w:bookmarkStart w:id="673" w:name="_Toc16537"/>
      <w:bookmarkStart w:id="674" w:name="_Toc21090"/>
      <w:bookmarkStart w:id="675" w:name="_Toc4508"/>
      <w:bookmarkStart w:id="676" w:name="_Toc57820661"/>
      <w:bookmarkStart w:id="677" w:name="_Toc509218863"/>
      <w:bookmarkStart w:id="678" w:name="_Toc534185840"/>
      <w:r>
        <w:rPr>
          <w:rFonts w:hint="eastAsia" w:ascii="宋体" w:hAnsi="宋体" w:eastAsia="宋体" w:cs="宋体"/>
          <w:color w:val="auto"/>
          <w:szCs w:val="22"/>
          <w:lang w:val="en-US" w:eastAsia="zh-CN"/>
        </w:rPr>
        <w:t>五</w:t>
      </w:r>
      <w:r>
        <w:rPr>
          <w:rFonts w:hint="eastAsia" w:ascii="宋体" w:hAnsi="宋体" w:eastAsia="宋体" w:cs="宋体"/>
          <w:color w:val="auto"/>
          <w:szCs w:val="22"/>
        </w:rPr>
        <w:t>、类似业绩情况表</w:t>
      </w:r>
      <w:bookmarkEnd w:id="672"/>
      <w:bookmarkEnd w:id="673"/>
      <w:bookmarkEnd w:id="674"/>
      <w:bookmarkEnd w:id="675"/>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700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发包人名称</w:t>
            </w:r>
          </w:p>
        </w:tc>
        <w:tc>
          <w:tcPr>
            <w:tcW w:w="700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发包人地址</w:t>
            </w:r>
          </w:p>
        </w:tc>
        <w:tc>
          <w:tcPr>
            <w:tcW w:w="700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发包人电话</w:t>
            </w:r>
          </w:p>
        </w:tc>
        <w:tc>
          <w:tcPr>
            <w:tcW w:w="700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合同价格（如有）</w:t>
            </w:r>
          </w:p>
        </w:tc>
        <w:tc>
          <w:tcPr>
            <w:tcW w:w="700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合同期限</w:t>
            </w:r>
          </w:p>
        </w:tc>
        <w:tc>
          <w:tcPr>
            <w:tcW w:w="700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承担的工作</w:t>
            </w:r>
          </w:p>
        </w:tc>
        <w:tc>
          <w:tcPr>
            <w:tcW w:w="700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项目描述</w:t>
            </w:r>
          </w:p>
        </w:tc>
        <w:tc>
          <w:tcPr>
            <w:tcW w:w="700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00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hint="eastAsia" w:ascii="宋体" w:hAnsi="宋体" w:eastAsia="宋体" w:cs="宋体"/>
                <w:color w:val="auto"/>
                <w:szCs w:val="21"/>
              </w:rPr>
            </w:pPr>
          </w:p>
        </w:tc>
      </w:tr>
    </w:tbl>
    <w:p>
      <w:pPr>
        <w:rPr>
          <w:rFonts w:hint="eastAsia" w:ascii="宋体" w:hAnsi="宋体" w:eastAsia="宋体" w:cs="宋体"/>
          <w:color w:val="auto"/>
        </w:rPr>
      </w:pPr>
    </w:p>
    <w:p>
      <w:pPr>
        <w:widowControl/>
        <w:jc w:val="left"/>
        <w:rPr>
          <w:rFonts w:hint="eastAsia" w:ascii="宋体" w:hAnsi="宋体" w:eastAsia="宋体" w:cs="宋体"/>
          <w:b/>
          <w:color w:val="auto"/>
          <w:spacing w:val="1"/>
          <w:w w:val="99"/>
          <w:sz w:val="28"/>
          <w:szCs w:val="22"/>
        </w:rPr>
      </w:pPr>
      <w:r>
        <w:rPr>
          <w:rFonts w:hint="eastAsia" w:ascii="宋体" w:hAnsi="宋体" w:eastAsia="宋体" w:cs="宋体"/>
          <w:color w:val="auto"/>
          <w:szCs w:val="22"/>
        </w:rPr>
        <w:br w:type="page"/>
      </w:r>
    </w:p>
    <w:bookmarkEnd w:id="670"/>
    <w:bookmarkEnd w:id="671"/>
    <w:bookmarkEnd w:id="676"/>
    <w:bookmarkEnd w:id="677"/>
    <w:bookmarkEnd w:id="678"/>
    <w:p>
      <w:pPr>
        <w:pStyle w:val="4"/>
        <w:jc w:val="center"/>
        <w:outlineLvl w:val="0"/>
        <w:rPr>
          <w:rFonts w:hint="eastAsia" w:ascii="宋体" w:hAnsi="宋体" w:eastAsia="宋体" w:cs="宋体"/>
          <w:color w:val="auto"/>
          <w:szCs w:val="22"/>
        </w:rPr>
      </w:pPr>
      <w:bookmarkStart w:id="679" w:name="_Toc30322"/>
      <w:bookmarkStart w:id="680" w:name="_Toc9368"/>
      <w:bookmarkStart w:id="681" w:name="_Toc8568"/>
      <w:bookmarkStart w:id="682" w:name="_Toc20230"/>
      <w:bookmarkStart w:id="683" w:name="_Toc20582"/>
      <w:r>
        <w:rPr>
          <w:rFonts w:hint="eastAsia" w:ascii="宋体" w:hAnsi="宋体" w:eastAsia="宋体" w:cs="宋体"/>
          <w:color w:val="auto"/>
          <w:szCs w:val="22"/>
          <w:lang w:val="en-US" w:eastAsia="zh-CN"/>
        </w:rPr>
        <w:t>六</w:t>
      </w:r>
      <w:r>
        <w:rPr>
          <w:rFonts w:hint="eastAsia" w:ascii="宋体" w:hAnsi="宋体" w:eastAsia="宋体" w:cs="宋体"/>
          <w:color w:val="auto"/>
          <w:szCs w:val="22"/>
        </w:rPr>
        <w:t>、</w:t>
      </w:r>
      <w:bookmarkEnd w:id="679"/>
      <w:r>
        <w:rPr>
          <w:rFonts w:hint="eastAsia" w:ascii="宋体" w:hAnsi="宋体" w:eastAsia="宋体" w:cs="宋体"/>
          <w:color w:val="auto"/>
          <w:szCs w:val="22"/>
        </w:rPr>
        <w:t>承诺</w:t>
      </w:r>
      <w:bookmarkEnd w:id="680"/>
      <w:bookmarkEnd w:id="681"/>
      <w:bookmarkEnd w:id="682"/>
      <w:bookmarkEnd w:id="683"/>
    </w:p>
    <w:p>
      <w:pPr>
        <w:snapToGrid w:val="0"/>
        <w:spacing w:line="500" w:lineRule="exac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（比选人名称）</w:t>
      </w:r>
      <w:r>
        <w:rPr>
          <w:rFonts w:hint="eastAsia" w:ascii="宋体" w:hAnsi="宋体" w:eastAsia="宋体" w:cs="宋体"/>
          <w:color w:val="auto"/>
          <w:szCs w:val="21"/>
        </w:rPr>
        <w:t>：</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w:t>
      </w:r>
      <w:r>
        <w:rPr>
          <w:rFonts w:hint="eastAsia" w:ascii="宋体" w:hAnsi="宋体" w:eastAsia="宋体" w:cs="宋体"/>
          <w:color w:val="auto"/>
          <w:szCs w:val="21"/>
          <w:u w:val="single"/>
        </w:rPr>
        <w:t xml:space="preserve">        （竞选人名称）</w:t>
      </w:r>
      <w:r>
        <w:rPr>
          <w:rFonts w:hint="eastAsia" w:ascii="宋体" w:hAnsi="宋体" w:eastAsia="宋体" w:cs="宋体"/>
          <w:color w:val="auto"/>
          <w:szCs w:val="21"/>
        </w:rPr>
        <w:t>参加了贵单位</w:t>
      </w:r>
      <w:r>
        <w:rPr>
          <w:rFonts w:hint="eastAsia" w:ascii="宋体" w:hAnsi="宋体" w:eastAsia="宋体" w:cs="宋体"/>
          <w:color w:val="auto"/>
          <w:szCs w:val="21"/>
          <w:u w:val="single"/>
        </w:rPr>
        <w:t xml:space="preserve">        （项目名称）</w:t>
      </w:r>
      <w:r>
        <w:rPr>
          <w:rFonts w:hint="eastAsia" w:ascii="宋体" w:hAnsi="宋体" w:eastAsia="宋体" w:cs="宋体"/>
          <w:color w:val="auto"/>
          <w:szCs w:val="21"/>
        </w:rPr>
        <w:t>的比选，自愿作出以下承诺：</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1.我公司竞选截止日不存在下列情形之一：</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⑴被人民法院列入失信被执行人名单且在被执行期内；</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⑵被国家、重庆市（含市或任意区县）有关行政部门处以暂停投标资格行政处罚，且在处罚期限内；</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我公司在资格审查部分中提供的相关证明材料真实有效，不存在弄虚作假情形。比选人在合同签订前均有权对我司提供的资料进行核实，若发现弄虚作假，取消中选资格，并按相关法律法规报招标投标监督部门处理，竞选保证金不予退还，我司自愿承担因此造成的相关责任并赔偿相应损失。</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3.我公司不存在第二章竞选人须知第 1.4.3 项规定的任何一种情形。</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4.我公司的竞选文件符合第二章竞选人须知第 1.3.1项的规定。</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5.我公司的竞选文件符合第四章合同条款及格式规定，竞选文件中没有比选人不能接受的条件。</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6.我公司的竞选文件满足第二章竞选人须知全部要求，竞选文件中没有比选人不能接受的条件。</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7.我公司的竞选文件件符合第</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章 技术标准和要求。</w:t>
      </w:r>
    </w:p>
    <w:p>
      <w:pPr>
        <w:adjustRightInd w:val="0"/>
        <w:snapToGrid w:val="0"/>
        <w:spacing w:line="480" w:lineRule="auto"/>
        <w:ind w:firstLine="420"/>
        <w:jc w:val="center"/>
        <w:rPr>
          <w:rFonts w:hint="eastAsia" w:ascii="宋体" w:hAnsi="宋体" w:eastAsia="宋体" w:cs="宋体"/>
          <w:color w:val="auto"/>
          <w:szCs w:val="21"/>
        </w:rPr>
      </w:pPr>
      <w:r>
        <w:rPr>
          <w:rFonts w:hint="eastAsia" w:ascii="宋体" w:hAnsi="宋体" w:eastAsia="宋体" w:cs="宋体"/>
          <w:color w:val="auto"/>
          <w:szCs w:val="21"/>
        </w:rPr>
        <w:t xml:space="preserve">                               </w:t>
      </w:r>
    </w:p>
    <w:p>
      <w:pPr>
        <w:adjustRightInd w:val="0"/>
        <w:snapToGrid w:val="0"/>
        <w:spacing w:line="480" w:lineRule="auto"/>
        <w:ind w:firstLine="420"/>
        <w:jc w:val="center"/>
        <w:rPr>
          <w:rFonts w:hint="eastAsia" w:ascii="宋体" w:hAnsi="宋体" w:eastAsia="宋体" w:cs="宋体"/>
          <w:color w:val="auto"/>
          <w:szCs w:val="21"/>
        </w:rPr>
      </w:pPr>
    </w:p>
    <w:p>
      <w:pPr>
        <w:adjustRightInd w:val="0"/>
        <w:snapToGrid w:val="0"/>
        <w:spacing w:line="480" w:lineRule="auto"/>
        <w:ind w:firstLine="420"/>
        <w:jc w:val="right"/>
        <w:rPr>
          <w:rFonts w:hint="eastAsia" w:ascii="宋体" w:hAnsi="宋体" w:eastAsia="宋体" w:cs="宋体"/>
          <w:color w:val="auto"/>
          <w:szCs w:val="21"/>
        </w:rPr>
      </w:pPr>
      <w:r>
        <w:rPr>
          <w:rFonts w:hint="eastAsia" w:ascii="宋体" w:hAnsi="宋体" w:eastAsia="宋体" w:cs="宋体"/>
          <w:color w:val="auto"/>
          <w:szCs w:val="21"/>
        </w:rPr>
        <w:t>竞选人：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（盖单位法人章）</w:t>
      </w:r>
    </w:p>
    <w:p>
      <w:pPr>
        <w:adjustRightInd w:val="0"/>
        <w:snapToGrid w:val="0"/>
        <w:spacing w:line="480" w:lineRule="auto"/>
        <w:ind w:firstLine="420"/>
        <w:jc w:val="center"/>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pStyle w:val="4"/>
        <w:numPr>
          <w:ilvl w:val="0"/>
          <w:numId w:val="0"/>
        </w:numPr>
        <w:jc w:val="center"/>
        <w:outlineLvl w:val="0"/>
        <w:rPr>
          <w:rFonts w:hint="eastAsia" w:ascii="宋体" w:hAnsi="宋体" w:eastAsia="宋体" w:cs="宋体"/>
          <w:color w:val="auto"/>
          <w:szCs w:val="22"/>
        </w:rPr>
      </w:pPr>
      <w:r>
        <w:rPr>
          <w:rFonts w:hint="eastAsia" w:ascii="宋体" w:hAnsi="宋体" w:eastAsia="宋体" w:cs="宋体"/>
          <w:color w:val="auto"/>
          <w:szCs w:val="21"/>
        </w:rPr>
        <w:br w:type="page"/>
      </w:r>
      <w:bookmarkEnd w:id="664"/>
      <w:bookmarkStart w:id="684" w:name="_bookmark173"/>
      <w:bookmarkEnd w:id="684"/>
      <w:bookmarkStart w:id="685" w:name="_Toc9055"/>
      <w:bookmarkStart w:id="686" w:name="_Toc22991"/>
      <w:bookmarkStart w:id="687" w:name="_Toc22880"/>
      <w:bookmarkStart w:id="688" w:name="_Toc23927"/>
      <w:bookmarkStart w:id="689" w:name="_Toc10675"/>
      <w:bookmarkStart w:id="690" w:name="_Toc22364"/>
      <w:bookmarkStart w:id="691" w:name="_Toc2758"/>
      <w:bookmarkStart w:id="692" w:name="_Toc1725865"/>
      <w:bookmarkStart w:id="693" w:name="_Toc2955727"/>
      <w:bookmarkStart w:id="694" w:name="_Toc9169"/>
      <w:bookmarkStart w:id="695" w:name="_Toc1725787"/>
      <w:r>
        <w:rPr>
          <w:rFonts w:hint="eastAsia" w:ascii="宋体" w:hAnsi="宋体" w:eastAsia="宋体" w:cs="宋体"/>
          <w:color w:val="auto"/>
          <w:szCs w:val="21"/>
          <w:lang w:val="en-US" w:eastAsia="zh-CN"/>
        </w:rPr>
        <w:t>七、</w:t>
      </w:r>
      <w:r>
        <w:rPr>
          <w:rFonts w:hint="eastAsia" w:ascii="宋体" w:hAnsi="宋体" w:eastAsia="宋体" w:cs="宋体"/>
          <w:color w:val="auto"/>
          <w:szCs w:val="22"/>
          <w:lang w:val="en-US" w:eastAsia="zh-CN"/>
        </w:rPr>
        <w:t>技术部分</w:t>
      </w:r>
      <w:bookmarkEnd w:id="685"/>
      <w:bookmarkEnd w:id="686"/>
      <w:bookmarkEnd w:id="687"/>
      <w:bookmarkEnd w:id="688"/>
    </w:p>
    <w:p>
      <w:pPr>
        <w:pStyle w:val="155"/>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竞选人自行编制，格式自拟</w:t>
      </w:r>
      <w:r>
        <w:rPr>
          <w:rFonts w:hint="eastAsia" w:ascii="宋体" w:hAnsi="宋体" w:eastAsia="宋体" w:cs="宋体"/>
          <w:snapToGrid w:val="0"/>
          <w:color w:val="auto"/>
        </w:rPr>
        <w:t>，</w:t>
      </w:r>
      <w:r>
        <w:rPr>
          <w:rFonts w:hint="eastAsia" w:ascii="宋体" w:hAnsi="宋体" w:eastAsia="宋体" w:cs="宋体"/>
          <w:snapToGrid w:val="0"/>
          <w:color w:val="auto"/>
          <w:lang w:val="en-US" w:eastAsia="zh-CN"/>
        </w:rPr>
        <w:t>原则上</w:t>
      </w:r>
      <w:r>
        <w:rPr>
          <w:rFonts w:hint="eastAsia" w:ascii="宋体" w:hAnsi="宋体" w:eastAsia="宋体" w:cs="宋体"/>
          <w:snapToGrid w:val="0"/>
          <w:color w:val="auto"/>
        </w:rPr>
        <w:t>不超过200页。</w:t>
      </w:r>
    </w:p>
    <w:p>
      <w:pPr>
        <w:widowControl/>
        <w:jc w:val="left"/>
        <w:rPr>
          <w:rFonts w:hint="eastAsia" w:ascii="宋体" w:hAnsi="宋体" w:eastAsia="宋体" w:cs="宋体"/>
          <w:b/>
          <w:color w:val="auto"/>
          <w:spacing w:val="1"/>
          <w:w w:val="99"/>
          <w:sz w:val="28"/>
          <w:szCs w:val="22"/>
        </w:rPr>
      </w:pPr>
      <w:r>
        <w:rPr>
          <w:rFonts w:hint="eastAsia" w:ascii="宋体" w:hAnsi="宋体" w:eastAsia="宋体" w:cs="宋体"/>
          <w:color w:val="auto"/>
          <w:szCs w:val="22"/>
        </w:rPr>
        <w:br w:type="page"/>
      </w:r>
    </w:p>
    <w:p>
      <w:pPr>
        <w:pStyle w:val="4"/>
        <w:jc w:val="center"/>
        <w:outlineLvl w:val="0"/>
        <w:rPr>
          <w:rFonts w:hint="eastAsia" w:ascii="宋体" w:hAnsi="宋体" w:eastAsia="宋体" w:cs="宋体"/>
          <w:color w:val="auto"/>
          <w:szCs w:val="22"/>
        </w:rPr>
      </w:pPr>
      <w:bookmarkStart w:id="696" w:name="_Toc20681"/>
      <w:bookmarkStart w:id="697" w:name="_Toc7201"/>
      <w:bookmarkStart w:id="698" w:name="_Toc17639"/>
      <w:bookmarkStart w:id="699" w:name="_Toc1696"/>
      <w:r>
        <w:rPr>
          <w:rFonts w:hint="eastAsia" w:ascii="宋体" w:hAnsi="宋体" w:eastAsia="宋体" w:cs="宋体"/>
          <w:color w:val="auto"/>
          <w:szCs w:val="22"/>
          <w:lang w:val="en-US" w:eastAsia="zh-CN"/>
        </w:rPr>
        <w:t>八</w:t>
      </w:r>
      <w:r>
        <w:rPr>
          <w:rFonts w:hint="eastAsia" w:ascii="宋体" w:hAnsi="宋体" w:eastAsia="宋体" w:cs="宋体"/>
          <w:color w:val="auto"/>
          <w:szCs w:val="22"/>
        </w:rPr>
        <w:t>、其他资料</w:t>
      </w:r>
      <w:bookmarkEnd w:id="689"/>
      <w:bookmarkEnd w:id="690"/>
      <w:bookmarkEnd w:id="691"/>
      <w:bookmarkEnd w:id="692"/>
      <w:bookmarkEnd w:id="693"/>
      <w:bookmarkEnd w:id="694"/>
      <w:bookmarkEnd w:id="695"/>
      <w:bookmarkEnd w:id="696"/>
      <w:bookmarkEnd w:id="697"/>
      <w:bookmarkEnd w:id="698"/>
      <w:bookmarkEnd w:id="699"/>
    </w:p>
    <w:p>
      <w:pPr>
        <w:pStyle w:val="155"/>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竞选人认为有必要提供的其他资料，格式自拟</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1.竞选保证金</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竞选保证金及</w:t>
      </w:r>
      <w:r>
        <w:rPr>
          <w:rFonts w:hint="eastAsia" w:ascii="宋体" w:hAnsi="宋体" w:eastAsia="宋体" w:cs="宋体"/>
          <w:color w:val="auto"/>
          <w:szCs w:val="21"/>
        </w:rPr>
        <w:t>企业基本账户开户证明文件复印件。</w:t>
      </w:r>
    </w:p>
    <w:p>
      <w:pPr>
        <w:spacing w:line="360" w:lineRule="auto"/>
        <w:ind w:firstLine="420" w:firstLineChars="200"/>
        <w:rPr>
          <w:rFonts w:hint="eastAsia" w:ascii="宋体" w:hAnsi="宋体" w:eastAsia="宋体" w:cs="宋体"/>
          <w:color w:val="auto"/>
          <w:szCs w:val="21"/>
          <w:lang w:val="en-US" w:eastAsia="zh-CN"/>
        </w:rPr>
      </w:pPr>
    </w:p>
    <w:p>
      <w:pPr>
        <w:spacing w:line="360" w:lineRule="auto"/>
        <w:ind w:firstLine="420" w:firstLineChars="200"/>
        <w:rPr>
          <w:rFonts w:hint="eastAsia" w:ascii="宋体" w:hAnsi="宋体" w:eastAsia="宋体" w:cs="宋体"/>
          <w:color w:val="auto"/>
          <w:szCs w:val="21"/>
          <w:lang w:val="en-US" w:eastAsia="zh-CN"/>
        </w:rPr>
      </w:pPr>
    </w:p>
    <w:p>
      <w:pPr>
        <w:spacing w:line="360" w:lineRule="auto"/>
        <w:ind w:firstLine="420" w:firstLineChars="200"/>
        <w:rPr>
          <w:rFonts w:hint="eastAsia" w:ascii="宋体" w:hAnsi="宋体" w:eastAsia="宋体" w:cs="宋体"/>
          <w:color w:val="auto"/>
          <w:szCs w:val="21"/>
          <w:lang w:val="en-US" w:eastAsia="zh-CN"/>
        </w:rPr>
      </w:pPr>
    </w:p>
    <w:p>
      <w:pPr>
        <w:spacing w:line="360" w:lineRule="auto"/>
        <w:ind w:firstLine="420" w:firstLineChars="200"/>
        <w:rPr>
          <w:rFonts w:hint="eastAsia" w:ascii="宋体" w:hAnsi="宋体" w:eastAsia="宋体" w:cs="宋体"/>
          <w:color w:val="auto"/>
          <w:szCs w:val="21"/>
          <w:lang w:val="en-US" w:eastAsia="zh-CN"/>
        </w:rPr>
      </w:pPr>
    </w:p>
    <w:p>
      <w:pPr>
        <w:spacing w:line="360" w:lineRule="auto"/>
        <w:ind w:firstLine="420" w:firstLineChars="200"/>
        <w:rPr>
          <w:rFonts w:hint="eastAsia" w:ascii="宋体" w:hAnsi="宋体" w:eastAsia="宋体" w:cs="宋体"/>
          <w:color w:val="auto"/>
          <w:szCs w:val="21"/>
          <w:lang w:val="en-US" w:eastAsia="zh-CN"/>
        </w:rPr>
      </w:pPr>
    </w:p>
    <w:p>
      <w:pPr>
        <w:spacing w:line="360" w:lineRule="auto"/>
        <w:ind w:firstLine="420" w:firstLineChars="200"/>
        <w:rPr>
          <w:rFonts w:hint="eastAsia" w:ascii="宋体" w:hAnsi="宋体" w:eastAsia="宋体" w:cs="宋体"/>
          <w:color w:val="auto"/>
          <w:szCs w:val="21"/>
          <w:lang w:val="en-US" w:eastAsia="zh-CN"/>
        </w:rPr>
      </w:pP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sectPr>
      <w:pgSz w:w="11906" w:h="16838"/>
      <w:pgMar w:top="1247" w:right="1134" w:bottom="1247"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rPr>
        <w:i/>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2"/>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US/M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S86MaGnhp+/fTj9+&#10;nX5+ZYsgT2ddRll3lvJ8/wp6Mk2k6uwtyM+OGbiphdmpa0ToaiVKGi8Nlcm90gHHBZCiewsl9RF7&#10;DxGor7AN2pEajNBpNcfzalTvmQwt0+XLCxpR0lV6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9RL8w4CAAAQBAAADgAAAAAAAAABACAAAAAf&#10;AQAAZHJzL2Uyb0RvYy54bWxQSwUGAAAAAAYABgBZAQAAnwUAAAAA&#10;">
              <v:fill on="f" focussize="0,0"/>
              <v:stroke on="f"/>
              <v:imagedata o:title=""/>
              <o:lock v:ext="edit" aspectratio="f"/>
              <v:textbox inset="0mm,0mm,0mm,0mm" style="mso-fit-shape-to-text:t;">
                <w:txbxContent>
                  <w:p>
                    <w:pPr>
                      <w:pStyle w:val="32"/>
                    </w:pPr>
                  </w:p>
                </w:txbxContent>
              </v:textbox>
            </v:shape>
          </w:pict>
        </mc:Fallback>
      </mc:AlternateContent>
    </w:r>
    <w:r>
      <w:rPr>
        <w: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2"/>
                            <w:jc w:val="both"/>
                            <w:rPr>
                              <w:rStyle w:val="53"/>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rLQRAgAAEw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suALzoxo6cFP37+dfvw6&#10;/fzKsnR+GRTqrMsp8c5Squ9fQU++iWydvQX52TEDN7UwO3WNCF2tREkTZqEyuVc64LgAsu3eQkmt&#10;xN5DBOorbIN8JAgjdHqd4/l1VO+ZDC2zxcuLS84kXWUX2WIRZ0tEPhVbdP61gpaFoOBIjx/BxeHW&#10;+TCMyKeU0MvARjdNNEBj/jqgxOFERQeN1YFKmH7g4fttP0qzhfJIpBAGd9HfoqAG/MJZR84quKGP&#10;xFnzxpAswYRTgFOwnQJhJBUW3HM2hDd+MOveot7VhDsJf03SbXSkFQYbZhgFJ69EtqOvgxnv72PW&#10;n7+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T9estBECAAATBAAADgAAAAAAAAABACAA&#10;AAAfAQAAZHJzL2Uyb0RvYy54bWxQSwUGAAAAAAYABgBZAQAAogUAAAAA&#10;">
              <v:fill on="f" focussize="0,0"/>
              <v:stroke on="f"/>
              <v:imagedata o:title=""/>
              <o:lock v:ext="edit" aspectratio="f"/>
              <v:textbox inset="0mm,0mm,0mm,0mm" style="mso-fit-shape-to-text:t;">
                <w:txbxContent>
                  <w:p>
                    <w:pPr>
                      <w:pStyle w:val="32"/>
                      <w:jc w:val="both"/>
                      <w:rPr>
                        <w:rStyle w:val="5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3"/>
      </w:rPr>
    </w:pPr>
    <w:r>
      <w:fldChar w:fldCharType="begin"/>
    </w:r>
    <w:r>
      <w:rPr>
        <w:rStyle w:val="53"/>
      </w:rPr>
      <w:instrText xml:space="preserve">PAGE  </w:instrTex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3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lMwoCAAAT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F5xZYejBj79+Hn//Pf75&#10;weZvoz6d8zml3TlKDP019LQ1iat3tyC/eWbhphF2q64QoWuUqGi+WazMHpUOOD6ClN0HqKiR2AVI&#10;QH2NJopHcjBCp7c5nN9G9YHJ2HIxXyymFJIUGy+xh8jHcoc+vFNgWDQKjvT4CV7sb30YUseU2M3C&#10;Rrct+UXe2n8chDl4VNqgU3UkE+cfmIS+7Kk2OkuoDkQLYdgu+ltkNIDfOetoswpu6SNx1r63JExc&#10;wtHA0ShHQ1hJhQUPnA3mTRiWdedQbxvCHaW/IvE2OtF6mOEkOe1KEua013EZH99T1sNf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P9JTMKAgAAEwQAAA4AAAAAAAAAAQAgAAAAHgEAAGRy&#10;cy9lMm9Eb2MueG1sUEsFBgAAAAAGAAYAWQEAAJoFA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2"/>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z4TY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5G2Sp/dQY9ajx7w4fHADLs18D3iZWA8ymPRFPgTjKO7pIq4YIuHpUbWqqhJDHGOzg/jF03Mf&#10;IN4JZ0gyGhpwellUdnyAOKbOKamadbdK6zxBbUmPqFfVu6v84hJCdG1TssjLMOEkTmPvyYrDbpiI&#10;7lx7Qp49LkRDLe4/Jfreot5pd2YjzMZuNg4+qH2HLS9zdfDvDxGbyz2nCiMsck0OTjKznrYurcrf&#10;fs56+t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OnPhNgBAACxAwAADgAAAAAAAAAB&#10;ACAAAAAiAQAAZHJzL2Uyb0RvYy54bWxQSwUGAAAAAAYABgBZAQAAbAUAAAAA&#10;">
              <v:fill on="f" focussize="0,0"/>
              <v:stroke on="f" weight="1.25pt"/>
              <v:imagedata o:title=""/>
              <o:lock v:ext="edit" aspectratio="f"/>
              <v:textbox inset="0mm,0mm,0mm,0mm" style="mso-fit-shape-to-text:t;">
                <w:txbxContent>
                  <w:p>
                    <w:pPr>
                      <w:pStyle w:val="3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XGpXMPAgAAEAQAAA4AAABkcnMvZTJvRG9jLnhtbK1TzY7TMBC+I/EO&#10;lu80bdnSVdR0tWxVhLT8SAsP4DpOYxF7rLHbpDwAvAEnLtx5rj4HY6fpLstlD1ys8Xjmm/m+GS+u&#10;OtOwvUKvwRZ8MhpzpqyEUtttwT9/Wr+45MwHYUvRgFUFPyjPr5bPny1al6sp1NCUChmBWJ+3ruB1&#10;CC7PMi9rZYQfgVOWHitAIwJdcZuVKFpCN002HY9fZS1g6RCk8p68q/6RnxDxKYBQVVqqFcidUTb0&#10;qKgaEYiSr7XzfJm6rSolw4eq8iqwpuDENKSTipC9iWe2XIh8i8LVWp5aEE9p4REnI7SlomeolQiC&#10;7VD/A2W0RPBQhZEEk/VEkiLEYjJ+pM1dLZxKXEhq786i+/8HK9/vPyLTZcHnnFlhaODHH9+PP38f&#10;f31j06RP63xOYXeOAkP3GjramsTVu1uQXzyzcFMLu1XXiNDWSpTU3yQqmz1IjRPxuY8gm/YdlFRI&#10;7AIkoK5CE8UjORih02wO59moLjBJztl8fjnjTNLL5OXk4mKWCoh8yHXowxsFhkWj4EiTT9hif+tD&#10;7EXkQ0gsZWGtmyZNv7F/OSiw96i0PqfsofmeRug2HeVG5wbKA3FC6FeLPhYZNeBXzlpaq4Jb+kWc&#10;NW8tqRI3cDBwMDaDIaykxIIHznrzJvSbunOotzXhDrpfk3JrnWjd93DSmxYlsT0tddzEh/cUdf+R&#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IXGpXMPAgAAEA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252"/>
      </w:tabs>
      <w:autoSpaceDE w:val="0"/>
      <w:autoSpaceDN w:val="0"/>
      <w:adjustRightInd w:val="0"/>
      <w:snapToGrid w:val="0"/>
      <w:spacing w:line="312" w:lineRule="auto"/>
      <w:jc w:val="left"/>
      <w:rPr>
        <w:i/>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252"/>
      </w:tabs>
      <w:autoSpaceDE w:val="0"/>
      <w:autoSpaceDN w:val="0"/>
      <w:adjustRightInd w:val="0"/>
      <w:snapToGrid w:val="0"/>
      <w:spacing w:line="312" w:lineRule="auto"/>
      <w:jc w:val="left"/>
      <w:rPr>
        <w:i/>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F02C3"/>
    <w:multiLevelType w:val="singleLevel"/>
    <w:tmpl w:val="DA7F02C3"/>
    <w:lvl w:ilvl="0" w:tentative="0">
      <w:start w:val="2"/>
      <w:numFmt w:val="decimal"/>
      <w:suff w:val="nothing"/>
      <w:lvlText w:val="%1、"/>
      <w:lvlJc w:val="left"/>
    </w:lvl>
  </w:abstractNum>
  <w:abstractNum w:abstractNumId="1">
    <w:nsid w:val="00000008"/>
    <w:multiLevelType w:val="multilevel"/>
    <w:tmpl w:val="00000008"/>
    <w:lvl w:ilvl="0" w:tentative="0">
      <w:start w:val="1"/>
      <w:numFmt w:val="japaneseCounting"/>
      <w:pStyle w:val="3"/>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zMjA5YjljNGM4MDk0NGZmYzYyMWZkNGY4YWIifQ=="/>
    <w:docVar w:name="KSO_WPS_MARK_KEY" w:val="7f74d75f-53b2-46be-942c-74e49851cef3"/>
  </w:docVars>
  <w:rsids>
    <w:rsidRoot w:val="00172A27"/>
    <w:rsid w:val="000009A5"/>
    <w:rsid w:val="00000ACF"/>
    <w:rsid w:val="00000F50"/>
    <w:rsid w:val="000025EC"/>
    <w:rsid w:val="00004103"/>
    <w:rsid w:val="00007753"/>
    <w:rsid w:val="00011D00"/>
    <w:rsid w:val="000124FA"/>
    <w:rsid w:val="00012921"/>
    <w:rsid w:val="00014EF7"/>
    <w:rsid w:val="000277A0"/>
    <w:rsid w:val="000354AF"/>
    <w:rsid w:val="0003598B"/>
    <w:rsid w:val="00037046"/>
    <w:rsid w:val="00040C8B"/>
    <w:rsid w:val="000467BF"/>
    <w:rsid w:val="00046F63"/>
    <w:rsid w:val="00052A5C"/>
    <w:rsid w:val="00056841"/>
    <w:rsid w:val="00060891"/>
    <w:rsid w:val="00061029"/>
    <w:rsid w:val="0006109B"/>
    <w:rsid w:val="000673A1"/>
    <w:rsid w:val="00067B72"/>
    <w:rsid w:val="000702F3"/>
    <w:rsid w:val="0007167A"/>
    <w:rsid w:val="00072004"/>
    <w:rsid w:val="00077569"/>
    <w:rsid w:val="0008125B"/>
    <w:rsid w:val="00083A5A"/>
    <w:rsid w:val="00086422"/>
    <w:rsid w:val="0008726D"/>
    <w:rsid w:val="00091622"/>
    <w:rsid w:val="0009207E"/>
    <w:rsid w:val="00092A9D"/>
    <w:rsid w:val="00092AEA"/>
    <w:rsid w:val="00093A45"/>
    <w:rsid w:val="00094AD6"/>
    <w:rsid w:val="00094DB8"/>
    <w:rsid w:val="00095A6A"/>
    <w:rsid w:val="0009631C"/>
    <w:rsid w:val="00096904"/>
    <w:rsid w:val="00096BE3"/>
    <w:rsid w:val="000A165A"/>
    <w:rsid w:val="000B0001"/>
    <w:rsid w:val="000B109B"/>
    <w:rsid w:val="000B154E"/>
    <w:rsid w:val="000B3251"/>
    <w:rsid w:val="000B660D"/>
    <w:rsid w:val="000C122D"/>
    <w:rsid w:val="000C15D5"/>
    <w:rsid w:val="000C4561"/>
    <w:rsid w:val="000C46E6"/>
    <w:rsid w:val="000C597B"/>
    <w:rsid w:val="000D0835"/>
    <w:rsid w:val="000D2B39"/>
    <w:rsid w:val="000D6E8D"/>
    <w:rsid w:val="000E1BA2"/>
    <w:rsid w:val="000E1F21"/>
    <w:rsid w:val="000E3019"/>
    <w:rsid w:val="000E3775"/>
    <w:rsid w:val="000E4147"/>
    <w:rsid w:val="000E4DF4"/>
    <w:rsid w:val="000E4E79"/>
    <w:rsid w:val="000E56AB"/>
    <w:rsid w:val="000E7B1F"/>
    <w:rsid w:val="000E7ED2"/>
    <w:rsid w:val="000F1A18"/>
    <w:rsid w:val="000F684B"/>
    <w:rsid w:val="000F6D31"/>
    <w:rsid w:val="001062FA"/>
    <w:rsid w:val="001137E8"/>
    <w:rsid w:val="00113E47"/>
    <w:rsid w:val="001166BF"/>
    <w:rsid w:val="00117B55"/>
    <w:rsid w:val="001244D9"/>
    <w:rsid w:val="00125B50"/>
    <w:rsid w:val="00130FE8"/>
    <w:rsid w:val="00132D42"/>
    <w:rsid w:val="0014126A"/>
    <w:rsid w:val="001416DE"/>
    <w:rsid w:val="00141CD2"/>
    <w:rsid w:val="00145472"/>
    <w:rsid w:val="001455E1"/>
    <w:rsid w:val="00145DD1"/>
    <w:rsid w:val="001470CF"/>
    <w:rsid w:val="00147616"/>
    <w:rsid w:val="00150C08"/>
    <w:rsid w:val="00152D2E"/>
    <w:rsid w:val="001534FD"/>
    <w:rsid w:val="00153DA0"/>
    <w:rsid w:val="001542CD"/>
    <w:rsid w:val="0015609F"/>
    <w:rsid w:val="00160275"/>
    <w:rsid w:val="001677CF"/>
    <w:rsid w:val="00171A7A"/>
    <w:rsid w:val="00171B28"/>
    <w:rsid w:val="00171D9F"/>
    <w:rsid w:val="00172A27"/>
    <w:rsid w:val="00175BC6"/>
    <w:rsid w:val="001775D5"/>
    <w:rsid w:val="0017763E"/>
    <w:rsid w:val="00180B5D"/>
    <w:rsid w:val="00182762"/>
    <w:rsid w:val="0018560C"/>
    <w:rsid w:val="00186FAC"/>
    <w:rsid w:val="00192FCC"/>
    <w:rsid w:val="0019342F"/>
    <w:rsid w:val="001959CB"/>
    <w:rsid w:val="001A1233"/>
    <w:rsid w:val="001A1D6A"/>
    <w:rsid w:val="001A2299"/>
    <w:rsid w:val="001A32D2"/>
    <w:rsid w:val="001A3FA3"/>
    <w:rsid w:val="001A4FA2"/>
    <w:rsid w:val="001A5088"/>
    <w:rsid w:val="001A582E"/>
    <w:rsid w:val="001A759D"/>
    <w:rsid w:val="001B03E6"/>
    <w:rsid w:val="001B06FE"/>
    <w:rsid w:val="001B44B4"/>
    <w:rsid w:val="001B79B4"/>
    <w:rsid w:val="001C0829"/>
    <w:rsid w:val="001C17F7"/>
    <w:rsid w:val="001D0200"/>
    <w:rsid w:val="001D10FB"/>
    <w:rsid w:val="001D1BF0"/>
    <w:rsid w:val="001D50D6"/>
    <w:rsid w:val="001E1E7F"/>
    <w:rsid w:val="001E3FD8"/>
    <w:rsid w:val="001E4017"/>
    <w:rsid w:val="001E5AB9"/>
    <w:rsid w:val="001F18CE"/>
    <w:rsid w:val="001F2E5A"/>
    <w:rsid w:val="001F3BC6"/>
    <w:rsid w:val="00200D95"/>
    <w:rsid w:val="00201E86"/>
    <w:rsid w:val="002038F8"/>
    <w:rsid w:val="00203B5F"/>
    <w:rsid w:val="0020765F"/>
    <w:rsid w:val="00210B64"/>
    <w:rsid w:val="00211931"/>
    <w:rsid w:val="00213CD5"/>
    <w:rsid w:val="00220C6C"/>
    <w:rsid w:val="00221C4B"/>
    <w:rsid w:val="002240F2"/>
    <w:rsid w:val="002266E2"/>
    <w:rsid w:val="002309E4"/>
    <w:rsid w:val="0023226A"/>
    <w:rsid w:val="002324E8"/>
    <w:rsid w:val="00233CAD"/>
    <w:rsid w:val="002346CD"/>
    <w:rsid w:val="002464AA"/>
    <w:rsid w:val="00246FF6"/>
    <w:rsid w:val="00247627"/>
    <w:rsid w:val="00253A3A"/>
    <w:rsid w:val="00256D84"/>
    <w:rsid w:val="00260369"/>
    <w:rsid w:val="00261006"/>
    <w:rsid w:val="00263ACC"/>
    <w:rsid w:val="00264D23"/>
    <w:rsid w:val="0027024B"/>
    <w:rsid w:val="00274059"/>
    <w:rsid w:val="00275AC9"/>
    <w:rsid w:val="0027764E"/>
    <w:rsid w:val="00280073"/>
    <w:rsid w:val="00280B3A"/>
    <w:rsid w:val="002816BF"/>
    <w:rsid w:val="00282B1B"/>
    <w:rsid w:val="00284ED1"/>
    <w:rsid w:val="00287B07"/>
    <w:rsid w:val="0029000C"/>
    <w:rsid w:val="00292822"/>
    <w:rsid w:val="00292DF4"/>
    <w:rsid w:val="002949CC"/>
    <w:rsid w:val="00294A91"/>
    <w:rsid w:val="0029560B"/>
    <w:rsid w:val="00296B32"/>
    <w:rsid w:val="002A0C83"/>
    <w:rsid w:val="002A28C0"/>
    <w:rsid w:val="002A2AA1"/>
    <w:rsid w:val="002A3750"/>
    <w:rsid w:val="002A69DB"/>
    <w:rsid w:val="002A6C27"/>
    <w:rsid w:val="002A7B45"/>
    <w:rsid w:val="002A7C6F"/>
    <w:rsid w:val="002B2E4A"/>
    <w:rsid w:val="002B4E71"/>
    <w:rsid w:val="002B557D"/>
    <w:rsid w:val="002B6094"/>
    <w:rsid w:val="002C241E"/>
    <w:rsid w:val="002D3788"/>
    <w:rsid w:val="002D3C19"/>
    <w:rsid w:val="002D418F"/>
    <w:rsid w:val="002D51A5"/>
    <w:rsid w:val="002D59D2"/>
    <w:rsid w:val="002E2084"/>
    <w:rsid w:val="002E3481"/>
    <w:rsid w:val="002E36FD"/>
    <w:rsid w:val="002E3A19"/>
    <w:rsid w:val="002E589B"/>
    <w:rsid w:val="002F0961"/>
    <w:rsid w:val="002F1EBB"/>
    <w:rsid w:val="002F348E"/>
    <w:rsid w:val="002F56B1"/>
    <w:rsid w:val="002F69B3"/>
    <w:rsid w:val="002F7E5F"/>
    <w:rsid w:val="003135A0"/>
    <w:rsid w:val="003162EC"/>
    <w:rsid w:val="003203C4"/>
    <w:rsid w:val="003238D8"/>
    <w:rsid w:val="003239FD"/>
    <w:rsid w:val="00324610"/>
    <w:rsid w:val="00324AAD"/>
    <w:rsid w:val="003264D8"/>
    <w:rsid w:val="00327F11"/>
    <w:rsid w:val="00336007"/>
    <w:rsid w:val="00336BB6"/>
    <w:rsid w:val="00337957"/>
    <w:rsid w:val="00340B2A"/>
    <w:rsid w:val="0034167D"/>
    <w:rsid w:val="00342F94"/>
    <w:rsid w:val="00344359"/>
    <w:rsid w:val="00344CFB"/>
    <w:rsid w:val="00350C0D"/>
    <w:rsid w:val="003515EB"/>
    <w:rsid w:val="00352138"/>
    <w:rsid w:val="00352D5C"/>
    <w:rsid w:val="00361F7D"/>
    <w:rsid w:val="003622F3"/>
    <w:rsid w:val="00362851"/>
    <w:rsid w:val="0036296E"/>
    <w:rsid w:val="003630A2"/>
    <w:rsid w:val="00363A7A"/>
    <w:rsid w:val="003652B0"/>
    <w:rsid w:val="003669C5"/>
    <w:rsid w:val="00366B4F"/>
    <w:rsid w:val="00372C34"/>
    <w:rsid w:val="00375B05"/>
    <w:rsid w:val="00381E52"/>
    <w:rsid w:val="00382A66"/>
    <w:rsid w:val="003854E7"/>
    <w:rsid w:val="00387D39"/>
    <w:rsid w:val="003914C0"/>
    <w:rsid w:val="0039215A"/>
    <w:rsid w:val="00394939"/>
    <w:rsid w:val="00396950"/>
    <w:rsid w:val="003A0380"/>
    <w:rsid w:val="003A05AC"/>
    <w:rsid w:val="003A67C1"/>
    <w:rsid w:val="003A703B"/>
    <w:rsid w:val="003B04B7"/>
    <w:rsid w:val="003B58CD"/>
    <w:rsid w:val="003B7A2F"/>
    <w:rsid w:val="003C16AA"/>
    <w:rsid w:val="003C1860"/>
    <w:rsid w:val="003C2FE9"/>
    <w:rsid w:val="003C3D82"/>
    <w:rsid w:val="003C4E8C"/>
    <w:rsid w:val="003C503E"/>
    <w:rsid w:val="003C5607"/>
    <w:rsid w:val="003D6166"/>
    <w:rsid w:val="003D6DBC"/>
    <w:rsid w:val="003E10C4"/>
    <w:rsid w:val="003E1BBC"/>
    <w:rsid w:val="003E493C"/>
    <w:rsid w:val="003E4BAD"/>
    <w:rsid w:val="003E4F75"/>
    <w:rsid w:val="003E6F86"/>
    <w:rsid w:val="003F0A11"/>
    <w:rsid w:val="003F1A34"/>
    <w:rsid w:val="003F1C6D"/>
    <w:rsid w:val="003F284D"/>
    <w:rsid w:val="003F5A6A"/>
    <w:rsid w:val="003F75F5"/>
    <w:rsid w:val="003F7C58"/>
    <w:rsid w:val="00402440"/>
    <w:rsid w:val="00403644"/>
    <w:rsid w:val="00407C89"/>
    <w:rsid w:val="00410D20"/>
    <w:rsid w:val="00411EA5"/>
    <w:rsid w:val="0041295E"/>
    <w:rsid w:val="00414512"/>
    <w:rsid w:val="00415DAD"/>
    <w:rsid w:val="00416275"/>
    <w:rsid w:val="0041721E"/>
    <w:rsid w:val="0042207E"/>
    <w:rsid w:val="00423B06"/>
    <w:rsid w:val="004247F2"/>
    <w:rsid w:val="00425CD0"/>
    <w:rsid w:val="00426B8B"/>
    <w:rsid w:val="00430209"/>
    <w:rsid w:val="00430673"/>
    <w:rsid w:val="00432C3F"/>
    <w:rsid w:val="004330D4"/>
    <w:rsid w:val="00433153"/>
    <w:rsid w:val="0043472B"/>
    <w:rsid w:val="00435467"/>
    <w:rsid w:val="00437C05"/>
    <w:rsid w:val="00437F07"/>
    <w:rsid w:val="004407CC"/>
    <w:rsid w:val="00441B48"/>
    <w:rsid w:val="0044375B"/>
    <w:rsid w:val="00445772"/>
    <w:rsid w:val="00445B88"/>
    <w:rsid w:val="00447817"/>
    <w:rsid w:val="00455A3A"/>
    <w:rsid w:val="004563EC"/>
    <w:rsid w:val="00457F7F"/>
    <w:rsid w:val="004633A6"/>
    <w:rsid w:val="0046409B"/>
    <w:rsid w:val="004659A5"/>
    <w:rsid w:val="00471FD3"/>
    <w:rsid w:val="004757EB"/>
    <w:rsid w:val="0047584C"/>
    <w:rsid w:val="00475B09"/>
    <w:rsid w:val="004802FC"/>
    <w:rsid w:val="004807A1"/>
    <w:rsid w:val="00481443"/>
    <w:rsid w:val="00481899"/>
    <w:rsid w:val="00481F40"/>
    <w:rsid w:val="004853BD"/>
    <w:rsid w:val="004922B7"/>
    <w:rsid w:val="00495E87"/>
    <w:rsid w:val="00497FBD"/>
    <w:rsid w:val="004A02D4"/>
    <w:rsid w:val="004A62AF"/>
    <w:rsid w:val="004B319A"/>
    <w:rsid w:val="004C77B0"/>
    <w:rsid w:val="004D0F95"/>
    <w:rsid w:val="004D1585"/>
    <w:rsid w:val="004D3A86"/>
    <w:rsid w:val="004E1B59"/>
    <w:rsid w:val="004E22BF"/>
    <w:rsid w:val="004E297A"/>
    <w:rsid w:val="004E608B"/>
    <w:rsid w:val="004E6F73"/>
    <w:rsid w:val="004F4C85"/>
    <w:rsid w:val="004F4E78"/>
    <w:rsid w:val="004F6A35"/>
    <w:rsid w:val="00503207"/>
    <w:rsid w:val="005056A7"/>
    <w:rsid w:val="00505B97"/>
    <w:rsid w:val="00506C80"/>
    <w:rsid w:val="005124A9"/>
    <w:rsid w:val="00514B5F"/>
    <w:rsid w:val="00515932"/>
    <w:rsid w:val="00515C45"/>
    <w:rsid w:val="00516E0E"/>
    <w:rsid w:val="00517A3C"/>
    <w:rsid w:val="00521FE9"/>
    <w:rsid w:val="00523452"/>
    <w:rsid w:val="00523FCB"/>
    <w:rsid w:val="00524E82"/>
    <w:rsid w:val="005255C3"/>
    <w:rsid w:val="00526A17"/>
    <w:rsid w:val="00526F7F"/>
    <w:rsid w:val="00530BEC"/>
    <w:rsid w:val="00531732"/>
    <w:rsid w:val="00531CC7"/>
    <w:rsid w:val="00533273"/>
    <w:rsid w:val="00533C0D"/>
    <w:rsid w:val="00535EC8"/>
    <w:rsid w:val="0053673A"/>
    <w:rsid w:val="0054039C"/>
    <w:rsid w:val="00541382"/>
    <w:rsid w:val="00541C29"/>
    <w:rsid w:val="005525DD"/>
    <w:rsid w:val="00556FF3"/>
    <w:rsid w:val="005577D1"/>
    <w:rsid w:val="00557B97"/>
    <w:rsid w:val="00560F19"/>
    <w:rsid w:val="00561379"/>
    <w:rsid w:val="00561A3D"/>
    <w:rsid w:val="00561E43"/>
    <w:rsid w:val="00563A16"/>
    <w:rsid w:val="00563BF2"/>
    <w:rsid w:val="00563F73"/>
    <w:rsid w:val="005675FE"/>
    <w:rsid w:val="00567BED"/>
    <w:rsid w:val="00570088"/>
    <w:rsid w:val="00571099"/>
    <w:rsid w:val="00571B78"/>
    <w:rsid w:val="00571FA1"/>
    <w:rsid w:val="00573FAD"/>
    <w:rsid w:val="0057552B"/>
    <w:rsid w:val="0057586F"/>
    <w:rsid w:val="00576E67"/>
    <w:rsid w:val="005774E0"/>
    <w:rsid w:val="00577BFA"/>
    <w:rsid w:val="00581C19"/>
    <w:rsid w:val="00583443"/>
    <w:rsid w:val="0059319D"/>
    <w:rsid w:val="0059378C"/>
    <w:rsid w:val="005958A8"/>
    <w:rsid w:val="00596C66"/>
    <w:rsid w:val="005A0D63"/>
    <w:rsid w:val="005A1970"/>
    <w:rsid w:val="005A509F"/>
    <w:rsid w:val="005B2010"/>
    <w:rsid w:val="005B2F33"/>
    <w:rsid w:val="005B719A"/>
    <w:rsid w:val="005B7FB0"/>
    <w:rsid w:val="005C2872"/>
    <w:rsid w:val="005C3172"/>
    <w:rsid w:val="005C3AF8"/>
    <w:rsid w:val="005C40D5"/>
    <w:rsid w:val="005D16C8"/>
    <w:rsid w:val="005D27DB"/>
    <w:rsid w:val="005D6B24"/>
    <w:rsid w:val="005D6EBE"/>
    <w:rsid w:val="005D731E"/>
    <w:rsid w:val="005D7F7A"/>
    <w:rsid w:val="005E066F"/>
    <w:rsid w:val="005E1F47"/>
    <w:rsid w:val="005E21EC"/>
    <w:rsid w:val="005E4BFC"/>
    <w:rsid w:val="005F2A37"/>
    <w:rsid w:val="005F4A7F"/>
    <w:rsid w:val="005F5B89"/>
    <w:rsid w:val="005F5E1B"/>
    <w:rsid w:val="00602F5E"/>
    <w:rsid w:val="00607171"/>
    <w:rsid w:val="00610CEE"/>
    <w:rsid w:val="006119DB"/>
    <w:rsid w:val="0061288A"/>
    <w:rsid w:val="00613D5E"/>
    <w:rsid w:val="0061724B"/>
    <w:rsid w:val="00621F83"/>
    <w:rsid w:val="00627E24"/>
    <w:rsid w:val="006365EC"/>
    <w:rsid w:val="0064050A"/>
    <w:rsid w:val="00641FD9"/>
    <w:rsid w:val="00642E73"/>
    <w:rsid w:val="00643F73"/>
    <w:rsid w:val="006441C2"/>
    <w:rsid w:val="00645071"/>
    <w:rsid w:val="00646AC0"/>
    <w:rsid w:val="00650A09"/>
    <w:rsid w:val="00653CE2"/>
    <w:rsid w:val="00655EE0"/>
    <w:rsid w:val="006564AA"/>
    <w:rsid w:val="00660F53"/>
    <w:rsid w:val="006620F4"/>
    <w:rsid w:val="00662892"/>
    <w:rsid w:val="00662EFA"/>
    <w:rsid w:val="0066386F"/>
    <w:rsid w:val="00664F88"/>
    <w:rsid w:val="00666141"/>
    <w:rsid w:val="0066663C"/>
    <w:rsid w:val="00667A95"/>
    <w:rsid w:val="00667D54"/>
    <w:rsid w:val="0067285C"/>
    <w:rsid w:val="00673285"/>
    <w:rsid w:val="00673D1F"/>
    <w:rsid w:val="00681709"/>
    <w:rsid w:val="006819F3"/>
    <w:rsid w:val="00682A19"/>
    <w:rsid w:val="00687FD3"/>
    <w:rsid w:val="00694094"/>
    <w:rsid w:val="00697CA7"/>
    <w:rsid w:val="006A075E"/>
    <w:rsid w:val="006A2279"/>
    <w:rsid w:val="006A28AA"/>
    <w:rsid w:val="006A4735"/>
    <w:rsid w:val="006A47FE"/>
    <w:rsid w:val="006A5029"/>
    <w:rsid w:val="006A5756"/>
    <w:rsid w:val="006A66C7"/>
    <w:rsid w:val="006A69B5"/>
    <w:rsid w:val="006A7522"/>
    <w:rsid w:val="006B58E5"/>
    <w:rsid w:val="006B644C"/>
    <w:rsid w:val="006B7C7D"/>
    <w:rsid w:val="006C0942"/>
    <w:rsid w:val="006C47B1"/>
    <w:rsid w:val="006C4D9D"/>
    <w:rsid w:val="006C7B86"/>
    <w:rsid w:val="006D0DAF"/>
    <w:rsid w:val="006D3600"/>
    <w:rsid w:val="006D366D"/>
    <w:rsid w:val="006D3A41"/>
    <w:rsid w:val="006D54A7"/>
    <w:rsid w:val="006D575A"/>
    <w:rsid w:val="006E0C09"/>
    <w:rsid w:val="006E4BB8"/>
    <w:rsid w:val="006E5AE1"/>
    <w:rsid w:val="006E6FEE"/>
    <w:rsid w:val="006F3C00"/>
    <w:rsid w:val="006F3DFC"/>
    <w:rsid w:val="006F4E38"/>
    <w:rsid w:val="00700E52"/>
    <w:rsid w:val="00700FD6"/>
    <w:rsid w:val="0070149B"/>
    <w:rsid w:val="00702985"/>
    <w:rsid w:val="0070786E"/>
    <w:rsid w:val="00712B96"/>
    <w:rsid w:val="0071384D"/>
    <w:rsid w:val="0071501E"/>
    <w:rsid w:val="00720DD4"/>
    <w:rsid w:val="00724C3F"/>
    <w:rsid w:val="00725DB5"/>
    <w:rsid w:val="007274BE"/>
    <w:rsid w:val="007309EB"/>
    <w:rsid w:val="00730E28"/>
    <w:rsid w:val="0073179E"/>
    <w:rsid w:val="00731EED"/>
    <w:rsid w:val="007326F7"/>
    <w:rsid w:val="007327CB"/>
    <w:rsid w:val="00740490"/>
    <w:rsid w:val="00741F77"/>
    <w:rsid w:val="0074230E"/>
    <w:rsid w:val="0074316B"/>
    <w:rsid w:val="0074350A"/>
    <w:rsid w:val="0074364C"/>
    <w:rsid w:val="00745238"/>
    <w:rsid w:val="00745247"/>
    <w:rsid w:val="00747FAD"/>
    <w:rsid w:val="00752429"/>
    <w:rsid w:val="00753817"/>
    <w:rsid w:val="007540B1"/>
    <w:rsid w:val="00755476"/>
    <w:rsid w:val="00765563"/>
    <w:rsid w:val="00772106"/>
    <w:rsid w:val="00772176"/>
    <w:rsid w:val="0077231B"/>
    <w:rsid w:val="00773C38"/>
    <w:rsid w:val="007741CF"/>
    <w:rsid w:val="0077500C"/>
    <w:rsid w:val="00782292"/>
    <w:rsid w:val="007846A2"/>
    <w:rsid w:val="0078502D"/>
    <w:rsid w:val="00791B89"/>
    <w:rsid w:val="00792497"/>
    <w:rsid w:val="00792F30"/>
    <w:rsid w:val="0079332B"/>
    <w:rsid w:val="007953E4"/>
    <w:rsid w:val="007A051F"/>
    <w:rsid w:val="007A182B"/>
    <w:rsid w:val="007A197C"/>
    <w:rsid w:val="007A53D3"/>
    <w:rsid w:val="007A5432"/>
    <w:rsid w:val="007A65B0"/>
    <w:rsid w:val="007A7B39"/>
    <w:rsid w:val="007B168E"/>
    <w:rsid w:val="007B1903"/>
    <w:rsid w:val="007B6D6F"/>
    <w:rsid w:val="007C0DC1"/>
    <w:rsid w:val="007C0E22"/>
    <w:rsid w:val="007C2A59"/>
    <w:rsid w:val="007C3519"/>
    <w:rsid w:val="007C36C3"/>
    <w:rsid w:val="007C4C95"/>
    <w:rsid w:val="007C7B48"/>
    <w:rsid w:val="007D458C"/>
    <w:rsid w:val="007D47CF"/>
    <w:rsid w:val="007D59CE"/>
    <w:rsid w:val="007D6293"/>
    <w:rsid w:val="007D6D56"/>
    <w:rsid w:val="007E079A"/>
    <w:rsid w:val="007E6CAE"/>
    <w:rsid w:val="007E72BD"/>
    <w:rsid w:val="007E762E"/>
    <w:rsid w:val="007F512C"/>
    <w:rsid w:val="007F601D"/>
    <w:rsid w:val="007F72A3"/>
    <w:rsid w:val="008003F9"/>
    <w:rsid w:val="00800904"/>
    <w:rsid w:val="00803FB7"/>
    <w:rsid w:val="0080654B"/>
    <w:rsid w:val="008071D4"/>
    <w:rsid w:val="0081091D"/>
    <w:rsid w:val="00813285"/>
    <w:rsid w:val="008201BD"/>
    <w:rsid w:val="00820D0A"/>
    <w:rsid w:val="0082431E"/>
    <w:rsid w:val="00824E65"/>
    <w:rsid w:val="00825BDE"/>
    <w:rsid w:val="008319FC"/>
    <w:rsid w:val="00836B49"/>
    <w:rsid w:val="00837860"/>
    <w:rsid w:val="00840066"/>
    <w:rsid w:val="0084062B"/>
    <w:rsid w:val="008429A5"/>
    <w:rsid w:val="00844635"/>
    <w:rsid w:val="00846044"/>
    <w:rsid w:val="0085227F"/>
    <w:rsid w:val="00852A9F"/>
    <w:rsid w:val="008532A0"/>
    <w:rsid w:val="00853373"/>
    <w:rsid w:val="00854173"/>
    <w:rsid w:val="00854AEC"/>
    <w:rsid w:val="00855BBE"/>
    <w:rsid w:val="00866B5A"/>
    <w:rsid w:val="008722C6"/>
    <w:rsid w:val="00872543"/>
    <w:rsid w:val="00874A5E"/>
    <w:rsid w:val="00876929"/>
    <w:rsid w:val="00877CB1"/>
    <w:rsid w:val="00886455"/>
    <w:rsid w:val="00890B5B"/>
    <w:rsid w:val="00890D8A"/>
    <w:rsid w:val="00890E98"/>
    <w:rsid w:val="00891335"/>
    <w:rsid w:val="00891344"/>
    <w:rsid w:val="00892869"/>
    <w:rsid w:val="008932A0"/>
    <w:rsid w:val="00894D37"/>
    <w:rsid w:val="00895931"/>
    <w:rsid w:val="008A2BC6"/>
    <w:rsid w:val="008A3F5B"/>
    <w:rsid w:val="008A581E"/>
    <w:rsid w:val="008A5912"/>
    <w:rsid w:val="008A5988"/>
    <w:rsid w:val="008A6BCA"/>
    <w:rsid w:val="008A6D61"/>
    <w:rsid w:val="008B0EFA"/>
    <w:rsid w:val="008B2DBA"/>
    <w:rsid w:val="008B4403"/>
    <w:rsid w:val="008B684D"/>
    <w:rsid w:val="008B79C8"/>
    <w:rsid w:val="008C5699"/>
    <w:rsid w:val="008C6A46"/>
    <w:rsid w:val="008D1E75"/>
    <w:rsid w:val="008D31FC"/>
    <w:rsid w:val="008D3BF2"/>
    <w:rsid w:val="008D685B"/>
    <w:rsid w:val="008D75B1"/>
    <w:rsid w:val="008D77F8"/>
    <w:rsid w:val="008D7FE4"/>
    <w:rsid w:val="008E0131"/>
    <w:rsid w:val="008E16D0"/>
    <w:rsid w:val="008E1727"/>
    <w:rsid w:val="008E1F62"/>
    <w:rsid w:val="008E23F5"/>
    <w:rsid w:val="008E5575"/>
    <w:rsid w:val="008F0FDF"/>
    <w:rsid w:val="008F1BD2"/>
    <w:rsid w:val="008F2426"/>
    <w:rsid w:val="008F27F6"/>
    <w:rsid w:val="008F3BE5"/>
    <w:rsid w:val="008F3FAB"/>
    <w:rsid w:val="008F72B2"/>
    <w:rsid w:val="009001DA"/>
    <w:rsid w:val="009002F3"/>
    <w:rsid w:val="00900B73"/>
    <w:rsid w:val="009023C7"/>
    <w:rsid w:val="009027E9"/>
    <w:rsid w:val="009041FC"/>
    <w:rsid w:val="00907BF0"/>
    <w:rsid w:val="00912FC8"/>
    <w:rsid w:val="009175E3"/>
    <w:rsid w:val="00921895"/>
    <w:rsid w:val="009262EC"/>
    <w:rsid w:val="00926566"/>
    <w:rsid w:val="0093039E"/>
    <w:rsid w:val="009315F1"/>
    <w:rsid w:val="009325DD"/>
    <w:rsid w:val="009325FF"/>
    <w:rsid w:val="009334DE"/>
    <w:rsid w:val="00934BD2"/>
    <w:rsid w:val="009350AF"/>
    <w:rsid w:val="00937025"/>
    <w:rsid w:val="009413AD"/>
    <w:rsid w:val="00945866"/>
    <w:rsid w:val="009458D6"/>
    <w:rsid w:val="00946099"/>
    <w:rsid w:val="00951464"/>
    <w:rsid w:val="009527D6"/>
    <w:rsid w:val="00953DC6"/>
    <w:rsid w:val="0096082B"/>
    <w:rsid w:val="00964BCE"/>
    <w:rsid w:val="009654EC"/>
    <w:rsid w:val="009671B0"/>
    <w:rsid w:val="009679ED"/>
    <w:rsid w:val="009706AE"/>
    <w:rsid w:val="00981B32"/>
    <w:rsid w:val="00983299"/>
    <w:rsid w:val="00985E97"/>
    <w:rsid w:val="009874D7"/>
    <w:rsid w:val="00987BA8"/>
    <w:rsid w:val="00990435"/>
    <w:rsid w:val="00993169"/>
    <w:rsid w:val="009955E3"/>
    <w:rsid w:val="00997ACF"/>
    <w:rsid w:val="00997F8C"/>
    <w:rsid w:val="009A00C1"/>
    <w:rsid w:val="009A060A"/>
    <w:rsid w:val="009A2360"/>
    <w:rsid w:val="009A4224"/>
    <w:rsid w:val="009A52F9"/>
    <w:rsid w:val="009A5DED"/>
    <w:rsid w:val="009A7466"/>
    <w:rsid w:val="009B066B"/>
    <w:rsid w:val="009B0F72"/>
    <w:rsid w:val="009B2C70"/>
    <w:rsid w:val="009C41EF"/>
    <w:rsid w:val="009C476C"/>
    <w:rsid w:val="009C4921"/>
    <w:rsid w:val="009C59C8"/>
    <w:rsid w:val="009C65DC"/>
    <w:rsid w:val="009C7FB9"/>
    <w:rsid w:val="009D0DFB"/>
    <w:rsid w:val="009D4133"/>
    <w:rsid w:val="009D613A"/>
    <w:rsid w:val="009D68D6"/>
    <w:rsid w:val="009D7C67"/>
    <w:rsid w:val="009E25FB"/>
    <w:rsid w:val="009E5C3C"/>
    <w:rsid w:val="009E5E1C"/>
    <w:rsid w:val="009E64E7"/>
    <w:rsid w:val="009E72E2"/>
    <w:rsid w:val="009F0D98"/>
    <w:rsid w:val="009F1AC5"/>
    <w:rsid w:val="009F302B"/>
    <w:rsid w:val="009F3E79"/>
    <w:rsid w:val="009F67BE"/>
    <w:rsid w:val="00A022B1"/>
    <w:rsid w:val="00A049A7"/>
    <w:rsid w:val="00A06411"/>
    <w:rsid w:val="00A06C18"/>
    <w:rsid w:val="00A06C9E"/>
    <w:rsid w:val="00A079FF"/>
    <w:rsid w:val="00A07F6E"/>
    <w:rsid w:val="00A15FB6"/>
    <w:rsid w:val="00A16A45"/>
    <w:rsid w:val="00A2329E"/>
    <w:rsid w:val="00A25015"/>
    <w:rsid w:val="00A252CF"/>
    <w:rsid w:val="00A25F0D"/>
    <w:rsid w:val="00A33D17"/>
    <w:rsid w:val="00A34FA5"/>
    <w:rsid w:val="00A37078"/>
    <w:rsid w:val="00A37ABF"/>
    <w:rsid w:val="00A37E73"/>
    <w:rsid w:val="00A407D8"/>
    <w:rsid w:val="00A42E48"/>
    <w:rsid w:val="00A440A8"/>
    <w:rsid w:val="00A45ECF"/>
    <w:rsid w:val="00A461E1"/>
    <w:rsid w:val="00A47BC0"/>
    <w:rsid w:val="00A51409"/>
    <w:rsid w:val="00A51606"/>
    <w:rsid w:val="00A57EF6"/>
    <w:rsid w:val="00A6176F"/>
    <w:rsid w:val="00A625F5"/>
    <w:rsid w:val="00A646BF"/>
    <w:rsid w:val="00A655BE"/>
    <w:rsid w:val="00A711DA"/>
    <w:rsid w:val="00A74FBE"/>
    <w:rsid w:val="00A80227"/>
    <w:rsid w:val="00A81E72"/>
    <w:rsid w:val="00A82220"/>
    <w:rsid w:val="00A85780"/>
    <w:rsid w:val="00A86593"/>
    <w:rsid w:val="00A86B00"/>
    <w:rsid w:val="00A86C98"/>
    <w:rsid w:val="00A87285"/>
    <w:rsid w:val="00A9364B"/>
    <w:rsid w:val="00A94D85"/>
    <w:rsid w:val="00A953FD"/>
    <w:rsid w:val="00A975BB"/>
    <w:rsid w:val="00AA0171"/>
    <w:rsid w:val="00AA0FEF"/>
    <w:rsid w:val="00AA1780"/>
    <w:rsid w:val="00AA2988"/>
    <w:rsid w:val="00AB4601"/>
    <w:rsid w:val="00AB7E7B"/>
    <w:rsid w:val="00AC0143"/>
    <w:rsid w:val="00AC018A"/>
    <w:rsid w:val="00AC1100"/>
    <w:rsid w:val="00AC1C8F"/>
    <w:rsid w:val="00AC321A"/>
    <w:rsid w:val="00AC619E"/>
    <w:rsid w:val="00AC7D9D"/>
    <w:rsid w:val="00AD1988"/>
    <w:rsid w:val="00AE11E0"/>
    <w:rsid w:val="00AF305B"/>
    <w:rsid w:val="00AF3246"/>
    <w:rsid w:val="00AF6188"/>
    <w:rsid w:val="00B0207E"/>
    <w:rsid w:val="00B02B77"/>
    <w:rsid w:val="00B05C40"/>
    <w:rsid w:val="00B060F5"/>
    <w:rsid w:val="00B06E28"/>
    <w:rsid w:val="00B11A49"/>
    <w:rsid w:val="00B17002"/>
    <w:rsid w:val="00B1711C"/>
    <w:rsid w:val="00B20E28"/>
    <w:rsid w:val="00B225A8"/>
    <w:rsid w:val="00B23891"/>
    <w:rsid w:val="00B23B2C"/>
    <w:rsid w:val="00B249D0"/>
    <w:rsid w:val="00B24BF4"/>
    <w:rsid w:val="00B26275"/>
    <w:rsid w:val="00B26C9C"/>
    <w:rsid w:val="00B27E60"/>
    <w:rsid w:val="00B32FD4"/>
    <w:rsid w:val="00B33719"/>
    <w:rsid w:val="00B346E6"/>
    <w:rsid w:val="00B403FC"/>
    <w:rsid w:val="00B5305B"/>
    <w:rsid w:val="00B54984"/>
    <w:rsid w:val="00B555C0"/>
    <w:rsid w:val="00B56E12"/>
    <w:rsid w:val="00B575B0"/>
    <w:rsid w:val="00B57799"/>
    <w:rsid w:val="00B6240D"/>
    <w:rsid w:val="00B6353A"/>
    <w:rsid w:val="00B65C4E"/>
    <w:rsid w:val="00B6603C"/>
    <w:rsid w:val="00B674C6"/>
    <w:rsid w:val="00B67CA8"/>
    <w:rsid w:val="00B7011B"/>
    <w:rsid w:val="00B709B5"/>
    <w:rsid w:val="00B71FDF"/>
    <w:rsid w:val="00B736F4"/>
    <w:rsid w:val="00B752ED"/>
    <w:rsid w:val="00B832EC"/>
    <w:rsid w:val="00B87AE9"/>
    <w:rsid w:val="00B918F2"/>
    <w:rsid w:val="00B93C54"/>
    <w:rsid w:val="00B95EB1"/>
    <w:rsid w:val="00B96E71"/>
    <w:rsid w:val="00B96EF5"/>
    <w:rsid w:val="00B97F54"/>
    <w:rsid w:val="00BA26D0"/>
    <w:rsid w:val="00BA3210"/>
    <w:rsid w:val="00BA32C2"/>
    <w:rsid w:val="00BA489A"/>
    <w:rsid w:val="00BA59C1"/>
    <w:rsid w:val="00BA613C"/>
    <w:rsid w:val="00BA79F0"/>
    <w:rsid w:val="00BB0FCD"/>
    <w:rsid w:val="00BB51D3"/>
    <w:rsid w:val="00BB52AA"/>
    <w:rsid w:val="00BB5885"/>
    <w:rsid w:val="00BB7A86"/>
    <w:rsid w:val="00BC299C"/>
    <w:rsid w:val="00BC34AB"/>
    <w:rsid w:val="00BC3DB9"/>
    <w:rsid w:val="00BC4A08"/>
    <w:rsid w:val="00BC5FB6"/>
    <w:rsid w:val="00BD0C77"/>
    <w:rsid w:val="00BD185D"/>
    <w:rsid w:val="00BD259D"/>
    <w:rsid w:val="00BD2E72"/>
    <w:rsid w:val="00BD2F49"/>
    <w:rsid w:val="00BD60D1"/>
    <w:rsid w:val="00BE0259"/>
    <w:rsid w:val="00BE05F7"/>
    <w:rsid w:val="00BE144C"/>
    <w:rsid w:val="00BE2D3A"/>
    <w:rsid w:val="00BE2E2B"/>
    <w:rsid w:val="00BE4CC5"/>
    <w:rsid w:val="00BE5FF7"/>
    <w:rsid w:val="00BE68FC"/>
    <w:rsid w:val="00BE7495"/>
    <w:rsid w:val="00BF0285"/>
    <w:rsid w:val="00BF2FDE"/>
    <w:rsid w:val="00BF3177"/>
    <w:rsid w:val="00BF3A1A"/>
    <w:rsid w:val="00C00617"/>
    <w:rsid w:val="00C00EAB"/>
    <w:rsid w:val="00C012BB"/>
    <w:rsid w:val="00C035A1"/>
    <w:rsid w:val="00C04531"/>
    <w:rsid w:val="00C106CB"/>
    <w:rsid w:val="00C108FC"/>
    <w:rsid w:val="00C10D88"/>
    <w:rsid w:val="00C12076"/>
    <w:rsid w:val="00C12E15"/>
    <w:rsid w:val="00C13C9D"/>
    <w:rsid w:val="00C17195"/>
    <w:rsid w:val="00C20E3F"/>
    <w:rsid w:val="00C236E8"/>
    <w:rsid w:val="00C2413E"/>
    <w:rsid w:val="00C255F4"/>
    <w:rsid w:val="00C2568C"/>
    <w:rsid w:val="00C266C0"/>
    <w:rsid w:val="00C27484"/>
    <w:rsid w:val="00C3002D"/>
    <w:rsid w:val="00C30923"/>
    <w:rsid w:val="00C311B7"/>
    <w:rsid w:val="00C31980"/>
    <w:rsid w:val="00C32A46"/>
    <w:rsid w:val="00C35D18"/>
    <w:rsid w:val="00C4406A"/>
    <w:rsid w:val="00C44B4D"/>
    <w:rsid w:val="00C4536D"/>
    <w:rsid w:val="00C52725"/>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695B"/>
    <w:rsid w:val="00C900E9"/>
    <w:rsid w:val="00C901CC"/>
    <w:rsid w:val="00C91397"/>
    <w:rsid w:val="00CA17F5"/>
    <w:rsid w:val="00CA1C28"/>
    <w:rsid w:val="00CA2B6E"/>
    <w:rsid w:val="00CA2F6B"/>
    <w:rsid w:val="00CA447C"/>
    <w:rsid w:val="00CA5CBD"/>
    <w:rsid w:val="00CA6B1B"/>
    <w:rsid w:val="00CB2166"/>
    <w:rsid w:val="00CB2BDE"/>
    <w:rsid w:val="00CB474A"/>
    <w:rsid w:val="00CB5F8C"/>
    <w:rsid w:val="00CC0F23"/>
    <w:rsid w:val="00CC367F"/>
    <w:rsid w:val="00CC58C1"/>
    <w:rsid w:val="00CC77B6"/>
    <w:rsid w:val="00CC7E8D"/>
    <w:rsid w:val="00CD46A9"/>
    <w:rsid w:val="00CD686A"/>
    <w:rsid w:val="00CE1351"/>
    <w:rsid w:val="00CE50D5"/>
    <w:rsid w:val="00CE7E59"/>
    <w:rsid w:val="00CF0D76"/>
    <w:rsid w:val="00CF1B0F"/>
    <w:rsid w:val="00CF2475"/>
    <w:rsid w:val="00CF459F"/>
    <w:rsid w:val="00CF4DC4"/>
    <w:rsid w:val="00CF5808"/>
    <w:rsid w:val="00CF70A9"/>
    <w:rsid w:val="00D06107"/>
    <w:rsid w:val="00D14693"/>
    <w:rsid w:val="00D14795"/>
    <w:rsid w:val="00D162F4"/>
    <w:rsid w:val="00D17321"/>
    <w:rsid w:val="00D177A9"/>
    <w:rsid w:val="00D23DAB"/>
    <w:rsid w:val="00D25046"/>
    <w:rsid w:val="00D2538F"/>
    <w:rsid w:val="00D265FD"/>
    <w:rsid w:val="00D26A0B"/>
    <w:rsid w:val="00D27A87"/>
    <w:rsid w:val="00D27D18"/>
    <w:rsid w:val="00D30818"/>
    <w:rsid w:val="00D329CE"/>
    <w:rsid w:val="00D33D4F"/>
    <w:rsid w:val="00D34171"/>
    <w:rsid w:val="00D347D5"/>
    <w:rsid w:val="00D3627E"/>
    <w:rsid w:val="00D37804"/>
    <w:rsid w:val="00D37EEF"/>
    <w:rsid w:val="00D4118C"/>
    <w:rsid w:val="00D466AD"/>
    <w:rsid w:val="00D469DF"/>
    <w:rsid w:val="00D51132"/>
    <w:rsid w:val="00D62609"/>
    <w:rsid w:val="00D673A8"/>
    <w:rsid w:val="00D7282B"/>
    <w:rsid w:val="00D7306D"/>
    <w:rsid w:val="00D736C0"/>
    <w:rsid w:val="00D75C71"/>
    <w:rsid w:val="00D76366"/>
    <w:rsid w:val="00D7659E"/>
    <w:rsid w:val="00D81168"/>
    <w:rsid w:val="00D83F77"/>
    <w:rsid w:val="00D864C6"/>
    <w:rsid w:val="00D87510"/>
    <w:rsid w:val="00D87D8F"/>
    <w:rsid w:val="00D90564"/>
    <w:rsid w:val="00D9268F"/>
    <w:rsid w:val="00D934EF"/>
    <w:rsid w:val="00D946B7"/>
    <w:rsid w:val="00DA44CC"/>
    <w:rsid w:val="00DA5DAF"/>
    <w:rsid w:val="00DB2002"/>
    <w:rsid w:val="00DB5769"/>
    <w:rsid w:val="00DC2420"/>
    <w:rsid w:val="00DD293F"/>
    <w:rsid w:val="00DD2E92"/>
    <w:rsid w:val="00DD44DB"/>
    <w:rsid w:val="00DD596D"/>
    <w:rsid w:val="00DD6E97"/>
    <w:rsid w:val="00DE0088"/>
    <w:rsid w:val="00DE0443"/>
    <w:rsid w:val="00DE1326"/>
    <w:rsid w:val="00DE5E9D"/>
    <w:rsid w:val="00DF2FA4"/>
    <w:rsid w:val="00DF309F"/>
    <w:rsid w:val="00DF3132"/>
    <w:rsid w:val="00DF31ED"/>
    <w:rsid w:val="00DF3C76"/>
    <w:rsid w:val="00DF549A"/>
    <w:rsid w:val="00E00241"/>
    <w:rsid w:val="00E1171E"/>
    <w:rsid w:val="00E1303A"/>
    <w:rsid w:val="00E130D9"/>
    <w:rsid w:val="00E161B3"/>
    <w:rsid w:val="00E17297"/>
    <w:rsid w:val="00E21265"/>
    <w:rsid w:val="00E25182"/>
    <w:rsid w:val="00E2598D"/>
    <w:rsid w:val="00E25B44"/>
    <w:rsid w:val="00E25D3F"/>
    <w:rsid w:val="00E26719"/>
    <w:rsid w:val="00E3037C"/>
    <w:rsid w:val="00E30A12"/>
    <w:rsid w:val="00E327C6"/>
    <w:rsid w:val="00E33DB5"/>
    <w:rsid w:val="00E3408D"/>
    <w:rsid w:val="00E37895"/>
    <w:rsid w:val="00E37BDE"/>
    <w:rsid w:val="00E41362"/>
    <w:rsid w:val="00E43146"/>
    <w:rsid w:val="00E44070"/>
    <w:rsid w:val="00E44936"/>
    <w:rsid w:val="00E47216"/>
    <w:rsid w:val="00E51C56"/>
    <w:rsid w:val="00E52637"/>
    <w:rsid w:val="00E54620"/>
    <w:rsid w:val="00E54B78"/>
    <w:rsid w:val="00E569A9"/>
    <w:rsid w:val="00E56E9B"/>
    <w:rsid w:val="00E60619"/>
    <w:rsid w:val="00E61829"/>
    <w:rsid w:val="00E629EB"/>
    <w:rsid w:val="00E62BA5"/>
    <w:rsid w:val="00E64FB2"/>
    <w:rsid w:val="00E72042"/>
    <w:rsid w:val="00E736D0"/>
    <w:rsid w:val="00E7426F"/>
    <w:rsid w:val="00E746FA"/>
    <w:rsid w:val="00E77B1B"/>
    <w:rsid w:val="00E83177"/>
    <w:rsid w:val="00E84447"/>
    <w:rsid w:val="00E84814"/>
    <w:rsid w:val="00E848F7"/>
    <w:rsid w:val="00E84FCD"/>
    <w:rsid w:val="00E86349"/>
    <w:rsid w:val="00E86FA7"/>
    <w:rsid w:val="00E9237B"/>
    <w:rsid w:val="00E92619"/>
    <w:rsid w:val="00E93820"/>
    <w:rsid w:val="00E9584C"/>
    <w:rsid w:val="00E95AF3"/>
    <w:rsid w:val="00E96E68"/>
    <w:rsid w:val="00E96E94"/>
    <w:rsid w:val="00EA1341"/>
    <w:rsid w:val="00EA4078"/>
    <w:rsid w:val="00EA539A"/>
    <w:rsid w:val="00EA6A8E"/>
    <w:rsid w:val="00EA72B2"/>
    <w:rsid w:val="00EB1C5B"/>
    <w:rsid w:val="00EB312A"/>
    <w:rsid w:val="00EB7291"/>
    <w:rsid w:val="00EC0938"/>
    <w:rsid w:val="00EC33D5"/>
    <w:rsid w:val="00EC4E13"/>
    <w:rsid w:val="00EC66A9"/>
    <w:rsid w:val="00EC6BC0"/>
    <w:rsid w:val="00EC7675"/>
    <w:rsid w:val="00EC793C"/>
    <w:rsid w:val="00ED099C"/>
    <w:rsid w:val="00EE2E07"/>
    <w:rsid w:val="00EE4D21"/>
    <w:rsid w:val="00EE54A8"/>
    <w:rsid w:val="00EE7761"/>
    <w:rsid w:val="00EF1AF7"/>
    <w:rsid w:val="00EF21F9"/>
    <w:rsid w:val="00EF3009"/>
    <w:rsid w:val="00EF4025"/>
    <w:rsid w:val="00EF41D9"/>
    <w:rsid w:val="00EF6A70"/>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417"/>
    <w:rsid w:val="00F21B7A"/>
    <w:rsid w:val="00F21E6A"/>
    <w:rsid w:val="00F22EB7"/>
    <w:rsid w:val="00F24170"/>
    <w:rsid w:val="00F24A89"/>
    <w:rsid w:val="00F3359E"/>
    <w:rsid w:val="00F33E8D"/>
    <w:rsid w:val="00F36E8A"/>
    <w:rsid w:val="00F3730B"/>
    <w:rsid w:val="00F3782D"/>
    <w:rsid w:val="00F408F8"/>
    <w:rsid w:val="00F40F5E"/>
    <w:rsid w:val="00F51363"/>
    <w:rsid w:val="00F53E09"/>
    <w:rsid w:val="00F54D8F"/>
    <w:rsid w:val="00F557BF"/>
    <w:rsid w:val="00F557CF"/>
    <w:rsid w:val="00F56B0B"/>
    <w:rsid w:val="00F62F18"/>
    <w:rsid w:val="00F6395D"/>
    <w:rsid w:val="00F6594A"/>
    <w:rsid w:val="00F67E06"/>
    <w:rsid w:val="00F71A24"/>
    <w:rsid w:val="00F73A95"/>
    <w:rsid w:val="00F73DE4"/>
    <w:rsid w:val="00F82F61"/>
    <w:rsid w:val="00F87C5D"/>
    <w:rsid w:val="00F92018"/>
    <w:rsid w:val="00F931C8"/>
    <w:rsid w:val="00F948C4"/>
    <w:rsid w:val="00F958D5"/>
    <w:rsid w:val="00FA0DEA"/>
    <w:rsid w:val="00FA4E9C"/>
    <w:rsid w:val="00FA5C9F"/>
    <w:rsid w:val="00FA6717"/>
    <w:rsid w:val="00FA6DCE"/>
    <w:rsid w:val="00FA6EA9"/>
    <w:rsid w:val="00FB1388"/>
    <w:rsid w:val="00FB2086"/>
    <w:rsid w:val="00FB20A1"/>
    <w:rsid w:val="00FB266E"/>
    <w:rsid w:val="00FB3B12"/>
    <w:rsid w:val="00FB7EBC"/>
    <w:rsid w:val="00FC1BF3"/>
    <w:rsid w:val="00FC2150"/>
    <w:rsid w:val="00FC24C9"/>
    <w:rsid w:val="00FC326B"/>
    <w:rsid w:val="00FC726B"/>
    <w:rsid w:val="00FD10C6"/>
    <w:rsid w:val="00FD1C78"/>
    <w:rsid w:val="00FD4620"/>
    <w:rsid w:val="00FD7E46"/>
    <w:rsid w:val="00FE3428"/>
    <w:rsid w:val="00FE3AB8"/>
    <w:rsid w:val="00FE3D0A"/>
    <w:rsid w:val="00FE505A"/>
    <w:rsid w:val="00FE7B0A"/>
    <w:rsid w:val="00FF24CC"/>
    <w:rsid w:val="00FF75C8"/>
    <w:rsid w:val="00FF78DB"/>
    <w:rsid w:val="010B3251"/>
    <w:rsid w:val="01135319"/>
    <w:rsid w:val="01185629"/>
    <w:rsid w:val="011E3D92"/>
    <w:rsid w:val="012C2953"/>
    <w:rsid w:val="012F1A4A"/>
    <w:rsid w:val="01412577"/>
    <w:rsid w:val="014760CF"/>
    <w:rsid w:val="014C17E7"/>
    <w:rsid w:val="014E5F3A"/>
    <w:rsid w:val="01541E5F"/>
    <w:rsid w:val="016C2D4F"/>
    <w:rsid w:val="01A36C84"/>
    <w:rsid w:val="01AC62C2"/>
    <w:rsid w:val="01AF70E0"/>
    <w:rsid w:val="01B72F8E"/>
    <w:rsid w:val="01B8713D"/>
    <w:rsid w:val="01BD7F3C"/>
    <w:rsid w:val="01C30466"/>
    <w:rsid w:val="01EC64FE"/>
    <w:rsid w:val="021102C0"/>
    <w:rsid w:val="0224732D"/>
    <w:rsid w:val="022C524D"/>
    <w:rsid w:val="022F634A"/>
    <w:rsid w:val="02360F7F"/>
    <w:rsid w:val="023A34E4"/>
    <w:rsid w:val="02451BDB"/>
    <w:rsid w:val="02454C77"/>
    <w:rsid w:val="02455400"/>
    <w:rsid w:val="024F5197"/>
    <w:rsid w:val="02551A35"/>
    <w:rsid w:val="02581525"/>
    <w:rsid w:val="025C1D5F"/>
    <w:rsid w:val="025F3723"/>
    <w:rsid w:val="02620983"/>
    <w:rsid w:val="02745073"/>
    <w:rsid w:val="027F2CE7"/>
    <w:rsid w:val="028B2332"/>
    <w:rsid w:val="028B4851"/>
    <w:rsid w:val="029C58B6"/>
    <w:rsid w:val="02B477EC"/>
    <w:rsid w:val="02BD74E3"/>
    <w:rsid w:val="02BF2365"/>
    <w:rsid w:val="02D92666"/>
    <w:rsid w:val="02DD4FCB"/>
    <w:rsid w:val="02EF5021"/>
    <w:rsid w:val="02F068B7"/>
    <w:rsid w:val="02F461F7"/>
    <w:rsid w:val="032A6CC6"/>
    <w:rsid w:val="03320E40"/>
    <w:rsid w:val="035D7CC3"/>
    <w:rsid w:val="036B36AB"/>
    <w:rsid w:val="037E4F76"/>
    <w:rsid w:val="039D37B9"/>
    <w:rsid w:val="03A24FB8"/>
    <w:rsid w:val="03B06E66"/>
    <w:rsid w:val="03BB1D6C"/>
    <w:rsid w:val="03DD0530"/>
    <w:rsid w:val="03EF2CE9"/>
    <w:rsid w:val="040F3D0C"/>
    <w:rsid w:val="04132B98"/>
    <w:rsid w:val="041D17CF"/>
    <w:rsid w:val="04225728"/>
    <w:rsid w:val="04494B18"/>
    <w:rsid w:val="044F44C2"/>
    <w:rsid w:val="045C00A3"/>
    <w:rsid w:val="046E6DDE"/>
    <w:rsid w:val="046F57A6"/>
    <w:rsid w:val="047D665D"/>
    <w:rsid w:val="048823FD"/>
    <w:rsid w:val="0489702C"/>
    <w:rsid w:val="04962264"/>
    <w:rsid w:val="04972866"/>
    <w:rsid w:val="049F168E"/>
    <w:rsid w:val="04AD6E52"/>
    <w:rsid w:val="04B97771"/>
    <w:rsid w:val="04C45F51"/>
    <w:rsid w:val="04DB5070"/>
    <w:rsid w:val="04E00053"/>
    <w:rsid w:val="04E03157"/>
    <w:rsid w:val="04E864D7"/>
    <w:rsid w:val="04F97A5F"/>
    <w:rsid w:val="05173421"/>
    <w:rsid w:val="051871AC"/>
    <w:rsid w:val="0529526E"/>
    <w:rsid w:val="053D096B"/>
    <w:rsid w:val="058E496B"/>
    <w:rsid w:val="058E77EE"/>
    <w:rsid w:val="059347EB"/>
    <w:rsid w:val="0599469E"/>
    <w:rsid w:val="059B3928"/>
    <w:rsid w:val="059B5FCF"/>
    <w:rsid w:val="05A35969"/>
    <w:rsid w:val="05AB6C9C"/>
    <w:rsid w:val="05B62759"/>
    <w:rsid w:val="05C375FE"/>
    <w:rsid w:val="06115F14"/>
    <w:rsid w:val="06181A7E"/>
    <w:rsid w:val="062563DB"/>
    <w:rsid w:val="063446BA"/>
    <w:rsid w:val="06361B7E"/>
    <w:rsid w:val="066A35A8"/>
    <w:rsid w:val="066E7569"/>
    <w:rsid w:val="066F3954"/>
    <w:rsid w:val="06AE292B"/>
    <w:rsid w:val="06B65CD0"/>
    <w:rsid w:val="06C9729F"/>
    <w:rsid w:val="06CC11DC"/>
    <w:rsid w:val="06CD339A"/>
    <w:rsid w:val="06DB2D93"/>
    <w:rsid w:val="06E53DBD"/>
    <w:rsid w:val="071427CE"/>
    <w:rsid w:val="071C366B"/>
    <w:rsid w:val="072A7934"/>
    <w:rsid w:val="07380693"/>
    <w:rsid w:val="07534F71"/>
    <w:rsid w:val="07640FE3"/>
    <w:rsid w:val="07651C3E"/>
    <w:rsid w:val="0772408F"/>
    <w:rsid w:val="077C1481"/>
    <w:rsid w:val="078738E5"/>
    <w:rsid w:val="07C350FC"/>
    <w:rsid w:val="07E0038B"/>
    <w:rsid w:val="07E22343"/>
    <w:rsid w:val="07E63290"/>
    <w:rsid w:val="07F0331B"/>
    <w:rsid w:val="07F330AF"/>
    <w:rsid w:val="082519CD"/>
    <w:rsid w:val="082940FA"/>
    <w:rsid w:val="083815F3"/>
    <w:rsid w:val="08591B53"/>
    <w:rsid w:val="08680D99"/>
    <w:rsid w:val="086D17A6"/>
    <w:rsid w:val="08711147"/>
    <w:rsid w:val="08740C95"/>
    <w:rsid w:val="087B01EC"/>
    <w:rsid w:val="0882554E"/>
    <w:rsid w:val="08980B81"/>
    <w:rsid w:val="089B22B1"/>
    <w:rsid w:val="08A37219"/>
    <w:rsid w:val="08C71104"/>
    <w:rsid w:val="08D60E0C"/>
    <w:rsid w:val="08E67C87"/>
    <w:rsid w:val="08EE549F"/>
    <w:rsid w:val="08F929D4"/>
    <w:rsid w:val="08F9463F"/>
    <w:rsid w:val="09071E76"/>
    <w:rsid w:val="090919EB"/>
    <w:rsid w:val="090B5646"/>
    <w:rsid w:val="092E3A4F"/>
    <w:rsid w:val="0937247C"/>
    <w:rsid w:val="0941189C"/>
    <w:rsid w:val="09480DFD"/>
    <w:rsid w:val="0978513B"/>
    <w:rsid w:val="097B235C"/>
    <w:rsid w:val="097E023F"/>
    <w:rsid w:val="0986148E"/>
    <w:rsid w:val="098C76F4"/>
    <w:rsid w:val="09905A49"/>
    <w:rsid w:val="09AB4631"/>
    <w:rsid w:val="09DB4584"/>
    <w:rsid w:val="09DE49C3"/>
    <w:rsid w:val="09E63573"/>
    <w:rsid w:val="09E638BB"/>
    <w:rsid w:val="09F56C35"/>
    <w:rsid w:val="0A0B5E4F"/>
    <w:rsid w:val="0A0D71D4"/>
    <w:rsid w:val="0A202BDB"/>
    <w:rsid w:val="0A312E98"/>
    <w:rsid w:val="0A4970DF"/>
    <w:rsid w:val="0A643FF9"/>
    <w:rsid w:val="0A6D0BF9"/>
    <w:rsid w:val="0A71097F"/>
    <w:rsid w:val="0A76322F"/>
    <w:rsid w:val="0A804025"/>
    <w:rsid w:val="0A817AC5"/>
    <w:rsid w:val="0A947529"/>
    <w:rsid w:val="0A9E23A2"/>
    <w:rsid w:val="0AAA070D"/>
    <w:rsid w:val="0AB03154"/>
    <w:rsid w:val="0AC2744D"/>
    <w:rsid w:val="0AC6595D"/>
    <w:rsid w:val="0ACD49DD"/>
    <w:rsid w:val="0ADC601D"/>
    <w:rsid w:val="0B052C79"/>
    <w:rsid w:val="0B2F2F05"/>
    <w:rsid w:val="0B760218"/>
    <w:rsid w:val="0B81389B"/>
    <w:rsid w:val="0B814064"/>
    <w:rsid w:val="0B8E5F07"/>
    <w:rsid w:val="0BB71C78"/>
    <w:rsid w:val="0BC344B8"/>
    <w:rsid w:val="0BC36BAC"/>
    <w:rsid w:val="0BCA7E13"/>
    <w:rsid w:val="0BD87233"/>
    <w:rsid w:val="0C0B0A36"/>
    <w:rsid w:val="0C0B5801"/>
    <w:rsid w:val="0C0E5A61"/>
    <w:rsid w:val="0C18189B"/>
    <w:rsid w:val="0C250C89"/>
    <w:rsid w:val="0C322C54"/>
    <w:rsid w:val="0C384C2D"/>
    <w:rsid w:val="0C3C45A5"/>
    <w:rsid w:val="0C3E5B11"/>
    <w:rsid w:val="0C433C4C"/>
    <w:rsid w:val="0C4A6E3B"/>
    <w:rsid w:val="0C594918"/>
    <w:rsid w:val="0C5C6470"/>
    <w:rsid w:val="0C624075"/>
    <w:rsid w:val="0C721C12"/>
    <w:rsid w:val="0C932E62"/>
    <w:rsid w:val="0CAA3B17"/>
    <w:rsid w:val="0CCD775F"/>
    <w:rsid w:val="0CCF1C67"/>
    <w:rsid w:val="0CDB0E3A"/>
    <w:rsid w:val="0CEC5B65"/>
    <w:rsid w:val="0CF307C8"/>
    <w:rsid w:val="0CFE2CC9"/>
    <w:rsid w:val="0D33083B"/>
    <w:rsid w:val="0D3A7BF6"/>
    <w:rsid w:val="0D5720D6"/>
    <w:rsid w:val="0D812F30"/>
    <w:rsid w:val="0D943D26"/>
    <w:rsid w:val="0D9D6643"/>
    <w:rsid w:val="0DA4265D"/>
    <w:rsid w:val="0DDD1D89"/>
    <w:rsid w:val="0DE5766B"/>
    <w:rsid w:val="0E217715"/>
    <w:rsid w:val="0E230543"/>
    <w:rsid w:val="0E262E77"/>
    <w:rsid w:val="0E4E0519"/>
    <w:rsid w:val="0E6B438E"/>
    <w:rsid w:val="0E775145"/>
    <w:rsid w:val="0E7D62A0"/>
    <w:rsid w:val="0E862666"/>
    <w:rsid w:val="0E894029"/>
    <w:rsid w:val="0E9519F4"/>
    <w:rsid w:val="0E970006"/>
    <w:rsid w:val="0EA351E9"/>
    <w:rsid w:val="0EB23591"/>
    <w:rsid w:val="0EC54F95"/>
    <w:rsid w:val="0EE15C9A"/>
    <w:rsid w:val="0F121DB0"/>
    <w:rsid w:val="0F2C4AE3"/>
    <w:rsid w:val="0F4916F4"/>
    <w:rsid w:val="0F4D3DD2"/>
    <w:rsid w:val="0F615F71"/>
    <w:rsid w:val="0F672DA8"/>
    <w:rsid w:val="0F6C03BE"/>
    <w:rsid w:val="0F716409"/>
    <w:rsid w:val="0F9242C9"/>
    <w:rsid w:val="0F961439"/>
    <w:rsid w:val="0F96368D"/>
    <w:rsid w:val="0F995909"/>
    <w:rsid w:val="0FB74BD2"/>
    <w:rsid w:val="0FBD4832"/>
    <w:rsid w:val="0FDA7A1E"/>
    <w:rsid w:val="0FDD0426"/>
    <w:rsid w:val="0FDE334F"/>
    <w:rsid w:val="0FE73EF4"/>
    <w:rsid w:val="10086C08"/>
    <w:rsid w:val="100A4622"/>
    <w:rsid w:val="101C4C40"/>
    <w:rsid w:val="10216D79"/>
    <w:rsid w:val="10323DD1"/>
    <w:rsid w:val="10331D1F"/>
    <w:rsid w:val="10362ED7"/>
    <w:rsid w:val="103A7EF0"/>
    <w:rsid w:val="10456598"/>
    <w:rsid w:val="104E1DDF"/>
    <w:rsid w:val="10AC2212"/>
    <w:rsid w:val="10AD1CE9"/>
    <w:rsid w:val="10B87347"/>
    <w:rsid w:val="10C94242"/>
    <w:rsid w:val="10DB5671"/>
    <w:rsid w:val="10E906BE"/>
    <w:rsid w:val="10F65BB2"/>
    <w:rsid w:val="10FD7E68"/>
    <w:rsid w:val="10FE38DC"/>
    <w:rsid w:val="110E410B"/>
    <w:rsid w:val="110E44B0"/>
    <w:rsid w:val="1111746F"/>
    <w:rsid w:val="111C694E"/>
    <w:rsid w:val="11234C44"/>
    <w:rsid w:val="112722D1"/>
    <w:rsid w:val="11274EE5"/>
    <w:rsid w:val="112C65D5"/>
    <w:rsid w:val="112C793F"/>
    <w:rsid w:val="113B087D"/>
    <w:rsid w:val="11760EA5"/>
    <w:rsid w:val="117D320D"/>
    <w:rsid w:val="11863F32"/>
    <w:rsid w:val="119D1432"/>
    <w:rsid w:val="11A258BC"/>
    <w:rsid w:val="11A560B7"/>
    <w:rsid w:val="11A675AA"/>
    <w:rsid w:val="11AF7BEF"/>
    <w:rsid w:val="11B01290"/>
    <w:rsid w:val="11F22FD8"/>
    <w:rsid w:val="12103BB7"/>
    <w:rsid w:val="121E1215"/>
    <w:rsid w:val="122D5C93"/>
    <w:rsid w:val="122D61E0"/>
    <w:rsid w:val="122D65C3"/>
    <w:rsid w:val="123C5EC2"/>
    <w:rsid w:val="124679B3"/>
    <w:rsid w:val="124A041A"/>
    <w:rsid w:val="126A332D"/>
    <w:rsid w:val="12706417"/>
    <w:rsid w:val="12791A6B"/>
    <w:rsid w:val="129A55BA"/>
    <w:rsid w:val="12A93FDD"/>
    <w:rsid w:val="12AB6F21"/>
    <w:rsid w:val="12AE685D"/>
    <w:rsid w:val="12E47B36"/>
    <w:rsid w:val="12E62CF7"/>
    <w:rsid w:val="12E70326"/>
    <w:rsid w:val="12ED6E01"/>
    <w:rsid w:val="12F22931"/>
    <w:rsid w:val="12F549DA"/>
    <w:rsid w:val="12FD68C7"/>
    <w:rsid w:val="1327073B"/>
    <w:rsid w:val="13273320"/>
    <w:rsid w:val="132D60B6"/>
    <w:rsid w:val="13524E04"/>
    <w:rsid w:val="13531FC1"/>
    <w:rsid w:val="13556AB7"/>
    <w:rsid w:val="13594C6D"/>
    <w:rsid w:val="135C230F"/>
    <w:rsid w:val="13842771"/>
    <w:rsid w:val="13BB16CB"/>
    <w:rsid w:val="13C66C37"/>
    <w:rsid w:val="13D12EE6"/>
    <w:rsid w:val="13E02B4C"/>
    <w:rsid w:val="13EB1F9D"/>
    <w:rsid w:val="140B1DA1"/>
    <w:rsid w:val="140B6DFF"/>
    <w:rsid w:val="141D098F"/>
    <w:rsid w:val="14261254"/>
    <w:rsid w:val="143E4201"/>
    <w:rsid w:val="144C07BE"/>
    <w:rsid w:val="14504ADF"/>
    <w:rsid w:val="145942DE"/>
    <w:rsid w:val="145E3EFA"/>
    <w:rsid w:val="14626B51"/>
    <w:rsid w:val="14711557"/>
    <w:rsid w:val="14A03622"/>
    <w:rsid w:val="14AE09F5"/>
    <w:rsid w:val="14C0465F"/>
    <w:rsid w:val="14C37EF3"/>
    <w:rsid w:val="14D90D9A"/>
    <w:rsid w:val="14DB7BA0"/>
    <w:rsid w:val="15073D56"/>
    <w:rsid w:val="1507525E"/>
    <w:rsid w:val="152E1374"/>
    <w:rsid w:val="152E46BB"/>
    <w:rsid w:val="15334E58"/>
    <w:rsid w:val="1545025A"/>
    <w:rsid w:val="1548703D"/>
    <w:rsid w:val="154D4A2D"/>
    <w:rsid w:val="154F2ADA"/>
    <w:rsid w:val="155467B9"/>
    <w:rsid w:val="15633FEB"/>
    <w:rsid w:val="15697F6D"/>
    <w:rsid w:val="15987BD3"/>
    <w:rsid w:val="15A451BB"/>
    <w:rsid w:val="15B04FE5"/>
    <w:rsid w:val="15B55E9F"/>
    <w:rsid w:val="15C61C55"/>
    <w:rsid w:val="15CA107C"/>
    <w:rsid w:val="15EE0CC0"/>
    <w:rsid w:val="15F86715"/>
    <w:rsid w:val="1600259C"/>
    <w:rsid w:val="16227C7A"/>
    <w:rsid w:val="163B5D63"/>
    <w:rsid w:val="16525527"/>
    <w:rsid w:val="166632A8"/>
    <w:rsid w:val="168E3310"/>
    <w:rsid w:val="16925C65"/>
    <w:rsid w:val="16957C35"/>
    <w:rsid w:val="16A70971"/>
    <w:rsid w:val="16A7566D"/>
    <w:rsid w:val="16AE2143"/>
    <w:rsid w:val="16B32E16"/>
    <w:rsid w:val="16BD0B5E"/>
    <w:rsid w:val="16DD6BE8"/>
    <w:rsid w:val="16E742E5"/>
    <w:rsid w:val="16E91748"/>
    <w:rsid w:val="16EC742C"/>
    <w:rsid w:val="16ED2ED8"/>
    <w:rsid w:val="16F72FE9"/>
    <w:rsid w:val="170344B7"/>
    <w:rsid w:val="17362267"/>
    <w:rsid w:val="1739327C"/>
    <w:rsid w:val="173F5012"/>
    <w:rsid w:val="17465510"/>
    <w:rsid w:val="17570670"/>
    <w:rsid w:val="17752957"/>
    <w:rsid w:val="17843C78"/>
    <w:rsid w:val="179539B3"/>
    <w:rsid w:val="17A11B1A"/>
    <w:rsid w:val="17A8018F"/>
    <w:rsid w:val="17BD3500"/>
    <w:rsid w:val="17C56CB2"/>
    <w:rsid w:val="17E71D96"/>
    <w:rsid w:val="17F21C0F"/>
    <w:rsid w:val="17F60AD4"/>
    <w:rsid w:val="18226012"/>
    <w:rsid w:val="182A68C4"/>
    <w:rsid w:val="182E2225"/>
    <w:rsid w:val="18326924"/>
    <w:rsid w:val="184D6CCD"/>
    <w:rsid w:val="18982224"/>
    <w:rsid w:val="189A5F9C"/>
    <w:rsid w:val="18A26F81"/>
    <w:rsid w:val="18A91971"/>
    <w:rsid w:val="18D40C27"/>
    <w:rsid w:val="18E10285"/>
    <w:rsid w:val="18F63582"/>
    <w:rsid w:val="1917478C"/>
    <w:rsid w:val="1925076B"/>
    <w:rsid w:val="193F52C7"/>
    <w:rsid w:val="195E6AFC"/>
    <w:rsid w:val="19767A36"/>
    <w:rsid w:val="19845827"/>
    <w:rsid w:val="19891E26"/>
    <w:rsid w:val="19965C3B"/>
    <w:rsid w:val="19995FEF"/>
    <w:rsid w:val="19B06428"/>
    <w:rsid w:val="19B24017"/>
    <w:rsid w:val="19B5474D"/>
    <w:rsid w:val="19B7394B"/>
    <w:rsid w:val="19C6215B"/>
    <w:rsid w:val="19C7004D"/>
    <w:rsid w:val="19D1087E"/>
    <w:rsid w:val="19D41C35"/>
    <w:rsid w:val="19F94F44"/>
    <w:rsid w:val="1A023DF9"/>
    <w:rsid w:val="1A0A1868"/>
    <w:rsid w:val="1A0F2BBB"/>
    <w:rsid w:val="1A2B5153"/>
    <w:rsid w:val="1A3D7527"/>
    <w:rsid w:val="1A4841F6"/>
    <w:rsid w:val="1A4C32C6"/>
    <w:rsid w:val="1A6266B1"/>
    <w:rsid w:val="1A6B75C1"/>
    <w:rsid w:val="1A6F4C7E"/>
    <w:rsid w:val="1A7828B8"/>
    <w:rsid w:val="1A8020C3"/>
    <w:rsid w:val="1A815B98"/>
    <w:rsid w:val="1A8E0A25"/>
    <w:rsid w:val="1A952EBF"/>
    <w:rsid w:val="1ABD4F6B"/>
    <w:rsid w:val="1ABE4F37"/>
    <w:rsid w:val="1AD07418"/>
    <w:rsid w:val="1AD13286"/>
    <w:rsid w:val="1AE12880"/>
    <w:rsid w:val="1AE76412"/>
    <w:rsid w:val="1AF73E39"/>
    <w:rsid w:val="1B0822A1"/>
    <w:rsid w:val="1B23671D"/>
    <w:rsid w:val="1B2A04B8"/>
    <w:rsid w:val="1B405D79"/>
    <w:rsid w:val="1B4F12C0"/>
    <w:rsid w:val="1B541E65"/>
    <w:rsid w:val="1B644FBE"/>
    <w:rsid w:val="1B6C2B1A"/>
    <w:rsid w:val="1B762CF0"/>
    <w:rsid w:val="1B794315"/>
    <w:rsid w:val="1B7E6473"/>
    <w:rsid w:val="1B9542BC"/>
    <w:rsid w:val="1B9C5626"/>
    <w:rsid w:val="1BC111D7"/>
    <w:rsid w:val="1BDF5C99"/>
    <w:rsid w:val="1BE45F55"/>
    <w:rsid w:val="1BEE19EA"/>
    <w:rsid w:val="1BF97687"/>
    <w:rsid w:val="1C090CA8"/>
    <w:rsid w:val="1C0C48EF"/>
    <w:rsid w:val="1C144689"/>
    <w:rsid w:val="1C4A30B1"/>
    <w:rsid w:val="1C4A55AD"/>
    <w:rsid w:val="1C4E2C2F"/>
    <w:rsid w:val="1C4F5BA6"/>
    <w:rsid w:val="1C6F7B8D"/>
    <w:rsid w:val="1C887C1C"/>
    <w:rsid w:val="1CA53FD8"/>
    <w:rsid w:val="1CAF5288"/>
    <w:rsid w:val="1CBC7D45"/>
    <w:rsid w:val="1CD5220D"/>
    <w:rsid w:val="1CDB39FF"/>
    <w:rsid w:val="1CDC33EA"/>
    <w:rsid w:val="1CDF6673"/>
    <w:rsid w:val="1CE93C9D"/>
    <w:rsid w:val="1CE974F2"/>
    <w:rsid w:val="1CF74ED1"/>
    <w:rsid w:val="1D034A1B"/>
    <w:rsid w:val="1D0C724A"/>
    <w:rsid w:val="1D14451E"/>
    <w:rsid w:val="1D1B0675"/>
    <w:rsid w:val="1D2C1952"/>
    <w:rsid w:val="1D401E7C"/>
    <w:rsid w:val="1D5277E1"/>
    <w:rsid w:val="1D5B00C8"/>
    <w:rsid w:val="1D5C2BCA"/>
    <w:rsid w:val="1D63115F"/>
    <w:rsid w:val="1D6A6625"/>
    <w:rsid w:val="1D761F6D"/>
    <w:rsid w:val="1DA376A1"/>
    <w:rsid w:val="1DA7437D"/>
    <w:rsid w:val="1DC3584A"/>
    <w:rsid w:val="1DD83C00"/>
    <w:rsid w:val="1DE53F6E"/>
    <w:rsid w:val="1DF423B5"/>
    <w:rsid w:val="1E0167F0"/>
    <w:rsid w:val="1E062A89"/>
    <w:rsid w:val="1E14059F"/>
    <w:rsid w:val="1E200A0C"/>
    <w:rsid w:val="1E396D5E"/>
    <w:rsid w:val="1E3B509B"/>
    <w:rsid w:val="1E422DCD"/>
    <w:rsid w:val="1E4C6A06"/>
    <w:rsid w:val="1E705716"/>
    <w:rsid w:val="1E762002"/>
    <w:rsid w:val="1E786D7F"/>
    <w:rsid w:val="1E946CAF"/>
    <w:rsid w:val="1E96141D"/>
    <w:rsid w:val="1EA17B80"/>
    <w:rsid w:val="1EBC40B5"/>
    <w:rsid w:val="1EBE413C"/>
    <w:rsid w:val="1ECF6725"/>
    <w:rsid w:val="1ED609B5"/>
    <w:rsid w:val="1EE07CF1"/>
    <w:rsid w:val="1EE81709"/>
    <w:rsid w:val="1EEC3166"/>
    <w:rsid w:val="1F1046BD"/>
    <w:rsid w:val="1F1202A0"/>
    <w:rsid w:val="1F150B21"/>
    <w:rsid w:val="1F1A4A70"/>
    <w:rsid w:val="1F220E80"/>
    <w:rsid w:val="1F3A07F9"/>
    <w:rsid w:val="1F5F375D"/>
    <w:rsid w:val="1F64439F"/>
    <w:rsid w:val="1F791110"/>
    <w:rsid w:val="1F7D1A7A"/>
    <w:rsid w:val="1F7F15FB"/>
    <w:rsid w:val="1F853B4E"/>
    <w:rsid w:val="1FAC7B25"/>
    <w:rsid w:val="1FAE3E88"/>
    <w:rsid w:val="1FB11828"/>
    <w:rsid w:val="200048E1"/>
    <w:rsid w:val="201160F9"/>
    <w:rsid w:val="2011735E"/>
    <w:rsid w:val="20271012"/>
    <w:rsid w:val="203D6492"/>
    <w:rsid w:val="2053420E"/>
    <w:rsid w:val="206E7307"/>
    <w:rsid w:val="2073172C"/>
    <w:rsid w:val="207A194A"/>
    <w:rsid w:val="208B1FB8"/>
    <w:rsid w:val="208C3E81"/>
    <w:rsid w:val="2093738A"/>
    <w:rsid w:val="20A63C3D"/>
    <w:rsid w:val="20B52003"/>
    <w:rsid w:val="20CF4055"/>
    <w:rsid w:val="20DB35F6"/>
    <w:rsid w:val="20DD2C3A"/>
    <w:rsid w:val="20FB548E"/>
    <w:rsid w:val="21016838"/>
    <w:rsid w:val="211875B6"/>
    <w:rsid w:val="21211AEC"/>
    <w:rsid w:val="21243E24"/>
    <w:rsid w:val="2126611F"/>
    <w:rsid w:val="2144625F"/>
    <w:rsid w:val="214D2F3E"/>
    <w:rsid w:val="214E201A"/>
    <w:rsid w:val="21503EE9"/>
    <w:rsid w:val="215108FA"/>
    <w:rsid w:val="216A5288"/>
    <w:rsid w:val="21914BDF"/>
    <w:rsid w:val="21A16099"/>
    <w:rsid w:val="21A44AD3"/>
    <w:rsid w:val="21AC474F"/>
    <w:rsid w:val="21B60D96"/>
    <w:rsid w:val="21C5599A"/>
    <w:rsid w:val="21C873C6"/>
    <w:rsid w:val="21D85A61"/>
    <w:rsid w:val="21E73283"/>
    <w:rsid w:val="21FB6384"/>
    <w:rsid w:val="220B6D2D"/>
    <w:rsid w:val="22282379"/>
    <w:rsid w:val="224935F6"/>
    <w:rsid w:val="224E4C81"/>
    <w:rsid w:val="225D7D10"/>
    <w:rsid w:val="22827C17"/>
    <w:rsid w:val="228E7B0F"/>
    <w:rsid w:val="229569DE"/>
    <w:rsid w:val="22AA5908"/>
    <w:rsid w:val="22B639B7"/>
    <w:rsid w:val="22BE3A86"/>
    <w:rsid w:val="22CA0E2D"/>
    <w:rsid w:val="22EB219D"/>
    <w:rsid w:val="22EF4620"/>
    <w:rsid w:val="230D64BA"/>
    <w:rsid w:val="23187D6B"/>
    <w:rsid w:val="232B2612"/>
    <w:rsid w:val="232D5D5D"/>
    <w:rsid w:val="232E2103"/>
    <w:rsid w:val="233174F1"/>
    <w:rsid w:val="23356C71"/>
    <w:rsid w:val="234F5D1E"/>
    <w:rsid w:val="23511BBD"/>
    <w:rsid w:val="235278E2"/>
    <w:rsid w:val="23895957"/>
    <w:rsid w:val="23963260"/>
    <w:rsid w:val="239A286B"/>
    <w:rsid w:val="239E61DC"/>
    <w:rsid w:val="23D75967"/>
    <w:rsid w:val="23EA3A5D"/>
    <w:rsid w:val="23FF13A9"/>
    <w:rsid w:val="24057CF1"/>
    <w:rsid w:val="24073700"/>
    <w:rsid w:val="241A3187"/>
    <w:rsid w:val="241D35CB"/>
    <w:rsid w:val="241F1A4B"/>
    <w:rsid w:val="242E6397"/>
    <w:rsid w:val="242F6132"/>
    <w:rsid w:val="243E46A6"/>
    <w:rsid w:val="244A6CD8"/>
    <w:rsid w:val="244C5FBF"/>
    <w:rsid w:val="24741728"/>
    <w:rsid w:val="24760F1F"/>
    <w:rsid w:val="248F097F"/>
    <w:rsid w:val="24A563F4"/>
    <w:rsid w:val="24CA6C8E"/>
    <w:rsid w:val="24D33D37"/>
    <w:rsid w:val="24D551C2"/>
    <w:rsid w:val="24D664D1"/>
    <w:rsid w:val="24D8608F"/>
    <w:rsid w:val="24E372C9"/>
    <w:rsid w:val="24EF6316"/>
    <w:rsid w:val="24F23FCB"/>
    <w:rsid w:val="24FB1B6E"/>
    <w:rsid w:val="24FB7DC2"/>
    <w:rsid w:val="24FD7366"/>
    <w:rsid w:val="252B275E"/>
    <w:rsid w:val="255810AA"/>
    <w:rsid w:val="255D3C9C"/>
    <w:rsid w:val="256B13EC"/>
    <w:rsid w:val="25755DC7"/>
    <w:rsid w:val="258353D7"/>
    <w:rsid w:val="258B4548"/>
    <w:rsid w:val="25956469"/>
    <w:rsid w:val="25D7018F"/>
    <w:rsid w:val="260D56BF"/>
    <w:rsid w:val="26235823"/>
    <w:rsid w:val="26263EB4"/>
    <w:rsid w:val="26621D57"/>
    <w:rsid w:val="26680C8E"/>
    <w:rsid w:val="266D56D5"/>
    <w:rsid w:val="26764D65"/>
    <w:rsid w:val="26805443"/>
    <w:rsid w:val="26916DC9"/>
    <w:rsid w:val="269867F5"/>
    <w:rsid w:val="269C607B"/>
    <w:rsid w:val="26B87422"/>
    <w:rsid w:val="26C22FE2"/>
    <w:rsid w:val="26E50D2A"/>
    <w:rsid w:val="2706779E"/>
    <w:rsid w:val="271A7202"/>
    <w:rsid w:val="271B1790"/>
    <w:rsid w:val="27293DBF"/>
    <w:rsid w:val="2749750B"/>
    <w:rsid w:val="274C6A10"/>
    <w:rsid w:val="2755710A"/>
    <w:rsid w:val="27623821"/>
    <w:rsid w:val="27632EE8"/>
    <w:rsid w:val="276B4B90"/>
    <w:rsid w:val="278510AC"/>
    <w:rsid w:val="2795721C"/>
    <w:rsid w:val="27A17800"/>
    <w:rsid w:val="27A9576F"/>
    <w:rsid w:val="27A961FC"/>
    <w:rsid w:val="27B81492"/>
    <w:rsid w:val="27B90089"/>
    <w:rsid w:val="27C46C19"/>
    <w:rsid w:val="27D843EB"/>
    <w:rsid w:val="27DD38E7"/>
    <w:rsid w:val="27E2432D"/>
    <w:rsid w:val="27EE4507"/>
    <w:rsid w:val="28083753"/>
    <w:rsid w:val="282867FB"/>
    <w:rsid w:val="283A464C"/>
    <w:rsid w:val="28425787"/>
    <w:rsid w:val="28746F02"/>
    <w:rsid w:val="28756281"/>
    <w:rsid w:val="287B2660"/>
    <w:rsid w:val="288051AE"/>
    <w:rsid w:val="288E4849"/>
    <w:rsid w:val="28A164B8"/>
    <w:rsid w:val="28A618C9"/>
    <w:rsid w:val="28C00D29"/>
    <w:rsid w:val="28CF515C"/>
    <w:rsid w:val="28FD02C4"/>
    <w:rsid w:val="290C0220"/>
    <w:rsid w:val="29124DF2"/>
    <w:rsid w:val="291E2106"/>
    <w:rsid w:val="291F4F54"/>
    <w:rsid w:val="292006F3"/>
    <w:rsid w:val="29466532"/>
    <w:rsid w:val="29486FEB"/>
    <w:rsid w:val="294F692F"/>
    <w:rsid w:val="29552A36"/>
    <w:rsid w:val="295D7F92"/>
    <w:rsid w:val="295E4DC4"/>
    <w:rsid w:val="296C52CF"/>
    <w:rsid w:val="297732AA"/>
    <w:rsid w:val="29904D79"/>
    <w:rsid w:val="299A5855"/>
    <w:rsid w:val="299F686F"/>
    <w:rsid w:val="29B35110"/>
    <w:rsid w:val="29BF2DB3"/>
    <w:rsid w:val="29C03402"/>
    <w:rsid w:val="29D25583"/>
    <w:rsid w:val="29DC0A6F"/>
    <w:rsid w:val="29FC3DED"/>
    <w:rsid w:val="2A206DDC"/>
    <w:rsid w:val="2A3750D6"/>
    <w:rsid w:val="2A3D34DB"/>
    <w:rsid w:val="2A3F72A6"/>
    <w:rsid w:val="2A441EE0"/>
    <w:rsid w:val="2A5E32CD"/>
    <w:rsid w:val="2A5E6B23"/>
    <w:rsid w:val="2A763E68"/>
    <w:rsid w:val="2AA05550"/>
    <w:rsid w:val="2AA1013F"/>
    <w:rsid w:val="2AAF705C"/>
    <w:rsid w:val="2AC115D1"/>
    <w:rsid w:val="2AC341E7"/>
    <w:rsid w:val="2AC57C68"/>
    <w:rsid w:val="2ACB25A7"/>
    <w:rsid w:val="2ADD06EC"/>
    <w:rsid w:val="2AE73DEB"/>
    <w:rsid w:val="2AF84366"/>
    <w:rsid w:val="2B0100FD"/>
    <w:rsid w:val="2B0A0D5F"/>
    <w:rsid w:val="2B22578F"/>
    <w:rsid w:val="2B310A8A"/>
    <w:rsid w:val="2B472552"/>
    <w:rsid w:val="2B55457C"/>
    <w:rsid w:val="2B5B5105"/>
    <w:rsid w:val="2B5C20D8"/>
    <w:rsid w:val="2B5E510B"/>
    <w:rsid w:val="2B6E1F74"/>
    <w:rsid w:val="2B876854"/>
    <w:rsid w:val="2B8C666C"/>
    <w:rsid w:val="2B9806D5"/>
    <w:rsid w:val="2BA27974"/>
    <w:rsid w:val="2BB62C95"/>
    <w:rsid w:val="2BCA0757"/>
    <w:rsid w:val="2BDB6308"/>
    <w:rsid w:val="2BDB6BA0"/>
    <w:rsid w:val="2BDB7638"/>
    <w:rsid w:val="2BFE3303"/>
    <w:rsid w:val="2C033417"/>
    <w:rsid w:val="2C0B7BC3"/>
    <w:rsid w:val="2C324805"/>
    <w:rsid w:val="2C36281C"/>
    <w:rsid w:val="2C3B319A"/>
    <w:rsid w:val="2C3B3354"/>
    <w:rsid w:val="2C3C3543"/>
    <w:rsid w:val="2C4445F8"/>
    <w:rsid w:val="2CBB6832"/>
    <w:rsid w:val="2CC004EA"/>
    <w:rsid w:val="2CC47DA8"/>
    <w:rsid w:val="2CC56D4B"/>
    <w:rsid w:val="2CCF7935"/>
    <w:rsid w:val="2CE14444"/>
    <w:rsid w:val="2CEA6D74"/>
    <w:rsid w:val="2D241E80"/>
    <w:rsid w:val="2D275921"/>
    <w:rsid w:val="2D656946"/>
    <w:rsid w:val="2D6B1768"/>
    <w:rsid w:val="2D720E3E"/>
    <w:rsid w:val="2D7743FE"/>
    <w:rsid w:val="2D9035E4"/>
    <w:rsid w:val="2D9D14C2"/>
    <w:rsid w:val="2DB15E0A"/>
    <w:rsid w:val="2DB86793"/>
    <w:rsid w:val="2DBC13D4"/>
    <w:rsid w:val="2DD07F22"/>
    <w:rsid w:val="2DE7182C"/>
    <w:rsid w:val="2DE85931"/>
    <w:rsid w:val="2DED049E"/>
    <w:rsid w:val="2DF5112F"/>
    <w:rsid w:val="2DF56BBB"/>
    <w:rsid w:val="2DF77DBF"/>
    <w:rsid w:val="2DFE6086"/>
    <w:rsid w:val="2E0028ED"/>
    <w:rsid w:val="2E236314"/>
    <w:rsid w:val="2E537109"/>
    <w:rsid w:val="2E6C5840"/>
    <w:rsid w:val="2E751DAE"/>
    <w:rsid w:val="2E7D4F34"/>
    <w:rsid w:val="2EBE7A38"/>
    <w:rsid w:val="2EBF4EE5"/>
    <w:rsid w:val="2EC369AF"/>
    <w:rsid w:val="2EC61B28"/>
    <w:rsid w:val="2ECA5B45"/>
    <w:rsid w:val="2ED2313B"/>
    <w:rsid w:val="2EE101C1"/>
    <w:rsid w:val="2EE36CED"/>
    <w:rsid w:val="2EE51BDD"/>
    <w:rsid w:val="2F065CE2"/>
    <w:rsid w:val="2F1A580E"/>
    <w:rsid w:val="2F326AD7"/>
    <w:rsid w:val="2F411819"/>
    <w:rsid w:val="2F472F3F"/>
    <w:rsid w:val="2F85326E"/>
    <w:rsid w:val="2F8A3679"/>
    <w:rsid w:val="2F99379A"/>
    <w:rsid w:val="2FB233CF"/>
    <w:rsid w:val="2FB67708"/>
    <w:rsid w:val="2FBC6CD6"/>
    <w:rsid w:val="2FE53482"/>
    <w:rsid w:val="2FE97570"/>
    <w:rsid w:val="30027B95"/>
    <w:rsid w:val="300B0D59"/>
    <w:rsid w:val="302F220E"/>
    <w:rsid w:val="30336FAA"/>
    <w:rsid w:val="3038225E"/>
    <w:rsid w:val="30AE6631"/>
    <w:rsid w:val="30D35321"/>
    <w:rsid w:val="30DA1D41"/>
    <w:rsid w:val="30E60779"/>
    <w:rsid w:val="30ED53AB"/>
    <w:rsid w:val="30EE4CCC"/>
    <w:rsid w:val="30F33649"/>
    <w:rsid w:val="3106021B"/>
    <w:rsid w:val="310774DB"/>
    <w:rsid w:val="3140197F"/>
    <w:rsid w:val="31445105"/>
    <w:rsid w:val="314A194A"/>
    <w:rsid w:val="315135D9"/>
    <w:rsid w:val="31612800"/>
    <w:rsid w:val="316C34F9"/>
    <w:rsid w:val="31B06987"/>
    <w:rsid w:val="31B625C3"/>
    <w:rsid w:val="31C13A38"/>
    <w:rsid w:val="31D31C30"/>
    <w:rsid w:val="31DA2F13"/>
    <w:rsid w:val="31F213C6"/>
    <w:rsid w:val="32170104"/>
    <w:rsid w:val="321D7F33"/>
    <w:rsid w:val="32254F5A"/>
    <w:rsid w:val="3229553B"/>
    <w:rsid w:val="322F4596"/>
    <w:rsid w:val="32306CB3"/>
    <w:rsid w:val="326C0F21"/>
    <w:rsid w:val="328453F3"/>
    <w:rsid w:val="32981B5A"/>
    <w:rsid w:val="329C245B"/>
    <w:rsid w:val="32EC0B27"/>
    <w:rsid w:val="32ED7679"/>
    <w:rsid w:val="32EF1AD0"/>
    <w:rsid w:val="32FF4D91"/>
    <w:rsid w:val="331C5AD4"/>
    <w:rsid w:val="3356628B"/>
    <w:rsid w:val="335F2C9A"/>
    <w:rsid w:val="3364747B"/>
    <w:rsid w:val="337002E0"/>
    <w:rsid w:val="33727C42"/>
    <w:rsid w:val="338F44D7"/>
    <w:rsid w:val="33A53D1B"/>
    <w:rsid w:val="33B33B51"/>
    <w:rsid w:val="33CD3480"/>
    <w:rsid w:val="33D54183"/>
    <w:rsid w:val="33DE722D"/>
    <w:rsid w:val="33F53437"/>
    <w:rsid w:val="341D7D55"/>
    <w:rsid w:val="342015F4"/>
    <w:rsid w:val="343135F4"/>
    <w:rsid w:val="34384B8F"/>
    <w:rsid w:val="343E5688"/>
    <w:rsid w:val="347A3ECA"/>
    <w:rsid w:val="348E0A85"/>
    <w:rsid w:val="348F7B63"/>
    <w:rsid w:val="34A95030"/>
    <w:rsid w:val="34B23803"/>
    <w:rsid w:val="34C5521E"/>
    <w:rsid w:val="34D32B0A"/>
    <w:rsid w:val="34DA71BC"/>
    <w:rsid w:val="34DD662F"/>
    <w:rsid w:val="34E4685B"/>
    <w:rsid w:val="34EB6DF8"/>
    <w:rsid w:val="34EF4883"/>
    <w:rsid w:val="35115659"/>
    <w:rsid w:val="3529707F"/>
    <w:rsid w:val="3530548F"/>
    <w:rsid w:val="35315FCF"/>
    <w:rsid w:val="354757DC"/>
    <w:rsid w:val="355370EB"/>
    <w:rsid w:val="35550CDB"/>
    <w:rsid w:val="355D7BF4"/>
    <w:rsid w:val="35665A65"/>
    <w:rsid w:val="3575596F"/>
    <w:rsid w:val="358A446C"/>
    <w:rsid w:val="359E086E"/>
    <w:rsid w:val="35A9364A"/>
    <w:rsid w:val="35B20EFF"/>
    <w:rsid w:val="35B9319F"/>
    <w:rsid w:val="35BE7316"/>
    <w:rsid w:val="35C27B86"/>
    <w:rsid w:val="35DB7D98"/>
    <w:rsid w:val="35DC779C"/>
    <w:rsid w:val="35E6061B"/>
    <w:rsid w:val="35EE26F1"/>
    <w:rsid w:val="36032F7B"/>
    <w:rsid w:val="36070CBD"/>
    <w:rsid w:val="362676D4"/>
    <w:rsid w:val="36280A83"/>
    <w:rsid w:val="36307624"/>
    <w:rsid w:val="36550AEB"/>
    <w:rsid w:val="36574C8D"/>
    <w:rsid w:val="36626C27"/>
    <w:rsid w:val="366B6306"/>
    <w:rsid w:val="3685329B"/>
    <w:rsid w:val="36954A77"/>
    <w:rsid w:val="36AB68A9"/>
    <w:rsid w:val="36B3674F"/>
    <w:rsid w:val="36F7616B"/>
    <w:rsid w:val="36F823B4"/>
    <w:rsid w:val="36F9386F"/>
    <w:rsid w:val="3701025A"/>
    <w:rsid w:val="3708070A"/>
    <w:rsid w:val="370F2084"/>
    <w:rsid w:val="371313C7"/>
    <w:rsid w:val="371634BE"/>
    <w:rsid w:val="37203651"/>
    <w:rsid w:val="372F50B7"/>
    <w:rsid w:val="37371DF9"/>
    <w:rsid w:val="373738DB"/>
    <w:rsid w:val="37441682"/>
    <w:rsid w:val="374D7DEF"/>
    <w:rsid w:val="375D7D52"/>
    <w:rsid w:val="376D7F8A"/>
    <w:rsid w:val="377D6D5D"/>
    <w:rsid w:val="37A343F9"/>
    <w:rsid w:val="37CB5D1A"/>
    <w:rsid w:val="37D80A8E"/>
    <w:rsid w:val="37D97769"/>
    <w:rsid w:val="37F46AEE"/>
    <w:rsid w:val="381E027B"/>
    <w:rsid w:val="38362847"/>
    <w:rsid w:val="386B4E07"/>
    <w:rsid w:val="3875150B"/>
    <w:rsid w:val="387E6F7D"/>
    <w:rsid w:val="388303A3"/>
    <w:rsid w:val="3888158A"/>
    <w:rsid w:val="389417B9"/>
    <w:rsid w:val="389B6B4E"/>
    <w:rsid w:val="38A9615A"/>
    <w:rsid w:val="38AA3B82"/>
    <w:rsid w:val="38BF4441"/>
    <w:rsid w:val="38CA359A"/>
    <w:rsid w:val="38D1063F"/>
    <w:rsid w:val="38EB7D4D"/>
    <w:rsid w:val="38EC6FC5"/>
    <w:rsid w:val="38F57A81"/>
    <w:rsid w:val="38F7405A"/>
    <w:rsid w:val="38FB4101"/>
    <w:rsid w:val="38FB73DB"/>
    <w:rsid w:val="390503EC"/>
    <w:rsid w:val="390D423A"/>
    <w:rsid w:val="3919300E"/>
    <w:rsid w:val="3930052B"/>
    <w:rsid w:val="39432B77"/>
    <w:rsid w:val="394E64FB"/>
    <w:rsid w:val="3952100E"/>
    <w:rsid w:val="395C0180"/>
    <w:rsid w:val="396D596D"/>
    <w:rsid w:val="397D2973"/>
    <w:rsid w:val="398B650A"/>
    <w:rsid w:val="399272E0"/>
    <w:rsid w:val="39983F81"/>
    <w:rsid w:val="39A54752"/>
    <w:rsid w:val="39A86866"/>
    <w:rsid w:val="39A90CBA"/>
    <w:rsid w:val="39A957C6"/>
    <w:rsid w:val="39AD3D9E"/>
    <w:rsid w:val="39C0784A"/>
    <w:rsid w:val="39C3752B"/>
    <w:rsid w:val="39D6309F"/>
    <w:rsid w:val="3A0C0C49"/>
    <w:rsid w:val="3A1C4F96"/>
    <w:rsid w:val="3A3011E1"/>
    <w:rsid w:val="3A3824CE"/>
    <w:rsid w:val="3A445910"/>
    <w:rsid w:val="3A4532C6"/>
    <w:rsid w:val="3A52570B"/>
    <w:rsid w:val="3A6745EE"/>
    <w:rsid w:val="3A7B560E"/>
    <w:rsid w:val="3A853DBE"/>
    <w:rsid w:val="3A9768D3"/>
    <w:rsid w:val="3AB02FA5"/>
    <w:rsid w:val="3AD21B41"/>
    <w:rsid w:val="3AE0088E"/>
    <w:rsid w:val="3AE82FE2"/>
    <w:rsid w:val="3AEC57FD"/>
    <w:rsid w:val="3B0948AC"/>
    <w:rsid w:val="3B1106DB"/>
    <w:rsid w:val="3B251017"/>
    <w:rsid w:val="3B483703"/>
    <w:rsid w:val="3B4E4520"/>
    <w:rsid w:val="3B643F46"/>
    <w:rsid w:val="3B702E61"/>
    <w:rsid w:val="3B917000"/>
    <w:rsid w:val="3BA55D28"/>
    <w:rsid w:val="3BA775F0"/>
    <w:rsid w:val="3BB20390"/>
    <w:rsid w:val="3BB26E2E"/>
    <w:rsid w:val="3BB60B94"/>
    <w:rsid w:val="3BF0568D"/>
    <w:rsid w:val="3BF24F7B"/>
    <w:rsid w:val="3BF642A6"/>
    <w:rsid w:val="3C0A2795"/>
    <w:rsid w:val="3C0E26E6"/>
    <w:rsid w:val="3C126DA0"/>
    <w:rsid w:val="3C1B17C1"/>
    <w:rsid w:val="3C215C0F"/>
    <w:rsid w:val="3C2853C8"/>
    <w:rsid w:val="3C373913"/>
    <w:rsid w:val="3C472DAE"/>
    <w:rsid w:val="3C565F7D"/>
    <w:rsid w:val="3C7A4D7C"/>
    <w:rsid w:val="3C8865D1"/>
    <w:rsid w:val="3C8A1F5C"/>
    <w:rsid w:val="3C8C4E56"/>
    <w:rsid w:val="3CB00A5E"/>
    <w:rsid w:val="3CC80E2E"/>
    <w:rsid w:val="3CCC60CE"/>
    <w:rsid w:val="3CEE78B0"/>
    <w:rsid w:val="3D076FFA"/>
    <w:rsid w:val="3D0F65E2"/>
    <w:rsid w:val="3D146DD3"/>
    <w:rsid w:val="3D7D2811"/>
    <w:rsid w:val="3D8250CD"/>
    <w:rsid w:val="3D8A56FD"/>
    <w:rsid w:val="3D8D1656"/>
    <w:rsid w:val="3DB949B3"/>
    <w:rsid w:val="3DBC58F4"/>
    <w:rsid w:val="3DD15C08"/>
    <w:rsid w:val="3DDF7E2A"/>
    <w:rsid w:val="3DE7275D"/>
    <w:rsid w:val="3DFA2E4F"/>
    <w:rsid w:val="3DFD3A82"/>
    <w:rsid w:val="3E0A7C3D"/>
    <w:rsid w:val="3E45714C"/>
    <w:rsid w:val="3E556ACF"/>
    <w:rsid w:val="3E587CE5"/>
    <w:rsid w:val="3E636882"/>
    <w:rsid w:val="3EAA66DB"/>
    <w:rsid w:val="3EB220F7"/>
    <w:rsid w:val="3ED505EA"/>
    <w:rsid w:val="3EDB13DE"/>
    <w:rsid w:val="3EDE1EF2"/>
    <w:rsid w:val="3EEE5285"/>
    <w:rsid w:val="3F0321C3"/>
    <w:rsid w:val="3F2B2C7C"/>
    <w:rsid w:val="3F327BFC"/>
    <w:rsid w:val="3F4C64B2"/>
    <w:rsid w:val="3F591D3C"/>
    <w:rsid w:val="3FA73041"/>
    <w:rsid w:val="3FAE05D3"/>
    <w:rsid w:val="3FBA0B4E"/>
    <w:rsid w:val="3FBB4F3F"/>
    <w:rsid w:val="3FF01152"/>
    <w:rsid w:val="3FF07330"/>
    <w:rsid w:val="3FF341ED"/>
    <w:rsid w:val="40050AA9"/>
    <w:rsid w:val="401864BF"/>
    <w:rsid w:val="402300FD"/>
    <w:rsid w:val="402820B8"/>
    <w:rsid w:val="402850D6"/>
    <w:rsid w:val="403A014B"/>
    <w:rsid w:val="404B17A6"/>
    <w:rsid w:val="40580136"/>
    <w:rsid w:val="406531FD"/>
    <w:rsid w:val="410138D6"/>
    <w:rsid w:val="41410DFB"/>
    <w:rsid w:val="415D73A8"/>
    <w:rsid w:val="416074D3"/>
    <w:rsid w:val="41613183"/>
    <w:rsid w:val="41613DD8"/>
    <w:rsid w:val="41691ABE"/>
    <w:rsid w:val="417F4425"/>
    <w:rsid w:val="419024AE"/>
    <w:rsid w:val="419C6756"/>
    <w:rsid w:val="41AC2719"/>
    <w:rsid w:val="41C07281"/>
    <w:rsid w:val="41C834AF"/>
    <w:rsid w:val="41D0160B"/>
    <w:rsid w:val="42182615"/>
    <w:rsid w:val="422B0630"/>
    <w:rsid w:val="423F4946"/>
    <w:rsid w:val="424C1B5F"/>
    <w:rsid w:val="4257692F"/>
    <w:rsid w:val="42644F43"/>
    <w:rsid w:val="426E5C20"/>
    <w:rsid w:val="4272113C"/>
    <w:rsid w:val="42A67168"/>
    <w:rsid w:val="42CC543B"/>
    <w:rsid w:val="42CF6401"/>
    <w:rsid w:val="42D22950"/>
    <w:rsid w:val="42D96C5A"/>
    <w:rsid w:val="42E14644"/>
    <w:rsid w:val="42EF6212"/>
    <w:rsid w:val="42F66F50"/>
    <w:rsid w:val="43091F22"/>
    <w:rsid w:val="43130E5D"/>
    <w:rsid w:val="43195B7B"/>
    <w:rsid w:val="43354E11"/>
    <w:rsid w:val="43442B5A"/>
    <w:rsid w:val="434846C3"/>
    <w:rsid w:val="435408A1"/>
    <w:rsid w:val="43634DBD"/>
    <w:rsid w:val="436E7A23"/>
    <w:rsid w:val="438F1EE6"/>
    <w:rsid w:val="439243A4"/>
    <w:rsid w:val="43DD305D"/>
    <w:rsid w:val="43E22677"/>
    <w:rsid w:val="43F9762E"/>
    <w:rsid w:val="441A1202"/>
    <w:rsid w:val="442028B9"/>
    <w:rsid w:val="442C25A3"/>
    <w:rsid w:val="44372A9D"/>
    <w:rsid w:val="443A2268"/>
    <w:rsid w:val="443A4987"/>
    <w:rsid w:val="445157F9"/>
    <w:rsid w:val="44A4015F"/>
    <w:rsid w:val="44A973E3"/>
    <w:rsid w:val="44AA518A"/>
    <w:rsid w:val="44B66EE6"/>
    <w:rsid w:val="44DC1567"/>
    <w:rsid w:val="44FE2748"/>
    <w:rsid w:val="452E6C6E"/>
    <w:rsid w:val="455227A8"/>
    <w:rsid w:val="4552465A"/>
    <w:rsid w:val="45576E3F"/>
    <w:rsid w:val="455D3F07"/>
    <w:rsid w:val="457E4F5C"/>
    <w:rsid w:val="45903123"/>
    <w:rsid w:val="45933E8A"/>
    <w:rsid w:val="45965BB9"/>
    <w:rsid w:val="45D02414"/>
    <w:rsid w:val="45EE7C0F"/>
    <w:rsid w:val="45F24ED7"/>
    <w:rsid w:val="461A5106"/>
    <w:rsid w:val="46476EB4"/>
    <w:rsid w:val="465741D5"/>
    <w:rsid w:val="466218D3"/>
    <w:rsid w:val="466730B2"/>
    <w:rsid w:val="46693CA0"/>
    <w:rsid w:val="466C3A26"/>
    <w:rsid w:val="468D12EA"/>
    <w:rsid w:val="46A56C56"/>
    <w:rsid w:val="46AE53E0"/>
    <w:rsid w:val="46B27CDE"/>
    <w:rsid w:val="46C10F45"/>
    <w:rsid w:val="46C14D13"/>
    <w:rsid w:val="46D70238"/>
    <w:rsid w:val="46EF2707"/>
    <w:rsid w:val="46EF5D6B"/>
    <w:rsid w:val="46EF7F27"/>
    <w:rsid w:val="470067F5"/>
    <w:rsid w:val="470111C6"/>
    <w:rsid w:val="4726714C"/>
    <w:rsid w:val="472A5166"/>
    <w:rsid w:val="472B0CA1"/>
    <w:rsid w:val="472F1E22"/>
    <w:rsid w:val="47363975"/>
    <w:rsid w:val="473E2065"/>
    <w:rsid w:val="4755433F"/>
    <w:rsid w:val="475734CE"/>
    <w:rsid w:val="476870E2"/>
    <w:rsid w:val="476F5068"/>
    <w:rsid w:val="479F24CF"/>
    <w:rsid w:val="47AE13AF"/>
    <w:rsid w:val="47ED73E6"/>
    <w:rsid w:val="47FF4B61"/>
    <w:rsid w:val="48055C38"/>
    <w:rsid w:val="48303FFD"/>
    <w:rsid w:val="486702D3"/>
    <w:rsid w:val="48742BBF"/>
    <w:rsid w:val="489C6D28"/>
    <w:rsid w:val="48AF7EBC"/>
    <w:rsid w:val="48CB25C0"/>
    <w:rsid w:val="48CD44C4"/>
    <w:rsid w:val="48DE2FE7"/>
    <w:rsid w:val="48EA52EA"/>
    <w:rsid w:val="48F03833"/>
    <w:rsid w:val="49057561"/>
    <w:rsid w:val="49103B16"/>
    <w:rsid w:val="492C67C4"/>
    <w:rsid w:val="492F0879"/>
    <w:rsid w:val="49311755"/>
    <w:rsid w:val="49487290"/>
    <w:rsid w:val="494F6B2B"/>
    <w:rsid w:val="49573057"/>
    <w:rsid w:val="4967026E"/>
    <w:rsid w:val="496E4757"/>
    <w:rsid w:val="497D65E2"/>
    <w:rsid w:val="49954A57"/>
    <w:rsid w:val="49A00386"/>
    <w:rsid w:val="49B42F3D"/>
    <w:rsid w:val="49C03205"/>
    <w:rsid w:val="49D968AD"/>
    <w:rsid w:val="49DA2AF1"/>
    <w:rsid w:val="49DA4E89"/>
    <w:rsid w:val="49E343F2"/>
    <w:rsid w:val="49ED23F8"/>
    <w:rsid w:val="4A0A1DA9"/>
    <w:rsid w:val="4A0C644A"/>
    <w:rsid w:val="4A1E7AA1"/>
    <w:rsid w:val="4A39796E"/>
    <w:rsid w:val="4A485415"/>
    <w:rsid w:val="4A61240A"/>
    <w:rsid w:val="4A6475E6"/>
    <w:rsid w:val="4A8F7A31"/>
    <w:rsid w:val="4A9F4B39"/>
    <w:rsid w:val="4AAE12AF"/>
    <w:rsid w:val="4AB443EC"/>
    <w:rsid w:val="4AC25120"/>
    <w:rsid w:val="4ACC730B"/>
    <w:rsid w:val="4ACE34DA"/>
    <w:rsid w:val="4AD91F38"/>
    <w:rsid w:val="4B0233A9"/>
    <w:rsid w:val="4B294DDA"/>
    <w:rsid w:val="4B8901F2"/>
    <w:rsid w:val="4B8B1474"/>
    <w:rsid w:val="4B8E705A"/>
    <w:rsid w:val="4B99592E"/>
    <w:rsid w:val="4BA32514"/>
    <w:rsid w:val="4BC477E7"/>
    <w:rsid w:val="4BCA1891"/>
    <w:rsid w:val="4BD842DC"/>
    <w:rsid w:val="4BDA3B7C"/>
    <w:rsid w:val="4BE70BE8"/>
    <w:rsid w:val="4BE84CA6"/>
    <w:rsid w:val="4C4243A5"/>
    <w:rsid w:val="4C4462FE"/>
    <w:rsid w:val="4C525D47"/>
    <w:rsid w:val="4C800A2A"/>
    <w:rsid w:val="4C806C7C"/>
    <w:rsid w:val="4C8379B4"/>
    <w:rsid w:val="4CA12D07"/>
    <w:rsid w:val="4CA56685"/>
    <w:rsid w:val="4CBA1C75"/>
    <w:rsid w:val="4CC77DC9"/>
    <w:rsid w:val="4CCB20C7"/>
    <w:rsid w:val="4CD16755"/>
    <w:rsid w:val="4CD72854"/>
    <w:rsid w:val="4CE81B40"/>
    <w:rsid w:val="4CED3CB4"/>
    <w:rsid w:val="4CF60ECE"/>
    <w:rsid w:val="4D07631A"/>
    <w:rsid w:val="4D101B77"/>
    <w:rsid w:val="4D1F606D"/>
    <w:rsid w:val="4D3A78A2"/>
    <w:rsid w:val="4D602AE2"/>
    <w:rsid w:val="4D632267"/>
    <w:rsid w:val="4D7128DD"/>
    <w:rsid w:val="4D7952D5"/>
    <w:rsid w:val="4D812CAB"/>
    <w:rsid w:val="4DA81EEF"/>
    <w:rsid w:val="4DAC6E51"/>
    <w:rsid w:val="4DAF24CE"/>
    <w:rsid w:val="4DAF29BE"/>
    <w:rsid w:val="4DC540DE"/>
    <w:rsid w:val="4DCF1001"/>
    <w:rsid w:val="4DD07015"/>
    <w:rsid w:val="4DF0155C"/>
    <w:rsid w:val="4E1D2AE6"/>
    <w:rsid w:val="4E375A60"/>
    <w:rsid w:val="4E3E2434"/>
    <w:rsid w:val="4E3E651E"/>
    <w:rsid w:val="4E5161F2"/>
    <w:rsid w:val="4E585C33"/>
    <w:rsid w:val="4E5A0E2F"/>
    <w:rsid w:val="4E5A58A1"/>
    <w:rsid w:val="4E6D0570"/>
    <w:rsid w:val="4E8E0835"/>
    <w:rsid w:val="4EDF6805"/>
    <w:rsid w:val="4EF134FA"/>
    <w:rsid w:val="4EFD55F3"/>
    <w:rsid w:val="4F0224ED"/>
    <w:rsid w:val="4F1A31C4"/>
    <w:rsid w:val="4F231B40"/>
    <w:rsid w:val="4F2F6B1B"/>
    <w:rsid w:val="4F3B332E"/>
    <w:rsid w:val="4F494165"/>
    <w:rsid w:val="4F4D2AC1"/>
    <w:rsid w:val="4F50355E"/>
    <w:rsid w:val="4F5C409A"/>
    <w:rsid w:val="4F671BD3"/>
    <w:rsid w:val="4F676B5A"/>
    <w:rsid w:val="4F7739D8"/>
    <w:rsid w:val="4F7F183C"/>
    <w:rsid w:val="4FA6214C"/>
    <w:rsid w:val="4FAE3C18"/>
    <w:rsid w:val="4FB42D6F"/>
    <w:rsid w:val="4FC034D1"/>
    <w:rsid w:val="4FCB6460"/>
    <w:rsid w:val="4FD23C8B"/>
    <w:rsid w:val="4FEA5817"/>
    <w:rsid w:val="50045EB0"/>
    <w:rsid w:val="500A78D3"/>
    <w:rsid w:val="500C28DF"/>
    <w:rsid w:val="503264DF"/>
    <w:rsid w:val="50330BC6"/>
    <w:rsid w:val="503C2BD4"/>
    <w:rsid w:val="50496F89"/>
    <w:rsid w:val="505928B7"/>
    <w:rsid w:val="50687F2F"/>
    <w:rsid w:val="509A094B"/>
    <w:rsid w:val="50A22D2A"/>
    <w:rsid w:val="50A360D4"/>
    <w:rsid w:val="50A67B3A"/>
    <w:rsid w:val="50B31032"/>
    <w:rsid w:val="50BD72AB"/>
    <w:rsid w:val="50C962A4"/>
    <w:rsid w:val="50D57E8D"/>
    <w:rsid w:val="50E0232C"/>
    <w:rsid w:val="50F45000"/>
    <w:rsid w:val="50FE399F"/>
    <w:rsid w:val="51280B92"/>
    <w:rsid w:val="51365076"/>
    <w:rsid w:val="51526790"/>
    <w:rsid w:val="51677C7C"/>
    <w:rsid w:val="518411A9"/>
    <w:rsid w:val="51A85DA5"/>
    <w:rsid w:val="51A95486"/>
    <w:rsid w:val="51AB323F"/>
    <w:rsid w:val="51AC2D8C"/>
    <w:rsid w:val="51B167EB"/>
    <w:rsid w:val="51B476C7"/>
    <w:rsid w:val="51B7368A"/>
    <w:rsid w:val="51BE40E0"/>
    <w:rsid w:val="51C567B1"/>
    <w:rsid w:val="51CF5A0E"/>
    <w:rsid w:val="51D3252B"/>
    <w:rsid w:val="51E965D8"/>
    <w:rsid w:val="52134AE2"/>
    <w:rsid w:val="52192EC2"/>
    <w:rsid w:val="521C26B4"/>
    <w:rsid w:val="52255D74"/>
    <w:rsid w:val="523B2264"/>
    <w:rsid w:val="524E374B"/>
    <w:rsid w:val="524F49A8"/>
    <w:rsid w:val="52581E25"/>
    <w:rsid w:val="525E3E43"/>
    <w:rsid w:val="52662124"/>
    <w:rsid w:val="52770B21"/>
    <w:rsid w:val="52805020"/>
    <w:rsid w:val="52906CDD"/>
    <w:rsid w:val="5299354E"/>
    <w:rsid w:val="529F0854"/>
    <w:rsid w:val="52B563AA"/>
    <w:rsid w:val="52C23632"/>
    <w:rsid w:val="52CE016A"/>
    <w:rsid w:val="52CF312D"/>
    <w:rsid w:val="52D87BFA"/>
    <w:rsid w:val="52DD79AF"/>
    <w:rsid w:val="52DE163F"/>
    <w:rsid w:val="53000691"/>
    <w:rsid w:val="530436DD"/>
    <w:rsid w:val="5316339E"/>
    <w:rsid w:val="532D65CD"/>
    <w:rsid w:val="53416AE4"/>
    <w:rsid w:val="534B6094"/>
    <w:rsid w:val="535B3F9E"/>
    <w:rsid w:val="537213DE"/>
    <w:rsid w:val="5373753A"/>
    <w:rsid w:val="53755AB6"/>
    <w:rsid w:val="53765649"/>
    <w:rsid w:val="537B453F"/>
    <w:rsid w:val="53830AE9"/>
    <w:rsid w:val="538520C2"/>
    <w:rsid w:val="53884348"/>
    <w:rsid w:val="538C49EB"/>
    <w:rsid w:val="53965E65"/>
    <w:rsid w:val="539B2E82"/>
    <w:rsid w:val="53A96B68"/>
    <w:rsid w:val="53F15A14"/>
    <w:rsid w:val="53F219FD"/>
    <w:rsid w:val="53F82911"/>
    <w:rsid w:val="540F4CEF"/>
    <w:rsid w:val="54295E4B"/>
    <w:rsid w:val="542D16A3"/>
    <w:rsid w:val="543336A8"/>
    <w:rsid w:val="54366D03"/>
    <w:rsid w:val="545E2120"/>
    <w:rsid w:val="545E3D46"/>
    <w:rsid w:val="546E6BFF"/>
    <w:rsid w:val="549C6E75"/>
    <w:rsid w:val="54A216E3"/>
    <w:rsid w:val="54A93CF3"/>
    <w:rsid w:val="54AC5747"/>
    <w:rsid w:val="54B8163D"/>
    <w:rsid w:val="54C33E7A"/>
    <w:rsid w:val="54CA0677"/>
    <w:rsid w:val="54DF5356"/>
    <w:rsid w:val="54F63F7F"/>
    <w:rsid w:val="54F6654C"/>
    <w:rsid w:val="550C37A2"/>
    <w:rsid w:val="55222EE8"/>
    <w:rsid w:val="553227F1"/>
    <w:rsid w:val="554C1EFF"/>
    <w:rsid w:val="55596211"/>
    <w:rsid w:val="55647E29"/>
    <w:rsid w:val="556722F3"/>
    <w:rsid w:val="557F1478"/>
    <w:rsid w:val="55A16B26"/>
    <w:rsid w:val="560A6F64"/>
    <w:rsid w:val="561F3BF6"/>
    <w:rsid w:val="5621137D"/>
    <w:rsid w:val="56580614"/>
    <w:rsid w:val="56581D4F"/>
    <w:rsid w:val="56596796"/>
    <w:rsid w:val="565D36AC"/>
    <w:rsid w:val="56691AD1"/>
    <w:rsid w:val="566B5B49"/>
    <w:rsid w:val="567E247E"/>
    <w:rsid w:val="56880E74"/>
    <w:rsid w:val="569021B1"/>
    <w:rsid w:val="56A67681"/>
    <w:rsid w:val="56D75B32"/>
    <w:rsid w:val="56F551F5"/>
    <w:rsid w:val="57003E89"/>
    <w:rsid w:val="570B7A8A"/>
    <w:rsid w:val="570D0F77"/>
    <w:rsid w:val="570E6751"/>
    <w:rsid w:val="572B7FE9"/>
    <w:rsid w:val="573A53F2"/>
    <w:rsid w:val="57592455"/>
    <w:rsid w:val="575932D9"/>
    <w:rsid w:val="57656856"/>
    <w:rsid w:val="57671164"/>
    <w:rsid w:val="579267E8"/>
    <w:rsid w:val="57B24BDD"/>
    <w:rsid w:val="57CA4712"/>
    <w:rsid w:val="57CD3163"/>
    <w:rsid w:val="57CE77B8"/>
    <w:rsid w:val="57ED7D21"/>
    <w:rsid w:val="57EE0F72"/>
    <w:rsid w:val="57F80680"/>
    <w:rsid w:val="57FE059D"/>
    <w:rsid w:val="58167DB2"/>
    <w:rsid w:val="582D3184"/>
    <w:rsid w:val="582F4F70"/>
    <w:rsid w:val="58347AE3"/>
    <w:rsid w:val="583752B1"/>
    <w:rsid w:val="583C1DFC"/>
    <w:rsid w:val="586C27AA"/>
    <w:rsid w:val="586E7E05"/>
    <w:rsid w:val="586F6D89"/>
    <w:rsid w:val="58726493"/>
    <w:rsid w:val="58952BA8"/>
    <w:rsid w:val="58B30879"/>
    <w:rsid w:val="58C14D1B"/>
    <w:rsid w:val="58FC11B0"/>
    <w:rsid w:val="59022CE9"/>
    <w:rsid w:val="590305D5"/>
    <w:rsid w:val="59081A9C"/>
    <w:rsid w:val="590F1D92"/>
    <w:rsid w:val="593701A6"/>
    <w:rsid w:val="594658A7"/>
    <w:rsid w:val="59536F77"/>
    <w:rsid w:val="596365AC"/>
    <w:rsid w:val="596F2552"/>
    <w:rsid w:val="597B47FC"/>
    <w:rsid w:val="59893E6E"/>
    <w:rsid w:val="598A6C22"/>
    <w:rsid w:val="599041AC"/>
    <w:rsid w:val="59985375"/>
    <w:rsid w:val="59A138AD"/>
    <w:rsid w:val="59C259C8"/>
    <w:rsid w:val="59CC60C7"/>
    <w:rsid w:val="59FE7432"/>
    <w:rsid w:val="5A0C7DA1"/>
    <w:rsid w:val="5A126D99"/>
    <w:rsid w:val="5A212A54"/>
    <w:rsid w:val="5A312CF9"/>
    <w:rsid w:val="5A32457C"/>
    <w:rsid w:val="5A4847EA"/>
    <w:rsid w:val="5A627886"/>
    <w:rsid w:val="5A7B3BAD"/>
    <w:rsid w:val="5A7F4A16"/>
    <w:rsid w:val="5A920F62"/>
    <w:rsid w:val="5A9B2ED2"/>
    <w:rsid w:val="5AA01C8C"/>
    <w:rsid w:val="5AA75BC5"/>
    <w:rsid w:val="5AA930BB"/>
    <w:rsid w:val="5AAE0598"/>
    <w:rsid w:val="5AB03735"/>
    <w:rsid w:val="5AC369FE"/>
    <w:rsid w:val="5AC46501"/>
    <w:rsid w:val="5AC6374A"/>
    <w:rsid w:val="5AE12FDB"/>
    <w:rsid w:val="5B151236"/>
    <w:rsid w:val="5B2037B0"/>
    <w:rsid w:val="5B2D2BFB"/>
    <w:rsid w:val="5B444A1A"/>
    <w:rsid w:val="5B553ACC"/>
    <w:rsid w:val="5B564EB4"/>
    <w:rsid w:val="5B706485"/>
    <w:rsid w:val="5B977B3E"/>
    <w:rsid w:val="5B9C7E98"/>
    <w:rsid w:val="5BAC0A09"/>
    <w:rsid w:val="5BB23BD1"/>
    <w:rsid w:val="5BBB7BD4"/>
    <w:rsid w:val="5BBE156E"/>
    <w:rsid w:val="5BC965E5"/>
    <w:rsid w:val="5BD45B85"/>
    <w:rsid w:val="5C05752E"/>
    <w:rsid w:val="5C0A6069"/>
    <w:rsid w:val="5C11407D"/>
    <w:rsid w:val="5C4F3973"/>
    <w:rsid w:val="5C791C1C"/>
    <w:rsid w:val="5C8E06D8"/>
    <w:rsid w:val="5C8F3298"/>
    <w:rsid w:val="5CA245BA"/>
    <w:rsid w:val="5CB9004B"/>
    <w:rsid w:val="5CC11A32"/>
    <w:rsid w:val="5CD572EF"/>
    <w:rsid w:val="5CE12B72"/>
    <w:rsid w:val="5D01455E"/>
    <w:rsid w:val="5D0336DD"/>
    <w:rsid w:val="5D043FF0"/>
    <w:rsid w:val="5D05775C"/>
    <w:rsid w:val="5D0622F1"/>
    <w:rsid w:val="5D2522FB"/>
    <w:rsid w:val="5D2D075A"/>
    <w:rsid w:val="5D363985"/>
    <w:rsid w:val="5D391027"/>
    <w:rsid w:val="5D445C8F"/>
    <w:rsid w:val="5D4535FE"/>
    <w:rsid w:val="5D6D57A8"/>
    <w:rsid w:val="5D716920"/>
    <w:rsid w:val="5D7F0AF2"/>
    <w:rsid w:val="5D836244"/>
    <w:rsid w:val="5D8F6525"/>
    <w:rsid w:val="5D905CD5"/>
    <w:rsid w:val="5D99286F"/>
    <w:rsid w:val="5D9D385C"/>
    <w:rsid w:val="5D9D6119"/>
    <w:rsid w:val="5DA11DA7"/>
    <w:rsid w:val="5DA32805"/>
    <w:rsid w:val="5DA41E94"/>
    <w:rsid w:val="5DA80252"/>
    <w:rsid w:val="5DC670B8"/>
    <w:rsid w:val="5DD2296A"/>
    <w:rsid w:val="5DD34205"/>
    <w:rsid w:val="5DD61D04"/>
    <w:rsid w:val="5DED1760"/>
    <w:rsid w:val="5DF748C4"/>
    <w:rsid w:val="5DFE7EB0"/>
    <w:rsid w:val="5E0445D8"/>
    <w:rsid w:val="5E07270F"/>
    <w:rsid w:val="5E0769BB"/>
    <w:rsid w:val="5E082AAD"/>
    <w:rsid w:val="5E211C41"/>
    <w:rsid w:val="5E213151"/>
    <w:rsid w:val="5E244DF9"/>
    <w:rsid w:val="5E2E6A55"/>
    <w:rsid w:val="5E3254E4"/>
    <w:rsid w:val="5E405444"/>
    <w:rsid w:val="5E457D25"/>
    <w:rsid w:val="5E6D66A7"/>
    <w:rsid w:val="5E8672FD"/>
    <w:rsid w:val="5EBE1E5D"/>
    <w:rsid w:val="5EE4753E"/>
    <w:rsid w:val="5EF0286E"/>
    <w:rsid w:val="5EF75916"/>
    <w:rsid w:val="5EFA24D0"/>
    <w:rsid w:val="5F085D58"/>
    <w:rsid w:val="5F100333"/>
    <w:rsid w:val="5F1A101C"/>
    <w:rsid w:val="5F1C5B22"/>
    <w:rsid w:val="5F2E6A0B"/>
    <w:rsid w:val="5F4104AC"/>
    <w:rsid w:val="5F424E12"/>
    <w:rsid w:val="5F534047"/>
    <w:rsid w:val="5F603FCD"/>
    <w:rsid w:val="5F631EAF"/>
    <w:rsid w:val="5F76036D"/>
    <w:rsid w:val="5F853FCC"/>
    <w:rsid w:val="5F960998"/>
    <w:rsid w:val="5F962864"/>
    <w:rsid w:val="5FB26FAF"/>
    <w:rsid w:val="5FBC4017"/>
    <w:rsid w:val="5FC60D9F"/>
    <w:rsid w:val="5FC90072"/>
    <w:rsid w:val="5FD12A1E"/>
    <w:rsid w:val="5FDB5D14"/>
    <w:rsid w:val="5FE915F6"/>
    <w:rsid w:val="60251956"/>
    <w:rsid w:val="602876DC"/>
    <w:rsid w:val="60356AD7"/>
    <w:rsid w:val="60413872"/>
    <w:rsid w:val="604C539B"/>
    <w:rsid w:val="606624AB"/>
    <w:rsid w:val="607C08DA"/>
    <w:rsid w:val="607E0678"/>
    <w:rsid w:val="608924F9"/>
    <w:rsid w:val="608D7069"/>
    <w:rsid w:val="608D7925"/>
    <w:rsid w:val="608F5287"/>
    <w:rsid w:val="60946860"/>
    <w:rsid w:val="60AC519E"/>
    <w:rsid w:val="60B265A6"/>
    <w:rsid w:val="60DB227B"/>
    <w:rsid w:val="60E03C99"/>
    <w:rsid w:val="60E375A5"/>
    <w:rsid w:val="61037BAC"/>
    <w:rsid w:val="61083D1B"/>
    <w:rsid w:val="610D059B"/>
    <w:rsid w:val="611E45A3"/>
    <w:rsid w:val="612C6F7A"/>
    <w:rsid w:val="61465D66"/>
    <w:rsid w:val="61492CB3"/>
    <w:rsid w:val="61694A92"/>
    <w:rsid w:val="616D3F2C"/>
    <w:rsid w:val="61777BE6"/>
    <w:rsid w:val="619216B7"/>
    <w:rsid w:val="61A12413"/>
    <w:rsid w:val="61C65943"/>
    <w:rsid w:val="61E0335F"/>
    <w:rsid w:val="61E239A6"/>
    <w:rsid w:val="61E7575B"/>
    <w:rsid w:val="61EC55DB"/>
    <w:rsid w:val="621056C9"/>
    <w:rsid w:val="621A046C"/>
    <w:rsid w:val="623703BA"/>
    <w:rsid w:val="624F2DFA"/>
    <w:rsid w:val="62662B27"/>
    <w:rsid w:val="627666FF"/>
    <w:rsid w:val="62775FD3"/>
    <w:rsid w:val="627C183B"/>
    <w:rsid w:val="62827433"/>
    <w:rsid w:val="62A50D92"/>
    <w:rsid w:val="62AB4171"/>
    <w:rsid w:val="62D328FA"/>
    <w:rsid w:val="62DA4468"/>
    <w:rsid w:val="62E83073"/>
    <w:rsid w:val="62EE1C10"/>
    <w:rsid w:val="63081829"/>
    <w:rsid w:val="630C68EA"/>
    <w:rsid w:val="630E43DC"/>
    <w:rsid w:val="63173B59"/>
    <w:rsid w:val="63265620"/>
    <w:rsid w:val="632A7697"/>
    <w:rsid w:val="63311505"/>
    <w:rsid w:val="63355EB6"/>
    <w:rsid w:val="63360481"/>
    <w:rsid w:val="63374D65"/>
    <w:rsid w:val="63463A4A"/>
    <w:rsid w:val="63847838"/>
    <w:rsid w:val="639818A0"/>
    <w:rsid w:val="63C0321D"/>
    <w:rsid w:val="63CF71A4"/>
    <w:rsid w:val="63D448EB"/>
    <w:rsid w:val="63F66740"/>
    <w:rsid w:val="63FC4626"/>
    <w:rsid w:val="64065E8B"/>
    <w:rsid w:val="64201B2D"/>
    <w:rsid w:val="64484A19"/>
    <w:rsid w:val="645C2086"/>
    <w:rsid w:val="64640CF6"/>
    <w:rsid w:val="647732A7"/>
    <w:rsid w:val="64870E40"/>
    <w:rsid w:val="64AE4A59"/>
    <w:rsid w:val="64CD28A0"/>
    <w:rsid w:val="64DE3D6A"/>
    <w:rsid w:val="65221E1C"/>
    <w:rsid w:val="65321259"/>
    <w:rsid w:val="654A5C21"/>
    <w:rsid w:val="65507043"/>
    <w:rsid w:val="657303D7"/>
    <w:rsid w:val="65856C59"/>
    <w:rsid w:val="65926E15"/>
    <w:rsid w:val="65AB01A5"/>
    <w:rsid w:val="65AF4A0C"/>
    <w:rsid w:val="65BA6D35"/>
    <w:rsid w:val="65C2671A"/>
    <w:rsid w:val="65C67480"/>
    <w:rsid w:val="65C75C9D"/>
    <w:rsid w:val="65CD2ADA"/>
    <w:rsid w:val="65D05CBA"/>
    <w:rsid w:val="65E85BFF"/>
    <w:rsid w:val="65F037A6"/>
    <w:rsid w:val="65F938CF"/>
    <w:rsid w:val="660635F9"/>
    <w:rsid w:val="66300A44"/>
    <w:rsid w:val="6645724E"/>
    <w:rsid w:val="66461DD9"/>
    <w:rsid w:val="665A45C4"/>
    <w:rsid w:val="66611474"/>
    <w:rsid w:val="66625812"/>
    <w:rsid w:val="6679486D"/>
    <w:rsid w:val="669E6755"/>
    <w:rsid w:val="66BF694D"/>
    <w:rsid w:val="66C21505"/>
    <w:rsid w:val="66C55540"/>
    <w:rsid w:val="66E06199"/>
    <w:rsid w:val="66E853BF"/>
    <w:rsid w:val="66EF318D"/>
    <w:rsid w:val="67024A05"/>
    <w:rsid w:val="670D57FD"/>
    <w:rsid w:val="672D7995"/>
    <w:rsid w:val="673161D2"/>
    <w:rsid w:val="6745453E"/>
    <w:rsid w:val="674F1064"/>
    <w:rsid w:val="6761579B"/>
    <w:rsid w:val="677D578B"/>
    <w:rsid w:val="67805FF3"/>
    <w:rsid w:val="67874F0A"/>
    <w:rsid w:val="6796339F"/>
    <w:rsid w:val="67B10916"/>
    <w:rsid w:val="67B57CC9"/>
    <w:rsid w:val="67BD62B5"/>
    <w:rsid w:val="67CD2B05"/>
    <w:rsid w:val="67D0065F"/>
    <w:rsid w:val="67E07D57"/>
    <w:rsid w:val="67E44D7F"/>
    <w:rsid w:val="67ED1F29"/>
    <w:rsid w:val="67EF0202"/>
    <w:rsid w:val="680753B0"/>
    <w:rsid w:val="680E2F36"/>
    <w:rsid w:val="68507784"/>
    <w:rsid w:val="68561507"/>
    <w:rsid w:val="68585B7F"/>
    <w:rsid w:val="68696F3D"/>
    <w:rsid w:val="68735894"/>
    <w:rsid w:val="687E6A20"/>
    <w:rsid w:val="68802085"/>
    <w:rsid w:val="688D4BC7"/>
    <w:rsid w:val="689377BB"/>
    <w:rsid w:val="68AE1608"/>
    <w:rsid w:val="68C025AA"/>
    <w:rsid w:val="68DA33DD"/>
    <w:rsid w:val="68FD50FE"/>
    <w:rsid w:val="690713B2"/>
    <w:rsid w:val="6929195C"/>
    <w:rsid w:val="693E5C90"/>
    <w:rsid w:val="693F1E1E"/>
    <w:rsid w:val="694D2D44"/>
    <w:rsid w:val="6954470E"/>
    <w:rsid w:val="6962178B"/>
    <w:rsid w:val="69664E3F"/>
    <w:rsid w:val="69712D15"/>
    <w:rsid w:val="69786DCA"/>
    <w:rsid w:val="697D263D"/>
    <w:rsid w:val="69867649"/>
    <w:rsid w:val="698F265A"/>
    <w:rsid w:val="69932194"/>
    <w:rsid w:val="69934DA4"/>
    <w:rsid w:val="699C7B4E"/>
    <w:rsid w:val="69AB1C5D"/>
    <w:rsid w:val="69B413E7"/>
    <w:rsid w:val="69B9312A"/>
    <w:rsid w:val="69C752F7"/>
    <w:rsid w:val="69D0571E"/>
    <w:rsid w:val="69EF2A7C"/>
    <w:rsid w:val="6A0E7CD5"/>
    <w:rsid w:val="6A1F1163"/>
    <w:rsid w:val="6A59434B"/>
    <w:rsid w:val="6A5B2B52"/>
    <w:rsid w:val="6A86594D"/>
    <w:rsid w:val="6A9504BF"/>
    <w:rsid w:val="6AA40C06"/>
    <w:rsid w:val="6AB74A6D"/>
    <w:rsid w:val="6AC030B5"/>
    <w:rsid w:val="6AC10733"/>
    <w:rsid w:val="6AC43EC0"/>
    <w:rsid w:val="6AF35574"/>
    <w:rsid w:val="6B070299"/>
    <w:rsid w:val="6B100513"/>
    <w:rsid w:val="6B2460ED"/>
    <w:rsid w:val="6B353C24"/>
    <w:rsid w:val="6B3B6738"/>
    <w:rsid w:val="6B3D2A41"/>
    <w:rsid w:val="6B421874"/>
    <w:rsid w:val="6B6B269B"/>
    <w:rsid w:val="6B6E0FA1"/>
    <w:rsid w:val="6B77662F"/>
    <w:rsid w:val="6B7D1436"/>
    <w:rsid w:val="6B8409A5"/>
    <w:rsid w:val="6B981FC8"/>
    <w:rsid w:val="6BAF4A30"/>
    <w:rsid w:val="6BB72AEA"/>
    <w:rsid w:val="6BBA3B00"/>
    <w:rsid w:val="6BC02844"/>
    <w:rsid w:val="6BC427B2"/>
    <w:rsid w:val="6BD365AA"/>
    <w:rsid w:val="6BDF5315"/>
    <w:rsid w:val="6BEB4B29"/>
    <w:rsid w:val="6C0703C8"/>
    <w:rsid w:val="6C197B08"/>
    <w:rsid w:val="6C1F1BB5"/>
    <w:rsid w:val="6C2E2B6D"/>
    <w:rsid w:val="6C5929ED"/>
    <w:rsid w:val="6C61660E"/>
    <w:rsid w:val="6C735D8A"/>
    <w:rsid w:val="6C810784"/>
    <w:rsid w:val="6C922387"/>
    <w:rsid w:val="6C9242EA"/>
    <w:rsid w:val="6CA830DE"/>
    <w:rsid w:val="6CAC1ECF"/>
    <w:rsid w:val="6CAE52EE"/>
    <w:rsid w:val="6CB57E24"/>
    <w:rsid w:val="6CD97FB6"/>
    <w:rsid w:val="6D074C2F"/>
    <w:rsid w:val="6D252DE1"/>
    <w:rsid w:val="6D341C97"/>
    <w:rsid w:val="6D4F64CA"/>
    <w:rsid w:val="6D5B6C53"/>
    <w:rsid w:val="6D6B4986"/>
    <w:rsid w:val="6D954F35"/>
    <w:rsid w:val="6DAC5479"/>
    <w:rsid w:val="6DB027C0"/>
    <w:rsid w:val="6DC01DB8"/>
    <w:rsid w:val="6DD72555"/>
    <w:rsid w:val="6DDB1B0C"/>
    <w:rsid w:val="6DF373DB"/>
    <w:rsid w:val="6E075259"/>
    <w:rsid w:val="6E080D24"/>
    <w:rsid w:val="6E141E85"/>
    <w:rsid w:val="6E153270"/>
    <w:rsid w:val="6E164BD1"/>
    <w:rsid w:val="6E2F5DCE"/>
    <w:rsid w:val="6E376959"/>
    <w:rsid w:val="6E4140FB"/>
    <w:rsid w:val="6E60184C"/>
    <w:rsid w:val="6E650F24"/>
    <w:rsid w:val="6E813B16"/>
    <w:rsid w:val="6EB41502"/>
    <w:rsid w:val="6ED11E12"/>
    <w:rsid w:val="6ED4707E"/>
    <w:rsid w:val="6EF0156F"/>
    <w:rsid w:val="6EF72976"/>
    <w:rsid w:val="6F073012"/>
    <w:rsid w:val="6F153F6F"/>
    <w:rsid w:val="6F1909DC"/>
    <w:rsid w:val="6F237D85"/>
    <w:rsid w:val="6F2B1A31"/>
    <w:rsid w:val="6F2E3971"/>
    <w:rsid w:val="6F333E65"/>
    <w:rsid w:val="6F4B3740"/>
    <w:rsid w:val="6F4E5E31"/>
    <w:rsid w:val="6F6F6D2B"/>
    <w:rsid w:val="6F776A59"/>
    <w:rsid w:val="6F8E6E35"/>
    <w:rsid w:val="6FAA5C3A"/>
    <w:rsid w:val="6FB86966"/>
    <w:rsid w:val="6FD9651F"/>
    <w:rsid w:val="6FDA4CEA"/>
    <w:rsid w:val="6FEE3B8C"/>
    <w:rsid w:val="6FF87C20"/>
    <w:rsid w:val="70081CA8"/>
    <w:rsid w:val="70121837"/>
    <w:rsid w:val="701238CF"/>
    <w:rsid w:val="703415F0"/>
    <w:rsid w:val="703D63DA"/>
    <w:rsid w:val="7040034C"/>
    <w:rsid w:val="70445671"/>
    <w:rsid w:val="70452370"/>
    <w:rsid w:val="704B7FD9"/>
    <w:rsid w:val="70521D19"/>
    <w:rsid w:val="70686732"/>
    <w:rsid w:val="706A7177"/>
    <w:rsid w:val="706D6543"/>
    <w:rsid w:val="7094201B"/>
    <w:rsid w:val="709749CD"/>
    <w:rsid w:val="70A56A6B"/>
    <w:rsid w:val="70B13E60"/>
    <w:rsid w:val="70BD3D78"/>
    <w:rsid w:val="70C50116"/>
    <w:rsid w:val="70D3036D"/>
    <w:rsid w:val="70DB4B83"/>
    <w:rsid w:val="70E93737"/>
    <w:rsid w:val="70EC5EE5"/>
    <w:rsid w:val="70EF6902"/>
    <w:rsid w:val="70F808E8"/>
    <w:rsid w:val="70FF01AD"/>
    <w:rsid w:val="7113559E"/>
    <w:rsid w:val="711A6DEF"/>
    <w:rsid w:val="7128397D"/>
    <w:rsid w:val="712E2DE0"/>
    <w:rsid w:val="71374871"/>
    <w:rsid w:val="714A6368"/>
    <w:rsid w:val="717F5010"/>
    <w:rsid w:val="71BE3C1E"/>
    <w:rsid w:val="71CA4F2A"/>
    <w:rsid w:val="71DD3BE2"/>
    <w:rsid w:val="71F25676"/>
    <w:rsid w:val="71F4319C"/>
    <w:rsid w:val="72080D32"/>
    <w:rsid w:val="720D1F4D"/>
    <w:rsid w:val="721052B7"/>
    <w:rsid w:val="722308F4"/>
    <w:rsid w:val="722A0038"/>
    <w:rsid w:val="724265FE"/>
    <w:rsid w:val="725D3437"/>
    <w:rsid w:val="726E73F3"/>
    <w:rsid w:val="72730565"/>
    <w:rsid w:val="727C0236"/>
    <w:rsid w:val="72814B83"/>
    <w:rsid w:val="72900561"/>
    <w:rsid w:val="729519B7"/>
    <w:rsid w:val="729C775C"/>
    <w:rsid w:val="72A73F0F"/>
    <w:rsid w:val="72B312A9"/>
    <w:rsid w:val="72D57779"/>
    <w:rsid w:val="72F62005"/>
    <w:rsid w:val="72F62983"/>
    <w:rsid w:val="73000AD0"/>
    <w:rsid w:val="73143DF5"/>
    <w:rsid w:val="7318400E"/>
    <w:rsid w:val="73266B91"/>
    <w:rsid w:val="7333230E"/>
    <w:rsid w:val="733D4B5B"/>
    <w:rsid w:val="73467A28"/>
    <w:rsid w:val="7355443D"/>
    <w:rsid w:val="73660DEB"/>
    <w:rsid w:val="73775BB2"/>
    <w:rsid w:val="737B0AD6"/>
    <w:rsid w:val="738568B7"/>
    <w:rsid w:val="73860913"/>
    <w:rsid w:val="73953EEA"/>
    <w:rsid w:val="7396363B"/>
    <w:rsid w:val="73B12FE9"/>
    <w:rsid w:val="73B91CF6"/>
    <w:rsid w:val="73BC6BBA"/>
    <w:rsid w:val="73CB5C5D"/>
    <w:rsid w:val="740C0C71"/>
    <w:rsid w:val="74111D04"/>
    <w:rsid w:val="74171A01"/>
    <w:rsid w:val="74302C64"/>
    <w:rsid w:val="7443263B"/>
    <w:rsid w:val="7444470B"/>
    <w:rsid w:val="74536A3F"/>
    <w:rsid w:val="745F5740"/>
    <w:rsid w:val="747C3D32"/>
    <w:rsid w:val="74810E5A"/>
    <w:rsid w:val="74835AE8"/>
    <w:rsid w:val="74856C75"/>
    <w:rsid w:val="749D5090"/>
    <w:rsid w:val="749F0331"/>
    <w:rsid w:val="749F0C11"/>
    <w:rsid w:val="74A0760B"/>
    <w:rsid w:val="74A8777D"/>
    <w:rsid w:val="74B854F4"/>
    <w:rsid w:val="74BE18BB"/>
    <w:rsid w:val="74D85F1E"/>
    <w:rsid w:val="74EC2851"/>
    <w:rsid w:val="74FD086C"/>
    <w:rsid w:val="750259DD"/>
    <w:rsid w:val="75031A86"/>
    <w:rsid w:val="750A41BF"/>
    <w:rsid w:val="75432118"/>
    <w:rsid w:val="755D1F6E"/>
    <w:rsid w:val="75695C4F"/>
    <w:rsid w:val="756E71B1"/>
    <w:rsid w:val="756E770A"/>
    <w:rsid w:val="75717525"/>
    <w:rsid w:val="75750A98"/>
    <w:rsid w:val="757F5863"/>
    <w:rsid w:val="75A01BA0"/>
    <w:rsid w:val="75A3577E"/>
    <w:rsid w:val="75CB076F"/>
    <w:rsid w:val="75E87144"/>
    <w:rsid w:val="76270659"/>
    <w:rsid w:val="764056E2"/>
    <w:rsid w:val="76407230"/>
    <w:rsid w:val="76483E2B"/>
    <w:rsid w:val="764A5E39"/>
    <w:rsid w:val="76746FA2"/>
    <w:rsid w:val="767652A9"/>
    <w:rsid w:val="76852153"/>
    <w:rsid w:val="76993A01"/>
    <w:rsid w:val="769A7EDF"/>
    <w:rsid w:val="76A30AFA"/>
    <w:rsid w:val="76B0451F"/>
    <w:rsid w:val="76B46D6B"/>
    <w:rsid w:val="76B86E8E"/>
    <w:rsid w:val="76BA3E58"/>
    <w:rsid w:val="76DB7291"/>
    <w:rsid w:val="76E70700"/>
    <w:rsid w:val="76E754F2"/>
    <w:rsid w:val="76E8509A"/>
    <w:rsid w:val="76F1414E"/>
    <w:rsid w:val="76F27926"/>
    <w:rsid w:val="770C63D0"/>
    <w:rsid w:val="7716366B"/>
    <w:rsid w:val="772E65EA"/>
    <w:rsid w:val="77372ECB"/>
    <w:rsid w:val="77443D39"/>
    <w:rsid w:val="774E7903"/>
    <w:rsid w:val="77534E09"/>
    <w:rsid w:val="77783DFC"/>
    <w:rsid w:val="777B3E41"/>
    <w:rsid w:val="7789082B"/>
    <w:rsid w:val="778A367F"/>
    <w:rsid w:val="778D0A16"/>
    <w:rsid w:val="77A96719"/>
    <w:rsid w:val="77C24239"/>
    <w:rsid w:val="77C54B0B"/>
    <w:rsid w:val="77D4227E"/>
    <w:rsid w:val="77DF5A8B"/>
    <w:rsid w:val="77FA4943"/>
    <w:rsid w:val="78043E2D"/>
    <w:rsid w:val="783F0EE9"/>
    <w:rsid w:val="78485358"/>
    <w:rsid w:val="784A2879"/>
    <w:rsid w:val="78523BB2"/>
    <w:rsid w:val="786D3CA8"/>
    <w:rsid w:val="788334CC"/>
    <w:rsid w:val="78863C82"/>
    <w:rsid w:val="788D62EB"/>
    <w:rsid w:val="789C58B9"/>
    <w:rsid w:val="78D03957"/>
    <w:rsid w:val="78E977D3"/>
    <w:rsid w:val="78F107E1"/>
    <w:rsid w:val="790C7AD7"/>
    <w:rsid w:val="791D50EE"/>
    <w:rsid w:val="791F31F5"/>
    <w:rsid w:val="793925CD"/>
    <w:rsid w:val="795773C0"/>
    <w:rsid w:val="79823784"/>
    <w:rsid w:val="798B7DE0"/>
    <w:rsid w:val="799E3268"/>
    <w:rsid w:val="79AE4579"/>
    <w:rsid w:val="79B748A3"/>
    <w:rsid w:val="79EA6FB1"/>
    <w:rsid w:val="79EB3FC1"/>
    <w:rsid w:val="79FB04FD"/>
    <w:rsid w:val="79FF05B1"/>
    <w:rsid w:val="7A1C5986"/>
    <w:rsid w:val="7A2275F3"/>
    <w:rsid w:val="7A29208A"/>
    <w:rsid w:val="7A3A71B0"/>
    <w:rsid w:val="7A484464"/>
    <w:rsid w:val="7A560E98"/>
    <w:rsid w:val="7A72434A"/>
    <w:rsid w:val="7A7B7C81"/>
    <w:rsid w:val="7A9C4B42"/>
    <w:rsid w:val="7A9C69F9"/>
    <w:rsid w:val="7A9E1BB2"/>
    <w:rsid w:val="7AA50F65"/>
    <w:rsid w:val="7AC322A6"/>
    <w:rsid w:val="7AD37417"/>
    <w:rsid w:val="7ADB322E"/>
    <w:rsid w:val="7ADB6286"/>
    <w:rsid w:val="7B06720A"/>
    <w:rsid w:val="7B2829EF"/>
    <w:rsid w:val="7B315A2C"/>
    <w:rsid w:val="7B3E7CED"/>
    <w:rsid w:val="7B416C0F"/>
    <w:rsid w:val="7B446F42"/>
    <w:rsid w:val="7B5C3495"/>
    <w:rsid w:val="7B6930D1"/>
    <w:rsid w:val="7B6A29F2"/>
    <w:rsid w:val="7B6C7A46"/>
    <w:rsid w:val="7B7F6487"/>
    <w:rsid w:val="7B8160C2"/>
    <w:rsid w:val="7B8B0C26"/>
    <w:rsid w:val="7BA91283"/>
    <w:rsid w:val="7BA92F1A"/>
    <w:rsid w:val="7BC25DD8"/>
    <w:rsid w:val="7C036DFE"/>
    <w:rsid w:val="7C0C10E4"/>
    <w:rsid w:val="7C0E51CC"/>
    <w:rsid w:val="7C2E4FBE"/>
    <w:rsid w:val="7C647FED"/>
    <w:rsid w:val="7C8A4362"/>
    <w:rsid w:val="7C946D15"/>
    <w:rsid w:val="7C9B46A7"/>
    <w:rsid w:val="7CA459D5"/>
    <w:rsid w:val="7CB34463"/>
    <w:rsid w:val="7CDC7DD4"/>
    <w:rsid w:val="7CE87470"/>
    <w:rsid w:val="7CF005F7"/>
    <w:rsid w:val="7D155CC4"/>
    <w:rsid w:val="7D250FF6"/>
    <w:rsid w:val="7D351B9F"/>
    <w:rsid w:val="7D491718"/>
    <w:rsid w:val="7D500AED"/>
    <w:rsid w:val="7D5A249C"/>
    <w:rsid w:val="7D80622C"/>
    <w:rsid w:val="7D8A2C07"/>
    <w:rsid w:val="7D8B0D7C"/>
    <w:rsid w:val="7DA07B9A"/>
    <w:rsid w:val="7DA37F32"/>
    <w:rsid w:val="7DA55C93"/>
    <w:rsid w:val="7DB72E1B"/>
    <w:rsid w:val="7DD5728E"/>
    <w:rsid w:val="7DFF3469"/>
    <w:rsid w:val="7E007461"/>
    <w:rsid w:val="7E343D84"/>
    <w:rsid w:val="7E391A74"/>
    <w:rsid w:val="7E391CC9"/>
    <w:rsid w:val="7E3F3081"/>
    <w:rsid w:val="7E525E1A"/>
    <w:rsid w:val="7E6B3E20"/>
    <w:rsid w:val="7E7E09BD"/>
    <w:rsid w:val="7E803CF0"/>
    <w:rsid w:val="7E8477B4"/>
    <w:rsid w:val="7E861620"/>
    <w:rsid w:val="7E8B7D9C"/>
    <w:rsid w:val="7E942F37"/>
    <w:rsid w:val="7E9B7171"/>
    <w:rsid w:val="7EA321D2"/>
    <w:rsid w:val="7EBB72B2"/>
    <w:rsid w:val="7ED61C99"/>
    <w:rsid w:val="7ED6233D"/>
    <w:rsid w:val="7EDA5900"/>
    <w:rsid w:val="7EDC1B9E"/>
    <w:rsid w:val="7EFA283D"/>
    <w:rsid w:val="7EFD52BB"/>
    <w:rsid w:val="7F0346C3"/>
    <w:rsid w:val="7F0A5591"/>
    <w:rsid w:val="7F294505"/>
    <w:rsid w:val="7F350BDD"/>
    <w:rsid w:val="7F4A6516"/>
    <w:rsid w:val="7F5757BE"/>
    <w:rsid w:val="7F690FA9"/>
    <w:rsid w:val="7F6C5FC6"/>
    <w:rsid w:val="7F824865"/>
    <w:rsid w:val="7F8A76B2"/>
    <w:rsid w:val="7F8C1E91"/>
    <w:rsid w:val="7F8F03A1"/>
    <w:rsid w:val="7FAF6024"/>
    <w:rsid w:val="7FB65F35"/>
    <w:rsid w:val="7FB93C21"/>
    <w:rsid w:val="7FBB0F60"/>
    <w:rsid w:val="7FCA1BF6"/>
    <w:rsid w:val="7FDA15FF"/>
    <w:rsid w:val="7FED0079"/>
    <w:rsid w:val="7FF9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8"/>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4">
    <w:name w:val="heading 2"/>
    <w:basedOn w:val="1"/>
    <w:next w:val="1"/>
    <w:link w:val="69"/>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5">
    <w:name w:val="heading 3"/>
    <w:basedOn w:val="1"/>
    <w:next w:val="1"/>
    <w:link w:val="70"/>
    <w:qFormat/>
    <w:uiPriority w:val="0"/>
    <w:pPr>
      <w:autoSpaceDE w:val="0"/>
      <w:autoSpaceDN w:val="0"/>
      <w:adjustRightInd w:val="0"/>
      <w:spacing w:before="16"/>
      <w:jc w:val="left"/>
      <w:outlineLvl w:val="2"/>
    </w:pPr>
    <w:rPr>
      <w:rFonts w:ascii="仿宋_GB2312" w:eastAsia="仿宋_GB2312"/>
      <w:b/>
      <w:sz w:val="24"/>
    </w:rPr>
  </w:style>
  <w:style w:type="paragraph" w:styleId="6">
    <w:name w:val="heading 4"/>
    <w:basedOn w:val="1"/>
    <w:next w:val="1"/>
    <w:link w:val="71"/>
    <w:qFormat/>
    <w:uiPriority w:val="0"/>
    <w:pPr>
      <w:jc w:val="center"/>
      <w:outlineLvl w:val="3"/>
    </w:pPr>
    <w:rPr>
      <w:rFonts w:ascii="仿宋_GB2312" w:eastAsia="仿宋_GB2312"/>
      <w:b/>
      <w:sz w:val="24"/>
    </w:rPr>
  </w:style>
  <w:style w:type="paragraph" w:styleId="7">
    <w:name w:val="heading 5"/>
    <w:basedOn w:val="1"/>
    <w:next w:val="1"/>
    <w:link w:val="72"/>
    <w:qFormat/>
    <w:uiPriority w:val="0"/>
    <w:pPr>
      <w:keepNext/>
      <w:keepLines/>
      <w:spacing w:before="280" w:after="290" w:line="374" w:lineRule="auto"/>
      <w:outlineLvl w:val="4"/>
    </w:pPr>
    <w:rPr>
      <w:b/>
      <w:bCs/>
      <w:sz w:val="28"/>
      <w:szCs w:val="28"/>
    </w:rPr>
  </w:style>
  <w:style w:type="paragraph" w:styleId="8">
    <w:name w:val="heading 6"/>
    <w:basedOn w:val="1"/>
    <w:next w:val="1"/>
    <w:link w:val="73"/>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74"/>
    <w:qFormat/>
    <w:uiPriority w:val="0"/>
    <w:pPr>
      <w:keepNext/>
      <w:keepLines/>
      <w:spacing w:before="240" w:after="64" w:line="319" w:lineRule="auto"/>
      <w:outlineLvl w:val="6"/>
    </w:pPr>
    <w:rPr>
      <w:b/>
      <w:bCs/>
      <w:sz w:val="24"/>
      <w:szCs w:val="24"/>
    </w:rPr>
  </w:style>
  <w:style w:type="paragraph" w:styleId="10">
    <w:name w:val="heading 8"/>
    <w:basedOn w:val="1"/>
    <w:next w:val="1"/>
    <w:link w:val="7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76"/>
    <w:qFormat/>
    <w:uiPriority w:val="0"/>
    <w:pPr>
      <w:keepNext/>
      <w:keepLines/>
      <w:spacing w:before="240" w:after="64" w:line="319" w:lineRule="auto"/>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7"/>
    <w:qFormat/>
    <w:uiPriority w:val="0"/>
    <w:rPr>
      <w:sz w:val="26"/>
    </w:rPr>
  </w:style>
  <w:style w:type="paragraph" w:styleId="12">
    <w:name w:val="toc 7"/>
    <w:basedOn w:val="1"/>
    <w:next w:val="1"/>
    <w:qFormat/>
    <w:uiPriority w:val="0"/>
    <w:pPr>
      <w:ind w:left="1260"/>
      <w:jc w:val="left"/>
    </w:pPr>
    <w:rPr>
      <w:rFonts w:ascii="Calibri" w:hAnsi="Calibri"/>
      <w:sz w:val="18"/>
    </w:rPr>
  </w:style>
  <w:style w:type="paragraph" w:styleId="13">
    <w:name w:val="List Bullet 4"/>
    <w:basedOn w:val="1"/>
    <w:qFormat/>
    <w:uiPriority w:val="0"/>
    <w:pPr>
      <w:tabs>
        <w:tab w:val="left" w:pos="1620"/>
      </w:tabs>
      <w:ind w:left="1620" w:leftChars="600" w:hanging="360" w:hangingChars="200"/>
    </w:pPr>
    <w:rPr>
      <w:szCs w:val="24"/>
    </w:rPr>
  </w:style>
  <w:style w:type="paragraph" w:styleId="14">
    <w:name w:val="Normal Indent"/>
    <w:basedOn w:val="1"/>
    <w:qFormat/>
    <w:uiPriority w:val="0"/>
    <w:pPr>
      <w:ind w:firstLine="420" w:firstLineChars="200"/>
    </w:pPr>
    <w:rPr>
      <w:szCs w:val="24"/>
    </w:rPr>
  </w:style>
  <w:style w:type="paragraph" w:styleId="15">
    <w:name w:val="List Bullet"/>
    <w:basedOn w:val="1"/>
    <w:qFormat/>
    <w:uiPriority w:val="0"/>
    <w:pPr>
      <w:tabs>
        <w:tab w:val="left" w:pos="360"/>
      </w:tabs>
      <w:ind w:left="360" w:hanging="360" w:hangingChars="200"/>
    </w:pPr>
    <w:rPr>
      <w:szCs w:val="24"/>
    </w:rPr>
  </w:style>
  <w:style w:type="paragraph" w:styleId="16">
    <w:name w:val="Document Map"/>
    <w:basedOn w:val="1"/>
    <w:link w:val="77"/>
    <w:qFormat/>
    <w:uiPriority w:val="0"/>
    <w:pPr>
      <w:shd w:val="clear" w:color="auto" w:fill="000080"/>
    </w:pPr>
    <w:rPr>
      <w:shd w:val="clear" w:color="auto" w:fill="000080"/>
    </w:rPr>
  </w:style>
  <w:style w:type="paragraph" w:styleId="17">
    <w:name w:val="annotation text"/>
    <w:basedOn w:val="1"/>
    <w:link w:val="78"/>
    <w:qFormat/>
    <w:uiPriority w:val="0"/>
    <w:pPr>
      <w:jc w:val="left"/>
    </w:pPr>
  </w:style>
  <w:style w:type="paragraph" w:styleId="18">
    <w:name w:val="Body Text 3"/>
    <w:basedOn w:val="1"/>
    <w:link w:val="79"/>
    <w:qFormat/>
    <w:uiPriority w:val="0"/>
    <w:pPr>
      <w:spacing w:after="120"/>
    </w:pPr>
    <w:rPr>
      <w:sz w:val="16"/>
      <w:szCs w:val="16"/>
    </w:rPr>
  </w:style>
  <w:style w:type="paragraph" w:styleId="19">
    <w:name w:val="List Bullet 3"/>
    <w:basedOn w:val="1"/>
    <w:qFormat/>
    <w:uiPriority w:val="0"/>
    <w:pPr>
      <w:tabs>
        <w:tab w:val="left" w:pos="1200"/>
      </w:tabs>
      <w:ind w:left="1200" w:leftChars="400" w:hanging="360" w:hangingChars="200"/>
    </w:pPr>
    <w:rPr>
      <w:szCs w:val="24"/>
    </w:rPr>
  </w:style>
  <w:style w:type="paragraph" w:styleId="20">
    <w:name w:val="Body Text Indent"/>
    <w:basedOn w:val="1"/>
    <w:link w:val="80"/>
    <w:qFormat/>
    <w:uiPriority w:val="0"/>
    <w:pPr>
      <w:spacing w:line="360" w:lineRule="auto"/>
      <w:ind w:firstLine="560" w:firstLineChars="200"/>
    </w:pPr>
    <w:rPr>
      <w:rFonts w:ascii="黑体" w:hAnsi="宋体" w:eastAsia="黑体"/>
      <w:color w:val="000000"/>
      <w:sz w:val="28"/>
    </w:r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List Bullet 2"/>
    <w:basedOn w:val="1"/>
    <w:qFormat/>
    <w:uiPriority w:val="0"/>
    <w:pPr>
      <w:tabs>
        <w:tab w:val="left" w:pos="780"/>
      </w:tabs>
      <w:ind w:left="780" w:leftChars="200" w:hanging="360" w:hangingChars="200"/>
    </w:pPr>
    <w:rPr>
      <w:szCs w:val="24"/>
    </w:rPr>
  </w:style>
  <w:style w:type="paragraph" w:styleId="23">
    <w:name w:val="toc 5"/>
    <w:basedOn w:val="1"/>
    <w:next w:val="1"/>
    <w:qFormat/>
    <w:uiPriority w:val="0"/>
    <w:pPr>
      <w:ind w:left="840"/>
      <w:jc w:val="left"/>
    </w:pPr>
    <w:rPr>
      <w:rFonts w:ascii="Calibri" w:hAnsi="Calibri"/>
      <w:sz w:val="18"/>
    </w:rPr>
  </w:style>
  <w:style w:type="paragraph" w:styleId="24">
    <w:name w:val="toc 3"/>
    <w:basedOn w:val="1"/>
    <w:next w:val="1"/>
    <w:qFormat/>
    <w:uiPriority w:val="39"/>
    <w:pPr>
      <w:ind w:left="420"/>
      <w:jc w:val="left"/>
    </w:pPr>
    <w:rPr>
      <w:rFonts w:ascii="Calibri" w:hAnsi="Calibri" w:eastAsia="仿宋_GB2312"/>
    </w:rPr>
  </w:style>
  <w:style w:type="paragraph" w:styleId="25">
    <w:name w:val="Plain Text"/>
    <w:basedOn w:val="1"/>
    <w:next w:val="1"/>
    <w:link w:val="81"/>
    <w:qFormat/>
    <w:uiPriority w:val="0"/>
    <w:rPr>
      <w:rFonts w:ascii="宋体" w:hAnsi="Courier New"/>
      <w:sz w:val="28"/>
    </w:rPr>
  </w:style>
  <w:style w:type="paragraph" w:styleId="26">
    <w:name w:val="List Bullet 5"/>
    <w:basedOn w:val="1"/>
    <w:qFormat/>
    <w:uiPriority w:val="0"/>
    <w:pPr>
      <w:tabs>
        <w:tab w:val="left" w:pos="2040"/>
      </w:tabs>
      <w:ind w:left="2040" w:leftChars="800" w:hanging="360" w:hangingChars="200"/>
    </w:pPr>
    <w:rPr>
      <w:szCs w:val="24"/>
    </w:rPr>
  </w:style>
  <w:style w:type="paragraph" w:styleId="27">
    <w:name w:val="toc 8"/>
    <w:basedOn w:val="1"/>
    <w:next w:val="1"/>
    <w:qFormat/>
    <w:uiPriority w:val="0"/>
    <w:pPr>
      <w:ind w:left="1470"/>
      <w:jc w:val="left"/>
    </w:pPr>
    <w:rPr>
      <w:rFonts w:ascii="Calibri" w:hAnsi="Calibri"/>
      <w:sz w:val="18"/>
    </w:rPr>
  </w:style>
  <w:style w:type="paragraph" w:styleId="28">
    <w:name w:val="Date"/>
    <w:basedOn w:val="1"/>
    <w:next w:val="1"/>
    <w:link w:val="82"/>
    <w:qFormat/>
    <w:uiPriority w:val="0"/>
    <w:rPr>
      <w:sz w:val="24"/>
    </w:rPr>
  </w:style>
  <w:style w:type="paragraph" w:styleId="29">
    <w:name w:val="Body Text Indent 2"/>
    <w:basedOn w:val="1"/>
    <w:link w:val="83"/>
    <w:qFormat/>
    <w:uiPriority w:val="0"/>
    <w:pPr>
      <w:ind w:left="1005" w:hanging="1005"/>
    </w:pPr>
    <w:rPr>
      <w:rFonts w:eastAsia="仿宋_GB2312"/>
      <w:sz w:val="32"/>
    </w:rPr>
  </w:style>
  <w:style w:type="paragraph" w:styleId="30">
    <w:name w:val="endnote text"/>
    <w:basedOn w:val="1"/>
    <w:link w:val="84"/>
    <w:qFormat/>
    <w:uiPriority w:val="0"/>
    <w:pPr>
      <w:widowControl/>
      <w:snapToGrid w:val="0"/>
      <w:jc w:val="left"/>
    </w:pPr>
    <w:rPr>
      <w:rFonts w:ascii="Arial" w:hAnsi="Arial"/>
      <w:kern w:val="0"/>
      <w:sz w:val="20"/>
      <w:szCs w:val="24"/>
      <w:lang w:eastAsia="en-US"/>
    </w:rPr>
  </w:style>
  <w:style w:type="paragraph" w:styleId="31">
    <w:name w:val="Balloon Text"/>
    <w:basedOn w:val="1"/>
    <w:link w:val="85"/>
    <w:qFormat/>
    <w:uiPriority w:val="0"/>
    <w:rPr>
      <w:sz w:val="18"/>
    </w:rPr>
  </w:style>
  <w:style w:type="paragraph" w:styleId="32">
    <w:name w:val="footer"/>
    <w:basedOn w:val="1"/>
    <w:link w:val="86"/>
    <w:qFormat/>
    <w:uiPriority w:val="99"/>
    <w:pPr>
      <w:tabs>
        <w:tab w:val="center" w:pos="4153"/>
        <w:tab w:val="right" w:pos="8306"/>
      </w:tabs>
      <w:snapToGrid w:val="0"/>
      <w:jc w:val="left"/>
    </w:pPr>
    <w:rPr>
      <w:sz w:val="18"/>
    </w:rPr>
  </w:style>
  <w:style w:type="paragraph" w:styleId="33">
    <w:name w:val="header"/>
    <w:basedOn w:val="1"/>
    <w:link w:val="87"/>
    <w:qFormat/>
    <w:uiPriority w:val="99"/>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spacing w:before="120" w:after="120"/>
      <w:jc w:val="left"/>
    </w:pPr>
    <w:rPr>
      <w:rFonts w:ascii="Calibri" w:hAnsi="Calibri" w:eastAsia="仿宋_GB2312"/>
      <w:b/>
      <w:caps/>
      <w:sz w:val="28"/>
    </w:rPr>
  </w:style>
  <w:style w:type="paragraph" w:styleId="35">
    <w:name w:val="toc 4"/>
    <w:basedOn w:val="1"/>
    <w:next w:val="1"/>
    <w:qFormat/>
    <w:uiPriority w:val="0"/>
    <w:pPr>
      <w:ind w:left="630"/>
      <w:jc w:val="left"/>
    </w:pPr>
    <w:rPr>
      <w:rFonts w:ascii="Calibri" w:hAnsi="Calibri"/>
      <w:sz w:val="18"/>
    </w:rPr>
  </w:style>
  <w:style w:type="paragraph" w:styleId="36">
    <w:name w:val="Subtitle"/>
    <w:basedOn w:val="1"/>
    <w:link w:val="88"/>
    <w:qFormat/>
    <w:uiPriority w:val="0"/>
    <w:pPr>
      <w:widowControl/>
      <w:jc w:val="center"/>
    </w:pPr>
    <w:rPr>
      <w:szCs w:val="24"/>
      <w:u w:val="single"/>
      <w:lang w:eastAsia="en-US"/>
    </w:rPr>
  </w:style>
  <w:style w:type="paragraph" w:styleId="37">
    <w:name w:val="footnote text"/>
    <w:basedOn w:val="1"/>
    <w:link w:val="89"/>
    <w:qFormat/>
    <w:uiPriority w:val="0"/>
    <w:pPr>
      <w:snapToGrid w:val="0"/>
      <w:jc w:val="left"/>
    </w:pPr>
    <w:rPr>
      <w:sz w:val="18"/>
    </w:rPr>
  </w:style>
  <w:style w:type="paragraph" w:styleId="38">
    <w:name w:val="toc 6"/>
    <w:basedOn w:val="1"/>
    <w:next w:val="1"/>
    <w:qFormat/>
    <w:uiPriority w:val="0"/>
    <w:pPr>
      <w:ind w:left="1050"/>
      <w:jc w:val="left"/>
    </w:pPr>
    <w:rPr>
      <w:rFonts w:ascii="Calibri" w:hAnsi="Calibri"/>
      <w:sz w:val="18"/>
    </w:rPr>
  </w:style>
  <w:style w:type="paragraph" w:styleId="39">
    <w:name w:val="Body Text Indent 3"/>
    <w:basedOn w:val="1"/>
    <w:link w:val="90"/>
    <w:qFormat/>
    <w:uiPriority w:val="0"/>
    <w:pPr>
      <w:spacing w:after="120"/>
      <w:ind w:left="420" w:leftChars="200"/>
    </w:pPr>
    <w:rPr>
      <w:sz w:val="16"/>
    </w:rPr>
  </w:style>
  <w:style w:type="paragraph" w:styleId="40">
    <w:name w:val="toc 2"/>
    <w:basedOn w:val="1"/>
    <w:next w:val="1"/>
    <w:qFormat/>
    <w:uiPriority w:val="39"/>
    <w:pPr>
      <w:tabs>
        <w:tab w:val="right" w:leader="dot" w:pos="8609"/>
      </w:tabs>
      <w:ind w:left="210"/>
      <w:jc w:val="distribute"/>
    </w:pPr>
    <w:rPr>
      <w:rFonts w:ascii="Calibri" w:hAnsi="Calibri" w:eastAsia="仿宋_GB2312"/>
      <w:smallCaps/>
    </w:rPr>
  </w:style>
  <w:style w:type="paragraph" w:styleId="41">
    <w:name w:val="toc 9"/>
    <w:basedOn w:val="1"/>
    <w:next w:val="1"/>
    <w:qFormat/>
    <w:uiPriority w:val="0"/>
    <w:pPr>
      <w:ind w:left="1680"/>
      <w:jc w:val="left"/>
    </w:pPr>
    <w:rPr>
      <w:rFonts w:ascii="Calibri" w:hAnsi="Calibri"/>
      <w:sz w:val="18"/>
    </w:rPr>
  </w:style>
  <w:style w:type="paragraph" w:styleId="42">
    <w:name w:val="Body Text 2"/>
    <w:basedOn w:val="1"/>
    <w:link w:val="91"/>
    <w:qFormat/>
    <w:uiPriority w:val="0"/>
    <w:rPr>
      <w:i/>
      <w:sz w:val="26"/>
    </w:rPr>
  </w:style>
  <w:style w:type="paragraph" w:styleId="43">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4">
    <w:name w:val="Normal (Web)"/>
    <w:basedOn w:val="1"/>
    <w:qFormat/>
    <w:uiPriority w:val="99"/>
    <w:pPr>
      <w:widowControl/>
      <w:spacing w:before="100" w:beforeAutospacing="1" w:after="100" w:afterAutospacing="1"/>
      <w:jc w:val="left"/>
    </w:pPr>
    <w:rPr>
      <w:kern w:val="0"/>
      <w:sz w:val="24"/>
    </w:rPr>
  </w:style>
  <w:style w:type="paragraph" w:styleId="45">
    <w:name w:val="Title"/>
    <w:basedOn w:val="1"/>
    <w:next w:val="1"/>
    <w:link w:val="93"/>
    <w:qFormat/>
    <w:uiPriority w:val="0"/>
    <w:pPr>
      <w:widowControl/>
      <w:jc w:val="center"/>
    </w:pPr>
    <w:rPr>
      <w:kern w:val="0"/>
      <w:sz w:val="20"/>
      <w:szCs w:val="24"/>
      <w:u w:val="single"/>
      <w:lang w:eastAsia="en-US"/>
    </w:rPr>
  </w:style>
  <w:style w:type="paragraph" w:styleId="46">
    <w:name w:val="annotation subject"/>
    <w:basedOn w:val="17"/>
    <w:next w:val="17"/>
    <w:link w:val="94"/>
    <w:qFormat/>
    <w:uiPriority w:val="0"/>
    <w:rPr>
      <w:sz w:val="24"/>
    </w:rPr>
  </w:style>
  <w:style w:type="paragraph" w:styleId="47">
    <w:name w:val="Body Text First Indent"/>
    <w:basedOn w:val="2"/>
    <w:qFormat/>
    <w:uiPriority w:val="99"/>
    <w:pPr>
      <w:spacing w:after="120" w:line="275" w:lineRule="atLeast"/>
      <w:ind w:firstLine="420"/>
      <w:textAlignment w:val="baseline"/>
    </w:pPr>
  </w:style>
  <w:style w:type="paragraph" w:styleId="48">
    <w:name w:val="Body Text First Indent 2"/>
    <w:basedOn w:val="20"/>
    <w:link w:val="95"/>
    <w:qFormat/>
    <w:uiPriority w:val="0"/>
    <w:pPr>
      <w:spacing w:after="120" w:line="240" w:lineRule="auto"/>
      <w:ind w:left="420" w:leftChars="200" w:firstLine="420"/>
    </w:pPr>
    <w:rPr>
      <w:sz w:val="21"/>
      <w:szCs w:val="24"/>
    </w:rPr>
  </w:style>
  <w:style w:type="table" w:styleId="50">
    <w:name w:val="Table Grid"/>
    <w:basedOn w:val="4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333333"/>
      <w:u w:val="none"/>
    </w:rPr>
  </w:style>
  <w:style w:type="character" w:styleId="55">
    <w:name w:val="Emphasis"/>
    <w:qFormat/>
    <w:uiPriority w:val="0"/>
    <w:rPr>
      <w:i/>
      <w:iCs/>
    </w:rPr>
  </w:style>
  <w:style w:type="character" w:styleId="56">
    <w:name w:val="HTML Definition"/>
    <w:unhideWhenUsed/>
    <w:qFormat/>
    <w:uiPriority w:val="99"/>
  </w:style>
  <w:style w:type="character" w:styleId="57">
    <w:name w:val="HTML Typewriter"/>
    <w:unhideWhenUsed/>
    <w:qFormat/>
    <w:uiPriority w:val="99"/>
    <w:rPr>
      <w:rFonts w:ascii="monospace" w:hAnsi="monospace" w:eastAsia="monospace" w:cs="monospace"/>
      <w:sz w:val="20"/>
    </w:rPr>
  </w:style>
  <w:style w:type="character" w:styleId="58">
    <w:name w:val="HTML Acronym"/>
    <w:unhideWhenUsed/>
    <w:qFormat/>
    <w:uiPriority w:val="99"/>
  </w:style>
  <w:style w:type="character" w:styleId="59">
    <w:name w:val="HTML Variable"/>
    <w:unhideWhenUsed/>
    <w:qFormat/>
    <w:uiPriority w:val="99"/>
  </w:style>
  <w:style w:type="character" w:styleId="60">
    <w:name w:val="Hyperlink"/>
    <w:qFormat/>
    <w:uiPriority w:val="99"/>
    <w:rPr>
      <w:color w:val="333333"/>
      <w:u w:val="none"/>
    </w:rPr>
  </w:style>
  <w:style w:type="character" w:styleId="61">
    <w:name w:val="HTML Code"/>
    <w:unhideWhenUsed/>
    <w:qFormat/>
    <w:uiPriority w:val="99"/>
    <w:rPr>
      <w:rFonts w:hint="default" w:ascii="monospace" w:hAnsi="monospace" w:eastAsia="monospace" w:cs="monospace"/>
      <w:sz w:val="21"/>
      <w:szCs w:val="21"/>
    </w:rPr>
  </w:style>
  <w:style w:type="character" w:styleId="62">
    <w:name w:val="annotation reference"/>
    <w:qFormat/>
    <w:uiPriority w:val="0"/>
    <w:rPr>
      <w:sz w:val="21"/>
    </w:rPr>
  </w:style>
  <w:style w:type="character" w:styleId="63">
    <w:name w:val="HTML Cite"/>
    <w:unhideWhenUsed/>
    <w:qFormat/>
    <w:uiPriority w:val="99"/>
  </w:style>
  <w:style w:type="character" w:styleId="64">
    <w:name w:val="footnote reference"/>
    <w:qFormat/>
    <w:uiPriority w:val="0"/>
    <w:rPr>
      <w:vertAlign w:val="superscript"/>
    </w:rPr>
  </w:style>
  <w:style w:type="character" w:styleId="65">
    <w:name w:val="HTML Keyboard"/>
    <w:unhideWhenUsed/>
    <w:qFormat/>
    <w:uiPriority w:val="99"/>
    <w:rPr>
      <w:rFonts w:ascii="monospace" w:hAnsi="monospace" w:eastAsia="monospace" w:cs="monospace"/>
      <w:sz w:val="21"/>
      <w:szCs w:val="21"/>
    </w:rPr>
  </w:style>
  <w:style w:type="character" w:styleId="66">
    <w:name w:val="HTML Sample"/>
    <w:unhideWhenUsed/>
    <w:qFormat/>
    <w:uiPriority w:val="99"/>
    <w:rPr>
      <w:rFonts w:hint="default" w:ascii="monospace" w:hAnsi="monospace" w:eastAsia="monospace" w:cs="monospace"/>
      <w:sz w:val="21"/>
      <w:szCs w:val="21"/>
    </w:rPr>
  </w:style>
  <w:style w:type="character" w:customStyle="1" w:styleId="67">
    <w:name w:val="正文文本 Char"/>
    <w:link w:val="2"/>
    <w:qFormat/>
    <w:uiPriority w:val="0"/>
    <w:rPr>
      <w:kern w:val="2"/>
      <w:sz w:val="26"/>
    </w:rPr>
  </w:style>
  <w:style w:type="character" w:customStyle="1" w:styleId="68">
    <w:name w:val="标题 1 Char"/>
    <w:link w:val="3"/>
    <w:qFormat/>
    <w:uiPriority w:val="0"/>
    <w:rPr>
      <w:rFonts w:eastAsia="黑体"/>
      <w:kern w:val="2"/>
      <w:sz w:val="44"/>
    </w:rPr>
  </w:style>
  <w:style w:type="character" w:customStyle="1" w:styleId="69">
    <w:name w:val="标题 2 Char"/>
    <w:link w:val="4"/>
    <w:qFormat/>
    <w:uiPriority w:val="0"/>
    <w:rPr>
      <w:rFonts w:ascii="仿宋_GB2312" w:eastAsia="仿宋_GB2312"/>
      <w:b/>
      <w:spacing w:val="1"/>
      <w:w w:val="99"/>
      <w:kern w:val="2"/>
      <w:sz w:val="28"/>
      <w:lang w:val="en-US" w:eastAsia="zh-CN" w:bidi="ar-SA"/>
    </w:rPr>
  </w:style>
  <w:style w:type="character" w:customStyle="1" w:styleId="70">
    <w:name w:val="标题 3 Char"/>
    <w:link w:val="5"/>
    <w:qFormat/>
    <w:uiPriority w:val="0"/>
    <w:rPr>
      <w:rFonts w:ascii="仿宋_GB2312" w:eastAsia="仿宋_GB2312"/>
      <w:b/>
      <w:kern w:val="2"/>
      <w:sz w:val="24"/>
      <w:lang w:val="en-US" w:eastAsia="zh-CN" w:bidi="ar-SA"/>
    </w:rPr>
  </w:style>
  <w:style w:type="character" w:customStyle="1" w:styleId="71">
    <w:name w:val="标题 4 Char"/>
    <w:link w:val="6"/>
    <w:qFormat/>
    <w:uiPriority w:val="0"/>
    <w:rPr>
      <w:rFonts w:ascii="仿宋_GB2312" w:eastAsia="仿宋_GB2312"/>
      <w:b/>
      <w:kern w:val="2"/>
      <w:sz w:val="24"/>
    </w:rPr>
  </w:style>
  <w:style w:type="character" w:customStyle="1" w:styleId="72">
    <w:name w:val="标题 5 Char"/>
    <w:link w:val="7"/>
    <w:qFormat/>
    <w:uiPriority w:val="0"/>
    <w:rPr>
      <w:b/>
      <w:bCs/>
      <w:kern w:val="2"/>
      <w:sz w:val="28"/>
      <w:szCs w:val="28"/>
    </w:rPr>
  </w:style>
  <w:style w:type="character" w:customStyle="1" w:styleId="73">
    <w:name w:val="标题 6 Char"/>
    <w:link w:val="8"/>
    <w:qFormat/>
    <w:uiPriority w:val="0"/>
    <w:rPr>
      <w:rFonts w:ascii="Arial" w:hAnsi="Arial" w:eastAsia="黑体"/>
      <w:b/>
      <w:bCs/>
      <w:kern w:val="2"/>
      <w:sz w:val="24"/>
      <w:szCs w:val="24"/>
    </w:rPr>
  </w:style>
  <w:style w:type="character" w:customStyle="1" w:styleId="74">
    <w:name w:val="标题 7 Char"/>
    <w:link w:val="9"/>
    <w:qFormat/>
    <w:uiPriority w:val="0"/>
    <w:rPr>
      <w:b/>
      <w:bCs/>
      <w:kern w:val="2"/>
      <w:sz w:val="24"/>
      <w:szCs w:val="24"/>
    </w:rPr>
  </w:style>
  <w:style w:type="character" w:customStyle="1" w:styleId="75">
    <w:name w:val="标题 8 Char"/>
    <w:link w:val="10"/>
    <w:qFormat/>
    <w:uiPriority w:val="0"/>
    <w:rPr>
      <w:rFonts w:ascii="Arial" w:hAnsi="Arial" w:eastAsia="黑体"/>
      <w:kern w:val="2"/>
      <w:sz w:val="24"/>
      <w:szCs w:val="24"/>
    </w:rPr>
  </w:style>
  <w:style w:type="character" w:customStyle="1" w:styleId="76">
    <w:name w:val="标题 9 Char"/>
    <w:link w:val="11"/>
    <w:qFormat/>
    <w:uiPriority w:val="0"/>
    <w:rPr>
      <w:rFonts w:ascii="Arial" w:hAnsi="Arial" w:eastAsia="黑体"/>
      <w:kern w:val="2"/>
      <w:sz w:val="21"/>
      <w:szCs w:val="21"/>
    </w:rPr>
  </w:style>
  <w:style w:type="character" w:customStyle="1" w:styleId="77">
    <w:name w:val="文档结构图 Char"/>
    <w:link w:val="16"/>
    <w:qFormat/>
    <w:uiPriority w:val="0"/>
    <w:rPr>
      <w:kern w:val="2"/>
      <w:sz w:val="21"/>
      <w:shd w:val="clear" w:color="auto" w:fill="000080"/>
    </w:rPr>
  </w:style>
  <w:style w:type="character" w:customStyle="1" w:styleId="78">
    <w:name w:val="批注文字 Char"/>
    <w:link w:val="17"/>
    <w:qFormat/>
    <w:uiPriority w:val="0"/>
    <w:rPr>
      <w:kern w:val="2"/>
      <w:sz w:val="21"/>
    </w:rPr>
  </w:style>
  <w:style w:type="character" w:customStyle="1" w:styleId="79">
    <w:name w:val="正文文本 3 Char"/>
    <w:link w:val="18"/>
    <w:qFormat/>
    <w:uiPriority w:val="0"/>
    <w:rPr>
      <w:kern w:val="2"/>
      <w:sz w:val="16"/>
      <w:szCs w:val="16"/>
    </w:rPr>
  </w:style>
  <w:style w:type="character" w:customStyle="1" w:styleId="80">
    <w:name w:val="正文文本缩进 Char"/>
    <w:link w:val="20"/>
    <w:qFormat/>
    <w:uiPriority w:val="0"/>
    <w:rPr>
      <w:rFonts w:ascii="黑体" w:hAnsi="宋体" w:eastAsia="黑体"/>
      <w:color w:val="000000"/>
      <w:kern w:val="2"/>
      <w:sz w:val="28"/>
    </w:rPr>
  </w:style>
  <w:style w:type="character" w:customStyle="1" w:styleId="81">
    <w:name w:val="纯文本 Char"/>
    <w:link w:val="25"/>
    <w:qFormat/>
    <w:uiPriority w:val="0"/>
    <w:rPr>
      <w:rFonts w:ascii="宋体" w:hAnsi="Courier New" w:eastAsia="宋体"/>
      <w:kern w:val="2"/>
      <w:sz w:val="28"/>
      <w:lang w:val="en-US" w:eastAsia="zh-CN" w:bidi="ar-SA"/>
    </w:rPr>
  </w:style>
  <w:style w:type="character" w:customStyle="1" w:styleId="82">
    <w:name w:val="日期 Char"/>
    <w:link w:val="28"/>
    <w:qFormat/>
    <w:uiPriority w:val="0"/>
    <w:rPr>
      <w:kern w:val="2"/>
      <w:sz w:val="24"/>
    </w:rPr>
  </w:style>
  <w:style w:type="character" w:customStyle="1" w:styleId="83">
    <w:name w:val="正文文本缩进 2 Char"/>
    <w:link w:val="29"/>
    <w:qFormat/>
    <w:uiPriority w:val="0"/>
    <w:rPr>
      <w:rFonts w:eastAsia="仿宋_GB2312"/>
      <w:kern w:val="2"/>
      <w:sz w:val="32"/>
    </w:rPr>
  </w:style>
  <w:style w:type="character" w:customStyle="1" w:styleId="84">
    <w:name w:val="尾注文本 Char"/>
    <w:link w:val="30"/>
    <w:qFormat/>
    <w:uiPriority w:val="0"/>
    <w:rPr>
      <w:rFonts w:ascii="Arial" w:hAnsi="Arial"/>
      <w:szCs w:val="24"/>
      <w:lang w:eastAsia="en-US"/>
    </w:rPr>
  </w:style>
  <w:style w:type="character" w:customStyle="1" w:styleId="85">
    <w:name w:val="批注框文本 Char"/>
    <w:link w:val="31"/>
    <w:qFormat/>
    <w:uiPriority w:val="0"/>
    <w:rPr>
      <w:kern w:val="2"/>
      <w:sz w:val="18"/>
    </w:rPr>
  </w:style>
  <w:style w:type="character" w:customStyle="1" w:styleId="86">
    <w:name w:val="页脚 Char"/>
    <w:link w:val="32"/>
    <w:qFormat/>
    <w:uiPriority w:val="99"/>
    <w:rPr>
      <w:kern w:val="2"/>
      <w:sz w:val="18"/>
    </w:rPr>
  </w:style>
  <w:style w:type="character" w:customStyle="1" w:styleId="87">
    <w:name w:val="页眉 Char"/>
    <w:link w:val="33"/>
    <w:qFormat/>
    <w:uiPriority w:val="99"/>
    <w:rPr>
      <w:kern w:val="2"/>
      <w:sz w:val="18"/>
    </w:rPr>
  </w:style>
  <w:style w:type="character" w:customStyle="1" w:styleId="88">
    <w:name w:val="副标题 Char"/>
    <w:link w:val="36"/>
    <w:qFormat/>
    <w:uiPriority w:val="0"/>
    <w:rPr>
      <w:rFonts w:eastAsia="宋体"/>
      <w:kern w:val="2"/>
      <w:sz w:val="21"/>
      <w:szCs w:val="24"/>
      <w:u w:val="single"/>
      <w:lang w:val="en-US" w:eastAsia="en-US" w:bidi="ar-SA"/>
    </w:rPr>
  </w:style>
  <w:style w:type="character" w:customStyle="1" w:styleId="89">
    <w:name w:val="脚注文本 Char"/>
    <w:link w:val="37"/>
    <w:qFormat/>
    <w:uiPriority w:val="0"/>
    <w:rPr>
      <w:kern w:val="2"/>
      <w:sz w:val="18"/>
    </w:rPr>
  </w:style>
  <w:style w:type="character" w:customStyle="1" w:styleId="90">
    <w:name w:val="正文文本缩进 3 Char"/>
    <w:link w:val="39"/>
    <w:qFormat/>
    <w:uiPriority w:val="0"/>
    <w:rPr>
      <w:kern w:val="2"/>
      <w:sz w:val="16"/>
    </w:rPr>
  </w:style>
  <w:style w:type="character" w:customStyle="1" w:styleId="91">
    <w:name w:val="正文文本 2 Char"/>
    <w:link w:val="42"/>
    <w:qFormat/>
    <w:uiPriority w:val="0"/>
    <w:rPr>
      <w:i/>
      <w:kern w:val="2"/>
      <w:sz w:val="26"/>
    </w:rPr>
  </w:style>
  <w:style w:type="character" w:customStyle="1" w:styleId="92">
    <w:name w:val="HTML 预设格式 Char"/>
    <w:link w:val="43"/>
    <w:qFormat/>
    <w:uiPriority w:val="0"/>
    <w:rPr>
      <w:rFonts w:ascii="Arial" w:hAnsi="Arial" w:cs="Arial"/>
      <w:sz w:val="24"/>
      <w:szCs w:val="24"/>
    </w:rPr>
  </w:style>
  <w:style w:type="character" w:customStyle="1" w:styleId="93">
    <w:name w:val="标题 Char"/>
    <w:link w:val="45"/>
    <w:qFormat/>
    <w:uiPriority w:val="0"/>
    <w:rPr>
      <w:szCs w:val="24"/>
      <w:u w:val="single"/>
      <w:lang w:eastAsia="en-US"/>
    </w:rPr>
  </w:style>
  <w:style w:type="character" w:customStyle="1" w:styleId="94">
    <w:name w:val="批注主题 Char"/>
    <w:link w:val="46"/>
    <w:qFormat/>
    <w:uiPriority w:val="0"/>
    <w:rPr>
      <w:kern w:val="2"/>
      <w:sz w:val="24"/>
    </w:rPr>
  </w:style>
  <w:style w:type="character" w:customStyle="1" w:styleId="95">
    <w:name w:val="正文首行缩进 2 Char"/>
    <w:link w:val="48"/>
    <w:qFormat/>
    <w:uiPriority w:val="0"/>
    <w:rPr>
      <w:rFonts w:ascii="黑体" w:hAnsi="宋体" w:eastAsia="黑体"/>
      <w:color w:val="000000"/>
      <w:kern w:val="2"/>
      <w:sz w:val="21"/>
      <w:szCs w:val="24"/>
    </w:rPr>
  </w:style>
  <w:style w:type="character" w:customStyle="1" w:styleId="96">
    <w:name w:val="Char Char11"/>
    <w:qFormat/>
    <w:uiPriority w:val="0"/>
    <w:rPr>
      <w:rFonts w:eastAsia="黑体"/>
      <w:kern w:val="2"/>
      <w:sz w:val="44"/>
      <w:lang w:val="en-US" w:eastAsia="zh-CN"/>
    </w:rPr>
  </w:style>
  <w:style w:type="character" w:customStyle="1" w:styleId="97">
    <w:name w:val="icon30"/>
    <w:qFormat/>
    <w:uiPriority w:val="0"/>
  </w:style>
  <w:style w:type="character" w:customStyle="1" w:styleId="98">
    <w:name w:val="Char Char4"/>
    <w:qFormat/>
    <w:uiPriority w:val="0"/>
    <w:rPr>
      <w:rFonts w:ascii="宋体" w:hAnsi="Courier New"/>
      <w:kern w:val="2"/>
      <w:sz w:val="28"/>
    </w:rPr>
  </w:style>
  <w:style w:type="character" w:customStyle="1" w:styleId="99">
    <w:name w:val="Char Char5"/>
    <w:qFormat/>
    <w:uiPriority w:val="0"/>
    <w:rPr>
      <w:kern w:val="2"/>
      <w:sz w:val="18"/>
    </w:rPr>
  </w:style>
  <w:style w:type="character" w:customStyle="1" w:styleId="100">
    <w:name w:val="icon29"/>
    <w:qFormat/>
    <w:uiPriority w:val="0"/>
  </w:style>
  <w:style w:type="character" w:customStyle="1" w:styleId="101">
    <w:name w:val="Char Char8"/>
    <w:qFormat/>
    <w:uiPriority w:val="0"/>
    <w:rPr>
      <w:rFonts w:ascii="仿宋_GB2312" w:eastAsia="仿宋_GB2312"/>
      <w:b/>
      <w:sz w:val="24"/>
    </w:rPr>
  </w:style>
  <w:style w:type="character" w:customStyle="1" w:styleId="102">
    <w:name w:val="列出段落 Char"/>
    <w:link w:val="103"/>
    <w:qFormat/>
    <w:uiPriority w:val="0"/>
    <w:rPr>
      <w:kern w:val="2"/>
      <w:sz w:val="28"/>
    </w:rPr>
  </w:style>
  <w:style w:type="paragraph" w:styleId="103">
    <w:name w:val="List Paragraph"/>
    <w:basedOn w:val="1"/>
    <w:link w:val="102"/>
    <w:qFormat/>
    <w:uiPriority w:val="0"/>
    <w:pPr>
      <w:ind w:firstLine="420" w:firstLineChars="200"/>
    </w:pPr>
    <w:rPr>
      <w:sz w:val="28"/>
    </w:rPr>
  </w:style>
  <w:style w:type="character" w:customStyle="1" w:styleId="104">
    <w:name w:val="font21"/>
    <w:qFormat/>
    <w:uiPriority w:val="0"/>
    <w:rPr>
      <w:rFonts w:hint="eastAsia" w:ascii="宋体" w:hAnsi="宋体" w:eastAsia="宋体" w:cs="宋体"/>
      <w:color w:val="000000"/>
      <w:sz w:val="22"/>
      <w:szCs w:val="22"/>
      <w:u w:val="none"/>
    </w:rPr>
  </w:style>
  <w:style w:type="character" w:customStyle="1" w:styleId="105">
    <w:name w:val="Char Char3"/>
    <w:qFormat/>
    <w:uiPriority w:val="0"/>
    <w:rPr>
      <w:rFonts w:hint="eastAsia" w:ascii="宋体" w:hAnsi="宋体" w:eastAsia="宋体"/>
      <w:kern w:val="2"/>
      <w:sz w:val="18"/>
      <w:szCs w:val="18"/>
      <w:lang w:val="en-US" w:eastAsia="zh-CN" w:bidi="ar-SA"/>
    </w:rPr>
  </w:style>
  <w:style w:type="character" w:customStyle="1" w:styleId="106">
    <w:name w:val="标题 Char Char"/>
    <w:qFormat/>
    <w:uiPriority w:val="0"/>
    <w:rPr>
      <w:rFonts w:ascii="Cambria" w:hAnsi="Cambria" w:cs="Times New Roman"/>
      <w:b/>
      <w:bCs/>
      <w:kern w:val="2"/>
      <w:sz w:val="32"/>
      <w:szCs w:val="32"/>
    </w:rPr>
  </w:style>
  <w:style w:type="character" w:customStyle="1" w:styleId="107">
    <w:name w:val="Char Char2"/>
    <w:qFormat/>
    <w:uiPriority w:val="0"/>
    <w:rPr>
      <w:kern w:val="2"/>
      <w:sz w:val="26"/>
    </w:rPr>
  </w:style>
  <w:style w:type="character" w:customStyle="1" w:styleId="108">
    <w:name w:val="样式3 Char Char"/>
    <w:qFormat/>
    <w:uiPriority w:val="0"/>
    <w:rPr>
      <w:rFonts w:hint="eastAsia" w:ascii="宋体" w:hAnsi="宋体" w:eastAsia="仿宋_GB2312"/>
      <w:b/>
      <w:bCs/>
      <w:kern w:val="2"/>
      <w:sz w:val="24"/>
      <w:szCs w:val="32"/>
      <w:lang w:val="en-US" w:eastAsia="zh-CN" w:bidi="ar-SA"/>
    </w:rPr>
  </w:style>
  <w:style w:type="character" w:customStyle="1" w:styleId="109">
    <w:name w:val="Char Char6"/>
    <w:qFormat/>
    <w:uiPriority w:val="0"/>
    <w:rPr>
      <w:sz w:val="24"/>
    </w:rPr>
  </w:style>
  <w:style w:type="character" w:customStyle="1" w:styleId="110">
    <w:name w:val="Heading 1 Char"/>
    <w:qFormat/>
    <w:uiPriority w:val="0"/>
    <w:rPr>
      <w:rFonts w:hint="eastAsia" w:ascii="宋体" w:hAnsi="宋体" w:eastAsia="宋体"/>
      <w:b/>
      <w:bCs/>
      <w:kern w:val="44"/>
      <w:sz w:val="44"/>
      <w:szCs w:val="44"/>
      <w:lang w:val="en-US" w:eastAsia="zh-CN" w:bidi="ar-SA"/>
    </w:rPr>
  </w:style>
  <w:style w:type="character" w:customStyle="1" w:styleId="111">
    <w:name w:val="Char Char111"/>
    <w:qFormat/>
    <w:uiPriority w:val="0"/>
    <w:rPr>
      <w:rFonts w:eastAsia="黑体"/>
      <w:kern w:val="2"/>
      <w:sz w:val="44"/>
      <w:lang w:val="en-US" w:eastAsia="zh-CN"/>
    </w:rPr>
  </w:style>
  <w:style w:type="character" w:customStyle="1" w:styleId="112">
    <w:name w:val="Char Char31"/>
    <w:qFormat/>
    <w:uiPriority w:val="0"/>
    <w:rPr>
      <w:kern w:val="2"/>
      <w:sz w:val="18"/>
    </w:rPr>
  </w:style>
  <w:style w:type="character" w:customStyle="1" w:styleId="113">
    <w:name w:val="样式 Char Char"/>
    <w:qFormat/>
    <w:uiPriority w:val="0"/>
    <w:rPr>
      <w:rFonts w:ascii="宋体" w:hAnsi="宋体" w:eastAsia="宋体"/>
      <w:sz w:val="24"/>
      <w:lang w:val="en-US" w:eastAsia="zh-CN"/>
    </w:rPr>
  </w:style>
  <w:style w:type="character" w:customStyle="1" w:styleId="114">
    <w:name w:val="Char Char21"/>
    <w:qFormat/>
    <w:uiPriority w:val="0"/>
    <w:rPr>
      <w:rFonts w:hint="eastAsia" w:ascii="宋体" w:hAnsi="宋体" w:eastAsia="宋体"/>
      <w:sz w:val="24"/>
      <w:lang w:val="en-US" w:eastAsia="zh-CN" w:bidi="ar-SA"/>
    </w:rPr>
  </w:style>
  <w:style w:type="character" w:customStyle="1" w:styleId="115">
    <w:name w:val="Char Char Char"/>
    <w:qFormat/>
    <w:uiPriority w:val="0"/>
    <w:rPr>
      <w:kern w:val="2"/>
      <w:sz w:val="18"/>
    </w:rPr>
  </w:style>
  <w:style w:type="character" w:customStyle="1" w:styleId="116">
    <w:name w:val="Char Char34"/>
    <w:qFormat/>
    <w:uiPriority w:val="0"/>
    <w:rPr>
      <w:rFonts w:eastAsia="黑体"/>
      <w:kern w:val="2"/>
      <w:sz w:val="44"/>
      <w:lang w:val="en-US" w:eastAsia="zh-CN" w:bidi="ar-SA"/>
    </w:rPr>
  </w:style>
  <w:style w:type="character" w:customStyle="1" w:styleId="117">
    <w:name w:val="active4"/>
    <w:qFormat/>
    <w:uiPriority w:val="0"/>
    <w:rPr>
      <w:color w:val="FFFFFF"/>
      <w:shd w:val="clear" w:color="auto" w:fill="0084FF"/>
    </w:rPr>
  </w:style>
  <w:style w:type="character" w:customStyle="1" w:styleId="118">
    <w:name w:val="ca-141"/>
    <w:qFormat/>
    <w:uiPriority w:val="0"/>
    <w:rPr>
      <w:rFonts w:hint="eastAsia" w:ascii="仿宋_GB2312" w:eastAsia="仿宋_GB2312"/>
      <w:sz w:val="21"/>
      <w:szCs w:val="21"/>
    </w:rPr>
  </w:style>
  <w:style w:type="character" w:customStyle="1" w:styleId="119">
    <w:name w:val="Char Char9"/>
    <w:qFormat/>
    <w:uiPriority w:val="0"/>
    <w:rPr>
      <w:rFonts w:ascii="仿宋_GB2312" w:eastAsia="仿宋_GB2312"/>
      <w:b/>
      <w:sz w:val="24"/>
    </w:rPr>
  </w:style>
  <w:style w:type="character" w:customStyle="1" w:styleId="120">
    <w:name w:val="Char Char10"/>
    <w:qFormat/>
    <w:uiPriority w:val="0"/>
    <w:rPr>
      <w:rFonts w:ascii="仿宋_GB2312" w:eastAsia="仿宋_GB2312"/>
      <w:b/>
      <w:spacing w:val="1"/>
      <w:w w:val="99"/>
      <w:sz w:val="28"/>
    </w:rPr>
  </w:style>
  <w:style w:type="character" w:customStyle="1" w:styleId="121">
    <w:name w:val="Char Char7"/>
    <w:qFormat/>
    <w:uiPriority w:val="0"/>
    <w:rPr>
      <w:kern w:val="2"/>
      <w:sz w:val="18"/>
    </w:rPr>
  </w:style>
  <w:style w:type="character" w:customStyle="1" w:styleId="122">
    <w:name w:val="Char Char1"/>
    <w:qFormat/>
    <w:uiPriority w:val="0"/>
    <w:rPr>
      <w:rFonts w:hint="eastAsia" w:ascii="宋体" w:hAnsi="宋体" w:eastAsia="宋体"/>
      <w:kern w:val="2"/>
      <w:sz w:val="18"/>
      <w:szCs w:val="18"/>
      <w:lang w:val="en-US" w:eastAsia="zh-CN" w:bidi="ar-SA"/>
    </w:rPr>
  </w:style>
  <w:style w:type="character" w:customStyle="1" w:styleId="123">
    <w:name w:val="Char Char12"/>
    <w:qFormat/>
    <w:uiPriority w:val="0"/>
    <w:rPr>
      <w:i/>
      <w:kern w:val="2"/>
      <w:sz w:val="26"/>
    </w:rPr>
  </w:style>
  <w:style w:type="character" w:customStyle="1" w:styleId="124">
    <w:name w:val="批注主题 Char Char"/>
    <w:qFormat/>
    <w:uiPriority w:val="0"/>
  </w:style>
  <w:style w:type="character" w:customStyle="1" w:styleId="125">
    <w:name w:val="无间隔 Char"/>
    <w:link w:val="126"/>
    <w:qFormat/>
    <w:uiPriority w:val="1"/>
    <w:rPr>
      <w:sz w:val="22"/>
      <w:szCs w:val="22"/>
      <w:lang w:val="en-US" w:eastAsia="zh-CN" w:bidi="ar-SA"/>
    </w:rPr>
  </w:style>
  <w:style w:type="paragraph" w:styleId="126">
    <w:name w:val="No Spacing"/>
    <w:link w:val="125"/>
    <w:qFormat/>
    <w:uiPriority w:val="1"/>
    <w:rPr>
      <w:rFonts w:ascii="Times New Roman" w:hAnsi="Times New Roman" w:eastAsia="宋体" w:cs="Times New Roman"/>
      <w:sz w:val="22"/>
      <w:szCs w:val="22"/>
      <w:lang w:val="en-US" w:eastAsia="zh-CN" w:bidi="ar-SA"/>
    </w:rPr>
  </w:style>
  <w:style w:type="character" w:customStyle="1" w:styleId="127">
    <w:name w:val="first-child"/>
    <w:qFormat/>
    <w:uiPriority w:val="0"/>
  </w:style>
  <w:style w:type="character" w:customStyle="1" w:styleId="128">
    <w:name w:val="尾注文本 Char Char"/>
    <w:qFormat/>
    <w:uiPriority w:val="0"/>
    <w:rPr>
      <w:kern w:val="2"/>
      <w:sz w:val="21"/>
    </w:rPr>
  </w:style>
  <w:style w:type="character" w:customStyle="1" w:styleId="129">
    <w:name w:val="icon28"/>
    <w:qFormat/>
    <w:uiPriority w:val="0"/>
  </w:style>
  <w:style w:type="paragraph" w:customStyle="1" w:styleId="130">
    <w:name w:val="样式1"/>
    <w:basedOn w:val="3"/>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131">
    <w:name w:val="Char"/>
    <w:basedOn w:val="16"/>
    <w:qFormat/>
    <w:uiPriority w:val="0"/>
    <w:pPr>
      <w:spacing w:line="360" w:lineRule="auto"/>
      <w:ind w:firstLine="200" w:firstLineChars="200"/>
    </w:pPr>
    <w:rPr>
      <w:sz w:val="18"/>
    </w:rPr>
  </w:style>
  <w:style w:type="paragraph" w:customStyle="1" w:styleId="132">
    <w:name w:val="CM95"/>
    <w:basedOn w:val="1"/>
    <w:next w:val="1"/>
    <w:qFormat/>
    <w:uiPriority w:val="0"/>
    <w:pPr>
      <w:autoSpaceDE w:val="0"/>
      <w:autoSpaceDN w:val="0"/>
      <w:adjustRightInd w:val="0"/>
      <w:spacing w:after="115"/>
      <w:jc w:val="left"/>
    </w:pPr>
    <w:rPr>
      <w:rFonts w:ascii="宋体"/>
      <w:kern w:val="0"/>
      <w:sz w:val="24"/>
      <w:szCs w:val="24"/>
    </w:rPr>
  </w:style>
  <w:style w:type="paragraph" w:customStyle="1" w:styleId="133">
    <w:name w:val="Char Char16 Char Char Char Char"/>
    <w:basedOn w:val="1"/>
    <w:qFormat/>
    <w:uiPriority w:val="0"/>
    <w:rPr>
      <w:szCs w:val="24"/>
    </w:rPr>
  </w:style>
  <w:style w:type="paragraph" w:customStyle="1" w:styleId="134">
    <w:name w:val="（1节）正文标题"/>
    <w:basedOn w:val="1"/>
    <w:next w:val="5"/>
    <w:qFormat/>
    <w:uiPriority w:val="0"/>
    <w:pPr>
      <w:spacing w:beforeLines="30" w:afterLines="20" w:line="360" w:lineRule="auto"/>
      <w:jc w:val="left"/>
      <w:outlineLvl w:val="1"/>
    </w:pPr>
    <w:rPr>
      <w:rFonts w:ascii="Calibri" w:hAnsi="Calibri" w:cs="Arial"/>
      <w:b/>
      <w:sz w:val="24"/>
    </w:rPr>
  </w:style>
  <w:style w:type="paragraph" w:customStyle="1" w:styleId="135">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36">
    <w:name w:val="目录"/>
    <w:basedOn w:val="1"/>
    <w:qFormat/>
    <w:uiPriority w:val="0"/>
    <w:pPr>
      <w:widowControl/>
      <w:jc w:val="center"/>
    </w:pPr>
    <w:rPr>
      <w:rFonts w:ascii="宋体"/>
      <w:b/>
      <w:kern w:val="0"/>
      <w:sz w:val="36"/>
    </w:rPr>
  </w:style>
  <w:style w:type="paragraph" w:customStyle="1" w:styleId="137">
    <w:name w:val="Char2"/>
    <w:basedOn w:val="1"/>
    <w:qFormat/>
    <w:uiPriority w:val="0"/>
    <w:pPr>
      <w:spacing w:beforeLines="50"/>
      <w:ind w:firstLine="200" w:firstLineChars="200"/>
    </w:pPr>
    <w:rPr>
      <w:rFonts w:ascii="宋体" w:hAnsi="宋体" w:cs="Courier New"/>
      <w:spacing w:val="-2"/>
      <w:sz w:val="22"/>
      <w:szCs w:val="32"/>
    </w:rPr>
  </w:style>
  <w:style w:type="paragraph" w:customStyle="1" w:styleId="138">
    <w:name w:val="样式 标题 1 + (西文) 宋体 非加粗 黑色 两端对齐 左侧:  0 厘米 首行缩进:  0.89 厘米"/>
    <w:basedOn w:val="3"/>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39">
    <w:name w:val="Char Char1 Char Char Char Char Char Char Char"/>
    <w:basedOn w:val="1"/>
    <w:qFormat/>
    <w:uiPriority w:val="0"/>
    <w:pPr>
      <w:pageBreakBefore/>
    </w:pPr>
  </w:style>
  <w:style w:type="paragraph" w:customStyle="1" w:styleId="140">
    <w:name w:val="Char9"/>
    <w:basedOn w:val="16"/>
    <w:qFormat/>
    <w:uiPriority w:val="0"/>
    <w:pPr>
      <w:spacing w:line="360" w:lineRule="auto"/>
      <w:ind w:firstLine="200" w:firstLineChars="200"/>
    </w:pPr>
  </w:style>
  <w:style w:type="paragraph" w:customStyle="1" w:styleId="141">
    <w:name w:val="Char Char Char Char Char Char Char"/>
    <w:basedOn w:val="1"/>
    <w:qFormat/>
    <w:uiPriority w:val="0"/>
    <w:rPr>
      <w:szCs w:val="24"/>
    </w:rPr>
  </w:style>
  <w:style w:type="paragraph" w:customStyle="1" w:styleId="142">
    <w:name w:val="Char Char30 Char Char Char Char"/>
    <w:basedOn w:val="1"/>
    <w:qFormat/>
    <w:uiPriority w:val="0"/>
    <w:rPr>
      <w:szCs w:val="24"/>
    </w:rPr>
  </w:style>
  <w:style w:type="paragraph" w:customStyle="1" w:styleId="143">
    <w:name w:val="表内容"/>
    <w:basedOn w:val="1"/>
    <w:next w:val="1"/>
    <w:qFormat/>
    <w:uiPriority w:val="0"/>
    <w:pPr>
      <w:jc w:val="center"/>
    </w:pPr>
    <w:rPr>
      <w:szCs w:val="24"/>
    </w:rPr>
  </w:style>
  <w:style w:type="paragraph" w:customStyle="1" w:styleId="144">
    <w:name w:val="目录文字"/>
    <w:basedOn w:val="1"/>
    <w:qFormat/>
    <w:uiPriority w:val="0"/>
    <w:pPr>
      <w:widowControl/>
      <w:spacing w:line="480" w:lineRule="auto"/>
      <w:jc w:val="left"/>
    </w:pPr>
    <w:rPr>
      <w:rFonts w:ascii="宋体" w:hAnsi="宋体"/>
      <w:kern w:val="0"/>
      <w:sz w:val="24"/>
    </w:rPr>
  </w:style>
  <w:style w:type="paragraph" w:customStyle="1" w:styleId="145">
    <w:name w:val="样式3"/>
    <w:basedOn w:val="5"/>
    <w:qFormat/>
    <w:uiPriority w:val="0"/>
    <w:pPr>
      <w:keepNext/>
      <w:keepLines/>
      <w:spacing w:before="0" w:line="360" w:lineRule="auto"/>
      <w:ind w:left="119" w:right="-23"/>
    </w:pPr>
    <w:rPr>
      <w:rFonts w:ascii="宋体" w:hAnsi="宋体"/>
      <w:bCs/>
      <w:kern w:val="0"/>
      <w:szCs w:val="32"/>
    </w:rPr>
  </w:style>
  <w:style w:type="paragraph" w:customStyle="1" w:styleId="146">
    <w:name w:val="TOC 标题1"/>
    <w:basedOn w:val="3"/>
    <w:next w:val="1"/>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color w:val="365F91"/>
      <w:kern w:val="0"/>
      <w:sz w:val="28"/>
    </w:rPr>
  </w:style>
  <w:style w:type="paragraph" w:customStyle="1" w:styleId="147">
    <w:name w:val="样式 首行缩进:  2 字符"/>
    <w:basedOn w:val="1"/>
    <w:qFormat/>
    <w:uiPriority w:val="0"/>
    <w:pPr>
      <w:spacing w:line="400" w:lineRule="exact"/>
      <w:ind w:firstLine="200" w:firstLineChars="200"/>
    </w:pPr>
    <w:rPr>
      <w:rFonts w:ascii="Calibri" w:hAnsi="Calibri" w:cs="宋体"/>
      <w:sz w:val="24"/>
      <w:szCs w:val="24"/>
    </w:rPr>
  </w:style>
  <w:style w:type="paragraph" w:customStyle="1" w:styleId="148">
    <w:name w:val="pa-34"/>
    <w:qFormat/>
    <w:uiPriority w:val="0"/>
    <w:pPr>
      <w:spacing w:line="360" w:lineRule="atLeast"/>
      <w:ind w:firstLine="420"/>
    </w:pPr>
    <w:rPr>
      <w:rFonts w:ascii="宋体" w:hAnsi="宋体" w:eastAsia="宋体" w:cs="Times New Roman"/>
      <w:sz w:val="24"/>
      <w:lang w:val="en-US" w:eastAsia="zh-CN" w:bidi="ar-SA"/>
    </w:rPr>
  </w:style>
  <w:style w:type="paragraph" w:customStyle="1" w:styleId="149">
    <w:name w:val="Table Paragraph"/>
    <w:basedOn w:val="1"/>
    <w:qFormat/>
    <w:uiPriority w:val="1"/>
    <w:pPr>
      <w:autoSpaceDE w:val="0"/>
      <w:autoSpaceDN w:val="0"/>
      <w:jc w:val="left"/>
    </w:pPr>
    <w:rPr>
      <w:rFonts w:ascii="宋体" w:hAnsi="宋体" w:cs="宋体"/>
      <w:kern w:val="0"/>
      <w:sz w:val="22"/>
      <w:lang w:eastAsia="en-US"/>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修订1"/>
    <w:qFormat/>
    <w:uiPriority w:val="0"/>
    <w:rPr>
      <w:rFonts w:ascii="Times New Roman" w:hAnsi="Times New Roman" w:eastAsia="宋体" w:cs="Times New Roman"/>
      <w:kern w:val="2"/>
      <w:sz w:val="21"/>
      <w:lang w:val="en-US" w:eastAsia="zh-CN" w:bidi="ar-SA"/>
    </w:rPr>
  </w:style>
  <w:style w:type="paragraph" w:customStyle="1" w:styleId="152">
    <w:name w:val="正文小标题"/>
    <w:basedOn w:val="1"/>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53">
    <w:name w:val="列出段落1"/>
    <w:basedOn w:val="1"/>
    <w:qFormat/>
    <w:uiPriority w:val="34"/>
    <w:pPr>
      <w:ind w:firstLine="420" w:firstLineChars="200"/>
    </w:pPr>
  </w:style>
  <w:style w:type="paragraph" w:customStyle="1" w:styleId="154">
    <w:name w:val="样式2"/>
    <w:basedOn w:val="4"/>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155">
    <w:name w:val="p0"/>
    <w:basedOn w:val="1"/>
    <w:qFormat/>
    <w:uiPriority w:val="0"/>
    <w:pPr>
      <w:widowControl/>
    </w:pPr>
    <w:rPr>
      <w:kern w:val="0"/>
      <w:szCs w:val="21"/>
    </w:rPr>
  </w:style>
  <w:style w:type="paragraph" w:customStyle="1" w:styleId="156">
    <w:name w:val="Char7"/>
    <w:basedOn w:val="1"/>
    <w:qFormat/>
    <w:uiPriority w:val="0"/>
    <w:pPr>
      <w:widowControl/>
      <w:spacing w:after="160" w:line="240" w:lineRule="exact"/>
      <w:jc w:val="left"/>
    </w:pPr>
  </w:style>
  <w:style w:type="paragraph" w:customStyle="1" w:styleId="157">
    <w:name w:val="Char Char Char Char"/>
    <w:basedOn w:val="16"/>
    <w:qFormat/>
    <w:uiPriority w:val="0"/>
    <w:pPr>
      <w:spacing w:line="360" w:lineRule="auto"/>
      <w:ind w:firstLine="200" w:firstLineChars="200"/>
    </w:pPr>
  </w:style>
  <w:style w:type="paragraph" w:customStyle="1" w:styleId="158">
    <w:name w:val="附件标题-1"/>
    <w:basedOn w:val="1"/>
    <w:qFormat/>
    <w:uiPriority w:val="0"/>
    <w:pPr>
      <w:spacing w:beforeLines="50"/>
      <w:jc w:val="center"/>
    </w:pPr>
    <w:rPr>
      <w:rFonts w:eastAsia="黑体"/>
      <w:sz w:val="32"/>
      <w:szCs w:val="24"/>
    </w:rPr>
  </w:style>
  <w:style w:type="paragraph" w:customStyle="1" w:styleId="159">
    <w:name w:val="目录 53"/>
    <w:next w:val="1"/>
    <w:qFormat/>
    <w:uiPriority w:val="0"/>
    <w:pPr>
      <w:wordWrap w:val="0"/>
      <w:ind w:left="1275"/>
      <w:jc w:val="both"/>
    </w:pPr>
    <w:rPr>
      <w:rFonts w:ascii="Calibri" w:hAnsi="Calibri" w:eastAsia="宋体" w:cs="Times New Roman"/>
      <w:kern w:val="2"/>
      <w:sz w:val="21"/>
      <w:lang w:val="en-US" w:eastAsia="zh-CN" w:bidi="ar-SA"/>
    </w:rPr>
  </w:style>
  <w:style w:type="paragraph" w:customStyle="1" w:styleId="160">
    <w:name w:val="BT3"/>
    <w:basedOn w:val="5"/>
    <w:qFormat/>
    <w:uiPriority w:val="0"/>
    <w:pPr>
      <w:keepNext/>
      <w:keepLines/>
      <w:autoSpaceDE/>
      <w:autoSpaceDN/>
      <w:snapToGrid w:val="0"/>
      <w:spacing w:before="260" w:after="260" w:line="360" w:lineRule="auto"/>
      <w:jc w:val="center"/>
    </w:pPr>
    <w:rPr>
      <w:rFonts w:hAnsi="宋体"/>
      <w:szCs w:val="24"/>
    </w:rPr>
  </w:style>
  <w:style w:type="paragraph" w:customStyle="1" w:styleId="161">
    <w:name w:val="Char1"/>
    <w:basedOn w:val="1"/>
    <w:qFormat/>
    <w:uiPriority w:val="0"/>
    <w:pPr>
      <w:spacing w:beforeLines="50" w:afterLines="50"/>
    </w:pPr>
    <w:rPr>
      <w:rFonts w:ascii="Tahoma" w:hAnsi="Tahoma"/>
      <w:sz w:val="24"/>
    </w:rPr>
  </w:style>
  <w:style w:type="paragraph" w:customStyle="1" w:styleId="162">
    <w:name w:val="bt1bt1"/>
    <w:basedOn w:val="3"/>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63">
    <w:name w:val="Char Char Char Char Char2 Char"/>
    <w:basedOn w:val="1"/>
    <w:qFormat/>
    <w:uiPriority w:val="0"/>
    <w:pPr>
      <w:adjustRightInd w:val="0"/>
      <w:snapToGrid w:val="0"/>
      <w:spacing w:line="360" w:lineRule="auto"/>
      <w:ind w:firstLine="200" w:firstLineChars="200"/>
    </w:pPr>
  </w:style>
  <w:style w:type="paragraph" w:customStyle="1" w:styleId="16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65">
    <w:name w:val="Char Char Char Char Char Char Char Char Char Char Char Char Char Char Char Char"/>
    <w:basedOn w:val="1"/>
    <w:qFormat/>
    <w:uiPriority w:val="0"/>
  </w:style>
  <w:style w:type="paragraph" w:customStyle="1" w:styleId="166">
    <w:name w:val="正  文"/>
    <w:basedOn w:val="1"/>
    <w:qFormat/>
    <w:uiPriority w:val="0"/>
    <w:pPr>
      <w:spacing w:line="360" w:lineRule="auto"/>
      <w:ind w:firstLine="200" w:firstLineChars="200"/>
    </w:pPr>
    <w:rPr>
      <w:rFonts w:ascii="宋体" w:hAnsi="Calibri"/>
      <w:sz w:val="24"/>
    </w:rPr>
  </w:style>
  <w:style w:type="table" w:customStyle="1" w:styleId="167">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8">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9">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0">
    <w:name w:val="列出段落11"/>
    <w:basedOn w:val="1"/>
    <w:qFormat/>
    <w:uiPriority w:val="0"/>
    <w:pPr>
      <w:ind w:firstLine="420" w:firstLineChars="200"/>
    </w:pPr>
    <w:rPr>
      <w:sz w:val="28"/>
      <w:szCs w:val="28"/>
    </w:rPr>
  </w:style>
  <w:style w:type="character" w:customStyle="1" w:styleId="171">
    <w:name w:val="NormalCharacter"/>
    <w:semiHidden/>
    <w:qFormat/>
    <w:uiPriority w:val="0"/>
  </w:style>
  <w:style w:type="character" w:customStyle="1" w:styleId="172">
    <w:name w:val="active7"/>
    <w:basedOn w:val="51"/>
    <w:qFormat/>
    <w:uiPriority w:val="0"/>
    <w:rPr>
      <w:color w:val="FFFFFF"/>
      <w:shd w:val="clear" w:color="auto" w:fill="E02F23"/>
    </w:rPr>
  </w:style>
  <w:style w:type="paragraph" w:customStyle="1" w:styleId="173">
    <w:name w:val="样式 小四"/>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174">
    <w:name w:val="列表段落1"/>
    <w:basedOn w:val="1"/>
    <w:qFormat/>
    <w:uiPriority w:val="34"/>
    <w:pPr>
      <w:ind w:firstLine="420" w:firstLineChars="200"/>
    </w:pPr>
    <w:rPr>
      <w:rFonts w:ascii="Calibri" w:hAnsi="Calibri"/>
    </w:rPr>
  </w:style>
  <w:style w:type="character" w:customStyle="1" w:styleId="175">
    <w:name w:val="font41"/>
    <w:basedOn w:val="51"/>
    <w:qFormat/>
    <w:uiPriority w:val="0"/>
    <w:rPr>
      <w:rFonts w:hint="eastAsia" w:ascii="宋体" w:hAnsi="宋体" w:eastAsia="宋体" w:cs="宋体"/>
      <w:color w:val="333333"/>
      <w:sz w:val="24"/>
      <w:szCs w:val="24"/>
      <w:u w:val="none"/>
    </w:rPr>
  </w:style>
  <w:style w:type="paragraph" w:customStyle="1" w:styleId="176">
    <w:name w:val="正文-表格内文字"/>
    <w:basedOn w:val="1"/>
    <w:qFormat/>
    <w:uiPriority w:val="0"/>
    <w:pPr>
      <w:spacing w:line="264"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922F8-2AD0-4D79-BC61-997CBF646661}">
  <ds:schemaRefs/>
</ds:datastoreItem>
</file>

<file path=docProps/app.xml><?xml version="1.0" encoding="utf-8"?>
<Properties xmlns="http://schemas.openxmlformats.org/officeDocument/2006/extended-properties" xmlns:vt="http://schemas.openxmlformats.org/officeDocument/2006/docPropsVTypes">
  <Template>Normal</Template>
  <Pages>56</Pages>
  <Words>23632</Words>
  <Characters>26280</Characters>
  <Lines>191</Lines>
  <Paragraphs>54</Paragraphs>
  <TotalTime>21</TotalTime>
  <ScaleCrop>false</ScaleCrop>
  <LinksUpToDate>false</LinksUpToDate>
  <CharactersWithSpaces>28972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2023-07-18T03:24:00Z</dcterms:created>
  <dc:creator>User</dc:creator>
  <cp:lastModifiedBy>MR.YT</cp:lastModifiedBy>
  <cp:lastPrinted>2023-07-17T02:42:00Z</cp:lastPrinted>
  <dcterms:modified xsi:type="dcterms:W3CDTF">2024-05-31T08:28:07Z</dcterms:modified>
  <dc:title>项目名称：客轮交运明珠外轮廓灯改造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E566A1A6C54748959F6E0EFBFA4DC32E_13</vt:lpwstr>
  </property>
</Properties>
</file>