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outlineLvl w:val="0"/>
        <w:rPr>
          <w:rFonts w:hint="eastAsia" w:ascii="宋体" w:hAnsi="宋体" w:eastAsia="宋体" w:cs="宋体"/>
          <w:color w:val="auto"/>
          <w:sz w:val="36"/>
          <w:szCs w:val="36"/>
          <w:highlight w:val="none"/>
        </w:rPr>
      </w:pPr>
    </w:p>
    <w:p>
      <w:pPr>
        <w:pStyle w:val="2"/>
        <w:rPr>
          <w:rFonts w:hint="eastAsia"/>
        </w:rPr>
      </w:pPr>
    </w:p>
    <w:p>
      <w:pPr>
        <w:spacing w:line="360" w:lineRule="auto"/>
        <w:ind w:firstLine="0" w:firstLineChars="0"/>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cs="宋体"/>
          <w:color w:val="auto"/>
          <w:sz w:val="36"/>
          <w:szCs w:val="36"/>
          <w:highlight w:val="none"/>
          <w:lang w:eastAsia="zh-CN"/>
        </w:rPr>
        <w:t>大足西街片区盛世华庭建设项目电线电杆、通信电缆搬迁及施工用电安装</w:t>
      </w: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pStyle w:val="26"/>
        <w:rPr>
          <w:rFonts w:hint="eastAsia"/>
          <w:color w:val="auto"/>
          <w:highlight w:val="none"/>
        </w:rPr>
      </w:pPr>
    </w:p>
    <w:p>
      <w:pPr>
        <w:spacing w:line="1600" w:lineRule="exact"/>
        <w:jc w:val="center"/>
        <w:outlineLvl w:val="0"/>
        <w:rPr>
          <w:rFonts w:hint="eastAsia" w:ascii="宋体" w:hAnsi="宋体" w:eastAsia="宋体" w:cs="宋体"/>
          <w:b/>
          <w:bCs/>
          <w:color w:val="auto"/>
          <w:sz w:val="96"/>
          <w:szCs w:val="96"/>
          <w:highlight w:val="none"/>
        </w:rPr>
      </w:pPr>
      <w:r>
        <w:rPr>
          <w:rFonts w:hint="eastAsia" w:ascii="宋体" w:hAnsi="宋体" w:cs="宋体"/>
          <w:b/>
          <w:bCs/>
          <w:color w:val="auto"/>
          <w:sz w:val="96"/>
          <w:szCs w:val="96"/>
          <w:highlight w:val="none"/>
          <w:lang w:val="en-US" w:eastAsia="zh-CN"/>
        </w:rPr>
        <w:t>采购文件</w:t>
      </w:r>
    </w:p>
    <w:p>
      <w:pPr>
        <w:pStyle w:val="2"/>
        <w:rPr>
          <w:rFonts w:hint="eastAsia"/>
        </w:rPr>
      </w:pPr>
    </w:p>
    <w:p>
      <w:pPr>
        <w:spacing w:line="360" w:lineRule="auto"/>
        <w:ind w:firstLine="0" w:firstLineChars="0"/>
        <w:jc w:val="center"/>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w:t>
      </w:r>
      <w:r>
        <w:rPr>
          <w:rFonts w:hint="eastAsia" w:ascii="宋体" w:hAnsi="宋体" w:cs="宋体"/>
          <w:color w:val="auto"/>
          <w:sz w:val="36"/>
          <w:szCs w:val="36"/>
          <w:highlight w:val="none"/>
          <w:lang w:eastAsia="zh-CN"/>
        </w:rPr>
        <w:t>项目编号</w:t>
      </w:r>
      <w:r>
        <w:rPr>
          <w:rFonts w:hint="eastAsia" w:ascii="宋体" w:hAnsi="宋体" w:eastAsia="宋体" w:cs="宋体"/>
          <w:color w:val="auto"/>
          <w:sz w:val="36"/>
          <w:szCs w:val="36"/>
          <w:highlight w:val="none"/>
        </w:rPr>
        <w:t>：</w:t>
      </w:r>
      <w:bookmarkStart w:id="0" w:name="OLE_LINK1"/>
      <w:r>
        <w:rPr>
          <w:rFonts w:hint="eastAsia" w:ascii="宋体" w:hAnsi="宋体" w:cs="宋体"/>
          <w:color w:val="auto"/>
          <w:sz w:val="36"/>
          <w:szCs w:val="36"/>
          <w:highlight w:val="none"/>
          <w:lang w:val="en-US" w:eastAsia="zh-CN"/>
        </w:rPr>
        <w:t>TZCDZ2507</w:t>
      </w:r>
      <w:bookmarkEnd w:id="0"/>
      <w:r>
        <w:rPr>
          <w:rFonts w:hint="eastAsia" w:ascii="宋体" w:hAnsi="宋体" w:eastAsia="宋体" w:cs="宋体"/>
          <w:color w:val="auto"/>
          <w:sz w:val="36"/>
          <w:szCs w:val="36"/>
          <w:highlight w:val="none"/>
          <w:lang w:val="en-US" w:eastAsia="zh-CN"/>
        </w:rPr>
        <w:t>）</w:t>
      </w:r>
    </w:p>
    <w:p>
      <w:pPr>
        <w:pStyle w:val="26"/>
        <w:rPr>
          <w:rFonts w:hint="default" w:ascii="宋体" w:hAnsi="Times New Roman" w:eastAsia="宋体"/>
          <w:color w:val="auto"/>
          <w:sz w:val="24"/>
          <w:szCs w:val="20"/>
          <w:highlight w:val="none"/>
        </w:rPr>
      </w:pPr>
    </w:p>
    <w:p>
      <w:pPr>
        <w:pStyle w:val="26"/>
        <w:rPr>
          <w:rFonts w:hint="eastAsia"/>
          <w:color w:val="auto"/>
          <w:highlight w:val="none"/>
        </w:rPr>
      </w:pPr>
    </w:p>
    <w:p>
      <w:pPr>
        <w:pStyle w:val="26"/>
        <w:rPr>
          <w:rFonts w:hint="eastAsia"/>
          <w:color w:val="auto"/>
          <w:highlight w:val="none"/>
        </w:rPr>
      </w:pPr>
    </w:p>
    <w:p>
      <w:pPr>
        <w:spacing w:line="700" w:lineRule="exact"/>
        <w:jc w:val="center"/>
        <w:rPr>
          <w:rFonts w:hint="eastAsia" w:ascii="宋体" w:hAnsi="宋体" w:eastAsia="宋体" w:cs="宋体"/>
          <w:b/>
          <w:color w:val="auto"/>
          <w:sz w:val="36"/>
          <w:szCs w:val="36"/>
          <w:highlight w:val="none"/>
        </w:rPr>
      </w:pPr>
    </w:p>
    <w:p>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cs="宋体"/>
          <w:b/>
          <w:bCs/>
          <w:color w:val="auto"/>
          <w:sz w:val="36"/>
          <w:szCs w:val="36"/>
          <w:highlight w:val="none"/>
          <w:lang w:eastAsia="zh-CN"/>
        </w:rPr>
        <w:t>重庆足投商业运营管理有限公司</w:t>
      </w:r>
      <w:r>
        <w:rPr>
          <w:rFonts w:hint="eastAsia" w:ascii="宋体" w:hAnsi="宋体" w:eastAsia="宋体" w:cs="宋体"/>
          <w:b/>
          <w:bCs/>
          <w:color w:val="auto"/>
          <w:sz w:val="36"/>
          <w:szCs w:val="36"/>
          <w:highlight w:val="none"/>
        </w:rPr>
        <w:t xml:space="preserve"> </w:t>
      </w:r>
    </w:p>
    <w:p>
      <w:pPr>
        <w:pStyle w:val="2"/>
        <w:rPr>
          <w:rFonts w:hint="eastAsia"/>
          <w:color w:val="auto"/>
          <w:highlight w:val="none"/>
        </w:rPr>
      </w:pPr>
    </w:p>
    <w:p>
      <w:pPr>
        <w:spacing w:line="500" w:lineRule="exac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采购代理机构：</w:t>
      </w:r>
      <w:r>
        <w:rPr>
          <w:rFonts w:hint="eastAsia" w:ascii="宋体" w:hAnsi="宋体" w:cs="宋体"/>
          <w:b/>
          <w:bCs/>
          <w:color w:val="auto"/>
          <w:sz w:val="36"/>
          <w:szCs w:val="36"/>
          <w:highlight w:val="none"/>
          <w:lang w:eastAsia="zh-CN"/>
        </w:rPr>
        <w:t>同致诚工程咨询有限公司</w:t>
      </w:r>
    </w:p>
    <w:p>
      <w:pPr>
        <w:spacing w:line="500" w:lineRule="exact"/>
        <w:jc w:val="center"/>
        <w:outlineLvl w:val="0"/>
        <w:rPr>
          <w:rFonts w:hint="eastAsia" w:ascii="宋体" w:hAnsi="宋体" w:eastAsia="宋体" w:cs="宋体"/>
          <w:color w:val="auto"/>
          <w:sz w:val="30"/>
          <w:szCs w:val="30"/>
          <w:highlight w:val="none"/>
        </w:rPr>
      </w:pPr>
    </w:p>
    <w:p>
      <w:pPr>
        <w:spacing w:line="720" w:lineRule="exact"/>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lang w:val="en-US" w:eastAsia="zh-CN"/>
        </w:rPr>
        <w:t>日期：</w:t>
      </w: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十二</w:t>
      </w:r>
      <w:r>
        <w:rPr>
          <w:rFonts w:hint="eastAsia" w:ascii="宋体" w:hAnsi="宋体" w:eastAsia="宋体" w:cs="宋体"/>
          <w:color w:val="auto"/>
          <w:sz w:val="36"/>
          <w:szCs w:val="36"/>
          <w:highlight w:val="none"/>
        </w:rPr>
        <w:t>月</w:t>
      </w:r>
    </w:p>
    <w:p>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   录</w:t>
      </w:r>
    </w:p>
    <w:p>
      <w:pPr>
        <w:pStyle w:val="2"/>
        <w:rPr>
          <w:rFonts w:hint="eastAsia"/>
        </w:rPr>
      </w:pPr>
    </w:p>
    <w:p>
      <w:pPr>
        <w:pStyle w:val="17"/>
        <w:tabs>
          <w:tab w:val="right" w:leader="dot" w:pos="9402"/>
        </w:tabs>
        <w:ind w:left="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"_Toc106030870"</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第一篇  采购邀请书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"_Toc106030878"</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第二篇  项目</w:t>
      </w:r>
      <w:r>
        <w:rPr>
          <w:rStyle w:val="25"/>
          <w:rFonts w:hint="eastAsia" w:ascii="宋体" w:hAnsi="宋体" w:cs="宋体"/>
          <w:color w:val="auto"/>
          <w:sz w:val="24"/>
          <w:szCs w:val="24"/>
          <w:highlight w:val="none"/>
          <w:lang w:eastAsia="zh-CN"/>
        </w:rPr>
        <w:t>技术需求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"_Toc106030882"</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第三篇  项目</w:t>
      </w:r>
      <w:r>
        <w:rPr>
          <w:rStyle w:val="25"/>
          <w:rFonts w:hint="eastAsia" w:ascii="宋体" w:hAnsi="宋体" w:cs="宋体"/>
          <w:color w:val="auto"/>
          <w:sz w:val="24"/>
          <w:szCs w:val="24"/>
          <w:highlight w:val="none"/>
          <w:lang w:val="en-US" w:eastAsia="zh-CN"/>
        </w:rPr>
        <w:t>商务需求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"_Toc106030887"</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 xml:space="preserve">第四篇  </w:t>
      </w:r>
      <w:r>
        <w:rPr>
          <w:rStyle w:val="25"/>
          <w:rFonts w:hint="eastAsia" w:ascii="宋体" w:hAnsi="宋体" w:eastAsia="宋体" w:cs="宋体"/>
          <w:color w:val="auto"/>
          <w:sz w:val="24"/>
          <w:szCs w:val="24"/>
          <w:highlight w:val="none"/>
          <w:lang w:val="en-US" w:eastAsia="zh-CN"/>
        </w:rPr>
        <w:t>资格审查及符合性审查、评标方法、评标标准、无效响应和采购终止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"_Toc106030892"</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bCs/>
          <w:color w:val="auto"/>
          <w:sz w:val="24"/>
          <w:szCs w:val="24"/>
          <w:highlight w:val="none"/>
        </w:rPr>
        <w:t>第五篇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_Toc106030892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"_Toc106030904"</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第六篇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Style w:val="25"/>
          <w:rFonts w:hint="eastAsia" w:ascii="宋体" w:hAnsi="宋体" w:eastAsia="宋体" w:cs="宋体"/>
          <w:color w:val="auto"/>
          <w:sz w:val="24"/>
          <w:szCs w:val="24"/>
          <w:highlight w:val="none"/>
        </w:rPr>
      </w:pPr>
    </w:p>
    <w:p>
      <w:pPr>
        <w:pStyle w:val="17"/>
        <w:tabs>
          <w:tab w:val="right" w:leader="dot" w:pos="9402"/>
        </w:tabs>
        <w:ind w:left="560"/>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fldChar w:fldCharType="begin"/>
      </w:r>
      <w:r>
        <w:rPr>
          <w:rStyle w:val="25"/>
          <w:rFonts w:hint="eastAsia" w:ascii="宋体" w:hAnsi="宋体" w:eastAsia="宋体" w:cs="宋体"/>
          <w:color w:val="auto"/>
          <w:sz w:val="24"/>
          <w:szCs w:val="24"/>
          <w:highlight w:val="none"/>
        </w:rPr>
        <w:instrText xml:space="preserve"> </w:instrText>
      </w:r>
      <w:r>
        <w:rPr>
          <w:rFonts w:hint="eastAsia" w:ascii="宋体" w:hAnsi="宋体" w:eastAsia="宋体" w:cs="宋体"/>
          <w:color w:val="auto"/>
          <w:sz w:val="24"/>
          <w:szCs w:val="24"/>
          <w:highlight w:val="none"/>
        </w:rPr>
        <w:instrText xml:space="preserve">HYPERLINK \l "_Toc106030905"</w:instrText>
      </w:r>
      <w:r>
        <w:rPr>
          <w:rStyle w:val="25"/>
          <w:rFonts w:hint="eastAsia" w:ascii="宋体" w:hAnsi="宋体" w:eastAsia="宋体" w:cs="宋体"/>
          <w:color w:val="auto"/>
          <w:sz w:val="24"/>
          <w:szCs w:val="24"/>
          <w:highlight w:val="none"/>
        </w:rPr>
        <w:instrText xml:space="preserve"> </w:instrText>
      </w:r>
      <w:r>
        <w:rPr>
          <w:rStyle w:val="25"/>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第七篇  响应文件编制要求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_Toc106030905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fldChar w:fldCharType="end"/>
      </w:r>
      <w:r>
        <w:rPr>
          <w:rStyle w:val="25"/>
          <w:rFonts w:hint="eastAsia" w:ascii="宋体" w:hAnsi="宋体" w:eastAsia="宋体" w:cs="宋体"/>
          <w:color w:val="auto"/>
          <w:sz w:val="24"/>
          <w:szCs w:val="24"/>
          <w:highlight w:val="none"/>
        </w:rPr>
        <w:fldChar w:fldCharType="end"/>
      </w:r>
    </w:p>
    <w:p>
      <w:pPr>
        <w:pStyle w:val="17"/>
        <w:tabs>
          <w:tab w:val="right" w:leader="dot" w:pos="9402"/>
        </w:tabs>
        <w:ind w:left="560"/>
        <w:rPr>
          <w:rStyle w:val="25"/>
          <w:rFonts w:hint="eastAsia" w:ascii="宋体" w:hAnsi="宋体" w:eastAsia="宋体" w:cs="宋体"/>
          <w:color w:val="auto"/>
          <w:sz w:val="24"/>
          <w:szCs w:val="24"/>
          <w:highlight w:val="none"/>
        </w:rPr>
      </w:pPr>
    </w:p>
    <w:p>
      <w:pPr>
        <w:pStyle w:val="17"/>
        <w:tabs>
          <w:tab w:val="right" w:leader="dot" w:pos="9402"/>
        </w:tabs>
        <w:spacing w:line="480" w:lineRule="exact"/>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 w:val="24"/>
          <w:szCs w:val="24"/>
          <w:highlight w:val="none"/>
        </w:rPr>
        <w:fldChar w:fldCharType="end"/>
      </w:r>
    </w:p>
    <w:p>
      <w:pPr>
        <w:pStyle w:val="4"/>
        <w:pageBreakBefore w:val="0"/>
        <w:kinsoku/>
        <w:wordWrap/>
        <w:overflowPunct/>
        <w:topLinePunct w:val="0"/>
        <w:autoSpaceDE/>
        <w:autoSpaceDN/>
        <w:bidi w:val="0"/>
        <w:spacing w:line="372" w:lineRule="auto"/>
        <w:jc w:val="center"/>
        <w:textAlignment w:val="auto"/>
        <w:rPr>
          <w:rFonts w:hint="eastAsia" w:ascii="宋体" w:hAnsi="宋体" w:eastAsia="宋体" w:cs="宋体"/>
          <w:b w:val="0"/>
          <w:color w:val="auto"/>
          <w:szCs w:val="30"/>
          <w:highlight w:val="none"/>
        </w:rPr>
      </w:pPr>
      <w:bookmarkStart w:id="1" w:name="_Toc106030870"/>
      <w:bookmarkStart w:id="2" w:name="_Toc76462316"/>
      <w:bookmarkStart w:id="3" w:name="_Toc12789052"/>
      <w:bookmarkStart w:id="4" w:name="_Toc11641050"/>
      <w:r>
        <w:rPr>
          <w:rFonts w:hint="eastAsia" w:ascii="宋体" w:hAnsi="宋体" w:eastAsia="宋体" w:cs="宋体"/>
          <w:b w:val="0"/>
          <w:color w:val="auto"/>
          <w:sz w:val="36"/>
          <w:szCs w:val="30"/>
          <w:highlight w:val="none"/>
        </w:rPr>
        <w:t>第一篇  采购邀请书</w:t>
      </w:r>
      <w:bookmarkEnd w:id="1"/>
      <w:bookmarkEnd w:id="2"/>
      <w:bookmarkEnd w:id="3"/>
      <w:bookmarkEnd w:id="4"/>
    </w:p>
    <w:p>
      <w:pPr>
        <w:pageBreakBefore w:val="0"/>
        <w:kinsoku/>
        <w:wordWrap/>
        <w:overflowPunct/>
        <w:topLinePunct w:val="0"/>
        <w:autoSpaceDE/>
        <w:autoSpaceDN/>
        <w:bidi w:val="0"/>
        <w:snapToGrid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同致诚工程咨询有限公司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b w:val="0"/>
          <w:bCs w:val="0"/>
          <w:color w:val="auto"/>
          <w:sz w:val="24"/>
          <w:szCs w:val="24"/>
          <w:highlight w:val="none"/>
          <w:u w:val="single"/>
          <w:lang w:eastAsia="zh-CN"/>
        </w:rPr>
        <w:t>重庆足投商业运营管理有限公司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大足西街片区盛世华庭建设项目电线电杆、通信电缆搬迁及施工用电安装</w:t>
      </w:r>
      <w:r>
        <w:rPr>
          <w:rFonts w:hint="eastAsia" w:ascii="宋体" w:hAnsi="宋体" w:eastAsia="宋体" w:cs="宋体"/>
          <w:color w:val="auto"/>
          <w:sz w:val="24"/>
          <w:szCs w:val="24"/>
          <w:highlight w:val="none"/>
        </w:rPr>
        <w:t>进行竞争性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采购。欢迎</w:t>
      </w:r>
      <w:r>
        <w:rPr>
          <w:rFonts w:hint="eastAsia" w:ascii="宋体" w:hAnsi="宋体" w:cs="宋体"/>
          <w:color w:val="auto"/>
          <w:sz w:val="24"/>
          <w:szCs w:val="24"/>
          <w:highlight w:val="none"/>
          <w:lang w:val="en-US" w:eastAsia="zh-CN"/>
        </w:rPr>
        <w:t>符合</w:t>
      </w:r>
      <w:r>
        <w:rPr>
          <w:rFonts w:hint="eastAsia" w:ascii="宋体" w:hAnsi="宋体" w:eastAsia="宋体" w:cs="宋体"/>
          <w:color w:val="auto"/>
          <w:sz w:val="24"/>
          <w:szCs w:val="24"/>
          <w:highlight w:val="none"/>
        </w:rPr>
        <w:t>资格的供应商前来参与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5" w:name="_Toc76462317"/>
      <w:bookmarkStart w:id="6" w:name="_Toc317775175"/>
      <w:bookmarkStart w:id="7" w:name="_Toc313893526"/>
      <w:bookmarkStart w:id="8" w:name="_Toc106030871"/>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内容</w:t>
      </w:r>
      <w:bookmarkEnd w:id="5"/>
      <w:bookmarkEnd w:id="6"/>
      <w:bookmarkEnd w:id="7"/>
      <w:bookmarkEnd w:id="8"/>
    </w:p>
    <w:tbl>
      <w:tblPr>
        <w:tblStyle w:val="20"/>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5"/>
        <w:gridCol w:w="1519"/>
        <w:gridCol w:w="1172"/>
        <w:gridCol w:w="117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865"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包号及名称</w:t>
            </w:r>
          </w:p>
        </w:tc>
        <w:tc>
          <w:tcPr>
            <w:tcW w:w="1519"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p>
          <w:p>
            <w:pPr>
              <w:pageBreakBefore w:val="0"/>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172"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cs="宋体"/>
                <w:b/>
                <w:bCs/>
                <w:color w:val="auto"/>
                <w:kern w:val="0"/>
                <w:sz w:val="21"/>
                <w:szCs w:val="24"/>
                <w:highlight w:val="none"/>
                <w:lang w:val="en-US" w:eastAsia="zh-CN"/>
              </w:rPr>
              <w:t>投标保证金（元）</w:t>
            </w:r>
          </w:p>
        </w:tc>
        <w:tc>
          <w:tcPr>
            <w:tcW w:w="1172"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eastAsia="zh-CN"/>
              </w:rPr>
            </w:pPr>
            <w:r>
              <w:rPr>
                <w:rFonts w:hint="eastAsia" w:ascii="宋体" w:hAnsi="宋体" w:eastAsia="宋体" w:cs="宋体"/>
                <w:b/>
                <w:bCs/>
                <w:color w:val="auto"/>
                <w:kern w:val="0"/>
                <w:sz w:val="21"/>
                <w:szCs w:val="24"/>
                <w:highlight w:val="none"/>
              </w:rPr>
              <w:t>成交供应商数量（名）</w:t>
            </w:r>
            <w:r>
              <w:rPr>
                <w:rFonts w:hint="eastAsia" w:ascii="宋体" w:hAnsi="宋体" w:eastAsia="宋体" w:cs="宋体"/>
                <w:b/>
                <w:bCs/>
                <w:color w:val="auto"/>
                <w:kern w:val="0"/>
                <w:sz w:val="21"/>
                <w:szCs w:val="24"/>
                <w:highlight w:val="none"/>
                <w:lang w:val="en-US" w:eastAsia="zh-CN"/>
              </w:rPr>
              <w:t xml:space="preserve"> </w:t>
            </w:r>
          </w:p>
        </w:tc>
        <w:tc>
          <w:tcPr>
            <w:tcW w:w="841" w:type="dxa"/>
            <w:tcBorders>
              <w:top w:val="single" w:color="auto" w:sz="4" w:space="0"/>
              <w:left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w:t>
            </w:r>
            <w:r>
              <w:rPr>
                <w:rFonts w:hint="eastAsia" w:ascii="宋体" w:hAnsi="宋体" w:eastAsia="宋体" w:cs="宋体"/>
                <w:b/>
                <w:bCs/>
                <w:color w:val="auto"/>
                <w:kern w:val="0"/>
                <w:sz w:val="21"/>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865"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spacing w:line="372" w:lineRule="auto"/>
              <w:jc w:val="center"/>
              <w:textAlignment w:val="auto"/>
              <w:rPr>
                <w:rFonts w:hint="eastAsia" w:ascii="宋体" w:hAnsi="宋体" w:eastAsia="宋体" w:cs="宋体"/>
                <w:color w:val="auto"/>
                <w:kern w:val="0"/>
                <w:sz w:val="21"/>
                <w:szCs w:val="24"/>
                <w:highlight w:val="none"/>
              </w:rPr>
            </w:pPr>
            <w:bookmarkStart w:id="9" w:name="OLE_LINK2"/>
            <w:r>
              <w:rPr>
                <w:rFonts w:hint="eastAsia" w:ascii="宋体" w:hAnsi="宋体" w:cs="宋体"/>
                <w:color w:val="auto"/>
                <w:sz w:val="24"/>
                <w:szCs w:val="24"/>
                <w:highlight w:val="none"/>
                <w:lang w:eastAsia="zh-CN"/>
              </w:rPr>
              <w:t>大足西街片区盛世华庭建设项目电线电杆、通信电缆搬迁及施工用电安装</w:t>
            </w:r>
            <w:bookmarkEnd w:id="9"/>
          </w:p>
        </w:tc>
        <w:tc>
          <w:tcPr>
            <w:tcW w:w="151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4"/>
                <w:szCs w:val="24"/>
                <w:highlight w:val="none"/>
                <w:lang w:val="en-US" w:eastAsia="zh-CN" w:bidi="ar"/>
              </w:rPr>
              <w:t>870,940.44</w:t>
            </w:r>
          </w:p>
        </w:tc>
        <w:tc>
          <w:tcPr>
            <w:tcW w:w="117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16000</w:t>
            </w:r>
          </w:p>
        </w:tc>
        <w:tc>
          <w:tcPr>
            <w:tcW w:w="1172"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spacing w:line="372"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4"/>
                <w:szCs w:val="24"/>
                <w:highlight w:val="none"/>
                <w:lang w:val="en-US" w:eastAsia="zh-CN"/>
              </w:rPr>
              <w:t>1</w:t>
            </w:r>
          </w:p>
        </w:tc>
        <w:tc>
          <w:tcPr>
            <w:tcW w:w="841" w:type="dxa"/>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4"/>
                <w:szCs w:val="32"/>
                <w:highlight w:val="none"/>
                <w:lang w:val="en-US" w:eastAsia="zh-CN" w:bidi="ar-SA"/>
              </w:rPr>
            </w:pPr>
            <w:r>
              <w:rPr>
                <w:rFonts w:hint="eastAsia" w:ascii="宋体" w:hAnsi="宋体" w:cs="宋体"/>
                <w:color w:val="auto"/>
                <w:kern w:val="0"/>
                <w:sz w:val="24"/>
                <w:szCs w:val="32"/>
                <w:highlight w:val="none"/>
                <w:lang w:val="en-US" w:eastAsia="zh-CN"/>
              </w:rPr>
              <w:t>30</w:t>
            </w:r>
            <w:r>
              <w:rPr>
                <w:rFonts w:hint="eastAsia" w:ascii="宋体" w:hAnsi="宋体" w:eastAsia="宋体" w:cs="宋体"/>
                <w:color w:val="auto"/>
                <w:kern w:val="0"/>
                <w:sz w:val="24"/>
                <w:szCs w:val="32"/>
                <w:highlight w:val="none"/>
                <w:lang w:val="en-US" w:eastAsia="zh-CN"/>
              </w:rPr>
              <w:t>日历天</w:t>
            </w:r>
          </w:p>
        </w:tc>
      </w:tr>
    </w:tbl>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bookmarkStart w:id="10" w:name="_Toc76462318"/>
      <w:bookmarkStart w:id="11" w:name="_Toc106030872"/>
      <w:bookmarkStart w:id="12" w:name="_Toc373860293"/>
      <w:bookmarkStart w:id="13" w:name="_Toc317775178"/>
      <w:r>
        <w:rPr>
          <w:rFonts w:hint="eastAsia" w:ascii="宋体" w:hAnsi="宋体" w:eastAsia="宋体" w:cs="宋体"/>
          <w:color w:val="auto"/>
          <w:sz w:val="24"/>
          <w:highlight w:val="none"/>
        </w:rPr>
        <w:t>二、资金来源</w:t>
      </w:r>
      <w:bookmarkEnd w:id="10"/>
      <w:bookmarkEnd w:id="11"/>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4" w:name="_Toc106030873"/>
      <w:bookmarkStart w:id="15" w:name="_Toc76462319"/>
      <w:r>
        <w:rPr>
          <w:rFonts w:hint="eastAsia" w:ascii="宋体" w:hAnsi="宋体" w:cs="宋体"/>
          <w:color w:val="auto"/>
          <w:sz w:val="24"/>
          <w:szCs w:val="24"/>
          <w:highlight w:val="none"/>
          <w:lang w:val="en-US" w:eastAsia="zh-CN"/>
        </w:rPr>
        <w:t>本项目资金来源为业主自筹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预算金额为</w:t>
      </w:r>
      <w:r>
        <w:rPr>
          <w:rFonts w:hint="eastAsia" w:ascii="宋体" w:hAnsi="宋体" w:cs="宋体"/>
          <w:color w:val="auto"/>
          <w:kern w:val="0"/>
          <w:sz w:val="24"/>
          <w:szCs w:val="24"/>
          <w:highlight w:val="none"/>
          <w:lang w:val="en-US" w:eastAsia="zh-CN" w:bidi="ar"/>
        </w:rPr>
        <w:t>870,940.44</w:t>
      </w:r>
      <w:r>
        <w:rPr>
          <w:rFonts w:hint="eastAsia" w:ascii="宋体" w:hAnsi="宋体" w:cs="宋体"/>
          <w:color w:val="auto"/>
          <w:sz w:val="24"/>
          <w:szCs w:val="24"/>
          <w:highlight w:val="none"/>
        </w:rPr>
        <w:t>元</w:t>
      </w:r>
      <w:r>
        <w:rPr>
          <w:rFonts w:hint="eastAsia" w:ascii="宋体" w:hAnsi="宋体" w:eastAsia="宋体" w:cs="宋体"/>
          <w:color w:val="auto"/>
          <w:sz w:val="24"/>
          <w:szCs w:val="24"/>
          <w:highlight w:val="none"/>
        </w:rPr>
        <w:t>。</w:t>
      </w:r>
    </w:p>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三、供应商资格条件</w:t>
      </w:r>
      <w:bookmarkEnd w:id="14"/>
      <w:bookmarkEnd w:id="15"/>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16" w:name="_Toc106030874"/>
      <w:bookmarkStart w:id="17" w:name="_Toc76462320"/>
      <w:r>
        <w:rPr>
          <w:rFonts w:hint="eastAsia" w:ascii="宋体" w:hAnsi="宋体" w:eastAsia="宋体" w:cs="宋体"/>
          <w:color w:val="000000" w:themeColor="text1"/>
          <w:sz w:val="24"/>
          <w:szCs w:val="24"/>
          <w:highlight w:val="none"/>
          <w14:textFill>
            <w14:solidFill>
              <w14:schemeClr w14:val="tx1"/>
            </w14:solidFill>
          </w14:textFill>
        </w:rPr>
        <w:t>（一）一般资质条件</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（二）本项目的特定资格要求：</w:t>
      </w:r>
    </w:p>
    <w:p>
      <w:pPr>
        <w:spacing w:line="400" w:lineRule="exact"/>
        <w:ind w:firstLine="720" w:firstLineChars="3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w:t>
      </w:r>
      <w:r>
        <w:rPr>
          <w:rFonts w:hint="eastAsia" w:ascii="宋体" w:hAnsi="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具备建设行政主管部门颁发的电力工程施工总承包三级及以上资质，提供证书复印件并加盖供应商公章。</w:t>
      </w:r>
    </w:p>
    <w:p>
      <w:pPr>
        <w:spacing w:line="400" w:lineRule="exact"/>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14:textFill>
            <w14:solidFill>
              <w14:schemeClr w14:val="tx1"/>
            </w14:solidFill>
          </w14:textFill>
        </w:rPr>
        <w:t>建设行政主管部门颁发的有效的安全生产许可证，提供证书复印件并加盖供应商公章。</w:t>
      </w:r>
    </w:p>
    <w:p>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w:t>
      </w:r>
      <w:r>
        <w:rPr>
          <w:rFonts w:hint="eastAsia" w:ascii="宋体" w:hAnsi="宋体" w:cs="宋体"/>
          <w:b/>
          <w:color w:val="auto"/>
          <w:sz w:val="24"/>
          <w:highlight w:val="none"/>
          <w:lang w:eastAsia="zh-CN"/>
        </w:rPr>
        <w:t>比选</w:t>
      </w:r>
      <w:r>
        <w:rPr>
          <w:rFonts w:hint="eastAsia" w:ascii="宋体" w:hAnsi="宋体" w:eastAsia="宋体" w:cs="宋体"/>
          <w:b/>
          <w:color w:val="auto"/>
          <w:sz w:val="24"/>
          <w:highlight w:val="none"/>
        </w:rPr>
        <w:t>有关说明</w:t>
      </w:r>
      <w:bookmarkEnd w:id="12"/>
      <w:bookmarkEnd w:id="16"/>
      <w:bookmarkEnd w:id="17"/>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（一）供应商应通过“行采家”平台（https://www.gec123.com）登记加入“</w:t>
      </w:r>
      <w:r>
        <w:rPr>
          <w:rFonts w:hint="eastAsia" w:ascii="宋体" w:hAnsi="宋体" w:cs="宋体"/>
          <w:color w:val="auto"/>
          <w:sz w:val="24"/>
          <w:szCs w:val="24"/>
          <w:highlight w:val="none"/>
          <w:lang w:val="en-US" w:eastAsia="zh-CN"/>
        </w:rPr>
        <w:t>行采家</w:t>
      </w:r>
      <w:r>
        <w:rPr>
          <w:rFonts w:hint="eastAsia" w:ascii="宋体" w:hAnsi="宋体" w:eastAsia="宋体" w:cs="宋体"/>
          <w:color w:val="auto"/>
          <w:sz w:val="24"/>
          <w:szCs w:val="24"/>
          <w:highlight w:val="none"/>
        </w:rPr>
        <w:t>采购供应商库”。</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的供应商，请在“行采家”平台（https://www.gec123.com）上下载或到采购代理机构处领取本项目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文件以及图纸、澄清等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前公布的所有项目资料，无论供应商下载或领取与否，均视为已知晓所有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实质性要求内容。</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报名及比选文件发售</w:t>
      </w:r>
      <w:r>
        <w:rPr>
          <w:rFonts w:hint="eastAsia" w:ascii="宋体" w:hAnsi="宋体" w:eastAsia="宋体" w:cs="宋体"/>
          <w:color w:val="auto"/>
          <w:sz w:val="24"/>
          <w:szCs w:val="24"/>
          <w:highlight w:val="none"/>
        </w:rPr>
        <w:t xml:space="preserve">： </w:t>
      </w:r>
    </w:p>
    <w:bookmarkEnd w:id="13"/>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bookmarkStart w:id="18" w:name="_Toc480466699"/>
      <w:bookmarkStart w:id="19" w:name="_Toc106030876"/>
      <w:bookmarkStart w:id="20" w:name="_Toc76462322"/>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文件发售期：</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19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比选文件售价</w:t>
      </w:r>
      <w:r>
        <w:rPr>
          <w:rFonts w:hint="eastAsia" w:ascii="宋体" w:hAnsi="宋体" w:eastAsia="宋体" w:cs="宋体"/>
          <w:color w:val="auto"/>
          <w:sz w:val="24"/>
          <w:szCs w:val="24"/>
          <w:highlight w:val="none"/>
        </w:rPr>
        <w:t>：人民币500元/份（售后不退）。</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3.报名</w:t>
      </w:r>
      <w:r>
        <w:rPr>
          <w:rFonts w:hint="eastAsia" w:ascii="宋体" w:hAnsi="宋体" w:eastAsia="宋体" w:cs="宋体"/>
          <w:color w:val="auto"/>
          <w:sz w:val="24"/>
          <w:szCs w:val="24"/>
          <w:highlight w:val="none"/>
          <w:lang w:val="en-US" w:eastAsia="zh-CN"/>
        </w:rPr>
        <w:t>及比选文件购买</w:t>
      </w:r>
      <w:r>
        <w:rPr>
          <w:rFonts w:hint="eastAsia" w:ascii="宋体" w:hAnsi="宋体" w:eastAsia="宋体" w:cs="宋体"/>
          <w:color w:val="auto"/>
          <w:sz w:val="24"/>
          <w:szCs w:val="24"/>
          <w:highlight w:val="none"/>
        </w:rPr>
        <w:t>方式：</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w:t>
      </w:r>
      <w:r>
        <w:rPr>
          <w:rFonts w:hint="eastAsia" w:ascii="宋体" w:hAnsi="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采购文件提供期限内，供应商到同致诚工程咨询有限公司购买采购文件的地址：重庆市大足区宏声南路237号，供应商在缴纳购买采购文件费用后，请将《同致诚工程咨询有限公司</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发售登记表》（加盖供应商公章）递交至代理公司工作人员。</w:t>
      </w:r>
    </w:p>
    <w:p>
      <w:pPr>
        <w:pageBreakBefore w:val="0"/>
        <w:kinsoku/>
        <w:wordWrap/>
        <w:overflowPunct/>
        <w:topLinePunct w:val="0"/>
        <w:autoSpaceDE/>
        <w:autoSpaceDN/>
        <w:bidi w:val="0"/>
        <w:spacing w:line="372" w:lineRule="auto"/>
        <w:ind w:firstLine="48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lang w:eastAsia="zh-CN"/>
        </w:rPr>
        <w:t>投标时间地点及程序</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）线上报价：</w:t>
      </w:r>
      <w:r>
        <w:rPr>
          <w:rFonts w:hint="eastAsia" w:ascii="宋体" w:hAnsi="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报价时间为：</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u w:val="none"/>
          <w:lang w:val="en-US" w:eastAsia="zh-CN"/>
        </w:rPr>
        <w:t>至</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响应文件，电子文档内容应与纸质文件正本一致，不一致以纸质文件正本为准，未在规定时间内报价并上传</w:t>
      </w:r>
      <w:r>
        <w:rPr>
          <w:rFonts w:hint="eastAsia" w:ascii="宋体" w:hAnsi="宋体" w:cs="宋体"/>
          <w:color w:val="auto"/>
          <w:sz w:val="24"/>
          <w:szCs w:val="24"/>
          <w:highlight w:val="none"/>
          <w:lang w:val="en-US" w:eastAsia="zh-CN"/>
        </w:rPr>
        <w:t>签字盖章完整的</w:t>
      </w:r>
      <w:r>
        <w:rPr>
          <w:rFonts w:hint="eastAsia" w:ascii="宋体" w:hAnsi="宋体" w:eastAsia="宋体" w:cs="宋体"/>
          <w:color w:val="auto"/>
          <w:sz w:val="24"/>
          <w:szCs w:val="24"/>
          <w:highlight w:val="none"/>
          <w:lang w:eastAsia="zh-CN"/>
        </w:rPr>
        <w:t>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r>
        <w:rPr>
          <w:rFonts w:hint="eastAsia" w:ascii="宋体" w:hAnsi="宋体" w:cs="宋体"/>
          <w:color w:val="auto"/>
          <w:sz w:val="24"/>
          <w:szCs w:val="24"/>
          <w:highlight w:val="none"/>
          <w:lang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线下</w:t>
      </w:r>
      <w:r>
        <w:rPr>
          <w:rFonts w:hint="eastAsia" w:ascii="宋体" w:hAnsi="宋体" w:eastAsia="宋体" w:cs="宋体"/>
          <w:color w:val="auto"/>
          <w:sz w:val="24"/>
          <w:szCs w:val="24"/>
          <w:highlight w:val="none"/>
          <w:lang w:eastAsia="zh-CN"/>
        </w:rPr>
        <w:t>投标时间：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eastAsia="zh-CN"/>
        </w:rPr>
        <w:t>（以北京时间为准，逾期不予受理）</w:t>
      </w:r>
    </w:p>
    <w:p>
      <w:pPr>
        <w:pStyle w:val="28"/>
        <w:pageBreakBefore w:val="0"/>
        <w:kinsoku/>
        <w:wordWrap/>
        <w:overflowPunct/>
        <w:topLinePunct w:val="0"/>
        <w:autoSpaceDE/>
        <w:autoSpaceDN/>
        <w:bidi w:val="0"/>
        <w:spacing w:line="372" w:lineRule="auto"/>
        <w:ind w:firstLine="1132" w:firstLineChars="472"/>
        <w:textAlignment w:val="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线下开标时间：</w:t>
      </w:r>
      <w:r>
        <w:rPr>
          <w:rFonts w:hint="eastAsia" w:ascii="宋体" w:hAnsi="宋体" w:cs="宋体"/>
          <w:color w:val="auto"/>
          <w:sz w:val="24"/>
          <w:szCs w:val="24"/>
          <w:highlight w:val="none"/>
          <w:u w:val="single"/>
          <w:lang w:val="en-US" w:eastAsia="zh-CN"/>
        </w:rPr>
        <w:t xml:space="preserve"> 2025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26</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）投标地点：</w:t>
      </w:r>
      <w:r>
        <w:rPr>
          <w:rFonts w:hint="eastAsia" w:ascii="宋体" w:hAnsi="宋体" w:cs="宋体"/>
          <w:color w:val="auto"/>
          <w:sz w:val="24"/>
          <w:szCs w:val="24"/>
          <w:highlight w:val="none"/>
          <w:lang w:val="en-US" w:eastAsia="zh-CN"/>
        </w:rPr>
        <w:t>同致诚工程咨询有限公司</w:t>
      </w:r>
      <w:r>
        <w:rPr>
          <w:rFonts w:hint="eastAsia" w:ascii="宋体" w:hAnsi="宋体" w:eastAsia="宋体" w:cs="宋体"/>
          <w:color w:val="auto"/>
          <w:sz w:val="24"/>
          <w:szCs w:val="24"/>
          <w:highlight w:val="none"/>
          <w:lang w:val="en-US" w:eastAsia="zh-CN"/>
        </w:rPr>
        <w:t>开标室（</w:t>
      </w:r>
      <w:r>
        <w:rPr>
          <w:rFonts w:hint="eastAsia" w:ascii="宋体" w:hAnsi="宋体" w:cs="宋体"/>
          <w:color w:val="auto"/>
          <w:sz w:val="24"/>
          <w:szCs w:val="24"/>
          <w:highlight w:val="none"/>
          <w:lang w:val="en-US" w:eastAsia="zh-CN"/>
        </w:rPr>
        <w:t>重庆市大足区宏声南路237号</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）投标程序：</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1.递交供应商“基本账户开户信息”或开户许可证复印件，并加盖单位公章。</w:t>
      </w:r>
    </w:p>
    <w:p>
      <w:pPr>
        <w:pStyle w:val="2"/>
        <w:rPr>
          <w:rFonts w:hint="default"/>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2.投标保证金缴纳转账截图，并加盖单位公章。</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3.按规定递交响应</w:t>
      </w:r>
      <w:r>
        <w:rPr>
          <w:rFonts w:hint="eastAsia" w:asciiTheme="minorEastAsia" w:hAnsiTheme="minorEastAsia" w:eastAsiaTheme="minorEastAsia" w:cstheme="minorEastAsia"/>
          <w:color w:val="auto"/>
          <w:sz w:val="24"/>
          <w:szCs w:val="24"/>
          <w:highlight w:val="none"/>
        </w:rPr>
        <w:t>文件；</w:t>
      </w:r>
    </w:p>
    <w:p>
      <w:pPr>
        <w:pageBreakBefore w:val="0"/>
        <w:kinsoku/>
        <w:wordWrap/>
        <w:overflowPunct/>
        <w:topLinePunct w:val="0"/>
        <w:autoSpaceDE/>
        <w:autoSpaceDN/>
        <w:bidi w:val="0"/>
        <w:spacing w:line="372"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（五）比选保证金</w:t>
      </w:r>
    </w:p>
    <w:p>
      <w:pPr>
        <w:keepNext w:val="0"/>
        <w:keepLines w:val="0"/>
        <w:pageBreakBefore w:val="0"/>
        <w:widowControl w:val="0"/>
        <w:kinsoku/>
        <w:topLinePunct w:val="0"/>
        <w:bidi w:val="0"/>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bookmarkStart w:id="21" w:name="_Toc75258776"/>
      <w:bookmarkStart w:id="22" w:name="_Toc530038692"/>
      <w:r>
        <w:rPr>
          <w:rFonts w:hint="eastAsia" w:asciiTheme="minorEastAsia" w:hAnsiTheme="minorEastAsia" w:eastAsiaTheme="minorEastAsia" w:cstheme="minorEastAsia"/>
          <w:color w:val="auto"/>
          <w:sz w:val="24"/>
          <w:szCs w:val="24"/>
          <w:highlight w:val="none"/>
        </w:rPr>
        <w:t>（一）保证金递交</w:t>
      </w:r>
    </w:p>
    <w:p>
      <w:pPr>
        <w:pStyle w:val="10"/>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1.供应商应足额交纳保证金（保证金金额详见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第一篇  采购邀请书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），并汇至以下账户，保证金的到账截止时间 2025 年 12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 </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 xml:space="preserve"> 。</w:t>
      </w:r>
    </w:p>
    <w:tbl>
      <w:tblPr>
        <w:tblStyle w:val="20"/>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377" w:type="dxa"/>
            <w:noWrap w:val="0"/>
            <w:vAlign w:val="top"/>
          </w:tcPr>
          <w:p>
            <w:pPr>
              <w:pStyle w:val="10"/>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rPr>
            </w:pPr>
            <w:r>
              <w:rPr>
                <w:rFonts w:hint="eastAsia"/>
              </w:rPr>
              <w:t>保证金缴纳账户：</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lang w:val="en-US" w:eastAsia="zh-CN"/>
              </w:rPr>
            </w:pPr>
            <w:r>
              <w:rPr>
                <w:rFonts w:hint="eastAsia"/>
                <w:lang w:eastAsia="zh-CN"/>
              </w:rPr>
              <w:t>户名：同致诚工程咨询有限公司</w:t>
            </w:r>
            <w:r>
              <w:rPr>
                <w:rFonts w:hint="eastAsia"/>
                <w:lang w:val="en-US" w:eastAsia="zh-CN"/>
              </w:rPr>
              <w:t>大足分公司</w:t>
            </w:r>
          </w:p>
          <w:p>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lang w:eastAsia="zh-CN"/>
              </w:rPr>
            </w:pPr>
            <w:r>
              <w:rPr>
                <w:rFonts w:hint="eastAsia"/>
                <w:lang w:eastAsia="zh-CN"/>
              </w:rPr>
              <w:t>账号：</w:t>
            </w:r>
            <w:bookmarkStart w:id="23" w:name="OLE_LINK5"/>
            <w:r>
              <w:rPr>
                <w:rFonts w:hint="eastAsia"/>
                <w:lang w:val="en-US" w:eastAsia="zh-CN"/>
              </w:rPr>
              <w:t>50050100434100001390</w:t>
            </w:r>
            <w:bookmarkEnd w:id="23"/>
          </w:p>
          <w:p>
            <w:pPr>
              <w:keepNext w:val="0"/>
              <w:keepLines w:val="0"/>
              <w:pageBreakBefore w:val="0"/>
              <w:widowControl w:val="0"/>
              <w:kinsoku/>
              <w:wordWrap/>
              <w:overflowPunct/>
              <w:topLinePunct w:val="0"/>
              <w:autoSpaceDE/>
              <w:autoSpaceDN/>
              <w:bidi w:val="0"/>
              <w:adjustRightInd/>
              <w:spacing w:line="400" w:lineRule="exact"/>
              <w:ind w:firstLine="560" w:firstLineChars="200"/>
              <w:jc w:val="left"/>
              <w:textAlignment w:val="auto"/>
              <w:rPr>
                <w:rFonts w:hint="eastAsia"/>
              </w:rPr>
            </w:pPr>
            <w:r>
              <w:rPr>
                <w:rFonts w:hint="eastAsia"/>
                <w:lang w:eastAsia="zh-CN"/>
              </w:rPr>
              <w:t>开户行：</w:t>
            </w:r>
            <w:r>
              <w:rPr>
                <w:rFonts w:hint="eastAsia"/>
                <w:lang w:val="en-US" w:eastAsia="zh-CN"/>
              </w:rPr>
              <w:t>中国建设银行股份有限公司重庆大足支行</w:t>
            </w:r>
          </w:p>
        </w:tc>
      </w:tr>
    </w:tbl>
    <w:p>
      <w:pPr>
        <w:pStyle w:val="10"/>
        <w:keepNext w:val="0"/>
        <w:keepLines w:val="0"/>
        <w:pageBreakBefore w:val="0"/>
        <w:widowControl w:val="0"/>
        <w:kinsoku/>
        <w:topLinePunct w:val="0"/>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2.各供应商在银行转账（电汇）时，须充分考虑银行转账（电汇）的时间差风险，如同城转账、异地转账或汇款、跨行转账或电汇的时间要求。</w:t>
      </w:r>
    </w:p>
    <w:p>
      <w:pPr>
        <w:keepNext w:val="0"/>
        <w:keepLines w:val="0"/>
        <w:pageBreakBefore w:val="0"/>
        <w:widowControl w:val="0"/>
        <w:kinsoku/>
        <w:topLinePunct w:val="0"/>
        <w:bidi w:val="0"/>
        <w:snapToGrid w:val="0"/>
        <w:spacing w:line="360" w:lineRule="auto"/>
        <w:ind w:firstLine="360" w:firstLineChars="15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1.未成交供应商的保证金，在成交通知书发放后，由采购代理机构在五个工作日内按来款渠道直接退还。</w:t>
      </w:r>
    </w:p>
    <w:p>
      <w:pPr>
        <w:keepNext w:val="0"/>
        <w:keepLines w:val="0"/>
        <w:pageBreakBefore w:val="0"/>
        <w:widowControl w:val="0"/>
        <w:kinsoku/>
        <w:topLinePunct w:val="0"/>
        <w:bidi w:val="0"/>
        <w:snapToGrid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2.成交供应商的保证金，在成交供应商与采购人签订合同后，将合同送至采购代理机构存</w:t>
      </w:r>
      <w:r>
        <w:rPr>
          <w:rFonts w:hint="eastAsia" w:asciiTheme="minorEastAsia" w:hAnsiTheme="minorEastAsia" w:eastAsiaTheme="minorEastAsia" w:cstheme="minorEastAsia"/>
          <w:b w:val="0"/>
          <w:bCs w:val="0"/>
          <w:color w:val="auto"/>
          <w:sz w:val="24"/>
          <w:szCs w:val="24"/>
          <w:highlight w:val="none"/>
        </w:rPr>
        <w:t>档；采购代理机构在收到合同之日起五个工作日内按资金来款渠道直接退还。</w:t>
      </w:r>
    </w:p>
    <w:p>
      <w:pPr>
        <w:keepNext w:val="0"/>
        <w:keepLines w:val="0"/>
        <w:pageBreakBefore w:val="0"/>
        <w:widowControl w:val="0"/>
        <w:kinsoku/>
        <w:topLinePunct w:val="0"/>
        <w:bidi w:val="0"/>
        <w:snapToGri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保证金咨询电话：</w:t>
      </w:r>
      <w:r>
        <w:rPr>
          <w:rFonts w:hint="eastAsia" w:asciiTheme="minorEastAsia" w:hAnsiTheme="minorEastAsia" w:eastAsiaTheme="minorEastAsia" w:cstheme="minorEastAsia"/>
          <w:b w:val="0"/>
          <w:bCs w:val="0"/>
          <w:color w:val="auto"/>
          <w:sz w:val="24"/>
          <w:szCs w:val="24"/>
          <w:highlight w:val="none"/>
          <w:lang w:val="en-US" w:eastAsia="zh-CN"/>
        </w:rPr>
        <w:t>13368403245</w:t>
      </w:r>
    </w:p>
    <w:bookmarkEnd w:id="21"/>
    <w:bookmarkEnd w:id="22"/>
    <w:p>
      <w:pPr>
        <w:pStyle w:val="4"/>
        <w:pageBreakBefore w:val="0"/>
        <w:kinsoku/>
        <w:wordWrap/>
        <w:overflowPunct/>
        <w:topLinePunct w:val="0"/>
        <w:autoSpaceDE/>
        <w:autoSpaceDN/>
        <w:bidi w:val="0"/>
        <w:adjustRightInd w:val="0"/>
        <w:snapToGrid w:val="0"/>
        <w:spacing w:before="0" w:after="0" w:line="372"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、其它有关规定</w:t>
      </w:r>
      <w:bookmarkEnd w:id="18"/>
      <w:bookmarkEnd w:id="19"/>
      <w:bookmarkEnd w:id="20"/>
    </w:p>
    <w:p>
      <w:pPr>
        <w:pageBreakBefore w:val="0"/>
        <w:kinsoku/>
        <w:wordWrap/>
        <w:overflowPunct/>
        <w:topLinePunct w:val="0"/>
        <w:autoSpaceDE/>
        <w:autoSpaceDN/>
        <w:bidi w:val="0"/>
        <w:snapToGrid w:val="0"/>
        <w:spacing w:line="372"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行采家”平台（https://www.gec123.com）上发布，请各供应商注意下载或到采购代理机构处领取；无论供应商下载或领取与否，均视同供应商已知晓本项目澄清文件（如果有）的内容。</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截止时间递交的响应文件，恕不接收。</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pPr>
        <w:snapToGrid w:val="0"/>
        <w:spacing w:line="40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bCs/>
          <w:i w:val="0"/>
          <w:iCs w:val="0"/>
          <w:color w:val="auto"/>
          <w:sz w:val="24"/>
          <w:szCs w:val="24"/>
          <w:highlight w:val="none"/>
        </w:rPr>
        <w:t>本项目不接受联合体参与</w:t>
      </w:r>
      <w:r>
        <w:rPr>
          <w:rFonts w:hint="eastAsia" w:ascii="宋体" w:hAnsi="宋体" w:cs="宋体"/>
          <w:b/>
          <w:bCs/>
          <w:i w:val="0"/>
          <w:iCs w:val="0"/>
          <w:color w:val="auto"/>
          <w:sz w:val="24"/>
          <w:szCs w:val="24"/>
          <w:highlight w:val="none"/>
          <w:lang w:eastAsia="zh-CN"/>
        </w:rPr>
        <w:t>比选</w:t>
      </w:r>
      <w:r>
        <w:rPr>
          <w:rFonts w:hint="eastAsia" w:ascii="宋体" w:hAnsi="宋体" w:eastAsia="宋体" w:cs="宋体"/>
          <w:b/>
          <w:bCs/>
          <w:i w:val="0"/>
          <w:iCs w:val="0"/>
          <w:color w:val="auto"/>
          <w:sz w:val="24"/>
          <w:szCs w:val="24"/>
          <w:highlight w:val="none"/>
        </w:rPr>
        <w:t>，否则按无效处理</w:t>
      </w:r>
      <w:r>
        <w:rPr>
          <w:rFonts w:hint="eastAsia" w:ascii="宋体" w:hAnsi="宋体" w:eastAsia="宋体" w:cs="宋体"/>
          <w:b/>
          <w:bCs/>
          <w:color w:val="auto"/>
          <w:sz w:val="24"/>
          <w:szCs w:val="24"/>
          <w:highlight w:val="none"/>
        </w:rPr>
        <w:t>。</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b/>
          <w:bCs/>
          <w:i w:val="0"/>
          <w:iCs w:val="0"/>
          <w:color w:val="auto"/>
          <w:sz w:val="24"/>
          <w:szCs w:val="24"/>
          <w:highlight w:val="none"/>
        </w:rPr>
        <w:t>本项目不接受合同分包，否则按无效处理</w:t>
      </w:r>
      <w:r>
        <w:rPr>
          <w:rFonts w:hint="eastAsia" w:ascii="宋体" w:hAnsi="宋体" w:eastAsia="宋体" w:cs="宋体"/>
          <w:b/>
          <w:bCs/>
          <w:color w:val="auto"/>
          <w:sz w:val="24"/>
          <w:szCs w:val="24"/>
          <w:highlight w:val="none"/>
        </w:rPr>
        <w:t>。</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24"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 w:name="_Toc76462323"/>
      <w:bookmarkStart w:id="26" w:name="_Toc106030877"/>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、联系方式</w:t>
      </w:r>
      <w:bookmarkEnd w:id="24"/>
      <w:bookmarkEnd w:id="25"/>
      <w:bookmarkEnd w:id="26"/>
    </w:p>
    <w:p>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重庆足投商业运营管理有限公司</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胡老师</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023-43778966</w:t>
      </w:r>
    </w:p>
    <w:p>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重庆市大足区棠香街道五星大道北段1号</w:t>
      </w:r>
    </w:p>
    <w:p>
      <w:pPr>
        <w:snapToGrid w:val="0"/>
        <w:spacing w:line="400" w:lineRule="exact"/>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eastAsia="zh-CN"/>
        </w:rPr>
        <w:t>同致诚工程咨询有限公司</w:t>
      </w:r>
    </w:p>
    <w:p>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龙老师</w:t>
      </w:r>
    </w:p>
    <w:p>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13368403245</w:t>
      </w:r>
    </w:p>
    <w:p>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bookmarkStart w:id="27" w:name="_Toc106030878"/>
      <w:bookmarkStart w:id="28" w:name="_Toc76462324"/>
      <w:r>
        <w:rPr>
          <w:rFonts w:hint="eastAsia" w:ascii="宋体" w:hAnsi="宋体" w:cs="宋体"/>
          <w:color w:val="auto"/>
          <w:sz w:val="24"/>
          <w:szCs w:val="24"/>
          <w:highlight w:val="none"/>
          <w:lang w:val="en-US" w:eastAsia="zh-CN"/>
        </w:rPr>
        <w:t>重庆市大足区宏声南路237号</w:t>
      </w:r>
    </w:p>
    <w:bookmarkEnd w:id="27"/>
    <w:bookmarkEnd w:id="28"/>
    <w:p>
      <w:pPr>
        <w:pStyle w:val="4"/>
        <w:numPr>
          <w:ilvl w:val="0"/>
          <w:numId w:val="1"/>
        </w:numPr>
        <w:adjustRightInd w:val="0"/>
        <w:snapToGrid w:val="0"/>
        <w:spacing w:before="0" w:after="0" w:line="400" w:lineRule="exact"/>
        <w:ind w:firstLine="720" w:firstLineChars="200"/>
        <w:jc w:val="center"/>
        <w:rPr>
          <w:rFonts w:hint="eastAsia" w:ascii="宋体" w:hAnsi="宋体" w:eastAsia="宋体" w:cs="宋体"/>
          <w:b w:val="0"/>
          <w:color w:val="auto"/>
          <w:sz w:val="36"/>
          <w:szCs w:val="30"/>
          <w:highlight w:val="none"/>
        </w:rPr>
      </w:pPr>
      <w:bookmarkStart w:id="29" w:name="_Toc11327"/>
      <w:bookmarkStart w:id="30" w:name="_Toc29884"/>
      <w:bookmarkStart w:id="31" w:name="_Toc65660338"/>
      <w:bookmarkStart w:id="32" w:name="_Toc106034778"/>
      <w:bookmarkStart w:id="33" w:name="_Toc21513"/>
      <w:bookmarkStart w:id="34" w:name="_Toc1292"/>
      <w:bookmarkStart w:id="35" w:name="_Toc14516"/>
      <w:r>
        <w:rPr>
          <w:rFonts w:hint="eastAsia" w:ascii="宋体" w:hAnsi="宋体" w:eastAsia="宋体" w:cs="宋体"/>
          <w:b w:val="0"/>
          <w:color w:val="auto"/>
          <w:sz w:val="36"/>
          <w:szCs w:val="30"/>
          <w:highlight w:val="none"/>
        </w:rPr>
        <w:t>项目</w:t>
      </w:r>
      <w:bookmarkEnd w:id="29"/>
      <w:bookmarkEnd w:id="30"/>
      <w:bookmarkEnd w:id="31"/>
      <w:bookmarkEnd w:id="32"/>
      <w:bookmarkEnd w:id="33"/>
      <w:bookmarkEnd w:id="34"/>
      <w:bookmarkEnd w:id="35"/>
      <w:r>
        <w:rPr>
          <w:rFonts w:hint="eastAsia" w:ascii="宋体" w:hAnsi="宋体" w:eastAsia="宋体" w:cs="宋体"/>
          <w:b w:val="0"/>
          <w:color w:val="auto"/>
          <w:sz w:val="36"/>
          <w:szCs w:val="30"/>
          <w:highlight w:val="none"/>
          <w:lang w:eastAsia="zh-CN"/>
        </w:rPr>
        <w:t>技术需求</w:t>
      </w:r>
    </w:p>
    <w:p>
      <w:pPr>
        <w:snapToGrid w:val="0"/>
        <w:spacing w:line="400" w:lineRule="exact"/>
        <w:ind w:firstLine="450" w:firstLineChars="150"/>
        <w:jc w:val="center"/>
        <w:rPr>
          <w:rFonts w:hint="eastAsia" w:ascii="宋体" w:hAnsi="宋体" w:eastAsia="宋体" w:cs="宋体"/>
          <w:b w:val="0"/>
          <w:color w:val="auto"/>
          <w:sz w:val="30"/>
          <w:szCs w:val="30"/>
          <w:highlight w:val="none"/>
        </w:rPr>
      </w:pP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6" w:name="_Toc106030879"/>
      <w:bookmarkStart w:id="37" w:name="_Toc76462325"/>
      <w:bookmarkStart w:id="38" w:name="_Toc12789058"/>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项目基本概况介绍</w:t>
      </w:r>
      <w:bookmarkEnd w:id="36"/>
      <w:bookmarkEnd w:id="37"/>
    </w:p>
    <w:p>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eastAsia="zh-CN"/>
        </w:rPr>
        <w:t>大足西街片区盛世华庭建设项目电线电杆、通信电缆搬迁及施工用电安装</w:t>
      </w:r>
    </w:p>
    <w:p>
      <w:pPr>
        <w:spacing w:line="400" w:lineRule="exact"/>
        <w:ind w:firstLine="480" w:firstLineChars="200"/>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2.项目概况：</w:t>
      </w:r>
      <w:bookmarkStart w:id="39" w:name="_Toc106030880"/>
      <w:bookmarkStart w:id="40" w:name="_Toc313536013"/>
      <w:bookmarkStart w:id="41" w:name="_Toc344475116"/>
      <w:bookmarkStart w:id="42" w:name="_Toc106030881"/>
      <w:bookmarkStart w:id="43" w:name="_Toc76462326"/>
      <w:r>
        <w:rPr>
          <w:rFonts w:hint="eastAsia" w:ascii="宋体" w:hAnsi="宋体" w:cs="宋体"/>
          <w:color w:val="auto"/>
          <w:sz w:val="24"/>
          <w:szCs w:val="24"/>
          <w:highlight w:val="none"/>
          <w:lang w:val="en-US" w:eastAsia="zh-CN"/>
        </w:rPr>
        <w:t>本项目为大足西街片区盛世华庭建设项目电线电杆、通信电缆搬迁及施工用电安装，主要包含实施红线范围内电力线路搬迁及通信电缆安装等，具体以采购人发布的施工图、工程量清单为准。</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二、服务范围、要求及标准</w:t>
      </w:r>
      <w:bookmarkEnd w:id="39"/>
    </w:p>
    <w:p>
      <w:pPr>
        <w:spacing w:line="400" w:lineRule="exact"/>
        <w:ind w:firstLine="480" w:firstLineChars="200"/>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（一）服务范围、要求及标准</w:t>
      </w:r>
    </w:p>
    <w:p>
      <w:pPr>
        <w:spacing w:line="400" w:lineRule="exact"/>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1.服务范围：本项目设计施工图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及工程量清单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所有工作内容（详见本项目公告附件）</w:t>
      </w:r>
      <w:r>
        <w:rPr>
          <w:rFonts w:hint="eastAsia" w:ascii="宋体" w:hAnsi="宋体" w:eastAsia="宋体" w:cs="宋体"/>
          <w:color w:val="auto"/>
          <w:sz w:val="24"/>
          <w:szCs w:val="24"/>
          <w:highlight w:val="none"/>
          <w:lang w:eastAsia="zh-CN"/>
        </w:rPr>
        <w:t>。</w:t>
      </w:r>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2.服务要求：依据设计施工图纸和技术文件的要求，本项目的材料、设备、施工必须达到现行规范及标准规定的要求。</w:t>
      </w:r>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3.服务标准：严格按照电力设备运行的国家标准或相关行业标准及操作规程执行。</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三、质量</w:t>
      </w:r>
      <w:bookmarkEnd w:id="40"/>
      <w:bookmarkEnd w:id="41"/>
      <w:r>
        <w:rPr>
          <w:rFonts w:hint="eastAsia" w:ascii="宋体" w:hAnsi="宋体" w:eastAsia="宋体" w:cs="宋体"/>
          <w:color w:val="auto"/>
          <w:sz w:val="24"/>
          <w:highlight w:val="none"/>
        </w:rPr>
        <w:t>需求</w:t>
      </w:r>
      <w:bookmarkEnd w:id="42"/>
      <w:bookmarkEnd w:id="43"/>
    </w:p>
    <w:p>
      <w:pPr>
        <w:widowControl/>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符合强制性质量标准，符合国家和重庆市现行有关施工质量验收规范要求，并达到合格标准。</w:t>
      </w:r>
    </w:p>
    <w:p>
      <w:pPr>
        <w:spacing w:line="440" w:lineRule="atLeast"/>
        <w:ind w:firstLine="482" w:firstLineChars="200"/>
        <w:rPr>
          <w:rFonts w:hint="eastAsia" w:ascii="宋体" w:hAnsi="宋体" w:eastAsia="宋体" w:cs="宋体"/>
          <w:b/>
          <w:color w:val="auto"/>
          <w:sz w:val="24"/>
          <w:szCs w:val="20"/>
          <w:highlight w:val="none"/>
        </w:rPr>
      </w:pPr>
      <w:bookmarkStart w:id="44" w:name="_Toc113374270"/>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、施工要求</w:t>
      </w:r>
      <w:bookmarkEnd w:id="44"/>
    </w:p>
    <w:p>
      <w:pPr>
        <w:spacing w:line="40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pPr>
        <w:keepNext w:val="0"/>
        <w:keepLines w:val="0"/>
        <w:pageBreakBefore w:val="0"/>
        <w:widowControl/>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color w:val="auto"/>
          <w:sz w:val="24"/>
          <w:szCs w:val="20"/>
          <w:highlight w:val="none"/>
        </w:rPr>
      </w:pPr>
      <w:r>
        <w:rPr>
          <w:rFonts w:hint="eastAsia" w:ascii="宋体" w:hAnsi="宋体" w:cs="宋体"/>
          <w:b/>
          <w:bCs w:val="0"/>
          <w:color w:val="auto"/>
          <w:sz w:val="24"/>
          <w:szCs w:val="20"/>
          <w:highlight w:val="none"/>
          <w:lang w:val="en-US" w:eastAsia="zh-CN"/>
        </w:rPr>
        <w:t>五</w:t>
      </w:r>
      <w:r>
        <w:rPr>
          <w:rFonts w:hint="eastAsia" w:ascii="宋体" w:hAnsi="宋体" w:eastAsia="宋体" w:cs="宋体"/>
          <w:b/>
          <w:bCs w:val="0"/>
          <w:color w:val="auto"/>
          <w:sz w:val="24"/>
          <w:szCs w:val="20"/>
          <w:highlight w:val="none"/>
        </w:rPr>
        <w:t>、人员要求</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bookmarkStart w:id="45" w:name="_Toc14130"/>
      <w:bookmarkStart w:id="46" w:name="_Toc23420"/>
      <w:bookmarkStart w:id="47" w:name="_Toc10740"/>
      <w:bookmarkStart w:id="48" w:name="_Toc18324"/>
      <w:bookmarkStart w:id="49" w:name="_Toc3450"/>
      <w:bookmarkStart w:id="50" w:name="_Toc14302"/>
      <w:r>
        <w:rPr>
          <w:rFonts w:hint="eastAsia" w:ascii="宋体" w:hAnsi="宋体" w:eastAsia="宋体" w:cs="宋体"/>
          <w:color w:val="auto"/>
          <w:sz w:val="24"/>
          <w:szCs w:val="24"/>
          <w:highlight w:val="none"/>
          <w:lang w:val="en-US" w:eastAsia="zh-CN"/>
        </w:rPr>
        <w:t>1、项目经理（1人）</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拟派的项目经理必须已在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本单位注册并应具有</w:t>
      </w:r>
      <w:r>
        <w:rPr>
          <w:rFonts w:hint="eastAsia" w:ascii="宋体" w:hAnsi="宋体" w:eastAsia="宋体" w:cs="宋体"/>
          <w:color w:val="auto"/>
          <w:sz w:val="24"/>
          <w:szCs w:val="24"/>
          <w:highlight w:val="none"/>
          <w:u w:val="single"/>
          <w:lang w:val="en-US" w:eastAsia="zh-CN"/>
        </w:rPr>
        <w:t>机电工程</w:t>
      </w:r>
      <w:r>
        <w:rPr>
          <w:rFonts w:hint="eastAsia" w:ascii="宋体" w:hAnsi="宋体" w:eastAsia="宋体" w:cs="宋体"/>
          <w:color w:val="auto"/>
          <w:sz w:val="24"/>
          <w:szCs w:val="24"/>
          <w:highlight w:val="none"/>
          <w:u w:val="single"/>
        </w:rPr>
        <w:t>专业贰级</w:t>
      </w:r>
      <w:r>
        <w:rPr>
          <w:rFonts w:hint="eastAsia" w:ascii="宋体" w:hAnsi="宋体" w:eastAsia="宋体" w:cs="宋体"/>
          <w:color w:val="auto"/>
          <w:sz w:val="24"/>
          <w:szCs w:val="24"/>
          <w:highlight w:val="none"/>
        </w:rPr>
        <w:t>及以上注册建造师执业资格。</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注：提供拟派项目经理建造师注册证书复印件、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rPr>
        <w:t>安全生产考核合格证B证复印件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2、项目技术负责人（1人）</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拟派的项目技术负责人应具有</w:t>
      </w:r>
      <w:r>
        <w:rPr>
          <w:rFonts w:hint="eastAsia" w:ascii="宋体" w:hAnsi="宋体" w:eastAsia="宋体" w:cs="宋体"/>
          <w:color w:val="auto"/>
          <w:sz w:val="24"/>
          <w:szCs w:val="24"/>
          <w:highlight w:val="none"/>
          <w:u w:val="single"/>
        </w:rPr>
        <w:t>工程类中级</w:t>
      </w:r>
      <w:r>
        <w:rPr>
          <w:rFonts w:hint="eastAsia" w:ascii="宋体" w:hAnsi="宋体" w:eastAsia="宋体" w:cs="宋体"/>
          <w:color w:val="auto"/>
          <w:sz w:val="24"/>
          <w:szCs w:val="24"/>
          <w:highlight w:val="none"/>
        </w:rPr>
        <w:t>及以上</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职称。</w:t>
      </w:r>
    </w:p>
    <w:p>
      <w:pPr>
        <w:widowControl/>
        <w:snapToGrid/>
        <w:spacing w:line="4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须在投标文件资格审查部分提供拟派技术负责人职称证复印件、</w:t>
      </w:r>
      <w:r>
        <w:rPr>
          <w:rFonts w:hint="eastAsia" w:ascii="宋体" w:hAnsi="宋体" w:cs="宋体"/>
          <w:color w:val="auto"/>
          <w:sz w:val="24"/>
          <w:szCs w:val="24"/>
          <w:highlight w:val="none"/>
          <w:lang w:val="en-US" w:eastAsia="zh-CN"/>
        </w:rPr>
        <w:t>身份证复印件、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本单位为其缴纳的养老保险证明材料复印件。以上证明材料均需加盖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主要管理人员</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自行承诺成交后在签订合同之前，须按照主管部门的要求组建施工项目部，配置项目管理班子，出具任命文件。拟派的项目经理、项目技术负责人未经过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同意，不得变更。任命文件应当明确施工项目部的职责、岗位设置、人员配备，并书面通知</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。相关岗位管理人员应持有主管部门要求的岗位证书，并提供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本单位为其缴纳的养老保险证明材料复印件。成交后不能满足该要求的，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资格，给</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造成损失的，</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依法承担违约赔偿责任。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资格审查部分提供承诺并加盖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公章（承诺格式自拟）</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（1）上述要求须提交的相关证明材料为</w:t>
      </w:r>
      <w:r>
        <w:rPr>
          <w:rFonts w:hint="eastAsia" w:ascii="宋体" w:hAnsi="宋体" w:cs="宋体"/>
          <w:color w:val="auto"/>
          <w:sz w:val="24"/>
          <w:szCs w:val="24"/>
          <w:highlight w:val="none"/>
          <w:lang w:val="en-US" w:eastAsia="zh-CN"/>
        </w:rPr>
        <w:t>加盖公章</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4"/>
          <w:highlight w:val="none"/>
        </w:rPr>
        <w:t>须清晰可辨，有一条不满足，则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作否决投标处理。</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）人员养老保险证明要求如下：</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①企业提供养老保险证明，事业单位提供养老保险证明或行政主管部门在编证明。</w:t>
      </w:r>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②项目经理、项目技术负责人的连续养老保险证明期限须</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，提供的养老保险参保证明须</w:t>
      </w:r>
      <w:r>
        <w:rPr>
          <w:rFonts w:hint="eastAsia" w:ascii="宋体" w:hAnsi="宋体" w:eastAsia="宋体" w:cs="宋体"/>
          <w:color w:val="auto"/>
          <w:sz w:val="24"/>
          <w:szCs w:val="24"/>
          <w:highlight w:val="none"/>
        </w:rPr>
        <w:t>体现上述人员的姓名、身份证号（或社保号）、单位名称、本单位参保时间（或起始参保时间），并带有社保部门公章或社保部门的有效电子印章。</w:t>
      </w:r>
    </w:p>
    <w:p>
      <w:pPr>
        <w:spacing w:line="400" w:lineRule="exact"/>
        <w:ind w:firstLine="482" w:firstLineChars="200"/>
        <w:outlineLvl w:val="9"/>
        <w:rPr>
          <w:rFonts w:hint="eastAsia" w:ascii="宋体" w:hAnsi="宋体" w:eastAsia="宋体" w:cs="宋体"/>
          <w:b/>
          <w:color w:val="auto"/>
          <w:sz w:val="24"/>
          <w:szCs w:val="20"/>
          <w:highlight w:val="none"/>
        </w:rPr>
      </w:pPr>
      <w:r>
        <w:rPr>
          <w:rFonts w:hint="eastAsia" w:ascii="宋体" w:hAnsi="宋体" w:cs="宋体"/>
          <w:b/>
          <w:color w:val="auto"/>
          <w:sz w:val="24"/>
          <w:szCs w:val="20"/>
          <w:highlight w:val="none"/>
          <w:lang w:val="en-US" w:eastAsia="zh-CN"/>
        </w:rPr>
        <w:t>六</w:t>
      </w:r>
      <w:r>
        <w:rPr>
          <w:rFonts w:hint="eastAsia" w:ascii="宋体" w:hAnsi="宋体" w:eastAsia="宋体" w:cs="宋体"/>
          <w:b/>
          <w:color w:val="auto"/>
          <w:sz w:val="24"/>
          <w:szCs w:val="20"/>
          <w:highlight w:val="none"/>
        </w:rPr>
        <w:t>、现场踏勘</w:t>
      </w:r>
      <w:bookmarkEnd w:id="45"/>
      <w:bookmarkEnd w:id="46"/>
      <w:bookmarkEnd w:id="47"/>
      <w:bookmarkEnd w:id="48"/>
      <w:bookmarkEnd w:id="49"/>
      <w:bookmarkEnd w:id="50"/>
    </w:p>
    <w:p>
      <w:pPr>
        <w:widowControl/>
        <w:snapToGrid/>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供应商在递交响应文件前自行到项目现场进行勘察，对本项目现场及周边环境进行踏勘以了解本项目风险和义务，踏勘现场所产生的费用及安全责任由供应商自行承担。</w:t>
      </w:r>
    </w:p>
    <w:p>
      <w:pPr>
        <w:widowControl/>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bookmarkStart w:id="51" w:name="_Toc106030882"/>
      <w:bookmarkStart w:id="52" w:name="_Toc76462327"/>
    </w:p>
    <w:p>
      <w:pPr>
        <w:pStyle w:val="2"/>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仿宋_GBK" w:hAnsi="宋体" w:eastAsia="方正仿宋_GBK" w:cs="Times New Roman"/>
          <w:color w:val="auto"/>
          <w:sz w:val="24"/>
          <w:szCs w:val="24"/>
          <w:highlight w:val="none"/>
          <w:lang w:val="en-US" w:eastAsia="zh-CN"/>
        </w:rPr>
      </w:pPr>
    </w:p>
    <w:p>
      <w:pP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br w:type="page"/>
      </w:r>
    </w:p>
    <w:p>
      <w:pPr>
        <w:pStyle w:val="4"/>
        <w:numPr>
          <w:ilvl w:val="0"/>
          <w:numId w:val="1"/>
        </w:numPr>
        <w:adjustRightInd w:val="0"/>
        <w:snapToGrid w:val="0"/>
        <w:spacing w:before="0" w:after="0" w:line="400" w:lineRule="exact"/>
        <w:ind w:left="0" w:leftChars="0" w:firstLine="720" w:firstLineChars="200"/>
        <w:jc w:val="center"/>
        <w:rPr>
          <w:rFonts w:hint="eastAsia" w:ascii="方正小标宋_GBK" w:eastAsia="方正小标宋_GBK" w:cs="Times New Roman"/>
          <w:b w:val="0"/>
          <w:color w:val="auto"/>
          <w:sz w:val="36"/>
          <w:szCs w:val="30"/>
          <w:highlight w:val="none"/>
        </w:rPr>
      </w:pPr>
      <w:r>
        <w:rPr>
          <w:rFonts w:hint="eastAsia" w:ascii="方正小标宋_GBK" w:eastAsia="方正小标宋_GBK" w:cs="Times New Roman"/>
          <w:b w:val="0"/>
          <w:color w:val="auto"/>
          <w:sz w:val="36"/>
          <w:szCs w:val="30"/>
          <w:highlight w:val="none"/>
        </w:rPr>
        <w:t xml:space="preserve"> </w:t>
      </w:r>
      <w:bookmarkEnd w:id="38"/>
      <w:bookmarkEnd w:id="51"/>
      <w:bookmarkEnd w:id="52"/>
      <w:r>
        <w:rPr>
          <w:rFonts w:hint="eastAsia" w:asciiTheme="minorEastAsia" w:hAnsiTheme="minorEastAsia" w:eastAsiaTheme="minorEastAsia" w:cstheme="minorEastAsia"/>
          <w:b w:val="0"/>
          <w:color w:val="auto"/>
          <w:sz w:val="36"/>
          <w:szCs w:val="30"/>
          <w:highlight w:val="none"/>
        </w:rPr>
        <w:t>项目</w:t>
      </w:r>
      <w:r>
        <w:rPr>
          <w:rFonts w:hint="eastAsia" w:asciiTheme="minorEastAsia" w:hAnsiTheme="minorEastAsia" w:eastAsiaTheme="minorEastAsia" w:cstheme="minorEastAsia"/>
          <w:b w:val="0"/>
          <w:color w:val="auto"/>
          <w:sz w:val="36"/>
          <w:szCs w:val="30"/>
          <w:highlight w:val="none"/>
          <w:lang w:val="en-US" w:eastAsia="zh-CN"/>
        </w:rPr>
        <w:t>商务需求</w:t>
      </w:r>
    </w:p>
    <w:p>
      <w:pPr>
        <w:numPr>
          <w:ilvl w:val="0"/>
          <w:numId w:val="0"/>
        </w:numPr>
        <w:ind w:leftChars="200"/>
        <w:rPr>
          <w:rFonts w:hint="eastAsia"/>
          <w:color w:val="auto"/>
          <w:highlight w:val="none"/>
        </w:rPr>
      </w:pP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3" w:name="_Toc106030883"/>
      <w:bookmarkStart w:id="54" w:name="_Toc76462328"/>
      <w:bookmarkStart w:id="55" w:name="_Toc344475120"/>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、地点及验收方式</w:t>
      </w:r>
      <w:bookmarkEnd w:id="53"/>
      <w:bookmarkEnd w:id="54"/>
      <w:bookmarkEnd w:id="55"/>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rPr>
        <w:t>期：</w:t>
      </w:r>
      <w:r>
        <w:rPr>
          <w:rFonts w:hint="eastAsia" w:ascii="宋体" w:hAnsi="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lang w:val="en-US" w:eastAsia="zh-CN"/>
        </w:rPr>
        <w:t>日历天</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地点：重庆市</w:t>
      </w:r>
      <w:r>
        <w:rPr>
          <w:rFonts w:hint="eastAsia" w:ascii="宋体" w:hAnsi="宋体" w:eastAsia="宋体" w:cs="宋体"/>
          <w:color w:val="auto"/>
          <w:sz w:val="24"/>
          <w:szCs w:val="24"/>
          <w:highlight w:val="none"/>
          <w:lang w:val="en-US" w:eastAsia="zh-CN"/>
        </w:rPr>
        <w:t>大足区西街片区</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和材料到货后，成交供应商应通知采购人现场管理人员对材料进行验收，货到验收时如与承诺的要求不一致，采购人可拒绝收货，由此造成的一切损失，应由成交供应商全部承担。设备和材料验收合格后才能进行实施。相关材料及工艺应该按照建设行业主管部门的规定，送专业检测机构进行检测并合格后方能在本项目进行使用。</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过程应遵照现行国家有关规范进行，按照工程量清单、图级及有关要求进行检查验收。成交供应商应保证工程质量，工程用建筑材料须符合国家及行业标准，项目工程达到国家现行有关施工质量验收规范要求，并达到合格标准。</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3.工程完工后，按国家相关标准验收程序和规程进行验收，采购人代表和供应商签字确认。验收的相关费用由成交供应商承担。</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4.成交供应商未达到</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的要求，且对采购人造成损失的，由成交供应商承担一切责任，并赔偿所造成的损失。</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由成交供应商组织并通知电力部门按照国家标准及电力行业安全运行的相关要求进行验收，必须经采购人和电力行业部门同时认可才算验收通过。</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0"/>
          <w:highlight w:val="none"/>
        </w:rPr>
      </w:pPr>
      <w:bookmarkStart w:id="56" w:name="_Toc344475121"/>
      <w:bookmarkStart w:id="57" w:name="_Toc76462329"/>
      <w:bookmarkStart w:id="58" w:name="_Toc106030884"/>
      <w:r>
        <w:rPr>
          <w:rFonts w:hint="eastAsia" w:ascii="宋体" w:hAnsi="宋体" w:eastAsia="宋体" w:cs="宋体"/>
          <w:b/>
          <w:bCs w:val="0"/>
          <w:color w:val="auto"/>
          <w:sz w:val="24"/>
          <w:szCs w:val="20"/>
          <w:highlight w:val="none"/>
        </w:rPr>
        <w:t>二、质量保证及售后服务</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（一）设备和材料质量总体要求：</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 xml:space="preserve">全部要求。 </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（二）质保期：</w:t>
      </w:r>
    </w:p>
    <w:p>
      <w:pPr>
        <w:keepNext w:val="0"/>
        <w:keepLines w:val="0"/>
        <w:pageBreakBefore w:val="0"/>
        <w:widowControl/>
        <w:kinsoku/>
        <w:wordWrap/>
        <w:overflowPunct/>
        <w:topLinePunct w:val="0"/>
        <w:autoSpaceDE/>
        <w:autoSpaceDN/>
        <w:bidi w:val="0"/>
        <w:adjustRightInd/>
        <w:snapToGrid w:val="0"/>
        <w:spacing w:line="400" w:lineRule="exact"/>
        <w:ind w:firstLine="54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工程质量保修期限：满足重庆市建设工程质量监督总站监制《重庆市建设工程质量保修书》相关要求，竣工验收合格之日起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年（若供应商有更优惠的质保期，请在响应文件中明确应答）。</w:t>
      </w:r>
    </w:p>
    <w:p>
      <w:pPr>
        <w:widowControl/>
        <w:snapToGrid w:val="0"/>
        <w:spacing w:line="400" w:lineRule="exact"/>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保修期内，所有设备和施工质量缺陷的维护及维修（非人为损坏）均为免费。成交供应商应在接到采购人维修通知后</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小时内到现场了解情况，在通知后</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4小时</w:t>
      </w:r>
      <w:r>
        <w:rPr>
          <w:rFonts w:hint="eastAsia" w:ascii="宋体" w:hAnsi="宋体" w:eastAsia="宋体" w:cs="宋体"/>
          <w:color w:val="auto"/>
          <w:sz w:val="24"/>
          <w:szCs w:val="24"/>
          <w:highlight w:val="none"/>
        </w:rPr>
        <w:t>内修复并承担所有费用。维修以电话、电邮、传真方式通知成交单位，成交单位不按本约定按时执行，采购人可安排专业人员进行，所发生的费用在成交供应商预留的质保金中扣除。</w:t>
      </w:r>
    </w:p>
    <w:p>
      <w:pPr>
        <w:keepNext w:val="0"/>
        <w:keepLines w:val="0"/>
        <w:widowControl/>
        <w:numPr>
          <w:ilvl w:val="0"/>
          <w:numId w:val="2"/>
        </w:numPr>
        <w:adjustRightInd/>
        <w:ind w:firstLine="54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保修期内，所有设备维护和施工质量缺陷维修均为现场服务，由此产生的费用均不再收取。</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（三）售后服务内容</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供应商和厂家在质量保证期内应当为采购人提供以下技术支持服务：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成交供应商和厂家应当为用户提供技术援助电话，解答用户在使用中遇到的问题，及时为用户提出解决问题的建议。</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用户遇到使用及技术问题，电话咨询不能解决的，成交供应商或厂家应在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小时内采取相应响应措施；无法在</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小时内解决的，应在</w:t>
      </w:r>
      <w:r>
        <w:rPr>
          <w:rFonts w:hint="eastAsia" w:ascii="宋体" w:hAnsi="宋体" w:eastAsia="宋体" w:cs="宋体"/>
          <w:color w:val="auto"/>
          <w:sz w:val="24"/>
          <w:szCs w:val="24"/>
          <w:highlight w:val="none"/>
          <w:u w:val="none"/>
        </w:rPr>
        <w:t xml:space="preserve"> 6 </w:t>
      </w:r>
      <w:r>
        <w:rPr>
          <w:rFonts w:hint="eastAsia" w:ascii="宋体" w:hAnsi="宋体" w:eastAsia="宋体" w:cs="宋体"/>
          <w:color w:val="auto"/>
          <w:sz w:val="24"/>
          <w:szCs w:val="24"/>
          <w:highlight w:val="none"/>
        </w:rPr>
        <w:t>小时内派出专业人员进行技术支持。</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在质保期内，如果成交供应商和厂家的产品技术升级，成交供应商应及时通知采购人，如采购人有相应要求，成交供应商和厂家应对采购人进行升级服务。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2.1质量保证期过后，成交供应商和厂家应同样提供免费电话咨询服务，并应承诺提供产品上门维护服务。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2.2质量保证期过后，采购人需要继续由原成交供应商和厂家提供售后服务的，成交供应商和厂家应以优惠价格提供售后服务。</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（四）故障响应时间要求</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供应商接到使用方产品出现问题的通知后立即作出响应，</w:t>
      </w:r>
      <w:r>
        <w:rPr>
          <w:rFonts w:hint="eastAsia" w:ascii="宋体" w:hAnsi="宋体" w:eastAsia="宋体" w:cs="宋体"/>
          <w:color w:val="auto"/>
          <w:sz w:val="24"/>
          <w:szCs w:val="24"/>
          <w:highlight w:val="none"/>
          <w:u w:val="none"/>
        </w:rPr>
        <w:t xml:space="preserve"> 12 </w:t>
      </w:r>
      <w:r>
        <w:rPr>
          <w:rFonts w:hint="eastAsia" w:ascii="宋体" w:hAnsi="宋体" w:eastAsia="宋体" w:cs="宋体"/>
          <w:color w:val="auto"/>
          <w:sz w:val="24"/>
          <w:szCs w:val="24"/>
          <w:highlight w:val="none"/>
        </w:rPr>
        <w:t>小时内到达现场进行处理。</w:t>
      </w:r>
    </w:p>
    <w:p>
      <w:pPr>
        <w:widowControl/>
        <w:snapToGrid w:val="0"/>
        <w:spacing w:line="400" w:lineRule="exact"/>
        <w:ind w:right="0"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（五）维修配件</w:t>
      </w:r>
    </w:p>
    <w:p>
      <w:pPr>
        <w:widowControl/>
        <w:snapToGrid w:val="0"/>
        <w:spacing w:line="400" w:lineRule="exact"/>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成交供应商或厂家应提供备品备件，保证用户应急所需。使用的维修零配件应为原厂配件，未经用户同意不得使用非原厂配件。</w:t>
      </w:r>
    </w:p>
    <w:bookmarkEnd w:id="56"/>
    <w:p>
      <w:pPr>
        <w:pStyle w:val="4"/>
        <w:numPr>
          <w:ilvl w:val="0"/>
          <w:numId w:val="3"/>
        </w:numPr>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报价要求</w:t>
      </w:r>
      <w:bookmarkEnd w:id="57"/>
      <w:bookmarkEnd w:id="58"/>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default" w:ascii="宋体" w:hAnsi="宋体" w:eastAsia="宋体" w:cs="宋体"/>
          <w:color w:val="auto"/>
          <w:sz w:val="24"/>
          <w:szCs w:val="24"/>
          <w:highlight w:val="none"/>
          <w:lang w:val="en-US" w:eastAsia="zh-CN"/>
        </w:rPr>
      </w:pPr>
      <w:bookmarkStart w:id="59" w:name="_Toc20576"/>
      <w:r>
        <w:rPr>
          <w:rFonts w:hint="eastAsia" w:ascii="宋体" w:hAnsi="宋体" w:cs="宋体"/>
          <w:color w:val="auto"/>
          <w:sz w:val="24"/>
          <w:szCs w:val="24"/>
          <w:highlight w:val="none"/>
        </w:rPr>
        <w:t>本工程设置总价最高限价，总价最高限价为</w:t>
      </w:r>
      <w:r>
        <w:rPr>
          <w:rFonts w:hint="eastAsia" w:ascii="宋体" w:hAnsi="宋体" w:cs="宋体"/>
          <w:color w:val="auto"/>
          <w:kern w:val="0"/>
          <w:sz w:val="24"/>
          <w:szCs w:val="24"/>
          <w:highlight w:val="none"/>
          <w:lang w:val="en-US" w:eastAsia="zh-CN" w:bidi="ar"/>
        </w:rPr>
        <w:t>850794.25</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大写:捌拾伍万零柒佰玖拾肆元贰角伍分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其中，安全文明施工费为：33882.27元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供应商的报价不得超过本项目设置的最高限价，否则，其响应文件按废标处理。</w:t>
      </w:r>
      <w:r>
        <w:rPr>
          <w:rFonts w:hint="eastAsia" w:ascii="宋体" w:hAnsi="宋体" w:cs="宋体"/>
          <w:color w:val="auto"/>
          <w:sz w:val="24"/>
          <w:szCs w:val="24"/>
          <w:highlight w:val="none"/>
          <w:lang w:val="en-US" w:eastAsia="zh-CN"/>
        </w:rPr>
        <w:t>安全文明施工费用为不可竞争费用，未按采购人提供的金额填报，其响应文件按废标处理。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本工程招标将设置全部工程量清单</w:t>
      </w:r>
      <w:r>
        <w:rPr>
          <w:rFonts w:hint="eastAsia" w:ascii="宋体" w:hAnsi="宋体" w:cs="宋体"/>
          <w:b/>
          <w:bCs/>
          <w:color w:val="auto"/>
          <w:sz w:val="24"/>
          <w:szCs w:val="24"/>
          <w:highlight w:val="none"/>
        </w:rPr>
        <w:t>综合单价最高限价，</w:t>
      </w:r>
      <w:r>
        <w:rPr>
          <w:rFonts w:hint="eastAsia" w:ascii="宋体" w:hAnsi="宋体" w:cs="宋体"/>
          <w:color w:val="auto"/>
          <w:sz w:val="24"/>
          <w:szCs w:val="24"/>
          <w:highlight w:val="none"/>
        </w:rPr>
        <w:t>供应商的每项清单综合单价报价不得超过每项清单综合单价最高限价，否则由评审小组作无效处理。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竞采报价</w:t>
      </w:r>
      <w:r>
        <w:rPr>
          <w:rFonts w:hint="eastAsia" w:ascii="宋体" w:hAnsi="宋体" w:cs="宋体"/>
          <w:color w:val="auto"/>
          <w:kern w:val="0"/>
          <w:sz w:val="24"/>
          <w:szCs w:val="24"/>
          <w:highlight w:val="none"/>
        </w:rPr>
        <w:t>须为人民币报价</w:t>
      </w:r>
      <w:r>
        <w:rPr>
          <w:rFonts w:hint="eastAsia" w:ascii="宋体" w:hAnsi="宋体" w:cs="宋体"/>
          <w:color w:val="auto"/>
          <w:sz w:val="24"/>
          <w:szCs w:val="24"/>
          <w:highlight w:val="none"/>
        </w:rPr>
        <w:t>，包含完成该项目的全部工作内容，亦包含建设工程一般风险费、管理费、利润、措施费（含安全文明施工</w:t>
      </w:r>
      <w:r>
        <w:rPr>
          <w:rFonts w:hint="eastAsia" w:ascii="宋体" w:hAnsi="宋体" w:cs="宋体"/>
          <w:color w:val="auto"/>
          <w:sz w:val="24"/>
          <w:szCs w:val="24"/>
          <w:highlight w:val="none"/>
          <w:lang w:val="en-US" w:eastAsia="zh-CN"/>
        </w:rPr>
        <w:t>费用</w:t>
      </w:r>
      <w:r>
        <w:rPr>
          <w:rFonts w:hint="eastAsia" w:ascii="宋体" w:hAnsi="宋体" w:cs="宋体"/>
          <w:color w:val="auto"/>
          <w:sz w:val="24"/>
          <w:szCs w:val="24"/>
          <w:highlight w:val="none"/>
        </w:rPr>
        <w:t>）、规费、税金、采购代理服务费等完成本项目的所有费用。因成交供应商自身原因造成漏报、少报皆由其自行承担责任，采购人不再补偿。</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本项目采用工程量清单计价。工程量清单应采用综合单价计价。</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供应商应按《建设工程工程量清单计价规范》（GB 50500-2013）、《重庆市建设工程工程量清单计价规则》（CQJJGZ-2013）、《重庆市建设工程工程量计算规则》（CQJLGZ-2013）；定额参照《重庆市房屋建筑与装饰工程计价定额》（CQJZZSDE-2018）、《重庆市市政工程计价定额》（CQSZDE-2018）、《重庆市园林绿化工程计价定额》（CQYLDE-2018）、《2018重庆市房屋修缮工程计价定额》（CQXSDE-2018）、《重庆市建设工程费用定额》（CQFYDE-2018）、《混凝土及砂浆配合比表施工机械台班定额》（CQPSDE-2018）文件等及其他相关配套文件，供应商结合自身实力、市场行情自主合理报价。</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报价函中的总报价必须与已标价工程量清单总报价一致。否则由评审小组作无效报价处理。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如发现工程量清单中的数量与图纸中数量不一致，应于报价截止时间前书面通知采购人核查，除非采购人以修改的形式予以更正，否则，应以工程量清单中列出的数量为准。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采购人在工程量清单中所列出的价格（包括暂列金额、暂估价等），供应商不得修改。否则由评审小组作无效报价处理。</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安全文明施工费：</w:t>
      </w:r>
    </w:p>
    <w:p>
      <w:pPr>
        <w:keepNext w:val="0"/>
        <w:keepLines w:val="0"/>
        <w:pageBreakBefore w:val="0"/>
        <w:kinsoku/>
        <w:wordWrap/>
        <w:overflowPunct/>
        <w:topLinePunct w:val="0"/>
        <w:autoSpaceDE/>
        <w:autoSpaceDN/>
        <w:bidi w:val="0"/>
        <w:adjustRightInd/>
        <w:snapToGrid/>
        <w:spacing w:line="400" w:lineRule="exact"/>
        <w:ind w:left="0" w:leftChars="0" w:firstLine="499" w:firstLineChars="208"/>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8.1根据《关于修订发布《重庆市建设工程安全文明施工费计取及使用管理规定》的通知》（渝建</w:t>
      </w:r>
      <w:r>
        <w:rPr>
          <w:rFonts w:hint="eastAsia" w:ascii="宋体" w:hAnsi="宋体" w:cs="宋体"/>
          <w:color w:val="auto"/>
          <w:sz w:val="24"/>
          <w:szCs w:val="24"/>
          <w:highlight w:val="none"/>
          <w:lang w:val="en-US" w:eastAsia="zh-CN"/>
        </w:rPr>
        <w:t>管</w:t>
      </w:r>
      <w:r>
        <w:rPr>
          <w:rFonts w:hint="eastAsia" w:ascii="宋体" w:hAnsi="宋体" w:cs="宋体"/>
          <w:color w:val="auto"/>
          <w:sz w:val="24"/>
          <w:szCs w:val="24"/>
          <w:highlight w:val="none"/>
        </w:rPr>
        <w:t>〔20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38</w:t>
      </w:r>
      <w:r>
        <w:rPr>
          <w:rFonts w:hint="eastAsia" w:ascii="宋体" w:hAnsi="宋体" w:cs="宋体"/>
          <w:color w:val="auto"/>
          <w:sz w:val="24"/>
          <w:szCs w:val="24"/>
          <w:highlight w:val="none"/>
        </w:rPr>
        <w:t>号）规定，安全文明施工费由安全施工费、文明施工费、环境保护费及临时设施费组成。</w:t>
      </w:r>
    </w:p>
    <w:p>
      <w:pPr>
        <w:keepNext w:val="0"/>
        <w:keepLines w:val="0"/>
        <w:pageBreakBefore w:val="0"/>
        <w:widowControl/>
        <w:kinsoku/>
        <w:wordWrap/>
        <w:overflowPunct/>
        <w:topLinePunct w:val="0"/>
        <w:autoSpaceDE/>
        <w:autoSpaceDN/>
        <w:bidi w:val="0"/>
        <w:adjustRightInd/>
        <w:snapToGrid/>
        <w:spacing w:line="400" w:lineRule="exact"/>
        <w:ind w:left="0" w:leftChars="0" w:firstLine="499" w:firstLineChars="208"/>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8.2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工程量清单报价中的安全文明施工费必须按照采购人给出的暂定金额填报，否则视为对竞采文件不作实质性响应，其响应文件按无效处理。</w:t>
      </w:r>
    </w:p>
    <w:p>
      <w:pPr>
        <w:pStyle w:val="2"/>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99" w:firstLineChars="208"/>
        <w:textAlignment w:val="auto"/>
        <w:rPr>
          <w:rFonts w:hint="eastAsia"/>
          <w:color w:val="auto"/>
          <w:highlight w:val="none"/>
        </w:rPr>
      </w:pPr>
      <w:r>
        <w:rPr>
          <w:rFonts w:hint="eastAsia" w:ascii="宋体" w:hAnsi="宋体" w:cs="宋体"/>
          <w:color w:val="auto"/>
          <w:sz w:val="24"/>
          <w:szCs w:val="24"/>
          <w:highlight w:val="none"/>
          <w:lang w:val="en-US" w:eastAsia="zh-CN"/>
        </w:rPr>
        <w:t>9.规费、税金按 2018年《重庆市建设工程费用定额》及《关于建筑业营业税改征增值税调建设工程计价依据的通知》(渝建发【2016】35 号)文件、关于适用增值税新税率调整建设工程计价依据的通知(渝建发【2018】195号)文件进行填报，否则由评审小组作无效报价处理。</w:t>
      </w:r>
      <w:bookmarkEnd w:id="59"/>
    </w:p>
    <w:p>
      <w:pPr>
        <w:keepNext w:val="0"/>
        <w:keepLines w:val="0"/>
        <w:widowControl/>
        <w:numPr>
          <w:ilvl w:val="0"/>
          <w:numId w:val="0"/>
        </w:numPr>
        <w:adjustRightInd/>
        <w:ind w:firstLine="482" w:firstLineChars="200"/>
        <w:rPr>
          <w:rFonts w:hint="eastAsia" w:ascii="宋体" w:hAnsi="宋体" w:eastAsia="宋体" w:cs="宋体"/>
          <w:b/>
          <w:color w:val="auto"/>
          <w:sz w:val="24"/>
          <w:szCs w:val="20"/>
          <w:highlight w:val="none"/>
        </w:rPr>
      </w:pPr>
      <w:bookmarkStart w:id="60" w:name="_Toc76462330"/>
      <w:bookmarkStart w:id="61" w:name="_Toc106030885"/>
      <w:bookmarkStart w:id="62" w:name="_Toc344475122"/>
      <w:r>
        <w:rPr>
          <w:rFonts w:hint="eastAsia" w:ascii="宋体" w:hAnsi="宋体" w:cs="宋体"/>
          <w:b/>
          <w:color w:val="auto"/>
          <w:sz w:val="24"/>
          <w:szCs w:val="20"/>
          <w:highlight w:val="none"/>
          <w:lang w:val="en-US" w:eastAsia="zh-CN"/>
        </w:rPr>
        <w:t>四</w:t>
      </w:r>
      <w:r>
        <w:rPr>
          <w:rFonts w:hint="eastAsia" w:ascii="宋体" w:hAnsi="宋体" w:eastAsia="宋体" w:cs="宋体"/>
          <w:b/>
          <w:color w:val="auto"/>
          <w:sz w:val="24"/>
          <w:szCs w:val="20"/>
          <w:highlight w:val="none"/>
        </w:rPr>
        <w:t>、付款方式</w:t>
      </w:r>
      <w:bookmarkEnd w:id="60"/>
      <w:bookmarkEnd w:id="61"/>
      <w:bookmarkEnd w:id="62"/>
    </w:p>
    <w:p>
      <w:pPr>
        <w:keepNext w:val="0"/>
        <w:keepLines w:val="0"/>
        <w:pageBreakBefore w:val="0"/>
        <w:widowControl/>
        <w:kinsoku/>
        <w:wordWrap/>
        <w:overflowPunct/>
        <w:topLinePunct w:val="0"/>
        <w:bidi w:val="0"/>
        <w:spacing w:line="360" w:lineRule="auto"/>
        <w:ind w:firstLine="480" w:firstLineChars="200"/>
        <w:textAlignment w:val="auto"/>
        <w:rPr>
          <w:rFonts w:hint="eastAsia" w:ascii="新宋体" w:hAnsi="新宋体" w:eastAsia="新宋体" w:cs="新宋体"/>
          <w:color w:val="auto"/>
          <w:sz w:val="24"/>
          <w:szCs w:val="24"/>
          <w:highlight w:val="none"/>
        </w:rPr>
      </w:pPr>
      <w:bookmarkStart w:id="63" w:name="_Toc267320052"/>
      <w:bookmarkStart w:id="64" w:name="_Toc76462331"/>
      <w:bookmarkStart w:id="65" w:name="_Toc21122"/>
      <w:bookmarkStart w:id="66" w:name="_Toc344475124"/>
      <w:bookmarkStart w:id="67" w:name="_Toc106030886"/>
      <w:bookmarkStart w:id="68" w:name="_Toc825"/>
      <w:r>
        <w:rPr>
          <w:rFonts w:hint="eastAsia" w:ascii="宋体" w:hAnsi="宋体" w:eastAsia="宋体" w:cs="宋体"/>
          <w:color w:val="auto"/>
          <w:sz w:val="24"/>
          <w:szCs w:val="24"/>
          <w:highlight w:val="none"/>
          <w:lang w:val="en-US" w:eastAsia="zh-CN"/>
        </w:rPr>
        <w:t>工程款支付：</w:t>
      </w:r>
      <w:r>
        <w:rPr>
          <w:rFonts w:hint="eastAsia" w:ascii="新宋体" w:hAnsi="新宋体" w:eastAsia="新宋体" w:cs="新宋体"/>
          <w:color w:val="auto"/>
          <w:sz w:val="24"/>
          <w:szCs w:val="24"/>
          <w:highlight w:val="none"/>
        </w:rPr>
        <w:t>工程</w:t>
      </w:r>
      <w:r>
        <w:rPr>
          <w:rFonts w:hint="eastAsia" w:ascii="新宋体" w:hAnsi="新宋体" w:eastAsia="新宋体" w:cs="新宋体"/>
          <w:color w:val="auto"/>
          <w:sz w:val="24"/>
          <w:szCs w:val="24"/>
          <w:highlight w:val="none"/>
          <w:lang w:val="en-US" w:eastAsia="zh-CN"/>
        </w:rPr>
        <w:t>竣工</w:t>
      </w:r>
      <w:r>
        <w:rPr>
          <w:rFonts w:hint="eastAsia" w:ascii="新宋体" w:hAnsi="新宋体" w:eastAsia="新宋体" w:cs="新宋体"/>
          <w:color w:val="auto"/>
          <w:sz w:val="24"/>
          <w:szCs w:val="24"/>
          <w:highlight w:val="none"/>
        </w:rPr>
        <w:t>验收合格后支付至</w:t>
      </w:r>
      <w:r>
        <w:rPr>
          <w:rFonts w:hint="eastAsia" w:ascii="新宋体" w:hAnsi="新宋体" w:eastAsia="新宋体" w:cs="新宋体"/>
          <w:color w:val="auto"/>
          <w:sz w:val="24"/>
          <w:szCs w:val="24"/>
          <w:highlight w:val="none"/>
          <w:lang w:val="en-US" w:eastAsia="zh-CN"/>
        </w:rPr>
        <w:t>结算</w:t>
      </w:r>
      <w:r>
        <w:rPr>
          <w:rFonts w:hint="eastAsia" w:ascii="新宋体" w:hAnsi="新宋体" w:eastAsia="新宋体" w:cs="新宋体"/>
          <w:color w:val="auto"/>
          <w:sz w:val="24"/>
          <w:szCs w:val="24"/>
          <w:highlight w:val="none"/>
        </w:rPr>
        <w:t>金额的9</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%，剩余3%为本工程质量保证金，缺陷责任期(</w:t>
      </w:r>
      <w:r>
        <w:rPr>
          <w:rFonts w:hint="eastAsia" w:ascii="新宋体" w:hAnsi="新宋体" w:eastAsia="新宋体" w:cs="新宋体"/>
          <w:color w:val="auto"/>
          <w:sz w:val="24"/>
          <w:szCs w:val="24"/>
          <w:highlight w:val="none"/>
          <w:lang w:val="en-US" w:eastAsia="zh-CN"/>
        </w:rPr>
        <w:t>24</w:t>
      </w:r>
      <w:r>
        <w:rPr>
          <w:rFonts w:hint="eastAsia" w:ascii="新宋体" w:hAnsi="新宋体" w:eastAsia="新宋体" w:cs="新宋体"/>
          <w:color w:val="auto"/>
          <w:sz w:val="24"/>
          <w:szCs w:val="24"/>
          <w:highlight w:val="none"/>
        </w:rPr>
        <w:t>个月)届满，承包人完全履行保修责任后30日内无息支付。</w:t>
      </w:r>
    </w:p>
    <w:p>
      <w:pPr>
        <w:spacing w:line="360" w:lineRule="auto"/>
        <w:ind w:firstLine="480" w:firstLineChars="200"/>
        <w:rPr>
          <w:rFonts w:hint="eastAsia"/>
          <w:highlight w:val="none"/>
          <w:lang w:val="en-US" w:eastAsia="zh-CN"/>
        </w:rPr>
      </w:pPr>
      <w:r>
        <w:rPr>
          <w:rFonts w:hint="eastAsia" w:ascii="新宋体" w:hAnsi="新宋体" w:eastAsia="新宋体" w:cs="新宋体"/>
          <w:color w:val="auto"/>
          <w:sz w:val="24"/>
          <w:szCs w:val="24"/>
          <w:highlight w:val="none"/>
          <w:lang w:eastAsia="zh-CN"/>
        </w:rPr>
        <w:t>注：承包商</w:t>
      </w:r>
      <w:r>
        <w:rPr>
          <w:rFonts w:hint="eastAsia" w:ascii="新宋体" w:hAnsi="新宋体" w:eastAsia="新宋体" w:cs="新宋体"/>
          <w:color w:val="auto"/>
          <w:sz w:val="24"/>
          <w:szCs w:val="24"/>
          <w:highlight w:val="none"/>
        </w:rPr>
        <w:t>每次申请支付前需提供合法</w:t>
      </w:r>
      <w:bookmarkStart w:id="376" w:name="_GoBack"/>
      <w:bookmarkEnd w:id="376"/>
      <w:r>
        <w:rPr>
          <w:rFonts w:hint="eastAsia" w:ascii="新宋体" w:hAnsi="新宋体" w:eastAsia="新宋体" w:cs="新宋体"/>
          <w:color w:val="auto"/>
          <w:sz w:val="24"/>
          <w:szCs w:val="24"/>
          <w:highlight w:val="none"/>
          <w:lang w:eastAsia="zh-CN"/>
        </w:rPr>
        <w:t>有效</w:t>
      </w:r>
      <w:r>
        <w:rPr>
          <w:rFonts w:hint="eastAsia" w:ascii="新宋体" w:hAnsi="新宋体" w:eastAsia="新宋体" w:cs="新宋体"/>
          <w:color w:val="auto"/>
          <w:sz w:val="24"/>
          <w:szCs w:val="24"/>
          <w:highlight w:val="none"/>
        </w:rPr>
        <w:t>的等额增值税</w:t>
      </w:r>
      <w:r>
        <w:rPr>
          <w:rFonts w:hint="eastAsia" w:ascii="新宋体" w:hAnsi="新宋体" w:eastAsia="新宋体" w:cs="新宋体"/>
          <w:color w:val="auto"/>
          <w:sz w:val="24"/>
          <w:szCs w:val="24"/>
          <w:highlight w:val="none"/>
          <w:lang w:val="en-US" w:eastAsia="zh-CN"/>
        </w:rPr>
        <w:t>专用</w:t>
      </w:r>
      <w:r>
        <w:rPr>
          <w:rFonts w:hint="eastAsia" w:ascii="新宋体" w:hAnsi="新宋体" w:eastAsia="新宋体" w:cs="新宋体"/>
          <w:color w:val="auto"/>
          <w:sz w:val="24"/>
          <w:szCs w:val="24"/>
          <w:highlight w:val="none"/>
        </w:rPr>
        <w:t>发票</w:t>
      </w:r>
      <w:r>
        <w:rPr>
          <w:rFonts w:hint="eastAsia" w:ascii="新宋体" w:hAnsi="新宋体" w:eastAsia="新宋体" w:cs="新宋体"/>
          <w:color w:val="auto"/>
          <w:sz w:val="24"/>
          <w:szCs w:val="24"/>
          <w:highlight w:val="none"/>
          <w:lang w:eastAsia="zh-CN"/>
        </w:rPr>
        <w:t>。</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69" w:name="_Toc23885"/>
      <w:r>
        <w:rPr>
          <w:rFonts w:hint="eastAsia" w:ascii="宋体" w:hAnsi="宋体" w:eastAsia="宋体" w:cs="宋体"/>
          <w:color w:val="auto"/>
          <w:sz w:val="24"/>
          <w:szCs w:val="24"/>
          <w:highlight w:val="none"/>
        </w:rPr>
        <w:t>五、结算原则</w:t>
      </w:r>
      <w:bookmarkEnd w:id="69"/>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1、结算总价=中标单价*实际完成工程量±增减（变更）工程造价±合同约定的其他费用，最终结算金额以审计单位审定的金额为准（工程结算费用按发包人委托的审计机构审定的金额为准）。</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2、增减（变更）工程结算： </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（1）工程内容与已标价工程量清单中有相同的子项或类似子项，则按投标时的相同子项或类似子项的综合单价执行（类似子项及综合单价由发包审定）；</w:t>
      </w:r>
    </w:p>
    <w:p>
      <w:pPr>
        <w:spacing w:line="400" w:lineRule="exact"/>
        <w:ind w:firstLine="480" w:firstLineChars="200"/>
        <w:rPr>
          <w:rFonts w:hint="eastAsia"/>
          <w:lang w:val="en-US" w:eastAsia="zh-CN"/>
        </w:rPr>
      </w:pPr>
      <w:r>
        <w:rPr>
          <w:rFonts w:hint="eastAsia" w:ascii="宋体" w:hAnsi="宋体" w:cs="宋体"/>
          <w:color w:val="auto"/>
          <w:sz w:val="24"/>
          <w:szCs w:val="24"/>
          <w:highlight w:val="none"/>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价格</w:t>
      </w:r>
      <w:r>
        <w:rPr>
          <w:rFonts w:hint="eastAsia" w:ascii="宋体" w:hAnsi="宋体" w:cs="宋体"/>
          <w:color w:val="auto"/>
          <w:sz w:val="24"/>
          <w:szCs w:val="24"/>
          <w:highlight w:val="none"/>
          <w:lang w:val="zh-CN"/>
        </w:rPr>
        <w:t>按</w:t>
      </w:r>
      <w:r>
        <w:rPr>
          <w:rFonts w:hint="eastAsia" w:ascii="宋体" w:hAnsi="宋体" w:cs="宋体"/>
          <w:color w:val="auto"/>
          <w:sz w:val="24"/>
          <w:szCs w:val="24"/>
          <w:highlight w:val="none"/>
        </w:rPr>
        <w:t>《重庆工程造价信息》公布的</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rPr>
        <w:t>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季度重庆市</w:t>
      </w:r>
      <w:r>
        <w:rPr>
          <w:rFonts w:hint="eastAsia" w:ascii="宋体" w:hAnsi="宋体" w:cs="宋体"/>
          <w:color w:val="auto"/>
          <w:sz w:val="24"/>
          <w:szCs w:val="24"/>
          <w:highlight w:val="none"/>
          <w:lang w:val="en-US" w:eastAsia="zh-CN"/>
        </w:rPr>
        <w:t>大足</w:t>
      </w:r>
      <w:r>
        <w:rPr>
          <w:rFonts w:hint="eastAsia" w:ascii="宋体" w:hAnsi="宋体" w:cs="宋体"/>
          <w:color w:val="auto"/>
          <w:sz w:val="24"/>
          <w:szCs w:val="24"/>
          <w:highlight w:val="none"/>
        </w:rPr>
        <w:t>区人工费计算。材料费：</w:t>
      </w:r>
      <w:r>
        <w:rPr>
          <w:rFonts w:hint="eastAsia" w:ascii="宋体" w:hAnsi="宋体" w:cs="宋体"/>
          <w:color w:val="auto"/>
          <w:sz w:val="24"/>
          <w:szCs w:val="24"/>
          <w:highlight w:val="none"/>
          <w:lang w:val="en-US" w:eastAsia="zh-CN"/>
        </w:rPr>
        <w:t>按</w:t>
      </w:r>
      <w:r>
        <w:rPr>
          <w:rFonts w:hint="eastAsia" w:ascii="宋体" w:hAnsi="宋体" w:cs="宋体"/>
          <w:color w:val="auto"/>
          <w:sz w:val="24"/>
          <w:szCs w:val="24"/>
          <w:highlight w:val="none"/>
        </w:rPr>
        <w:t>《重庆工程造价信息》</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12月大足区</w:t>
      </w:r>
      <w:r>
        <w:rPr>
          <w:rFonts w:hint="eastAsia" w:ascii="宋体" w:hAnsi="宋体" w:cs="宋体"/>
          <w:color w:val="auto"/>
          <w:sz w:val="24"/>
          <w:szCs w:val="24"/>
          <w:highlight w:val="none"/>
        </w:rPr>
        <w:t>不含税信息价进行计价及调差，《重庆工程造价信息》没有的材料</w:t>
      </w:r>
      <w:r>
        <w:rPr>
          <w:rFonts w:hint="eastAsia" w:ascii="宋体" w:hAnsi="宋体" w:cs="宋体"/>
          <w:color w:val="auto"/>
          <w:sz w:val="24"/>
          <w:szCs w:val="24"/>
          <w:highlight w:val="none"/>
          <w:lang w:val="en-US" w:eastAsia="zh-CN"/>
        </w:rPr>
        <w:t>由采购人和承包供应商共同签证确认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材料价格为不含税价。下浮基数不含安全文明施工费、认质核价的材料费、规费、税金】。</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、知识产权</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注：（若涉及软件开发等服务类项目知识产权的，知识产权归采购人所有）</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bookmarkStart w:id="70" w:name="_Toc12797"/>
      <w:bookmarkStart w:id="71" w:name="_Toc267320053"/>
      <w:bookmarkStart w:id="72" w:name="_Toc495592651"/>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w:t>
      </w:r>
      <w:bookmarkEnd w:id="70"/>
      <w:bookmarkEnd w:id="71"/>
      <w:bookmarkEnd w:id="72"/>
      <w:r>
        <w:rPr>
          <w:rFonts w:hint="eastAsia" w:ascii="宋体" w:hAnsi="宋体" w:eastAsia="宋体" w:cs="宋体"/>
          <w:b/>
          <w:bCs/>
          <w:color w:val="auto"/>
          <w:sz w:val="24"/>
          <w:szCs w:val="24"/>
          <w:highlight w:val="none"/>
          <w:lang w:val="en-US" w:eastAsia="zh-CN"/>
        </w:rPr>
        <w:t>培训</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成交供应商负责在安装调试及使用期间，免费对采购人选派的维修人员进行技术培训，直至达到采购人的人员能正确使用、检修、维护保养及排除一般故障水平为止。</w:t>
      </w:r>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转包、分包</w:t>
      </w:r>
    </w:p>
    <w:p>
      <w:pPr>
        <w:widowControl/>
        <w:numPr>
          <w:ilvl w:val="0"/>
          <w:numId w:val="0"/>
        </w:numPr>
        <w:snapToGrid w:val="0"/>
        <w:spacing w:line="400" w:lineRule="exact"/>
        <w:ind w:firstLine="54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成交供应商未经采购人书面同意，不得将本工程项目转包、分包给第三方，如成交供应商将本工程项目转包、分包给第三方的，采购人有权解除合同，因此给采购人造成的损失应由成交供应商承担赔偿责任。</w:t>
      </w:r>
      <w:bookmarkEnd w:id="63"/>
      <w:bookmarkEnd w:id="64"/>
      <w:bookmarkEnd w:id="65"/>
      <w:bookmarkEnd w:id="66"/>
      <w:bookmarkEnd w:id="67"/>
      <w:bookmarkEnd w:id="68"/>
    </w:p>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w:t>
      </w:r>
      <w:bookmarkStart w:id="73" w:name="_Toc344475125"/>
      <w:r>
        <w:rPr>
          <w:rFonts w:hint="eastAsia" w:ascii="宋体" w:hAnsi="宋体" w:eastAsia="宋体" w:cs="宋体"/>
          <w:b/>
          <w:bCs/>
          <w:color w:val="auto"/>
          <w:sz w:val="24"/>
          <w:szCs w:val="24"/>
          <w:highlight w:val="none"/>
          <w:lang w:val="en-US" w:eastAsia="zh-CN"/>
        </w:rPr>
        <w:t>其他</w:t>
      </w:r>
    </w:p>
    <w:bookmarkEnd w:id="73"/>
    <w:p>
      <w:pPr>
        <w:pageBreakBefore w:val="0"/>
        <w:widowControl/>
        <w:numPr>
          <w:ilvl w:val="0"/>
          <w:numId w:val="0"/>
        </w:numPr>
        <w:kinsoku/>
        <w:wordWrap/>
        <w:overflowPunct/>
        <w:topLinePunct w:val="0"/>
        <w:bidi w:val="0"/>
        <w:snapToGrid w:val="0"/>
        <w:spacing w:line="400" w:lineRule="exact"/>
        <w:ind w:firstLine="54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其他未尽事宜由供需双方在采购合同中详细约定。</w:t>
      </w:r>
    </w:p>
    <w:p>
      <w:pPr>
        <w:snapToGrid w:val="0"/>
        <w:spacing w:line="400" w:lineRule="exact"/>
        <w:ind w:firstLine="540"/>
        <w:rPr>
          <w:rFonts w:hint="eastAsia" w:ascii="宋体" w:hAnsi="宋体" w:eastAsia="宋体" w:cs="宋体"/>
          <w:color w:val="auto"/>
          <w:sz w:val="24"/>
          <w:szCs w:val="24"/>
          <w:highlight w:val="none"/>
        </w:rPr>
      </w:pPr>
    </w:p>
    <w:p>
      <w:pPr>
        <w:pStyle w:val="4"/>
        <w:pageBreakBefore/>
        <w:numPr>
          <w:ilvl w:val="0"/>
          <w:numId w:val="4"/>
        </w:numPr>
        <w:spacing w:before="0" w:after="0" w:line="360" w:lineRule="auto"/>
        <w:jc w:val="center"/>
        <w:rPr>
          <w:rFonts w:hint="eastAsia" w:ascii="宋体" w:hAnsi="宋体" w:eastAsia="宋体" w:cs="宋体"/>
          <w:b w:val="0"/>
          <w:color w:val="auto"/>
          <w:sz w:val="36"/>
          <w:szCs w:val="30"/>
          <w:highlight w:val="none"/>
        </w:rPr>
      </w:pPr>
      <w:bookmarkStart w:id="74" w:name="_Toc106030892"/>
      <w:bookmarkStart w:id="75" w:name="_Toc102227313"/>
      <w:bookmarkStart w:id="76" w:name="_Toc76462337"/>
      <w:r>
        <w:rPr>
          <w:rFonts w:hint="eastAsia" w:ascii="宋体" w:hAnsi="宋体" w:eastAsia="宋体" w:cs="宋体"/>
          <w:b w:val="0"/>
          <w:color w:val="auto"/>
          <w:sz w:val="36"/>
          <w:szCs w:val="30"/>
          <w:highlight w:val="none"/>
        </w:rPr>
        <w:t>资格审查及符合性审查</w:t>
      </w:r>
      <w:r>
        <w:rPr>
          <w:rFonts w:hint="eastAsia" w:ascii="宋体" w:hAnsi="宋体" w:eastAsia="宋体" w:cs="宋体"/>
          <w:b w:val="0"/>
          <w:color w:val="auto"/>
          <w:sz w:val="36"/>
          <w:szCs w:val="30"/>
          <w:highlight w:val="none"/>
          <w:lang w:eastAsia="zh-CN"/>
        </w:rPr>
        <w:t>、评标方法、评标标准、无效响应和采购终止</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77" w:name="_Toc4071"/>
      <w:bookmarkStart w:id="78" w:name="_Toc14564"/>
      <w:bookmarkStart w:id="79" w:name="_Toc28903"/>
      <w:bookmarkStart w:id="80" w:name="_Toc28360"/>
      <w:bookmarkStart w:id="81" w:name="_Toc26309"/>
      <w:bookmarkStart w:id="82" w:name="_Toc1497"/>
      <w:bookmarkStart w:id="83" w:name="_Toc8983"/>
      <w:bookmarkStart w:id="84" w:name="_Toc12641"/>
      <w:bookmarkStart w:id="85" w:name="_Toc27081"/>
      <w:bookmarkStart w:id="86" w:name="_Toc20541"/>
      <w:bookmarkStart w:id="87" w:name="_Toc75793518"/>
      <w:bookmarkStart w:id="88" w:name="_Toc25971"/>
      <w:bookmarkStart w:id="89" w:name="_Toc29755"/>
      <w:bookmarkStart w:id="90" w:name="_Toc21859"/>
      <w:bookmarkStart w:id="91" w:name="_Toc2322"/>
      <w:bookmarkStart w:id="92" w:name="_Toc31107"/>
      <w:bookmarkStart w:id="93" w:name="_Toc7781"/>
      <w:bookmarkStart w:id="94" w:name="_Toc27866"/>
      <w:bookmarkStart w:id="95" w:name="_Toc27050"/>
      <w:bookmarkStart w:id="96" w:name="_Toc31139"/>
      <w:bookmarkStart w:id="97" w:name="_Toc20619"/>
      <w:bookmarkStart w:id="98" w:name="_Toc10603"/>
      <w:bookmarkStart w:id="99" w:name="_Toc89"/>
      <w:bookmarkStart w:id="100" w:name="_Toc6694"/>
      <w:bookmarkStart w:id="101" w:name="_Toc16699"/>
      <w:bookmarkStart w:id="102" w:name="_Toc10081"/>
      <w:bookmarkStart w:id="103" w:name="_Toc106030394"/>
      <w:bookmarkStart w:id="104" w:name="_Toc133"/>
      <w:bookmarkStart w:id="105" w:name="_Toc7433"/>
      <w:bookmarkStart w:id="106" w:name="_Toc15106"/>
      <w:bookmarkStart w:id="107" w:name="_Toc29359"/>
      <w:bookmarkStart w:id="108" w:name="_Toc20314"/>
      <w:bookmarkStart w:id="109" w:name="_Toc15323"/>
      <w:bookmarkStart w:id="110" w:name="_Toc28653"/>
      <w:bookmarkStart w:id="111" w:name="_Toc12216"/>
      <w:bookmarkStart w:id="112" w:name="_Toc20559"/>
      <w:bookmarkStart w:id="113" w:name="_Toc14727"/>
      <w:bookmarkStart w:id="114" w:name="_Toc18758"/>
      <w:bookmarkStart w:id="115" w:name="_Toc12993"/>
      <w:bookmarkStart w:id="116" w:name="_Toc13011"/>
      <w:bookmarkStart w:id="117" w:name="_Toc27956"/>
      <w:bookmarkStart w:id="118" w:name="_Toc12146"/>
      <w:bookmarkStart w:id="119" w:name="_Toc16151"/>
      <w:bookmarkStart w:id="120" w:name="_Toc31353"/>
      <w:bookmarkStart w:id="121" w:name="_Toc9436"/>
      <w:bookmarkStart w:id="122" w:name="_Toc982"/>
      <w:bookmarkStart w:id="123" w:name="_Toc30765"/>
      <w:bookmarkStart w:id="124" w:name="_Toc14200"/>
      <w:bookmarkStart w:id="125" w:name="_Toc17646"/>
      <w:bookmarkStart w:id="126" w:name="_Toc5714"/>
      <w:bookmarkStart w:id="127" w:name="_Toc20477"/>
      <w:bookmarkStart w:id="128" w:name="_Toc28552"/>
      <w:bookmarkStart w:id="129" w:name="_Toc11797"/>
      <w:bookmarkStart w:id="130" w:name="_Toc2476"/>
      <w:bookmarkStart w:id="131" w:name="_Toc26897"/>
      <w:bookmarkStart w:id="132" w:name="_Toc26246"/>
      <w:bookmarkStart w:id="133" w:name="_Toc20246"/>
      <w:bookmarkStart w:id="134" w:name="_Toc18167"/>
      <w:bookmarkStart w:id="135" w:name="_Toc22001"/>
      <w:bookmarkStart w:id="136" w:name="_Toc28769"/>
      <w:r>
        <w:rPr>
          <w:rFonts w:hint="eastAsia" w:ascii="宋体" w:hAnsi="宋体" w:eastAsia="宋体" w:cs="宋体"/>
          <w:color w:val="auto"/>
          <w:sz w:val="24"/>
          <w:szCs w:val="24"/>
          <w:highlight w:val="none"/>
          <w:lang w:val="en-US" w:eastAsia="zh-CN"/>
        </w:rPr>
        <w:t>一、资格审查</w:t>
      </w:r>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宋体" w:hAnsi="宋体" w:eastAsia="宋体" w:cs="宋体"/>
          <w:color w:val="auto"/>
          <w:sz w:val="24"/>
          <w:szCs w:val="24"/>
          <w:highlight w:val="none"/>
          <w:lang w:val="en-US" w:eastAsia="zh-CN"/>
        </w:rPr>
        <w:t>及符合性审查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对各供应商的资格条件、响应文件的有效性、完整性和响应程度进行审查。若未通过资格</w:t>
      </w:r>
      <w:r>
        <w:rPr>
          <w:rFonts w:hint="eastAsia" w:ascii="宋体" w:hAnsi="宋体" w:eastAsia="宋体" w:cs="宋体"/>
          <w:color w:val="auto"/>
          <w:sz w:val="24"/>
          <w:szCs w:val="24"/>
          <w:highlight w:val="none"/>
          <w:lang w:eastAsia="zh-CN"/>
        </w:rPr>
        <w:t>性</w:t>
      </w:r>
      <w:r>
        <w:rPr>
          <w:rFonts w:hint="eastAsia" w:ascii="宋体" w:hAnsi="宋体" w:eastAsia="宋体" w:cs="宋体"/>
          <w:color w:val="auto"/>
          <w:sz w:val="24"/>
          <w:szCs w:val="24"/>
          <w:highlight w:val="none"/>
        </w:rPr>
        <w:t>审查及符合性审查的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，不进入评审环节。</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（一）资格性审查。依据法律法规和竞争性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文件的规定，对响应文件中的资格证明进行审查，以确定供应商是否具备</w:t>
      </w:r>
      <w:r>
        <w:rPr>
          <w:rFonts w:hint="eastAsia" w:ascii="宋体" w:hAnsi="宋体" w:eastAsia="宋体" w:cs="宋体"/>
          <w:color w:val="auto"/>
          <w:sz w:val="24"/>
          <w:szCs w:val="24"/>
          <w:highlight w:val="none"/>
          <w:lang w:eastAsia="zh-CN"/>
        </w:rPr>
        <w:t>合格供应商</w:t>
      </w:r>
      <w:r>
        <w:rPr>
          <w:rFonts w:hint="eastAsia" w:ascii="宋体" w:hAnsi="宋体" w:eastAsia="宋体" w:cs="宋体"/>
          <w:color w:val="auto"/>
          <w:sz w:val="24"/>
          <w:szCs w:val="24"/>
          <w:highlight w:val="none"/>
        </w:rPr>
        <w:t>资格。资格性审查资料表如下：</w:t>
      </w:r>
    </w:p>
    <w:tbl>
      <w:tblPr>
        <w:tblStyle w:val="20"/>
        <w:tblpPr w:leftFromText="180" w:rightFromText="180" w:vertAnchor="text" w:horzAnchor="page" w:tblpX="1456" w:tblpY="25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94"/>
        <w:gridCol w:w="2454"/>
        <w:gridCol w:w="5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99"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148" w:type="dxa"/>
            <w:gridSpan w:val="2"/>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5407"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6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供应商应符合的基本资格条件</w:t>
            </w: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54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提供“基本资格条件承诺函”（格式详见第七篇）</w:t>
            </w:r>
            <w:r>
              <w:rPr>
                <w:rFonts w:hint="eastAsia" w:asciiTheme="minorEastAsia" w:hAnsiTheme="minorEastAsia" w:eastAsiaTheme="minorEastAsia" w:cstheme="minor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4.有依法缴纳税收和社会保障金的良好记录</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5.参加政府采购活动前三年内，在经营活动中没有重大违法记录（注</w:t>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EQ \o\ac(○,1)</w:instrTex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w:t>
            </w:r>
          </w:p>
        </w:tc>
        <w:tc>
          <w:tcPr>
            <w:tcW w:w="54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6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245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二</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本项目的特定资格要求</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w:t>
            </w:r>
            <w:r>
              <w:rPr>
                <w:rFonts w:hint="eastAsia" w:asciiTheme="minorEastAsia" w:hAnsiTheme="minorEastAsia" w:eastAsiaTheme="minorEastAsia" w:cstheme="minorEastAsia"/>
                <w:sz w:val="21"/>
                <w:szCs w:val="21"/>
                <w:highlight w:val="none"/>
                <w:lang w:eastAsia="zh-CN"/>
              </w:rPr>
              <w:t>供应商资格条件（二）特定资格条件</w:t>
            </w:r>
            <w:r>
              <w:rPr>
                <w:rFonts w:hint="eastAsia" w:asciiTheme="minorEastAsia" w:hAnsiTheme="minorEastAsia" w:eastAsiaTheme="minorEastAsia" w:cstheme="minorEastAsia"/>
                <w:sz w:val="21"/>
                <w:szCs w:val="21"/>
                <w:highlight w:val="none"/>
              </w:rPr>
              <w:t>”的要求提交（如果有）。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9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三</w:t>
            </w:r>
            <w:r>
              <w:rPr>
                <w:rFonts w:hint="eastAsia" w:asciiTheme="minorEastAsia" w:hAnsiTheme="minorEastAsia" w:eastAsiaTheme="minorEastAsia" w:cstheme="minorEastAsia"/>
                <w:sz w:val="21"/>
                <w:szCs w:val="21"/>
                <w:highlight w:val="none"/>
              </w:rPr>
              <w:t>）</w:t>
            </w:r>
          </w:p>
        </w:tc>
        <w:tc>
          <w:tcPr>
            <w:tcW w:w="3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c>
          <w:tcPr>
            <w:tcW w:w="540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按照</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要求足额交纳所投包的</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保证金。</w:t>
            </w:r>
          </w:p>
        </w:tc>
      </w:tr>
    </w:tbl>
    <w:p>
      <w:pPr>
        <w:snapToGrid w:val="0"/>
        <w:spacing w:line="400" w:lineRule="exact"/>
        <w:rPr>
          <w:rFonts w:hint="eastAsia" w:ascii="宋体" w:hAnsi="宋体" w:eastAsia="宋体" w:cs="宋体"/>
          <w:color w:val="auto"/>
          <w:sz w:val="24"/>
          <w:szCs w:val="24"/>
          <w:highlight w:val="none"/>
          <w:lang w:val="en-US" w:eastAsia="zh-CN"/>
        </w:rPr>
      </w:pP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递交截止日期前通过“信用中国”网站（www.creditchina.gov.cn）、"中国政府采购网"（www.ccgp.gov.cn）等渠道查询信用记录。</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以联合体形式参与比选的，联合比选协议中应确定主办方（主体），代表联合体进行比选和澄清。联合体各方均应满足供应商资格要求（详见“第一篇”）。</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（二）符合性审查</w:t>
      </w:r>
    </w:p>
    <w:tbl>
      <w:tblPr>
        <w:tblStyle w:val="20"/>
        <w:tblpPr w:leftFromText="180" w:rightFromText="180" w:vertAnchor="text" w:horzAnchor="page" w:tblpX="1435" w:tblpY="763"/>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50"/>
        <w:gridCol w:w="1550"/>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69"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2500" w:type="dxa"/>
            <w:gridSpan w:val="2"/>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6285"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签署或盖章</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eastAsia="zh-CN"/>
              </w:rPr>
              <w:t>响应文件</w:t>
            </w:r>
            <w:r>
              <w:rPr>
                <w:rFonts w:hint="eastAsia" w:asciiTheme="minorEastAsia" w:hAnsiTheme="minorEastAsia" w:eastAsiaTheme="minorEastAsia" w:cstheme="minorEastAsia"/>
                <w:sz w:val="21"/>
                <w:szCs w:val="21"/>
                <w:highlight w:val="none"/>
              </w:rPr>
              <w:t>上法定代表人（或其授权代表）或自然人（</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法定代表人身份证明及授权委托书有效，符合</w:t>
            </w:r>
            <w:r>
              <w:rPr>
                <w:rFonts w:hint="eastAsia" w:asciiTheme="minorEastAsia" w:hAnsiTheme="minorEastAsia" w:eastAsiaTheme="minorEastAsia" w:cstheme="minorEastAsia"/>
                <w:sz w:val="21"/>
                <w:szCs w:val="21"/>
                <w:highlight w:val="none"/>
                <w:lang w:eastAsia="zh-CN"/>
              </w:rPr>
              <w:t>竞争性比选文件</w:t>
            </w:r>
            <w:r>
              <w:rPr>
                <w:rFonts w:hint="eastAsia" w:asciiTheme="minorEastAsia" w:hAnsiTheme="minorEastAsia" w:eastAsiaTheme="minorEastAsia" w:cstheme="minorEastAsia"/>
                <w:sz w:val="21"/>
                <w:szCs w:val="21"/>
                <w:highlight w:val="none"/>
              </w:rPr>
              <w:t>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响应方案</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每个包只能有一个响应方案。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只能在预算金额和最高限价内报价，</w:t>
            </w:r>
            <w:r>
              <w:rPr>
                <w:rFonts w:hint="eastAsia" w:asciiTheme="minorEastAsia" w:hAnsiTheme="minorEastAsia" w:eastAsiaTheme="minorEastAsia" w:cstheme="minorEastAsia"/>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9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响应文件份数</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3</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响应程度审查</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lang w:eastAsia="zh-CN"/>
              </w:rPr>
              <w:t>响应文件内容</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Theme="minorEastAsia" w:hAnsiTheme="minorEastAsia" w:eastAsiaTheme="minorEastAsia" w:cstheme="minorEastAsia"/>
                <w:kern w:val="2"/>
                <w:sz w:val="21"/>
                <w:szCs w:val="21"/>
                <w:highlight w:val="none"/>
                <w:lang w:val="zh-CN" w:eastAsia="zh-CN" w:bidi="ar-SA"/>
              </w:rPr>
            </w:pPr>
            <w:r>
              <w:rPr>
                <w:rFonts w:hint="eastAsia" w:asciiTheme="minorEastAsia" w:hAnsiTheme="minorEastAsia" w:eastAsiaTheme="minorEastAsia" w:cstheme="minorEastAsia"/>
                <w:kern w:val="0"/>
                <w:sz w:val="21"/>
                <w:szCs w:val="21"/>
                <w:highlight w:val="none"/>
                <w:lang w:val="en-US" w:eastAsia="zh-CN" w:bidi="ar-SA"/>
              </w:rPr>
              <w:t>对竞争性比选文件第二篇、第三篇内容进行实质性响应。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sz w:val="21"/>
                <w:szCs w:val="21"/>
                <w:highlight w:val="none"/>
              </w:rPr>
            </w:pP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rPr>
              <w:t>有效期</w:t>
            </w:r>
          </w:p>
        </w:tc>
        <w:tc>
          <w:tcPr>
            <w:tcW w:w="62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评审委员会应当对符合资格的供应商的响应文件进行符合性审查，以确定其是否满足竞争性比选文件的实质性要求。符合性审查资料表如下：</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37" w:name="_Toc6375"/>
      <w:bookmarkStart w:id="138" w:name="_Toc8072"/>
      <w:bookmarkStart w:id="139" w:name="_Toc26647"/>
      <w:bookmarkStart w:id="140" w:name="_Toc7580"/>
      <w:bookmarkStart w:id="141" w:name="_Toc16752"/>
      <w:bookmarkStart w:id="142" w:name="_Toc10852"/>
      <w:bookmarkStart w:id="143" w:name="_Toc18068"/>
      <w:bookmarkStart w:id="144" w:name="_Toc19905"/>
      <w:bookmarkStart w:id="145" w:name="_Toc29568"/>
      <w:bookmarkStart w:id="146" w:name="_Toc6519"/>
      <w:bookmarkStart w:id="147" w:name="_Toc4801"/>
      <w:bookmarkStart w:id="148" w:name="_Toc20910"/>
      <w:bookmarkStart w:id="149" w:name="_Toc26276"/>
      <w:bookmarkStart w:id="150" w:name="_Toc12741"/>
      <w:bookmarkStart w:id="151" w:name="_Toc2171"/>
      <w:bookmarkStart w:id="152" w:name="_Toc22624"/>
      <w:bookmarkStart w:id="153" w:name="_Toc30416"/>
      <w:bookmarkStart w:id="154" w:name="_Toc22996"/>
      <w:bookmarkStart w:id="155" w:name="_Toc1088"/>
      <w:bookmarkStart w:id="156" w:name="_Toc11883"/>
      <w:bookmarkStart w:id="157" w:name="_Toc31190"/>
      <w:bookmarkStart w:id="158" w:name="_Toc28209"/>
      <w:bookmarkStart w:id="159" w:name="_Toc24383"/>
      <w:bookmarkStart w:id="160" w:name="_Toc23217"/>
      <w:bookmarkStart w:id="161" w:name="_Toc31878"/>
      <w:bookmarkStart w:id="162" w:name="_Toc9245"/>
      <w:bookmarkStart w:id="163" w:name="_Toc19089"/>
      <w:bookmarkStart w:id="164" w:name="_Toc4317"/>
      <w:bookmarkStart w:id="165" w:name="_Toc947"/>
      <w:bookmarkStart w:id="166" w:name="_Toc10106"/>
      <w:bookmarkStart w:id="167" w:name="_Toc7788"/>
      <w:bookmarkStart w:id="168" w:name="_Toc5778"/>
      <w:bookmarkStart w:id="169" w:name="_Toc25012"/>
      <w:bookmarkStart w:id="170" w:name="_Toc12919"/>
      <w:bookmarkStart w:id="171" w:name="_Toc31167"/>
      <w:bookmarkStart w:id="172" w:name="_Toc9942"/>
      <w:bookmarkStart w:id="173" w:name="_Toc7160"/>
      <w:bookmarkStart w:id="174" w:name="_Toc10700"/>
      <w:bookmarkStart w:id="175" w:name="_Toc32150"/>
      <w:bookmarkStart w:id="176" w:name="_Toc21624"/>
      <w:bookmarkStart w:id="177" w:name="_Toc4079"/>
      <w:bookmarkStart w:id="178" w:name="_Toc13410"/>
      <w:bookmarkStart w:id="179" w:name="_Toc23806"/>
      <w:bookmarkStart w:id="180" w:name="_Toc1548"/>
      <w:bookmarkStart w:id="181" w:name="_Toc13060"/>
      <w:r>
        <w:rPr>
          <w:rFonts w:hint="eastAsia" w:ascii="宋体" w:hAnsi="宋体" w:eastAsia="宋体" w:cs="宋体"/>
          <w:color w:val="auto"/>
          <w:sz w:val="24"/>
          <w:szCs w:val="24"/>
          <w:highlight w:val="none"/>
          <w:lang w:val="en-US" w:eastAsia="zh-CN"/>
        </w:rPr>
        <w:t>二、评标方法</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本项目采用综合评分法进行评标。</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是指响应文件满足竞争性比选文件全部实质性要求且按照评审因素的量化指标评审得分最高的供应商为成交候选人的评标方法。供应商总得分为价格、商务、技术（质量）等评定因素分别按照相应权重值计算分项得分后相加，满分为100分。</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澄清有关问题。对响应文件中含义不明确、同类问题表述不一致或者有明显文字和计算错误的内容，评审委员会可以书面形式（应当由评审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响应报价由低到高的顺序排列推荐。评审得分且响应报价相同的，按照技术（质量）指标优劣顺序排列推荐。以上都相同的，按商务条款的优劣顺序排列推荐。（注：技术（质量）部分得分为0分的供应商将失去成为成交供应商候选人的资格）</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bookmarkStart w:id="182" w:name="_Toc11630"/>
      <w:bookmarkStart w:id="183" w:name="_Toc23783"/>
      <w:bookmarkStart w:id="184" w:name="_Toc27662"/>
      <w:bookmarkStart w:id="185" w:name="_Toc10207"/>
      <w:bookmarkStart w:id="186" w:name="_Toc12787"/>
      <w:bookmarkStart w:id="187" w:name="_Toc10260"/>
      <w:bookmarkStart w:id="188" w:name="_Toc28941"/>
      <w:bookmarkStart w:id="189" w:name="_Toc11288"/>
      <w:bookmarkStart w:id="190" w:name="_Toc4429"/>
      <w:bookmarkStart w:id="191" w:name="_Toc16899"/>
      <w:bookmarkStart w:id="192" w:name="_Toc12726"/>
      <w:bookmarkStart w:id="193" w:name="_Toc10886"/>
      <w:bookmarkStart w:id="194" w:name="_Toc473"/>
      <w:bookmarkStart w:id="195" w:name="_Toc13516"/>
      <w:bookmarkStart w:id="196" w:name="_Toc10397"/>
      <w:bookmarkStart w:id="197" w:name="_Toc20622"/>
      <w:bookmarkStart w:id="198" w:name="_Toc32416"/>
      <w:bookmarkStart w:id="199" w:name="_Toc1307"/>
      <w:bookmarkStart w:id="200" w:name="_Toc16486"/>
      <w:bookmarkStart w:id="201" w:name="_Toc9435"/>
      <w:bookmarkStart w:id="202" w:name="_Toc28992"/>
      <w:bookmarkStart w:id="203" w:name="_Toc4304"/>
      <w:bookmarkStart w:id="204" w:name="_Toc13754"/>
      <w:bookmarkStart w:id="205" w:name="_Toc22537"/>
      <w:bookmarkStart w:id="206" w:name="_Toc7083"/>
      <w:bookmarkStart w:id="207" w:name="_Toc2991"/>
      <w:bookmarkStart w:id="208" w:name="_Toc15896"/>
      <w:bookmarkStart w:id="209" w:name="_Toc15252"/>
      <w:bookmarkStart w:id="210" w:name="_Toc22636"/>
      <w:bookmarkStart w:id="211" w:name="_Toc5562"/>
      <w:bookmarkStart w:id="212" w:name="_Toc1480"/>
      <w:bookmarkStart w:id="213" w:name="_Toc3413"/>
      <w:bookmarkStart w:id="214" w:name="_Toc21452"/>
      <w:bookmarkStart w:id="215" w:name="_Toc24344"/>
      <w:bookmarkStart w:id="216" w:name="_Toc23613"/>
      <w:bookmarkStart w:id="217" w:name="_Toc26832"/>
      <w:bookmarkStart w:id="218" w:name="_Toc25316"/>
      <w:bookmarkStart w:id="219" w:name="_Toc10980"/>
      <w:bookmarkStart w:id="220" w:name="_Toc13975"/>
      <w:bookmarkStart w:id="221" w:name="_Toc3113"/>
      <w:bookmarkStart w:id="222" w:name="_Toc21864"/>
      <w:bookmarkStart w:id="223" w:name="_Toc413"/>
      <w:bookmarkStart w:id="224" w:name="_Toc6071"/>
      <w:bookmarkStart w:id="225" w:name="_Toc10024"/>
      <w:bookmarkStart w:id="226" w:name="_Toc31680"/>
      <w:r>
        <w:rPr>
          <w:rFonts w:hint="eastAsia" w:ascii="宋体" w:hAnsi="宋体" w:eastAsia="宋体" w:cs="宋体"/>
          <w:color w:val="auto"/>
          <w:sz w:val="24"/>
          <w:szCs w:val="24"/>
          <w:highlight w:val="none"/>
          <w:lang w:val="en-US" w:eastAsia="zh-CN"/>
        </w:rPr>
        <w:t>三、评标标准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Style w:val="2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90"/>
        <w:gridCol w:w="765"/>
        <w:gridCol w:w="489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7"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及权重</w:t>
            </w:r>
          </w:p>
        </w:tc>
        <w:tc>
          <w:tcPr>
            <w:tcW w:w="765"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4890"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1572" w:type="dxa"/>
            <w:noWrap w:val="0"/>
            <w:vAlign w:val="center"/>
          </w:tcPr>
          <w:p>
            <w:pPr>
              <w:pageBreakBefore w:val="0"/>
              <w:widowControl w:val="0"/>
              <w:kinsoku/>
              <w:topLinePunct w:val="0"/>
              <w:bidi w:val="0"/>
              <w:spacing w:before="0" w:beforeLines="0" w:beforeAutospacing="0" w:after="0" w:afterLines="0" w:afterAutospacing="0" w:line="240" w:lineRule="auto"/>
              <w:ind w:left="0" w:leftChars="0" w:firstLine="0" w:firstLineChars="0"/>
              <w:jc w:val="center"/>
              <w:rPr>
                <w:rFonts w:hint="eastAsia" w:asciiTheme="minorEastAsia" w:hAnsiTheme="minorEastAsia" w:eastAsiaTheme="minorEastAsia" w:cstheme="minorEastAsia"/>
                <w:b/>
                <w:kern w:val="2"/>
                <w:sz w:val="21"/>
                <w:szCs w:val="21"/>
                <w:highlight w:val="none"/>
                <w:lang w:val="en-US" w:eastAsia="zh-CN" w:bidi="ar-SA"/>
              </w:rPr>
            </w:pPr>
            <w:r>
              <w:rPr>
                <w:rFonts w:hint="eastAsia" w:asciiTheme="minorEastAsia" w:hAnsiTheme="minorEastAsia" w:eastAsiaTheme="minorEastAsia" w:cstheme="minorEastAsia"/>
                <w:b/>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67"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290"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响应报价</w:t>
            </w:r>
          </w:p>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w:t>
            </w:r>
          </w:p>
        </w:tc>
        <w:tc>
          <w:tcPr>
            <w:tcW w:w="765" w:type="dxa"/>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有效的</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中的最低价为评标基准价，其价格分为满分。其他</w:t>
            </w: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的价格分统一按照下列公式计算：</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得分＝（评标基准价/</w:t>
            </w:r>
            <w:r>
              <w:rPr>
                <w:rFonts w:hint="eastAsia" w:asciiTheme="minorEastAsia" w:hAnsiTheme="minorEastAsia" w:eastAsiaTheme="minorEastAsia" w:cstheme="minorEastAsia"/>
                <w:sz w:val="21"/>
                <w:szCs w:val="21"/>
                <w:highlight w:val="none"/>
                <w:lang w:eastAsia="zh-CN"/>
              </w:rPr>
              <w:t>响应报价</w:t>
            </w:r>
            <w:r>
              <w:rPr>
                <w:rFonts w:hint="eastAsia" w:asciiTheme="minorEastAsia" w:hAnsiTheme="minorEastAsia" w:eastAsiaTheme="minorEastAsia" w:cstheme="minorEastAsia"/>
                <w:sz w:val="21"/>
                <w:szCs w:val="21"/>
                <w:highlight w:val="none"/>
              </w:rPr>
              <w:t>）×价格权重×100。</w:t>
            </w:r>
          </w:p>
        </w:tc>
        <w:tc>
          <w:tcPr>
            <w:tcW w:w="1572" w:type="dxa"/>
            <w:noWrap w:val="0"/>
            <w:vAlign w:val="center"/>
          </w:tcPr>
          <w:p>
            <w:pPr>
              <w:pageBreakBefore w:val="0"/>
              <w:widowControl w:val="0"/>
              <w:kinsoku/>
              <w:topLinePunct w:val="0"/>
              <w:bidi w:val="0"/>
              <w:spacing w:line="240" w:lineRule="auto"/>
              <w:ind w:left="-38" w:firstLine="0" w:firstLineChars="0"/>
              <w:jc w:val="both"/>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67" w:type="dxa"/>
            <w:vMerge w:val="restart"/>
            <w:noWrap w:val="0"/>
            <w:vAlign w:val="center"/>
          </w:tcPr>
          <w:p>
            <w:pPr>
              <w:pageBreakBefore w:val="0"/>
              <w:widowControl w:val="0"/>
              <w:kinsoku/>
              <w:topLinePunct w:val="0"/>
              <w:bidi w:val="0"/>
              <w:spacing w:line="240" w:lineRule="auto"/>
              <w:ind w:firstLine="28"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290" w:type="dxa"/>
            <w:vMerge w:val="restart"/>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技术部分（</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w:t>
            </w:r>
          </w:p>
        </w:tc>
        <w:tc>
          <w:tcPr>
            <w:tcW w:w="765" w:type="dxa"/>
            <w:vMerge w:val="restart"/>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1.施工方案（20分）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根据本项目的实际情况，提供施工方案，包含但不限于施工方法、施工配置情况（人员、设备）、施工技术措施等。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施工方案详实、具体、可行为优得20分；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施工方案较详实、具体、可行为良得10分；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施工方案不够详实、具体，但具有一定可行性为一般得5分；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供应商提供的施工方案不具备可操作性或未提供得0分。</w:t>
            </w:r>
          </w:p>
        </w:tc>
        <w:tc>
          <w:tcPr>
            <w:tcW w:w="1572" w:type="dxa"/>
            <w:vMerge w:val="restart"/>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根据</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lang w:val="en-US" w:eastAsia="zh-CN"/>
              </w:rPr>
              <w:t>服务方案</w:t>
            </w:r>
            <w:r>
              <w:rPr>
                <w:rFonts w:hint="eastAsia" w:asciiTheme="minorEastAsia" w:hAnsiTheme="minorEastAsia" w:eastAsiaTheme="minorEastAsia" w:cstheme="minorEastAsia"/>
                <w:color w:val="auto"/>
                <w:sz w:val="21"/>
                <w:szCs w:val="21"/>
                <w:highlight w:val="none"/>
              </w:rPr>
              <w:t>进行独立评审打分。</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的得分取所有</w:t>
            </w:r>
            <w:r>
              <w:rPr>
                <w:rFonts w:hint="eastAsia" w:asciiTheme="minorEastAsia" w:hAnsiTheme="minorEastAsia" w:eastAsiaTheme="minorEastAsia" w:cstheme="minorEastAsia"/>
                <w:color w:val="auto"/>
                <w:sz w:val="21"/>
                <w:szCs w:val="21"/>
                <w:highlight w:val="none"/>
                <w:lang w:val="en-US" w:eastAsia="zh-CN"/>
              </w:rPr>
              <w:t>评审委员会</w:t>
            </w:r>
            <w:r>
              <w:rPr>
                <w:rFonts w:hint="eastAsia" w:asciiTheme="minorEastAsia" w:hAnsiTheme="minorEastAsia" w:eastAsiaTheme="minorEastAsia" w:cstheme="minorEastAsia"/>
                <w:color w:val="auto"/>
                <w:sz w:val="21"/>
                <w:szCs w:val="21"/>
                <w:highlight w:val="none"/>
              </w:rPr>
              <w:t>成员打分的算术平均值。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2.质量保证措施（10分）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供应商提供的质量保证措施是否健全有效，硬性措施是否切实可行。保证措施是否具有针对性。</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质量保证措施详实、具体、可行为优得10分；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质量保证措施较详实、具体、可行为良得5分；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质量保证措施不够详实、具体，但具有一定可行性为一般得3分；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供应商提供的质量保证措施不具备可行性、简单马虎或未提供得0分。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3.安全管理体系（20分）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供应商提供的安全管理体系是否健全有效，施工安全专项方案及安全管理保证措施是否具有针对性，文明施工措施是否得当等。</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安全管理体系详实、具体、可行为优得20分；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安全管理体系较详实、具体、可行为良得10分；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安全管理体系不够详实、具体，但具有一定可行性为一般得5分；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供应商提供的安全管理体系不具备可行性、简单马虎或未提供得0分。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7"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1290"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765"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4.进度计划（10分）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根据本项目的实际情况，提供施工进度计划安排，进度计划安排需满足项目进度要求，实现进度计划安排的保证措施可行，在确保质量、提高工效等方面能发挥作用。</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1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进度计划安排合理，在确保质量、提高工效等方面能发挥很好作用的为优得10分；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2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②</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进度计划安排较合理，在确保质量、提高工效等方面能发挥作用的为良得5分；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3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③</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进度计划安排不够合理，但在确保质量、提高工效等方面能发挥一些作用的为一般得3分；</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fldChar w:fldCharType="begin"/>
            </w:r>
            <w:r>
              <w:rPr>
                <w:rFonts w:hint="eastAsia" w:asciiTheme="minorEastAsia" w:hAnsiTheme="minorEastAsia" w:eastAsiaTheme="minorEastAsia" w:cstheme="minorEastAsia"/>
                <w:b w:val="0"/>
                <w:bCs w:val="0"/>
                <w:color w:val="auto"/>
                <w:sz w:val="21"/>
                <w:szCs w:val="21"/>
                <w:highlight w:val="none"/>
                <w:lang w:val="en-US" w:eastAsia="zh-CN"/>
              </w:rPr>
              <w:instrText xml:space="preserve"> = 4 \* GB3 \* MERGEFORMAT </w:instrText>
            </w:r>
            <w:r>
              <w:rPr>
                <w:rFonts w:hint="eastAsia" w:asciiTheme="minorEastAsia" w:hAnsiTheme="minorEastAsia" w:eastAsiaTheme="minorEastAsia" w:cstheme="minorEastAsia"/>
                <w:b w:val="0"/>
                <w:bCs w:val="0"/>
                <w:color w:val="auto"/>
                <w:sz w:val="21"/>
                <w:szCs w:val="21"/>
                <w:highlight w:val="none"/>
                <w:lang w:val="en-US" w:eastAsia="zh-CN"/>
              </w:rPr>
              <w:fldChar w:fldCharType="separate"/>
            </w:r>
            <w:r>
              <w:rPr>
                <w:rFonts w:hint="eastAsia" w:asciiTheme="minorEastAsia" w:hAnsiTheme="minorEastAsia" w:eastAsiaTheme="minorEastAsia" w:cstheme="minorEastAsia"/>
                <w:b w:val="0"/>
                <w:bCs w:val="0"/>
                <w:color w:val="auto"/>
                <w:sz w:val="21"/>
                <w:szCs w:val="21"/>
                <w:highlight w:val="none"/>
                <w:lang w:val="en-US" w:eastAsia="zh-CN"/>
              </w:rPr>
              <w:t>④</w:t>
            </w:r>
            <w:r>
              <w:rPr>
                <w:rFonts w:hint="eastAsia" w:asciiTheme="minorEastAsia" w:hAnsiTheme="minorEastAsia" w:eastAsiaTheme="minorEastAsia" w:cstheme="minorEastAsia"/>
                <w:b w:val="0"/>
                <w:bCs w:val="0"/>
                <w:color w:val="auto"/>
                <w:sz w:val="21"/>
                <w:szCs w:val="21"/>
                <w:highlight w:val="none"/>
                <w:lang w:val="en-US" w:eastAsia="zh-CN"/>
              </w:rPr>
              <w:fldChar w:fldCharType="end"/>
            </w:r>
            <w:r>
              <w:rPr>
                <w:rFonts w:hint="eastAsia" w:asciiTheme="minorEastAsia" w:hAnsiTheme="minorEastAsia" w:eastAsiaTheme="minorEastAsia" w:cstheme="minorEastAsia"/>
                <w:b w:val="0"/>
                <w:bCs w:val="0"/>
                <w:color w:val="auto"/>
                <w:sz w:val="21"/>
                <w:szCs w:val="21"/>
                <w:highlight w:val="none"/>
                <w:lang w:val="en-US" w:eastAsia="zh-CN"/>
              </w:rPr>
              <w:t>供应商提供的进度计划安排不合理、不具备可操作性或未提供得0分。</w:t>
            </w:r>
          </w:p>
        </w:tc>
        <w:tc>
          <w:tcPr>
            <w:tcW w:w="1572" w:type="dxa"/>
            <w:vMerge w:val="continue"/>
            <w:noWrap w:val="0"/>
            <w:vAlign w:val="center"/>
          </w:tcPr>
          <w:p>
            <w:pPr>
              <w:pageBreakBefore w:val="0"/>
              <w:widowControl w:val="0"/>
              <w:kinsoku/>
              <w:topLinePunct w:val="0"/>
              <w:bidi w:val="0"/>
              <w:spacing w:line="276" w:lineRule="auto"/>
              <w:ind w:firstLine="0" w:firstLineChars="0"/>
              <w:jc w:val="both"/>
              <w:rPr>
                <w:rFonts w:hint="eastAsia" w:asciiTheme="minorEastAsia" w:hAnsiTheme="minorEastAsia" w:eastAsiaTheme="minorEastAsia" w:cstheme="minorEastAsia"/>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67"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3</w:t>
            </w:r>
          </w:p>
        </w:tc>
        <w:tc>
          <w:tcPr>
            <w:tcW w:w="1290"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商务部分</w:t>
            </w:r>
          </w:p>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765" w:type="dxa"/>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10</w:t>
            </w:r>
          </w:p>
        </w:tc>
        <w:tc>
          <w:tcPr>
            <w:tcW w:w="48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inorEastAsia" w:hAnsiTheme="minorEastAsia" w:eastAsiaTheme="minorEastAsia" w:cstheme="minorEastAsia"/>
                <w:b/>
                <w:bCs/>
                <w:color w:val="000000"/>
                <w:sz w:val="21"/>
                <w:szCs w:val="21"/>
                <w:highlight w:val="none"/>
                <w:lang w:val="en-US" w:eastAsia="zh-CN"/>
              </w:rPr>
            </w:pPr>
            <w:r>
              <w:rPr>
                <w:rFonts w:hint="eastAsia" w:asciiTheme="minorEastAsia" w:hAnsiTheme="minorEastAsia" w:eastAsiaTheme="minorEastAsia" w:cstheme="minorEastAsia"/>
                <w:b/>
                <w:bCs/>
                <w:color w:val="000000"/>
                <w:sz w:val="21"/>
                <w:szCs w:val="21"/>
                <w:highlight w:val="none"/>
                <w:lang w:val="en-US" w:eastAsia="zh-CN"/>
              </w:rPr>
              <w:t>项目业绩</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2022年至今，供应商承接过类似工程的，提供一份业绩合同得5分，最多得10分。</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Theme="minorEastAsia" w:hAnsiTheme="minorEastAsia" w:eastAsiaTheme="minorEastAsia" w:cstheme="minorEastAsia"/>
                <w:b w:val="0"/>
                <w:bCs w:val="0"/>
                <w:color w:val="00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供应商提供合同复印件并加盖供应商单位公章。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84" w:type="dxa"/>
            <w:gridSpan w:val="5"/>
            <w:noWrap w:val="0"/>
            <w:vAlign w:val="center"/>
          </w:tcPr>
          <w:p>
            <w:pPr>
              <w:pageBreakBefore w:val="0"/>
              <w:widowControl w:val="0"/>
              <w:kinsoku/>
              <w:topLinePunct w:val="0"/>
              <w:bidi w:val="0"/>
              <w:spacing w:line="240" w:lineRule="auto"/>
              <w:ind w:firstLine="0" w:firstLineChars="0"/>
              <w:jc w:val="center"/>
              <w:rPr>
                <w:rFonts w:hint="eastAsia" w:asciiTheme="minorEastAsia" w:hAnsiTheme="minorEastAsia" w:eastAsiaTheme="minorEastAsia" w:cstheme="minorEastAsia"/>
                <w:b w:val="0"/>
                <w:bCs w:val="0"/>
                <w:color w:val="FF0000"/>
                <w:kern w:val="2"/>
                <w:sz w:val="21"/>
                <w:szCs w:val="21"/>
                <w:highlight w:val="none"/>
                <w:lang w:val="en-US" w:eastAsia="zh-CN" w:bidi="ar-SA"/>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供应商得分=响应报价得分+技术部分得分+商务部分得分</w:t>
            </w:r>
          </w:p>
        </w:tc>
      </w:tr>
    </w:tbl>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7" w:name="_Toc16871"/>
      <w:bookmarkStart w:id="228" w:name="_Toc9128"/>
      <w:r>
        <w:rPr>
          <w:rFonts w:hint="default" w:ascii="宋体" w:hAnsi="宋体" w:eastAsia="宋体" w:cs="宋体"/>
          <w:color w:val="auto"/>
          <w:sz w:val="24"/>
          <w:szCs w:val="24"/>
          <w:highlight w:val="none"/>
          <w:lang w:val="en-US" w:eastAsia="zh-CN"/>
        </w:rPr>
        <w:t>四、无效响应</w:t>
      </w:r>
      <w:bookmarkEnd w:id="227"/>
      <w:bookmarkEnd w:id="228"/>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供应商或其响应文件出现下列情况之一者，应为无效响应，其响应文件将被拒绝：</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（一）未按照采购竞争性比选文件的规定缴纳比选保证金的；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（二）供应商未通过资格性审查和符合性审查的；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（三）供应商所提交的响应文件未按“第七篇 响应文件编制要求”要求签署或盖章；</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（四）供应商的响应总报价超过采购最高限价或分项报价超过分项最高限价的；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（五）法定代表人为同一个人的两个及两个以上法人，母公司、全资子公司及其控股公司，在同一包采购中同时参与比选的；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（六）单位负责人为同一人或者存在直接控股、管理关系的不同供应商，参加同一合同项下的采购活动的；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（七）为采购项目提供整体设计、规范编制或者项目管理、监理、检测等服务的供应商，再参加该采购项目的其他采购活动；</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（八）供应商比选有效期不满足采购竞争性比选文件要求的；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（九）供应商响应文件内容有与国家现行法律法规相违背的内容，或附有采购人无法接受的条件；</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（十）法律、法规和采购竞争性比选文件规定的其他无效情形。</w:t>
      </w:r>
    </w:p>
    <w:p>
      <w:pPr>
        <w:snapToGrid w:val="0"/>
        <w:spacing w:line="400" w:lineRule="exact"/>
        <w:ind w:firstLine="480" w:firstLineChars="200"/>
        <w:rPr>
          <w:rFonts w:hint="default" w:ascii="宋体" w:hAnsi="宋体" w:eastAsia="宋体" w:cs="宋体"/>
          <w:color w:val="auto"/>
          <w:sz w:val="24"/>
          <w:szCs w:val="24"/>
          <w:highlight w:val="none"/>
          <w:lang w:val="en-US" w:eastAsia="zh-CN"/>
        </w:rPr>
      </w:pPr>
      <w:bookmarkStart w:id="229" w:name="_Toc28946"/>
      <w:bookmarkStart w:id="230" w:name="_Toc25843"/>
      <w:r>
        <w:rPr>
          <w:rFonts w:hint="eastAsia" w:ascii="宋体" w:hAnsi="宋体" w:eastAsia="宋体" w:cs="宋体"/>
          <w:color w:val="auto"/>
          <w:sz w:val="24"/>
          <w:szCs w:val="24"/>
          <w:highlight w:val="none"/>
          <w:lang w:val="en-US" w:eastAsia="zh-CN"/>
        </w:rPr>
        <w:t>五</w:t>
      </w:r>
      <w:r>
        <w:rPr>
          <w:rFonts w:hint="default" w:ascii="宋体" w:hAnsi="宋体" w:eastAsia="宋体" w:cs="宋体"/>
          <w:color w:val="auto"/>
          <w:sz w:val="24"/>
          <w:szCs w:val="24"/>
          <w:highlight w:val="none"/>
          <w:lang w:val="en-US" w:eastAsia="zh-CN"/>
        </w:rPr>
        <w:t>、采购终止</w:t>
      </w:r>
      <w:bookmarkEnd w:id="229"/>
      <w:bookmarkEnd w:id="230"/>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出现下列情形之一的，采购人或者采购代理机构应当终止竞争性比选采购活动，发布项目终止公告并说明原因，重新开展采购活动：</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（一）因情况变化，不再符合规定的竞争性比选采购方式适用情形的；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（二）出现影响采购公正的违法、违规行为的；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（三）因重大变故，采购任务取消的；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（四）在采购过程中符合要求的供应商或者报价未超过采购预算的供应商不足3家的。</w:t>
      </w:r>
    </w:p>
    <w:p>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采购终止后，除采购任务取消情形外，应当重新组织采购。</w:t>
      </w:r>
    </w:p>
    <w:p>
      <w:pPr>
        <w:pStyle w:val="4"/>
        <w:pageBreakBefore/>
        <w:spacing w:before="0" w:after="0" w:line="360" w:lineRule="auto"/>
        <w:jc w:val="center"/>
        <w:rPr>
          <w:rFonts w:hint="eastAsia" w:ascii="宋体" w:hAnsi="宋体" w:eastAsia="宋体" w:cs="宋体"/>
          <w:b w:val="0"/>
          <w:bCs/>
          <w:color w:val="auto"/>
          <w:sz w:val="36"/>
          <w:szCs w:val="30"/>
          <w:highlight w:val="none"/>
        </w:rPr>
      </w:pPr>
      <w:r>
        <w:rPr>
          <w:rFonts w:hint="eastAsia" w:ascii="宋体" w:hAnsi="宋体" w:eastAsia="宋体" w:cs="宋体"/>
          <w:b w:val="0"/>
          <w:bCs/>
          <w:color w:val="auto"/>
          <w:sz w:val="36"/>
          <w:szCs w:val="30"/>
          <w:highlight w:val="none"/>
        </w:rPr>
        <w:t>第五篇  供应商须知</w:t>
      </w:r>
      <w:bookmarkEnd w:id="74"/>
      <w:bookmarkEnd w:id="75"/>
      <w:bookmarkEnd w:id="76"/>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1" w:name="_Toc106030893"/>
      <w:bookmarkStart w:id="232" w:name="_Toc76462338"/>
      <w:bookmarkStart w:id="233" w:name="_Toc342913389"/>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费用</w:t>
      </w:r>
      <w:bookmarkEnd w:id="231"/>
      <w:bookmarkEnd w:id="232"/>
      <w:bookmarkEnd w:id="233"/>
    </w:p>
    <w:p>
      <w:pPr>
        <w:pStyle w:val="3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34" w:name="_Toc342913391"/>
      <w:bookmarkStart w:id="235" w:name="_Toc76462339"/>
      <w:bookmarkStart w:id="236" w:name="_Toc106030894"/>
      <w:r>
        <w:rPr>
          <w:rFonts w:hint="eastAsia" w:ascii="宋体" w:hAnsi="宋体" w:eastAsia="宋体" w:cs="宋体"/>
          <w:color w:val="auto"/>
          <w:sz w:val="24"/>
          <w:highlight w:val="none"/>
        </w:rPr>
        <w:t>二、竞争性</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w:t>
      </w:r>
      <w:bookmarkEnd w:id="234"/>
      <w:bookmarkEnd w:id="235"/>
      <w:bookmarkEnd w:id="236"/>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需求、项目商务需求、资格审查及符合性审查</w:t>
      </w:r>
      <w:r>
        <w:rPr>
          <w:rFonts w:hint="eastAsia" w:ascii="宋体" w:hAnsi="宋体" w:eastAsia="宋体" w:cs="宋体"/>
          <w:color w:val="auto"/>
          <w:sz w:val="24"/>
          <w:szCs w:val="24"/>
          <w:highlight w:val="none"/>
          <w:lang w:eastAsia="zh-CN"/>
        </w:rPr>
        <w:t>、评标方法、评标标准、无效响应和采购终止</w:t>
      </w:r>
      <w:r>
        <w:rPr>
          <w:rFonts w:hint="eastAsia" w:ascii="宋体" w:hAnsi="宋体" w:eastAsia="宋体" w:cs="宋体"/>
          <w:color w:val="auto"/>
          <w:sz w:val="24"/>
          <w:szCs w:val="24"/>
          <w:highlight w:val="none"/>
        </w:rPr>
        <w:t>、供应商须知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文件不可分割的部分。</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文件的解释</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文件有疑问，必须以书面形式在提交响应文件截止时间前向采购人（或采购代理机构）要求澄清，采购人（或采购代理机构）可视具体情况做出处理或答复。如供应商未提出疑问，视为完全理解并同意本竞争性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文件所有条款内容并同意放弃对这方面有不明白及误解的权利。</w:t>
      </w:r>
      <w:bookmarkStart w:id="237" w:name="_Toc318159160"/>
      <w:bookmarkStart w:id="238" w:name="_Toc318159780"/>
      <w:bookmarkStart w:id="239" w:name="_Toc318159349"/>
      <w:bookmarkStart w:id="240" w:name="_Toc318166429"/>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文件第二、三、六篇全部内容。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文件和响应文件（含有效的书面承诺）。</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文件的响应，仅基于响应文件本身而不靠外部证据。</w:t>
      </w:r>
    </w:p>
    <w:bookmarkEnd w:id="237"/>
    <w:bookmarkEnd w:id="238"/>
    <w:bookmarkEnd w:id="239"/>
    <w:bookmarkEnd w:id="240"/>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1" w:name="_Toc179714297"/>
      <w:bookmarkStart w:id="242" w:name="_Toc106030895"/>
      <w:bookmarkStart w:id="243" w:name="_Toc102227318"/>
      <w:bookmarkStart w:id="244" w:name="_Toc342913392"/>
      <w:bookmarkStart w:id="245" w:name="_Toc76462340"/>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要求</w:t>
      </w:r>
      <w:bookmarkEnd w:id="241"/>
      <w:bookmarkEnd w:id="242"/>
      <w:bookmarkEnd w:id="243"/>
      <w:bookmarkEnd w:id="244"/>
      <w:bookmarkEnd w:id="245"/>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）修正错误</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）提交响应文件的份数和签署</w:t>
      </w:r>
    </w:p>
    <w:p>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供应商须在平台报价</w:t>
      </w:r>
      <w:r>
        <w:rPr>
          <w:rFonts w:hint="eastAsia" w:ascii="宋体" w:hAnsi="宋体" w:cs="宋体"/>
          <w:color w:val="auto"/>
          <w:sz w:val="24"/>
          <w:szCs w:val="24"/>
          <w:highlight w:val="none"/>
          <w:lang w:val="en-US" w:eastAsia="zh-CN"/>
        </w:rPr>
        <w:t>上传电子档1份，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上传的电子档需是</w:t>
      </w:r>
      <w:r>
        <w:rPr>
          <w:rFonts w:hint="eastAsia" w:ascii="宋体" w:hAnsi="宋体" w:eastAsia="宋体" w:cs="宋体"/>
          <w:color w:val="auto"/>
          <w:sz w:val="24"/>
          <w:szCs w:val="24"/>
          <w:highlight w:val="none"/>
          <w:lang w:eastAsia="zh-CN"/>
        </w:rPr>
        <w:t>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响应文件，电子文档内容应与纸质文件正本一致，不一致以纸质文件正本为准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，线下</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时提供</w:t>
      </w:r>
      <w:r>
        <w:rPr>
          <w:rFonts w:hint="eastAsia" w:ascii="宋体" w:hAnsi="宋体" w:eastAsia="宋体" w:cs="宋体"/>
          <w:color w:val="auto"/>
          <w:sz w:val="24"/>
          <w:szCs w:val="24"/>
          <w:highlight w:val="none"/>
          <w:lang w:eastAsia="zh-CN"/>
        </w:rPr>
        <w:t>纸质</w:t>
      </w:r>
      <w:r>
        <w:rPr>
          <w:rFonts w:hint="eastAsia" w:ascii="宋体" w:hAnsi="宋体" w:eastAsia="宋体" w:cs="宋体"/>
          <w:color w:val="auto"/>
          <w:sz w:val="24"/>
          <w:szCs w:val="24"/>
          <w:highlight w:val="none"/>
        </w:rPr>
        <w:t>响应文件一式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副本可为正本的复印件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应与正本一致，如出现不一致情况以正本为准</w:t>
      </w:r>
      <w:r>
        <w:rPr>
          <w:rFonts w:hint="eastAsia" w:ascii="宋体" w:hAnsi="宋体" w:cs="宋体"/>
          <w:color w:val="auto"/>
          <w:sz w:val="24"/>
          <w:szCs w:val="24"/>
          <w:highlight w:val="none"/>
          <w:lang w:eastAsia="zh-CN"/>
        </w:rPr>
        <w:t>。</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rPr>
        <w:t>文件“第七篇响应文件编制要求”要求签署或盖章。</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）响应文件的递交</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地点，应在封套上注明项目名称、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。若正本、副本以及电子文档分别进行密封的，还应在封套上注明“正本”、“副本”、“电子文档”字样。</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）供应商参与人员</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rPr>
      </w:pPr>
      <w:bookmarkStart w:id="246" w:name="_Toc76462341"/>
      <w:bookmarkStart w:id="247" w:name="_Toc106030896"/>
      <w:r>
        <w:rPr>
          <w:rFonts w:hint="eastAsia" w:ascii="宋体" w:hAnsi="宋体" w:eastAsia="宋体" w:cs="宋体"/>
          <w:b w:val="0"/>
          <w:bCs/>
          <w:color w:val="auto"/>
          <w:sz w:val="24"/>
          <w:highlight w:val="none"/>
        </w:rPr>
        <w:t>各个供应商应当派1名代表参与投标，应为法定代表人或具有法定代表人授权委托书的授权代表。</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手持件：</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lang w:eastAsia="zh-CN"/>
        </w:rPr>
        <w:t>身份证原件、法人身份证证明及授权委托书（法定代表人亲自参加</w:t>
      </w:r>
      <w:r>
        <w:rPr>
          <w:rFonts w:hint="eastAsia" w:ascii="宋体" w:hAnsi="宋体" w:eastAsia="宋体" w:cs="宋体"/>
          <w:b w:val="0"/>
          <w:bCs/>
          <w:color w:val="auto"/>
          <w:sz w:val="24"/>
          <w:highlight w:val="none"/>
          <w:lang w:val="en-US" w:eastAsia="zh-CN"/>
        </w:rPr>
        <w:t>采购</w:t>
      </w:r>
      <w:r>
        <w:rPr>
          <w:rFonts w:hint="eastAsia" w:ascii="宋体" w:hAnsi="宋体" w:eastAsia="宋体" w:cs="宋体"/>
          <w:b w:val="0"/>
          <w:bCs/>
          <w:color w:val="auto"/>
          <w:sz w:val="24"/>
          <w:highlight w:val="none"/>
          <w:lang w:eastAsia="zh-CN"/>
        </w:rPr>
        <w:t>的不需要</w:t>
      </w:r>
      <w:r>
        <w:rPr>
          <w:rFonts w:hint="eastAsia" w:ascii="宋体" w:hAnsi="宋体" w:eastAsia="宋体" w:cs="宋体"/>
          <w:b w:val="0"/>
          <w:bCs/>
          <w:color w:val="auto"/>
          <w:sz w:val="24"/>
          <w:highlight w:val="none"/>
          <w:lang w:val="en-US" w:eastAsia="zh-CN"/>
        </w:rPr>
        <w:t>提供。</w:t>
      </w:r>
      <w:r>
        <w:rPr>
          <w:rFonts w:hint="eastAsia" w:ascii="宋体" w:hAnsi="宋体" w:eastAsia="宋体" w:cs="宋体"/>
          <w:b w:val="0"/>
          <w:bCs/>
          <w:color w:val="auto"/>
          <w:sz w:val="24"/>
          <w:highlight w:val="none"/>
          <w:lang w:eastAsia="zh-CN"/>
        </w:rPr>
        <w:t>）</w:t>
      </w:r>
    </w:p>
    <w:p>
      <w:pPr>
        <w:pStyle w:val="4"/>
        <w:adjustRightInd w:val="0"/>
        <w:snapToGrid w:val="0"/>
        <w:spacing w:before="0" w:after="0" w:line="40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授权委托</w:t>
      </w:r>
      <w:r>
        <w:rPr>
          <w:rFonts w:hint="eastAsia" w:ascii="宋体" w:hAnsi="宋体" w:eastAsia="宋体" w:cs="宋体"/>
          <w:b w:val="0"/>
          <w:bCs/>
          <w:color w:val="auto"/>
          <w:sz w:val="24"/>
          <w:szCs w:val="24"/>
          <w:highlight w:val="none"/>
          <w:lang w:val="en-US" w:eastAsia="zh-CN"/>
        </w:rPr>
        <w:t>人</w:t>
      </w:r>
      <w:r>
        <w:rPr>
          <w:rFonts w:hint="eastAsia" w:ascii="宋体" w:hAnsi="宋体" w:eastAsia="宋体" w:cs="宋体"/>
          <w:b w:val="0"/>
          <w:bCs/>
          <w:color w:val="auto"/>
          <w:sz w:val="24"/>
          <w:szCs w:val="24"/>
          <w:highlight w:val="none"/>
        </w:rPr>
        <w:t>的连续养老保险证明期限须</w:t>
      </w:r>
      <w:r>
        <w:rPr>
          <w:rFonts w:hint="eastAsia" w:ascii="宋体" w:hAnsi="宋体" w:eastAsia="宋体" w:cs="宋体"/>
          <w:b w:val="0"/>
          <w:bCs/>
          <w:color w:val="auto"/>
          <w:sz w:val="24"/>
          <w:szCs w:val="24"/>
          <w:highlight w:val="none"/>
          <w:lang w:val="en-US" w:eastAsia="zh-CN"/>
        </w:rPr>
        <w:t>包含</w:t>
      </w:r>
      <w:r>
        <w:rPr>
          <w:rFonts w:hint="eastAsia" w:ascii="宋体" w:hAnsi="宋体" w:eastAsia="宋体" w:cs="宋体"/>
          <w:b w:val="0"/>
          <w:bCs/>
          <w:color w:val="auto"/>
          <w:sz w:val="24"/>
          <w:szCs w:val="24"/>
          <w:highlight w:val="none"/>
        </w:rPr>
        <w:t>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月至202</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年</w:t>
      </w:r>
      <w:r>
        <w:rPr>
          <w:rFonts w:hint="eastAsia" w:ascii="宋体" w:hAnsi="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lang w:val="en-US" w:eastAsia="zh-CN"/>
        </w:rPr>
        <w:t>，提供的养老保险参保证明须</w:t>
      </w:r>
      <w:r>
        <w:rPr>
          <w:rFonts w:hint="eastAsia" w:ascii="宋体" w:hAnsi="宋体" w:eastAsia="宋体" w:cs="宋体"/>
          <w:b w:val="0"/>
          <w:bCs/>
          <w:color w:val="auto"/>
          <w:sz w:val="24"/>
          <w:szCs w:val="24"/>
          <w:highlight w:val="none"/>
        </w:rPr>
        <w:t>体现上述人员的姓名、身份证号（或社保号）、单位名称、本单位参保时间（或起始参保时间），并带有社保部门公章或社保部门的有效电子印章。</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四、成交供应商的确认和变更</w:t>
      </w:r>
      <w:bookmarkEnd w:id="246"/>
      <w:bookmarkEnd w:id="247"/>
    </w:p>
    <w:p>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pPr>
        <w:snapToGrid w:val="0"/>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48" w:name="_Toc342913395"/>
      <w:bookmarkStart w:id="249" w:name="_Toc76462342"/>
      <w:bookmarkStart w:id="250" w:name="_Toc102227321"/>
      <w:bookmarkStart w:id="251" w:name="_Toc106030897"/>
      <w:r>
        <w:rPr>
          <w:rFonts w:hint="eastAsia" w:ascii="宋体" w:hAnsi="宋体" w:eastAsia="宋体" w:cs="宋体"/>
          <w:color w:val="auto"/>
          <w:sz w:val="24"/>
          <w:highlight w:val="none"/>
        </w:rPr>
        <w:t>五、成交通知</w:t>
      </w:r>
      <w:bookmarkEnd w:id="248"/>
      <w:bookmarkEnd w:id="249"/>
      <w:bookmarkEnd w:id="250"/>
      <w:bookmarkEnd w:id="251"/>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2" w:name="_Toc106030898"/>
      <w:bookmarkStart w:id="253" w:name="_Toc76462343"/>
      <w:r>
        <w:rPr>
          <w:rFonts w:hint="eastAsia" w:ascii="宋体" w:hAnsi="宋体" w:eastAsia="宋体" w:cs="宋体"/>
          <w:color w:val="auto"/>
          <w:sz w:val="24"/>
          <w:highlight w:val="none"/>
        </w:rPr>
        <w:t>六、关于质疑和投诉</w:t>
      </w:r>
      <w:bookmarkEnd w:id="252"/>
      <w:bookmarkEnd w:id="253"/>
    </w:p>
    <w:p>
      <w:pPr>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w:t>
      </w:r>
      <w:r>
        <w:rPr>
          <w:rFonts w:hint="eastAsia" w:ascii="宋体" w:hAnsi="宋体" w:cs="宋体"/>
          <w:color w:val="auto"/>
          <w:sz w:val="24"/>
          <w:szCs w:val="24"/>
          <w:highlight w:val="none"/>
          <w:lang w:val="en-US" w:eastAsia="zh-CN"/>
        </w:rPr>
        <w:t>比选文件</w:t>
      </w:r>
      <w:r>
        <w:rPr>
          <w:rFonts w:hint="eastAsia" w:ascii="宋体" w:hAnsi="宋体" w:eastAsia="宋体" w:cs="宋体"/>
          <w:color w:val="auto"/>
          <w:sz w:val="24"/>
          <w:szCs w:val="24"/>
          <w:highlight w:val="none"/>
        </w:rPr>
        <w:t>、采购过程和成交结果使自己的权益收到伤害的，可向采购人或采购代理机构以书面形式提出质疑。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、采购过程、成交结果使自己的权益受到损害的，可以在知道或者应知其权益受到损害之日起7个工作日内，以书面形式向采购人、采购代理机构提出质疑。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w:t>
      </w:r>
      <w:r>
        <w:rPr>
          <w:rFonts w:hint="eastAsia" w:ascii="宋体" w:hAnsi="宋体" w:cs="宋体"/>
          <w:color w:val="auto"/>
          <w:sz w:val="24"/>
          <w:highlight w:val="none"/>
          <w:lang w:eastAsia="zh-CN"/>
        </w:rPr>
        <w:t>项目编号</w:t>
      </w:r>
      <w:r>
        <w:rPr>
          <w:rFonts w:hint="eastAsia" w:ascii="宋体" w:hAnsi="宋体" w:eastAsia="宋体" w:cs="宋体"/>
          <w:color w:val="auto"/>
          <w:sz w:val="24"/>
          <w:highlight w:val="none"/>
        </w:rPr>
        <w:t>；</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pPr>
        <w:spacing w:line="400" w:lineRule="exact"/>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4" w:name="_Toc106030899"/>
      <w:bookmarkStart w:id="255" w:name="_Toc76462344"/>
      <w:r>
        <w:rPr>
          <w:rFonts w:hint="eastAsia" w:ascii="宋体" w:hAnsi="宋体" w:eastAsia="宋体" w:cs="宋体"/>
          <w:color w:val="auto"/>
          <w:sz w:val="24"/>
          <w:highlight w:val="none"/>
        </w:rPr>
        <w:t>七、采购代理服务费</w:t>
      </w:r>
      <w:bookmarkEnd w:id="254"/>
      <w:bookmarkEnd w:id="255"/>
    </w:p>
    <w:p>
      <w:pPr>
        <w:snapToGrid w:val="0"/>
        <w:spacing w:line="400" w:lineRule="exact"/>
        <w:ind w:firstLine="960" w:firstLineChars="400"/>
        <w:rPr>
          <w:rFonts w:hint="default" w:ascii="宋体" w:hAnsi="宋体" w:eastAsia="宋体" w:cs="宋体"/>
          <w:color w:val="auto"/>
          <w:kern w:val="0"/>
          <w:sz w:val="24"/>
          <w:szCs w:val="24"/>
          <w:highlight w:val="none"/>
          <w:lang w:val="en-US"/>
        </w:rPr>
      </w:pPr>
      <w:bookmarkStart w:id="256" w:name="OLE_LINK7"/>
      <w:bookmarkStart w:id="257" w:name="OLE_LINK8"/>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本项目采购代理服务费为人民币</w:t>
      </w:r>
      <w:r>
        <w:rPr>
          <w:rFonts w:hint="eastAsia" w:ascii="宋体" w:hAnsi="宋体" w:cs="宋体"/>
          <w:color w:val="auto"/>
          <w:sz w:val="24"/>
          <w:highlight w:val="none"/>
          <w:lang w:val="en-US" w:eastAsia="zh-CN"/>
        </w:rPr>
        <w:t>8100</w:t>
      </w:r>
      <w:r>
        <w:rPr>
          <w:rFonts w:hint="eastAsia" w:ascii="宋体" w:hAnsi="宋体" w:eastAsia="宋体" w:cs="宋体"/>
          <w:color w:val="auto"/>
          <w:sz w:val="24"/>
          <w:highlight w:val="none"/>
          <w:lang w:eastAsia="zh-CN"/>
        </w:rPr>
        <w:t>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由成交供应商支付。即成交供应商在领取成交通知书之前以现金或转账形式一次性支付给代理机构。</w:t>
      </w:r>
    </w:p>
    <w:p>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2.成交供应商如未按上述规定缴付采购代理服务费，其保证金将不予退还。</w:t>
      </w:r>
    </w:p>
    <w:bookmarkEnd w:id="256"/>
    <w:bookmarkEnd w:id="257"/>
    <w:p>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8" w:name="_Toc102227322"/>
      <w:bookmarkStart w:id="259" w:name="_Toc76462346"/>
      <w:bookmarkStart w:id="260" w:name="_Toc342913396"/>
      <w:bookmarkStart w:id="261" w:name="_Toc106030901"/>
      <w:bookmarkStart w:id="262" w:name="_Toc11641055"/>
      <w:bookmarkStart w:id="263" w:name="_Toc12789059"/>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、签订</w:t>
      </w:r>
      <w:bookmarkEnd w:id="258"/>
      <w:r>
        <w:rPr>
          <w:rFonts w:hint="eastAsia" w:ascii="宋体" w:hAnsi="宋体" w:eastAsia="宋体" w:cs="宋体"/>
          <w:color w:val="auto"/>
          <w:sz w:val="24"/>
          <w:highlight w:val="none"/>
        </w:rPr>
        <w:t>合同</w:t>
      </w:r>
      <w:bookmarkEnd w:id="259"/>
      <w:bookmarkEnd w:id="260"/>
      <w:bookmarkEnd w:id="261"/>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cs="宋体"/>
          <w:color w:val="FF0000"/>
          <w:sz w:val="24"/>
          <w:highlight w:val="none"/>
          <w:lang w:val="en-US" w:eastAsia="zh-CN"/>
        </w:rPr>
        <w:t>20</w:t>
      </w:r>
      <w:r>
        <w:rPr>
          <w:rFonts w:hint="eastAsia" w:ascii="宋体" w:hAnsi="宋体" w:eastAsia="宋体" w:cs="宋体"/>
          <w:color w:val="auto"/>
          <w:sz w:val="24"/>
          <w:highlight w:val="none"/>
        </w:rPr>
        <w:t>日内和成交供应商签订政府采购合同，无正当理由不得拒绝或拖延合同签订</w:t>
      </w:r>
      <w:r>
        <w:rPr>
          <w:rFonts w:hint="eastAsia" w:ascii="宋体" w:hAnsi="宋体" w:eastAsia="宋体" w:cs="宋体"/>
          <w:color w:val="auto"/>
          <w:sz w:val="24"/>
          <w:szCs w:val="24"/>
          <w:highlight w:val="none"/>
        </w:rPr>
        <w:t>。所签订的合同不得对竞争性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文件、供应商的响应文件及澄清文件等，均为签订采购合同的依据。</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）合同原则上应按照《重庆市政府采购合同》签订，相关单位要求适用合同通用格式版本的，应按其要求另行签订其他合同。</w:t>
      </w:r>
    </w:p>
    <w:p>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文件中予以约定。成交供应商履约完毕后，采购人</w:t>
      </w:r>
      <w:r>
        <w:rPr>
          <w:rFonts w:hint="eastAsia" w:ascii="宋体" w:hAnsi="宋体" w:cs="宋体"/>
          <w:color w:val="auto"/>
          <w:sz w:val="24"/>
          <w:szCs w:val="24"/>
          <w:highlight w:val="none"/>
          <w:lang w:val="en-US" w:eastAsia="zh-CN"/>
        </w:rPr>
        <w:t>或采购代理人</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规定无息退还其履约保证金。</w:t>
      </w:r>
    </w:p>
    <w:p>
      <w:pPr>
        <w:spacing w:line="400" w:lineRule="exact"/>
        <w:rPr>
          <w:rFonts w:hint="eastAsia" w:ascii="宋体" w:hAnsi="宋体" w:eastAsia="宋体" w:cs="宋体"/>
          <w:color w:val="auto"/>
          <w:sz w:val="24"/>
          <w:highlight w:val="none"/>
        </w:rPr>
      </w:pPr>
      <w:bookmarkStart w:id="264" w:name="_Toc76462348"/>
      <w:bookmarkStart w:id="265" w:name="_Toc106030904"/>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color w:val="auto"/>
          <w:highlight w:val="none"/>
        </w:rPr>
      </w:pPr>
    </w:p>
    <w:p>
      <w:pPr>
        <w:spacing w:line="400" w:lineRule="exact"/>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jc w:val="center"/>
        <w:rPr>
          <w:rFonts w:hint="eastAsia" w:ascii="宋体" w:hAnsi="宋体" w:eastAsia="宋体" w:cs="宋体"/>
          <w:b w:val="0"/>
          <w:color w:val="auto"/>
          <w:sz w:val="36"/>
          <w:szCs w:val="30"/>
          <w:highlight w:val="none"/>
        </w:rPr>
      </w:pPr>
    </w:p>
    <w:p>
      <w:pPr>
        <w:spacing w:line="400" w:lineRule="exact"/>
        <w:jc w:val="center"/>
        <w:rPr>
          <w:rFonts w:hint="eastAsia" w:ascii="宋体" w:hAnsi="宋体" w:eastAsia="宋体" w:cs="宋体"/>
          <w:b w:val="0"/>
          <w:color w:val="auto"/>
          <w:sz w:val="36"/>
          <w:szCs w:val="30"/>
          <w:highlight w:val="none"/>
        </w:rPr>
      </w:pPr>
    </w:p>
    <w:p>
      <w:pPr>
        <w:spacing w:line="400" w:lineRule="exact"/>
        <w:ind w:firstLine="2880" w:firstLineChars="800"/>
        <w:jc w:val="both"/>
        <w:rPr>
          <w:rFonts w:hint="eastAsia" w:ascii="宋体" w:hAnsi="宋体" w:eastAsia="宋体" w:cs="宋体"/>
          <w:b w:val="0"/>
          <w:color w:val="auto"/>
          <w:sz w:val="36"/>
          <w:szCs w:val="30"/>
          <w:highlight w:val="none"/>
          <w:lang w:val="en-US" w:eastAsia="zh-CN"/>
        </w:rPr>
      </w:pPr>
      <w:r>
        <w:rPr>
          <w:rFonts w:hint="eastAsia" w:ascii="宋体" w:hAnsi="宋体" w:eastAsia="宋体" w:cs="宋体"/>
          <w:b w:val="0"/>
          <w:color w:val="auto"/>
          <w:sz w:val="36"/>
          <w:szCs w:val="30"/>
          <w:highlight w:val="none"/>
        </w:rPr>
        <w:t xml:space="preserve">第六篇  </w:t>
      </w:r>
      <w:bookmarkEnd w:id="262"/>
      <w:bookmarkEnd w:id="263"/>
      <w:r>
        <w:rPr>
          <w:rFonts w:hint="eastAsia" w:ascii="宋体" w:hAnsi="宋体" w:eastAsia="宋体" w:cs="宋体"/>
          <w:b w:val="0"/>
          <w:color w:val="auto"/>
          <w:sz w:val="36"/>
          <w:szCs w:val="30"/>
          <w:highlight w:val="none"/>
        </w:rPr>
        <w:t>合同</w:t>
      </w:r>
      <w:bookmarkEnd w:id="264"/>
      <w:bookmarkEnd w:id="265"/>
      <w:r>
        <w:rPr>
          <w:rFonts w:hint="eastAsia" w:ascii="宋体" w:hAnsi="宋体" w:cs="宋体"/>
          <w:b w:val="0"/>
          <w:color w:val="auto"/>
          <w:sz w:val="36"/>
          <w:szCs w:val="30"/>
          <w:highlight w:val="none"/>
          <w:lang w:val="en-US" w:eastAsia="zh-CN"/>
        </w:rPr>
        <w:t>草案</w:t>
      </w:r>
    </w:p>
    <w:p>
      <w:pPr>
        <w:pStyle w:val="26"/>
        <w:rPr>
          <w:rFonts w:hint="eastAsia" w:ascii="宋体" w:hAnsi="宋体" w:eastAsia="宋体" w:cs="宋体"/>
          <w:color w:val="auto"/>
          <w:sz w:val="24"/>
          <w:szCs w:val="24"/>
          <w:highlight w:val="none"/>
        </w:rPr>
      </w:pPr>
    </w:p>
    <w:p>
      <w:pPr>
        <w:snapToGrid w:val="0"/>
        <w:spacing w:line="360" w:lineRule="auto"/>
        <w:jc w:val="both"/>
        <w:rPr>
          <w:rFonts w:hint="eastAsia" w:ascii="宋体" w:hAnsi="宋体"/>
          <w:color w:val="000000" w:themeColor="text1"/>
          <w:sz w:val="21"/>
          <w:szCs w:val="21"/>
          <w:highlight w:val="none"/>
          <w:lang w:eastAsia="zh-CN"/>
          <w14:textFill>
            <w14:solidFill>
              <w14:schemeClr w14:val="tx1"/>
            </w14:solidFill>
          </w14:textFill>
        </w:rPr>
      </w:pPr>
      <w:bookmarkStart w:id="266" w:name="_Toc76462349"/>
      <w:bookmarkStart w:id="267" w:name="_Toc106030905"/>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参考样本，</w:t>
      </w:r>
      <w:r>
        <w:rPr>
          <w:rFonts w:hint="eastAsia" w:ascii="仿宋" w:hAnsi="仿宋" w:eastAsia="仿宋" w:cs="仿宋"/>
          <w:color w:val="000000" w:themeColor="text1"/>
          <w14:textFill>
            <w14:solidFill>
              <w14:schemeClr w14:val="tx1"/>
            </w14:solidFill>
          </w14:textFill>
        </w:rPr>
        <w:t>合同格式的最终版以签订合同时采购人提供的版本为准</w:t>
      </w:r>
      <w:r>
        <w:rPr>
          <w:rFonts w:hint="eastAsia" w:ascii="宋体" w:hAnsi="宋体"/>
          <w:color w:val="000000" w:themeColor="text1"/>
          <w:sz w:val="21"/>
          <w:szCs w:val="21"/>
          <w:highlight w:val="none"/>
          <w:lang w:eastAsia="zh-CN"/>
          <w14:textFill>
            <w14:solidFill>
              <w14:schemeClr w14:val="tx1"/>
            </w14:solidFill>
          </w14:textFill>
        </w:rPr>
        <w:t>）</w:t>
      </w: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rPr>
          <w:rFonts w:hint="eastAsia"/>
        </w:rPr>
      </w:pPr>
    </w:p>
    <w:p>
      <w:pPr>
        <w:spacing w:line="240" w:lineRule="auto"/>
        <w:jc w:val="center"/>
        <w:rPr>
          <w:rFonts w:ascii="新宋体" w:hAnsi="新宋体" w:eastAsia="新宋体" w:cs="新宋体"/>
          <w:b/>
          <w:bCs/>
          <w:sz w:val="24"/>
          <w:szCs w:val="24"/>
        </w:rPr>
      </w:pPr>
      <w:r>
        <w:rPr>
          <w:rFonts w:hint="eastAsia" w:ascii="新宋体" w:hAnsi="新宋体" w:eastAsia="新宋体" w:cs="新宋体"/>
          <w:b/>
          <w:bCs/>
          <w:sz w:val="24"/>
          <w:szCs w:val="24"/>
        </w:rPr>
        <w:t>合同协议书</w:t>
      </w:r>
    </w:p>
    <w:p>
      <w:pPr>
        <w:spacing w:line="360" w:lineRule="auto"/>
        <w:rPr>
          <w:rFonts w:ascii="新宋体" w:hAnsi="新宋体" w:eastAsia="新宋体" w:cs="新宋体"/>
          <w:sz w:val="24"/>
          <w:szCs w:val="24"/>
        </w:rPr>
      </w:pPr>
    </w:p>
    <w:p>
      <w:pPr>
        <w:spacing w:line="360" w:lineRule="auto"/>
        <w:jc w:val="left"/>
        <w:rPr>
          <w:rFonts w:ascii="新宋体" w:hAnsi="新宋体" w:eastAsia="新宋体" w:cs="新宋体"/>
          <w:b/>
          <w:sz w:val="24"/>
          <w:szCs w:val="24"/>
        </w:rPr>
      </w:pPr>
      <w:r>
        <w:rPr>
          <w:rFonts w:hint="eastAsia" w:ascii="新宋体" w:hAnsi="新宋体" w:eastAsia="新宋体" w:cs="新宋体"/>
          <w:sz w:val="24"/>
          <w:szCs w:val="24"/>
        </w:rPr>
        <w:t>发包方（全称）:</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w:t>
      </w:r>
      <w:r>
        <w:rPr>
          <w:rFonts w:hint="eastAsia" w:ascii="新宋体" w:hAnsi="新宋体" w:eastAsia="新宋体" w:cs="新宋体"/>
          <w:sz w:val="24"/>
          <w:szCs w:val="24"/>
        </w:rPr>
        <w:t>以下简称甲方)</w:t>
      </w:r>
    </w:p>
    <w:p>
      <w:pPr>
        <w:spacing w:line="360" w:lineRule="auto"/>
        <w:rPr>
          <w:rFonts w:ascii="新宋体" w:hAnsi="新宋体" w:eastAsia="新宋体" w:cs="新宋体"/>
          <w:sz w:val="24"/>
          <w:szCs w:val="24"/>
        </w:rPr>
      </w:pPr>
      <w:r>
        <w:rPr>
          <w:rFonts w:hint="eastAsia" w:ascii="新宋体" w:hAnsi="新宋体" w:eastAsia="新宋体" w:cs="新宋体"/>
          <w:sz w:val="24"/>
          <w:szCs w:val="24"/>
        </w:rPr>
        <w:t>承包方（全称）:</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 xml:space="preserve">(以下简称乙方)                                         </w:t>
      </w:r>
    </w:p>
    <w:p>
      <w:pPr>
        <w:pStyle w:val="16"/>
        <w:ind w:firstLine="480" w:firstLineChars="200"/>
        <w:rPr>
          <w:rFonts w:ascii="新宋体" w:hAnsi="新宋体" w:eastAsia="新宋体" w:cs="新宋体"/>
          <w:sz w:val="24"/>
          <w:szCs w:val="24"/>
        </w:rPr>
      </w:pPr>
      <w:r>
        <w:rPr>
          <w:rFonts w:hint="eastAsia" w:ascii="新宋体" w:hAnsi="新宋体" w:eastAsia="新宋体" w:cs="新宋体"/>
          <w:sz w:val="24"/>
          <w:szCs w:val="24"/>
        </w:rPr>
        <w:t>依照《中华人民共和国民法典》《中华人民共和国建筑法》及其他有关法律、行政法规，遵守平等、自愿、公平和诚实信用的原则，为了明确甲、乙双方权利、义务、责任，结合工程的实际情况，经双方协商一致，特签定本劳务合同，双方共同遵照执行。</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工程概况</w:t>
      </w:r>
    </w:p>
    <w:p>
      <w:pPr>
        <w:spacing w:line="360" w:lineRule="auto"/>
        <w:ind w:left="1200" w:hanging="1200" w:hangingChars="50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工程名称：</w:t>
      </w:r>
      <w:bookmarkStart w:id="268" w:name="OLE_LINK3"/>
      <w:r>
        <w:rPr>
          <w:rFonts w:hint="eastAsia" w:ascii="新宋体" w:hAnsi="新宋体" w:eastAsia="新宋体" w:cs="新宋体"/>
          <w:sz w:val="24"/>
          <w:szCs w:val="24"/>
        </w:rPr>
        <w:t>大足西街片区盛世华庭建设项目电线电杆、通信电缆搬迁及施工用电安装</w:t>
      </w:r>
      <w:r>
        <w:rPr>
          <w:rFonts w:hint="eastAsia" w:ascii="新宋体" w:hAnsi="新宋体" w:eastAsia="新宋体" w:cs="新宋体"/>
          <w:sz w:val="24"/>
          <w:szCs w:val="24"/>
          <w:lang w:val="en-US" w:eastAsia="zh-CN"/>
        </w:rPr>
        <w:t xml:space="preserve">                         </w:t>
      </w:r>
    </w:p>
    <w:bookmarkEnd w:id="268"/>
    <w:p>
      <w:pPr>
        <w:spacing w:line="360" w:lineRule="auto"/>
        <w:rPr>
          <w:rFonts w:ascii="新宋体" w:hAnsi="新宋体" w:eastAsia="新宋体" w:cs="新宋体"/>
          <w:sz w:val="24"/>
          <w:szCs w:val="24"/>
          <w:u w:val="single"/>
        </w:rPr>
      </w:pPr>
      <w:r>
        <w:rPr>
          <w:rFonts w:hint="eastAsia" w:ascii="新宋体" w:hAnsi="新宋体" w:eastAsia="新宋体" w:cs="新宋体"/>
          <w:sz w:val="24"/>
          <w:szCs w:val="24"/>
        </w:rPr>
        <w:t>工程地点：</w:t>
      </w:r>
      <w:r>
        <w:rPr>
          <w:rFonts w:hint="eastAsia" w:ascii="新宋体" w:hAnsi="新宋体" w:eastAsia="新宋体" w:cs="新宋体"/>
          <w:sz w:val="24"/>
          <w:szCs w:val="24"/>
          <w:lang w:val="en-US" w:eastAsia="zh-CN"/>
        </w:rPr>
        <w:t>重庆市</w:t>
      </w:r>
      <w:r>
        <w:rPr>
          <w:rFonts w:hint="eastAsia" w:ascii="新宋体" w:hAnsi="新宋体" w:eastAsia="新宋体" w:cs="新宋体"/>
          <w:sz w:val="24"/>
          <w:szCs w:val="24"/>
        </w:rPr>
        <w:t>大足</w:t>
      </w:r>
      <w:r>
        <w:rPr>
          <w:rFonts w:hint="eastAsia" w:ascii="新宋体" w:hAnsi="新宋体" w:eastAsia="新宋体" w:cs="新宋体"/>
          <w:sz w:val="24"/>
          <w:szCs w:val="24"/>
          <w:lang w:val="en-US" w:eastAsia="zh-CN"/>
        </w:rPr>
        <w:t>区</w:t>
      </w:r>
      <w:r>
        <w:rPr>
          <w:rFonts w:hint="eastAsia" w:ascii="新宋体" w:hAnsi="新宋体" w:eastAsia="新宋体" w:cs="新宋体"/>
          <w:sz w:val="24"/>
          <w:szCs w:val="24"/>
        </w:rPr>
        <w:t>西街片区</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u w:val="single"/>
        </w:rPr>
        <w:t xml:space="preserve">  </w:t>
      </w:r>
    </w:p>
    <w:p>
      <w:pPr>
        <w:pStyle w:val="39"/>
        <w:spacing w:line="560" w:lineRule="exact"/>
        <w:ind w:firstLine="0" w:firstLineChars="0"/>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工程内容：本项目为大足西街片区盛世华庭建设项目电线电杆、通信电缆搬迁及施工用电安装，主要包含实施红线范围内电力线路搬迁及通信电缆安装等，具体以采购人发布的施工图、工程量清单为准</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 xml:space="preserve">                                        </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工程承包范围</w:t>
      </w:r>
    </w:p>
    <w:p>
      <w:pPr>
        <w:spacing w:line="360" w:lineRule="auto"/>
        <w:ind w:left="1200" w:hanging="1200" w:hangingChars="500"/>
        <w:rPr>
          <w:rFonts w:ascii="新宋体" w:hAnsi="新宋体" w:eastAsia="新宋体" w:cs="新宋体"/>
          <w:color w:val="FF0000"/>
          <w:sz w:val="24"/>
          <w:szCs w:val="24"/>
          <w:u w:val="single"/>
        </w:rPr>
      </w:pPr>
      <w:r>
        <w:rPr>
          <w:rFonts w:hint="eastAsia" w:ascii="新宋体" w:hAnsi="新宋体" w:eastAsia="新宋体" w:cs="新宋体"/>
          <w:sz w:val="24"/>
          <w:szCs w:val="24"/>
        </w:rPr>
        <w:t>承包范围：</w:t>
      </w:r>
      <w:r>
        <w:rPr>
          <w:rFonts w:hint="eastAsia" w:ascii="新宋体" w:hAnsi="新宋体" w:eastAsia="新宋体" w:cs="新宋体"/>
          <w:sz w:val="24"/>
          <w:szCs w:val="24"/>
          <w:u w:val="single"/>
          <w:lang w:eastAsia="zh-CN"/>
        </w:rPr>
        <w:t>工程</w:t>
      </w:r>
      <w:r>
        <w:rPr>
          <w:rFonts w:hint="eastAsia" w:ascii="新宋体" w:hAnsi="新宋体" w:eastAsia="新宋体" w:cs="新宋体"/>
          <w:sz w:val="24"/>
          <w:szCs w:val="24"/>
          <w:u w:val="single"/>
        </w:rPr>
        <w:t>量清单为准</w:t>
      </w:r>
      <w:r>
        <w:rPr>
          <w:rFonts w:hint="eastAsia" w:ascii="新宋体" w:hAnsi="新宋体" w:eastAsia="新宋体" w:cs="新宋体"/>
          <w:sz w:val="24"/>
          <w:szCs w:val="24"/>
          <w:u w:val="single"/>
          <w:lang w:eastAsia="zh-CN"/>
        </w:rPr>
        <w:t>。</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合同工期</w:t>
      </w:r>
    </w:p>
    <w:p>
      <w:pPr>
        <w:spacing w:line="360" w:lineRule="auto"/>
        <w:rPr>
          <w:rFonts w:ascii="新宋体" w:hAnsi="新宋体" w:eastAsia="新宋体" w:cs="新宋体"/>
          <w:color w:val="000000"/>
          <w:sz w:val="24"/>
          <w:szCs w:val="24"/>
          <w:u w:val="single"/>
        </w:rPr>
      </w:pPr>
      <w:r>
        <w:rPr>
          <w:rFonts w:hint="eastAsia" w:ascii="新宋体" w:hAnsi="新宋体" w:eastAsia="新宋体" w:cs="新宋体"/>
          <w:sz w:val="24"/>
          <w:szCs w:val="24"/>
        </w:rPr>
        <w:t>1.合同签订后即生效，具体</w:t>
      </w:r>
      <w:r>
        <w:rPr>
          <w:rFonts w:hint="eastAsia" w:ascii="新宋体" w:hAnsi="新宋体" w:eastAsia="新宋体" w:cs="新宋体"/>
          <w:sz w:val="24"/>
          <w:szCs w:val="24"/>
          <w:lang w:val="en-US" w:eastAsia="zh-CN"/>
        </w:rPr>
        <w:t>开工时间</w:t>
      </w:r>
      <w:r>
        <w:rPr>
          <w:rFonts w:hint="eastAsia" w:ascii="新宋体" w:hAnsi="新宋体" w:eastAsia="新宋体" w:cs="新宋体"/>
          <w:sz w:val="24"/>
          <w:szCs w:val="24"/>
        </w:rPr>
        <w:t>按甲方要求开展。</w:t>
      </w:r>
    </w:p>
    <w:p>
      <w:pPr>
        <w:spacing w:line="360" w:lineRule="auto"/>
        <w:rPr>
          <w:rFonts w:hint="eastAsia" w:ascii="新宋体" w:hAnsi="新宋体" w:eastAsia="新宋体" w:cs="新宋体"/>
          <w:color w:val="000000"/>
          <w:sz w:val="24"/>
          <w:szCs w:val="24"/>
          <w:u w:val="single"/>
          <w:lang w:eastAsia="zh-CN"/>
        </w:rPr>
      </w:pPr>
      <w:r>
        <w:rPr>
          <w:rFonts w:hint="eastAsia" w:ascii="新宋体" w:hAnsi="新宋体" w:eastAsia="新宋体" w:cs="新宋体"/>
          <w:color w:val="000000"/>
          <w:sz w:val="24"/>
          <w:szCs w:val="24"/>
        </w:rPr>
        <w:t>2.合同工期总日历天数：</w:t>
      </w:r>
      <w:r>
        <w:rPr>
          <w:rFonts w:hint="eastAsia" w:ascii="新宋体" w:hAnsi="新宋体" w:eastAsia="新宋体" w:cs="新宋体"/>
          <w:color w:val="000000"/>
          <w:sz w:val="24"/>
          <w:szCs w:val="24"/>
          <w:lang w:val="en-US" w:eastAsia="zh-CN"/>
        </w:rPr>
        <w:t xml:space="preserve">  </w:t>
      </w:r>
      <w:r>
        <w:rPr>
          <w:rFonts w:hint="eastAsia" w:ascii="新宋体" w:hAnsi="新宋体" w:eastAsia="新宋体" w:cs="新宋体"/>
          <w:color w:val="000000"/>
          <w:sz w:val="24"/>
          <w:szCs w:val="24"/>
          <w:u w:val="single"/>
        </w:rPr>
        <w:t>日历天</w:t>
      </w:r>
      <w:r>
        <w:rPr>
          <w:rFonts w:hint="eastAsia" w:ascii="新宋体" w:hAnsi="新宋体" w:eastAsia="新宋体" w:cs="新宋体"/>
          <w:color w:val="000000"/>
          <w:sz w:val="24"/>
          <w:szCs w:val="24"/>
          <w:u w:val="single"/>
          <w:lang w:eastAsia="zh-CN"/>
        </w:rPr>
        <w:t>。</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质量标准</w:t>
      </w:r>
    </w:p>
    <w:p>
      <w:pPr>
        <w:spacing w:line="360" w:lineRule="auto"/>
        <w:rPr>
          <w:rFonts w:ascii="新宋体" w:hAnsi="新宋体" w:eastAsia="新宋体" w:cs="新宋体"/>
          <w:sz w:val="24"/>
          <w:szCs w:val="24"/>
        </w:rPr>
      </w:pPr>
      <w:r>
        <w:rPr>
          <w:rFonts w:hint="eastAsia" w:ascii="新宋体" w:hAnsi="新宋体" w:eastAsia="新宋体" w:cs="新宋体"/>
          <w:sz w:val="24"/>
          <w:szCs w:val="24"/>
        </w:rPr>
        <w:t>工程质量标准：</w:t>
      </w:r>
      <w:r>
        <w:rPr>
          <w:rFonts w:hint="eastAsia" w:ascii="新宋体" w:hAnsi="新宋体" w:eastAsia="新宋体" w:cs="新宋体"/>
          <w:sz w:val="24"/>
          <w:szCs w:val="24"/>
          <w:u w:val="single"/>
        </w:rPr>
        <w:t xml:space="preserve"> 符合强制性质量标准， 符合国家和重庆市现行有关施工质量验收规范要求，并达到合格标准 。</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合同价款</w:t>
      </w:r>
    </w:p>
    <w:p>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合同总价（含税）：</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￥元，（大写</w:t>
      </w:r>
      <w:r>
        <w:rPr>
          <w:rFonts w:hint="eastAsia" w:ascii="新宋体" w:hAnsi="新宋体" w:eastAsia="新宋体" w:cs="新宋体"/>
          <w:sz w:val="24"/>
          <w:szCs w:val="24"/>
          <w:u w:val="single"/>
          <w:lang w:eastAsia="zh-CN"/>
        </w:rPr>
        <w:t>：</w:t>
      </w:r>
      <w:r>
        <w:rPr>
          <w:rFonts w:hint="eastAsia" w:ascii="新宋体" w:hAnsi="新宋体" w:eastAsia="新宋体" w:cs="新宋体"/>
          <w:sz w:val="24"/>
          <w:szCs w:val="24"/>
          <w:u w:val="single"/>
        </w:rPr>
        <w:t>），</w:t>
      </w:r>
      <w:r>
        <w:rPr>
          <w:rFonts w:hint="eastAsia" w:ascii="新宋体" w:hAnsi="新宋体" w:eastAsia="新宋体" w:cs="新宋体"/>
          <w:sz w:val="24"/>
          <w:szCs w:val="24"/>
        </w:rPr>
        <w:t>在合同订立、履行过程中形成的与合同有关的书面形式的文件均构成合同文件组成部分。</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结算及支付</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z w:val="24"/>
          <w:szCs w:val="24"/>
          <w:highlight w:val="none"/>
          <w:lang w:val="en-US" w:eastAsia="zh-CN"/>
        </w:rPr>
        <w:t>1.工程款支付：</w:t>
      </w:r>
      <w:r>
        <w:rPr>
          <w:rFonts w:hint="eastAsia" w:ascii="新宋体" w:hAnsi="新宋体" w:eastAsia="新宋体" w:cs="新宋体"/>
          <w:color w:val="auto"/>
          <w:sz w:val="24"/>
          <w:szCs w:val="24"/>
          <w:highlight w:val="none"/>
        </w:rPr>
        <w:t>工程</w:t>
      </w:r>
      <w:r>
        <w:rPr>
          <w:rFonts w:hint="eastAsia" w:ascii="新宋体" w:hAnsi="新宋体" w:eastAsia="新宋体" w:cs="新宋体"/>
          <w:color w:val="auto"/>
          <w:sz w:val="24"/>
          <w:szCs w:val="24"/>
          <w:highlight w:val="none"/>
          <w:lang w:val="en-US" w:eastAsia="zh-CN"/>
        </w:rPr>
        <w:t>竣工</w:t>
      </w:r>
      <w:r>
        <w:rPr>
          <w:rFonts w:hint="eastAsia" w:ascii="新宋体" w:hAnsi="新宋体" w:eastAsia="新宋体" w:cs="新宋体"/>
          <w:color w:val="auto"/>
          <w:sz w:val="24"/>
          <w:szCs w:val="24"/>
          <w:highlight w:val="none"/>
        </w:rPr>
        <w:t>验收合格后支付至</w:t>
      </w:r>
      <w:r>
        <w:rPr>
          <w:rFonts w:hint="eastAsia" w:ascii="新宋体" w:hAnsi="新宋体" w:eastAsia="新宋体" w:cs="新宋体"/>
          <w:color w:val="auto"/>
          <w:sz w:val="24"/>
          <w:szCs w:val="24"/>
          <w:highlight w:val="none"/>
          <w:lang w:val="en-US" w:eastAsia="zh-CN"/>
        </w:rPr>
        <w:t>结算</w:t>
      </w:r>
      <w:r>
        <w:rPr>
          <w:rFonts w:hint="eastAsia" w:ascii="新宋体" w:hAnsi="新宋体" w:eastAsia="新宋体" w:cs="新宋体"/>
          <w:color w:val="auto"/>
          <w:sz w:val="24"/>
          <w:szCs w:val="24"/>
          <w:highlight w:val="none"/>
        </w:rPr>
        <w:t>金额的9</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%，剩余 3%为本工程质量保证金，缺陷责任期(</w:t>
      </w:r>
      <w:r>
        <w:rPr>
          <w:rFonts w:hint="eastAsia" w:ascii="新宋体" w:hAnsi="新宋体" w:eastAsia="新宋体" w:cs="新宋体"/>
          <w:color w:val="auto"/>
          <w:sz w:val="24"/>
          <w:szCs w:val="24"/>
          <w:highlight w:val="none"/>
          <w:lang w:val="en-US" w:eastAsia="zh-CN"/>
        </w:rPr>
        <w:t>24</w:t>
      </w:r>
      <w:r>
        <w:rPr>
          <w:rFonts w:hint="eastAsia" w:ascii="新宋体" w:hAnsi="新宋体" w:eastAsia="新宋体" w:cs="新宋体"/>
          <w:color w:val="auto"/>
          <w:sz w:val="24"/>
          <w:szCs w:val="24"/>
          <w:highlight w:val="none"/>
        </w:rPr>
        <w:t>个月)届满，承包人完全履行保修责任后30日内无息支付。</w:t>
      </w:r>
    </w:p>
    <w:p>
      <w:pPr>
        <w:spacing w:line="360" w:lineRule="auto"/>
        <w:ind w:firstLine="480" w:firstLineChars="200"/>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lang w:eastAsia="zh-CN"/>
        </w:rPr>
        <w:t>注：承包商</w:t>
      </w:r>
      <w:r>
        <w:rPr>
          <w:rFonts w:hint="eastAsia" w:ascii="新宋体" w:hAnsi="新宋体" w:eastAsia="新宋体" w:cs="新宋体"/>
          <w:color w:val="auto"/>
          <w:sz w:val="24"/>
          <w:szCs w:val="24"/>
          <w:highlight w:val="none"/>
        </w:rPr>
        <w:t>每次申请支付前需提供合法</w:t>
      </w:r>
      <w:r>
        <w:rPr>
          <w:rFonts w:hint="eastAsia" w:ascii="新宋体" w:hAnsi="新宋体" w:eastAsia="新宋体" w:cs="新宋体"/>
          <w:color w:val="auto"/>
          <w:sz w:val="24"/>
          <w:szCs w:val="24"/>
          <w:highlight w:val="none"/>
          <w:lang w:eastAsia="zh-CN"/>
        </w:rPr>
        <w:t>有效</w:t>
      </w:r>
      <w:r>
        <w:rPr>
          <w:rFonts w:hint="eastAsia" w:ascii="新宋体" w:hAnsi="新宋体" w:eastAsia="新宋体" w:cs="新宋体"/>
          <w:color w:val="auto"/>
          <w:sz w:val="24"/>
          <w:szCs w:val="24"/>
          <w:highlight w:val="none"/>
        </w:rPr>
        <w:t>的等额增值税</w:t>
      </w:r>
      <w:r>
        <w:rPr>
          <w:rFonts w:hint="eastAsia" w:ascii="新宋体" w:hAnsi="新宋体" w:eastAsia="新宋体" w:cs="新宋体"/>
          <w:color w:val="auto"/>
          <w:sz w:val="24"/>
          <w:szCs w:val="24"/>
          <w:highlight w:val="none"/>
          <w:lang w:val="en-US" w:eastAsia="zh-CN"/>
        </w:rPr>
        <w:t>专用</w:t>
      </w:r>
      <w:r>
        <w:rPr>
          <w:rFonts w:hint="eastAsia" w:ascii="新宋体" w:hAnsi="新宋体" w:eastAsia="新宋体" w:cs="新宋体"/>
          <w:color w:val="auto"/>
          <w:sz w:val="24"/>
          <w:szCs w:val="24"/>
          <w:highlight w:val="none"/>
        </w:rPr>
        <w:t>发票</w:t>
      </w:r>
      <w:r>
        <w:rPr>
          <w:rFonts w:hint="eastAsia" w:ascii="新宋体" w:hAnsi="新宋体" w:eastAsia="新宋体" w:cs="新宋体"/>
          <w:color w:val="auto"/>
          <w:sz w:val="24"/>
          <w:szCs w:val="24"/>
          <w:highlight w:val="none"/>
          <w:lang w:eastAsia="zh-CN"/>
        </w:rPr>
        <w:t>。</w:t>
      </w:r>
    </w:p>
    <w:p>
      <w:pPr>
        <w:pStyle w:val="4"/>
        <w:adjustRightInd w:val="0"/>
        <w:snapToGrid w:val="0"/>
        <w:spacing w:before="0" w:after="0"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结算原则</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1结算总价=中标单价*实际完成工程量±增减（变更）工程造价±合同约定的其他费用，最终结算金额以审计单位审定的金额为准（工程结算费用按发包人委托的审计机构审定的金额为准）。</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2.2</w:t>
      </w:r>
      <w:r>
        <w:rPr>
          <w:rFonts w:hint="eastAsia" w:ascii="新宋体" w:hAnsi="新宋体" w:eastAsia="新宋体" w:cs="新宋体"/>
          <w:sz w:val="24"/>
          <w:szCs w:val="24"/>
        </w:rPr>
        <w:t xml:space="preserve">增减（变更）工程结算： </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（1）工程内容与已标价工程量清单中有相同的子项或类似子项，则按投标时的相同子项或类似子项的综合单价执行（类似子项及综合单价由发包审定）；</w:t>
      </w:r>
    </w:p>
    <w:p>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50500-2013）、《重庆市建设工程工程量清单计价规则》（CQJJGZ-2013）、《重庆市建设工程工程量计算规则》（CQJLGZ-2013）；定额</w:t>
      </w:r>
      <w:r>
        <w:rPr>
          <w:rFonts w:hint="eastAsia" w:ascii="新宋体" w:hAnsi="新宋体" w:eastAsia="新宋体" w:cs="新宋体"/>
          <w:sz w:val="24"/>
          <w:szCs w:val="24"/>
          <w:lang w:val="en-US" w:eastAsia="zh-CN"/>
        </w:rPr>
        <w:t>按</w:t>
      </w:r>
      <w:r>
        <w:rPr>
          <w:rFonts w:hint="eastAsia" w:ascii="新宋体" w:hAnsi="新宋体" w:eastAsia="新宋体" w:cs="新宋体"/>
          <w:sz w:val="24"/>
          <w:szCs w:val="24"/>
        </w:rPr>
        <w:t>照2018年《重庆市房屋建筑与装饰工程计价定额》、2018年《重庆市房屋修缮工程计价定额》、2018年《重庆市通用安装工程计价定额》、2018年《重庆市市政工程计价定额》、2018年《重庆市建设工程费用定额》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人工价格</w:t>
      </w:r>
      <w:r>
        <w:rPr>
          <w:rFonts w:hint="eastAsia" w:ascii="新宋体" w:hAnsi="新宋体" w:eastAsia="新宋体" w:cs="新宋体"/>
          <w:sz w:val="24"/>
          <w:szCs w:val="24"/>
          <w:lang w:val="zh-CN"/>
        </w:rPr>
        <w:t>按</w:t>
      </w:r>
      <w:r>
        <w:rPr>
          <w:rFonts w:hint="eastAsia" w:ascii="新宋体" w:hAnsi="新宋体" w:eastAsia="新宋体" w:cs="新宋体"/>
          <w:sz w:val="24"/>
          <w:szCs w:val="24"/>
        </w:rPr>
        <w:t>《重庆工程造价信息》公布的</w:t>
      </w:r>
      <w:r>
        <w:rPr>
          <w:rFonts w:hint="eastAsia" w:ascii="新宋体" w:hAnsi="新宋体" w:eastAsia="新宋体" w:cs="新宋体"/>
          <w:sz w:val="24"/>
          <w:szCs w:val="24"/>
          <w:lang w:eastAsia="zh-CN"/>
        </w:rPr>
        <w:t>2025年</w:t>
      </w:r>
      <w:r>
        <w:rPr>
          <w:rFonts w:hint="eastAsia" w:ascii="新宋体" w:hAnsi="新宋体" w:eastAsia="新宋体" w:cs="新宋体"/>
          <w:sz w:val="24"/>
          <w:szCs w:val="24"/>
        </w:rPr>
        <w:t>第</w:t>
      </w:r>
      <w:r>
        <w:rPr>
          <w:rFonts w:hint="eastAsia" w:ascii="新宋体" w:hAnsi="新宋体" w:eastAsia="新宋体" w:cs="新宋体"/>
          <w:sz w:val="24"/>
          <w:szCs w:val="24"/>
          <w:lang w:val="en-US" w:eastAsia="zh-CN"/>
        </w:rPr>
        <w:t>三</w:t>
      </w:r>
      <w:r>
        <w:rPr>
          <w:rFonts w:hint="eastAsia" w:ascii="新宋体" w:hAnsi="新宋体" w:eastAsia="新宋体" w:cs="新宋体"/>
          <w:sz w:val="24"/>
          <w:szCs w:val="24"/>
        </w:rPr>
        <w:t>季度重庆市</w:t>
      </w:r>
      <w:r>
        <w:rPr>
          <w:rFonts w:hint="eastAsia" w:ascii="新宋体" w:hAnsi="新宋体" w:eastAsia="新宋体" w:cs="新宋体"/>
          <w:sz w:val="24"/>
          <w:szCs w:val="24"/>
          <w:lang w:val="en-US" w:eastAsia="zh-CN"/>
        </w:rPr>
        <w:t>大足</w:t>
      </w:r>
      <w:r>
        <w:rPr>
          <w:rFonts w:hint="eastAsia" w:ascii="新宋体" w:hAnsi="新宋体" w:eastAsia="新宋体" w:cs="新宋体"/>
          <w:sz w:val="24"/>
          <w:szCs w:val="24"/>
        </w:rPr>
        <w:t>区人工费计算。材料费：</w:t>
      </w:r>
      <w:r>
        <w:rPr>
          <w:rFonts w:hint="eastAsia" w:ascii="新宋体" w:hAnsi="新宋体" w:eastAsia="新宋体" w:cs="新宋体"/>
          <w:sz w:val="24"/>
          <w:szCs w:val="24"/>
          <w:lang w:val="en-US" w:eastAsia="zh-CN"/>
        </w:rPr>
        <w:t>按</w:t>
      </w:r>
      <w:r>
        <w:rPr>
          <w:rFonts w:hint="eastAsia" w:ascii="新宋体" w:hAnsi="新宋体" w:eastAsia="新宋体" w:cs="新宋体"/>
          <w:sz w:val="24"/>
          <w:szCs w:val="24"/>
        </w:rPr>
        <w:t>《重庆工程造价信息》</w:t>
      </w:r>
      <w:r>
        <w:rPr>
          <w:rFonts w:hint="eastAsia" w:ascii="新宋体" w:hAnsi="新宋体" w:eastAsia="新宋体" w:cs="新宋体"/>
          <w:sz w:val="24"/>
          <w:szCs w:val="24"/>
          <w:lang w:eastAsia="zh-CN"/>
        </w:rPr>
        <w:t>2025年</w:t>
      </w:r>
      <w:r>
        <w:rPr>
          <w:rFonts w:hint="eastAsia" w:ascii="新宋体" w:hAnsi="新宋体" w:eastAsia="新宋体" w:cs="新宋体"/>
          <w:sz w:val="24"/>
          <w:szCs w:val="24"/>
          <w:lang w:val="en-US" w:eastAsia="zh-CN"/>
        </w:rPr>
        <w:t>12月大足区</w:t>
      </w:r>
      <w:r>
        <w:rPr>
          <w:rFonts w:hint="eastAsia" w:ascii="新宋体" w:hAnsi="新宋体" w:eastAsia="新宋体" w:cs="新宋体"/>
          <w:sz w:val="24"/>
          <w:szCs w:val="24"/>
        </w:rPr>
        <w:t>不含税信息价进行计价及调差，《重庆工程造价信息》没有的材料</w:t>
      </w:r>
      <w:r>
        <w:rPr>
          <w:rFonts w:hint="eastAsia" w:ascii="新宋体" w:hAnsi="新宋体" w:eastAsia="新宋体" w:cs="新宋体"/>
          <w:sz w:val="24"/>
          <w:szCs w:val="24"/>
          <w:lang w:val="en-US" w:eastAsia="zh-CN"/>
        </w:rPr>
        <w:t>由采购人和承包供应商共同签证确认</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材料价格为不含税价。下浮基数不含安全文明施工费、认质核价的材料费、规费、税金】。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双方责任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(一)甲方责任: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1.向乙方进行定位放线、试验等交底:向乙方交底该工程质量、技术、进度、环境保护、安全文明施工等措施和各项技术标准:做好各项交底资料及记录。</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2.随时对乙方进行质量、技术、进度、环境保护、安全文明施工等方面的检查、监督和评定，及时要求乙方整改检查时发现的问题并跟踪其整改落实情况。</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 xml:space="preserve"> (二)乙方责任: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1.在施工过程中发生的一切安全事故及其他内部纠纷，由乙方自行处理并承担全部经济责任，乙方无偿配合和协助甲方完善竣工验收资料。</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2.乙方凡进入施工場地的人员必须执行国家、行业法规，执行甲、乙双方共同约定的各项规章制度。</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不严格按《建设工程质量管理条例》、《工程建设标准强制性条文》执行。在施工中违反《工程建设标准强制性条文》有关规定和不按设计施工图纸、审核批准的施工组织设计和施工方案及现行施工验收规范和施工操作规程施工，经甲方或监理单位发现，除乙方应立即纠正整改外，每发生一次，甲方有权计收乙方1000元违约金。</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4.乙方必须保证在开工之日所有管理人员到岗，且在本工程施工期间保证劳务人员的充足，以达到本工程顺利完工。</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5.乙方有责任配合其它各工种的施工并不得影响其它后续工序施工，有责任尽量为后续工序的施工创造条件。</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6.乙方必须严格按照甲方施工现场的安全文明施工管理要求做好各项工作。</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7.工程预验收合格之日，乙方应从施工现场清理运出各种设备、剩余材料、垃圾和各种临时设施，并保证做到工完料尽，整个现场及工程整洁，直到经监理工程师和甲方确认并验收合格为止。</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工程质量约定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ascii="新宋体" w:hAnsi="新宋体" w:eastAsia="新宋体" w:cs="新宋体"/>
          <w:sz w:val="24"/>
          <w:szCs w:val="24"/>
        </w:rPr>
        <w:t>1.乙方承包的工程必须全部按期完成，工程质量必须全部达到合格。</w:t>
      </w:r>
      <w:r>
        <w:rPr>
          <w:rFonts w:hint="eastAsia" w:ascii="新宋体" w:hAnsi="新宋体" w:eastAsia="新宋体" w:cs="新宋体"/>
          <w:sz w:val="24"/>
          <w:szCs w:val="24"/>
          <w:lang w:val="en-US" w:eastAsia="zh-CN"/>
        </w:rPr>
        <w:t>质量保证期（期限：自工程竣工验收合格之日起   年）内由乙方进行免费维护保养。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2.乙方必须按照甲方的质量、技术、进度、环境保护、安全及文明施工等方面的工作安排组织工作。</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在地方政府质监机构、业主、监理等检査中，若发现乙方施工工程质量不合格，乙方必须在检査单位所规定的时间内无偿返工整改合格，由此造成的一切损失(材料费、机械费、误工费、劳务费等)全部由乙方承担。</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工程进度约定</w:t>
      </w:r>
    </w:p>
    <w:p>
      <w:pPr>
        <w:tabs>
          <w:tab w:val="left" w:pos="1290"/>
        </w:tabs>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1．乙方必须按照合同约定工期，配备相应的保障完成任务的施工人员并制定相应的保障措施。必须保证在甲方规定的节点工期内完成指定的工作任务。</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合同约定工期及甲方工程项目部的进度计划配备相应的保障完成任务的施工人员并制定相应的保障措施。必须保证在甲方规定的节点工期内完成指定的工作任务。乙方不能按照进度完成的，经甲方书面通知后，乙方须在3日内达到进度要求，乙方仍然达不到进度要求的，甲方有权立即解除合同，要求乙方支付3万元的违约金，且甲方有权按乙方工作量的60%计算工程款。乙方接到甲方解除合同通知后，必须在3日内无条件离场，逾期按每日5000元向甲方支付违约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安全</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1.在施工中，甲、乙双方应严格贯彻执行《重庆市建设工程安全生产监督管理办法》(渝建发[2008]177号)等相关规定，并履行好乙方的施工安全责任。</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2.甲、乙双方应严格遵守承包生产必须承包安全的规定。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3.乙方进入施工现场的施工人员必须事先登记注册，严格按照建委、安监局等相关职能部门对岗位证书的要求持证上岗。乙方全部证书需报甲方备案。</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4.乙方必须按规定对所属人员进行经常性的安全教育、法制教育和操作规程的学习，提高所属人员对安全生产重大意义的认识，增强自我保护能力，自觉遵章守纪，严格按照规程办事。</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5.乙方人员应配备合格安全帽、安全带、安全网等防护用品或设施。</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6.乙方在施工中如发现非乙方承包范围的不安全因素，要及时向甲方现场负责人报告，整改后方可施工，严禁违章冒险作业。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乙方应严格遵守承包生产必须承包安全的规定。若因乙方违规违章作业所发生的伤、残、死亡事故，均由乙方自行负责。其他工伤事故按有关法律执行。劳务施工队伍严格遵照施工安全规程，加强安全教育和检查，配齐安全人员，保障安全所需的一切设备，杜绝安全事故的发生。若发生安全事故，由乙方自行承担全部后果责任以及因此给甲方造成的全部损失（包含但不限于甲方为处理该等事故所支出的行政罚款、赔偿款、补偿款、诉讼费、保全费、保全担保费、律师费等），并向甲方支付3万元的违约金。</w:t>
      </w:r>
    </w:p>
    <w:p>
      <w:pPr>
        <w:numPr>
          <w:ilvl w:val="0"/>
          <w:numId w:val="5"/>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其他规定</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1.本合同签定后，乙方因自身原因造成的退场，其当月工程量的费用将不予结算并做为违约金赔偿甲方，乙方损失由乙方自负。若影响甲方施工进度或施工现场管理的，乙方还需承担相应的经济损失。</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2.因其它各种原因乙方不能进行施工，乙方需提前5天向甲方项目部提出并保证在其它队伍进场前的施工正常进行；否则，造成的损失由乙方全部承担。</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3.乙方如果因自身队伍人员技术素质等原因不能达到甲方与业主所签总合同的质量、工期、环境保护、安全及文明施工要求以及有违法乱纪等行为，甲方有权终止本合同。</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4.本合同未尽事宜，由甲、乙双方协商解決。若发生争议，双方中任何一方可向重庆市大足区人民法院提起诉讼。守约方在诉讼中所支出的诉讼费、保全费、律师费、保全担保费等均由违约方承担。</w:t>
      </w:r>
    </w:p>
    <w:p>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5.本合同一式伍份，甲方执肆份，乙方执壹份。甲乙双方签字盖章(并骑缝章)后生效。本合同附件与合同具有同等法律效力。</w:t>
      </w:r>
    </w:p>
    <w:p>
      <w:pPr>
        <w:pStyle w:val="19"/>
        <w:spacing w:line="360" w:lineRule="auto"/>
        <w:ind w:firstLine="240"/>
        <w:rPr>
          <w:rFonts w:ascii="新宋体" w:hAnsi="新宋体" w:eastAsia="新宋体" w:cs="新宋体"/>
          <w:sz w:val="24"/>
          <w:szCs w:val="24"/>
        </w:rPr>
      </w:pPr>
    </w:p>
    <w:p>
      <w:pPr>
        <w:spacing w:line="360" w:lineRule="auto"/>
        <w:jc w:val="left"/>
        <w:rPr>
          <w:rFonts w:ascii="新宋体" w:hAnsi="新宋体" w:eastAsia="新宋体" w:cs="新宋体"/>
          <w:sz w:val="24"/>
          <w:szCs w:val="24"/>
        </w:rPr>
      </w:pP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甲方（公章）：                               乙方（公章）：</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法定代表人：                                法定代表人：</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经办人：                                    委托代理人：</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电话：                                      电话：</w:t>
      </w:r>
    </w:p>
    <w:p>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签订日期</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 年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 签订日期：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w:t>
      </w:r>
    </w:p>
    <w:p>
      <w:pPr>
        <w:rPr>
          <w:sz w:val="24"/>
          <w:szCs w:val="24"/>
        </w:rPr>
      </w:pPr>
      <w:r>
        <w:rPr>
          <w:sz w:val="24"/>
          <w:szCs w:val="24"/>
        </w:rPr>
        <w:br w:type="page"/>
      </w:r>
    </w:p>
    <w:p>
      <w:pPr>
        <w:spacing w:before="221" w:beforeLines="50" w:after="221" w:afterLines="50"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廉洁从业协议</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发包人（全称）：</w:t>
      </w:r>
      <w:r>
        <w:rPr>
          <w:rFonts w:hint="eastAsia" w:ascii="宋体" w:hAnsi="宋体" w:cs="宋体"/>
          <w:color w:val="auto"/>
          <w:sz w:val="24"/>
          <w:szCs w:val="24"/>
          <w:highlight w:val="none"/>
          <w:u w:val="single"/>
        </w:rPr>
        <w:t xml:space="preserve">                             </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承包人（全称）：</w:t>
      </w:r>
      <w:r>
        <w:rPr>
          <w:rFonts w:hint="eastAsia" w:ascii="宋体" w:hAnsi="宋体" w:cs="宋体"/>
          <w:color w:val="auto"/>
          <w:sz w:val="24"/>
          <w:szCs w:val="24"/>
          <w:highlight w:val="none"/>
          <w:u w:val="single"/>
        </w:rPr>
        <w:t xml:space="preserve">                             </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 发包人承包人的权利和义务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（1）严格遵守党的政策规定和国家有关法律法规及相关部门的有关规定。</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（2）严格执行 工程的合同文件，自觉按合同办事。</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（3）双方的业务活动坚持公开、公正、诚信、透明的原则（法律认定的商业秘密和合同文件另有规定除外），不得损害国家和集体利益，违反工程建设管理规章制度。</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（4）建立健全廉政制度，开展廉政教育，设立廉政告示牌，公布举报电话，监督并认真查处违法违纪行为。</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（5）发现对方在业务活动中有违反廉政规定的行为，有及时提醒对方纠正的权利和义务。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（6）发现对方严重违反协议义务条款的行为，有向其上级有关部门举报、建议给予处理并要求告知处理结果的权利。</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发包人的义务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（1）发包人及其工作人员不得索要或接受承包人的礼金、有价证券和贵重物品，不得在承包人报销任何应由发包人或发包人工作人员个人支付的费用等。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（2）发包人工作人员不得参加承包人安排的超标准宴请和娱乐活动；不得接受承包人提供的通讯工具、交通工具和高档办公用品等。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（3）发包人及其工作人员不得要求或者接受承包人为其住房装修、婚丧嫁娶活动、配偶子女的工作安排以及出国出境、旅游等提供方便等。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（4）发包人工作人员及其配偶、子女不得从事与发包人工程有关的材料设备供应、工程分包、劳务等经济活动等。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（5）发包人及其工作人员不得以任何理由向承包人推荐分包单位或推销材料，不得要求承包人购买合同规定外的材料和设备。</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（6）发包人工作人员要秉公办事，不准营私舞弊，不准利用职权从事各种个人有偿中介活动和安排个人施工队伍。</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承包人义务</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（1）承包人不得以任何理由向发包人及其工作人员行贿或馈赠礼金、有价证券、贵重礼品。</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（2）承包人不得以任何名义为发包人及其工作人员报销应由发包人单位或个人支付的任何费用。</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（3）承包人不得以任何理由安排发包人工作人员参加超标准宴请及娱乐活动。</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（4）承包人不得为发包人单位和个人购置或提供通讯工具、交通工具和高档办公用品等。</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 违约责任</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（2）承包人及其工作人员违反合同第1、3条，按管理权限，依据有关规定给予党纪、政纪或组织处理；给发包人单位造成经济损失的，应予以赔偿。</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 协议有效期为甲乙双方签署之日起至该工程项目竣工验收后止。</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7.协议作为 工程施工合同的附件，与工程施工合同具有同等的法律效力，经合同双方签署立即生效。</w:t>
      </w:r>
    </w:p>
    <w:p>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     方：                         乙     方：</w:t>
      </w: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法定代表人                          法定代表人                      </w:t>
      </w: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或其授权的代理人：                  或授权的代理人：</w:t>
      </w: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before="156" w:beforeLines="50" w:after="156" w:afterLines="50" w:line="360" w:lineRule="auto"/>
        <w:jc w:val="center"/>
        <w:rPr>
          <w:rFonts w:ascii="宋体" w:hAnsi="宋体"/>
          <w:sz w:val="24"/>
          <w:szCs w:val="24"/>
        </w:rPr>
      </w:pPr>
      <w:bookmarkStart w:id="269" w:name="_Toc336680145"/>
      <w:bookmarkStart w:id="270" w:name="_Toc247431422"/>
      <w:bookmarkStart w:id="271" w:name="_Toc448406299"/>
      <w:bookmarkStart w:id="272" w:name="_Toc435689499"/>
      <w:bookmarkStart w:id="273" w:name="_Toc239510288"/>
      <w:bookmarkStart w:id="274" w:name="_Toc435690184"/>
      <w:r>
        <w:rPr>
          <w:rFonts w:hint="eastAsia" w:ascii="宋体" w:hAnsi="宋体"/>
          <w:sz w:val="24"/>
          <w:szCs w:val="24"/>
        </w:rPr>
        <w:t>工程质量保修书</w:t>
      </w:r>
    </w:p>
    <w:p>
      <w:pPr>
        <w:snapToGrid w:val="0"/>
        <w:spacing w:line="360" w:lineRule="auto"/>
        <w:ind w:firstLine="482" w:firstLineChars="200"/>
        <w:rPr>
          <w:rFonts w:ascii="宋体" w:hAnsi="宋体"/>
          <w:b/>
          <w:sz w:val="24"/>
          <w:szCs w:val="24"/>
          <w:u w:val="single"/>
        </w:rPr>
      </w:pPr>
      <w:r>
        <w:rPr>
          <w:rFonts w:hint="eastAsia" w:ascii="宋体" w:hAnsi="宋体"/>
          <w:b/>
          <w:sz w:val="24"/>
          <w:szCs w:val="24"/>
        </w:rPr>
        <w:t>发包人（全称）：</w:t>
      </w:r>
      <w:r>
        <w:rPr>
          <w:rFonts w:hint="eastAsia" w:ascii="宋体" w:hAnsi="宋体"/>
          <w:sz w:val="24"/>
          <w:szCs w:val="24"/>
          <w:u w:val="single"/>
        </w:rPr>
        <w:t xml:space="preserve">                             </w:t>
      </w:r>
    </w:p>
    <w:p>
      <w:pPr>
        <w:snapToGrid w:val="0"/>
        <w:spacing w:line="360" w:lineRule="auto"/>
        <w:ind w:firstLine="482" w:firstLineChars="200"/>
        <w:rPr>
          <w:rFonts w:ascii="宋体" w:hAnsi="宋体"/>
          <w:b/>
          <w:sz w:val="24"/>
          <w:szCs w:val="24"/>
          <w:u w:val="single"/>
        </w:rPr>
      </w:pPr>
      <w:r>
        <w:rPr>
          <w:rFonts w:hint="eastAsia" w:ascii="宋体" w:hAnsi="宋体"/>
          <w:b/>
          <w:sz w:val="24"/>
          <w:szCs w:val="24"/>
        </w:rPr>
        <w:t>承包人（全称）：</w:t>
      </w:r>
      <w:r>
        <w:rPr>
          <w:rFonts w:hint="eastAsia" w:ascii="宋体" w:hAnsi="宋体"/>
          <w:sz w:val="24"/>
          <w:szCs w:val="24"/>
          <w:u w:val="single"/>
        </w:rPr>
        <w:t xml:space="preserve">                             </w:t>
      </w:r>
    </w:p>
    <w:p>
      <w:pPr>
        <w:spacing w:line="360" w:lineRule="auto"/>
        <w:ind w:firstLine="480" w:firstLineChars="200"/>
        <w:rPr>
          <w:rFonts w:ascii="宋体" w:hAnsi="宋体"/>
          <w:sz w:val="24"/>
          <w:szCs w:val="24"/>
        </w:rPr>
      </w:pPr>
      <w:r>
        <w:rPr>
          <w:rFonts w:hint="eastAsia" w:ascii="宋体" w:hAnsi="宋体"/>
          <w:sz w:val="24"/>
          <w:szCs w:val="24"/>
        </w:rPr>
        <w:t>发包人和承包人根据《中华人民共和国建筑法》和《建设工程质量管理条例》，经协商一致就</w:t>
      </w:r>
    </w:p>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（工程全称）签订工程质量保修书。</w:t>
      </w:r>
    </w:p>
    <w:p>
      <w:pPr>
        <w:spacing w:line="360" w:lineRule="auto"/>
        <w:ind w:firstLine="480" w:firstLineChars="200"/>
        <w:rPr>
          <w:rFonts w:ascii="宋体" w:hAnsi="宋体"/>
          <w:sz w:val="24"/>
          <w:szCs w:val="24"/>
        </w:rPr>
      </w:pPr>
      <w:bookmarkStart w:id="275" w:name="_Toc532375687"/>
      <w:r>
        <w:rPr>
          <w:rFonts w:hint="eastAsia" w:ascii="宋体" w:hAnsi="宋体"/>
          <w:sz w:val="24"/>
          <w:szCs w:val="24"/>
        </w:rPr>
        <w:t>一、工程质量保修范围和内容</w:t>
      </w:r>
      <w:bookmarkEnd w:id="275"/>
    </w:p>
    <w:p>
      <w:pPr>
        <w:spacing w:line="360" w:lineRule="auto"/>
        <w:ind w:firstLine="480" w:firstLineChars="200"/>
        <w:rPr>
          <w:rFonts w:ascii="宋体" w:hAnsi="宋体"/>
          <w:sz w:val="24"/>
          <w:szCs w:val="24"/>
        </w:rPr>
      </w:pPr>
      <w:r>
        <w:rPr>
          <w:rFonts w:hint="eastAsia" w:ascii="宋体" w:hAnsi="宋体"/>
          <w:sz w:val="24"/>
          <w:szCs w:val="24"/>
        </w:rPr>
        <w:t>承包人在质量保修期内，按照有关法律规定和合同约定，承担工程质量保修责任。</w:t>
      </w:r>
    </w:p>
    <w:p>
      <w:pPr>
        <w:spacing w:line="360" w:lineRule="auto"/>
        <w:ind w:firstLine="480" w:firstLineChars="200"/>
        <w:rPr>
          <w:rFonts w:ascii="宋体" w:hAnsi="宋体"/>
          <w:sz w:val="24"/>
          <w:szCs w:val="24"/>
        </w:rPr>
      </w:pPr>
      <w:r>
        <w:rPr>
          <w:rFonts w:hint="eastAsia"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80" w:firstLineChars="200"/>
        <w:rPr>
          <w:rFonts w:ascii="宋体" w:hAnsi="宋体"/>
          <w:sz w:val="24"/>
          <w:szCs w:val="24"/>
        </w:rPr>
      </w:pPr>
      <w:r>
        <w:rPr>
          <w:rFonts w:hint="eastAsia" w:ascii="宋体" w:hAnsi="宋体"/>
          <w:sz w:val="24"/>
          <w:szCs w:val="24"/>
        </w:rPr>
        <w:t>承包人承包范围内容均属质量保修范围内容；其中：</w:t>
      </w:r>
    </w:p>
    <w:p>
      <w:pPr>
        <w:spacing w:line="360" w:lineRule="auto"/>
        <w:ind w:firstLine="480" w:firstLineChars="200"/>
        <w:rPr>
          <w:rFonts w:ascii="宋体" w:hAnsi="宋体"/>
          <w:sz w:val="24"/>
          <w:szCs w:val="24"/>
        </w:rPr>
      </w:pPr>
      <w:r>
        <w:rPr>
          <w:rFonts w:hint="eastAsia" w:ascii="宋体" w:hAnsi="宋体"/>
          <w:sz w:val="24"/>
          <w:szCs w:val="24"/>
        </w:rPr>
        <w:t>1.属于设计原因造成的质量问题，承包人负责维修，不留隐患，费用由发包人承担；</w:t>
      </w:r>
    </w:p>
    <w:p>
      <w:pPr>
        <w:spacing w:line="360" w:lineRule="auto"/>
        <w:ind w:firstLine="480" w:firstLineChars="200"/>
        <w:rPr>
          <w:rFonts w:ascii="宋体" w:hAnsi="宋体"/>
          <w:sz w:val="24"/>
          <w:szCs w:val="24"/>
        </w:rPr>
      </w:pPr>
      <w:r>
        <w:rPr>
          <w:rFonts w:hint="eastAsia" w:ascii="宋体" w:hAnsi="宋体"/>
          <w:sz w:val="24"/>
          <w:szCs w:val="24"/>
        </w:rPr>
        <w:t>2.属于施工造成的质量问题，承包人负责维修，不留隐患；</w:t>
      </w:r>
    </w:p>
    <w:p>
      <w:pPr>
        <w:spacing w:line="360" w:lineRule="auto"/>
        <w:ind w:firstLine="480" w:firstLineChars="200"/>
        <w:rPr>
          <w:rFonts w:ascii="宋体" w:hAnsi="宋体"/>
          <w:sz w:val="24"/>
          <w:szCs w:val="24"/>
        </w:rPr>
      </w:pPr>
      <w:r>
        <w:rPr>
          <w:rFonts w:hint="eastAsia" w:ascii="宋体" w:hAnsi="宋体"/>
          <w:sz w:val="24"/>
          <w:szCs w:val="24"/>
        </w:rPr>
        <w:t>3.属于业主使用不当造成的质量问题，配合抢修，费用由发包人承担。</w:t>
      </w:r>
    </w:p>
    <w:p>
      <w:pPr>
        <w:spacing w:line="360" w:lineRule="auto"/>
        <w:ind w:firstLine="480" w:firstLineChars="200"/>
        <w:rPr>
          <w:rFonts w:ascii="宋体" w:hAnsi="宋体"/>
          <w:sz w:val="24"/>
          <w:szCs w:val="24"/>
        </w:rPr>
      </w:pPr>
      <w:bookmarkStart w:id="276" w:name="_Toc532375688"/>
      <w:r>
        <w:rPr>
          <w:rFonts w:hint="eastAsia" w:ascii="宋体" w:hAnsi="宋体"/>
          <w:sz w:val="24"/>
          <w:szCs w:val="24"/>
        </w:rPr>
        <w:t>二、质量保修期</w:t>
      </w:r>
      <w:bookmarkEnd w:id="276"/>
    </w:p>
    <w:p>
      <w:pPr>
        <w:spacing w:line="360" w:lineRule="auto"/>
        <w:ind w:firstLine="480" w:firstLineChars="200"/>
        <w:rPr>
          <w:rFonts w:ascii="宋体" w:hAnsi="宋体"/>
          <w:sz w:val="24"/>
          <w:szCs w:val="24"/>
        </w:rPr>
      </w:pPr>
      <w:r>
        <w:rPr>
          <w:rFonts w:hint="eastAsia" w:ascii="宋体" w:hAnsi="宋体"/>
          <w:sz w:val="24"/>
          <w:szCs w:val="24"/>
        </w:rPr>
        <w:t>根据《建设工程质量管理条例》及有关规定，本工程质量保修期约定如下：</w:t>
      </w:r>
    </w:p>
    <w:p>
      <w:pPr>
        <w:spacing w:line="360" w:lineRule="auto"/>
        <w:ind w:firstLine="480" w:firstLineChars="200"/>
        <w:rPr>
          <w:rFonts w:ascii="宋体" w:hAnsi="宋体"/>
          <w:sz w:val="24"/>
          <w:szCs w:val="24"/>
        </w:rPr>
      </w:pPr>
      <w:r>
        <w:rPr>
          <w:rFonts w:hint="eastAsia" w:ascii="宋体" w:hAnsi="宋体"/>
          <w:sz w:val="24"/>
          <w:szCs w:val="24"/>
        </w:rPr>
        <w:t>1.基础设施工程、房屋建筑的地基基础工程和主体结构工程，为设计文件规定的该工程的合理使用年限；</w:t>
      </w:r>
    </w:p>
    <w:p>
      <w:pPr>
        <w:spacing w:line="360" w:lineRule="auto"/>
        <w:ind w:firstLine="480" w:firstLineChars="200"/>
        <w:rPr>
          <w:rFonts w:ascii="宋体" w:hAnsi="宋体"/>
          <w:sz w:val="24"/>
          <w:szCs w:val="24"/>
        </w:rPr>
      </w:pPr>
      <w:r>
        <w:rPr>
          <w:rFonts w:hint="eastAsia" w:ascii="宋体" w:hAnsi="宋体"/>
          <w:sz w:val="24"/>
          <w:szCs w:val="24"/>
        </w:rPr>
        <w:t>2.屋面防水工程、有防水要求的卫生间、房间和外墙面的防渗漏，为5年；</w:t>
      </w:r>
    </w:p>
    <w:p>
      <w:pPr>
        <w:spacing w:line="360" w:lineRule="auto"/>
        <w:ind w:firstLine="480" w:firstLineChars="200"/>
        <w:rPr>
          <w:rFonts w:ascii="宋体" w:hAnsi="宋体"/>
          <w:sz w:val="24"/>
          <w:szCs w:val="24"/>
        </w:rPr>
      </w:pPr>
      <w:r>
        <w:rPr>
          <w:rFonts w:hint="eastAsia" w:ascii="宋体" w:hAnsi="宋体"/>
          <w:sz w:val="24"/>
          <w:szCs w:val="24"/>
        </w:rPr>
        <w:t>3.供热与供冷系统，为2个采暖期、供冷期；</w:t>
      </w:r>
    </w:p>
    <w:p>
      <w:pPr>
        <w:spacing w:line="360" w:lineRule="auto"/>
        <w:ind w:firstLine="480" w:firstLineChars="200"/>
        <w:rPr>
          <w:rFonts w:ascii="宋体" w:hAnsi="宋体"/>
          <w:sz w:val="24"/>
          <w:szCs w:val="24"/>
        </w:rPr>
      </w:pPr>
      <w:r>
        <w:rPr>
          <w:rFonts w:hint="eastAsia" w:ascii="宋体" w:hAnsi="宋体"/>
          <w:sz w:val="24"/>
          <w:szCs w:val="24"/>
        </w:rPr>
        <w:t>4.电气管线、给排水管道、设备安装和装修工程，为2年；</w:t>
      </w:r>
    </w:p>
    <w:p>
      <w:pPr>
        <w:spacing w:line="360" w:lineRule="auto"/>
        <w:ind w:firstLine="480" w:firstLineChars="200"/>
        <w:rPr>
          <w:rFonts w:ascii="宋体" w:hAnsi="宋体"/>
          <w:sz w:val="24"/>
          <w:szCs w:val="24"/>
        </w:rPr>
      </w:pPr>
      <w:r>
        <w:rPr>
          <w:rFonts w:hint="eastAsia" w:ascii="宋体" w:hAnsi="宋体"/>
          <w:sz w:val="24"/>
          <w:szCs w:val="24"/>
        </w:rPr>
        <w:t>5.其他项目保修期限：</w:t>
      </w:r>
      <w:r>
        <w:rPr>
          <w:rFonts w:hint="eastAsia" w:ascii="宋体" w:hAnsi="宋体"/>
          <w:sz w:val="24"/>
          <w:szCs w:val="24"/>
          <w:u w:val="single"/>
        </w:rPr>
        <w:t>2年</w:t>
      </w:r>
      <w:r>
        <w:rPr>
          <w:rFonts w:hint="eastAsia" w:ascii="宋体" w:hAnsi="宋体"/>
          <w:sz w:val="24"/>
          <w:szCs w:val="24"/>
        </w:rPr>
        <w:t>；</w:t>
      </w:r>
      <w:r>
        <w:rPr>
          <w:rFonts w:hint="eastAsia" w:ascii="宋体" w:hAnsi="宋体"/>
          <w:i/>
          <w:sz w:val="24"/>
          <w:szCs w:val="24"/>
        </w:rPr>
        <w:t>[提示：如有不同，根据具体情况修改]</w:t>
      </w:r>
    </w:p>
    <w:p>
      <w:pPr>
        <w:spacing w:line="360" w:lineRule="auto"/>
        <w:ind w:firstLine="480" w:firstLineChars="200"/>
        <w:rPr>
          <w:rFonts w:ascii="宋体" w:hAnsi="宋体"/>
          <w:sz w:val="24"/>
          <w:szCs w:val="24"/>
        </w:rPr>
      </w:pPr>
      <w:r>
        <w:rPr>
          <w:rFonts w:hint="eastAsia" w:ascii="宋体" w:hAnsi="宋体"/>
          <w:sz w:val="24"/>
          <w:szCs w:val="24"/>
        </w:rPr>
        <w:t>建设工程的保修期，自工程竣工验收合格之日起计算。</w:t>
      </w:r>
    </w:p>
    <w:p>
      <w:pPr>
        <w:spacing w:line="360" w:lineRule="auto"/>
        <w:ind w:firstLine="480" w:firstLineChars="200"/>
        <w:rPr>
          <w:rFonts w:ascii="宋体" w:hAnsi="宋体"/>
          <w:sz w:val="24"/>
          <w:szCs w:val="24"/>
        </w:rPr>
      </w:pPr>
      <w:bookmarkStart w:id="277" w:name="_Toc532375689"/>
      <w:r>
        <w:rPr>
          <w:rFonts w:hint="eastAsia" w:ascii="宋体" w:hAnsi="宋体"/>
          <w:sz w:val="24"/>
          <w:szCs w:val="24"/>
        </w:rPr>
        <w:t>三、质量保修责任</w:t>
      </w:r>
      <w:bookmarkEnd w:id="277"/>
    </w:p>
    <w:p>
      <w:pPr>
        <w:spacing w:line="360" w:lineRule="auto"/>
        <w:ind w:firstLine="480" w:firstLineChars="200"/>
        <w:rPr>
          <w:rFonts w:ascii="宋体" w:hAnsi="宋体"/>
          <w:sz w:val="24"/>
          <w:szCs w:val="24"/>
        </w:rPr>
      </w:pPr>
      <w:r>
        <w:rPr>
          <w:rFonts w:hint="eastAsia" w:ascii="宋体" w:hAnsi="宋体"/>
          <w:sz w:val="24"/>
          <w:szCs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ascii="宋体" w:hAnsi="宋体"/>
          <w:sz w:val="24"/>
          <w:szCs w:val="24"/>
        </w:rPr>
      </w:pPr>
      <w:r>
        <w:rPr>
          <w:rFonts w:hint="eastAsia" w:ascii="宋体" w:hAnsi="宋体"/>
          <w:sz w:val="24"/>
          <w:szCs w:val="24"/>
        </w:rPr>
        <w:t>2.发生紧急事故需抢修的，承包人在接到事故通知后，应当立即到达事故现场抢修。</w:t>
      </w:r>
    </w:p>
    <w:p>
      <w:pPr>
        <w:spacing w:line="360" w:lineRule="auto"/>
        <w:ind w:firstLine="480" w:firstLineChars="200"/>
        <w:rPr>
          <w:rFonts w:ascii="宋体" w:hAnsi="宋体"/>
          <w:sz w:val="24"/>
          <w:szCs w:val="24"/>
        </w:rPr>
      </w:pPr>
      <w:r>
        <w:rPr>
          <w:rFonts w:hint="eastAsia" w:ascii="宋体" w:hAnsi="宋体"/>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80" w:firstLineChars="200"/>
        <w:rPr>
          <w:rFonts w:ascii="宋体" w:hAnsi="宋体"/>
          <w:sz w:val="24"/>
          <w:szCs w:val="24"/>
        </w:rPr>
      </w:pPr>
      <w:r>
        <w:rPr>
          <w:rFonts w:hint="eastAsia" w:ascii="宋体" w:hAnsi="宋体"/>
          <w:sz w:val="24"/>
          <w:szCs w:val="24"/>
        </w:rPr>
        <w:t>4.质量保修完成后，由发包人组织验收。</w:t>
      </w:r>
    </w:p>
    <w:p>
      <w:pPr>
        <w:spacing w:line="360" w:lineRule="auto"/>
        <w:ind w:firstLine="480" w:firstLineChars="200"/>
        <w:rPr>
          <w:rFonts w:ascii="宋体" w:hAnsi="宋体"/>
          <w:sz w:val="24"/>
          <w:szCs w:val="24"/>
        </w:rPr>
      </w:pPr>
      <w:bookmarkStart w:id="278" w:name="_Toc532375690"/>
      <w:r>
        <w:rPr>
          <w:rFonts w:hint="eastAsia" w:ascii="宋体" w:hAnsi="宋体"/>
          <w:sz w:val="24"/>
          <w:szCs w:val="24"/>
        </w:rPr>
        <w:t>四、保修费用</w:t>
      </w:r>
      <w:bookmarkEnd w:id="278"/>
    </w:p>
    <w:p>
      <w:pPr>
        <w:spacing w:line="360" w:lineRule="auto"/>
        <w:ind w:firstLine="480" w:firstLineChars="200"/>
        <w:rPr>
          <w:rFonts w:ascii="宋体" w:hAnsi="宋体"/>
          <w:sz w:val="24"/>
          <w:szCs w:val="24"/>
        </w:rPr>
      </w:pPr>
      <w:r>
        <w:rPr>
          <w:rFonts w:hint="eastAsia" w:ascii="宋体" w:hAnsi="宋体"/>
          <w:sz w:val="24"/>
          <w:szCs w:val="24"/>
        </w:rPr>
        <w:t>保修费用由质量缺陷的责任方承担。</w:t>
      </w:r>
    </w:p>
    <w:p>
      <w:pPr>
        <w:spacing w:line="360" w:lineRule="auto"/>
        <w:ind w:firstLine="480" w:firstLineChars="200"/>
        <w:rPr>
          <w:rFonts w:ascii="宋体" w:hAnsi="宋体"/>
          <w:sz w:val="24"/>
          <w:szCs w:val="24"/>
        </w:rPr>
      </w:pPr>
      <w:bookmarkStart w:id="279" w:name="_Toc532375691"/>
      <w:r>
        <w:rPr>
          <w:rFonts w:hint="eastAsia" w:ascii="宋体" w:hAnsi="宋体"/>
          <w:sz w:val="24"/>
          <w:szCs w:val="24"/>
        </w:rPr>
        <w:t>五、双方约定的其他工程质量保修事项</w:t>
      </w:r>
    </w:p>
    <w:p>
      <w:pPr>
        <w:spacing w:line="360" w:lineRule="auto"/>
        <w:ind w:firstLine="480" w:firstLineChars="200"/>
        <w:rPr>
          <w:rFonts w:ascii="宋体" w:hAnsi="宋体"/>
          <w:sz w:val="24"/>
          <w:szCs w:val="24"/>
        </w:rPr>
      </w:pPr>
      <w:r>
        <w:rPr>
          <w:rFonts w:hint="eastAsia" w:ascii="宋体" w:hAnsi="宋体"/>
          <w:sz w:val="24"/>
          <w:szCs w:val="24"/>
          <w:u w:val="single"/>
        </w:rPr>
        <w:t>按国家相关法律和规定执行</w:t>
      </w:r>
      <w:r>
        <w:rPr>
          <w:rFonts w:hint="eastAsia" w:ascii="宋体" w:hAnsi="宋体"/>
          <w:sz w:val="24"/>
          <w:szCs w:val="24"/>
        </w:rPr>
        <w:t>。</w:t>
      </w:r>
      <w:bookmarkEnd w:id="279"/>
    </w:p>
    <w:p>
      <w:pPr>
        <w:spacing w:line="360" w:lineRule="auto"/>
        <w:ind w:firstLine="480" w:firstLineChars="200"/>
        <w:rPr>
          <w:rFonts w:ascii="宋体" w:hAnsi="宋体"/>
          <w:sz w:val="24"/>
          <w:szCs w:val="24"/>
        </w:rPr>
      </w:pPr>
      <w:r>
        <w:rPr>
          <w:rFonts w:hint="eastAsia" w:ascii="宋体" w:hAnsi="宋体"/>
          <w:sz w:val="24"/>
          <w:szCs w:val="24"/>
        </w:rPr>
        <w:t>本工程质量保修书由发包人、承包人在工程竣工验收前共同签署，作为施工合同附件，其有效期限至保修期满。</w:t>
      </w:r>
    </w:p>
    <w:p>
      <w:pPr>
        <w:spacing w:line="360" w:lineRule="auto"/>
        <w:ind w:firstLine="480" w:firstLineChars="200"/>
        <w:rPr>
          <w:rFonts w:ascii="宋体" w:hAnsi="宋体"/>
          <w:sz w:val="24"/>
          <w:szCs w:val="24"/>
        </w:rPr>
      </w:pPr>
      <w:r>
        <w:rPr>
          <w:rFonts w:ascii="宋体" w:hAnsi="宋体"/>
          <w:sz w:val="24"/>
          <w:szCs w:val="24"/>
        </w:rPr>
        <w:t>六</w:t>
      </w:r>
      <w:r>
        <w:rPr>
          <w:rFonts w:hint="eastAsia" w:ascii="宋体" w:hAnsi="宋体"/>
          <w:sz w:val="24"/>
          <w:szCs w:val="24"/>
        </w:rPr>
        <w:t>、</w:t>
      </w:r>
      <w:r>
        <w:rPr>
          <w:rFonts w:ascii="宋体" w:hAnsi="宋体"/>
          <w:sz w:val="24"/>
          <w:szCs w:val="24"/>
        </w:rPr>
        <w:t>本文件生效</w:t>
      </w:r>
    </w:p>
    <w:p>
      <w:pPr>
        <w:spacing w:line="360" w:lineRule="auto"/>
        <w:ind w:firstLine="480" w:firstLineChars="200"/>
        <w:rPr>
          <w:rFonts w:ascii="宋体" w:hAnsi="宋体"/>
          <w:sz w:val="24"/>
          <w:szCs w:val="24"/>
        </w:rPr>
      </w:pPr>
      <w:r>
        <w:rPr>
          <w:rFonts w:hint="eastAsia" w:ascii="宋体" w:hAnsi="宋体"/>
          <w:sz w:val="24"/>
          <w:szCs w:val="24"/>
        </w:rPr>
        <w:t>本工程质量保修书经发包人与承包人盖章后生效。</w:t>
      </w:r>
    </w:p>
    <w:p>
      <w:pPr>
        <w:pStyle w:val="2"/>
        <w:spacing w:line="360" w:lineRule="auto"/>
        <w:ind w:firstLine="480" w:firstLineChars="200"/>
        <w:rPr>
          <w:rFonts w:ascii="宋体" w:hAnsi="宋体"/>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发包人：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（盖单位公章）</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法定代表人或其委托代理人：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（签名）</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z w:val="24"/>
          <w:szCs w:val="24"/>
        </w:rPr>
      </w:pPr>
      <w:r>
        <w:rPr>
          <w:rFonts w:hint="eastAsia" w:ascii="宋体" w:hAnsi="宋体"/>
          <w:snapToGrid w:val="0"/>
          <w:kern w:val="0"/>
          <w:sz w:val="24"/>
          <w:szCs w:val="24"/>
        </w:rPr>
        <w:t>承包人：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（盖单位公章）</w:t>
      </w: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snapToGrid w:val="0"/>
          <w:kern w:val="0"/>
          <w:sz w:val="24"/>
          <w:szCs w:val="24"/>
        </w:rPr>
      </w:pPr>
    </w:p>
    <w:p>
      <w:pPr>
        <w:spacing w:line="360" w:lineRule="auto"/>
        <w:ind w:firstLine="480" w:firstLineChars="200"/>
        <w:rPr>
          <w:rFonts w:ascii="宋体" w:hAnsi="宋体"/>
          <w:bCs/>
          <w:kern w:val="0"/>
          <w:sz w:val="24"/>
          <w:szCs w:val="24"/>
        </w:rPr>
      </w:pPr>
      <w:r>
        <w:rPr>
          <w:rFonts w:hint="eastAsia" w:ascii="宋体" w:hAnsi="宋体"/>
          <w:snapToGrid w:val="0"/>
          <w:kern w:val="0"/>
          <w:sz w:val="24"/>
          <w:szCs w:val="24"/>
        </w:rPr>
        <w:t>法定代表人或其委托代理人：</w:t>
      </w:r>
      <w:r>
        <w:rPr>
          <w:rFonts w:hint="eastAsia" w:ascii="宋体" w:hAnsi="宋体"/>
          <w:snapToGrid w:val="0"/>
          <w:kern w:val="0"/>
          <w:sz w:val="24"/>
          <w:szCs w:val="24"/>
          <w:u w:val="single"/>
        </w:rPr>
        <w:t xml:space="preserve">                </w:t>
      </w:r>
      <w:r>
        <w:rPr>
          <w:rFonts w:hint="eastAsia" w:ascii="宋体" w:hAnsi="宋体"/>
          <w:snapToGrid w:val="0"/>
          <w:kern w:val="0"/>
          <w:sz w:val="24"/>
          <w:szCs w:val="24"/>
        </w:rPr>
        <w:t>（签名）</w:t>
      </w:r>
    </w:p>
    <w:p>
      <w:pPr>
        <w:spacing w:line="360" w:lineRule="auto"/>
        <w:ind w:firstLine="478" w:firstLineChars="200"/>
        <w:rPr>
          <w:rFonts w:ascii="宋体" w:hAnsi="宋体"/>
          <w:snapToGrid w:val="0"/>
          <w:spacing w:val="1"/>
          <w:w w:val="99"/>
          <w:kern w:val="0"/>
          <w:position w:val="-2"/>
          <w:sz w:val="24"/>
          <w:szCs w:val="24"/>
        </w:rPr>
      </w:pPr>
    </w:p>
    <w:p>
      <w:pPr>
        <w:spacing w:line="360" w:lineRule="auto"/>
        <w:ind w:firstLine="478" w:firstLineChars="200"/>
        <w:rPr>
          <w:rFonts w:ascii="宋体" w:hAnsi="宋体"/>
          <w:snapToGrid w:val="0"/>
          <w:spacing w:val="1"/>
          <w:w w:val="99"/>
          <w:kern w:val="0"/>
          <w:position w:val="-2"/>
          <w:sz w:val="24"/>
          <w:szCs w:val="24"/>
        </w:rPr>
      </w:pPr>
    </w:p>
    <w:p>
      <w:pPr>
        <w:spacing w:line="360" w:lineRule="auto"/>
        <w:ind w:firstLine="480" w:firstLineChars="200"/>
        <w:rPr>
          <w:rFonts w:ascii="宋体" w:hAnsi="宋体"/>
          <w:snapToGrid w:val="0"/>
          <w:kern w:val="0"/>
          <w:sz w:val="24"/>
          <w:szCs w:val="24"/>
        </w:rPr>
      </w:pPr>
      <w:r>
        <w:rPr>
          <w:rFonts w:hint="eastAsia" w:ascii="宋体" w:hAnsi="宋体"/>
          <w:snapToGrid w:val="0"/>
          <w:kern w:val="0"/>
          <w:sz w:val="24"/>
          <w:szCs w:val="24"/>
        </w:rPr>
        <w:t>签约时间：</w:t>
      </w:r>
      <w:r>
        <w:rPr>
          <w:rFonts w:hint="eastAsia" w:ascii="宋体" w:hAnsi="宋体"/>
          <w:snapToGrid w:val="0"/>
          <w:kern w:val="0"/>
          <w:sz w:val="24"/>
          <w:szCs w:val="24"/>
          <w:u w:val="single"/>
        </w:rPr>
        <w:t xml:space="preserve">     </w:t>
      </w:r>
      <w:r>
        <w:rPr>
          <w:rFonts w:hint="eastAsia" w:ascii="宋体" w:hAnsi="宋体"/>
          <w:snapToGrid w:val="0"/>
          <w:kern w:val="0"/>
          <w:sz w:val="24"/>
          <w:szCs w:val="24"/>
        </w:rPr>
        <w:t>年</w:t>
      </w:r>
      <w:r>
        <w:rPr>
          <w:rFonts w:hint="eastAsia" w:ascii="宋体" w:hAnsi="宋体"/>
          <w:snapToGrid w:val="0"/>
          <w:kern w:val="0"/>
          <w:sz w:val="24"/>
          <w:szCs w:val="24"/>
          <w:u w:val="single"/>
        </w:rPr>
        <w:t xml:space="preserve">     </w:t>
      </w:r>
      <w:r>
        <w:rPr>
          <w:rFonts w:hint="eastAsia" w:ascii="宋体" w:hAnsi="宋体"/>
          <w:snapToGrid w:val="0"/>
          <w:kern w:val="0"/>
          <w:sz w:val="24"/>
          <w:szCs w:val="24"/>
        </w:rPr>
        <w:t>月</w:t>
      </w:r>
      <w:r>
        <w:rPr>
          <w:rFonts w:hint="eastAsia" w:ascii="宋体" w:hAnsi="宋体"/>
          <w:snapToGrid w:val="0"/>
          <w:kern w:val="0"/>
          <w:sz w:val="24"/>
          <w:szCs w:val="24"/>
          <w:u w:val="single"/>
        </w:rPr>
        <w:t xml:space="preserve">     </w:t>
      </w:r>
      <w:r>
        <w:rPr>
          <w:rFonts w:hint="eastAsia" w:ascii="宋体" w:hAnsi="宋体"/>
          <w:snapToGrid w:val="0"/>
          <w:kern w:val="0"/>
          <w:sz w:val="24"/>
          <w:szCs w:val="24"/>
        </w:rPr>
        <w:t>日</w:t>
      </w: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spacing w:before="221" w:beforeLines="50" w:after="221" w:afterLines="50" w:line="240" w:lineRule="auto"/>
        <w:jc w:val="center"/>
        <w:rPr>
          <w:rFonts w:hint="eastAsia" w:ascii="宋体" w:hAnsi="宋体" w:cs="宋体"/>
          <w:color w:val="auto"/>
          <w:sz w:val="24"/>
          <w:szCs w:val="24"/>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before="221" w:beforeLines="50" w:after="221" w:afterLines="50"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安全管理协议</w:t>
      </w:r>
      <w:bookmarkEnd w:id="269"/>
      <w:bookmarkEnd w:id="270"/>
      <w:bookmarkEnd w:id="271"/>
      <w:bookmarkEnd w:id="272"/>
      <w:bookmarkEnd w:id="273"/>
      <w:bookmarkEnd w:id="274"/>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发包人（全称）：</w:t>
      </w:r>
      <w:r>
        <w:rPr>
          <w:rFonts w:hint="eastAsia" w:ascii="宋体" w:hAnsi="宋体" w:cs="宋体"/>
          <w:color w:val="auto"/>
          <w:sz w:val="24"/>
          <w:szCs w:val="24"/>
          <w:highlight w:val="none"/>
          <w:u w:val="single"/>
        </w:rPr>
        <w:t xml:space="preserve">                             </w:t>
      </w:r>
    </w:p>
    <w:p>
      <w:pPr>
        <w:snapToGrid w:val="0"/>
        <w:spacing w:line="24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承包人（全称）：</w:t>
      </w:r>
      <w:r>
        <w:rPr>
          <w:rFonts w:hint="eastAsia" w:ascii="宋体" w:hAnsi="宋体" w:cs="宋体"/>
          <w:color w:val="auto"/>
          <w:sz w:val="24"/>
          <w:szCs w:val="24"/>
          <w:highlight w:val="none"/>
          <w:u w:val="single"/>
        </w:rPr>
        <w:t xml:space="preserve">                  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为了确保实现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安全生产目标，进一步明确双方的安全管理责任，加强安全生产管理工作的协调、管理力度，</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（以下简称“发包人”）与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240" w:lineRule="auto"/>
        <w:ind w:firstLine="480" w:firstLineChars="200"/>
        <w:rPr>
          <w:rFonts w:hint="eastAsia" w:ascii="宋体" w:hAnsi="宋体" w:cs="宋体"/>
          <w:color w:val="auto"/>
          <w:sz w:val="24"/>
          <w:szCs w:val="24"/>
          <w:highlight w:val="none"/>
        </w:rPr>
      </w:pPr>
      <w:bookmarkStart w:id="280" w:name="_Toc247418263"/>
      <w:bookmarkStart w:id="281" w:name="_Toc247431423"/>
      <w:bookmarkStart w:id="282" w:name="_Toc532375700"/>
      <w:bookmarkStart w:id="283" w:name="_Toc239510289"/>
      <w:r>
        <w:rPr>
          <w:rFonts w:hint="eastAsia" w:ascii="宋体" w:hAnsi="宋体" w:cs="宋体"/>
          <w:color w:val="auto"/>
          <w:sz w:val="24"/>
          <w:szCs w:val="24"/>
          <w:highlight w:val="none"/>
        </w:rPr>
        <w:t>一、协议有效期限</w:t>
      </w:r>
      <w:bookmarkEnd w:id="280"/>
      <w:bookmarkEnd w:id="281"/>
      <w:bookmarkEnd w:id="282"/>
      <w:bookmarkEnd w:id="283"/>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本协议中所涉及的安全管理责任自合同签订之日起开始生效，至合同工程全部完工验收且经发包人与承包人签订移交协议生效后之日终止。</w:t>
      </w:r>
    </w:p>
    <w:p>
      <w:pPr>
        <w:spacing w:line="240" w:lineRule="auto"/>
        <w:ind w:firstLine="480" w:firstLineChars="200"/>
        <w:rPr>
          <w:rFonts w:hint="eastAsia" w:ascii="宋体" w:hAnsi="宋体" w:cs="宋体"/>
          <w:color w:val="auto"/>
          <w:sz w:val="24"/>
          <w:szCs w:val="24"/>
          <w:highlight w:val="none"/>
        </w:rPr>
      </w:pPr>
      <w:bookmarkStart w:id="284" w:name="_Toc239510290"/>
      <w:bookmarkStart w:id="285" w:name="_Toc247418264"/>
      <w:bookmarkStart w:id="286" w:name="_Toc532375701"/>
      <w:bookmarkStart w:id="287" w:name="_Toc247431424"/>
      <w:r>
        <w:rPr>
          <w:rFonts w:hint="eastAsia" w:ascii="宋体" w:hAnsi="宋体" w:cs="宋体"/>
          <w:color w:val="auto"/>
          <w:sz w:val="24"/>
          <w:szCs w:val="24"/>
          <w:highlight w:val="none"/>
        </w:rPr>
        <w:t>二、责任目标</w:t>
      </w:r>
      <w:bookmarkEnd w:id="284"/>
      <w:bookmarkEnd w:id="285"/>
      <w:bookmarkEnd w:id="286"/>
      <w:bookmarkEnd w:id="287"/>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（一）承包人承诺承担和履行合同和发包人所规定的安全责任，且满足要求。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（二）承包人的安全控制目标是确保本工程在实施过程中：</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1．不发生人身重伤事故；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2．不发生火灾事故；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3．不发生负有同等及以上事故责任的造成人身重伤的一般交通事故；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4．不发生集体食物中毒事件（同时5人及以上的食物中毒）；</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5．不发生流行性传染病 （无甲型传染病、其他常见传染病未形成多人同时患病）；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6．不发生重大环境污染事件（生活、工业垃圾及其他污染物造成环境污染和大面积水土流失）；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7．不发生对施工区附近生产、生活造成重大影响的事件（如造成重大设备损坏、重大财产损失、人员伤害等）；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8．不发生治安保卫事件（构成刑事拘留及以上的事件、盗窃直接损失超过1万元人民币的事件）。</w:t>
      </w:r>
    </w:p>
    <w:p>
      <w:pPr>
        <w:spacing w:line="240" w:lineRule="auto"/>
        <w:ind w:firstLine="480" w:firstLineChars="200"/>
        <w:jc w:val="left"/>
        <w:rPr>
          <w:rFonts w:hint="eastAsia" w:ascii="宋体" w:hAnsi="宋体" w:cs="宋体"/>
          <w:color w:val="auto"/>
          <w:sz w:val="24"/>
          <w:szCs w:val="24"/>
          <w:highlight w:val="none"/>
        </w:rPr>
      </w:pPr>
      <w:bookmarkStart w:id="288" w:name="_Toc247418265"/>
      <w:bookmarkStart w:id="289" w:name="_Toc247431425"/>
      <w:bookmarkStart w:id="290" w:name="_Toc239510291"/>
      <w:r>
        <w:rPr>
          <w:rFonts w:hint="eastAsia" w:ascii="宋体" w:hAnsi="宋体" w:cs="宋体"/>
          <w:color w:val="auto"/>
          <w:sz w:val="24"/>
          <w:szCs w:val="24"/>
          <w:highlight w:val="none"/>
        </w:rPr>
        <w:t>（三）承包人承诺在施工中控制以下安全事故的发生：</w:t>
      </w:r>
      <w:bookmarkEnd w:id="288"/>
      <w:bookmarkEnd w:id="289"/>
      <w:bookmarkEnd w:id="29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1．人员轻伤事故。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2．负有同等及以上事故责任的人身轻伤交通事故。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3．其他安全未遂事故和异常事件。</w:t>
      </w:r>
    </w:p>
    <w:p>
      <w:pPr>
        <w:spacing w:line="240" w:lineRule="auto"/>
        <w:ind w:firstLine="480" w:firstLineChars="200"/>
        <w:rPr>
          <w:rFonts w:hint="eastAsia" w:ascii="宋体" w:hAnsi="宋体" w:cs="宋体"/>
          <w:color w:val="auto"/>
          <w:sz w:val="24"/>
          <w:szCs w:val="24"/>
          <w:highlight w:val="none"/>
        </w:rPr>
      </w:pPr>
      <w:bookmarkStart w:id="291" w:name="_Toc239510292"/>
      <w:bookmarkStart w:id="292" w:name="_Toc247431426"/>
      <w:bookmarkStart w:id="293" w:name="_Toc247418266"/>
      <w:bookmarkStart w:id="294" w:name="_Toc532375702"/>
      <w:r>
        <w:rPr>
          <w:rFonts w:hint="eastAsia" w:ascii="宋体" w:hAnsi="宋体" w:cs="宋体"/>
          <w:color w:val="auto"/>
          <w:sz w:val="24"/>
          <w:szCs w:val="24"/>
          <w:highlight w:val="none"/>
        </w:rPr>
        <w:t>三、安全责任</w:t>
      </w:r>
      <w:bookmarkEnd w:id="291"/>
      <w:bookmarkEnd w:id="292"/>
      <w:bookmarkEnd w:id="293"/>
      <w:bookmarkEnd w:id="29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1．承包人负有安全生产的管理责任和直接责任。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2．承包人的法人或签署合同的公司总经理或受委托的代理人对合同安全负有全面的领导责任。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3．承包人项目经理对施工现场的安全工作负有全面的直接领导责任。</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4．承包人保证执行“谁施工、谁负责”的施工安全原则。</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5．承包人保证服从发包人对安全工作的统一协调和管理。</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6．承包人保证对本工程项目安全生产条件及其管理资源自行投入，保证安全资金的专款专用。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7．承包人保证建立本工程项目的安全管理体系及安全保证体系（注：项目安全管理大纲/手册、管理性的程序文件等）。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8．承包人保证现场的安全管理专职人员必须持有建设主管部门安全生产培训考核合格证书。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9．承包人保证为现场所有工作人员（含分包商员工及劳务人员）配备符合国家标准的有承包人和/或其下属分包商标志的个人基本劳动保护用品。</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10．承包人保证按照国家法律规定为现场所有工作人员（含分包商员工及劳务人员）购买意外伤害保险。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11．承包人保证施工生活营地（包括自建的和租用的营地）满足消防、安全用电、卫生防疫、防暴雨、防雷击等方面的安全要求。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12．承包人保证对带入现场的设备、工具、材料按照国家法规和标准进行检测、试验，并持有法定部门出具的检验证书。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13．承包人保证制订施工现场的文明施工措施，保护环境、树木和植被，保持施工现场的良好秩序和整洁的作业环境。</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14．承包人负责在施工过程中与当地政府、周边群众及其他承包商保持良好的沟通和交流。承包人遇到与周边群众发生纠纷时，应负责协调工作，确保工程能够顺利进行。</w:t>
      </w:r>
    </w:p>
    <w:p>
      <w:pPr>
        <w:spacing w:line="240" w:lineRule="auto"/>
        <w:ind w:firstLine="480" w:firstLineChars="200"/>
        <w:rPr>
          <w:rFonts w:hint="eastAsia" w:ascii="宋体" w:hAnsi="宋体" w:cs="宋体"/>
          <w:color w:val="auto"/>
          <w:sz w:val="24"/>
          <w:szCs w:val="24"/>
          <w:highlight w:val="none"/>
        </w:rPr>
      </w:pPr>
      <w:bookmarkStart w:id="295" w:name="_Toc532375703"/>
      <w:bookmarkStart w:id="296" w:name="_Toc247418267"/>
      <w:bookmarkStart w:id="297" w:name="_Toc247431427"/>
      <w:bookmarkStart w:id="298" w:name="_Toc239510293"/>
      <w:r>
        <w:rPr>
          <w:rFonts w:hint="eastAsia" w:ascii="宋体" w:hAnsi="宋体" w:cs="宋体"/>
          <w:color w:val="auto"/>
          <w:sz w:val="24"/>
          <w:szCs w:val="24"/>
          <w:highlight w:val="none"/>
        </w:rPr>
        <w:t>四、接口及协调</w:t>
      </w:r>
      <w:bookmarkEnd w:id="295"/>
      <w:bookmarkEnd w:id="296"/>
      <w:bookmarkEnd w:id="297"/>
      <w:bookmarkEnd w:id="298"/>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1．发包人委托监理公司对该工程实施监理，监理公司在安全管理方面代表发包人行使监督检查职能，承包人必须给予配合和支持。</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2．承包人人员、车辆的出入，带入现场的设备、机具、材料，在现场使用的或直接管理的办公、生活、生产性设施的安全管理须满足发包人现场管理的基本要求。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5．承包人指定的专职安全管理人员应与发包人委托的监理公司建立联系，在业务上接受发包人委托的监理公司的协调和指导。</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6．开工后承包人的专职安全管理人员应按照发包人委托的监理公司的规定，定期报送安全月度快报、季报、年报和各种专项事故报告等。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7．在工程实体未全部正式移交发包人施工管理部门之前，承包人依旧对施工范围内的安全管理负责。</w:t>
      </w:r>
    </w:p>
    <w:p>
      <w:pPr>
        <w:spacing w:line="240" w:lineRule="auto"/>
        <w:ind w:firstLine="480" w:firstLineChars="200"/>
        <w:rPr>
          <w:rFonts w:hint="eastAsia" w:ascii="宋体" w:hAnsi="宋体" w:cs="宋体"/>
          <w:color w:val="auto"/>
          <w:sz w:val="24"/>
          <w:szCs w:val="24"/>
          <w:highlight w:val="none"/>
        </w:rPr>
      </w:pPr>
      <w:bookmarkStart w:id="299" w:name="_Toc247431428"/>
      <w:bookmarkStart w:id="300" w:name="_Toc239510294"/>
      <w:bookmarkStart w:id="301" w:name="_Toc532375704"/>
      <w:bookmarkStart w:id="302" w:name="_Toc247418268"/>
      <w:r>
        <w:rPr>
          <w:rFonts w:hint="eastAsia" w:ascii="宋体" w:hAnsi="宋体" w:cs="宋体"/>
          <w:color w:val="auto"/>
          <w:sz w:val="24"/>
          <w:szCs w:val="24"/>
          <w:highlight w:val="none"/>
        </w:rPr>
        <w:t>五、安全资质审查</w:t>
      </w:r>
      <w:bookmarkEnd w:id="299"/>
      <w:bookmarkEnd w:id="300"/>
      <w:bookmarkEnd w:id="301"/>
      <w:bookmarkEnd w:id="30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承包人在项目开工前5个工作天内向发包人委托的监理公司提供以下安全资质供审查和存档：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1．企业安全生产许可证书复印件。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2．企业近三年的施工简历及安全施工业绩证明文件。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3．企业主要安全管理人员（包括项目经理、专职安全管理人员）经建设主管部门安全生产知识考核合格证书。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4．特种作业人员资格证书。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5．项目安全管理机构及其人员配备（承包人必须配有专职的安全员）。</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6．适用于项目的安全管理体系及保证体系文件（安全管理大纲及管理程序文件）。</w:t>
      </w:r>
    </w:p>
    <w:p>
      <w:pPr>
        <w:spacing w:line="240" w:lineRule="auto"/>
        <w:ind w:firstLine="480" w:firstLineChars="200"/>
        <w:rPr>
          <w:rFonts w:hint="eastAsia" w:ascii="宋体" w:hAnsi="宋体" w:cs="宋体"/>
          <w:color w:val="auto"/>
          <w:sz w:val="24"/>
          <w:szCs w:val="24"/>
          <w:highlight w:val="none"/>
        </w:rPr>
      </w:pPr>
      <w:bookmarkStart w:id="303" w:name="_Toc239510295"/>
      <w:bookmarkStart w:id="304" w:name="_Toc532375705"/>
      <w:bookmarkStart w:id="305" w:name="_Toc247431429"/>
      <w:bookmarkStart w:id="306" w:name="_Toc247418269"/>
      <w:r>
        <w:rPr>
          <w:rFonts w:hint="eastAsia" w:ascii="宋体" w:hAnsi="宋体" w:cs="宋体"/>
          <w:color w:val="auto"/>
          <w:sz w:val="24"/>
          <w:szCs w:val="24"/>
          <w:highlight w:val="none"/>
        </w:rPr>
        <w:t>六、人员基本素质</w:t>
      </w:r>
      <w:bookmarkEnd w:id="303"/>
      <w:bookmarkEnd w:id="304"/>
      <w:bookmarkEnd w:id="305"/>
      <w:bookmarkEnd w:id="306"/>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承包人提供的人员必须满足下列要求：</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2．无刑事案件牵连。</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3．无吸毒、酗酒、赌博、嫖娼等恶习及违法行为。</w:t>
      </w:r>
    </w:p>
    <w:p>
      <w:pPr>
        <w:spacing w:line="240" w:lineRule="auto"/>
        <w:ind w:firstLine="480" w:firstLineChars="200"/>
        <w:rPr>
          <w:rFonts w:hint="eastAsia" w:ascii="宋体" w:hAnsi="宋体" w:cs="宋体"/>
          <w:color w:val="auto"/>
          <w:sz w:val="24"/>
          <w:szCs w:val="24"/>
          <w:highlight w:val="none"/>
        </w:rPr>
      </w:pPr>
      <w:bookmarkStart w:id="307" w:name="_Toc247431430"/>
      <w:bookmarkStart w:id="308" w:name="_Toc239510296"/>
      <w:bookmarkStart w:id="309" w:name="_Toc247418270"/>
      <w:bookmarkStart w:id="310" w:name="_Toc532375706"/>
      <w:r>
        <w:rPr>
          <w:rFonts w:hint="eastAsia" w:ascii="宋体" w:hAnsi="宋体" w:cs="宋体"/>
          <w:color w:val="auto"/>
          <w:sz w:val="24"/>
          <w:szCs w:val="24"/>
          <w:highlight w:val="none"/>
        </w:rPr>
        <w:t>七、劳动保护</w:t>
      </w:r>
      <w:bookmarkEnd w:id="307"/>
      <w:bookmarkEnd w:id="308"/>
      <w:bookmarkEnd w:id="309"/>
      <w:bookmarkEnd w:id="31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1．承包人负责为本单位任何用工形式的员工提供个人劳动保护用品（包括工作服、安全帽、安全鞋等）。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2．承包人负责向特殊工种的员工提供特殊劳动保护，否则不得从事特殊工种作业。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3．发包人委托的监理公司有权检查承包人的个人劳动保护用品是否符合国家的相应标准。</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承包人在特殊风险场所作业而需要特殊防护用品或安全仪表时，必须在上述防护用品全部到位后才能开工。</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5．承包人应配备临时安全围栏、警示带、警告标志、防火布等集体防护用品。</w:t>
      </w:r>
    </w:p>
    <w:p>
      <w:pPr>
        <w:spacing w:line="240" w:lineRule="auto"/>
        <w:ind w:firstLine="480" w:firstLineChars="200"/>
        <w:rPr>
          <w:rFonts w:hint="eastAsia" w:ascii="宋体" w:hAnsi="宋体" w:cs="宋体"/>
          <w:color w:val="auto"/>
          <w:sz w:val="24"/>
          <w:szCs w:val="24"/>
          <w:highlight w:val="none"/>
        </w:rPr>
      </w:pPr>
      <w:bookmarkStart w:id="311" w:name="_Toc239510297"/>
      <w:bookmarkStart w:id="312" w:name="_Toc247418271"/>
      <w:bookmarkStart w:id="313" w:name="_Toc532375707"/>
      <w:bookmarkStart w:id="314" w:name="_Toc247431431"/>
      <w:r>
        <w:rPr>
          <w:rFonts w:hint="eastAsia" w:ascii="宋体" w:hAnsi="宋体" w:cs="宋体"/>
          <w:color w:val="auto"/>
          <w:sz w:val="24"/>
          <w:szCs w:val="24"/>
          <w:highlight w:val="none"/>
        </w:rPr>
        <w:t>八、施工机具与材料</w:t>
      </w:r>
      <w:bookmarkEnd w:id="311"/>
      <w:bookmarkEnd w:id="312"/>
      <w:bookmarkEnd w:id="313"/>
      <w:bookmarkEnd w:id="31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1．承包人对带入现场的施工机械和工器具的安全负责。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2．对于承包人带入现场的特殊工器具，如起重设备、索具、机动车辆、压缩气瓶等，承包人必须按国家法规和标准进行检测、试验，并持有法定部门出具的检验证书。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3．对于不属于法定检测的工器具，承包人也必须建立相应的管理、检测制度，这些工器具包括登高工具、脚手架材料、电动工具、安全防护设备及用具等。</w:t>
      </w:r>
    </w:p>
    <w:p>
      <w:pPr>
        <w:spacing w:line="240" w:lineRule="auto"/>
        <w:ind w:firstLine="480" w:firstLineChars="200"/>
        <w:rPr>
          <w:rFonts w:hint="eastAsia" w:ascii="宋体" w:hAnsi="宋体" w:cs="宋体"/>
          <w:color w:val="auto"/>
          <w:sz w:val="24"/>
          <w:szCs w:val="24"/>
          <w:highlight w:val="none"/>
        </w:rPr>
      </w:pPr>
      <w:bookmarkStart w:id="315" w:name="_Toc247431432"/>
      <w:bookmarkStart w:id="316" w:name="_Toc247418272"/>
      <w:bookmarkStart w:id="317" w:name="_Toc532375708"/>
      <w:bookmarkStart w:id="318" w:name="_Toc239510298"/>
      <w:r>
        <w:rPr>
          <w:rFonts w:hint="eastAsia" w:ascii="宋体" w:hAnsi="宋体" w:cs="宋体"/>
          <w:color w:val="auto"/>
          <w:sz w:val="24"/>
          <w:szCs w:val="24"/>
          <w:highlight w:val="none"/>
        </w:rPr>
        <w:t>九、开工前安全条件检查</w:t>
      </w:r>
      <w:bookmarkEnd w:id="315"/>
      <w:bookmarkEnd w:id="316"/>
      <w:bookmarkEnd w:id="317"/>
      <w:bookmarkEnd w:id="318"/>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240" w:lineRule="auto"/>
        <w:ind w:firstLine="480" w:firstLineChars="200"/>
        <w:rPr>
          <w:rFonts w:hint="eastAsia" w:ascii="宋体" w:hAnsi="宋体" w:cs="宋体"/>
          <w:color w:val="auto"/>
          <w:sz w:val="24"/>
          <w:szCs w:val="24"/>
          <w:highlight w:val="none"/>
        </w:rPr>
      </w:pPr>
      <w:bookmarkStart w:id="319" w:name="_Toc532375709"/>
      <w:bookmarkStart w:id="320" w:name="_Toc247431433"/>
      <w:bookmarkStart w:id="321" w:name="_Toc239510299"/>
      <w:bookmarkStart w:id="322" w:name="_Toc247418273"/>
      <w:r>
        <w:rPr>
          <w:rFonts w:hint="eastAsia" w:ascii="宋体" w:hAnsi="宋体" w:cs="宋体"/>
          <w:color w:val="auto"/>
          <w:sz w:val="24"/>
          <w:szCs w:val="24"/>
          <w:highlight w:val="none"/>
        </w:rPr>
        <w:t>十、安全监督</w:t>
      </w:r>
      <w:bookmarkEnd w:id="319"/>
      <w:bookmarkEnd w:id="320"/>
      <w:bookmarkEnd w:id="321"/>
      <w:bookmarkEnd w:id="32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1．承包人应配备有满足项目安全管理需要的专职安全管理人员。</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2．承包人的专职安全管理人员必须持建设主管部门颁发的安全生产知识考核合格证书。</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3．承包人的专职安全管理人员在业务上接受发包人委托的监理公司和发包人安全管理部门的协调和指导。</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4．承包人应建立班前安全交底制度；施工期间坚持开展安全检查和日常安全监督并形成相应的记录。</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5．承包人应在每个作业区任命兼职安全员，赋予兼职安全员相应的授权和义务，并对兼职安全员进行定期考核。</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6．承包人应接受和配合发包人专业部门及委托的监理公司的监督与安全评价。</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240" w:lineRule="auto"/>
        <w:ind w:firstLine="480" w:firstLineChars="200"/>
        <w:rPr>
          <w:rFonts w:hint="eastAsia" w:ascii="宋体" w:hAnsi="宋体" w:cs="宋体"/>
          <w:color w:val="auto"/>
          <w:sz w:val="24"/>
          <w:szCs w:val="24"/>
          <w:highlight w:val="none"/>
        </w:rPr>
      </w:pPr>
      <w:bookmarkStart w:id="323" w:name="_Toc532375710"/>
      <w:bookmarkStart w:id="324" w:name="_Toc247418274"/>
      <w:bookmarkStart w:id="325" w:name="_Toc239510300"/>
      <w:bookmarkStart w:id="326" w:name="_Toc247431434"/>
      <w:r>
        <w:rPr>
          <w:rFonts w:hint="eastAsia" w:ascii="宋体" w:hAnsi="宋体" w:cs="宋体"/>
          <w:color w:val="auto"/>
          <w:sz w:val="24"/>
          <w:szCs w:val="24"/>
          <w:highlight w:val="none"/>
        </w:rPr>
        <w:t>十一、安全培训与授权</w:t>
      </w:r>
      <w:bookmarkEnd w:id="323"/>
      <w:bookmarkEnd w:id="324"/>
      <w:bookmarkEnd w:id="325"/>
      <w:bookmarkEnd w:id="326"/>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2．承包人应在特殊工种之外的其他工种中，筛选出高风险工种，并对其开展针对性的专题安全培训。</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3．承包人应组织 “入场培训”和考核。发包人委托的监理公司有权监督培训、考核情况或组织抽查考核。</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4．承包人应建立安全培训和考核机制，编制培训教材和培训滚动计划。承包人应组织安全考试/考核，建立培训考核记录，发包人委托的监理公司有权查看这些记录。</w:t>
      </w:r>
    </w:p>
    <w:p>
      <w:pPr>
        <w:spacing w:line="240" w:lineRule="auto"/>
        <w:ind w:firstLine="480" w:firstLineChars="200"/>
        <w:rPr>
          <w:rFonts w:hint="eastAsia" w:ascii="宋体" w:hAnsi="宋体" w:cs="宋体"/>
          <w:color w:val="auto"/>
          <w:sz w:val="24"/>
          <w:szCs w:val="24"/>
          <w:highlight w:val="none"/>
        </w:rPr>
      </w:pPr>
      <w:bookmarkStart w:id="327" w:name="_Toc532375711"/>
      <w:bookmarkStart w:id="328" w:name="_Toc247431435"/>
      <w:bookmarkStart w:id="329" w:name="_Toc239510301"/>
      <w:bookmarkStart w:id="330" w:name="_Toc247418275"/>
      <w:r>
        <w:rPr>
          <w:rFonts w:hint="eastAsia" w:ascii="宋体" w:hAnsi="宋体" w:cs="宋体"/>
          <w:color w:val="auto"/>
          <w:sz w:val="24"/>
          <w:szCs w:val="24"/>
          <w:highlight w:val="none"/>
        </w:rPr>
        <w:t>十二、职业健康与卫生防疫</w:t>
      </w:r>
      <w:bookmarkEnd w:id="327"/>
      <w:bookmarkEnd w:id="328"/>
      <w:bookmarkEnd w:id="329"/>
      <w:bookmarkEnd w:id="330"/>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2．承包人应保证卫生防疫基本设施的投入，以满足医疗、急救的要求，建立外部医疗支持渠道。</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240" w:lineRule="auto"/>
        <w:ind w:firstLine="480" w:firstLineChars="200"/>
        <w:rPr>
          <w:rFonts w:hint="eastAsia" w:ascii="宋体" w:hAnsi="宋体" w:cs="宋体"/>
          <w:color w:val="auto"/>
          <w:sz w:val="24"/>
          <w:szCs w:val="24"/>
          <w:highlight w:val="none"/>
        </w:rPr>
      </w:pPr>
      <w:bookmarkStart w:id="331" w:name="_Toc532375712"/>
      <w:bookmarkStart w:id="332" w:name="_Toc247418276"/>
      <w:bookmarkStart w:id="333" w:name="_Toc247431436"/>
      <w:bookmarkStart w:id="334" w:name="_Toc239510302"/>
      <w:r>
        <w:rPr>
          <w:rFonts w:hint="eastAsia" w:ascii="宋体" w:hAnsi="宋体" w:cs="宋体"/>
          <w:color w:val="auto"/>
          <w:sz w:val="24"/>
          <w:szCs w:val="24"/>
          <w:highlight w:val="none"/>
        </w:rPr>
        <w:t>十三、文明施工与环保要求</w:t>
      </w:r>
      <w:bookmarkEnd w:id="331"/>
      <w:bookmarkEnd w:id="332"/>
      <w:bookmarkEnd w:id="333"/>
      <w:bookmarkEnd w:id="334"/>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2．承包人作业时应避免建筑材料抛洒、飞扬、流淌；应尽可能降低噪音、震动。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3．承包人应根据实际需要，在施工现场布置临时卫生设施（洗手间、卫生间等），施工作业不破坏环境卫生，不污染现场环境。</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4．承包人在施工中应充分重视对环境的保护，保护绿色植被，保护古树。施工如需伤害古树，必须报告发包人委托的监理公司，在未得到指令前，禁止擅自伤害古树。</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6．承包人在施工中应禁止向环境，排放工业污水、生活污水、废油或其他有害物质。</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240" w:lineRule="auto"/>
        <w:ind w:firstLine="480" w:firstLineChars="200"/>
        <w:rPr>
          <w:rFonts w:hint="eastAsia" w:ascii="宋体" w:hAnsi="宋体" w:cs="宋体"/>
          <w:color w:val="auto"/>
          <w:sz w:val="24"/>
          <w:szCs w:val="24"/>
          <w:highlight w:val="none"/>
        </w:rPr>
      </w:pPr>
      <w:bookmarkStart w:id="335" w:name="_Toc247431437"/>
      <w:bookmarkStart w:id="336" w:name="_Toc239510303"/>
      <w:bookmarkStart w:id="337" w:name="_Toc247418277"/>
      <w:bookmarkStart w:id="338" w:name="_Toc532375713"/>
      <w:r>
        <w:rPr>
          <w:rFonts w:hint="eastAsia" w:ascii="宋体" w:hAnsi="宋体" w:cs="宋体"/>
          <w:color w:val="auto"/>
          <w:sz w:val="24"/>
          <w:szCs w:val="24"/>
          <w:highlight w:val="none"/>
        </w:rPr>
        <w:t>十四、工程风险管理与事故预防</w:t>
      </w:r>
      <w:bookmarkEnd w:id="335"/>
      <w:bookmarkEnd w:id="336"/>
      <w:bookmarkEnd w:id="337"/>
      <w:bookmarkEnd w:id="338"/>
    </w:p>
    <w:p>
      <w:pPr>
        <w:spacing w:line="240" w:lineRule="auto"/>
        <w:ind w:firstLine="480" w:firstLineChars="200"/>
        <w:jc w:val="left"/>
        <w:rPr>
          <w:rFonts w:hint="eastAsia" w:ascii="宋体" w:hAnsi="宋体" w:cs="宋体"/>
          <w:color w:val="auto"/>
          <w:sz w:val="24"/>
          <w:szCs w:val="24"/>
          <w:highlight w:val="none"/>
        </w:rPr>
      </w:pPr>
      <w:bookmarkStart w:id="339" w:name="_Toc247418278"/>
      <w:bookmarkStart w:id="340" w:name="_Toc247431438"/>
      <w:bookmarkStart w:id="341" w:name="_Toc239510304"/>
      <w:r>
        <w:rPr>
          <w:rFonts w:hint="eastAsia" w:ascii="宋体" w:hAnsi="宋体" w:cs="宋体"/>
          <w:color w:val="auto"/>
          <w:sz w:val="24"/>
          <w:szCs w:val="24"/>
          <w:highlight w:val="none"/>
        </w:rPr>
        <w:t>（一）基本要求</w:t>
      </w:r>
      <w:bookmarkEnd w:id="339"/>
      <w:bookmarkEnd w:id="340"/>
      <w:bookmarkEnd w:id="341"/>
    </w:p>
    <w:p>
      <w:pPr>
        <w:spacing w:line="240" w:lineRule="auto"/>
        <w:ind w:firstLine="480" w:firstLineChars="200"/>
        <w:jc w:val="left"/>
        <w:rPr>
          <w:rFonts w:hint="eastAsia" w:ascii="宋体" w:hAnsi="宋体" w:cs="宋体"/>
          <w:color w:val="auto"/>
          <w:sz w:val="24"/>
          <w:szCs w:val="24"/>
          <w:highlight w:val="none"/>
        </w:rPr>
      </w:pPr>
      <w:bookmarkStart w:id="342" w:name="_Toc532375714"/>
      <w:r>
        <w:rPr>
          <w:rFonts w:hint="eastAsia" w:ascii="宋体" w:hAnsi="宋体" w:cs="宋体"/>
          <w:color w:val="auto"/>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342"/>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（1）高风险作业和工种清单：作业名称、类别和数量、主要事故风险。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（2）施工能源和机械的种类、数量和主要事故风险。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（3）施工作业条件的类型和主要事故风险。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（4）主要工艺过程（或施工活动）的类别及其相关的事故风险。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（5）主要火灾危险（可燃物、点火源）。</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（6）主要自然灾害（洪水、大风、雷暴、暴雨、地质灾害等）。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（7）主要环境保护事件（有害垃圾、机械的跑冒滴漏、原材料流失、水土流失等）。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（8）其他。</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2．承包人应针对识别出的危险源制定有针对性的事故预防措施并确保在施工中得到有效落实。</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3．承包人应建立日常施工活动的动态作业风险分析和安全交底制度。该制度应明确规定风险分析的方法、责任和交底的内容、时间及记录。</w:t>
      </w:r>
    </w:p>
    <w:p>
      <w:pPr>
        <w:spacing w:line="240" w:lineRule="auto"/>
        <w:ind w:firstLine="480" w:firstLineChars="200"/>
        <w:jc w:val="left"/>
        <w:rPr>
          <w:rFonts w:hint="eastAsia" w:ascii="宋体" w:hAnsi="宋体" w:cs="宋体"/>
          <w:color w:val="auto"/>
          <w:sz w:val="24"/>
          <w:szCs w:val="24"/>
          <w:highlight w:val="none"/>
        </w:rPr>
      </w:pPr>
      <w:bookmarkStart w:id="343" w:name="_Toc247431439"/>
      <w:bookmarkStart w:id="344" w:name="_Toc239510305"/>
      <w:bookmarkStart w:id="345" w:name="_Toc247418279"/>
      <w:r>
        <w:rPr>
          <w:rFonts w:hint="eastAsia" w:ascii="宋体" w:hAnsi="宋体" w:cs="宋体"/>
          <w:color w:val="auto"/>
          <w:sz w:val="24"/>
          <w:szCs w:val="24"/>
          <w:highlight w:val="none"/>
        </w:rPr>
        <w:t>（二）现场作业基本安全条件</w:t>
      </w:r>
      <w:bookmarkEnd w:id="343"/>
      <w:bookmarkEnd w:id="344"/>
      <w:bookmarkEnd w:id="345"/>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240" w:lineRule="auto"/>
        <w:ind w:firstLine="480" w:firstLineChars="200"/>
        <w:rPr>
          <w:rFonts w:hint="eastAsia" w:ascii="宋体" w:hAnsi="宋体" w:cs="宋体"/>
          <w:color w:val="auto"/>
          <w:sz w:val="24"/>
          <w:szCs w:val="24"/>
          <w:highlight w:val="none"/>
        </w:rPr>
      </w:pPr>
      <w:bookmarkStart w:id="346" w:name="_Toc247431440"/>
      <w:bookmarkStart w:id="347" w:name="_Toc239510306"/>
      <w:bookmarkStart w:id="348" w:name="_Toc532375715"/>
      <w:bookmarkStart w:id="349" w:name="_Toc247418280"/>
      <w:r>
        <w:rPr>
          <w:rFonts w:hint="eastAsia" w:ascii="宋体" w:hAnsi="宋体" w:cs="宋体"/>
          <w:color w:val="auto"/>
          <w:sz w:val="24"/>
          <w:szCs w:val="24"/>
          <w:highlight w:val="none"/>
        </w:rPr>
        <w:t>十五、事故报告与应急救援</w:t>
      </w:r>
      <w:bookmarkEnd w:id="346"/>
      <w:bookmarkEnd w:id="347"/>
      <w:bookmarkEnd w:id="348"/>
      <w:bookmarkEnd w:id="349"/>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1．承包人应制定对于未遂事故及以上级别的安全事件和事故，定期报送安全月度快报、季报、年报和各种专项事故报告等。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2．承包人应建立安全事故统计记录、未遂事故统计记录、违章统计记录，并根据统计情况进行分析，并就分析结果制定相应的预防措施。</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3．承包人应建立事故应急救援机制，明确事故处置的基本原则，即现场发生事故时，首先抢救生命，向救援组织报警，并采取措施限制事故扩大。</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4．承包人应建立相应的应急响应组织，以便能迅速处理突发意外。</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6．承包人应对应急预案进行适当演练，保证应急预案的可操作性。</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7．在工地的其他施工单位发生重大事故时，承包人应无条件立即配合、支持事故抢险。</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8．承包人必须为事故处置支付各项费用，包括受伤者的抚恤、补偿等费用，并按合同要求赔偿对发包人造成的损失。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9．由于发包人原因而造成的事故，发包人应负责按事故的具体损失情况给予承包人经济赔偿。</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10．涉及承包人员工的伤害事故，承包人除要报告发包人委托的监理公司外，还应负责按照国家、行业和本单位上级公司的要求，上报事故。</w:t>
      </w:r>
    </w:p>
    <w:p>
      <w:pPr>
        <w:spacing w:line="240" w:lineRule="auto"/>
        <w:ind w:firstLine="480" w:firstLineChars="200"/>
        <w:rPr>
          <w:rFonts w:hint="eastAsia" w:ascii="宋体" w:hAnsi="宋体" w:cs="宋体"/>
          <w:color w:val="auto"/>
          <w:sz w:val="24"/>
          <w:szCs w:val="24"/>
          <w:highlight w:val="none"/>
        </w:rPr>
      </w:pPr>
      <w:bookmarkStart w:id="350" w:name="_Toc247418281"/>
      <w:bookmarkStart w:id="351" w:name="_Toc239510307"/>
      <w:bookmarkStart w:id="352" w:name="_Toc247431441"/>
      <w:bookmarkStart w:id="353" w:name="_Toc532375716"/>
      <w:r>
        <w:rPr>
          <w:rFonts w:hint="eastAsia" w:ascii="宋体" w:hAnsi="宋体" w:cs="宋体"/>
          <w:color w:val="auto"/>
          <w:sz w:val="24"/>
          <w:szCs w:val="24"/>
          <w:highlight w:val="none"/>
        </w:rPr>
        <w:t>十六、安全业绩考核</w:t>
      </w:r>
      <w:bookmarkEnd w:id="350"/>
      <w:bookmarkEnd w:id="351"/>
      <w:bookmarkEnd w:id="352"/>
      <w:bookmarkEnd w:id="353"/>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为了落实安全管理的责任，承包人在施工过程中发生安全事故时，承包人除应按国家有关规定承担责任和处罚外，发包人还将按照以下标准进行考核：</w:t>
      </w:r>
    </w:p>
    <w:tbl>
      <w:tblPr>
        <w:tblStyle w:val="20"/>
        <w:tblW w:w="0" w:type="auto"/>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签约合同价</w:t>
            </w:r>
            <w:r>
              <w:rPr>
                <w:rFonts w:hint="eastAsia" w:ascii="宋体" w:hAnsi="宋体" w:cs="宋体"/>
                <w:color w:val="auto"/>
                <w:sz w:val="24"/>
                <w:szCs w:val="24"/>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签约合同价的4‰</w:t>
            </w:r>
          </w:p>
        </w:tc>
      </w:tr>
    </w:tbl>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（1）较大事故，是指造成3人以上10人以下死亡，或者10人以上50人以下重伤，或者1000万元以上5000万元以下直接经济损失的事故；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（2）重大事故，是指造成10人以上30人以下死亡，或者50人以上100人以下重伤，或者5000万元以上1亿元以下直接经济损失的事故；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（3）特别重大事故，是指造成30人以上死亡，或者100人以上重伤（包括急性工业中毒，下同），或者1亿元以上直接经济损失的事故；</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（4）所称的“以上”包括本数，所称的“以下”不包括本数。</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（5）如整个施工过程未发生以上安全事故，则给予承包人建安费总额的1‰的安全奖励。</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40" w:lineRule="auto"/>
        <w:ind w:firstLine="480" w:firstLineChars="200"/>
        <w:rPr>
          <w:rFonts w:hint="eastAsia" w:ascii="宋体" w:hAnsi="宋体" w:cs="宋体"/>
          <w:color w:val="auto"/>
          <w:sz w:val="24"/>
          <w:szCs w:val="24"/>
          <w:highlight w:val="none"/>
        </w:rPr>
      </w:pPr>
      <w:bookmarkStart w:id="354" w:name="_Toc239510308"/>
      <w:bookmarkStart w:id="355" w:name="_Toc247418282"/>
      <w:bookmarkStart w:id="356" w:name="_Toc532375717"/>
      <w:bookmarkStart w:id="357" w:name="_Toc247431442"/>
      <w:r>
        <w:rPr>
          <w:rFonts w:hint="eastAsia" w:ascii="宋体" w:hAnsi="宋体" w:cs="宋体"/>
          <w:color w:val="auto"/>
          <w:sz w:val="24"/>
          <w:szCs w:val="24"/>
          <w:highlight w:val="none"/>
        </w:rPr>
        <w:t>十七、协议条款的修订</w:t>
      </w:r>
      <w:bookmarkEnd w:id="354"/>
      <w:bookmarkEnd w:id="355"/>
      <w:bookmarkEnd w:id="356"/>
      <w:bookmarkEnd w:id="357"/>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在项目实施过程中，经双方友好协商，本协议的有关条款也可做出相应的修改。</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本工程安全管理协议，由发包人、承包人双方在施工承包合同签订后7天内共同签署，作为施工合同附件。</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  包  人（单位公章）：</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或其委托代理人（签名）：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240" w:lineRule="auto"/>
        <w:ind w:firstLine="480" w:firstLineChars="200"/>
        <w:jc w:val="left"/>
        <w:rPr>
          <w:rFonts w:hint="eastAsia" w:ascii="宋体" w:hAnsi="宋体" w:cs="宋体"/>
          <w:color w:val="auto"/>
          <w:sz w:val="24"/>
          <w:szCs w:val="24"/>
          <w:highlight w:val="none"/>
        </w:rPr>
      </w:pPr>
    </w:p>
    <w:p>
      <w:pPr>
        <w:spacing w:line="24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承  包  人（单位公章）：</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法定代表人（签名）：</w:t>
      </w:r>
      <w:r>
        <w:rPr>
          <w:rFonts w:hint="eastAsia" w:ascii="宋体" w:hAnsi="宋体" w:cs="宋体"/>
          <w:color w:val="auto"/>
          <w:sz w:val="24"/>
          <w:szCs w:val="24"/>
          <w:highlight w:val="none"/>
          <w:u w:val="single"/>
        </w:rPr>
        <w:t xml:space="preserve">                       </w:t>
      </w:r>
    </w:p>
    <w:p>
      <w:pPr>
        <w:spacing w:line="24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或其委托代理人（签名）：</w:t>
      </w:r>
      <w:r>
        <w:rPr>
          <w:rFonts w:hint="eastAsia" w:ascii="宋体" w:hAnsi="宋体" w:cs="宋体"/>
          <w:color w:val="auto"/>
          <w:sz w:val="24"/>
          <w:szCs w:val="24"/>
          <w:highlight w:val="none"/>
          <w:u w:val="single"/>
        </w:rPr>
        <w:t xml:space="preserve">                   </w:t>
      </w:r>
    </w:p>
    <w:p/>
    <w:p>
      <w:pPr>
        <w:rPr>
          <w:rFonts w:hint="eastAsia"/>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center"/>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28"/>
        <w:rPr>
          <w:rFonts w:hint="eastAsia"/>
          <w:color w:val="auto"/>
          <w:highlight w:val="none"/>
        </w:rPr>
      </w:pPr>
    </w:p>
    <w:p>
      <w:pPr>
        <w:pStyle w:val="28"/>
        <w:rPr>
          <w:rFonts w:hint="eastAsia" w:ascii="宋体" w:hAnsi="宋体" w:eastAsia="宋体" w:cs="宋体"/>
          <w:b w:val="0"/>
          <w:color w:val="auto"/>
          <w:sz w:val="36"/>
          <w:szCs w:val="30"/>
          <w:highlight w:val="none"/>
        </w:rPr>
      </w:pPr>
    </w:p>
    <w:p>
      <w:pPr>
        <w:pStyle w:val="28"/>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pStyle w:val="4"/>
        <w:spacing w:before="0" w:after="0" w:line="360" w:lineRule="auto"/>
        <w:jc w:val="both"/>
        <w:rPr>
          <w:rFonts w:hint="eastAsia" w:ascii="宋体" w:hAnsi="宋体" w:eastAsia="宋体" w:cs="宋体"/>
          <w:b w:val="0"/>
          <w:color w:val="auto"/>
          <w:sz w:val="36"/>
          <w:szCs w:val="30"/>
          <w:highlight w:val="none"/>
        </w:rPr>
      </w:pPr>
    </w:p>
    <w:p>
      <w:pPr>
        <w:rPr>
          <w:rFonts w:hint="eastAsia" w:ascii="宋体" w:hAnsi="宋体" w:eastAsia="宋体" w:cs="宋体"/>
          <w:b w:val="0"/>
          <w:color w:val="auto"/>
          <w:sz w:val="36"/>
          <w:szCs w:val="30"/>
          <w:highlight w:val="none"/>
        </w:rPr>
      </w:pPr>
    </w:p>
    <w:p>
      <w:pPr>
        <w:pStyle w:val="4"/>
        <w:numPr>
          <w:ilvl w:val="0"/>
          <w:numId w:val="6"/>
        </w:numPr>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 xml:space="preserve"> 响应文件编制要求</w:t>
      </w:r>
      <w:bookmarkEnd w:id="266"/>
      <w:bookmarkEnd w:id="267"/>
      <w:bookmarkStart w:id="358" w:name="_Toc28347"/>
      <w:bookmarkStart w:id="359" w:name="_Toc11297"/>
      <w:bookmarkStart w:id="360" w:name="_Toc110444048"/>
      <w:bookmarkStart w:id="361" w:name="_Toc1277"/>
      <w:bookmarkStart w:id="362" w:name="_Toc8011"/>
    </w:p>
    <w:p>
      <w:pPr>
        <w:widowControl w:val="0"/>
        <w:numPr>
          <w:ilvl w:val="0"/>
          <w:numId w:val="0"/>
        </w:numPr>
        <w:jc w:val="both"/>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28"/>
        <w:ind w:left="0" w:leftChars="0" w:firstLine="0" w:firstLineChars="0"/>
        <w:rPr>
          <w:rFonts w:hint="eastAsia"/>
          <w:color w:val="auto"/>
          <w:highlight w:val="none"/>
        </w:rPr>
      </w:pPr>
    </w:p>
    <w:p>
      <w:pPr>
        <w:pStyle w:val="28"/>
        <w:rPr>
          <w:rFonts w:hint="eastAsia"/>
          <w:color w:val="auto"/>
          <w:highlight w:val="none"/>
        </w:rPr>
      </w:pPr>
    </w:p>
    <w:p>
      <w:pPr>
        <w:spacing w:line="360" w:lineRule="auto"/>
        <w:jc w:val="both"/>
        <w:rPr>
          <w:rStyle w:val="23"/>
          <w:rFonts w:hint="eastAsia" w:ascii="宋体" w:hAnsi="宋体" w:eastAsia="宋体" w:cs="宋体"/>
          <w:b w:val="0"/>
          <w:bCs/>
          <w:color w:val="auto"/>
          <w:sz w:val="28"/>
          <w:szCs w:val="28"/>
          <w:highlight w:val="none"/>
          <w:u w:val="none"/>
          <w:lang w:val="en-US" w:eastAsia="zh-CN"/>
        </w:rPr>
      </w:pPr>
      <w:r>
        <w:rPr>
          <w:rStyle w:val="23"/>
          <w:rFonts w:hint="eastAsia" w:ascii="宋体" w:hAnsi="宋体" w:eastAsia="宋体" w:cs="宋体"/>
          <w:b/>
          <w:bCs w:val="0"/>
          <w:color w:val="auto"/>
          <w:sz w:val="28"/>
          <w:szCs w:val="28"/>
          <w:highlight w:val="none"/>
          <w:lang w:val="en-US" w:eastAsia="zh-CN"/>
        </w:rPr>
        <w:t>项目名称：</w:t>
      </w:r>
      <w:r>
        <w:rPr>
          <w:rStyle w:val="23"/>
          <w:rFonts w:hint="eastAsia" w:ascii="宋体" w:hAnsi="宋体" w:eastAsia="宋体" w:cs="宋体"/>
          <w:b w:val="0"/>
          <w:bCs/>
          <w:color w:val="auto"/>
          <w:sz w:val="28"/>
          <w:szCs w:val="28"/>
          <w:highlight w:val="none"/>
          <w:u w:val="none"/>
          <w:lang w:val="en-US" w:eastAsia="zh-CN"/>
        </w:rPr>
        <w:t xml:space="preserve">                                 </w:t>
      </w:r>
    </w:p>
    <w:p>
      <w:pPr>
        <w:spacing w:line="360" w:lineRule="auto"/>
        <w:jc w:val="both"/>
        <w:rPr>
          <w:rStyle w:val="23"/>
          <w:rFonts w:hint="eastAsia" w:ascii="宋体" w:hAnsi="宋体" w:eastAsia="宋体" w:cs="宋体"/>
          <w:color w:val="auto"/>
          <w:sz w:val="36"/>
          <w:szCs w:val="36"/>
          <w:highlight w:val="none"/>
          <w:u w:val="single"/>
          <w:lang w:val="en-US" w:eastAsia="zh-CN"/>
        </w:rPr>
      </w:pPr>
      <w:r>
        <w:rPr>
          <w:rStyle w:val="23"/>
          <w:rFonts w:hint="eastAsia" w:ascii="宋体" w:hAnsi="宋体" w:eastAsia="宋体" w:cs="宋体"/>
          <w:b/>
          <w:bCs w:val="0"/>
          <w:color w:val="auto"/>
          <w:sz w:val="28"/>
          <w:szCs w:val="28"/>
          <w:highlight w:val="none"/>
          <w:lang w:val="en-US" w:eastAsia="zh-CN"/>
        </w:rPr>
        <w:t>项目编号：</w:t>
      </w:r>
      <w:r>
        <w:rPr>
          <w:rStyle w:val="23"/>
          <w:rFonts w:hint="eastAsia" w:ascii="宋体" w:hAnsi="宋体" w:eastAsia="宋体" w:cs="宋体"/>
          <w:b w:val="0"/>
          <w:bCs/>
          <w:color w:val="auto"/>
          <w:sz w:val="28"/>
          <w:szCs w:val="28"/>
          <w:highlight w:val="none"/>
          <w:u w:val="none"/>
          <w:lang w:val="en-US" w:eastAsia="zh-CN"/>
        </w:rPr>
        <w:t xml:space="preserve">                                 </w:t>
      </w:r>
      <w:r>
        <w:rPr>
          <w:rStyle w:val="23"/>
          <w:rFonts w:hint="eastAsia" w:ascii="宋体" w:hAnsi="宋体" w:eastAsia="宋体" w:cs="宋体"/>
          <w:b w:val="0"/>
          <w:bCs/>
          <w:color w:val="auto"/>
          <w:sz w:val="28"/>
          <w:szCs w:val="28"/>
          <w:highlight w:val="none"/>
          <w:lang w:val="en-US" w:eastAsia="zh-CN"/>
        </w:rPr>
        <w:t xml:space="preserve"> </w:t>
      </w:r>
      <w:r>
        <w:rPr>
          <w:rStyle w:val="23"/>
          <w:rFonts w:hint="eastAsia" w:ascii="宋体" w:hAnsi="宋体" w:eastAsia="宋体" w:cs="宋体"/>
          <w:color w:val="auto"/>
          <w:sz w:val="36"/>
          <w:szCs w:val="36"/>
          <w:highlight w:val="none"/>
          <w:lang w:val="en-US" w:eastAsia="zh-CN"/>
        </w:rPr>
        <w:t xml:space="preserve">       </w:t>
      </w:r>
    </w:p>
    <w:p>
      <w:pPr>
        <w:spacing w:line="360" w:lineRule="auto"/>
        <w:jc w:val="center"/>
        <w:rPr>
          <w:rStyle w:val="23"/>
          <w:rFonts w:hint="eastAsia" w:ascii="宋体" w:hAnsi="宋体" w:eastAsia="宋体" w:cs="宋体"/>
          <w:color w:val="auto"/>
          <w:sz w:val="36"/>
          <w:szCs w:val="36"/>
          <w:highlight w:val="none"/>
          <w:lang w:val="en-US" w:eastAsia="zh-CN"/>
        </w:rPr>
      </w:pPr>
      <w:r>
        <w:rPr>
          <w:rStyle w:val="23"/>
          <w:rFonts w:hint="eastAsia" w:ascii="宋体" w:hAnsi="宋体" w:eastAsia="宋体" w:cs="宋体"/>
          <w:color w:val="auto"/>
          <w:sz w:val="36"/>
          <w:szCs w:val="36"/>
          <w:highlight w:val="none"/>
          <w:lang w:val="en-US" w:eastAsia="zh-CN"/>
        </w:rPr>
        <w:t xml:space="preserve"> </w:t>
      </w: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pStyle w:val="36"/>
        <w:spacing w:line="360" w:lineRule="auto"/>
        <w:rPr>
          <w:rFonts w:hint="eastAsia" w:ascii="宋体" w:hAnsi="宋体" w:eastAsia="宋体" w:cs="宋体"/>
          <w:color w:val="auto"/>
          <w:highlight w:val="none"/>
        </w:rPr>
      </w:pPr>
    </w:p>
    <w:p>
      <w:pPr>
        <w:spacing w:line="360" w:lineRule="auto"/>
        <w:jc w:val="center"/>
        <w:rPr>
          <w:rStyle w:val="23"/>
          <w:rFonts w:hint="eastAsia" w:ascii="宋体" w:hAnsi="宋体" w:eastAsia="宋体" w:cs="宋体"/>
          <w:color w:val="auto"/>
          <w:sz w:val="72"/>
          <w:szCs w:val="72"/>
          <w:highlight w:val="none"/>
        </w:rPr>
      </w:pPr>
      <w:r>
        <w:rPr>
          <w:rStyle w:val="23"/>
          <w:rFonts w:hint="eastAsia" w:ascii="宋体" w:hAnsi="宋体" w:eastAsia="宋体" w:cs="宋体"/>
          <w:color w:val="auto"/>
          <w:sz w:val="72"/>
          <w:szCs w:val="72"/>
          <w:highlight w:val="none"/>
        </w:rPr>
        <w:t>响</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应</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文</w:t>
      </w:r>
      <w:r>
        <w:rPr>
          <w:rStyle w:val="23"/>
          <w:rFonts w:hint="eastAsia" w:ascii="宋体" w:hAnsi="宋体" w:eastAsia="宋体" w:cs="宋体"/>
          <w:color w:val="auto"/>
          <w:sz w:val="72"/>
          <w:szCs w:val="72"/>
          <w:highlight w:val="none"/>
          <w:lang w:val="en-US" w:eastAsia="zh-CN"/>
        </w:rPr>
        <w:t xml:space="preserve"> </w:t>
      </w:r>
      <w:r>
        <w:rPr>
          <w:rStyle w:val="23"/>
          <w:rFonts w:hint="eastAsia" w:ascii="宋体" w:hAnsi="宋体" w:eastAsia="宋体" w:cs="宋体"/>
          <w:color w:val="auto"/>
          <w:sz w:val="72"/>
          <w:szCs w:val="72"/>
          <w:highlight w:val="none"/>
        </w:rPr>
        <w:t>件</w:t>
      </w:r>
    </w:p>
    <w:p>
      <w:pPr>
        <w:pStyle w:val="11"/>
        <w:spacing w:line="360" w:lineRule="auto"/>
        <w:rPr>
          <w:rFonts w:hint="eastAsia" w:ascii="宋体" w:hAnsi="宋体" w:eastAsia="宋体" w:cs="宋体"/>
          <w:color w:val="auto"/>
          <w:sz w:val="72"/>
          <w:szCs w:val="72"/>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pStyle w:val="26"/>
        <w:spacing w:line="360" w:lineRule="auto"/>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 w:val="18"/>
          <w:szCs w:val="18"/>
          <w:highlight w:val="none"/>
        </w:rPr>
      </w:pPr>
    </w:p>
    <w:p>
      <w:pPr>
        <w:spacing w:line="360" w:lineRule="auto"/>
        <w:jc w:val="center"/>
        <w:rPr>
          <w:rFonts w:hint="eastAsia" w:ascii="宋体" w:hAnsi="宋体" w:eastAsia="宋体" w:cs="宋体"/>
          <w:color w:val="auto"/>
          <w:szCs w:val="28"/>
          <w:highlight w:val="none"/>
        </w:rPr>
      </w:pPr>
    </w:p>
    <w:p>
      <w:pPr>
        <w:spacing w:line="360" w:lineRule="auto"/>
        <w:jc w:val="center"/>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b/>
          <w:bCs/>
          <w:color w:val="auto"/>
          <w:szCs w:val="28"/>
          <w:highlight w:val="none"/>
        </w:rPr>
        <w:t>供应商名称：</w:t>
      </w:r>
      <w:r>
        <w:rPr>
          <w:rFonts w:hint="eastAsia" w:ascii="宋体" w:hAnsi="宋体" w:eastAsia="宋体" w:cs="宋体"/>
          <w:b/>
          <w:bCs/>
          <w:color w:val="auto"/>
          <w:szCs w:val="28"/>
          <w:highlight w:val="none"/>
          <w:u w:val="single"/>
        </w:rPr>
        <w:t xml:space="preserve">                       </w:t>
      </w:r>
      <w:r>
        <w:rPr>
          <w:rFonts w:hint="eastAsia" w:ascii="宋体" w:hAnsi="宋体" w:eastAsia="宋体" w:cs="宋体"/>
          <w:b/>
          <w:bCs/>
          <w:color w:val="auto"/>
          <w:szCs w:val="28"/>
          <w:highlight w:val="none"/>
        </w:rPr>
        <w:t>(</w:t>
      </w:r>
      <w:r>
        <w:rPr>
          <w:rFonts w:hint="eastAsia" w:ascii="宋体" w:hAnsi="宋体" w:eastAsia="宋体" w:cs="宋体"/>
          <w:color w:val="auto"/>
          <w:highlight w:val="none"/>
        </w:rPr>
        <w:t>公章</w:t>
      </w:r>
      <w:r>
        <w:rPr>
          <w:rFonts w:hint="eastAsia" w:ascii="宋体" w:hAnsi="宋体" w:eastAsia="宋体" w:cs="宋体"/>
          <w:b/>
          <w:bCs/>
          <w:color w:val="auto"/>
          <w:szCs w:val="28"/>
          <w:highlight w:val="none"/>
        </w:rPr>
        <w:t>)</w:t>
      </w:r>
      <w:bookmarkStart w:id="363" w:name="_Toc17074"/>
    </w:p>
    <w:p>
      <w:pPr>
        <w:spacing w:line="360" w:lineRule="auto"/>
        <w:jc w:val="center"/>
        <w:rPr>
          <w:rFonts w:hint="eastAsia" w:ascii="宋体" w:hAnsi="宋体" w:eastAsia="宋体" w:cs="宋体"/>
          <w:b/>
          <w:bCs/>
          <w:color w:val="auto"/>
          <w:szCs w:val="28"/>
          <w:highlight w:val="none"/>
        </w:rPr>
      </w:pPr>
    </w:p>
    <w:p>
      <w:pPr>
        <w:spacing w:line="360" w:lineRule="auto"/>
        <w:jc w:val="center"/>
        <w:rPr>
          <w:rFonts w:hint="eastAsia" w:ascii="宋体" w:hAnsi="宋体" w:eastAsia="宋体" w:cs="宋体"/>
          <w:b/>
          <w:bCs/>
          <w:color w:val="auto"/>
          <w:szCs w:val="28"/>
          <w:highlight w:val="none"/>
        </w:rPr>
      </w:pP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（二）已标价工程量清单</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二、技术</w:t>
      </w:r>
      <w:r>
        <w:rPr>
          <w:rFonts w:hint="eastAsia" w:ascii="仿宋" w:hAnsi="仿宋" w:eastAsia="仿宋" w:cs="仿宋"/>
          <w:b/>
          <w:bCs/>
          <w:color w:val="auto"/>
          <w:sz w:val="24"/>
          <w:szCs w:val="24"/>
          <w:highlight w:val="none"/>
          <w:lang w:eastAsia="zh-CN"/>
        </w:rPr>
        <w:t>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响应偏离</w:t>
      </w:r>
      <w:r>
        <w:rPr>
          <w:rFonts w:hint="eastAsia" w:ascii="仿宋" w:hAnsi="仿宋" w:eastAsia="仿宋" w:cs="仿宋"/>
          <w:color w:val="auto"/>
          <w:sz w:val="24"/>
          <w:szCs w:val="24"/>
          <w:highlight w:val="none"/>
          <w:lang w:eastAsia="zh-CN"/>
        </w:rPr>
        <w:t>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技术方案</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（二）其他资料（格式自定）</w:t>
      </w:r>
    </w:p>
    <w:p>
      <w:pPr>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四、资格条件部分</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pPr>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pPr>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pPr>
        <w:pageBreakBefore w:val="0"/>
        <w:widowControl w:val="0"/>
        <w:tabs>
          <w:tab w:val="left" w:pos="6300"/>
        </w:tabs>
        <w:kinsoku/>
        <w:wordWrap/>
        <w:overflowPunct/>
        <w:topLinePunct w:val="0"/>
        <w:autoSpaceDE/>
        <w:autoSpaceDN/>
        <w:bidi w:val="0"/>
        <w:adjustRightInd/>
        <w:snapToGrid w:val="0"/>
        <w:spacing w:line="480" w:lineRule="exact"/>
        <w:ind w:firstLine="480" w:firstLineChars="200"/>
        <w:jc w:val="left"/>
        <w:textAlignment w:val="auto"/>
        <w:rPr>
          <w:rFonts w:hint="eastAsia" w:ascii="仿宋" w:hAnsi="仿宋" w:eastAsia="仿宋" w:cs="仿宋"/>
          <w:color w:val="auto"/>
          <w:sz w:val="24"/>
          <w:szCs w:val="24"/>
          <w:highlight w:val="none"/>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仿宋"/>
          <w:color w:val="auto"/>
          <w:sz w:val="24"/>
          <w:szCs w:val="24"/>
          <w:highlight w:val="none"/>
        </w:rPr>
        <w:t>（一）其他与项目有关的资料（自附）</w:t>
      </w:r>
    </w:p>
    <w:p>
      <w:pPr>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一、经济部分</w:t>
      </w:r>
    </w:p>
    <w:p>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pPr>
        <w:tabs>
          <w:tab w:val="left" w:pos="6300"/>
        </w:tabs>
        <w:snapToGrid w:val="0"/>
        <w:spacing w:line="360" w:lineRule="auto"/>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_________________（采购人名称）：</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，经详细研究，决定参加该项目的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pPr>
        <w:numPr>
          <w:ilvl w:val="0"/>
          <w:numId w:val="7"/>
        </w:numPr>
        <w:tabs>
          <w:tab w:val="left" w:pos="6300"/>
        </w:tabs>
        <w:snapToGrid w:val="0"/>
        <w:spacing w:line="360" w:lineRule="auto"/>
        <w:ind w:left="-36" w:leftChars="0" w:firstLine="458"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比选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val="en-US" w:eastAsia="zh-CN"/>
        </w:rPr>
        <w:t>工程施工</w:t>
      </w:r>
      <w:r>
        <w:rPr>
          <w:rFonts w:hint="eastAsia" w:ascii="宋体" w:hAnsi="宋体" w:eastAsia="宋体" w:cs="宋体"/>
          <w:color w:val="auto"/>
          <w:sz w:val="24"/>
          <w:szCs w:val="24"/>
          <w:highlight w:val="none"/>
        </w:rPr>
        <w:t>服务，报价为人民币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（其中安全文明施工费：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的有效期为90天。</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的一切规定和要求及评审办法。</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过程中，我方若有违规行为，</w:t>
      </w:r>
      <w:r>
        <w:rPr>
          <w:rFonts w:hint="eastAsia" w:ascii="宋体" w:hAnsi="宋体" w:eastAsia="宋体" w:cs="宋体"/>
          <w:color w:val="auto"/>
          <w:sz w:val="24"/>
          <w:szCs w:val="24"/>
          <w:highlight w:val="none"/>
          <w:lang w:eastAsia="zh-CN"/>
        </w:rPr>
        <w:t>自愿</w:t>
      </w:r>
      <w:r>
        <w:rPr>
          <w:rFonts w:hint="eastAsia" w:ascii="宋体" w:hAnsi="宋体" w:eastAsia="宋体" w:cs="宋体"/>
          <w:color w:val="auto"/>
          <w:sz w:val="24"/>
          <w:szCs w:val="24"/>
          <w:highlight w:val="none"/>
        </w:rPr>
        <w:t>接受按照《中华人民共和国政府采购法》和《</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》之规定给予惩罚。</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.我方若成为成交供应商，将按照</w:t>
      </w:r>
      <w:r>
        <w:rPr>
          <w:rFonts w:hint="eastAsia" w:ascii="宋体" w:hAnsi="宋体" w:eastAsia="宋体" w:cs="宋体"/>
          <w:color w:val="auto"/>
          <w:sz w:val="24"/>
          <w:szCs w:val="24"/>
          <w:highlight w:val="none"/>
          <w:lang w:eastAsia="zh-CN"/>
        </w:rPr>
        <w:t>采购报价</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规定，如果我方成为成交供应商，保证在接到成交通知书前，向采购代理机构缴纳</w:t>
      </w:r>
      <w:r>
        <w:rPr>
          <w:rFonts w:hint="eastAsia" w:ascii="宋体" w:hAnsi="宋体" w:eastAsia="宋体" w:cs="宋体"/>
          <w:color w:val="auto"/>
          <w:sz w:val="24"/>
          <w:szCs w:val="24"/>
          <w:highlight w:val="none"/>
          <w:lang w:eastAsia="zh-CN"/>
        </w:rPr>
        <w:t>竞争性比选文件中</w:t>
      </w:r>
      <w:r>
        <w:rPr>
          <w:rFonts w:hint="eastAsia" w:ascii="宋体" w:hAnsi="宋体" w:eastAsia="宋体" w:cs="宋体"/>
          <w:color w:val="auto"/>
          <w:sz w:val="24"/>
          <w:szCs w:val="24"/>
          <w:highlight w:val="none"/>
        </w:rPr>
        <w:t>规定的采购代理服务费。</w:t>
      </w:r>
    </w:p>
    <w:p>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我方未为采购项目提供整体设计、规范编制或者项目管理、监理、检测等服务。</w:t>
      </w: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p>
    <w:p>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pPr>
        <w:snapToGrid w:val="0"/>
        <w:spacing w:line="360" w:lineRule="auto"/>
        <w:ind w:firstLine="480" w:firstLineChars="200"/>
        <w:rPr>
          <w:rFonts w:hint="eastAsia" w:ascii="宋体" w:hAnsi="宋体" w:eastAsia="宋体" w:cs="宋体"/>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（二）已标价工程量清单</w:t>
      </w:r>
    </w:p>
    <w:p>
      <w:pPr>
        <w:tabs>
          <w:tab w:val="left" w:pos="6300"/>
        </w:tabs>
        <w:snapToGrid w:val="0"/>
        <w:spacing w:line="312" w:lineRule="auto"/>
        <w:ind w:firstLine="720" w:firstLineChars="300"/>
        <w:rPr>
          <w:rFonts w:hint="eastAsia" w:ascii="宋体" w:hAnsi="宋体" w:eastAsia="宋体" w:cs="宋体"/>
          <w:bCs/>
          <w:color w:val="auto"/>
          <w:sz w:val="24"/>
          <w:szCs w:val="24"/>
          <w:highlight w:val="none"/>
          <w:lang w:eastAsia="zh-CN"/>
        </w:rPr>
      </w:pPr>
    </w:p>
    <w:p>
      <w:pPr>
        <w:tabs>
          <w:tab w:val="left" w:pos="6300"/>
        </w:tabs>
        <w:snapToGrid w:val="0"/>
        <w:spacing w:line="312" w:lineRule="auto"/>
        <w:ind w:firstLine="720" w:firstLineChars="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供应商根据清单自行组价</w:t>
      </w:r>
      <w:r>
        <w:rPr>
          <w:rFonts w:hint="eastAsia" w:ascii="宋体" w:hAnsi="宋体" w:eastAsia="宋体" w:cs="宋体"/>
          <w:bCs/>
          <w:color w:val="auto"/>
          <w:sz w:val="24"/>
          <w:szCs w:val="24"/>
          <w:highlight w:val="none"/>
        </w:rPr>
        <w:t>并逐页</w:t>
      </w:r>
      <w:r>
        <w:rPr>
          <w:rFonts w:hint="eastAsia" w:ascii="宋体" w:hAnsi="宋体" w:eastAsia="宋体" w:cs="宋体"/>
          <w:bCs/>
          <w:color w:val="auto"/>
          <w:sz w:val="24"/>
          <w:szCs w:val="24"/>
          <w:highlight w:val="none"/>
          <w:lang w:eastAsia="zh-CN"/>
        </w:rPr>
        <w:t>盖章</w:t>
      </w:r>
      <w:r>
        <w:rPr>
          <w:rFonts w:hint="eastAsia" w:ascii="宋体" w:hAnsi="宋体" w:eastAsia="宋体" w:cs="宋体"/>
          <w:bCs/>
          <w:color w:val="auto"/>
          <w:sz w:val="24"/>
          <w:szCs w:val="24"/>
          <w:highlight w:val="none"/>
        </w:rPr>
        <w:t>。</w:t>
      </w:r>
    </w:p>
    <w:p>
      <w:pPr>
        <w:widowControl w:val="0"/>
        <w:spacing w:line="312" w:lineRule="auto"/>
        <w:ind w:firstLine="480"/>
        <w:jc w:val="center"/>
        <w:rPr>
          <w:rFonts w:hint="eastAsia" w:ascii="宋体" w:hAnsi="宋体" w:eastAsia="宋体" w:cs="宋体"/>
          <w:color w:val="auto"/>
          <w:kern w:val="2"/>
          <w:sz w:val="24"/>
          <w:szCs w:val="24"/>
          <w:highlight w:val="none"/>
          <w:lang w:val="en-US" w:eastAsia="zh-CN" w:bidi="ar-SA"/>
        </w:rPr>
      </w:pPr>
    </w:p>
    <w:p>
      <w:pPr>
        <w:widowControl w:val="0"/>
        <w:spacing w:line="312" w:lineRule="auto"/>
        <w:ind w:firstLine="480"/>
        <w:jc w:val="center"/>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pPr>
        <w:widowControl w:val="0"/>
        <w:spacing w:line="312" w:lineRule="auto"/>
        <w:ind w:firstLine="420" w:firstLineChars="0"/>
        <w:jc w:val="both"/>
        <w:rPr>
          <w:rFonts w:hint="eastAsia" w:ascii="宋体" w:hAnsi="宋体" w:eastAsia="宋体" w:cs="宋体"/>
          <w:b/>
          <w:color w:val="auto"/>
          <w:sz w:val="28"/>
          <w:szCs w:val="28"/>
          <w:highlight w:val="none"/>
        </w:rPr>
      </w:pPr>
    </w:p>
    <w:p>
      <w:pPr>
        <w:widowControl w:val="0"/>
        <w:spacing w:line="312" w:lineRule="auto"/>
        <w:ind w:firstLine="0" w:firstLineChars="0"/>
        <w:jc w:val="both"/>
        <w:rPr>
          <w:rFonts w:hint="eastAsia" w:ascii="宋体" w:hAnsi="宋体" w:eastAsia="宋体" w:cs="宋体"/>
          <w:b/>
          <w:color w:val="auto"/>
          <w:sz w:val="28"/>
          <w:szCs w:val="28"/>
          <w:highlight w:val="none"/>
        </w:rPr>
      </w:pPr>
    </w:p>
    <w:p>
      <w:pPr>
        <w:spacing w:line="312" w:lineRule="auto"/>
        <w:ind w:firstLine="480" w:firstLineChars="200"/>
        <w:rPr>
          <w:rFonts w:hint="eastAsia" w:ascii="宋体" w:hAnsi="宋体" w:eastAsia="宋体" w:cs="宋体"/>
          <w:color w:val="auto"/>
          <w:sz w:val="24"/>
          <w:szCs w:val="24"/>
          <w:highlight w:val="none"/>
        </w:rPr>
        <w:sectPr>
          <w:headerReference r:id="rId9" w:type="default"/>
          <w:footerReference r:id="rId10" w:type="default"/>
          <w:pgSz w:w="11907" w:h="16840"/>
          <w:pgMar w:top="1440" w:right="1803" w:bottom="1440" w:left="1803" w:header="964" w:footer="992" w:gutter="0"/>
          <w:pgNumType w:fmt="numberInDash"/>
          <w:cols w:space="720" w:num="1"/>
          <w:docGrid w:linePitch="312" w:charSpace="0"/>
        </w:sectPr>
      </w:pPr>
    </w:p>
    <w:p>
      <w:pPr>
        <w:numPr>
          <w:ilvl w:val="0"/>
          <w:numId w:val="0"/>
        </w:numPr>
        <w:spacing w:line="312" w:lineRule="auto"/>
        <w:rPr>
          <w:rFonts w:hint="eastAsia" w:ascii="宋体" w:hAnsi="宋体" w:eastAsia="宋体" w:cs="宋体"/>
          <w:b/>
          <w:color w:val="auto"/>
          <w:sz w:val="24"/>
          <w:szCs w:val="24"/>
          <w:highlight w:val="none"/>
          <w:lang w:val="en-US" w:eastAsia="zh-CN"/>
        </w:rPr>
      </w:pPr>
    </w:p>
    <w:bookmarkEnd w:id="363"/>
    <w:p>
      <w:pPr>
        <w:pStyle w:val="5"/>
        <w:spacing w:before="0" w:after="0" w:line="360" w:lineRule="auto"/>
        <w:rPr>
          <w:rFonts w:hint="eastAsia" w:asciiTheme="minorEastAsia" w:hAnsiTheme="minorEastAsia" w:eastAsiaTheme="minorEastAsia" w:cstheme="minorEastAsia"/>
          <w:color w:val="auto"/>
          <w:sz w:val="24"/>
          <w:szCs w:val="24"/>
          <w:highlight w:val="none"/>
          <w:lang w:eastAsia="zh-CN"/>
        </w:rPr>
      </w:pPr>
      <w:bookmarkStart w:id="364" w:name="_Toc313008357"/>
      <w:bookmarkStart w:id="365" w:name="_Toc313888361"/>
      <w:bookmarkStart w:id="366" w:name="_Toc342913420"/>
      <w:bookmarkStart w:id="367" w:name="_Toc12453"/>
      <w:r>
        <w:rPr>
          <w:rFonts w:hint="eastAsia" w:asciiTheme="minorEastAsia" w:hAnsiTheme="minorEastAsia" w:eastAsiaTheme="minorEastAsia" w:cstheme="minorEastAsia"/>
          <w:color w:val="auto"/>
          <w:sz w:val="24"/>
          <w:szCs w:val="24"/>
          <w:highlight w:val="none"/>
        </w:rPr>
        <w:t>二、</w:t>
      </w:r>
      <w:bookmarkEnd w:id="364"/>
      <w:bookmarkEnd w:id="365"/>
      <w:bookmarkEnd w:id="366"/>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eastAsia="zh-CN"/>
        </w:rPr>
        <w:t>部分</w:t>
      </w:r>
      <w:bookmarkEnd w:id="367"/>
    </w:p>
    <w:p>
      <w:pPr>
        <w:tabs>
          <w:tab w:val="left" w:pos="6300"/>
        </w:tabs>
        <w:snapToGrid w:val="0"/>
        <w:spacing w:line="312"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技术</w:t>
      </w:r>
      <w:r>
        <w:rPr>
          <w:rFonts w:hint="eastAsia" w:asciiTheme="minorEastAsia" w:hAnsiTheme="minorEastAsia" w:eastAsiaTheme="minorEastAsia" w:cstheme="minorEastAsia"/>
          <w:bCs/>
          <w:color w:val="auto"/>
          <w:sz w:val="24"/>
          <w:szCs w:val="24"/>
          <w:highlight w:val="none"/>
          <w:lang w:val="en-US" w:eastAsia="zh-CN"/>
        </w:rPr>
        <w:t>响应偏离</w:t>
      </w:r>
      <w:r>
        <w:rPr>
          <w:rFonts w:hint="eastAsia" w:asciiTheme="minorEastAsia" w:hAnsiTheme="minorEastAsia" w:eastAsiaTheme="minorEastAsia" w:cstheme="minorEastAsia"/>
          <w:bCs/>
          <w:color w:val="auto"/>
          <w:sz w:val="24"/>
          <w:szCs w:val="24"/>
          <w:highlight w:val="none"/>
          <w:lang w:eastAsia="zh-CN"/>
        </w:rPr>
        <w:t>表</w:t>
      </w:r>
    </w:p>
    <w:p>
      <w:pPr>
        <w:tabs>
          <w:tab w:val="left" w:pos="2145"/>
        </w:tabs>
        <w:spacing w:line="360" w:lineRule="auto"/>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32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项目技术</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9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322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tabs>
                <w:tab w:val="left" w:pos="6300"/>
              </w:tabs>
              <w:snapToGrid w:val="0"/>
              <w:spacing w:line="500" w:lineRule="exact"/>
              <w:jc w:val="center"/>
              <w:outlineLvl w:val="0"/>
              <w:rPr>
                <w:rFonts w:hint="eastAsia" w:asciiTheme="minorEastAsia" w:hAnsiTheme="minorEastAsia" w:eastAsiaTheme="minorEastAsia" w:cstheme="minorEastAsia"/>
                <w:color w:val="auto"/>
                <w:sz w:val="24"/>
                <w:szCs w:val="24"/>
                <w:highlight w:val="none"/>
              </w:rPr>
            </w:pPr>
          </w:p>
        </w:tc>
      </w:tr>
    </w:tbl>
    <w:p>
      <w:pPr>
        <w:spacing w:line="50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line="5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tabs>
          <w:tab w:val="left" w:pos="6300"/>
        </w:tabs>
        <w:snapToGrid w:val="0"/>
        <w:spacing w:line="360"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bookmarkStart w:id="368" w:name="_Toc80104370"/>
      <w:r>
        <w:rPr>
          <w:rFonts w:hint="eastAsia" w:asciiTheme="minorEastAsia" w:hAnsiTheme="minorEastAsia" w:eastAsiaTheme="minorEastAsia" w:cstheme="minorEastAsia"/>
          <w:color w:val="auto"/>
          <w:sz w:val="24"/>
          <w:szCs w:val="24"/>
          <w:highlight w:val="none"/>
        </w:rPr>
        <w:t>1.本表即为对本项目“第二篇  项目</w:t>
      </w:r>
      <w:r>
        <w:rPr>
          <w:rFonts w:hint="eastAsia" w:asciiTheme="minorEastAsia" w:hAnsiTheme="minorEastAsia" w:eastAsiaTheme="minorEastAsia" w:cstheme="minorEastAsia"/>
          <w:color w:val="auto"/>
          <w:sz w:val="24"/>
          <w:szCs w:val="24"/>
          <w:highlight w:val="none"/>
          <w:lang w:eastAsia="zh-CN"/>
        </w:rPr>
        <w:t>技术需求</w:t>
      </w:r>
      <w:r>
        <w:rPr>
          <w:rFonts w:hint="eastAsia" w:asciiTheme="minorEastAsia" w:hAnsiTheme="minorEastAsia" w:eastAsiaTheme="minorEastAsia" w:cstheme="minorEastAsia"/>
          <w:color w:val="auto"/>
          <w:sz w:val="24"/>
          <w:szCs w:val="24"/>
          <w:highlight w:val="none"/>
        </w:rPr>
        <w:t>”中所列条款进行比较和响应；</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pPr>
        <w:tabs>
          <w:tab w:val="left" w:pos="6300"/>
        </w:tabs>
        <w:snapToGrid w:val="0"/>
        <w:spacing w:line="360" w:lineRule="auto"/>
        <w:ind w:firstLine="57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技术方案</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bookmarkStart w:id="369" w:name="_Toc5199"/>
      <w:r>
        <w:rPr>
          <w:rFonts w:hint="eastAsia" w:asciiTheme="minorEastAsia" w:hAnsiTheme="minorEastAsia" w:eastAsiaTheme="minorEastAsia" w:cstheme="minorEastAsia"/>
          <w:color w:val="auto"/>
          <w:sz w:val="24"/>
          <w:szCs w:val="24"/>
          <w:highlight w:val="none"/>
          <w:lang w:val="en-US" w:eastAsia="zh-CN"/>
        </w:rPr>
        <w:t>根据采购文件编制，格式自拟。</w:t>
      </w:r>
    </w:p>
    <w:p>
      <w:pPr>
        <w:pStyle w:val="5"/>
        <w:spacing w:before="0" w:after="0" w:line="360" w:lineRule="auto"/>
        <w:rPr>
          <w:rFonts w:hint="eastAsia" w:asciiTheme="minorEastAsia" w:hAnsiTheme="minorEastAsia" w:eastAsiaTheme="minorEastAsia" w:cstheme="minorEastAsia"/>
          <w:color w:val="auto"/>
          <w:szCs w:val="32"/>
          <w:highlight w:val="none"/>
        </w:rPr>
      </w:pPr>
      <w:r>
        <w:rPr>
          <w:rFonts w:hint="eastAsia" w:asciiTheme="minorEastAsia" w:hAnsiTheme="minorEastAsia" w:eastAsiaTheme="minorEastAsia" w:cstheme="minorEastAsia"/>
          <w:b w:val="0"/>
          <w:color w:val="auto"/>
          <w:highlight w:val="none"/>
        </w:rPr>
        <w:br w:type="page"/>
      </w:r>
      <w:r>
        <w:rPr>
          <w:rFonts w:hint="eastAsia" w:asciiTheme="minorEastAsia" w:hAnsiTheme="minorEastAsia" w:eastAsiaTheme="minorEastAsia" w:cstheme="minorEastAsia"/>
          <w:color w:val="auto"/>
          <w:sz w:val="24"/>
          <w:szCs w:val="24"/>
          <w:highlight w:val="none"/>
        </w:rPr>
        <w:t>三、商务部分</w:t>
      </w:r>
      <w:bookmarkEnd w:id="368"/>
      <w:bookmarkEnd w:id="369"/>
    </w:p>
    <w:p>
      <w:pPr>
        <w:pageBreakBefore w:val="0"/>
        <w:widowControl w:val="0"/>
        <w:kinsoku/>
        <w:wordWrap/>
        <w:overflowPunct/>
        <w:topLinePunct w:val="0"/>
        <w:autoSpaceDE/>
        <w:autoSpaceDN/>
        <w:bidi w:val="0"/>
        <w:adjustRightIn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（一）商务响应偏离表</w:t>
      </w:r>
    </w:p>
    <w:p>
      <w:pPr>
        <w:pageBreakBefore w:val="0"/>
        <w:widowControl w:val="0"/>
        <w:tabs>
          <w:tab w:val="left" w:pos="2145"/>
        </w:tabs>
        <w:kinsoku/>
        <w:wordWrap/>
        <w:overflowPunct/>
        <w:topLinePunct w:val="0"/>
        <w:autoSpaceDE/>
        <w:autoSpaceDN/>
        <w:bidi w:val="0"/>
        <w:adjustRightInd/>
        <w:spacing w:line="480" w:lineRule="exact"/>
        <w:ind w:firstLine="840" w:firstLineChars="3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rPr>
        <w:tab/>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商务</w:t>
            </w:r>
            <w:r>
              <w:rPr>
                <w:rFonts w:hint="eastAsia" w:asciiTheme="minorEastAsia" w:hAnsiTheme="minorEastAsia" w:eastAsiaTheme="minorEastAsia" w:cstheme="minorEastAsia"/>
                <w:color w:val="auto"/>
                <w:sz w:val="24"/>
                <w:szCs w:val="24"/>
                <w:highlight w:val="none"/>
              </w:rPr>
              <w:t>需求</w:t>
            </w: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42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2520"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c>
          <w:tcPr>
            <w:tcW w:w="1888" w:type="dxa"/>
            <w:noWrap w:val="0"/>
            <w:vAlign w:val="center"/>
          </w:tcPr>
          <w:p>
            <w:pPr>
              <w:pageBreakBefore w:val="0"/>
              <w:widowControl w:val="0"/>
              <w:tabs>
                <w:tab w:val="left" w:pos="6300"/>
              </w:tabs>
              <w:kinsoku/>
              <w:wordWrap/>
              <w:overflowPunct/>
              <w:topLinePunct w:val="0"/>
              <w:autoSpaceDE/>
              <w:autoSpaceDN/>
              <w:bidi w:val="0"/>
              <w:adjustRightInd/>
              <w:snapToGrid w:val="0"/>
              <w:spacing w:line="480" w:lineRule="exact"/>
              <w:jc w:val="center"/>
              <w:textAlignment w:val="auto"/>
              <w:outlineLvl w:val="0"/>
              <w:rPr>
                <w:rFonts w:hint="eastAsia" w:asciiTheme="minorEastAsia" w:hAnsiTheme="minorEastAsia" w:eastAsiaTheme="minorEastAsia" w:cstheme="minorEastAsia"/>
                <w:color w:val="auto"/>
                <w:sz w:val="24"/>
                <w:szCs w:val="24"/>
                <w:highlight w:val="none"/>
              </w:rPr>
            </w:pPr>
          </w:p>
        </w:tc>
      </w:tr>
    </w:tbl>
    <w:p>
      <w:pPr>
        <w:pageBreakBefore w:val="0"/>
        <w:widowControl w:val="0"/>
        <w:kinsoku/>
        <w:wordWrap/>
        <w:overflowPunct/>
        <w:topLinePunct w:val="0"/>
        <w:autoSpaceDE/>
        <w:autoSpaceDN/>
        <w:bidi w:val="0"/>
        <w:adjustRightInd/>
        <w:spacing w:line="480" w:lineRule="exact"/>
        <w:ind w:firstLine="600" w:firstLineChars="2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法定代表人（或法定代表人授权代表）：</w:t>
      </w:r>
    </w:p>
    <w:p>
      <w:pPr>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ageBreakBefore w:val="0"/>
        <w:widowControl w:val="0"/>
        <w:kinsoku/>
        <w:wordWrap/>
        <w:overflowPunct/>
        <w:topLinePunct w:val="0"/>
        <w:autoSpaceDE/>
        <w:autoSpaceDN/>
        <w:bidi w:val="0"/>
        <w:adjustRightInd/>
        <w:spacing w:line="4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                                 （签字或盖章）</w:t>
      </w:r>
    </w:p>
    <w:p>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1.本表即为对本项目“第三篇 项目商务需求”中所列条款进行比较和响应；</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该表必须按照</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要求逐条如实填写，根据响应情况在“差异说明”项填写正偏离或负偏离及原因，完全符合的填写“无差异”</w:t>
      </w:r>
    </w:p>
    <w:p>
      <w:pPr>
        <w:pageBreakBefore w:val="0"/>
        <w:widowControl w:val="0"/>
        <w:tabs>
          <w:tab w:val="left" w:pos="6300"/>
        </w:tabs>
        <w:kinsoku/>
        <w:wordWrap/>
        <w:overflowPunct/>
        <w:topLinePunct w:val="0"/>
        <w:autoSpaceDE/>
        <w:autoSpaceDN/>
        <w:bidi w:val="0"/>
        <w:adjustRightInd/>
        <w:snapToGrid w:val="0"/>
        <w:spacing w:line="480" w:lineRule="exact"/>
        <w:ind w:firstLine="57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3.该表可扩展。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w:t>
      </w:r>
      <w:bookmarkStart w:id="370" w:name="_Toc313888362"/>
      <w:bookmarkStart w:id="371" w:name="_Toc342913421"/>
      <w:bookmarkStart w:id="372" w:name="_Toc313008358"/>
      <w:bookmarkStart w:id="373" w:name="_Toc80104371"/>
      <w:bookmarkStart w:id="374" w:name="_Toc12335"/>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部分其他资料</w:t>
      </w:r>
      <w:r>
        <w:rPr>
          <w:rFonts w:hint="eastAsia" w:asciiTheme="minorEastAsia" w:hAnsiTheme="minorEastAsia" w:eastAsiaTheme="minorEastAsia" w:cstheme="minorEastAsia"/>
          <w:color w:val="auto"/>
          <w:sz w:val="24"/>
          <w:szCs w:val="24"/>
          <w:highlight w:val="none"/>
        </w:rPr>
        <w:t>（格式自拟）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p>
    <w:p>
      <w:pPr>
        <w:pStyle w:val="5"/>
        <w:spacing w:before="0" w:after="0" w:line="360" w:lineRule="auto"/>
        <w:rPr>
          <w:rFonts w:hint="eastAsia" w:asciiTheme="minorEastAsia" w:hAnsiTheme="minorEastAsia" w:eastAsiaTheme="minorEastAsia" w:cstheme="minorEastAsia"/>
          <w:color w:val="auto"/>
          <w:sz w:val="40"/>
          <w:szCs w:val="22"/>
          <w:highlight w:val="none"/>
        </w:rPr>
      </w:pPr>
      <w:r>
        <w:rPr>
          <w:rFonts w:hint="eastAsia" w:asciiTheme="minorEastAsia" w:hAnsiTheme="minorEastAsia" w:eastAsiaTheme="minorEastAsia" w:cstheme="minorEastAsia"/>
          <w:color w:val="auto"/>
          <w:szCs w:val="32"/>
          <w:highlight w:val="none"/>
        </w:rPr>
        <w:br w:type="column"/>
      </w:r>
      <w:r>
        <w:rPr>
          <w:rFonts w:hint="eastAsia" w:asciiTheme="minorEastAsia" w:hAnsiTheme="minorEastAsia" w:eastAsiaTheme="minorEastAsia" w:cstheme="minorEastAsia"/>
          <w:color w:val="auto"/>
          <w:sz w:val="24"/>
          <w:szCs w:val="24"/>
          <w:highlight w:val="none"/>
        </w:rPr>
        <w:t>四、</w:t>
      </w:r>
      <w:bookmarkEnd w:id="370"/>
      <w:bookmarkEnd w:id="371"/>
      <w:bookmarkEnd w:id="372"/>
      <w:r>
        <w:rPr>
          <w:rFonts w:hint="eastAsia" w:asciiTheme="minorEastAsia" w:hAnsiTheme="minorEastAsia" w:eastAsiaTheme="minorEastAsia" w:cstheme="minorEastAsia"/>
          <w:color w:val="auto"/>
          <w:sz w:val="24"/>
          <w:szCs w:val="24"/>
          <w:highlight w:val="none"/>
        </w:rPr>
        <w:t>资格条件</w:t>
      </w:r>
      <w:bookmarkEnd w:id="373"/>
      <w:bookmarkEnd w:id="374"/>
    </w:p>
    <w:p>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（法定代表人姓名）在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pacing w:line="480" w:lineRule="exact"/>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highlight w:val="none"/>
        </w:rPr>
        <w:t>（附：法定代表人身份证正反面复印件）</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pPr>
        <w:tabs>
          <w:tab w:val="left" w:pos="6300"/>
        </w:tabs>
        <w:snapToGrid w:val="0"/>
        <w:spacing w:line="500" w:lineRule="exact"/>
        <w:ind w:firstLine="57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名称）的法定代表人，特授权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（被授权人姓名及身份证代码）代表我单位全权办理上述项目的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、签约等具体工作，并签署全部有关文件、协议及合同。</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法定代表人：</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联系电话：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p>
    <w:p>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w:t>
      </w:r>
    </w:p>
    <w:p>
      <w:pPr>
        <w:tabs>
          <w:tab w:val="left" w:pos="6300"/>
        </w:tabs>
        <w:snapToGrid w:val="0"/>
        <w:spacing w:line="500" w:lineRule="exact"/>
        <w:ind w:firstLine="57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基本资格条件承诺函</w:t>
      </w: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名称）：</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名称）郑重承诺：</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招标代理机构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基本资格条件。</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pPr>
        <w:tabs>
          <w:tab w:val="left" w:pos="6300"/>
        </w:tabs>
        <w:snapToGrid w:val="0"/>
        <w:spacing w:line="53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pPr>
        <w:tabs>
          <w:tab w:val="left" w:pos="6300"/>
        </w:tabs>
        <w:snapToGrid w:val="0"/>
        <w:spacing w:line="530" w:lineRule="exact"/>
        <w:rPr>
          <w:rFonts w:hint="eastAsia" w:asciiTheme="minorEastAsia" w:hAnsiTheme="minorEastAsia" w:eastAsiaTheme="minorEastAsia" w:cstheme="minorEastAsia"/>
          <w:color w:val="auto"/>
          <w:sz w:val="24"/>
          <w:szCs w:val="24"/>
          <w:highlight w:val="none"/>
        </w:rPr>
      </w:pPr>
    </w:p>
    <w:p>
      <w:pPr>
        <w:tabs>
          <w:tab w:val="left" w:pos="6300"/>
        </w:tabs>
        <w:snapToGrid w:val="0"/>
        <w:spacing w:line="530" w:lineRule="exact"/>
        <w:ind w:right="424" w:firstLine="57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公章）</w:t>
      </w:r>
    </w:p>
    <w:p>
      <w:pPr>
        <w:pStyle w:val="19"/>
        <w:jc w:val="right"/>
        <w:rPr>
          <w:rFonts w:hint="eastAsia" w:asciiTheme="minorEastAsia" w:hAnsiTheme="minorEastAsia" w:eastAsiaTheme="minorEastAsia" w:cstheme="minorEastAsia"/>
          <w:color w:val="auto"/>
          <w:szCs w:val="24"/>
          <w:highlight w:val="none"/>
        </w:rPr>
      </w:pPr>
    </w:p>
    <w:p>
      <w:pPr>
        <w:pStyle w:val="19"/>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年   月   日</w:t>
      </w:r>
    </w:p>
    <w:p>
      <w:pPr>
        <w:pStyle w:val="19"/>
        <w:rPr>
          <w:rFonts w:hint="eastAsia" w:asciiTheme="minorEastAsia" w:hAnsiTheme="minorEastAsia" w:eastAsiaTheme="minorEastAsia" w:cstheme="minorEastAsia"/>
          <w:color w:val="auto"/>
          <w:sz w:val="32"/>
          <w:szCs w:val="32"/>
          <w:highlight w:val="none"/>
        </w:rPr>
      </w:pPr>
    </w:p>
    <w:p>
      <w:pPr>
        <w:pStyle w:val="19"/>
        <w:rPr>
          <w:rFonts w:hint="eastAsia" w:asciiTheme="minorEastAsia" w:hAnsiTheme="minorEastAsia" w:eastAsiaTheme="minorEastAsia" w:cstheme="minorEastAsia"/>
          <w:color w:val="auto"/>
          <w:sz w:val="32"/>
          <w:szCs w:val="32"/>
          <w:highlight w:val="none"/>
        </w:rPr>
      </w:pPr>
    </w:p>
    <w:p>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（五）特定资格条件证书或证明文件（如果有）</w:t>
      </w:r>
    </w:p>
    <w:p>
      <w:pPr>
        <w:pStyle w:val="19"/>
        <w:rPr>
          <w:rFonts w:hint="eastAsia" w:asciiTheme="minorEastAsia" w:hAnsiTheme="minorEastAsia" w:eastAsiaTheme="minorEastAsia" w:cstheme="minorEastAsia"/>
          <w:color w:val="auto"/>
          <w:sz w:val="32"/>
          <w:szCs w:val="32"/>
          <w:highlight w:val="none"/>
        </w:rPr>
      </w:pPr>
    </w:p>
    <w:p>
      <w:pPr>
        <w:pStyle w:val="19"/>
        <w:ind w:firstLine="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pPr>
        <w:pStyle w:val="5"/>
        <w:spacing w:before="0" w:after="0" w:line="360" w:lineRule="auto"/>
        <w:rPr>
          <w:rFonts w:hint="eastAsia" w:asciiTheme="minorEastAsia" w:hAnsiTheme="minorEastAsia" w:eastAsiaTheme="minorEastAsia" w:cstheme="minorEastAsia"/>
          <w:color w:val="auto"/>
          <w:sz w:val="28"/>
          <w:szCs w:val="28"/>
          <w:highlight w:val="none"/>
        </w:rPr>
      </w:pPr>
      <w:bookmarkStart w:id="375" w:name="_Toc12008"/>
      <w:r>
        <w:rPr>
          <w:rFonts w:hint="eastAsia" w:asciiTheme="minorEastAsia" w:hAnsiTheme="minorEastAsia" w:eastAsiaTheme="minorEastAsia" w:cstheme="minorEastAsia"/>
          <w:color w:val="auto"/>
          <w:sz w:val="28"/>
          <w:szCs w:val="28"/>
          <w:highlight w:val="none"/>
        </w:rPr>
        <w:t>五、其他应提供的资料</w:t>
      </w:r>
      <w:bookmarkEnd w:id="375"/>
    </w:p>
    <w:p>
      <w:pPr>
        <w:spacing w:line="4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（一）其他与项目有关的资料（自附）</w:t>
      </w: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rPr>
          <w:rFonts w:hint="eastAsia" w:asciiTheme="minorEastAsia" w:hAnsiTheme="minorEastAsia" w:eastAsiaTheme="minorEastAsia" w:cstheme="minorEastAsia"/>
          <w:color w:val="auto"/>
          <w:sz w:val="32"/>
          <w:szCs w:val="32"/>
          <w:highlight w:val="none"/>
        </w:rPr>
      </w:pPr>
    </w:p>
    <w:p>
      <w:pPr>
        <w:spacing w:line="360" w:lineRule="auto"/>
        <w:ind w:firstLine="640" w:firstLineChars="200"/>
        <w:jc w:val="center"/>
        <w:rPr>
          <w:rFonts w:hint="eastAsia" w:asciiTheme="minorEastAsia" w:hAnsiTheme="minorEastAsia" w:eastAsiaTheme="minorEastAsia" w:cstheme="minorEastAsia"/>
          <w:color w:val="auto"/>
          <w:sz w:val="32"/>
          <w:szCs w:val="32"/>
          <w:highlight w:val="none"/>
        </w:rPr>
      </w:pPr>
    </w:p>
    <w:p>
      <w:pPr>
        <w:spacing w:line="360" w:lineRule="auto"/>
        <w:ind w:firstLine="560" w:firstLineChars="200"/>
        <w:jc w:val="center"/>
        <w:rPr>
          <w:rFonts w:hint="eastAsia" w:asciiTheme="minorEastAsia" w:hAnsiTheme="minorEastAsia" w:eastAsiaTheme="minorEastAsia" w:cstheme="minorEastAsia"/>
          <w:color w:val="auto"/>
          <w:sz w:val="28"/>
          <w:szCs w:val="20"/>
          <w:highlight w:val="none"/>
        </w:rPr>
      </w:pPr>
      <w:r>
        <w:rPr>
          <w:rFonts w:hint="eastAsia" w:asciiTheme="minorEastAsia" w:hAnsiTheme="minorEastAsia" w:eastAsiaTheme="minorEastAsia" w:cstheme="minorEastAsia"/>
          <w:color w:val="auto"/>
          <w:sz w:val="28"/>
          <w:szCs w:val="20"/>
          <w:highlight w:val="none"/>
        </w:rPr>
        <w:t>（结束）</w:t>
      </w:r>
    </w:p>
    <w:p>
      <w:pPr>
        <w:spacing w:line="360" w:lineRule="auto"/>
        <w:ind w:firstLine="720" w:firstLineChars="200"/>
        <w:jc w:val="center"/>
        <w:rPr>
          <w:rFonts w:hint="eastAsia" w:asciiTheme="minorEastAsia" w:hAnsiTheme="minorEastAsia" w:eastAsiaTheme="minorEastAsia" w:cstheme="minorEastAsia"/>
          <w:color w:val="auto"/>
          <w:sz w:val="36"/>
          <w:szCs w:val="22"/>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spacing w:line="240" w:lineRule="auto"/>
        <w:jc w:val="center"/>
        <w:outlineLvl w:val="0"/>
        <w:rPr>
          <w:rFonts w:hint="eastAsia" w:asciiTheme="minorEastAsia" w:hAnsiTheme="minorEastAsia" w:eastAsiaTheme="minorEastAsia" w:cstheme="minorEastAsia"/>
          <w:b/>
          <w:bCs/>
          <w:smallCaps/>
          <w:color w:val="auto"/>
          <w:kern w:val="2"/>
          <w:sz w:val="28"/>
          <w:szCs w:val="20"/>
          <w:highlight w:val="none"/>
          <w:lang w:val="en-US" w:eastAsia="zh-CN" w:bidi="ar-SA"/>
        </w:rPr>
      </w:pPr>
      <w:r>
        <w:rPr>
          <w:rFonts w:hint="eastAsia" w:asciiTheme="minorEastAsia" w:hAnsiTheme="minorEastAsia" w:eastAsiaTheme="minorEastAsia" w:cstheme="minorEastAsia"/>
          <w:b/>
          <w:bCs/>
          <w:smallCaps/>
          <w:color w:val="auto"/>
          <w:kern w:val="2"/>
          <w:sz w:val="28"/>
          <w:szCs w:val="20"/>
          <w:highlight w:val="none"/>
          <w:lang w:val="en-US" w:eastAsia="zh-CN" w:bidi="ar-SA"/>
        </w:rPr>
        <w:t>附件1：</w:t>
      </w:r>
      <w:bookmarkEnd w:id="358"/>
      <w:bookmarkEnd w:id="359"/>
      <w:bookmarkEnd w:id="360"/>
      <w:bookmarkEnd w:id="361"/>
      <w:bookmarkEnd w:id="362"/>
      <w:r>
        <w:rPr>
          <w:rFonts w:hint="eastAsia" w:asciiTheme="minorEastAsia" w:hAnsiTheme="minorEastAsia" w:eastAsiaTheme="minorEastAsia" w:cstheme="minorEastAsia"/>
          <w:b/>
          <w:bCs/>
          <w:smallCaps/>
          <w:color w:val="auto"/>
          <w:kern w:val="2"/>
          <w:sz w:val="28"/>
          <w:szCs w:val="20"/>
          <w:highlight w:val="none"/>
          <w:lang w:val="en-US" w:eastAsia="zh-CN" w:bidi="ar-SA"/>
        </w:rPr>
        <w:t>同致诚工程咨询有限公司项目报名表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项目编号</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项目名称</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lang w:eastAsia="zh-CN"/>
              </w:rPr>
              <w:t>供应商</w:t>
            </w:r>
            <w:r>
              <w:rPr>
                <w:rFonts w:hint="eastAsia" w:asciiTheme="minorEastAsia" w:hAnsiTheme="minorEastAsia" w:eastAsiaTheme="minorEastAsia" w:cstheme="minorEastAsia"/>
                <w:color w:val="auto"/>
                <w:sz w:val="28"/>
                <w:szCs w:val="21"/>
                <w:highlight w:val="none"/>
              </w:rPr>
              <w:t>名称</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lang w:val="en-US" w:eastAsia="zh-CN"/>
              </w:rPr>
            </w:pPr>
            <w:r>
              <w:rPr>
                <w:rFonts w:hint="eastAsia" w:asciiTheme="minorEastAsia" w:hAnsiTheme="minorEastAsia" w:eastAsiaTheme="minorEastAsia" w:cstheme="minorEastAsia"/>
                <w:color w:val="auto"/>
                <w:sz w:val="28"/>
                <w:szCs w:val="21"/>
                <w:highlight w:val="none"/>
                <w:lang w:val="en-US" w:eastAsia="zh-CN"/>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联系人</w:t>
            </w:r>
          </w:p>
        </w:tc>
        <w:tc>
          <w:tcPr>
            <w:tcW w:w="239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手机</w:t>
            </w:r>
          </w:p>
        </w:tc>
        <w:tc>
          <w:tcPr>
            <w:tcW w:w="3965"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办公电话</w:t>
            </w:r>
          </w:p>
        </w:tc>
        <w:tc>
          <w:tcPr>
            <w:tcW w:w="239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c>
          <w:tcPr>
            <w:tcW w:w="1051"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传真</w:t>
            </w:r>
          </w:p>
        </w:tc>
        <w:tc>
          <w:tcPr>
            <w:tcW w:w="3965"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E-mail</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r>
              <w:rPr>
                <w:rFonts w:hint="eastAsia" w:asciiTheme="minorEastAsia" w:hAnsiTheme="minorEastAsia" w:eastAsiaTheme="minorEastAsia" w:cstheme="minorEastAsia"/>
                <w:color w:val="auto"/>
                <w:sz w:val="28"/>
                <w:szCs w:val="21"/>
                <w:highlight w:val="none"/>
              </w:rPr>
              <w:t>单位地址</w:t>
            </w:r>
          </w:p>
        </w:tc>
        <w:tc>
          <w:tcPr>
            <w:tcW w:w="7407" w:type="dxa"/>
            <w:gridSpan w:val="3"/>
            <w:noWrap w:val="0"/>
            <w:vAlign w:val="center"/>
          </w:tcPr>
          <w:p>
            <w:pPr>
              <w:ind w:left="0" w:leftChars="0" w:firstLine="0" w:firstLineChars="0"/>
              <w:jc w:val="center"/>
              <w:rPr>
                <w:rFonts w:hint="eastAsia" w:asciiTheme="minorEastAsia" w:hAnsiTheme="minorEastAsia" w:eastAsiaTheme="minorEastAsia" w:cstheme="minorEastAsia"/>
                <w:color w:val="auto"/>
                <w:sz w:val="28"/>
                <w:szCs w:val="21"/>
                <w:highlight w:val="none"/>
              </w:rPr>
            </w:pPr>
          </w:p>
        </w:tc>
      </w:tr>
    </w:tbl>
    <w:p>
      <w:pPr>
        <w:spacing w:line="360" w:lineRule="auto"/>
        <w:ind w:right="-372" w:rightChars="-133"/>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eastAsia="zh-CN"/>
        </w:rPr>
        <w:t>比选文件售价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lang w:eastAsia="zh-CN"/>
        </w:rPr>
        <w:t>00元/份</w:t>
      </w:r>
      <w:r>
        <w:rPr>
          <w:rFonts w:hint="eastAsia" w:asciiTheme="minorEastAsia" w:hAnsiTheme="minorEastAsia" w:eastAsiaTheme="minorEastAsia" w:cstheme="minorEastAsia"/>
          <w:color w:val="auto"/>
          <w:sz w:val="24"/>
          <w:highlight w:val="none"/>
          <w:lang w:val="en-US" w:eastAsia="zh-CN"/>
        </w:rPr>
        <w:t xml:space="preserve">             代理机构</w:t>
      </w:r>
      <w:r>
        <w:rPr>
          <w:rFonts w:hint="eastAsia" w:asciiTheme="minorEastAsia" w:hAnsiTheme="minorEastAsia" w:eastAsiaTheme="minorEastAsia" w:cstheme="minorEastAsia"/>
          <w:color w:val="auto"/>
          <w:sz w:val="24"/>
          <w:highlight w:val="none"/>
          <w:lang w:eastAsia="zh-CN"/>
        </w:rPr>
        <w:t>：同致诚工程咨询有限公司</w:t>
      </w:r>
      <w:r>
        <w:rPr>
          <w:rFonts w:hint="eastAsia" w:asciiTheme="minorEastAsia" w:hAnsiTheme="minorEastAsia" w:eastAsiaTheme="minorEastAsia" w:cstheme="minorEastAsia"/>
          <w:color w:val="auto"/>
          <w:sz w:val="24"/>
          <w:highlight w:val="none"/>
          <w:lang w:val="en-US" w:eastAsia="zh-CN"/>
        </w:rPr>
        <w:t xml:space="preserve">    </w:t>
      </w:r>
    </w:p>
    <w:p>
      <w:pPr>
        <w:wordWrap w:val="0"/>
        <w:spacing w:line="360" w:lineRule="auto"/>
        <w:jc w:val="both"/>
        <w:rPr>
          <w:rFonts w:hint="eastAsia" w:ascii="宋体" w:hAnsi="宋体" w:cs="宋体"/>
          <w:color w:val="auto"/>
          <w:highlight w:val="none"/>
        </w:rPr>
      </w:pPr>
    </w:p>
    <w:p>
      <w:pPr>
        <w:wordWrap w:val="0"/>
        <w:spacing w:line="360" w:lineRule="auto"/>
        <w:jc w:val="both"/>
        <w:rPr>
          <w:rFonts w:hint="eastAsia" w:ascii="宋体" w:hAnsi="宋体" w:cs="宋体"/>
          <w:color w:val="auto"/>
          <w:highlight w:val="none"/>
        </w:rPr>
      </w:pPr>
      <w:r>
        <w:rPr>
          <w:rFonts w:hint="eastAsia" w:ascii="宋体" w:hAnsi="宋体" w:cs="宋体"/>
          <w:color w:val="auto"/>
          <w:highlight w:val="none"/>
        </w:rPr>
        <w:t>相关说明：</w:t>
      </w:r>
    </w:p>
    <w:p>
      <w:pPr>
        <w:pStyle w:val="18"/>
        <w:ind w:firstLine="480" w:firstLineChars="200"/>
        <w:jc w:val="left"/>
        <w:rPr>
          <w:rFonts w:hint="eastAsia" w:ascii="宋体" w:hAnsi="宋体" w:cs="宋体"/>
          <w:b w:val="0"/>
          <w:smallCaps w:val="0"/>
          <w:color w:val="auto"/>
          <w:kern w:val="2"/>
          <w:sz w:val="24"/>
          <w:szCs w:val="24"/>
          <w:highlight w:val="none"/>
          <w:lang w:eastAsia="zh-CN"/>
        </w:rPr>
      </w:pPr>
      <w:r>
        <w:rPr>
          <w:rFonts w:hint="eastAsia" w:ascii="宋体" w:hAnsi="宋体" w:cs="宋体"/>
          <w:b w:val="0"/>
          <w:smallCaps w:val="0"/>
          <w:color w:val="auto"/>
          <w:kern w:val="2"/>
          <w:sz w:val="24"/>
          <w:szCs w:val="24"/>
          <w:highlight w:val="none"/>
          <w:lang w:eastAsia="zh-CN"/>
        </w:rPr>
        <w:t>在采购文件发售期内（工作时间：工作日内每天上午9：00-12:00时，下午14：</w:t>
      </w:r>
      <w:r>
        <w:rPr>
          <w:rFonts w:hint="eastAsia" w:ascii="宋体" w:hAnsi="宋体" w:cs="宋体"/>
          <w:b w:val="0"/>
          <w:smallCaps w:val="0"/>
          <w:color w:val="auto"/>
          <w:kern w:val="2"/>
          <w:sz w:val="24"/>
          <w:szCs w:val="24"/>
          <w:highlight w:val="none"/>
          <w:lang w:val="en-US" w:eastAsia="zh-CN"/>
        </w:rPr>
        <w:t>3</w:t>
      </w:r>
      <w:r>
        <w:rPr>
          <w:rFonts w:hint="eastAsia" w:ascii="宋体" w:hAnsi="宋体" w:cs="宋体"/>
          <w:b w:val="0"/>
          <w:smallCaps w:val="0"/>
          <w:color w:val="auto"/>
          <w:kern w:val="2"/>
          <w:sz w:val="24"/>
          <w:szCs w:val="24"/>
          <w:highlight w:val="none"/>
          <w:lang w:eastAsia="zh-CN"/>
        </w:rPr>
        <w:t>0-17：</w:t>
      </w:r>
      <w:r>
        <w:rPr>
          <w:rFonts w:hint="eastAsia" w:ascii="宋体" w:hAnsi="宋体" w:cs="宋体"/>
          <w:b w:val="0"/>
          <w:smallCaps w:val="0"/>
          <w:color w:val="auto"/>
          <w:kern w:val="2"/>
          <w:sz w:val="24"/>
          <w:szCs w:val="24"/>
          <w:highlight w:val="none"/>
          <w:lang w:val="en-US" w:eastAsia="zh-CN"/>
        </w:rPr>
        <w:t>3</w:t>
      </w:r>
      <w:r>
        <w:rPr>
          <w:rFonts w:hint="eastAsia" w:ascii="宋体" w:hAnsi="宋体" w:cs="宋体"/>
          <w:b w:val="0"/>
          <w:smallCaps w:val="0"/>
          <w:color w:val="auto"/>
          <w:kern w:val="2"/>
          <w:sz w:val="24"/>
          <w:szCs w:val="24"/>
          <w:highlight w:val="none"/>
          <w:lang w:eastAsia="zh-CN"/>
        </w:rPr>
        <w:t>0时），供应商到同致诚工程咨询有限公司购买采购文件的，地址：重庆市大足区宏声南路237号，供应商在缴纳购买采购文件费用后，请将《同致诚工程咨询有限公司招标文件发售登记表》（加盖供应商公章）递交至代理公司工作人员。</w:t>
      </w:r>
    </w:p>
    <w:p>
      <w:pPr>
        <w:rPr>
          <w:color w:val="auto"/>
          <w:highlight w:val="none"/>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37C835-1831-499B-AF05-D395BFD4190D}"/>
  </w:font>
  <w:font w:name="方正仿宋_GBK">
    <w:panose1 w:val="03000509000000000000"/>
    <w:charset w:val="86"/>
    <w:family w:val="script"/>
    <w:pitch w:val="default"/>
    <w:sig w:usb0="00000001" w:usb1="080E0000" w:usb2="00000000" w:usb3="00000000" w:csb0="00040000" w:csb1="00000000"/>
    <w:embedRegular r:id="rId2" w:fontKey="{50BAA9FA-0C94-43B4-9B3B-50D74507FF9A}"/>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13AA2971-4925-4317-B2B5-A4AFC45A7D8B}"/>
  </w:font>
  <w:font w:name="新宋体">
    <w:panose1 w:val="02010609030101010101"/>
    <w:charset w:val="86"/>
    <w:family w:val="modern"/>
    <w:pitch w:val="default"/>
    <w:sig w:usb0="00000283" w:usb1="288F0000" w:usb2="00000006" w:usb3="00000000" w:csb0="00040001" w:csb1="00000000"/>
    <w:embedRegular r:id="rId4" w:fontKey="{218696D8-9136-45CE-84F5-3B8DF7321CBA}"/>
  </w:font>
  <w:font w:name="仿宋">
    <w:panose1 w:val="02010609060101010101"/>
    <w:charset w:val="86"/>
    <w:family w:val="auto"/>
    <w:pitch w:val="default"/>
    <w:sig w:usb0="800002BF" w:usb1="38CF7CFA" w:usb2="00000016" w:usb3="00000000" w:csb0="00040001" w:csb1="00000000"/>
    <w:embedRegular r:id="rId5" w:fontKey="{19D285FD-876B-4981-8866-0DAD0B865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center"/>
      <w:rPr>
        <w:rStyle w:val="24"/>
        <w:rFonts w:hint="eastAsia" w:ascii="宋体"/>
        <w:sz w:val="21"/>
        <w:szCs w:val="21"/>
      </w:rPr>
    </w:pPr>
    <w:r>
      <w:rPr>
        <w:rFonts w:ascii="宋体"/>
        <w:sz w:val="21"/>
        <w:szCs w:val="21"/>
      </w:rPr>
      <w:fldChar w:fldCharType="begin"/>
    </w:r>
    <w:r>
      <w:rPr>
        <w:rStyle w:val="24"/>
        <w:rFonts w:ascii="宋体"/>
        <w:sz w:val="21"/>
        <w:szCs w:val="21"/>
      </w:rPr>
      <w:instrText xml:space="preserve">PAGE  </w:instrText>
    </w:r>
    <w:r>
      <w:rPr>
        <w:rFonts w:ascii="宋体"/>
        <w:sz w:val="21"/>
        <w:szCs w:val="21"/>
      </w:rPr>
      <w:fldChar w:fldCharType="separate"/>
    </w:r>
    <w:r>
      <w:rPr>
        <w:rStyle w:val="24"/>
        <w:rFonts w:ascii="宋体"/>
        <w:sz w:val="21"/>
        <w:szCs w:val="21"/>
      </w:rPr>
      <w:t>- 5 -</w:t>
    </w:r>
    <w:r>
      <w:rPr>
        <w:rFonts w:ascii="宋体"/>
        <w:sz w:val="21"/>
        <w:szCs w:val="21"/>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p>
  <w:p>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0"/>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5988"/>
        <w:tab w:val="clear" w:pos="4153"/>
      </w:tabs>
      <w:rPr>
        <w:rFonts w:hint="default" w:eastAsiaTheme="minorEastAsia"/>
        <w:sz w:val="22"/>
        <w:szCs w:val="22"/>
        <w:lang w:val="en-US" w:eastAsia="zh-CN"/>
      </w:rPr>
    </w:pPr>
    <w:r>
      <w:rPr>
        <w:rFonts w:hint="eastAsia"/>
        <w:sz w:val="22"/>
        <w:szCs w:val="22"/>
        <w:lang w:val="en-US" w:eastAsia="zh-CN"/>
      </w:rPr>
      <w:t xml:space="preserve">        </w:t>
    </w:r>
  </w:p>
  <w:p>
    <w:pPr>
      <w:pStyle w:val="1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both"/>
      <w:rPr>
        <w:rFonts w:ascii="方正仿宋_GBK" w:hAnsi="Calibri" w:eastAsia="方正仿宋_GBK" w:cs="Times New Roman"/>
        <w:kern w:val="2"/>
        <w:sz w:val="21"/>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9188"/>
    <w:multiLevelType w:val="singleLevel"/>
    <w:tmpl w:val="D31C9188"/>
    <w:lvl w:ilvl="0" w:tentative="0">
      <w:start w:val="4"/>
      <w:numFmt w:val="chineseCounting"/>
      <w:suff w:val="space"/>
      <w:lvlText w:val="第%1篇"/>
      <w:lvlJc w:val="left"/>
      <w:rPr>
        <w:rFonts w:hint="eastAsia"/>
      </w:rPr>
    </w:lvl>
  </w:abstractNum>
  <w:abstractNum w:abstractNumId="1">
    <w:nsid w:val="10FE3554"/>
    <w:multiLevelType w:val="singleLevel"/>
    <w:tmpl w:val="10FE3554"/>
    <w:lvl w:ilvl="0" w:tentative="0">
      <w:start w:val="7"/>
      <w:numFmt w:val="chineseCounting"/>
      <w:suff w:val="space"/>
      <w:lvlText w:val="第%1篇"/>
      <w:lvlJc w:val="left"/>
      <w:rPr>
        <w:rFonts w:hint="eastAsia"/>
      </w:rPr>
    </w:lvl>
  </w:abstractNum>
  <w:abstractNum w:abstractNumId="2">
    <w:nsid w:val="183A57F8"/>
    <w:multiLevelType w:val="singleLevel"/>
    <w:tmpl w:val="183A57F8"/>
    <w:lvl w:ilvl="0" w:tentative="0">
      <w:start w:val="1"/>
      <w:numFmt w:val="decimal"/>
      <w:suff w:val="nothing"/>
      <w:lvlText w:val="%1、"/>
      <w:lvlJc w:val="left"/>
      <w:pPr>
        <w:ind w:left="-48"/>
      </w:pPr>
    </w:lvl>
  </w:abstractNum>
  <w:abstractNum w:abstractNumId="3">
    <w:nsid w:val="38611424"/>
    <w:multiLevelType w:val="singleLevel"/>
    <w:tmpl w:val="38611424"/>
    <w:lvl w:ilvl="0" w:tentative="0">
      <w:start w:val="2"/>
      <w:numFmt w:val="chineseCounting"/>
      <w:suff w:val="space"/>
      <w:lvlText w:val="第%1篇"/>
      <w:lvlJc w:val="left"/>
      <w:rPr>
        <w:rFonts w:hint="eastAsia"/>
      </w:rPr>
    </w:lvl>
  </w:abstractNum>
  <w:abstractNum w:abstractNumId="4">
    <w:nsid w:val="4D9C6171"/>
    <w:multiLevelType w:val="singleLevel"/>
    <w:tmpl w:val="4D9C6171"/>
    <w:lvl w:ilvl="0" w:tentative="0">
      <w:start w:val="3"/>
      <w:numFmt w:val="chineseCounting"/>
      <w:suff w:val="nothing"/>
      <w:lvlText w:val="%1、"/>
      <w:lvlJc w:val="left"/>
      <w:rPr>
        <w:rFonts w:hint="eastAsia"/>
      </w:rPr>
    </w:lvl>
  </w:abstractNum>
  <w:abstractNum w:abstractNumId="5">
    <w:nsid w:val="6F39A1C8"/>
    <w:multiLevelType w:val="singleLevel"/>
    <w:tmpl w:val="6F39A1C8"/>
    <w:lvl w:ilvl="0" w:tentative="0">
      <w:start w:val="3"/>
      <w:numFmt w:val="decimal"/>
      <w:lvlText w:val="%1."/>
      <w:lvlJc w:val="left"/>
      <w:pPr>
        <w:tabs>
          <w:tab w:val="left" w:pos="312"/>
        </w:tabs>
      </w:pPr>
    </w:lvl>
  </w:abstractNum>
  <w:abstractNum w:abstractNumId="6">
    <w:nsid w:val="7F41347B"/>
    <w:multiLevelType w:val="multilevel"/>
    <w:tmpl w:val="7F41347B"/>
    <w:lvl w:ilvl="0" w:tentative="0">
      <w:start w:val="1"/>
      <w:numFmt w:val="japaneseCounting"/>
      <w:lvlText w:val="%1、"/>
      <w:lvlJc w:val="left"/>
      <w:pPr>
        <w:tabs>
          <w:tab w:val="left" w:pos="1290"/>
        </w:tabs>
        <w:ind w:left="1290" w:hanging="720"/>
      </w:pPr>
      <w:rPr>
        <w:rFonts w:hint="eastAsia"/>
        <w:b/>
        <w:bCs/>
      </w:rPr>
    </w:lvl>
    <w:lvl w:ilvl="1" w:tentative="0">
      <w:start w:val="1"/>
      <w:numFmt w:val="decimal"/>
      <w:lvlText w:val="%2、"/>
      <w:lvlJc w:val="left"/>
      <w:pPr>
        <w:tabs>
          <w:tab w:val="left" w:pos="1710"/>
        </w:tabs>
        <w:ind w:left="1710" w:hanging="720"/>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ODQzYTAzZTYxNjk2NWU0NWY1NTdhODI1NjFkYjIifQ=="/>
  </w:docVars>
  <w:rsids>
    <w:rsidRoot w:val="4E472A84"/>
    <w:rsid w:val="01170C55"/>
    <w:rsid w:val="015C2B0C"/>
    <w:rsid w:val="01F359B1"/>
    <w:rsid w:val="023A18AD"/>
    <w:rsid w:val="0363796B"/>
    <w:rsid w:val="046E5030"/>
    <w:rsid w:val="04820ADC"/>
    <w:rsid w:val="04E41694"/>
    <w:rsid w:val="05597A8E"/>
    <w:rsid w:val="057E5747"/>
    <w:rsid w:val="0596483F"/>
    <w:rsid w:val="06004D54"/>
    <w:rsid w:val="06400C4E"/>
    <w:rsid w:val="06514C09"/>
    <w:rsid w:val="0733430F"/>
    <w:rsid w:val="077C4461"/>
    <w:rsid w:val="07A1653A"/>
    <w:rsid w:val="07D23B28"/>
    <w:rsid w:val="08670714"/>
    <w:rsid w:val="096C4B48"/>
    <w:rsid w:val="09787CEE"/>
    <w:rsid w:val="09BE22D9"/>
    <w:rsid w:val="09CB082F"/>
    <w:rsid w:val="0A067AB9"/>
    <w:rsid w:val="0A165F4E"/>
    <w:rsid w:val="0ACB776E"/>
    <w:rsid w:val="0B9C0E22"/>
    <w:rsid w:val="0C030754"/>
    <w:rsid w:val="0C1F4E62"/>
    <w:rsid w:val="0C816BBF"/>
    <w:rsid w:val="0DB00467"/>
    <w:rsid w:val="0DC34588"/>
    <w:rsid w:val="0F073C1A"/>
    <w:rsid w:val="0F0E76A8"/>
    <w:rsid w:val="0F4D6375"/>
    <w:rsid w:val="0FA77648"/>
    <w:rsid w:val="0FCA2182"/>
    <w:rsid w:val="101C0036"/>
    <w:rsid w:val="10DD1C44"/>
    <w:rsid w:val="10F1501F"/>
    <w:rsid w:val="11800151"/>
    <w:rsid w:val="134456CF"/>
    <w:rsid w:val="137E5D92"/>
    <w:rsid w:val="13FD017F"/>
    <w:rsid w:val="142676D5"/>
    <w:rsid w:val="14822EEF"/>
    <w:rsid w:val="148D32B1"/>
    <w:rsid w:val="14B26918"/>
    <w:rsid w:val="14B33B02"/>
    <w:rsid w:val="153B4ABB"/>
    <w:rsid w:val="158F27E5"/>
    <w:rsid w:val="169923E1"/>
    <w:rsid w:val="16FC296F"/>
    <w:rsid w:val="1740285C"/>
    <w:rsid w:val="17B40B54"/>
    <w:rsid w:val="19403419"/>
    <w:rsid w:val="198F7974"/>
    <w:rsid w:val="1AAA0751"/>
    <w:rsid w:val="1AD42D15"/>
    <w:rsid w:val="1B0D7DB0"/>
    <w:rsid w:val="1B762CF0"/>
    <w:rsid w:val="1BCD60CB"/>
    <w:rsid w:val="1C057BD0"/>
    <w:rsid w:val="1C617CEB"/>
    <w:rsid w:val="1C8C4A6C"/>
    <w:rsid w:val="1CA078F9"/>
    <w:rsid w:val="1E1D56A5"/>
    <w:rsid w:val="1EC12CE3"/>
    <w:rsid w:val="1F274302"/>
    <w:rsid w:val="1F576995"/>
    <w:rsid w:val="20755F4B"/>
    <w:rsid w:val="21ED5502"/>
    <w:rsid w:val="22265B0E"/>
    <w:rsid w:val="229E2B2D"/>
    <w:rsid w:val="22D64075"/>
    <w:rsid w:val="246D27B7"/>
    <w:rsid w:val="248D799D"/>
    <w:rsid w:val="24B44889"/>
    <w:rsid w:val="24EA02AB"/>
    <w:rsid w:val="24FE5578"/>
    <w:rsid w:val="25076767"/>
    <w:rsid w:val="26E57F38"/>
    <w:rsid w:val="26EC5899"/>
    <w:rsid w:val="27733BBB"/>
    <w:rsid w:val="27982240"/>
    <w:rsid w:val="287E31E4"/>
    <w:rsid w:val="28AF339E"/>
    <w:rsid w:val="28C8445F"/>
    <w:rsid w:val="28DC43AF"/>
    <w:rsid w:val="291C47AB"/>
    <w:rsid w:val="299C556E"/>
    <w:rsid w:val="29B42C36"/>
    <w:rsid w:val="2A60384A"/>
    <w:rsid w:val="2A912863"/>
    <w:rsid w:val="2A9F7442"/>
    <w:rsid w:val="2AB7478C"/>
    <w:rsid w:val="2AE9690F"/>
    <w:rsid w:val="2B006133"/>
    <w:rsid w:val="2B54647E"/>
    <w:rsid w:val="2BAD5B8F"/>
    <w:rsid w:val="2BEE0681"/>
    <w:rsid w:val="2C071743"/>
    <w:rsid w:val="2CE61358"/>
    <w:rsid w:val="2CF73565"/>
    <w:rsid w:val="2D053ED4"/>
    <w:rsid w:val="2DAF2878"/>
    <w:rsid w:val="2E020414"/>
    <w:rsid w:val="2E0C7407"/>
    <w:rsid w:val="2E652751"/>
    <w:rsid w:val="2E91731A"/>
    <w:rsid w:val="2F4E3361"/>
    <w:rsid w:val="2FA1725F"/>
    <w:rsid w:val="305A630F"/>
    <w:rsid w:val="30696528"/>
    <w:rsid w:val="30CC6AB7"/>
    <w:rsid w:val="31540F86"/>
    <w:rsid w:val="320A5AE9"/>
    <w:rsid w:val="347B4A7C"/>
    <w:rsid w:val="3511718E"/>
    <w:rsid w:val="35773495"/>
    <w:rsid w:val="365D6B2F"/>
    <w:rsid w:val="36AF255F"/>
    <w:rsid w:val="37461371"/>
    <w:rsid w:val="378B76CC"/>
    <w:rsid w:val="37A12A4B"/>
    <w:rsid w:val="3825367C"/>
    <w:rsid w:val="38DC3C6D"/>
    <w:rsid w:val="392C4597"/>
    <w:rsid w:val="393F42CA"/>
    <w:rsid w:val="39641F82"/>
    <w:rsid w:val="39B051C8"/>
    <w:rsid w:val="39F03816"/>
    <w:rsid w:val="39F25ED1"/>
    <w:rsid w:val="3A033549"/>
    <w:rsid w:val="3A72247D"/>
    <w:rsid w:val="3AA54D69"/>
    <w:rsid w:val="3AF356F4"/>
    <w:rsid w:val="3B1964AA"/>
    <w:rsid w:val="3B1D71A5"/>
    <w:rsid w:val="3B8C30C5"/>
    <w:rsid w:val="3BAA1ABA"/>
    <w:rsid w:val="3BF35840"/>
    <w:rsid w:val="3CB63FD1"/>
    <w:rsid w:val="3CDB07AE"/>
    <w:rsid w:val="3D5440BC"/>
    <w:rsid w:val="3D624A2B"/>
    <w:rsid w:val="3DB039E8"/>
    <w:rsid w:val="3E110C94"/>
    <w:rsid w:val="3E9F0327"/>
    <w:rsid w:val="3EAE5A4E"/>
    <w:rsid w:val="3ECA0ADA"/>
    <w:rsid w:val="3F397A0D"/>
    <w:rsid w:val="3FB01F4D"/>
    <w:rsid w:val="40CD48B1"/>
    <w:rsid w:val="414601C0"/>
    <w:rsid w:val="42116A20"/>
    <w:rsid w:val="42AB6E74"/>
    <w:rsid w:val="43AC4C52"/>
    <w:rsid w:val="43BB4E27"/>
    <w:rsid w:val="43BC29BB"/>
    <w:rsid w:val="43C723A0"/>
    <w:rsid w:val="44117478"/>
    <w:rsid w:val="443A431D"/>
    <w:rsid w:val="4443334C"/>
    <w:rsid w:val="448F7930"/>
    <w:rsid w:val="44A75419"/>
    <w:rsid w:val="44CE6E4A"/>
    <w:rsid w:val="44F151D9"/>
    <w:rsid w:val="44F46356"/>
    <w:rsid w:val="455530C7"/>
    <w:rsid w:val="456B6447"/>
    <w:rsid w:val="45A0479D"/>
    <w:rsid w:val="45C16D86"/>
    <w:rsid w:val="45C4397E"/>
    <w:rsid w:val="45FC3A90"/>
    <w:rsid w:val="46342CDD"/>
    <w:rsid w:val="466D7A8A"/>
    <w:rsid w:val="47A2508B"/>
    <w:rsid w:val="48455675"/>
    <w:rsid w:val="488C0CFD"/>
    <w:rsid w:val="48B504ED"/>
    <w:rsid w:val="499248EA"/>
    <w:rsid w:val="49AB775A"/>
    <w:rsid w:val="49AD0E2D"/>
    <w:rsid w:val="4A29760D"/>
    <w:rsid w:val="4AB60164"/>
    <w:rsid w:val="4B376753"/>
    <w:rsid w:val="4B4328B3"/>
    <w:rsid w:val="4BA67800"/>
    <w:rsid w:val="4BBD1357"/>
    <w:rsid w:val="4BFA522A"/>
    <w:rsid w:val="4C07336D"/>
    <w:rsid w:val="4C9E35A6"/>
    <w:rsid w:val="4D2C2E13"/>
    <w:rsid w:val="4D4E2A1B"/>
    <w:rsid w:val="4DA93F02"/>
    <w:rsid w:val="4E472A84"/>
    <w:rsid w:val="4EB66985"/>
    <w:rsid w:val="4EDE77FC"/>
    <w:rsid w:val="4EFF657E"/>
    <w:rsid w:val="4F1162B1"/>
    <w:rsid w:val="4F6B59C1"/>
    <w:rsid w:val="4FF60E0D"/>
    <w:rsid w:val="5081006F"/>
    <w:rsid w:val="514F30C0"/>
    <w:rsid w:val="518B66FF"/>
    <w:rsid w:val="519531C9"/>
    <w:rsid w:val="51B353FD"/>
    <w:rsid w:val="52554706"/>
    <w:rsid w:val="52831274"/>
    <w:rsid w:val="52AD4542"/>
    <w:rsid w:val="53690469"/>
    <w:rsid w:val="538C4158"/>
    <w:rsid w:val="54212621"/>
    <w:rsid w:val="54576514"/>
    <w:rsid w:val="545A0B28"/>
    <w:rsid w:val="54C811C0"/>
    <w:rsid w:val="56336B0D"/>
    <w:rsid w:val="563F1955"/>
    <w:rsid w:val="57810B57"/>
    <w:rsid w:val="580C3AB9"/>
    <w:rsid w:val="58A06B7D"/>
    <w:rsid w:val="58B959EF"/>
    <w:rsid w:val="58C61EBA"/>
    <w:rsid w:val="59346FE3"/>
    <w:rsid w:val="59486D73"/>
    <w:rsid w:val="5A90452E"/>
    <w:rsid w:val="5B503CBD"/>
    <w:rsid w:val="5BC07095"/>
    <w:rsid w:val="5BF73DED"/>
    <w:rsid w:val="5C144ED4"/>
    <w:rsid w:val="5C1A7B93"/>
    <w:rsid w:val="5C5679F9"/>
    <w:rsid w:val="5C9D2F32"/>
    <w:rsid w:val="5D361E2E"/>
    <w:rsid w:val="5D467A6D"/>
    <w:rsid w:val="5E895E64"/>
    <w:rsid w:val="5EA63E35"/>
    <w:rsid w:val="5ECE1AC8"/>
    <w:rsid w:val="5EEB4C44"/>
    <w:rsid w:val="5F17346F"/>
    <w:rsid w:val="600C63F5"/>
    <w:rsid w:val="60724A56"/>
    <w:rsid w:val="610160C9"/>
    <w:rsid w:val="610712C2"/>
    <w:rsid w:val="61243C22"/>
    <w:rsid w:val="615A7643"/>
    <w:rsid w:val="622A52D0"/>
    <w:rsid w:val="629E5C56"/>
    <w:rsid w:val="63163E01"/>
    <w:rsid w:val="642E6B65"/>
    <w:rsid w:val="64ED07CF"/>
    <w:rsid w:val="655B398A"/>
    <w:rsid w:val="65624D19"/>
    <w:rsid w:val="659F41BF"/>
    <w:rsid w:val="68585345"/>
    <w:rsid w:val="68CB0E27"/>
    <w:rsid w:val="6AC13808"/>
    <w:rsid w:val="6AC9771D"/>
    <w:rsid w:val="6B796397"/>
    <w:rsid w:val="6B8E2D0B"/>
    <w:rsid w:val="6BDE7184"/>
    <w:rsid w:val="6CAB3449"/>
    <w:rsid w:val="6D667370"/>
    <w:rsid w:val="6E2D0276"/>
    <w:rsid w:val="6E3F209B"/>
    <w:rsid w:val="6E586931"/>
    <w:rsid w:val="6E893520"/>
    <w:rsid w:val="6E9C573F"/>
    <w:rsid w:val="6F313900"/>
    <w:rsid w:val="6FAD572A"/>
    <w:rsid w:val="6FDD7A3E"/>
    <w:rsid w:val="6FE253D4"/>
    <w:rsid w:val="70146EEE"/>
    <w:rsid w:val="70291255"/>
    <w:rsid w:val="707F5C6F"/>
    <w:rsid w:val="70F51137"/>
    <w:rsid w:val="71094BE2"/>
    <w:rsid w:val="710B095A"/>
    <w:rsid w:val="71520337"/>
    <w:rsid w:val="715C1EFA"/>
    <w:rsid w:val="71786888"/>
    <w:rsid w:val="718D0379"/>
    <w:rsid w:val="71E2790D"/>
    <w:rsid w:val="72451C4A"/>
    <w:rsid w:val="737427E7"/>
    <w:rsid w:val="739C1D3D"/>
    <w:rsid w:val="73D22AD5"/>
    <w:rsid w:val="73D43285"/>
    <w:rsid w:val="74325E2D"/>
    <w:rsid w:val="759A21A8"/>
    <w:rsid w:val="759D5165"/>
    <w:rsid w:val="75F61D2B"/>
    <w:rsid w:val="763D7808"/>
    <w:rsid w:val="767E572A"/>
    <w:rsid w:val="76C9109B"/>
    <w:rsid w:val="770F2A24"/>
    <w:rsid w:val="77976AA4"/>
    <w:rsid w:val="77C35AEB"/>
    <w:rsid w:val="77CD6969"/>
    <w:rsid w:val="77DC0A87"/>
    <w:rsid w:val="77DF044B"/>
    <w:rsid w:val="78177BE5"/>
    <w:rsid w:val="782B33D2"/>
    <w:rsid w:val="78FA1C9A"/>
    <w:rsid w:val="791731E8"/>
    <w:rsid w:val="79C75B7D"/>
    <w:rsid w:val="7A0119FE"/>
    <w:rsid w:val="7A3507F6"/>
    <w:rsid w:val="7A8D0632"/>
    <w:rsid w:val="7A953EBE"/>
    <w:rsid w:val="7BC462D5"/>
    <w:rsid w:val="7BD04C7A"/>
    <w:rsid w:val="7BE6624C"/>
    <w:rsid w:val="7C093CE8"/>
    <w:rsid w:val="7CEF2EDE"/>
    <w:rsid w:val="7DED3131"/>
    <w:rsid w:val="7DF84014"/>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50" w:beforeLines="50" w:after="120" w:line="360" w:lineRule="auto"/>
      <w:ind w:firstLine="0" w:firstLineChars="0"/>
      <w:jc w:val="center"/>
      <w:outlineLvl w:val="0"/>
    </w:pPr>
    <w:rPr>
      <w:rFonts w:ascii="Times New Roman" w:hAnsi="Times New Roman"/>
      <w:b/>
      <w:bCs/>
      <w:kern w:val="44"/>
      <w:sz w:val="36"/>
      <w:szCs w:val="44"/>
    </w:rPr>
  </w:style>
  <w:style w:type="paragraph" w:styleId="4">
    <w:name w:val="heading 2"/>
    <w:basedOn w:val="1"/>
    <w:next w:val="1"/>
    <w:link w:val="3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tabs>
        <w:tab w:val="left" w:pos="720"/>
      </w:tabs>
      <w:spacing w:before="10" w:beforeLines="10" w:after="10" w:afterLines="10" w:line="380" w:lineRule="exact"/>
      <w:ind w:firstLine="210" w:firstLineChars="210"/>
      <w:outlineLvl w:val="3"/>
    </w:pPr>
    <w:rPr>
      <w:rFonts w:ascii="Arial" w:hAnsi="Arial" w:eastAsia="黑体"/>
      <w:b/>
      <w:kern w:val="2"/>
      <w:sz w:val="25"/>
      <w:szCs w:val="24"/>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cs="Times New Roman"/>
      <w:kern w:val="2"/>
      <w:sz w:val="28"/>
      <w:szCs w:val="28"/>
      <w:lang w:val="zh-CN"/>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semiHidden/>
    <w:qFormat/>
    <w:uiPriority w:val="0"/>
    <w:rPr>
      <w:rFonts w:ascii="宋体" w:hAnsi="宋体" w:eastAsia="宋体"/>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5">
    <w:name w:val="List"/>
    <w:basedOn w:val="1"/>
    <w:semiHidden/>
    <w:qFormat/>
    <w:uiPriority w:val="0"/>
    <w:pPr>
      <w:ind w:left="200" w:hanging="200" w:hangingChars="200"/>
    </w:pPr>
  </w:style>
  <w:style w:type="paragraph" w:styleId="16">
    <w:name w:val="Body Text Indent 3"/>
    <w:basedOn w:val="1"/>
    <w:qFormat/>
    <w:uiPriority w:val="99"/>
    <w:pPr>
      <w:spacing w:line="360" w:lineRule="auto"/>
      <w:ind w:firstLine="280" w:firstLineChars="100"/>
    </w:pPr>
    <w:rPr>
      <w:rFonts w:ascii="Calibri" w:hAnsi="Calibri"/>
      <w:kern w:val="0"/>
      <w:sz w:val="16"/>
      <w:szCs w:val="16"/>
    </w:rPr>
  </w:style>
  <w:style w:type="paragraph" w:styleId="17">
    <w:name w:val="toc 2"/>
    <w:basedOn w:val="1"/>
    <w:next w:val="1"/>
    <w:qFormat/>
    <w:uiPriority w:val="39"/>
    <w:pPr>
      <w:ind w:left="420" w:leftChars="200"/>
    </w:pPr>
  </w:style>
  <w:style w:type="paragraph" w:styleId="18">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19">
    <w:name w:val="Body Text First Indent"/>
    <w:basedOn w:val="2"/>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Hyperlink"/>
    <w:qFormat/>
    <w:uiPriority w:val="99"/>
    <w:rPr>
      <w:color w:val="0000FF"/>
      <w:u w:val="singl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引用1"/>
    <w:basedOn w:val="1"/>
    <w:next w:val="1"/>
    <w:qFormat/>
    <w:uiPriority w:val="0"/>
    <w:rPr>
      <w:rFonts w:ascii="Calibri" w:hAnsi="Calibri" w:cs="宋体"/>
      <w:i/>
      <w:iCs/>
      <w:color w:val="000000"/>
      <w:sz w:val="21"/>
      <w:szCs w:val="22"/>
    </w:rPr>
  </w:style>
  <w:style w:type="paragraph" w:customStyle="1" w:styleId="28">
    <w:name w:val="正文（缩进）"/>
    <w:basedOn w:val="1"/>
    <w:qFormat/>
    <w:uiPriority w:val="0"/>
    <w:pPr>
      <w:spacing w:line="594" w:lineRule="exact"/>
      <w:ind w:firstLine="482"/>
    </w:pPr>
    <w:rPr>
      <w:rFonts w:eastAsia="方正仿宋_GBK"/>
      <w:sz w:val="32"/>
    </w:rPr>
  </w:style>
  <w:style w:type="paragraph" w:customStyle="1" w:styleId="2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30">
    <w:name w:val="1"/>
    <w:basedOn w:val="1"/>
    <w:next w:val="8"/>
    <w:qFormat/>
    <w:uiPriority w:val="0"/>
    <w:rPr>
      <w:rFonts w:ascii="宋体" w:hAnsi="Courier New"/>
      <w:sz w:val="21"/>
    </w:rPr>
  </w:style>
  <w:style w:type="character" w:customStyle="1" w:styleId="31">
    <w:name w:val="标题 2 Char"/>
    <w:link w:val="4"/>
    <w:qFormat/>
    <w:uiPriority w:val="0"/>
    <w:rPr>
      <w:rFonts w:ascii="Arial" w:hAnsi="Arial" w:eastAsia="黑体"/>
      <w:b/>
      <w:sz w:val="32"/>
    </w:rPr>
  </w:style>
  <w:style w:type="paragraph" w:customStyle="1" w:styleId="32">
    <w:name w:val="标书正文1"/>
    <w:basedOn w:val="1"/>
    <w:qFormat/>
    <w:uiPriority w:val="0"/>
    <w:pPr>
      <w:spacing w:line="520" w:lineRule="exact"/>
      <w:ind w:firstLine="640" w:firstLineChars="200"/>
    </w:pPr>
  </w:style>
  <w:style w:type="paragraph" w:customStyle="1" w:styleId="33">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4">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5">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6">
    <w:name w:val="电建正文"/>
    <w:basedOn w:val="37"/>
    <w:qFormat/>
    <w:uiPriority w:val="0"/>
    <w:pPr>
      <w:tabs>
        <w:tab w:val="left" w:pos="720"/>
      </w:tabs>
      <w:spacing w:line="360" w:lineRule="auto"/>
      <w:ind w:firstLine="200" w:firstLineChars="200"/>
    </w:pPr>
    <w:rPr>
      <w:rFonts w:ascii="Tahoma" w:hAnsi="Tahoma"/>
      <w:sz w:val="24"/>
    </w:rPr>
  </w:style>
  <w:style w:type="paragraph" w:customStyle="1" w:styleId="37">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38">
    <w:name w:val="NormalCharacter"/>
    <w:semiHidden/>
    <w:qFormat/>
    <w:uiPriority w:val="0"/>
    <w:rPr>
      <w:rFonts w:ascii="Verdana" w:hAnsi="Verdana" w:eastAsia="仿宋_GB2312"/>
      <w:sz w:val="24"/>
      <w:lang w:val="en-US" w:eastAsia="en-US" w:bidi="ar-SA"/>
    </w:rPr>
  </w:style>
  <w:style w:type="paragraph" w:customStyle="1" w:styleId="3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28206</Words>
  <Characters>29180</Characters>
  <Lines>0</Lines>
  <Paragraphs>0</Paragraphs>
  <TotalTime>28</TotalTime>
  <ScaleCrop>false</ScaleCrop>
  <LinksUpToDate>false</LinksUpToDate>
  <CharactersWithSpaces>31333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让一切随风</dc:creator>
  <cp:lastModifiedBy>對妳微笑純屬禮貌</cp:lastModifiedBy>
  <cp:lastPrinted>2025-01-04T08:00:00Z</cp:lastPrinted>
  <dcterms:modified xsi:type="dcterms:W3CDTF">2025-12-19T01:37:41Z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6275E37215F046098ADA12D7EC7DA911_13</vt:lpwstr>
  </property>
  <property fmtid="{D5CDD505-2E9C-101B-9397-08002B2CF9AE}" pid="4" name="KSOTemplateDocerSaveRecord">
    <vt:lpwstr>eyJoZGlkIjoiM2QyMmY4NzdlYTg3NTVmYzc1ZDYxMTA3ZWMwNmU3NzkiLCJ1c2VySWQiOiI1NzE3NDg1NTgifQ==</vt:lpwstr>
  </property>
</Properties>
</file>