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4A241">
      <w:pPr>
        <w:pStyle w:val="27"/>
        <w:numPr>
          <w:ilvl w:val="4"/>
          <w:numId w:val="0"/>
        </w:numPr>
        <w:spacing w:line="1400" w:lineRule="exact"/>
        <w:jc w:val="center"/>
        <w:rPr>
          <w:rFonts w:hint="eastAsia" w:ascii="宋体" w:hAnsi="宋体" w:eastAsia="宋体" w:cs="宋体"/>
          <w:bCs/>
          <w:kern w:val="2"/>
          <w:sz w:val="112"/>
          <w:szCs w:val="112"/>
        </w:rPr>
      </w:pPr>
    </w:p>
    <w:p w14:paraId="74566B2A">
      <w:pPr>
        <w:pStyle w:val="4"/>
        <w:spacing w:line="1400" w:lineRule="exact"/>
        <w:ind w:left="0" w:leftChars="0" w:firstLine="0" w:firstLineChars="0"/>
        <w:jc w:val="center"/>
        <w:rPr>
          <w:rFonts w:hint="eastAsia" w:ascii="宋体" w:hAnsi="宋体" w:eastAsia="宋体" w:cs="宋体"/>
          <w:bCs/>
          <w:spacing w:val="80"/>
          <w:sz w:val="112"/>
          <w:szCs w:val="112"/>
        </w:rPr>
      </w:pPr>
      <w:r>
        <w:rPr>
          <w:rFonts w:hint="eastAsia" w:ascii="宋体" w:hAnsi="宋体" w:eastAsia="宋体" w:cs="宋体"/>
          <w:bCs/>
          <w:sz w:val="112"/>
          <w:szCs w:val="112"/>
          <w:lang w:eastAsia="zh-CN"/>
        </w:rPr>
        <w:t>竞争性比选</w:t>
      </w:r>
      <w:r>
        <w:rPr>
          <w:rFonts w:hint="eastAsia" w:ascii="宋体" w:hAnsi="宋体" w:eastAsia="宋体" w:cs="宋体"/>
          <w:bCs/>
          <w:sz w:val="112"/>
          <w:szCs w:val="112"/>
        </w:rPr>
        <w:t>文件</w:t>
      </w:r>
    </w:p>
    <w:p w14:paraId="5C84F531">
      <w:pPr>
        <w:rPr>
          <w:rFonts w:hint="eastAsia" w:ascii="宋体" w:hAnsi="宋体" w:eastAsia="宋体" w:cs="宋体"/>
          <w:sz w:val="44"/>
          <w:szCs w:val="44"/>
        </w:rPr>
      </w:pPr>
    </w:p>
    <w:p w14:paraId="78B97C1C">
      <w:pPr>
        <w:rPr>
          <w:rFonts w:hint="eastAsia" w:ascii="宋体" w:hAnsi="宋体" w:eastAsia="宋体" w:cs="宋体"/>
          <w:sz w:val="44"/>
          <w:szCs w:val="44"/>
        </w:rPr>
      </w:pPr>
    </w:p>
    <w:p w14:paraId="1EC9A933">
      <w:pPr>
        <w:rPr>
          <w:rFonts w:hint="eastAsia" w:ascii="宋体" w:hAnsi="宋体" w:eastAsia="宋体" w:cs="宋体"/>
          <w:sz w:val="44"/>
          <w:szCs w:val="44"/>
        </w:rPr>
      </w:pPr>
    </w:p>
    <w:p w14:paraId="424FB942">
      <w:pPr>
        <w:rPr>
          <w:rFonts w:hint="eastAsia" w:ascii="宋体" w:hAnsi="宋体" w:eastAsia="宋体" w:cs="宋体"/>
          <w:sz w:val="44"/>
          <w:szCs w:val="44"/>
        </w:rPr>
      </w:pPr>
    </w:p>
    <w:p w14:paraId="5FC0193A">
      <w:pPr>
        <w:rPr>
          <w:rFonts w:hint="eastAsia" w:ascii="宋体" w:hAnsi="宋体" w:eastAsia="宋体" w:cs="宋体"/>
          <w:sz w:val="44"/>
          <w:szCs w:val="44"/>
        </w:rPr>
      </w:pPr>
    </w:p>
    <w:p w14:paraId="62224C14">
      <w:pPr>
        <w:pStyle w:val="27"/>
        <w:numPr>
          <w:ilvl w:val="4"/>
          <w:numId w:val="0"/>
        </w:numPr>
        <w:ind w:left="1680"/>
        <w:rPr>
          <w:rFonts w:hint="eastAsia" w:ascii="宋体" w:hAnsi="宋体" w:eastAsia="宋体" w:cs="宋体"/>
        </w:rPr>
      </w:pPr>
    </w:p>
    <w:p w14:paraId="071C3CFD">
      <w:pPr>
        <w:rPr>
          <w:rFonts w:hint="eastAsia" w:ascii="宋体" w:hAnsi="宋体" w:eastAsia="宋体" w:cs="宋体"/>
          <w:highlight w:val="none"/>
        </w:rPr>
      </w:pPr>
      <w:r>
        <w:rPr>
          <w:rFonts w:hint="eastAsia" w:ascii="宋体" w:hAnsi="宋体" w:eastAsia="宋体" w:cs="宋体"/>
          <w:sz w:val="36"/>
          <w:szCs w:val="30"/>
          <w:lang w:eastAsia="zh-CN"/>
        </w:rPr>
        <w:t>项目名称：</w:t>
      </w:r>
      <w:r>
        <w:rPr>
          <w:rFonts w:hint="eastAsia" w:ascii="宋体" w:hAnsi="宋体" w:cs="宋体"/>
          <w:sz w:val="36"/>
          <w:szCs w:val="30"/>
          <w:lang w:val="en-US" w:eastAsia="zh-CN"/>
        </w:rPr>
        <w:t>排水处食堂外包服务</w:t>
      </w:r>
    </w:p>
    <w:p w14:paraId="499CF33A">
      <w:pPr>
        <w:pStyle w:val="9"/>
        <w:rPr>
          <w:rFonts w:hint="eastAsia" w:ascii="宋体" w:hAnsi="宋体" w:eastAsia="宋体" w:cs="宋体"/>
        </w:rPr>
      </w:pPr>
    </w:p>
    <w:p w14:paraId="0EBA41F9">
      <w:pPr>
        <w:pStyle w:val="18"/>
        <w:rPr>
          <w:rFonts w:hint="eastAsia" w:ascii="宋体" w:hAnsi="宋体" w:eastAsia="宋体" w:cs="宋体"/>
        </w:rPr>
      </w:pPr>
    </w:p>
    <w:p w14:paraId="34F7722F">
      <w:pPr>
        <w:rPr>
          <w:rFonts w:hint="eastAsia" w:ascii="宋体" w:hAnsi="宋体" w:eastAsia="宋体" w:cs="宋体"/>
        </w:rPr>
      </w:pPr>
    </w:p>
    <w:p w14:paraId="160DEBF3">
      <w:pPr>
        <w:rPr>
          <w:rFonts w:hint="eastAsia" w:ascii="宋体" w:hAnsi="宋体" w:eastAsia="宋体" w:cs="宋体"/>
        </w:rPr>
      </w:pPr>
    </w:p>
    <w:p w14:paraId="6666884B">
      <w:pPr>
        <w:rPr>
          <w:rFonts w:hint="eastAsia" w:ascii="宋体" w:hAnsi="宋体" w:eastAsia="宋体" w:cs="宋体"/>
        </w:rPr>
      </w:pPr>
    </w:p>
    <w:p w14:paraId="0ABCCC19">
      <w:pPr>
        <w:pStyle w:val="17"/>
        <w:rPr>
          <w:rFonts w:hint="eastAsia" w:ascii="宋体" w:hAnsi="宋体" w:eastAsia="宋体" w:cs="宋体"/>
        </w:rPr>
      </w:pPr>
    </w:p>
    <w:p w14:paraId="575A5E3E">
      <w:pPr>
        <w:pStyle w:val="9"/>
        <w:rPr>
          <w:rFonts w:hint="eastAsia" w:ascii="宋体" w:hAnsi="宋体" w:eastAsia="宋体" w:cs="宋体"/>
        </w:rPr>
      </w:pPr>
    </w:p>
    <w:p w14:paraId="31BFE860">
      <w:pPr>
        <w:pStyle w:val="9"/>
        <w:rPr>
          <w:rFonts w:hint="eastAsia" w:ascii="宋体" w:hAnsi="宋体" w:eastAsia="宋体" w:cs="宋体"/>
          <w:sz w:val="36"/>
          <w:szCs w:val="30"/>
          <w:lang w:eastAsia="zh-CN"/>
        </w:rPr>
      </w:pPr>
      <w:r>
        <w:rPr>
          <w:rFonts w:hint="eastAsia" w:ascii="宋体" w:hAnsi="宋体" w:eastAsia="宋体" w:cs="宋体"/>
          <w:sz w:val="36"/>
          <w:szCs w:val="30"/>
        </w:rPr>
        <w:t>采 购 人：</w:t>
      </w:r>
      <w:r>
        <w:rPr>
          <w:rFonts w:hint="eastAsia" w:ascii="宋体" w:hAnsi="宋体" w:eastAsia="宋体" w:cs="宋体"/>
          <w:sz w:val="36"/>
          <w:szCs w:val="30"/>
          <w:lang w:eastAsia="zh-CN"/>
        </w:rPr>
        <w:t>重庆市沙坪坝区城市排水设施管理处</w:t>
      </w:r>
    </w:p>
    <w:p w14:paraId="4975FFFF">
      <w:pPr>
        <w:rPr>
          <w:rFonts w:hint="eastAsia" w:ascii="宋体" w:hAnsi="宋体" w:eastAsia="宋体" w:cs="宋体"/>
        </w:rPr>
      </w:pPr>
    </w:p>
    <w:p w14:paraId="47E6193D">
      <w:pPr>
        <w:pStyle w:val="9"/>
        <w:rPr>
          <w:rFonts w:hint="eastAsia" w:ascii="宋体" w:hAnsi="宋体" w:eastAsia="宋体" w:cs="宋体"/>
          <w:sz w:val="36"/>
          <w:szCs w:val="30"/>
          <w:lang w:eastAsia="zh-CN"/>
        </w:rPr>
      </w:pPr>
      <w:r>
        <w:rPr>
          <w:rFonts w:hint="eastAsia" w:ascii="宋体" w:hAnsi="宋体" w:eastAsia="宋体" w:cs="宋体"/>
          <w:sz w:val="36"/>
          <w:szCs w:val="30"/>
        </w:rPr>
        <w:t>采购代理机构：</w:t>
      </w:r>
      <w:r>
        <w:rPr>
          <w:rFonts w:hint="eastAsia" w:ascii="宋体" w:hAnsi="宋体" w:eastAsia="宋体" w:cs="宋体"/>
          <w:sz w:val="36"/>
          <w:szCs w:val="30"/>
          <w:lang w:eastAsia="zh-CN"/>
        </w:rPr>
        <w:t>重庆恒泰工程技术服务有限公司</w:t>
      </w:r>
    </w:p>
    <w:p w14:paraId="17B83BDD">
      <w:pPr>
        <w:rPr>
          <w:rFonts w:hint="eastAsia" w:ascii="宋体" w:hAnsi="宋体" w:eastAsia="宋体" w:cs="宋体"/>
          <w:sz w:val="36"/>
          <w:szCs w:val="30"/>
        </w:rPr>
      </w:pPr>
    </w:p>
    <w:p w14:paraId="21151A50">
      <w:pPr>
        <w:pStyle w:val="9"/>
        <w:rPr>
          <w:rFonts w:hint="eastAsia" w:ascii="宋体" w:hAnsi="宋体" w:eastAsia="宋体" w:cs="宋体"/>
        </w:rPr>
      </w:pPr>
    </w:p>
    <w:p w14:paraId="3AF4D568">
      <w:pPr>
        <w:pStyle w:val="8"/>
        <w:rPr>
          <w:rFonts w:hint="eastAsia" w:ascii="宋体" w:hAnsi="宋体" w:eastAsia="宋体" w:cs="宋体"/>
          <w:kern w:val="2"/>
          <w:sz w:val="36"/>
          <w:szCs w:val="30"/>
          <w:lang w:eastAsia="zh-CN"/>
        </w:rPr>
      </w:pPr>
    </w:p>
    <w:p w14:paraId="21F187AF">
      <w:pPr>
        <w:pStyle w:val="20"/>
        <w:jc w:val="center"/>
        <w:rPr>
          <w:rFonts w:hint="eastAsia" w:ascii="宋体" w:hAnsi="宋体" w:eastAsia="宋体" w:cs="宋体"/>
          <w:color w:val="auto"/>
          <w:sz w:val="32"/>
          <w:szCs w:val="28"/>
          <w:highlight w:val="none"/>
        </w:rPr>
      </w:pPr>
      <w:r>
        <w:rPr>
          <w:rFonts w:hint="eastAsia" w:ascii="宋体" w:hAnsi="宋体" w:eastAsia="宋体" w:cs="宋体"/>
          <w:sz w:val="36"/>
          <w:szCs w:val="30"/>
        </w:rPr>
        <w:t>二○二</w:t>
      </w:r>
      <w:r>
        <w:rPr>
          <w:rFonts w:hint="eastAsia" w:ascii="宋体" w:hAnsi="宋体" w:cs="宋体"/>
          <w:sz w:val="36"/>
          <w:szCs w:val="30"/>
          <w:lang w:val="en-US" w:eastAsia="zh-CN"/>
        </w:rPr>
        <w:t>六</w:t>
      </w:r>
      <w:r>
        <w:rPr>
          <w:rFonts w:hint="eastAsia" w:ascii="宋体" w:hAnsi="宋体" w:eastAsia="宋体" w:cs="宋体"/>
          <w:sz w:val="36"/>
          <w:szCs w:val="30"/>
        </w:rPr>
        <w:t>年</w:t>
      </w:r>
      <w:r>
        <w:rPr>
          <w:rFonts w:hint="eastAsia" w:ascii="宋体" w:hAnsi="宋体" w:cs="宋体"/>
          <w:sz w:val="36"/>
          <w:szCs w:val="30"/>
          <w:lang w:val="en-US" w:eastAsia="zh-CN"/>
        </w:rPr>
        <w:t>三</w:t>
      </w:r>
      <w:r>
        <w:rPr>
          <w:rFonts w:hint="eastAsia" w:ascii="宋体" w:hAnsi="宋体" w:eastAsia="宋体" w:cs="宋体"/>
          <w:sz w:val="36"/>
          <w:szCs w:val="30"/>
        </w:rPr>
        <w:t>月</w:t>
      </w:r>
    </w:p>
    <w:p w14:paraId="6C4ED77E">
      <w:pPr>
        <w:jc w:val="center"/>
        <w:rPr>
          <w:rFonts w:hint="eastAsia" w:ascii="宋体" w:hAnsi="宋体" w:eastAsia="宋体" w:cs="宋体"/>
          <w:b/>
          <w:bCs/>
          <w:color w:val="auto"/>
          <w:kern w:val="44"/>
          <w:sz w:val="40"/>
          <w:szCs w:val="40"/>
          <w:highlight w:val="none"/>
        </w:rPr>
        <w:sectPr>
          <w:headerReference r:id="rId3" w:type="default"/>
          <w:footerReference r:id="rId4" w:type="default"/>
          <w:pgSz w:w="11907" w:h="16840"/>
          <w:pgMar w:top="1134" w:right="1418" w:bottom="1134" w:left="1418" w:header="850" w:footer="992" w:gutter="0"/>
          <w:pgNumType w:fmt="numberInDash" w:start="1"/>
          <w:cols w:space="720" w:num="1"/>
          <w:docGrid w:linePitch="312" w:charSpace="0"/>
        </w:sectPr>
      </w:pPr>
    </w:p>
    <w:sdt>
      <w:sdtPr>
        <w:rPr>
          <w:rFonts w:hint="eastAsia" w:ascii="宋体" w:hAnsi="宋体" w:eastAsia="宋体" w:cs="宋体"/>
          <w:kern w:val="2"/>
          <w:sz w:val="21"/>
          <w:lang w:val="en-US" w:eastAsia="zh-CN" w:bidi="ar-SA"/>
        </w:rPr>
        <w:id w:val="147473907"/>
        <w15:color w:val="DBDBDB"/>
        <w:docPartObj>
          <w:docPartGallery w:val="Table of Contents"/>
          <w:docPartUnique/>
        </w:docPartObj>
      </w:sdtPr>
      <w:sdtEndPr>
        <w:rPr>
          <w:rFonts w:hint="eastAsia" w:ascii="宋体" w:hAnsi="宋体" w:eastAsia="宋体" w:cs="宋体"/>
          <w:kern w:val="2"/>
          <w:sz w:val="21"/>
          <w:lang w:val="en-US" w:eastAsia="zh-CN" w:bidi="ar-SA"/>
        </w:rPr>
      </w:sdtEndPr>
      <w:sdtContent>
        <w:p w14:paraId="1B971339">
          <w:pPr>
            <w:keepNext w:val="0"/>
            <w:keepLines w:val="0"/>
            <w:pageBreakBefore w:val="0"/>
            <w:kinsoku/>
            <w:wordWrap/>
            <w:overflowPunct/>
            <w:topLinePunct w:val="0"/>
            <w:autoSpaceDE/>
            <w:autoSpaceDN/>
            <w:bidi w:val="0"/>
            <w:adjustRightInd/>
            <w:snapToGrid/>
            <w:spacing w:before="0" w:beforeLines="0" w:after="0" w:afterLines="0" w:line="480" w:lineRule="auto"/>
            <w:ind w:left="0" w:leftChars="0" w:right="0" w:rightChars="0" w:firstLine="0" w:firstLineChars="0"/>
            <w:jc w:val="center"/>
            <w:textAlignment w:val="auto"/>
            <w:rPr>
              <w:rFonts w:hint="eastAsia" w:ascii="宋体" w:hAnsi="宋体" w:eastAsia="宋体" w:cs="宋体"/>
              <w:sz w:val="24"/>
              <w:szCs w:val="24"/>
            </w:rPr>
          </w:pPr>
          <w:bookmarkStart w:id="0" w:name="_Toc19780"/>
          <w:bookmarkStart w:id="1" w:name="_Toc28669"/>
          <w:bookmarkStart w:id="2" w:name="_Toc17148"/>
          <w:bookmarkStart w:id="3" w:name="_Toc10681"/>
          <w:bookmarkStart w:id="4" w:name="_Toc235"/>
          <w:r>
            <w:rPr>
              <w:rFonts w:hint="eastAsia" w:ascii="宋体" w:hAnsi="宋体" w:eastAsia="宋体" w:cs="宋体"/>
              <w:sz w:val="24"/>
              <w:szCs w:val="24"/>
            </w:rPr>
            <w:t>目录</w:t>
          </w:r>
        </w:p>
        <w:p w14:paraId="00A33132">
          <w:pPr>
            <w:pStyle w:val="16"/>
            <w:tabs>
              <w:tab w:val="right" w:leader="dot" w:pos="9627"/>
            </w:tabs>
            <w:spacing w:line="48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_Toc11252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rPr>
            <w:t xml:space="preserve">第一篇 </w:t>
          </w:r>
          <w:r>
            <w:rPr>
              <w:rFonts w:hint="eastAsia" w:ascii="宋体" w:hAnsi="宋体" w:eastAsia="宋体" w:cs="宋体"/>
              <w:sz w:val="24"/>
              <w:szCs w:val="24"/>
              <w:highlight w:val="none"/>
              <w:lang w:val="en-US" w:eastAsia="zh-CN"/>
            </w:rPr>
            <w:t>竞争性比选</w:t>
          </w:r>
          <w:r>
            <w:rPr>
              <w:rFonts w:hint="eastAsia" w:ascii="宋体" w:hAnsi="宋体" w:eastAsia="宋体" w:cs="宋体"/>
              <w:sz w:val="24"/>
              <w:szCs w:val="24"/>
              <w:highlight w:val="none"/>
            </w:rPr>
            <w:t>邀请书</w:t>
          </w:r>
          <w:r>
            <w:rPr>
              <w:sz w:val="24"/>
              <w:szCs w:val="24"/>
            </w:rPr>
            <w:tab/>
          </w:r>
          <w:r>
            <w:rPr>
              <w:sz w:val="24"/>
              <w:szCs w:val="24"/>
            </w:rPr>
            <w:fldChar w:fldCharType="begin"/>
          </w:r>
          <w:r>
            <w:rPr>
              <w:sz w:val="24"/>
              <w:szCs w:val="24"/>
            </w:rPr>
            <w:instrText xml:space="preserve"> PAGEREF _Toc11252 \h </w:instrText>
          </w:r>
          <w:r>
            <w:rPr>
              <w:sz w:val="24"/>
              <w:szCs w:val="24"/>
            </w:rPr>
            <w:fldChar w:fldCharType="separate"/>
          </w:r>
          <w:r>
            <w:rPr>
              <w:sz w:val="24"/>
              <w:szCs w:val="24"/>
            </w:rPr>
            <w:t>- 2 -</w:t>
          </w:r>
          <w:r>
            <w:rPr>
              <w:sz w:val="24"/>
              <w:szCs w:val="24"/>
            </w:rPr>
            <w:fldChar w:fldCharType="end"/>
          </w:r>
          <w:r>
            <w:rPr>
              <w:rFonts w:hint="eastAsia" w:ascii="宋体" w:hAnsi="宋体" w:eastAsia="宋体" w:cs="宋体"/>
              <w:sz w:val="24"/>
              <w:szCs w:val="24"/>
            </w:rPr>
            <w:fldChar w:fldCharType="end"/>
          </w:r>
        </w:p>
        <w:p w14:paraId="3DBBBD9A">
          <w:pPr>
            <w:pStyle w:val="16"/>
            <w:tabs>
              <w:tab w:val="right" w:leader="dot" w:pos="9627"/>
            </w:tabs>
            <w:spacing w:line="48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_Toc26099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lang w:val="en-US" w:eastAsia="zh-CN"/>
            </w:rPr>
            <w:t>第二篇  项目服务需求</w:t>
          </w:r>
          <w:r>
            <w:rPr>
              <w:sz w:val="24"/>
              <w:szCs w:val="24"/>
            </w:rPr>
            <w:tab/>
          </w:r>
          <w:r>
            <w:rPr>
              <w:sz w:val="24"/>
              <w:szCs w:val="24"/>
            </w:rPr>
            <w:fldChar w:fldCharType="begin"/>
          </w:r>
          <w:r>
            <w:rPr>
              <w:sz w:val="24"/>
              <w:szCs w:val="24"/>
            </w:rPr>
            <w:instrText xml:space="preserve"> PAGEREF _Toc26099 \h </w:instrText>
          </w:r>
          <w:r>
            <w:rPr>
              <w:sz w:val="24"/>
              <w:szCs w:val="24"/>
            </w:rPr>
            <w:fldChar w:fldCharType="separate"/>
          </w:r>
          <w:r>
            <w:rPr>
              <w:sz w:val="24"/>
              <w:szCs w:val="24"/>
            </w:rPr>
            <w:t>- 5 -</w:t>
          </w:r>
          <w:r>
            <w:rPr>
              <w:sz w:val="24"/>
              <w:szCs w:val="24"/>
            </w:rPr>
            <w:fldChar w:fldCharType="end"/>
          </w:r>
          <w:r>
            <w:rPr>
              <w:rFonts w:hint="eastAsia" w:ascii="宋体" w:hAnsi="宋体" w:eastAsia="宋体" w:cs="宋体"/>
              <w:sz w:val="24"/>
              <w:szCs w:val="24"/>
            </w:rPr>
            <w:fldChar w:fldCharType="end"/>
          </w:r>
        </w:p>
        <w:p w14:paraId="183BFDB6">
          <w:pPr>
            <w:pStyle w:val="16"/>
            <w:tabs>
              <w:tab w:val="right" w:leader="dot" w:pos="9627"/>
            </w:tabs>
            <w:spacing w:line="48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_Toc3088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lang w:val="en-US" w:eastAsia="zh-CN"/>
            </w:rPr>
            <w:t>第三篇 项目商务需求</w:t>
          </w:r>
          <w:r>
            <w:rPr>
              <w:sz w:val="24"/>
              <w:szCs w:val="24"/>
            </w:rPr>
            <w:tab/>
          </w:r>
          <w:r>
            <w:rPr>
              <w:sz w:val="24"/>
              <w:szCs w:val="24"/>
            </w:rPr>
            <w:fldChar w:fldCharType="begin"/>
          </w:r>
          <w:r>
            <w:rPr>
              <w:sz w:val="24"/>
              <w:szCs w:val="24"/>
            </w:rPr>
            <w:instrText xml:space="preserve"> PAGEREF _Toc3088 \h </w:instrText>
          </w:r>
          <w:r>
            <w:rPr>
              <w:sz w:val="24"/>
              <w:szCs w:val="24"/>
            </w:rPr>
            <w:fldChar w:fldCharType="separate"/>
          </w:r>
          <w:r>
            <w:rPr>
              <w:sz w:val="24"/>
              <w:szCs w:val="24"/>
            </w:rPr>
            <w:t>- 8 -</w:t>
          </w:r>
          <w:r>
            <w:rPr>
              <w:sz w:val="24"/>
              <w:szCs w:val="24"/>
            </w:rPr>
            <w:fldChar w:fldCharType="end"/>
          </w:r>
          <w:r>
            <w:rPr>
              <w:rFonts w:hint="eastAsia" w:ascii="宋体" w:hAnsi="宋体" w:eastAsia="宋体" w:cs="宋体"/>
              <w:sz w:val="24"/>
              <w:szCs w:val="24"/>
            </w:rPr>
            <w:fldChar w:fldCharType="end"/>
          </w:r>
        </w:p>
        <w:p w14:paraId="76CCB2C3">
          <w:pPr>
            <w:pStyle w:val="16"/>
            <w:tabs>
              <w:tab w:val="right" w:leader="dot" w:pos="9627"/>
            </w:tabs>
            <w:spacing w:line="48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_Toc22109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lang w:val="en-US" w:eastAsia="zh-CN"/>
            </w:rPr>
            <w:t>第四篇  竞选程序及方法、评审标准、无效响应和采购终止</w:t>
          </w:r>
          <w:r>
            <w:rPr>
              <w:sz w:val="24"/>
              <w:szCs w:val="24"/>
            </w:rPr>
            <w:tab/>
          </w:r>
          <w:r>
            <w:rPr>
              <w:sz w:val="24"/>
              <w:szCs w:val="24"/>
            </w:rPr>
            <w:fldChar w:fldCharType="begin"/>
          </w:r>
          <w:r>
            <w:rPr>
              <w:sz w:val="24"/>
              <w:szCs w:val="24"/>
            </w:rPr>
            <w:instrText xml:space="preserve"> PAGEREF _Toc22109 \h </w:instrText>
          </w:r>
          <w:r>
            <w:rPr>
              <w:sz w:val="24"/>
              <w:szCs w:val="24"/>
            </w:rPr>
            <w:fldChar w:fldCharType="separate"/>
          </w:r>
          <w:r>
            <w:rPr>
              <w:sz w:val="24"/>
              <w:szCs w:val="24"/>
            </w:rPr>
            <w:t>- 12 -</w:t>
          </w:r>
          <w:r>
            <w:rPr>
              <w:sz w:val="24"/>
              <w:szCs w:val="24"/>
            </w:rPr>
            <w:fldChar w:fldCharType="end"/>
          </w:r>
          <w:r>
            <w:rPr>
              <w:rFonts w:hint="eastAsia" w:ascii="宋体" w:hAnsi="宋体" w:eastAsia="宋体" w:cs="宋体"/>
              <w:sz w:val="24"/>
              <w:szCs w:val="24"/>
            </w:rPr>
            <w:fldChar w:fldCharType="end"/>
          </w:r>
        </w:p>
        <w:p w14:paraId="325B5A26">
          <w:pPr>
            <w:pStyle w:val="16"/>
            <w:tabs>
              <w:tab w:val="right" w:leader="dot" w:pos="9627"/>
            </w:tabs>
            <w:spacing w:line="48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_Toc22203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lang w:val="en-US" w:eastAsia="zh-CN"/>
            </w:rPr>
            <w:t>第五篇  供应商须知</w:t>
          </w:r>
          <w:r>
            <w:rPr>
              <w:sz w:val="24"/>
              <w:szCs w:val="24"/>
            </w:rPr>
            <w:tab/>
          </w:r>
          <w:r>
            <w:rPr>
              <w:sz w:val="24"/>
              <w:szCs w:val="24"/>
            </w:rPr>
            <w:fldChar w:fldCharType="begin"/>
          </w:r>
          <w:r>
            <w:rPr>
              <w:sz w:val="24"/>
              <w:szCs w:val="24"/>
            </w:rPr>
            <w:instrText xml:space="preserve"> PAGEREF _Toc22203 \h </w:instrText>
          </w:r>
          <w:r>
            <w:rPr>
              <w:sz w:val="24"/>
              <w:szCs w:val="24"/>
            </w:rPr>
            <w:fldChar w:fldCharType="separate"/>
          </w:r>
          <w:r>
            <w:rPr>
              <w:sz w:val="24"/>
              <w:szCs w:val="24"/>
            </w:rPr>
            <w:t>- 17 -</w:t>
          </w:r>
          <w:r>
            <w:rPr>
              <w:sz w:val="24"/>
              <w:szCs w:val="24"/>
            </w:rPr>
            <w:fldChar w:fldCharType="end"/>
          </w:r>
          <w:r>
            <w:rPr>
              <w:rFonts w:hint="eastAsia" w:ascii="宋体" w:hAnsi="宋体" w:eastAsia="宋体" w:cs="宋体"/>
              <w:sz w:val="24"/>
              <w:szCs w:val="24"/>
            </w:rPr>
            <w:fldChar w:fldCharType="end"/>
          </w:r>
        </w:p>
        <w:p w14:paraId="561CAE76">
          <w:pPr>
            <w:pStyle w:val="16"/>
            <w:tabs>
              <w:tab w:val="right" w:leader="dot" w:pos="9627"/>
            </w:tabs>
            <w:spacing w:line="48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_Toc14400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lang w:val="en-US" w:eastAsia="zh-CN"/>
            </w:rPr>
            <w:t>第六篇 合同条款及格式</w:t>
          </w:r>
          <w:r>
            <w:rPr>
              <w:sz w:val="24"/>
              <w:szCs w:val="24"/>
            </w:rPr>
            <w:tab/>
          </w:r>
          <w:r>
            <w:rPr>
              <w:sz w:val="24"/>
              <w:szCs w:val="24"/>
            </w:rPr>
            <w:fldChar w:fldCharType="begin"/>
          </w:r>
          <w:r>
            <w:rPr>
              <w:sz w:val="24"/>
              <w:szCs w:val="24"/>
            </w:rPr>
            <w:instrText xml:space="preserve"> PAGEREF _Toc14400 \h </w:instrText>
          </w:r>
          <w:r>
            <w:rPr>
              <w:sz w:val="24"/>
              <w:szCs w:val="24"/>
            </w:rPr>
            <w:fldChar w:fldCharType="separate"/>
          </w:r>
          <w:r>
            <w:rPr>
              <w:sz w:val="24"/>
              <w:szCs w:val="24"/>
            </w:rPr>
            <w:t>- 22 -</w:t>
          </w:r>
          <w:r>
            <w:rPr>
              <w:sz w:val="24"/>
              <w:szCs w:val="24"/>
            </w:rPr>
            <w:fldChar w:fldCharType="end"/>
          </w:r>
          <w:r>
            <w:rPr>
              <w:rFonts w:hint="eastAsia" w:ascii="宋体" w:hAnsi="宋体" w:eastAsia="宋体" w:cs="宋体"/>
              <w:sz w:val="24"/>
              <w:szCs w:val="24"/>
            </w:rPr>
            <w:fldChar w:fldCharType="end"/>
          </w:r>
        </w:p>
        <w:p w14:paraId="0D29523C">
          <w:pPr>
            <w:pStyle w:val="16"/>
            <w:tabs>
              <w:tab w:val="right" w:leader="dot" w:pos="9627"/>
            </w:tabs>
            <w:spacing w:line="48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_Toc10882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lang w:val="en-US" w:eastAsia="zh-CN"/>
            </w:rPr>
            <w:t>第七篇 响应文件格式</w:t>
          </w:r>
          <w:r>
            <w:rPr>
              <w:sz w:val="24"/>
              <w:szCs w:val="24"/>
            </w:rPr>
            <w:tab/>
          </w:r>
          <w:r>
            <w:rPr>
              <w:sz w:val="24"/>
              <w:szCs w:val="24"/>
            </w:rPr>
            <w:fldChar w:fldCharType="begin"/>
          </w:r>
          <w:r>
            <w:rPr>
              <w:sz w:val="24"/>
              <w:szCs w:val="24"/>
            </w:rPr>
            <w:instrText xml:space="preserve"> PAGEREF _Toc10882 \h </w:instrText>
          </w:r>
          <w:r>
            <w:rPr>
              <w:sz w:val="24"/>
              <w:szCs w:val="24"/>
            </w:rPr>
            <w:fldChar w:fldCharType="separate"/>
          </w:r>
          <w:r>
            <w:rPr>
              <w:sz w:val="24"/>
              <w:szCs w:val="24"/>
            </w:rPr>
            <w:t>- 24 -</w:t>
          </w:r>
          <w:r>
            <w:rPr>
              <w:sz w:val="24"/>
              <w:szCs w:val="24"/>
            </w:rPr>
            <w:fldChar w:fldCharType="end"/>
          </w:r>
          <w:r>
            <w:rPr>
              <w:rFonts w:hint="eastAsia" w:ascii="宋体" w:hAnsi="宋体" w:eastAsia="宋体" w:cs="宋体"/>
              <w:sz w:val="24"/>
              <w:szCs w:val="24"/>
            </w:rPr>
            <w:fldChar w:fldCharType="end"/>
          </w:r>
        </w:p>
        <w:p w14:paraId="0E6D883D">
          <w:pPr>
            <w:pStyle w:val="16"/>
            <w:tabs>
              <w:tab w:val="right" w:leader="dot" w:pos="9627"/>
            </w:tabs>
            <w:spacing w:line="480" w:lineRule="auto"/>
            <w:rPr>
              <w:sz w:val="24"/>
              <w:szCs w:val="24"/>
            </w:rPr>
          </w:pPr>
        </w:p>
        <w:p w14:paraId="6BE606BF">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sz w:val="24"/>
              <w:szCs w:val="24"/>
            </w:rPr>
            <w:fldChar w:fldCharType="end"/>
          </w:r>
        </w:p>
      </w:sdtContent>
    </w:sdt>
    <w:p w14:paraId="22933C90">
      <w:pPr>
        <w:rPr>
          <w:rFonts w:hint="eastAsia" w:ascii="宋体" w:hAnsi="宋体" w:eastAsia="宋体" w:cs="宋体"/>
        </w:rPr>
      </w:pPr>
    </w:p>
    <w:p w14:paraId="0D48D4E3">
      <w:pPr>
        <w:pStyle w:val="3"/>
        <w:bidi w:val="0"/>
        <w:spacing w:line="360" w:lineRule="auto"/>
        <w:rPr>
          <w:rFonts w:hint="eastAsia" w:ascii="宋体" w:hAnsi="宋体" w:eastAsia="宋体" w:cs="宋体"/>
          <w:color w:val="auto"/>
          <w:highlight w:val="none"/>
        </w:rPr>
      </w:pPr>
    </w:p>
    <w:p w14:paraId="5E22E818">
      <w:pPr>
        <w:rPr>
          <w:rFonts w:hint="eastAsia" w:ascii="宋体" w:hAnsi="宋体" w:eastAsia="宋体" w:cs="宋体"/>
          <w:color w:val="auto"/>
          <w:highlight w:val="none"/>
        </w:rPr>
      </w:pPr>
    </w:p>
    <w:p w14:paraId="7668D630">
      <w:pPr>
        <w:rPr>
          <w:rFonts w:hint="eastAsia" w:ascii="宋体" w:hAnsi="宋体" w:eastAsia="宋体" w:cs="宋体"/>
          <w:color w:val="auto"/>
          <w:highlight w:val="none"/>
        </w:rPr>
      </w:pPr>
    </w:p>
    <w:p w14:paraId="1564A0B0">
      <w:pPr>
        <w:rPr>
          <w:rFonts w:hint="eastAsia" w:ascii="宋体" w:hAnsi="宋体" w:eastAsia="宋体" w:cs="宋体"/>
          <w:color w:val="auto"/>
          <w:highlight w:val="none"/>
        </w:rPr>
      </w:pPr>
    </w:p>
    <w:p w14:paraId="6780D598">
      <w:pPr>
        <w:rPr>
          <w:rFonts w:hint="eastAsia" w:ascii="宋体" w:hAnsi="宋体" w:eastAsia="宋体" w:cs="宋体"/>
          <w:color w:val="auto"/>
          <w:highlight w:val="none"/>
        </w:rPr>
      </w:pPr>
    </w:p>
    <w:p w14:paraId="6195C951">
      <w:pPr>
        <w:rPr>
          <w:rFonts w:hint="eastAsia" w:ascii="宋体" w:hAnsi="宋体" w:eastAsia="宋体" w:cs="宋体"/>
          <w:color w:val="auto"/>
          <w:highlight w:val="none"/>
        </w:rPr>
      </w:pPr>
    </w:p>
    <w:p w14:paraId="41D6B207">
      <w:pPr>
        <w:rPr>
          <w:rFonts w:hint="eastAsia" w:ascii="宋体" w:hAnsi="宋体" w:eastAsia="宋体" w:cs="宋体"/>
          <w:color w:val="auto"/>
          <w:highlight w:val="none"/>
        </w:rPr>
      </w:pPr>
    </w:p>
    <w:p w14:paraId="2E3ECA3F">
      <w:pPr>
        <w:rPr>
          <w:rFonts w:hint="eastAsia" w:ascii="宋体" w:hAnsi="宋体" w:eastAsia="宋体" w:cs="宋体"/>
          <w:color w:val="auto"/>
          <w:highlight w:val="none"/>
        </w:rPr>
      </w:pPr>
    </w:p>
    <w:p w14:paraId="04345F9D">
      <w:pPr>
        <w:rPr>
          <w:rFonts w:hint="eastAsia" w:ascii="宋体" w:hAnsi="宋体" w:eastAsia="宋体" w:cs="宋体"/>
          <w:color w:val="auto"/>
          <w:highlight w:val="none"/>
        </w:rPr>
      </w:pPr>
    </w:p>
    <w:p w14:paraId="6C70FC8E">
      <w:pPr>
        <w:rPr>
          <w:rFonts w:hint="eastAsia" w:ascii="宋体" w:hAnsi="宋体" w:eastAsia="宋体" w:cs="宋体"/>
          <w:color w:val="auto"/>
          <w:highlight w:val="none"/>
        </w:rPr>
      </w:pPr>
    </w:p>
    <w:p w14:paraId="25A9AE7F">
      <w:pPr>
        <w:rPr>
          <w:rFonts w:hint="eastAsia" w:ascii="宋体" w:hAnsi="宋体" w:eastAsia="宋体" w:cs="宋体"/>
          <w:color w:val="auto"/>
          <w:highlight w:val="none"/>
        </w:rPr>
      </w:pPr>
    </w:p>
    <w:p w14:paraId="05F3B7D2">
      <w:pPr>
        <w:rPr>
          <w:rFonts w:hint="eastAsia" w:ascii="宋体" w:hAnsi="宋体" w:eastAsia="宋体" w:cs="宋体"/>
          <w:color w:val="auto"/>
          <w:highlight w:val="none"/>
        </w:rPr>
      </w:pPr>
    </w:p>
    <w:p w14:paraId="61FEBB35">
      <w:pPr>
        <w:rPr>
          <w:rFonts w:hint="eastAsia" w:ascii="宋体" w:hAnsi="宋体" w:eastAsia="宋体" w:cs="宋体"/>
          <w:color w:val="auto"/>
          <w:highlight w:val="none"/>
        </w:rPr>
      </w:pPr>
    </w:p>
    <w:p w14:paraId="40FEA1D0">
      <w:pPr>
        <w:rPr>
          <w:rFonts w:hint="eastAsia" w:ascii="宋体" w:hAnsi="宋体" w:eastAsia="宋体" w:cs="宋体"/>
          <w:color w:val="auto"/>
          <w:highlight w:val="none"/>
        </w:rPr>
      </w:pPr>
    </w:p>
    <w:p w14:paraId="3CC8EF3A">
      <w:pPr>
        <w:rPr>
          <w:rFonts w:hint="eastAsia" w:ascii="宋体" w:hAnsi="宋体" w:eastAsia="宋体" w:cs="宋体"/>
          <w:color w:val="auto"/>
          <w:highlight w:val="none"/>
        </w:rPr>
      </w:pPr>
    </w:p>
    <w:p w14:paraId="403FAD99">
      <w:pPr>
        <w:rPr>
          <w:rFonts w:hint="eastAsia" w:ascii="宋体" w:hAnsi="宋体" w:eastAsia="宋体" w:cs="宋体"/>
          <w:color w:val="auto"/>
          <w:highlight w:val="none"/>
        </w:rPr>
      </w:pPr>
    </w:p>
    <w:p w14:paraId="3E65EC12">
      <w:pPr>
        <w:rPr>
          <w:rFonts w:hint="eastAsia" w:ascii="宋体" w:hAnsi="宋体" w:eastAsia="宋体" w:cs="宋体"/>
          <w:color w:val="auto"/>
          <w:highlight w:val="none"/>
        </w:rPr>
      </w:pPr>
    </w:p>
    <w:p w14:paraId="13BCEF6A">
      <w:pPr>
        <w:rPr>
          <w:rFonts w:hint="eastAsia" w:ascii="宋体" w:hAnsi="宋体" w:eastAsia="宋体" w:cs="宋体"/>
          <w:color w:val="auto"/>
          <w:highlight w:val="none"/>
        </w:rPr>
      </w:pPr>
    </w:p>
    <w:p w14:paraId="0FB82282">
      <w:pPr>
        <w:pStyle w:val="3"/>
        <w:bidi w:val="0"/>
        <w:spacing w:line="360" w:lineRule="auto"/>
        <w:jc w:val="center"/>
        <w:rPr>
          <w:rFonts w:hint="eastAsia" w:ascii="宋体" w:hAnsi="宋体" w:eastAsia="宋体" w:cs="宋体"/>
          <w:color w:val="auto"/>
          <w:highlight w:val="none"/>
        </w:rPr>
      </w:pPr>
      <w:bookmarkStart w:id="5" w:name="_Toc11252"/>
      <w:r>
        <w:rPr>
          <w:rFonts w:hint="eastAsia" w:ascii="宋体" w:hAnsi="宋体" w:eastAsia="宋体" w:cs="宋体"/>
          <w:color w:val="auto"/>
          <w:highlight w:val="none"/>
        </w:rPr>
        <w:t xml:space="preserve">第一篇 </w:t>
      </w:r>
      <w:r>
        <w:rPr>
          <w:rFonts w:hint="eastAsia" w:ascii="宋体" w:hAnsi="宋体" w:eastAsia="宋体" w:cs="宋体"/>
          <w:color w:val="auto"/>
          <w:highlight w:val="none"/>
          <w:lang w:val="en-US" w:eastAsia="zh-CN"/>
        </w:rPr>
        <w:t>竞争性比选</w:t>
      </w:r>
      <w:r>
        <w:rPr>
          <w:rFonts w:hint="eastAsia" w:ascii="宋体" w:hAnsi="宋体" w:eastAsia="宋体" w:cs="宋体"/>
          <w:color w:val="auto"/>
          <w:highlight w:val="none"/>
        </w:rPr>
        <w:t>邀请书</w:t>
      </w:r>
      <w:bookmarkEnd w:id="0"/>
      <w:bookmarkEnd w:id="1"/>
      <w:bookmarkEnd w:id="2"/>
      <w:bookmarkEnd w:id="3"/>
      <w:bookmarkEnd w:id="4"/>
      <w:bookmarkEnd w:id="5"/>
    </w:p>
    <w:p w14:paraId="36FB178F">
      <w:pPr>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重庆恒泰工程技术服务有限公司</w:t>
      </w:r>
      <w:r>
        <w:rPr>
          <w:rFonts w:hint="eastAsia" w:ascii="宋体" w:hAnsi="宋体" w:eastAsia="宋体" w:cs="宋体"/>
          <w:color w:val="auto"/>
          <w:sz w:val="24"/>
          <w:szCs w:val="24"/>
          <w:highlight w:val="none"/>
        </w:rPr>
        <w:t>（以下简称：采购代理机构）受</w:t>
      </w:r>
      <w:r>
        <w:rPr>
          <w:rFonts w:hint="eastAsia" w:ascii="宋体" w:hAnsi="宋体" w:eastAsia="宋体" w:cs="宋体"/>
          <w:color w:val="auto"/>
          <w:sz w:val="24"/>
          <w:szCs w:val="24"/>
          <w:highlight w:val="none"/>
          <w:u w:val="single"/>
          <w:lang w:val="en-US" w:eastAsia="zh-CN"/>
        </w:rPr>
        <w:t>重庆市沙坪坝区城市排水设施管理处</w:t>
      </w:r>
      <w:r>
        <w:rPr>
          <w:rFonts w:hint="eastAsia" w:ascii="宋体" w:hAnsi="宋体" w:eastAsia="宋体" w:cs="宋体"/>
          <w:color w:val="auto"/>
          <w:sz w:val="24"/>
          <w:szCs w:val="24"/>
          <w:highlight w:val="none"/>
        </w:rPr>
        <w:t>（以下简称：采购人）的委托，对</w:t>
      </w:r>
      <w:r>
        <w:rPr>
          <w:rFonts w:hint="eastAsia" w:ascii="宋体" w:hAnsi="宋体" w:cs="宋体"/>
          <w:color w:val="auto"/>
          <w:sz w:val="24"/>
          <w:szCs w:val="24"/>
          <w:highlight w:val="none"/>
          <w:u w:val="single"/>
          <w:lang w:val="en-US" w:eastAsia="zh-CN"/>
        </w:rPr>
        <w:t>排水处食堂外包服务</w:t>
      </w:r>
      <w:r>
        <w:rPr>
          <w:rFonts w:hint="eastAsia" w:ascii="宋体" w:hAnsi="宋体" w:eastAsia="宋体" w:cs="宋体"/>
          <w:color w:val="auto"/>
          <w:sz w:val="24"/>
          <w:szCs w:val="24"/>
          <w:highlight w:val="none"/>
        </w:rPr>
        <w:t>进行</w:t>
      </w:r>
      <w:r>
        <w:rPr>
          <w:rFonts w:hint="eastAsia" w:ascii="宋体" w:hAnsi="宋体" w:eastAsia="宋体" w:cs="宋体"/>
          <w:color w:val="auto"/>
          <w:sz w:val="24"/>
          <w:szCs w:val="24"/>
          <w:highlight w:val="none"/>
          <w:lang w:val="en-US" w:eastAsia="zh-CN"/>
        </w:rPr>
        <w:t>竞争性比选</w:t>
      </w:r>
      <w:r>
        <w:rPr>
          <w:rFonts w:hint="eastAsia" w:ascii="宋体" w:hAnsi="宋体" w:eastAsia="宋体" w:cs="宋体"/>
          <w:color w:val="auto"/>
          <w:sz w:val="24"/>
          <w:szCs w:val="24"/>
          <w:highlight w:val="none"/>
        </w:rPr>
        <w:t>。欢迎有资格的供应商前来参与</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w:t>
      </w:r>
    </w:p>
    <w:p w14:paraId="1CE21BAA">
      <w:pPr>
        <w:pStyle w:val="2"/>
        <w:spacing w:before="0" w:after="0" w:line="360" w:lineRule="auto"/>
        <w:ind w:firstLine="482" w:firstLineChars="200"/>
        <w:rPr>
          <w:rFonts w:hint="eastAsia" w:ascii="宋体" w:hAnsi="宋体" w:eastAsia="宋体" w:cs="宋体"/>
          <w:color w:val="auto"/>
          <w:highlight w:val="none"/>
        </w:rPr>
      </w:pPr>
      <w:bookmarkStart w:id="6" w:name="_Toc21305"/>
      <w:bookmarkStart w:id="7" w:name="_Toc313893526"/>
      <w:bookmarkStart w:id="8" w:name="_Toc30369"/>
      <w:bookmarkStart w:id="9" w:name="_Toc21242"/>
      <w:bookmarkStart w:id="10" w:name="_Toc1462"/>
      <w:bookmarkStart w:id="11" w:name="_Toc26089"/>
      <w:bookmarkStart w:id="12" w:name="_Toc11959"/>
      <w:bookmarkStart w:id="13" w:name="_Toc1298"/>
      <w:bookmarkStart w:id="14" w:name="_Toc5878"/>
      <w:bookmarkStart w:id="15" w:name="_Toc11595"/>
      <w:bookmarkStart w:id="16" w:name="_Toc317775175"/>
      <w:r>
        <w:rPr>
          <w:rFonts w:hint="eastAsia" w:ascii="宋体" w:hAnsi="宋体" w:eastAsia="宋体" w:cs="宋体"/>
          <w:color w:val="auto"/>
          <w:sz w:val="24"/>
          <w:szCs w:val="24"/>
          <w:highlight w:val="none"/>
        </w:rPr>
        <w:t>一、竞争性比选内容</w:t>
      </w:r>
      <w:bookmarkEnd w:id="6"/>
      <w:bookmarkEnd w:id="7"/>
      <w:bookmarkEnd w:id="8"/>
      <w:bookmarkEnd w:id="9"/>
      <w:bookmarkEnd w:id="10"/>
      <w:bookmarkEnd w:id="11"/>
      <w:bookmarkEnd w:id="12"/>
      <w:bookmarkEnd w:id="13"/>
      <w:bookmarkEnd w:id="14"/>
      <w:bookmarkEnd w:id="15"/>
      <w:bookmarkEnd w:id="16"/>
    </w:p>
    <w:p w14:paraId="741BA17E">
      <w:pPr>
        <w:pStyle w:val="26"/>
        <w:spacing w:line="360" w:lineRule="auto"/>
        <w:rPr>
          <w:rFonts w:hint="eastAsia" w:ascii="宋体" w:hAnsi="宋体" w:eastAsia="宋体" w:cs="宋体"/>
        </w:rPr>
      </w:pPr>
    </w:p>
    <w:tbl>
      <w:tblPr>
        <w:tblStyle w:val="23"/>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7"/>
        <w:gridCol w:w="2417"/>
        <w:gridCol w:w="2453"/>
        <w:gridCol w:w="1235"/>
      </w:tblGrid>
      <w:tr w14:paraId="11A3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877" w:type="dxa"/>
            <w:tcBorders>
              <w:top w:val="single" w:color="auto" w:sz="4" w:space="0"/>
              <w:left w:val="single" w:color="auto" w:sz="4" w:space="0"/>
              <w:right w:val="single" w:color="auto" w:sz="4" w:space="0"/>
            </w:tcBorders>
            <w:noWrap w:val="0"/>
            <w:vAlign w:val="center"/>
          </w:tcPr>
          <w:p w14:paraId="29D3F118">
            <w:pPr>
              <w:keepNext/>
              <w:keepLines/>
              <w:shd w:val="clear" w:color="auto" w:fill="auto"/>
              <w:spacing w:line="360" w:lineRule="auto"/>
              <w:jc w:val="center"/>
              <w:outlineLvl w:val="9"/>
              <w:rPr>
                <w:rFonts w:hint="eastAsia" w:ascii="宋体" w:hAnsi="宋体" w:eastAsia="宋体" w:cs="宋体"/>
                <w:b/>
                <w:bCs/>
                <w:kern w:val="0"/>
                <w:sz w:val="24"/>
                <w:szCs w:val="24"/>
                <w:highlight w:val="none"/>
              </w:rPr>
            </w:pPr>
            <w:bookmarkStart w:id="17" w:name="_Toc30194"/>
            <w:bookmarkStart w:id="18" w:name="_Toc25481"/>
            <w:bookmarkStart w:id="19" w:name="_Toc14960"/>
            <w:bookmarkStart w:id="20" w:name="_Toc21837"/>
            <w:bookmarkStart w:id="21" w:name="_Toc22795"/>
            <w:bookmarkStart w:id="22" w:name="_Toc1477"/>
            <w:bookmarkStart w:id="23" w:name="_Toc9028"/>
            <w:r>
              <w:rPr>
                <w:rFonts w:hint="eastAsia" w:ascii="宋体" w:hAnsi="宋体" w:eastAsia="宋体" w:cs="宋体"/>
                <w:b/>
                <w:bCs/>
                <w:kern w:val="0"/>
                <w:sz w:val="24"/>
                <w:szCs w:val="24"/>
                <w:highlight w:val="none"/>
              </w:rPr>
              <w:t>包号及项目名称</w:t>
            </w:r>
          </w:p>
        </w:tc>
        <w:tc>
          <w:tcPr>
            <w:tcW w:w="2417" w:type="dxa"/>
            <w:tcBorders>
              <w:top w:val="single" w:color="auto" w:sz="4" w:space="0"/>
              <w:left w:val="single" w:color="auto" w:sz="4" w:space="0"/>
              <w:right w:val="single" w:color="auto" w:sz="4" w:space="0"/>
            </w:tcBorders>
            <w:noWrap w:val="0"/>
            <w:vAlign w:val="center"/>
          </w:tcPr>
          <w:p w14:paraId="51173673">
            <w:pPr>
              <w:keepNext/>
              <w:keepLines/>
              <w:shd w:val="clear" w:color="auto" w:fill="auto"/>
              <w:spacing w:line="360" w:lineRule="auto"/>
              <w:jc w:val="center"/>
              <w:outlineLvl w:val="9"/>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最高限价（</w:t>
            </w:r>
            <w:r>
              <w:rPr>
                <w:rFonts w:hint="eastAsia" w:ascii="宋体" w:hAnsi="宋体" w:eastAsia="宋体" w:cs="宋体"/>
                <w:b/>
                <w:bCs/>
                <w:kern w:val="0"/>
                <w:sz w:val="24"/>
                <w:szCs w:val="24"/>
                <w:highlight w:val="none"/>
                <w:lang w:val="en-US" w:eastAsia="zh-CN"/>
              </w:rPr>
              <w:t>万</w:t>
            </w:r>
            <w:r>
              <w:rPr>
                <w:rFonts w:hint="eastAsia" w:ascii="宋体" w:hAnsi="宋体" w:eastAsia="宋体" w:cs="宋体"/>
                <w:b/>
                <w:bCs/>
                <w:kern w:val="0"/>
                <w:sz w:val="24"/>
                <w:szCs w:val="24"/>
                <w:highlight w:val="none"/>
              </w:rPr>
              <w:t>元）</w:t>
            </w:r>
          </w:p>
        </w:tc>
        <w:tc>
          <w:tcPr>
            <w:tcW w:w="2453" w:type="dxa"/>
            <w:tcBorders>
              <w:top w:val="single" w:color="auto" w:sz="4" w:space="0"/>
              <w:left w:val="single" w:color="auto" w:sz="4" w:space="0"/>
              <w:right w:val="single" w:color="auto" w:sz="4" w:space="0"/>
            </w:tcBorders>
            <w:noWrap w:val="0"/>
            <w:vAlign w:val="center"/>
          </w:tcPr>
          <w:p w14:paraId="17167C03">
            <w:pPr>
              <w:keepNext/>
              <w:keepLines/>
              <w:shd w:val="clear" w:color="auto" w:fill="auto"/>
              <w:spacing w:line="360" w:lineRule="auto"/>
              <w:jc w:val="center"/>
              <w:outlineLvl w:val="9"/>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成交供应商数量（名）</w:t>
            </w:r>
          </w:p>
        </w:tc>
        <w:tc>
          <w:tcPr>
            <w:tcW w:w="1235" w:type="dxa"/>
            <w:tcBorders>
              <w:top w:val="single" w:color="auto" w:sz="4" w:space="0"/>
              <w:left w:val="single" w:color="auto" w:sz="4" w:space="0"/>
              <w:right w:val="single" w:color="auto" w:sz="4" w:space="0"/>
            </w:tcBorders>
            <w:noWrap w:val="0"/>
            <w:vAlign w:val="center"/>
          </w:tcPr>
          <w:p w14:paraId="0E6738A9">
            <w:pPr>
              <w:keepNext/>
              <w:keepLines/>
              <w:shd w:val="clear" w:color="auto" w:fill="auto"/>
              <w:spacing w:line="360" w:lineRule="auto"/>
              <w:jc w:val="center"/>
              <w:outlineLvl w:val="9"/>
              <w:rPr>
                <w:rFonts w:hint="eastAsia" w:ascii="宋体" w:hAnsi="宋体" w:eastAsia="宋体" w:cs="宋体"/>
                <w:b/>
                <w:bCs/>
                <w:kern w:val="0"/>
                <w:sz w:val="24"/>
                <w:szCs w:val="24"/>
                <w:highlight w:val="none"/>
                <w:lang w:eastAsia="zh-CN"/>
              </w:rPr>
            </w:pPr>
            <w:r>
              <w:rPr>
                <w:rFonts w:hint="eastAsia" w:ascii="宋体" w:hAnsi="宋体" w:cs="宋体"/>
                <w:b/>
                <w:bCs/>
                <w:kern w:val="0"/>
                <w:sz w:val="24"/>
                <w:szCs w:val="24"/>
                <w:highlight w:val="none"/>
                <w:lang w:val="en-US" w:eastAsia="zh-CN"/>
              </w:rPr>
              <w:t>备注</w:t>
            </w:r>
          </w:p>
        </w:tc>
      </w:tr>
      <w:tr w14:paraId="0C53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jc w:val="center"/>
        </w:trPr>
        <w:tc>
          <w:tcPr>
            <w:tcW w:w="2877" w:type="dxa"/>
            <w:tcBorders>
              <w:top w:val="single" w:color="auto" w:sz="4" w:space="0"/>
              <w:left w:val="single" w:color="auto" w:sz="4" w:space="0"/>
              <w:bottom w:val="single" w:color="auto" w:sz="4" w:space="0"/>
              <w:right w:val="single" w:color="auto" w:sz="4" w:space="0"/>
            </w:tcBorders>
            <w:noWrap w:val="0"/>
            <w:vAlign w:val="center"/>
          </w:tcPr>
          <w:p w14:paraId="31E79E06">
            <w:pPr>
              <w:keepNext/>
              <w:keepLines/>
              <w:shd w:val="clear" w:color="auto" w:fill="auto"/>
              <w:spacing w:line="360" w:lineRule="auto"/>
              <w:jc w:val="center"/>
              <w:outlineLvl w:val="9"/>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排水处食堂外包服务</w:t>
            </w:r>
          </w:p>
        </w:tc>
        <w:tc>
          <w:tcPr>
            <w:tcW w:w="2417" w:type="dxa"/>
            <w:tcBorders>
              <w:top w:val="single" w:color="auto" w:sz="4" w:space="0"/>
              <w:left w:val="single" w:color="auto" w:sz="4" w:space="0"/>
              <w:bottom w:val="single" w:color="auto" w:sz="4" w:space="0"/>
              <w:right w:val="single" w:color="auto" w:sz="4" w:space="0"/>
            </w:tcBorders>
            <w:noWrap w:val="0"/>
            <w:vAlign w:val="center"/>
          </w:tcPr>
          <w:p w14:paraId="0016D79E">
            <w:pPr>
              <w:keepNext/>
              <w:keepLines/>
              <w:shd w:val="clear" w:color="auto" w:fill="auto"/>
              <w:spacing w:line="360" w:lineRule="auto"/>
              <w:jc w:val="center"/>
              <w:outlineLvl w:val="9"/>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27</w:t>
            </w:r>
          </w:p>
        </w:tc>
        <w:tc>
          <w:tcPr>
            <w:tcW w:w="2453" w:type="dxa"/>
            <w:tcBorders>
              <w:top w:val="single" w:color="auto" w:sz="4" w:space="0"/>
              <w:left w:val="single" w:color="auto" w:sz="4" w:space="0"/>
              <w:bottom w:val="single" w:color="auto" w:sz="4" w:space="0"/>
              <w:right w:val="single" w:color="auto" w:sz="4" w:space="0"/>
            </w:tcBorders>
            <w:noWrap w:val="0"/>
            <w:vAlign w:val="center"/>
          </w:tcPr>
          <w:p w14:paraId="338D9DAD">
            <w:pPr>
              <w:keepNext/>
              <w:keepLines/>
              <w:shd w:val="clear" w:color="auto" w:fill="auto"/>
              <w:spacing w:line="360" w:lineRule="auto"/>
              <w:jc w:val="center"/>
              <w:outlineLvl w:val="9"/>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19E91FCC">
            <w:pPr>
              <w:keepNext/>
              <w:keepLines/>
              <w:shd w:val="clear" w:color="auto" w:fill="auto"/>
              <w:spacing w:line="360" w:lineRule="auto"/>
              <w:jc w:val="center"/>
              <w:outlineLvl w:val="9"/>
              <w:rPr>
                <w:rFonts w:hint="eastAsia" w:ascii="宋体" w:hAnsi="宋体" w:eastAsia="宋体" w:cs="宋体"/>
                <w:kern w:val="0"/>
                <w:sz w:val="24"/>
                <w:szCs w:val="24"/>
                <w:highlight w:val="none"/>
                <w:lang w:eastAsia="zh-CN"/>
              </w:rPr>
            </w:pPr>
          </w:p>
        </w:tc>
      </w:tr>
      <w:bookmarkEnd w:id="17"/>
      <w:bookmarkEnd w:id="18"/>
      <w:bookmarkEnd w:id="19"/>
      <w:bookmarkEnd w:id="20"/>
      <w:bookmarkEnd w:id="21"/>
      <w:bookmarkEnd w:id="22"/>
      <w:bookmarkEnd w:id="23"/>
    </w:tbl>
    <w:p w14:paraId="46509454">
      <w:pPr>
        <w:pStyle w:val="4"/>
        <w:numPr>
          <w:ilvl w:val="0"/>
          <w:numId w:val="2"/>
        </w:numPr>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资金来源</w:t>
      </w:r>
    </w:p>
    <w:p w14:paraId="16E7D11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财政预算</w:t>
      </w:r>
      <w:r>
        <w:rPr>
          <w:rFonts w:hint="eastAsia" w:ascii="宋体" w:hAnsi="宋体" w:eastAsia="宋体" w:cs="宋体"/>
          <w:sz w:val="24"/>
          <w:szCs w:val="24"/>
          <w:lang w:eastAsia="zh-CN"/>
        </w:rPr>
        <w:t>资金</w:t>
      </w:r>
    </w:p>
    <w:p w14:paraId="78473572">
      <w:pPr>
        <w:pStyle w:val="4"/>
        <w:numPr>
          <w:ilvl w:val="0"/>
          <w:numId w:val="0"/>
        </w:numPr>
        <w:bidi w:val="0"/>
        <w:spacing w:line="360" w:lineRule="auto"/>
        <w:ind w:right="0" w:rightChars="0" w:firstLine="281" w:firstLineChars="100"/>
        <w:rPr>
          <w:rFonts w:hint="eastAsia" w:ascii="宋体" w:hAnsi="宋体" w:eastAsia="宋体" w:cs="宋体"/>
        </w:rPr>
      </w:pPr>
      <w:r>
        <w:rPr>
          <w:rFonts w:hint="eastAsia" w:ascii="宋体" w:hAnsi="宋体" w:eastAsia="宋体" w:cs="宋体"/>
          <w:highlight w:val="none"/>
          <w:lang w:val="en-US" w:eastAsia="zh-CN"/>
        </w:rPr>
        <w:t xml:space="preserve"> 三、</w:t>
      </w:r>
      <w:r>
        <w:rPr>
          <w:rFonts w:hint="eastAsia" w:ascii="宋体" w:hAnsi="宋体" w:eastAsia="宋体" w:cs="宋体"/>
          <w:color w:val="auto"/>
          <w:sz w:val="24"/>
          <w:szCs w:val="24"/>
          <w:highlight w:val="none"/>
        </w:rPr>
        <w:t>资格条件</w:t>
      </w:r>
    </w:p>
    <w:p w14:paraId="2A65BABD">
      <w:pPr>
        <w:spacing w:line="360" w:lineRule="auto"/>
        <w:ind w:firstLine="480" w:firstLineChars="200"/>
        <w:rPr>
          <w:rFonts w:hint="eastAsia" w:ascii="宋体" w:hAnsi="宋体" w:eastAsia="宋体" w:cs="宋体"/>
          <w:sz w:val="24"/>
          <w:szCs w:val="24"/>
        </w:rPr>
      </w:pPr>
      <w:bookmarkStart w:id="24" w:name="_Toc22701"/>
      <w:bookmarkStart w:id="25" w:name="_Toc28773"/>
      <w:bookmarkStart w:id="26" w:name="_Toc28743"/>
      <w:bookmarkStart w:id="27" w:name="_Toc19522"/>
      <w:bookmarkStart w:id="28" w:name="_Toc3005"/>
      <w:r>
        <w:rPr>
          <w:rFonts w:hint="eastAsia" w:ascii="宋体" w:hAnsi="宋体" w:eastAsia="宋体" w:cs="宋体"/>
          <w:sz w:val="24"/>
          <w:szCs w:val="24"/>
        </w:rPr>
        <w:t>（一）满足《中华人民共和国政府采购法》第二十二条规定。</w:t>
      </w:r>
    </w:p>
    <w:p w14:paraId="4B704BB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val="0"/>
          <w:sz w:val="24"/>
          <w:szCs w:val="24"/>
        </w:rPr>
        <w:t>（二）本项目的特定资格要求：</w:t>
      </w:r>
      <w:r>
        <w:rPr>
          <w:rFonts w:hint="eastAsia" w:ascii="宋体" w:hAnsi="宋体" w:cs="宋体"/>
          <w:color w:val="auto"/>
          <w:sz w:val="24"/>
          <w:szCs w:val="24"/>
          <w:highlight w:val="none"/>
          <w:lang w:val="en-US" w:eastAsia="zh-CN"/>
        </w:rPr>
        <w:t>1.供应商</w:t>
      </w:r>
      <w:r>
        <w:rPr>
          <w:rFonts w:hint="eastAsia" w:ascii="宋体" w:hAnsi="宋体" w:cs="宋体"/>
          <w:color w:val="auto"/>
          <w:sz w:val="24"/>
          <w:szCs w:val="24"/>
          <w:highlight w:val="none"/>
        </w:rPr>
        <w:t>应具备行政主管部门颁发的有效期内的《食品经营许可证》，提供证书复印件并加盖</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公章</w:t>
      </w:r>
      <w:r>
        <w:rPr>
          <w:rFonts w:hint="eastAsia" w:ascii="宋体" w:hAnsi="宋体" w:eastAsia="宋体" w:cs="宋体"/>
          <w:color w:val="auto"/>
          <w:sz w:val="24"/>
          <w:szCs w:val="24"/>
          <w:highlight w:val="none"/>
        </w:rPr>
        <w:t xml:space="preserve">。 </w:t>
      </w:r>
    </w:p>
    <w:p w14:paraId="6B9AB691">
      <w:pPr>
        <w:spacing w:line="360" w:lineRule="auto"/>
        <w:ind w:firstLine="480" w:firstLineChars="200"/>
        <w:rPr>
          <w:rFonts w:hint="eastAsia" w:ascii="宋体" w:hAnsi="宋体" w:eastAsia="宋体" w:cs="宋体"/>
          <w:b w:val="0"/>
          <w:bCs w:val="0"/>
          <w:sz w:val="24"/>
          <w:szCs w:val="24"/>
          <w:lang w:eastAsia="zh-CN"/>
        </w:rPr>
      </w:pPr>
      <w:r>
        <w:rPr>
          <w:rFonts w:hint="eastAsia" w:ascii="宋体" w:hAnsi="宋体" w:cs="宋体"/>
          <w:color w:val="auto"/>
          <w:sz w:val="24"/>
          <w:szCs w:val="24"/>
          <w:highlight w:val="none"/>
          <w:lang w:val="en-US" w:eastAsia="zh-CN"/>
        </w:rPr>
        <w:t>2.</w:t>
      </w:r>
      <w:r>
        <w:rPr>
          <w:rFonts w:hint="eastAsia" w:ascii="宋体" w:hAnsi="宋体" w:cs="方正仿宋_GBK"/>
          <w:color w:val="auto"/>
          <w:sz w:val="24"/>
          <w:szCs w:val="24"/>
          <w:highlight w:val="none"/>
        </w:rPr>
        <w:t>供应商自行承诺“202</w:t>
      </w:r>
      <w:r>
        <w:rPr>
          <w:rFonts w:hint="eastAsia" w:ascii="宋体" w:hAnsi="宋体" w:cs="方正仿宋_GBK"/>
          <w:color w:val="auto"/>
          <w:sz w:val="24"/>
          <w:szCs w:val="24"/>
          <w:highlight w:val="none"/>
          <w:lang w:val="en-US" w:eastAsia="zh-CN"/>
        </w:rPr>
        <w:t>1</w:t>
      </w:r>
      <w:r>
        <w:rPr>
          <w:rFonts w:hint="eastAsia" w:ascii="宋体" w:hAnsi="宋体" w:cs="方正仿宋_GBK"/>
          <w:color w:val="auto"/>
          <w:sz w:val="24"/>
          <w:szCs w:val="24"/>
          <w:highlight w:val="none"/>
        </w:rPr>
        <w:t>年至本项目</w:t>
      </w:r>
      <w:r>
        <w:rPr>
          <w:rFonts w:hint="eastAsia" w:ascii="宋体" w:hAnsi="宋体" w:cs="方正仿宋_GBK"/>
          <w:color w:val="auto"/>
          <w:sz w:val="24"/>
          <w:szCs w:val="24"/>
          <w:highlight w:val="none"/>
          <w:lang w:val="en-US" w:eastAsia="zh-CN"/>
        </w:rPr>
        <w:t>公告文件</w:t>
      </w:r>
      <w:r>
        <w:rPr>
          <w:rFonts w:hint="eastAsia" w:ascii="宋体" w:hAnsi="宋体" w:cs="方正仿宋_GBK"/>
          <w:color w:val="auto"/>
          <w:sz w:val="24"/>
          <w:szCs w:val="24"/>
          <w:highlight w:val="none"/>
        </w:rPr>
        <w:t>上网公示之日期间，在经营活动中没有违法记录和未发生过食品安全事故”</w:t>
      </w:r>
      <w:r>
        <w:rPr>
          <w:rFonts w:hint="eastAsia" w:ascii="宋体" w:hAnsi="宋体" w:cs="方正仿宋_GBK"/>
          <w:color w:val="auto"/>
          <w:sz w:val="24"/>
          <w:szCs w:val="24"/>
          <w:highlight w:val="none"/>
          <w:lang w:eastAsia="zh-CN"/>
        </w:rPr>
        <w:t>，</w:t>
      </w:r>
      <w:r>
        <w:rPr>
          <w:rFonts w:hint="eastAsia" w:ascii="宋体" w:hAnsi="宋体" w:cs="方正仿宋_GBK"/>
          <w:color w:val="auto"/>
          <w:sz w:val="24"/>
          <w:szCs w:val="24"/>
          <w:highlight w:val="none"/>
          <w:lang w:val="en-US" w:eastAsia="zh-CN"/>
        </w:rPr>
        <w:t>格式自拟并加盖供应商公章</w:t>
      </w:r>
      <w:r>
        <w:rPr>
          <w:rFonts w:hint="eastAsia" w:ascii="宋体" w:hAnsi="宋体" w:cs="方正仿宋_GBK"/>
          <w:color w:val="auto"/>
          <w:sz w:val="24"/>
          <w:szCs w:val="24"/>
          <w:highlight w:val="none"/>
        </w:rPr>
        <w:t>。</w:t>
      </w:r>
    </w:p>
    <w:p w14:paraId="67FCA56E">
      <w:pPr>
        <w:pStyle w:val="4"/>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有关说明</w:t>
      </w:r>
      <w:bookmarkEnd w:id="24"/>
      <w:bookmarkEnd w:id="25"/>
      <w:bookmarkEnd w:id="26"/>
      <w:bookmarkEnd w:id="27"/>
      <w:bookmarkEnd w:id="28"/>
      <w:bookmarkStart w:id="29" w:name="_Toc22048"/>
    </w:p>
    <w:p w14:paraId="1A9D9E5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（一）供应商应通过“行采家”平台（https://www.gec123.com）进行注册，成为行采家平台供应商。</w:t>
      </w:r>
    </w:p>
    <w:p w14:paraId="1A6A4DD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凡有意参加</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的供应商，请在“行采家”平台（https://www.gec123.com）下载本项目采购文件以及补遗等评审前公布的所有项目资料，无论供应商下载与否，均视为已知晓所有</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实质性要求内容。</w:t>
      </w:r>
    </w:p>
    <w:p w14:paraId="4C76A659">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bookmarkStart w:id="30" w:name="_Toc30485"/>
      <w:bookmarkStart w:id="31" w:name="_Toc17000"/>
      <w:bookmarkStart w:id="32" w:name="_Toc8536"/>
      <w:bookmarkStart w:id="33" w:name="_Toc21153"/>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文件提供期限</w:t>
      </w:r>
    </w:p>
    <w:p w14:paraId="58CE343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报名和</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文件提供期限：</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rPr>
        <w:t>日。</w:t>
      </w:r>
    </w:p>
    <w:p w14:paraId="05E832C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2.报名方式：</w:t>
      </w:r>
      <w:r>
        <w:rPr>
          <w:rFonts w:hint="eastAsia" w:ascii="宋体" w:hAnsi="宋体" w:eastAsia="宋体" w:cs="宋体"/>
          <w:color w:val="auto"/>
          <w:sz w:val="24"/>
          <w:szCs w:val="24"/>
        </w:rPr>
        <w:t>在比选文件</w:t>
      </w:r>
      <w:r>
        <w:rPr>
          <w:rFonts w:hint="eastAsia" w:ascii="宋体" w:hAnsi="宋体" w:eastAsia="宋体" w:cs="宋体"/>
          <w:color w:val="auto"/>
          <w:sz w:val="24"/>
          <w:szCs w:val="24"/>
          <w:lang w:val="en-US" w:eastAsia="zh-CN"/>
        </w:rPr>
        <w:t>获取</w:t>
      </w:r>
      <w:r>
        <w:rPr>
          <w:rFonts w:hint="eastAsia" w:ascii="宋体" w:hAnsi="宋体" w:eastAsia="宋体" w:cs="宋体"/>
          <w:color w:val="auto"/>
          <w:sz w:val="24"/>
          <w:szCs w:val="24"/>
        </w:rPr>
        <w:t>期内，供应商将比选文件</w:t>
      </w:r>
      <w:r>
        <w:rPr>
          <w:rFonts w:hint="eastAsia" w:ascii="宋体" w:hAnsi="宋体" w:eastAsia="宋体" w:cs="宋体"/>
          <w:color w:val="auto"/>
          <w:sz w:val="24"/>
          <w:szCs w:val="24"/>
          <w:lang w:val="en-US" w:eastAsia="zh-CN"/>
        </w:rPr>
        <w:t>获取</w:t>
      </w:r>
      <w:r>
        <w:rPr>
          <w:rFonts w:hint="eastAsia" w:ascii="宋体" w:hAnsi="宋体" w:eastAsia="宋体" w:cs="宋体"/>
          <w:color w:val="auto"/>
          <w:sz w:val="24"/>
          <w:szCs w:val="24"/>
        </w:rPr>
        <w:t>费用汇至以下账户内（注明</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名称），</w:t>
      </w:r>
      <w:r>
        <w:rPr>
          <w:rFonts w:hint="eastAsia" w:ascii="宋体" w:hAnsi="宋体" w:eastAsia="宋体" w:cs="宋体"/>
          <w:color w:val="auto"/>
          <w:sz w:val="24"/>
          <w:szCs w:val="24"/>
          <w:lang w:val="en-US" w:eastAsia="zh-CN"/>
        </w:rPr>
        <w:t>并</w:t>
      </w:r>
      <w:r>
        <w:rPr>
          <w:rFonts w:hint="eastAsia" w:ascii="宋体" w:hAnsi="宋体" w:eastAsia="宋体" w:cs="宋体"/>
          <w:color w:val="auto"/>
          <w:sz w:val="24"/>
          <w:szCs w:val="24"/>
          <w:highlight w:val="none"/>
        </w:rPr>
        <w:t>将</w:t>
      </w:r>
      <w:r>
        <w:rPr>
          <w:rFonts w:hint="eastAsia" w:ascii="宋体" w:hAnsi="宋体" w:cs="宋体"/>
          <w:color w:val="auto"/>
          <w:sz w:val="24"/>
          <w:szCs w:val="24"/>
          <w:highlight w:val="none"/>
          <w:lang w:val="en-US" w:eastAsia="zh-CN"/>
        </w:rPr>
        <w:t>汇款凭证和</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报名</w:t>
      </w:r>
      <w:r>
        <w:rPr>
          <w:rFonts w:hint="eastAsia" w:ascii="宋体" w:hAnsi="宋体" w:eastAsia="宋体" w:cs="宋体"/>
          <w:color w:val="auto"/>
          <w:sz w:val="24"/>
          <w:szCs w:val="24"/>
          <w:lang w:eastAsia="zh-CN"/>
        </w:rPr>
        <w:t>登记表</w:t>
      </w:r>
      <w:r>
        <w:rPr>
          <w:rFonts w:hint="eastAsia" w:ascii="宋体" w:hAnsi="宋体" w:eastAsia="宋体" w:cs="宋体"/>
          <w:sz w:val="24"/>
          <w:szCs w:val="24"/>
        </w:rPr>
        <w:t>》</w:t>
      </w:r>
      <w:r>
        <w:rPr>
          <w:rFonts w:hint="eastAsia" w:ascii="宋体" w:hAnsi="宋体" w:eastAsia="宋体" w:cs="宋体"/>
          <w:sz w:val="24"/>
          <w:szCs w:val="24"/>
          <w:highlight w:val="none"/>
        </w:rPr>
        <w:t>（加盖供应商公章）</w:t>
      </w:r>
      <w:r>
        <w:rPr>
          <w:rFonts w:hint="eastAsia" w:ascii="宋体" w:hAnsi="宋体" w:eastAsia="宋体" w:cs="宋体"/>
          <w:sz w:val="24"/>
          <w:szCs w:val="24"/>
        </w:rPr>
        <w:t>扫描后发送至</w:t>
      </w:r>
      <w:r>
        <w:rPr>
          <w:rFonts w:hint="eastAsia" w:ascii="宋体" w:hAnsi="宋体" w:eastAsia="宋体" w:cs="宋体"/>
          <w:color w:val="auto"/>
          <w:sz w:val="24"/>
          <w:szCs w:val="24"/>
          <w:highlight w:val="none"/>
        </w:rPr>
        <w:t>发送至</w:t>
      </w:r>
      <w:r>
        <w:rPr>
          <w:rFonts w:hint="eastAsia" w:ascii="宋体" w:hAnsi="宋体" w:eastAsia="宋体" w:cs="宋体"/>
          <w:color w:val="auto"/>
          <w:sz w:val="24"/>
          <w:szCs w:val="24"/>
          <w:highlight w:val="none"/>
          <w:lang w:val="en-US" w:eastAsia="zh-CN"/>
        </w:rPr>
        <w:t>289318095</w:t>
      </w:r>
      <w:r>
        <w:rPr>
          <w:rFonts w:hint="eastAsia" w:ascii="宋体" w:hAnsi="宋体" w:eastAsia="宋体" w:cs="宋体"/>
          <w:color w:val="auto"/>
          <w:sz w:val="24"/>
          <w:szCs w:val="24"/>
          <w:highlight w:val="none"/>
        </w:rPr>
        <w:t>@qq.com。</w:t>
      </w:r>
    </w:p>
    <w:p w14:paraId="28EFAE7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文件售价：人民币</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00元/</w:t>
      </w:r>
      <w:r>
        <w:rPr>
          <w:rFonts w:hint="eastAsia" w:ascii="宋体" w:hAnsi="宋体" w:eastAsia="宋体" w:cs="宋体"/>
          <w:color w:val="auto"/>
          <w:sz w:val="24"/>
          <w:szCs w:val="24"/>
          <w:highlight w:val="none"/>
          <w:lang w:val="en-US" w:eastAsia="zh-CN"/>
        </w:rPr>
        <w:t>份</w:t>
      </w:r>
      <w:r>
        <w:rPr>
          <w:rFonts w:hint="eastAsia" w:ascii="宋体" w:hAnsi="宋体" w:eastAsia="宋体" w:cs="宋体"/>
          <w:color w:val="auto"/>
          <w:sz w:val="24"/>
          <w:szCs w:val="24"/>
          <w:highlight w:val="none"/>
        </w:rPr>
        <w:t>（售后不退）。</w:t>
      </w:r>
    </w:p>
    <w:p w14:paraId="641125B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z w:val="24"/>
          <w:szCs w:val="24"/>
        </w:rPr>
        <w:t>4.在报名及比选文件</w:t>
      </w:r>
      <w:r>
        <w:rPr>
          <w:rFonts w:hint="eastAsia" w:ascii="宋体" w:hAnsi="宋体" w:eastAsia="宋体" w:cs="宋体"/>
          <w:color w:val="auto"/>
          <w:sz w:val="24"/>
          <w:szCs w:val="24"/>
          <w:lang w:val="en-US" w:eastAsia="zh-CN"/>
        </w:rPr>
        <w:t>获取</w:t>
      </w:r>
      <w:r>
        <w:rPr>
          <w:rFonts w:hint="eastAsia" w:ascii="宋体" w:hAnsi="宋体" w:eastAsia="宋体" w:cs="宋体"/>
          <w:sz w:val="24"/>
          <w:szCs w:val="24"/>
        </w:rPr>
        <w:t>期内</w:t>
      </w:r>
      <w:r>
        <w:rPr>
          <w:rFonts w:hint="eastAsia" w:ascii="宋体" w:hAnsi="宋体" w:eastAsia="宋体" w:cs="宋体"/>
          <w:sz w:val="24"/>
          <w:szCs w:val="24"/>
          <w:lang w:val="en-US" w:eastAsia="zh-CN"/>
        </w:rPr>
        <w:t>按要求获取</w:t>
      </w:r>
      <w:r>
        <w:rPr>
          <w:rFonts w:hint="eastAsia" w:ascii="宋体" w:hAnsi="宋体" w:eastAsia="宋体" w:cs="宋体"/>
          <w:sz w:val="24"/>
          <w:szCs w:val="24"/>
        </w:rPr>
        <w:t>的供应商，其比选投标文件才能被接收</w:t>
      </w:r>
      <w:r>
        <w:rPr>
          <w:rFonts w:hint="eastAsia" w:ascii="宋体" w:hAnsi="宋体" w:eastAsia="宋体" w:cs="宋体"/>
          <w:b w:val="0"/>
          <w:bCs w:val="0"/>
          <w:sz w:val="24"/>
          <w:szCs w:val="24"/>
        </w:rPr>
        <w:t>。</w:t>
      </w:r>
    </w:p>
    <w:p w14:paraId="2A75F26C">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四</w:t>
      </w:r>
      <w:r>
        <w:rPr>
          <w:rFonts w:hint="eastAsia" w:ascii="宋体" w:hAnsi="宋体" w:eastAsia="宋体" w:cs="宋体"/>
          <w:sz w:val="24"/>
          <w:szCs w:val="24"/>
        </w:rPr>
        <w:t>）</w:t>
      </w:r>
      <w:r>
        <w:rPr>
          <w:rFonts w:hint="eastAsia" w:ascii="宋体" w:hAnsi="宋体" w:eastAsia="宋体" w:cs="宋体"/>
          <w:sz w:val="24"/>
          <w:szCs w:val="24"/>
          <w:lang w:eastAsia="zh-CN"/>
        </w:rPr>
        <w:t>竞争性比选地点：</w:t>
      </w:r>
      <w:r>
        <w:rPr>
          <w:rFonts w:hint="eastAsia" w:ascii="宋体" w:hAnsi="宋体" w:eastAsia="宋体" w:cs="宋体"/>
          <w:sz w:val="24"/>
          <w:szCs w:val="24"/>
          <w:lang w:val="en-US" w:eastAsia="zh-CN"/>
        </w:rPr>
        <w:t>重庆市沙坪坝区小龙坎正街168号嘉新大厦12-3</w:t>
      </w:r>
    </w:p>
    <w:p w14:paraId="76362C21">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（五）现场</w:t>
      </w:r>
      <w:r>
        <w:rPr>
          <w:rFonts w:hint="eastAsia" w:ascii="宋体" w:hAnsi="宋体" w:eastAsia="宋体" w:cs="宋体"/>
          <w:sz w:val="24"/>
          <w:szCs w:val="24"/>
        </w:rPr>
        <w:t>开标时间：</w:t>
      </w:r>
      <w:r>
        <w:rPr>
          <w:rFonts w:hint="eastAsia" w:ascii="宋体" w:hAnsi="宋体" w:eastAsia="宋体" w:cs="宋体"/>
          <w:sz w:val="24"/>
          <w:szCs w:val="24"/>
          <w:lang w:val="en-US" w:eastAsia="zh-CN"/>
        </w:rPr>
        <w:t>202</w:t>
      </w:r>
      <w:r>
        <w:rPr>
          <w:rFonts w:hint="eastAsia" w:ascii="宋体" w:hAnsi="宋体" w:cs="宋体"/>
          <w:sz w:val="24"/>
          <w:szCs w:val="24"/>
          <w:lang w:val="en-US" w:eastAsia="zh-CN"/>
        </w:rPr>
        <w:t>6</w:t>
      </w:r>
      <w:r>
        <w:rPr>
          <w:rFonts w:hint="eastAsia" w:ascii="宋体" w:hAnsi="宋体" w:eastAsia="宋体" w:cs="宋体"/>
          <w:sz w:val="24"/>
          <w:szCs w:val="24"/>
        </w:rPr>
        <w:t>年</w:t>
      </w:r>
      <w:r>
        <w:rPr>
          <w:rFonts w:hint="eastAsia" w:ascii="宋体" w:hAnsi="宋体" w:cs="宋体"/>
          <w:sz w:val="24"/>
          <w:szCs w:val="24"/>
          <w:lang w:val="en-US" w:eastAsia="zh-CN"/>
        </w:rPr>
        <w:t>3</w:t>
      </w:r>
      <w:r>
        <w:rPr>
          <w:rFonts w:hint="eastAsia" w:ascii="宋体" w:hAnsi="宋体" w:eastAsia="宋体" w:cs="宋体"/>
          <w:sz w:val="24"/>
          <w:szCs w:val="24"/>
        </w:rPr>
        <w:t>月</w:t>
      </w:r>
      <w:r>
        <w:rPr>
          <w:rFonts w:hint="eastAsia" w:ascii="宋体" w:hAnsi="宋体" w:cs="宋体"/>
          <w:sz w:val="24"/>
          <w:szCs w:val="24"/>
          <w:lang w:val="en-US" w:eastAsia="zh-CN"/>
        </w:rPr>
        <w:t>30</w:t>
      </w:r>
      <w:r>
        <w:rPr>
          <w:rFonts w:hint="eastAsia" w:ascii="宋体" w:hAnsi="宋体" w:eastAsia="宋体" w:cs="宋体"/>
          <w:sz w:val="24"/>
          <w:szCs w:val="24"/>
        </w:rPr>
        <w:t>日北京时间</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0</w:t>
      </w:r>
      <w:r>
        <w:rPr>
          <w:rFonts w:hint="eastAsia" w:ascii="宋体" w:hAnsi="宋体" w:eastAsia="宋体" w:cs="宋体"/>
          <w:sz w:val="24"/>
          <w:szCs w:val="24"/>
        </w:rPr>
        <w:t>:</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0</w:t>
      </w:r>
      <w:bookmarkStart w:id="492" w:name="_GoBack"/>
      <w:bookmarkEnd w:id="492"/>
    </w:p>
    <w:p w14:paraId="0B1EBA26">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六</w:t>
      </w:r>
      <w:r>
        <w:rPr>
          <w:rFonts w:hint="eastAsia" w:ascii="宋体" w:hAnsi="宋体" w:eastAsia="宋体" w:cs="宋体"/>
          <w:sz w:val="24"/>
          <w:szCs w:val="24"/>
        </w:rPr>
        <w:t>）线上报价</w:t>
      </w:r>
    </w:p>
    <w:p w14:paraId="60976368">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1.线上报价时间：按本项目网上公告规定的报价截止时间为准。</w:t>
      </w:r>
    </w:p>
    <w:p w14:paraId="3B0D4974">
      <w:pPr>
        <w:snapToGrid w:val="0"/>
        <w:spacing w:line="360" w:lineRule="auto"/>
        <w:ind w:firstLine="480" w:firstLineChars="200"/>
        <w:rPr>
          <w:rFonts w:hint="eastAsia" w:ascii="宋体" w:hAnsi="宋体" w:eastAsia="宋体" w:cs="宋体"/>
          <w:lang w:val="en-US" w:eastAsia="zh-CN"/>
        </w:rPr>
      </w:pPr>
      <w:r>
        <w:rPr>
          <w:rFonts w:hint="eastAsia" w:ascii="宋体" w:hAnsi="宋体" w:eastAsia="宋体" w:cs="宋体"/>
          <w:sz w:val="24"/>
          <w:szCs w:val="24"/>
        </w:rPr>
        <w:t>2.线上报价要求：按本项目规定的时间在“行采家”平台（https://www.gec123.com）进行网上报价。</w:t>
      </w:r>
    </w:p>
    <w:p w14:paraId="4476CF04">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lang w:val="en-US" w:eastAsia="zh-CN"/>
        </w:rPr>
        <w:t>递交方式：</w:t>
      </w:r>
      <w:r>
        <w:rPr>
          <w:rFonts w:hint="eastAsia" w:ascii="宋体" w:hAnsi="宋体" w:eastAsia="宋体" w:cs="宋体"/>
          <w:sz w:val="24"/>
          <w:szCs w:val="24"/>
          <w:highlight w:val="none"/>
        </w:rPr>
        <w:t>本项目采取线上线下相结合的方式进行投标报价，供应商须在规定时间内完成平台电子响应文件的提交</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需上传签字盖章完毕的响应文件正本PDF扫描件一份</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。并在本项目报价时间截止前将响应文件纸质件（须装订</w:t>
      </w:r>
      <w:r>
        <w:rPr>
          <w:rFonts w:hint="eastAsia" w:ascii="宋体" w:hAnsi="宋体" w:cs="宋体"/>
          <w:sz w:val="24"/>
          <w:szCs w:val="24"/>
          <w:highlight w:val="none"/>
          <w:lang w:val="en-US" w:eastAsia="zh-CN"/>
        </w:rPr>
        <w:t>密封</w:t>
      </w:r>
      <w:r>
        <w:rPr>
          <w:rFonts w:hint="eastAsia" w:ascii="宋体" w:hAnsi="宋体" w:eastAsia="宋体" w:cs="宋体"/>
          <w:sz w:val="24"/>
          <w:szCs w:val="24"/>
          <w:highlight w:val="none"/>
        </w:rPr>
        <w:t>）递交或邮寄至采购代理机构，否则为视无效响应（请供应商自行考虑快递周转时间。），且线上线下递交的响应文件内容须保持一致，如不一致以</w:t>
      </w:r>
      <w:r>
        <w:rPr>
          <w:rFonts w:hint="eastAsia" w:ascii="宋体" w:hAnsi="宋体" w:cs="宋体"/>
          <w:sz w:val="24"/>
          <w:szCs w:val="24"/>
          <w:highlight w:val="none"/>
          <w:lang w:val="en-US" w:eastAsia="zh-CN"/>
        </w:rPr>
        <w:t>线上</w:t>
      </w:r>
      <w:r>
        <w:rPr>
          <w:rFonts w:hint="eastAsia" w:ascii="宋体" w:hAnsi="宋体" w:eastAsia="宋体" w:cs="宋体"/>
          <w:sz w:val="24"/>
          <w:szCs w:val="24"/>
          <w:highlight w:val="none"/>
        </w:rPr>
        <w:t>文件为准。</w:t>
      </w:r>
    </w:p>
    <w:p w14:paraId="2DA001EC">
      <w:pPr>
        <w:spacing w:line="360" w:lineRule="auto"/>
        <w:ind w:firstLine="482" w:firstLineChars="200"/>
        <w:rPr>
          <w:rFonts w:hint="default" w:ascii="宋体" w:hAnsi="宋体" w:eastAsia="宋体" w:cs="宋体"/>
          <w:b/>
          <w:sz w:val="24"/>
          <w:lang w:val="en-US" w:eastAsia="zh-CN"/>
        </w:rPr>
      </w:pPr>
      <w:r>
        <w:rPr>
          <w:rFonts w:hint="eastAsia" w:ascii="宋体" w:hAnsi="宋体" w:eastAsia="宋体" w:cs="宋体"/>
          <w:b/>
          <w:sz w:val="24"/>
          <w:lang w:val="en-US" w:eastAsia="zh-CN"/>
        </w:rPr>
        <w:t>五</w:t>
      </w:r>
      <w:r>
        <w:rPr>
          <w:rFonts w:hint="eastAsia" w:ascii="宋体" w:hAnsi="宋体" w:eastAsia="宋体" w:cs="宋体"/>
          <w:b/>
          <w:sz w:val="24"/>
        </w:rPr>
        <w:t>、</w:t>
      </w:r>
      <w:r>
        <w:rPr>
          <w:rFonts w:hint="eastAsia" w:ascii="宋体" w:hAnsi="宋体" w:eastAsia="宋体" w:cs="宋体"/>
          <w:b/>
          <w:sz w:val="24"/>
          <w:lang w:val="en-US" w:eastAsia="zh-CN"/>
        </w:rPr>
        <w:t>比选</w:t>
      </w:r>
      <w:r>
        <w:rPr>
          <w:rFonts w:hint="eastAsia" w:ascii="宋体" w:hAnsi="宋体" w:eastAsia="宋体" w:cs="宋体"/>
          <w:b/>
          <w:sz w:val="24"/>
        </w:rPr>
        <w:t>保证金</w:t>
      </w:r>
      <w:r>
        <w:rPr>
          <w:rFonts w:hint="eastAsia" w:ascii="宋体" w:hAnsi="宋体" w:cs="宋体"/>
          <w:b/>
          <w:sz w:val="24"/>
          <w:lang w:eastAsia="zh-CN"/>
        </w:rPr>
        <w:t>：</w:t>
      </w:r>
      <w:r>
        <w:rPr>
          <w:rFonts w:hint="eastAsia" w:ascii="宋体" w:hAnsi="宋体" w:cs="宋体"/>
          <w:b/>
          <w:sz w:val="24"/>
          <w:lang w:val="en-US" w:eastAsia="zh-CN"/>
        </w:rPr>
        <w:t>无。</w:t>
      </w:r>
    </w:p>
    <w:p w14:paraId="70D14CC9">
      <w:pPr>
        <w:pStyle w:val="4"/>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有关规定</w:t>
      </w:r>
      <w:bookmarkEnd w:id="30"/>
      <w:bookmarkEnd w:id="31"/>
      <w:bookmarkEnd w:id="32"/>
      <w:bookmarkEnd w:id="33"/>
    </w:p>
    <w:p w14:paraId="5D2F431C">
      <w:pPr>
        <w:pageBreakBefore w:val="0"/>
        <w:kinsoku/>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color w:val="auto"/>
          <w:sz w:val="24"/>
          <w:szCs w:val="24"/>
          <w:highlight w:val="none"/>
        </w:rPr>
      </w:pPr>
      <w:bookmarkStart w:id="34" w:name="_Toc16480"/>
      <w:r>
        <w:rPr>
          <w:rFonts w:hint="eastAsia" w:ascii="宋体" w:hAnsi="宋体" w:eastAsia="宋体" w:cs="宋体"/>
          <w:b w:val="0"/>
          <w:bCs/>
          <w:color w:val="auto"/>
          <w:sz w:val="24"/>
          <w:szCs w:val="24"/>
          <w:highlight w:val="none"/>
        </w:rPr>
        <w:t>（一）单位负责人为同一人或者存在直接控股、管理关系的不同</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，不得参加同一合同项（包）下的政府采购活动。</w:t>
      </w:r>
    </w:p>
    <w:p w14:paraId="555618D2">
      <w:pPr>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二</w:t>
      </w:r>
      <w:r>
        <w:rPr>
          <w:rFonts w:hint="eastAsia" w:ascii="宋体" w:hAnsi="宋体" w:eastAsia="宋体" w:cs="宋体"/>
          <w:bCs/>
          <w:color w:val="auto"/>
          <w:sz w:val="24"/>
          <w:szCs w:val="24"/>
          <w:highlight w:val="none"/>
        </w:rPr>
        <w:t>）为采购项目提供整体设计、规范编制或者项目管理、监理、检测等服务的供应商，不得再参加该采购项目的其他采购活动。</w:t>
      </w:r>
    </w:p>
    <w:p w14:paraId="0C6376E0">
      <w:pPr>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三</w:t>
      </w:r>
      <w:r>
        <w:rPr>
          <w:rFonts w:hint="eastAsia" w:ascii="宋体" w:hAnsi="宋体" w:eastAsia="宋体" w:cs="宋体"/>
          <w:bCs/>
          <w:color w:val="auto"/>
          <w:sz w:val="24"/>
          <w:szCs w:val="24"/>
          <w:highlight w:val="none"/>
        </w:rPr>
        <w:t>）本项目若有澄清文件一律在</w:t>
      </w:r>
      <w:r>
        <w:rPr>
          <w:rFonts w:hint="eastAsia" w:ascii="宋体" w:hAnsi="宋体" w:eastAsia="宋体" w:cs="宋体"/>
          <w:color w:val="auto"/>
          <w:sz w:val="24"/>
          <w:szCs w:val="24"/>
          <w:highlight w:val="none"/>
        </w:rPr>
        <w:t>“行采家”平台（https://www.gec123.com）</w:t>
      </w:r>
      <w:r>
        <w:rPr>
          <w:rFonts w:hint="eastAsia" w:ascii="宋体" w:hAnsi="宋体" w:eastAsia="宋体" w:cs="宋体"/>
          <w:bCs/>
          <w:color w:val="auto"/>
          <w:sz w:val="24"/>
          <w:szCs w:val="24"/>
          <w:highlight w:val="none"/>
        </w:rPr>
        <w:t>上发布，请各供应商注意下载或到采购代理机构领取；无论供应商下载或领取与否，均视同供应商已知晓本项目澄清文件的内容。</w:t>
      </w:r>
    </w:p>
    <w:p w14:paraId="48E2A880">
      <w:pPr>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四</w:t>
      </w:r>
      <w:r>
        <w:rPr>
          <w:rFonts w:hint="eastAsia" w:ascii="宋体" w:hAnsi="宋体" w:eastAsia="宋体" w:cs="宋体"/>
          <w:bCs/>
          <w:color w:val="auto"/>
          <w:sz w:val="24"/>
          <w:szCs w:val="24"/>
          <w:highlight w:val="none"/>
        </w:rPr>
        <w:t>）超过响应截止时间递交的响应文件，恕不接收。</w:t>
      </w:r>
    </w:p>
    <w:p w14:paraId="7CED4316">
      <w:pPr>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五</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费用：无论</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结果如何，供应商参与本项目</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的所有费用均应由供应商自行承担。</w:t>
      </w:r>
    </w:p>
    <w:p w14:paraId="714C6C75">
      <w:pPr>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六</w:t>
      </w:r>
      <w:r>
        <w:rPr>
          <w:rFonts w:hint="eastAsia" w:ascii="宋体" w:hAnsi="宋体" w:eastAsia="宋体" w:cs="宋体"/>
          <w:bCs/>
          <w:color w:val="auto"/>
          <w:sz w:val="24"/>
          <w:szCs w:val="24"/>
          <w:highlight w:val="none"/>
        </w:rPr>
        <w:t>）本项目不接受联合体参与投标，否则按无效投标处理。</w:t>
      </w:r>
    </w:p>
    <w:p w14:paraId="11508992">
      <w:pPr>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七</w:t>
      </w:r>
      <w:r>
        <w:rPr>
          <w:rFonts w:hint="eastAsia" w:ascii="宋体" w:hAnsi="宋体" w:eastAsia="宋体" w:cs="宋体"/>
          <w:bCs/>
          <w:color w:val="auto"/>
          <w:sz w:val="24"/>
          <w:szCs w:val="24"/>
          <w:highlight w:val="none"/>
        </w:rPr>
        <w:t>）本项目不接受合同分包，否则按无效响应处理。</w:t>
      </w:r>
    </w:p>
    <w:p w14:paraId="3CC65853">
      <w:pPr>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八</w:t>
      </w:r>
      <w:r>
        <w:rPr>
          <w:rFonts w:hint="eastAsia" w:ascii="宋体" w:hAnsi="宋体" w:eastAsia="宋体" w:cs="宋体"/>
          <w:bCs/>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422027A1">
      <w:pPr>
        <w:pStyle w:val="4"/>
        <w:bidi w:val="0"/>
        <w:spacing w:line="360" w:lineRule="auto"/>
        <w:rPr>
          <w:rFonts w:hint="eastAsia" w:ascii="宋体" w:hAnsi="宋体" w:eastAsia="宋体" w:cs="宋体"/>
          <w:color w:val="auto"/>
          <w:sz w:val="24"/>
          <w:szCs w:val="24"/>
          <w:highlight w:val="none"/>
        </w:rPr>
      </w:pPr>
      <w:bookmarkStart w:id="35" w:name="_Toc8421"/>
      <w:bookmarkStart w:id="36" w:name="_Toc27665"/>
      <w:bookmarkStart w:id="37" w:name="_Toc2200"/>
      <w:bookmarkStart w:id="38" w:name="_Toc27583"/>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、联系方式</w:t>
      </w:r>
      <w:bookmarkEnd w:id="34"/>
      <w:bookmarkEnd w:id="35"/>
      <w:bookmarkEnd w:id="36"/>
      <w:bookmarkEnd w:id="37"/>
      <w:bookmarkEnd w:id="38"/>
    </w:p>
    <w:p w14:paraId="3DAE5C92">
      <w:pPr>
        <w:snapToGrid w:val="0"/>
        <w:spacing w:line="360" w:lineRule="auto"/>
        <w:ind w:firstLine="480" w:firstLineChars="200"/>
        <w:rPr>
          <w:rFonts w:hint="eastAsia" w:ascii="宋体" w:hAnsi="宋体" w:eastAsia="宋体" w:cs="宋体"/>
          <w:sz w:val="24"/>
          <w:szCs w:val="24"/>
          <w:lang w:val="en-US" w:eastAsia="zh-CN"/>
        </w:rPr>
      </w:pPr>
      <w:bookmarkStart w:id="39" w:name="_Toc22183"/>
      <w:bookmarkStart w:id="40" w:name="_Toc32624"/>
      <w:bookmarkStart w:id="41" w:name="_Toc20127"/>
      <w:r>
        <w:rPr>
          <w:rFonts w:hint="eastAsia" w:ascii="宋体" w:hAnsi="宋体" w:eastAsia="宋体" w:cs="宋体"/>
          <w:sz w:val="24"/>
          <w:szCs w:val="24"/>
        </w:rPr>
        <w:t>（一）采购人：</w:t>
      </w:r>
      <w:r>
        <w:rPr>
          <w:rFonts w:hint="eastAsia" w:ascii="宋体" w:hAnsi="宋体" w:eastAsia="宋体" w:cs="宋体"/>
          <w:sz w:val="24"/>
          <w:szCs w:val="24"/>
          <w:lang w:eastAsia="zh-CN"/>
        </w:rPr>
        <w:t>重庆市沙坪坝区城市排水设施管理处</w:t>
      </w:r>
    </w:p>
    <w:p w14:paraId="16AC4298">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李老师</w:t>
      </w:r>
    </w:p>
    <w:p w14:paraId="3436B508">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电  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023-61511010</w:t>
      </w:r>
    </w:p>
    <w:p w14:paraId="522A8AA8">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地  址：</w:t>
      </w:r>
      <w:bookmarkStart w:id="42" w:name="OLE_LINK5"/>
      <w:r>
        <w:rPr>
          <w:rFonts w:hint="eastAsia" w:ascii="宋体" w:hAnsi="宋体" w:eastAsia="宋体" w:cs="宋体"/>
          <w:sz w:val="24"/>
          <w:szCs w:val="24"/>
          <w:lang w:eastAsia="zh-CN"/>
        </w:rPr>
        <w:t>重庆市沙坪坝区溪凤路临2号</w:t>
      </w:r>
      <w:bookmarkEnd w:id="42"/>
    </w:p>
    <w:p w14:paraId="211EEA17">
      <w:pPr>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（二）采购代理机构：</w:t>
      </w:r>
      <w:r>
        <w:rPr>
          <w:rFonts w:hint="eastAsia" w:ascii="宋体" w:hAnsi="宋体" w:eastAsia="宋体" w:cs="宋体"/>
          <w:sz w:val="24"/>
          <w:szCs w:val="24"/>
          <w:lang w:eastAsia="zh-CN"/>
        </w:rPr>
        <w:t>重庆恒泰工程技术服务有限公司</w:t>
      </w:r>
    </w:p>
    <w:p w14:paraId="49505031">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曾</w:t>
      </w:r>
      <w:r>
        <w:rPr>
          <w:rFonts w:hint="eastAsia" w:ascii="宋体" w:hAnsi="宋体" w:eastAsia="宋体" w:cs="宋体"/>
          <w:sz w:val="24"/>
          <w:szCs w:val="24"/>
        </w:rPr>
        <w:t>老师</w:t>
      </w:r>
    </w:p>
    <w:p w14:paraId="4F42D69B">
      <w:pPr>
        <w:snapToGrid w:val="0"/>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rPr>
        <w:t>电  话：023-</w:t>
      </w:r>
      <w:r>
        <w:rPr>
          <w:rFonts w:hint="eastAsia" w:ascii="宋体" w:hAnsi="宋体" w:eastAsia="宋体" w:cs="宋体"/>
          <w:sz w:val="24"/>
          <w:szCs w:val="24"/>
          <w:lang w:val="en-US" w:eastAsia="zh-CN"/>
        </w:rPr>
        <w:t>65451822</w:t>
      </w:r>
    </w:p>
    <w:p w14:paraId="2C6F90DC">
      <w:pPr>
        <w:snapToGrid w:val="0"/>
        <w:spacing w:line="360" w:lineRule="auto"/>
        <w:ind w:firstLine="480" w:firstLineChars="200"/>
        <w:rPr>
          <w:rFonts w:hint="eastAsia" w:ascii="宋体" w:hAnsi="宋体" w:eastAsia="宋体" w:cs="宋体"/>
          <w:sz w:val="24"/>
          <w:szCs w:val="24"/>
        </w:rPr>
        <w:sectPr>
          <w:footerReference r:id="rId5" w:type="default"/>
          <w:pgSz w:w="11907" w:h="16840"/>
          <w:pgMar w:top="1327" w:right="1140" w:bottom="1327" w:left="1140" w:header="851" w:footer="850" w:gutter="0"/>
          <w:pgNumType w:fmt="numberInDash" w:start="1"/>
          <w:cols w:space="720" w:num="1"/>
          <w:docGrid w:linePitch="380" w:charSpace="-5735"/>
        </w:sectPr>
      </w:pPr>
      <w:r>
        <w:rPr>
          <w:rFonts w:hint="eastAsia" w:ascii="宋体" w:hAnsi="宋体" w:eastAsia="宋体" w:cs="宋体"/>
          <w:sz w:val="24"/>
          <w:szCs w:val="24"/>
        </w:rPr>
        <w:t>地</w:t>
      </w:r>
      <w:r>
        <w:rPr>
          <w:rFonts w:hint="eastAsia" w:ascii="宋体" w:hAnsi="宋体" w:eastAsia="宋体" w:cs="宋体"/>
          <w:sz w:val="24"/>
          <w:szCs w:val="24"/>
          <w:lang w:eastAsia="zh-CN"/>
        </w:rPr>
        <w:t xml:space="preserve">  址：重庆市沙坪坝区小龙坎正街168号嘉新大厦12-3</w:t>
      </w:r>
    </w:p>
    <w:bookmarkEnd w:id="29"/>
    <w:bookmarkEnd w:id="39"/>
    <w:bookmarkEnd w:id="40"/>
    <w:bookmarkEnd w:id="41"/>
    <w:p w14:paraId="67453CF4">
      <w:pPr>
        <w:pStyle w:val="3"/>
        <w:bidi w:val="0"/>
        <w:spacing w:line="360" w:lineRule="auto"/>
        <w:jc w:val="center"/>
        <w:rPr>
          <w:rFonts w:hint="eastAsia" w:ascii="宋体" w:hAnsi="宋体" w:eastAsia="宋体" w:cs="宋体"/>
          <w:color w:val="auto"/>
          <w:highlight w:val="none"/>
          <w:lang w:val="en-US" w:eastAsia="zh-CN"/>
        </w:rPr>
      </w:pPr>
      <w:bookmarkStart w:id="43" w:name="_Toc26099"/>
      <w:bookmarkStart w:id="44" w:name="_Toc13904"/>
      <w:bookmarkStart w:id="45" w:name="_Toc19444"/>
      <w:bookmarkStart w:id="46" w:name="_Toc12349"/>
      <w:bookmarkStart w:id="47" w:name="_Toc30927"/>
      <w:bookmarkStart w:id="48" w:name="_Toc14076"/>
      <w:bookmarkStart w:id="49" w:name="_Toc7873"/>
      <w:r>
        <w:rPr>
          <w:rFonts w:hint="eastAsia" w:ascii="宋体" w:hAnsi="宋体" w:eastAsia="宋体" w:cs="宋体"/>
          <w:color w:val="auto"/>
          <w:highlight w:val="none"/>
          <w:lang w:val="en-US" w:eastAsia="zh-CN"/>
        </w:rPr>
        <w:t>第二篇  项目服务需求</w:t>
      </w:r>
      <w:bookmarkEnd w:id="43"/>
    </w:p>
    <w:bookmarkEnd w:id="44"/>
    <w:bookmarkEnd w:id="45"/>
    <w:bookmarkEnd w:id="46"/>
    <w:bookmarkEnd w:id="47"/>
    <w:p w14:paraId="38880394">
      <w:pPr>
        <w:pStyle w:val="4"/>
        <w:adjustRightInd w:val="0"/>
        <w:snapToGrid w:val="0"/>
        <w:spacing w:line="400" w:lineRule="exact"/>
        <w:ind w:firstLine="482" w:firstLineChars="200"/>
        <w:outlineLvl w:val="1"/>
        <w:rPr>
          <w:rFonts w:hint="eastAsia" w:ascii="宋体" w:hAnsi="宋体" w:eastAsia="宋体" w:cs="宋体"/>
          <w:sz w:val="24"/>
          <w:szCs w:val="24"/>
          <w:lang w:eastAsia="zh-CN"/>
        </w:rPr>
      </w:pPr>
      <w:bookmarkStart w:id="50" w:name="_Toc23616"/>
      <w:bookmarkStart w:id="51" w:name="_Toc76462325"/>
      <w:bookmarkStart w:id="52" w:name="_Toc76462327"/>
      <w:bookmarkStart w:id="53" w:name="_Toc12789058"/>
      <w:bookmarkStart w:id="54" w:name="_Toc17752"/>
      <w:bookmarkStart w:id="55" w:name="_Toc9962"/>
      <w:bookmarkStart w:id="56" w:name="_Toc10402"/>
      <w:bookmarkStart w:id="57" w:name="_Toc29058"/>
      <w:bookmarkStart w:id="58" w:name="_Toc1902"/>
      <w:bookmarkStart w:id="59" w:name="_Toc12633"/>
      <w:bookmarkStart w:id="60" w:name="_Toc8493"/>
      <w:r>
        <w:rPr>
          <w:rFonts w:hint="eastAsia" w:ascii="宋体" w:hAnsi="宋体" w:eastAsia="宋体" w:cs="宋体"/>
          <w:sz w:val="24"/>
          <w:szCs w:val="24"/>
        </w:rPr>
        <w:t>一、</w:t>
      </w:r>
      <w:bookmarkEnd w:id="50"/>
      <w:bookmarkEnd w:id="51"/>
      <w:r>
        <w:rPr>
          <w:rFonts w:hint="eastAsia" w:ascii="宋体" w:hAnsi="宋体" w:eastAsia="宋体" w:cs="宋体"/>
          <w:sz w:val="24"/>
          <w:szCs w:val="24"/>
          <w:lang w:eastAsia="zh-CN"/>
        </w:rPr>
        <w:t>项目一览表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9"/>
        <w:gridCol w:w="3048"/>
        <w:gridCol w:w="2569"/>
      </w:tblGrid>
      <w:tr w14:paraId="0CDB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3919" w:type="dxa"/>
            <w:tcBorders>
              <w:top w:val="single" w:color="auto" w:sz="4" w:space="0"/>
              <w:left w:val="single" w:color="auto" w:sz="4" w:space="0"/>
              <w:right w:val="single" w:color="auto" w:sz="4" w:space="0"/>
            </w:tcBorders>
            <w:noWrap w:val="0"/>
            <w:vAlign w:val="center"/>
          </w:tcPr>
          <w:p w14:paraId="6D7128AC">
            <w:pPr>
              <w:pageBreakBefore w:val="0"/>
              <w:kinsoku/>
              <w:wordWrap/>
              <w:overflowPunct/>
              <w:topLinePunct w:val="0"/>
              <w:autoSpaceDE/>
              <w:autoSpaceDN/>
              <w:bidi w:val="0"/>
              <w:spacing w:line="240" w:lineRule="auto"/>
              <w:ind w:firstLine="1476" w:firstLineChars="7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项目名称</w:t>
            </w:r>
          </w:p>
        </w:tc>
        <w:tc>
          <w:tcPr>
            <w:tcW w:w="3048" w:type="dxa"/>
            <w:tcBorders>
              <w:top w:val="single" w:color="auto" w:sz="4" w:space="0"/>
              <w:left w:val="single" w:color="auto" w:sz="4" w:space="0"/>
              <w:right w:val="single" w:color="auto" w:sz="4" w:space="0"/>
            </w:tcBorders>
            <w:noWrap w:val="0"/>
            <w:vAlign w:val="center"/>
          </w:tcPr>
          <w:p w14:paraId="23888BB9">
            <w:pPr>
              <w:pageBreakBefore w:val="0"/>
              <w:kinsoku/>
              <w:wordWrap/>
              <w:overflowPunct/>
              <w:topLinePunct w:val="0"/>
              <w:autoSpaceDE/>
              <w:autoSpaceDN/>
              <w:bidi w:val="0"/>
              <w:spacing w:line="240" w:lineRule="auto"/>
              <w:ind w:firstLine="1054" w:firstLineChars="5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数量/单位</w:t>
            </w:r>
          </w:p>
        </w:tc>
        <w:tc>
          <w:tcPr>
            <w:tcW w:w="2569" w:type="dxa"/>
            <w:tcBorders>
              <w:top w:val="single" w:color="auto" w:sz="4" w:space="0"/>
              <w:left w:val="single" w:color="auto" w:sz="4" w:space="0"/>
              <w:right w:val="single" w:color="auto" w:sz="4" w:space="0"/>
            </w:tcBorders>
            <w:noWrap w:val="0"/>
            <w:vAlign w:val="center"/>
          </w:tcPr>
          <w:p w14:paraId="44EAE56B">
            <w:pPr>
              <w:pageBreakBefore w:val="0"/>
              <w:kinsoku/>
              <w:wordWrap/>
              <w:overflowPunct/>
              <w:topLinePunct w:val="0"/>
              <w:autoSpaceDE/>
              <w:autoSpaceDN/>
              <w:bidi w:val="0"/>
              <w:spacing w:line="240" w:lineRule="auto"/>
              <w:ind w:firstLine="1054" w:firstLineChars="5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14:paraId="7A3C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3919" w:type="dxa"/>
            <w:tcBorders>
              <w:top w:val="single" w:color="auto" w:sz="4" w:space="0"/>
              <w:left w:val="single" w:color="auto" w:sz="4" w:space="0"/>
              <w:right w:val="single" w:color="auto" w:sz="4" w:space="0"/>
            </w:tcBorders>
            <w:noWrap w:val="0"/>
            <w:vAlign w:val="center"/>
          </w:tcPr>
          <w:p w14:paraId="551A53EE">
            <w:pPr>
              <w:snapToGrid w:val="0"/>
              <w:spacing w:line="40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排水处食堂外包服务</w:t>
            </w:r>
          </w:p>
        </w:tc>
        <w:tc>
          <w:tcPr>
            <w:tcW w:w="3048" w:type="dxa"/>
            <w:tcBorders>
              <w:top w:val="single" w:color="auto" w:sz="4" w:space="0"/>
              <w:left w:val="single" w:color="auto" w:sz="4" w:space="0"/>
              <w:right w:val="single" w:color="auto" w:sz="4" w:space="0"/>
            </w:tcBorders>
            <w:noWrap w:val="0"/>
            <w:vAlign w:val="center"/>
          </w:tcPr>
          <w:p w14:paraId="0EFDEC72">
            <w:pPr>
              <w:snapToGrid w:val="0"/>
              <w:spacing w:line="400" w:lineRule="exact"/>
              <w:ind w:firstLine="480" w:firstLineChars="20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1项</w:t>
            </w:r>
          </w:p>
        </w:tc>
        <w:tc>
          <w:tcPr>
            <w:tcW w:w="2569" w:type="dxa"/>
            <w:tcBorders>
              <w:top w:val="single" w:color="auto" w:sz="4" w:space="0"/>
              <w:left w:val="single" w:color="auto" w:sz="4" w:space="0"/>
              <w:right w:val="single" w:color="auto" w:sz="4" w:space="0"/>
            </w:tcBorders>
            <w:noWrap w:val="0"/>
            <w:vAlign w:val="center"/>
          </w:tcPr>
          <w:p w14:paraId="653B9A3C">
            <w:pPr>
              <w:snapToGrid w:val="0"/>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食堂预估用餐人数每日约35人左右。 </w:t>
            </w:r>
          </w:p>
        </w:tc>
      </w:tr>
      <w:bookmarkEnd w:id="52"/>
      <w:bookmarkEnd w:id="53"/>
      <w:bookmarkEnd w:id="54"/>
    </w:tbl>
    <w:p w14:paraId="30796AF0">
      <w:pPr>
        <w:pStyle w:val="2"/>
        <w:spacing w:before="0" w:after="0" w:line="360" w:lineRule="auto"/>
        <w:ind w:firstLine="482" w:firstLineChars="200"/>
        <w:rPr>
          <w:rFonts w:hint="eastAsia" w:ascii="宋体" w:hAnsi="宋体" w:eastAsia="宋体" w:cs="宋体"/>
          <w:color w:val="auto"/>
          <w:sz w:val="24"/>
          <w:szCs w:val="24"/>
          <w:lang w:eastAsia="zh-CN"/>
        </w:rPr>
      </w:pPr>
      <w:bookmarkStart w:id="61" w:name="_Toc6483"/>
      <w:r>
        <w:rPr>
          <w:rFonts w:hint="eastAsia" w:ascii="宋体" w:hAnsi="宋体" w:cs="宋体"/>
          <w:color w:val="auto"/>
          <w:sz w:val="24"/>
          <w:szCs w:val="24"/>
        </w:rPr>
        <w:t>二、</w:t>
      </w:r>
      <w:r>
        <w:rPr>
          <w:rFonts w:hint="eastAsia" w:ascii="宋体" w:hAnsi="宋体" w:cs="宋体"/>
          <w:color w:val="auto"/>
          <w:sz w:val="24"/>
          <w:szCs w:val="24"/>
          <w:lang w:eastAsia="zh-CN"/>
        </w:rPr>
        <w:t>项目服务内容及要求</w:t>
      </w:r>
      <w:bookmarkEnd w:id="61"/>
    </w:p>
    <w:p w14:paraId="46E11963">
      <w:pPr>
        <w:snapToGrid w:val="0"/>
        <w:spacing w:line="360" w:lineRule="auto"/>
        <w:ind w:right="38"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（一）基本情况</w:t>
      </w:r>
    </w:p>
    <w:p w14:paraId="4F32A63E">
      <w:pPr>
        <w:snapToGrid w:val="0"/>
        <w:spacing w:line="360" w:lineRule="auto"/>
        <w:ind w:right="38"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主要为职工提供</w:t>
      </w:r>
      <w:r>
        <w:rPr>
          <w:rFonts w:hint="eastAsia" w:ascii="宋体" w:hAnsi="宋体" w:eastAsia="宋体" w:cs="宋体"/>
          <w:color w:val="auto"/>
          <w:sz w:val="24"/>
          <w:szCs w:val="24"/>
          <w:lang w:eastAsia="zh-CN"/>
        </w:rPr>
        <w:t>全年（</w:t>
      </w:r>
      <w:r>
        <w:rPr>
          <w:rFonts w:hint="eastAsia" w:ascii="宋体" w:hAnsi="宋体" w:eastAsia="宋体" w:cs="宋体"/>
          <w:color w:val="auto"/>
          <w:sz w:val="24"/>
          <w:szCs w:val="24"/>
          <w:lang w:val="en-US" w:eastAsia="zh-CN"/>
        </w:rPr>
        <w:t>不</w:t>
      </w:r>
      <w:r>
        <w:rPr>
          <w:rFonts w:hint="eastAsia" w:ascii="宋体" w:hAnsi="宋体" w:eastAsia="宋体" w:cs="宋体"/>
          <w:color w:val="auto"/>
          <w:sz w:val="24"/>
          <w:szCs w:val="24"/>
          <w:lang w:eastAsia="zh-CN"/>
        </w:rPr>
        <w:t>包括周末节假日）</w:t>
      </w:r>
      <w:r>
        <w:rPr>
          <w:rFonts w:hint="eastAsia" w:ascii="宋体" w:hAnsi="宋体" w:eastAsia="宋体" w:cs="宋体"/>
          <w:color w:val="auto"/>
          <w:sz w:val="24"/>
          <w:szCs w:val="24"/>
        </w:rPr>
        <w:t>早、中</w:t>
      </w:r>
      <w:r>
        <w:rPr>
          <w:rFonts w:hint="eastAsia" w:ascii="宋体" w:hAnsi="宋体" w:cs="宋体"/>
          <w:color w:val="auto"/>
          <w:sz w:val="24"/>
          <w:szCs w:val="24"/>
          <w:lang w:val="en-US" w:eastAsia="zh-CN"/>
        </w:rPr>
        <w:t>餐</w:t>
      </w:r>
      <w:r>
        <w:rPr>
          <w:rFonts w:hint="eastAsia" w:ascii="宋体" w:hAnsi="宋体" w:eastAsia="宋体" w:cs="宋体"/>
          <w:color w:val="auto"/>
          <w:sz w:val="24"/>
          <w:szCs w:val="24"/>
        </w:rPr>
        <w:t>，早餐（早上7:20-9:00）原则上以粥、馒头、包子、面条（各类臊子）、饺子、抄手、粗粮、蔬菜、油条、豆浆、咸菜等；午餐（11:30-13:00）原则上二荤二素一汤。</w:t>
      </w:r>
      <w:r>
        <w:rPr>
          <w:rFonts w:hint="eastAsia" w:ascii="宋体" w:hAnsi="宋体" w:eastAsia="宋体" w:cs="宋体"/>
          <w:color w:val="auto"/>
          <w:sz w:val="24"/>
          <w:szCs w:val="24"/>
          <w:lang w:eastAsia="zh-CN"/>
        </w:rPr>
        <w:t>特殊用餐</w:t>
      </w:r>
      <w:r>
        <w:rPr>
          <w:rFonts w:hint="eastAsia" w:ascii="宋体" w:hAnsi="宋体" w:eastAsia="宋体" w:cs="宋体"/>
          <w:color w:val="auto"/>
          <w:sz w:val="24"/>
          <w:szCs w:val="24"/>
        </w:rPr>
        <w:t>，按采购人实际要求确定，需根据采购人要求制定菜肴清单，经过采购人审核认可后执行。</w:t>
      </w:r>
    </w:p>
    <w:p w14:paraId="60737EA0">
      <w:pPr>
        <w:snapToGrid w:val="0"/>
        <w:spacing w:line="360" w:lineRule="auto"/>
        <w:ind w:right="38"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（二）项目基本要求</w:t>
      </w:r>
    </w:p>
    <w:p w14:paraId="1464826F">
      <w:pPr>
        <w:snapToGrid w:val="0"/>
        <w:spacing w:line="360" w:lineRule="auto"/>
        <w:ind w:right="38"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1.餐饮服务</w:t>
      </w:r>
    </w:p>
    <w:p w14:paraId="26C8C8A6">
      <w:pPr>
        <w:snapToGrid w:val="0"/>
        <w:spacing w:line="360" w:lineRule="auto"/>
        <w:ind w:right="38"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（1）为采购人提供日常用餐、接待用餐的膳食安排和厨师团队管理，提出食材采购计划、菜单制作、进行食材清洗、加工、制作等相关食堂餐饮服务。</w:t>
      </w:r>
    </w:p>
    <w:p w14:paraId="1067797A">
      <w:pPr>
        <w:snapToGrid w:val="0"/>
        <w:spacing w:line="360" w:lineRule="auto"/>
        <w:ind w:right="38"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结合用餐人员的大众饮食习惯，制定菜谱，并定期进行更换。负责每周制定一次菜谱（每月至少1个创新菜），并于每周日提供下周菜谱给采购人审核，如重大传统节日的早中餐等，食堂菜品可体现节日特色。根据食谱拟定采购计划，严格控制成本，杜绝浪费。</w:t>
      </w:r>
    </w:p>
    <w:p w14:paraId="68BACB28">
      <w:pPr>
        <w:snapToGrid w:val="0"/>
        <w:spacing w:line="360" w:lineRule="auto"/>
        <w:ind w:right="38"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（3）岗位设置：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名，1名红案厨师、1名白案厨师。</w:t>
      </w:r>
    </w:p>
    <w:p w14:paraId="75522418">
      <w:pPr>
        <w:snapToGrid w:val="0"/>
        <w:spacing w:line="360" w:lineRule="auto"/>
        <w:ind w:right="38"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（4）具有可操作的食品加工与服务保障措施，绩效考核和成本控制办法，确保季度考核达到80分及以上</w:t>
      </w:r>
      <w:r>
        <w:rPr>
          <w:rFonts w:hint="eastAsia" w:ascii="宋体" w:hAnsi="宋体" w:eastAsia="宋体" w:cs="宋体"/>
          <w:color w:val="auto"/>
          <w:sz w:val="24"/>
          <w:szCs w:val="24"/>
          <w:lang w:eastAsia="zh-CN"/>
        </w:rPr>
        <w:t>。</w:t>
      </w:r>
    </w:p>
    <w:p w14:paraId="15443389">
      <w:pPr>
        <w:snapToGrid w:val="0"/>
        <w:spacing w:line="360" w:lineRule="auto"/>
        <w:ind w:right="38"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（5）所有食材由采购人提供，供应商安排专人与采购人食堂工作人员共同负责验收，确保符合食品质量及安全卫生相关要求，供应商所派人员应具有食品检验能力</w:t>
      </w:r>
      <w:r>
        <w:rPr>
          <w:rFonts w:hint="eastAsia" w:ascii="宋体" w:hAnsi="宋体" w:eastAsia="宋体" w:cs="宋体"/>
          <w:color w:val="auto"/>
          <w:sz w:val="24"/>
          <w:szCs w:val="24"/>
          <w:lang w:eastAsia="zh-CN"/>
        </w:rPr>
        <w:t>。</w:t>
      </w:r>
    </w:p>
    <w:p w14:paraId="37337A28">
      <w:pPr>
        <w:snapToGrid w:val="0"/>
        <w:spacing w:line="360" w:lineRule="auto"/>
        <w:ind w:right="38"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（6）负责就餐秩序管理，监督就餐人员打卡，以及相关人员就餐登记、人数统计等工作</w:t>
      </w:r>
      <w:r>
        <w:rPr>
          <w:rFonts w:hint="eastAsia" w:ascii="宋体" w:hAnsi="宋体" w:eastAsia="宋体" w:cs="宋体"/>
          <w:color w:val="auto"/>
          <w:sz w:val="24"/>
          <w:szCs w:val="24"/>
          <w:lang w:eastAsia="zh-CN"/>
        </w:rPr>
        <w:t>。</w:t>
      </w:r>
    </w:p>
    <w:p w14:paraId="5B14B9C3">
      <w:pPr>
        <w:snapToGrid w:val="0"/>
        <w:spacing w:line="360" w:lineRule="auto"/>
        <w:ind w:right="38"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（7）食品及菜品须按相关规定留样备查并做好记录。</w:t>
      </w:r>
    </w:p>
    <w:p w14:paraId="0D1D6B8D">
      <w:pPr>
        <w:snapToGrid w:val="0"/>
        <w:spacing w:line="360" w:lineRule="auto"/>
        <w:ind w:right="38"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（8）负责食堂厨房和餐厅清洁卫生。</w:t>
      </w:r>
    </w:p>
    <w:p w14:paraId="661979DA">
      <w:pPr>
        <w:snapToGrid w:val="0"/>
        <w:spacing w:line="360" w:lineRule="auto"/>
        <w:ind w:right="38"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2.食品安全</w:t>
      </w:r>
    </w:p>
    <w:p w14:paraId="2916771A">
      <w:pPr>
        <w:snapToGrid w:val="0"/>
        <w:spacing w:line="360" w:lineRule="auto"/>
        <w:ind w:right="38"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（1）有明确的食品安全管理组织机构，建立食品安全管理制度并上墙，做到人员、职责、经费、措施、预案五落实。</w:t>
      </w:r>
    </w:p>
    <w:p w14:paraId="5D900591">
      <w:pPr>
        <w:snapToGrid w:val="0"/>
        <w:spacing w:line="360" w:lineRule="auto"/>
        <w:ind w:right="38"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（2）有明确的可操作的食品加工操作规范，以及食品安全保障措施和食品验收与存储管理制度。</w:t>
      </w:r>
    </w:p>
    <w:p w14:paraId="0DDE2159">
      <w:pPr>
        <w:snapToGrid w:val="0"/>
        <w:spacing w:line="360" w:lineRule="auto"/>
        <w:ind w:right="38"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（3）有明确的可操作的食品安全风控机制和应急预案。</w:t>
      </w:r>
    </w:p>
    <w:p w14:paraId="2116B80C">
      <w:pPr>
        <w:snapToGrid w:val="0"/>
        <w:spacing w:line="360" w:lineRule="auto"/>
        <w:ind w:right="38"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（4）有明确的可操作的员工教育培训、考核评价制度。</w:t>
      </w:r>
    </w:p>
    <w:p w14:paraId="27188B91">
      <w:pPr>
        <w:snapToGrid w:val="0"/>
        <w:spacing w:line="360" w:lineRule="auto"/>
        <w:ind w:right="38"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3.安全保卫</w:t>
      </w:r>
    </w:p>
    <w:p w14:paraId="100070A3">
      <w:pPr>
        <w:snapToGrid w:val="0"/>
        <w:spacing w:line="360" w:lineRule="auto"/>
        <w:ind w:right="38"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有明确的可操作的安保措施，确保项目采购人公私财物、食堂设施设备、食品安全、就餐秩序、消防等绝对安全。</w:t>
      </w:r>
    </w:p>
    <w:p w14:paraId="6C7F0134">
      <w:pPr>
        <w:snapToGrid w:val="0"/>
        <w:spacing w:line="360" w:lineRule="auto"/>
        <w:ind w:right="38"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4.节能环保</w:t>
      </w:r>
    </w:p>
    <w:p w14:paraId="4D3856CC">
      <w:pPr>
        <w:snapToGrid w:val="0"/>
        <w:spacing w:line="360" w:lineRule="auto"/>
        <w:ind w:right="38"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节约用水、用电、用气，科学合理节材，落实反食品浪费相关规定。</w:t>
      </w:r>
    </w:p>
    <w:p w14:paraId="53221FEC">
      <w:pPr>
        <w:snapToGrid w:val="0"/>
        <w:spacing w:line="360" w:lineRule="auto"/>
        <w:ind w:right="38"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5.其他要求</w:t>
      </w:r>
    </w:p>
    <w:p w14:paraId="053FCE8C">
      <w:pPr>
        <w:snapToGrid w:val="0"/>
        <w:spacing w:line="360" w:lineRule="auto"/>
        <w:ind w:right="38"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（1）供应商所派遣的人员必须身体健康且持有健康体检合格证</w:t>
      </w:r>
      <w:r>
        <w:rPr>
          <w:rFonts w:hint="eastAsia" w:ascii="宋体" w:hAnsi="宋体" w:eastAsia="宋体" w:cs="宋体"/>
          <w:color w:val="auto"/>
          <w:sz w:val="24"/>
          <w:szCs w:val="24"/>
          <w:lang w:eastAsia="zh-CN"/>
        </w:rPr>
        <w:t>（上岗前需提供健康证明原件至采购人处审核）</w:t>
      </w:r>
      <w:r>
        <w:rPr>
          <w:rFonts w:hint="eastAsia" w:ascii="宋体" w:hAnsi="宋体" w:eastAsia="宋体" w:cs="宋体"/>
          <w:color w:val="auto"/>
          <w:sz w:val="24"/>
          <w:szCs w:val="24"/>
        </w:rPr>
        <w:t>，必须统一着装（白色工作衣、帽、戴口罩，工作服由供应商自行采购）；所有工作人员须经过业务培训。</w:t>
      </w:r>
    </w:p>
    <w:p w14:paraId="63FBF00C">
      <w:pPr>
        <w:snapToGrid w:val="0"/>
        <w:spacing w:line="360" w:lineRule="auto"/>
        <w:ind w:right="38"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供应商必须具备规范管理能力。所有工作人员须服从采购人管理，接受采购人考核，遵纪守法，严格执行《食品卫生法》和采购人的规章制度，支持和配合采购人各项工作，完善各种记录，并主动接受各级各部门及采购人的相关检查。</w:t>
      </w:r>
    </w:p>
    <w:p w14:paraId="3DC2F700">
      <w:pPr>
        <w:snapToGrid w:val="0"/>
        <w:spacing w:line="360" w:lineRule="auto"/>
        <w:ind w:right="38"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（3）采购人将食材交给供应商后，因食品烹饪、存储、加工、制作等造成的安全问题全部由供应商负责，并承担其行政、经济、法律等全部责任。</w:t>
      </w:r>
    </w:p>
    <w:p w14:paraId="566361BE">
      <w:pPr>
        <w:snapToGrid w:val="0"/>
        <w:spacing w:line="360" w:lineRule="auto"/>
        <w:ind w:right="38"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6.以上条款和服务承诺，供应商必须在响应文件上明确列出，承诺内容必须达到本篇及招标文件其他条款的要求。</w:t>
      </w:r>
    </w:p>
    <w:p w14:paraId="6CFAD431">
      <w:pPr>
        <w:snapToGrid w:val="0"/>
        <w:spacing w:line="360" w:lineRule="auto"/>
        <w:ind w:right="38"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（三）服务工作内容</w:t>
      </w:r>
    </w:p>
    <w:p w14:paraId="621B715A">
      <w:pPr>
        <w:snapToGrid w:val="0"/>
        <w:spacing w:line="360" w:lineRule="auto"/>
        <w:ind w:right="38"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1.餐饮服务工作</w:t>
      </w:r>
    </w:p>
    <w:p w14:paraId="285BDC1B">
      <w:pPr>
        <w:snapToGrid w:val="0"/>
        <w:spacing w:line="360" w:lineRule="auto"/>
        <w:ind w:right="38"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（1）服务热情周到，食品营养安全，色香味形兼具。</w:t>
      </w:r>
    </w:p>
    <w:p w14:paraId="3A2A07EE">
      <w:pPr>
        <w:snapToGrid w:val="0"/>
        <w:spacing w:line="360" w:lineRule="auto"/>
        <w:ind w:right="38"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（2）岗位、人数安排合理，内部管理制度健全，工作高效，服务优秀，甲乙双方合作和谐，就餐者满意度高，打造名副其实的健康食堂、暖心食堂。</w:t>
      </w:r>
    </w:p>
    <w:p w14:paraId="71C4001A">
      <w:pPr>
        <w:snapToGrid w:val="0"/>
        <w:spacing w:line="360" w:lineRule="auto"/>
        <w:ind w:right="38"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（3）按餐饮规范要求做好食堂清洁卫生。</w:t>
      </w:r>
    </w:p>
    <w:p w14:paraId="2A403D31">
      <w:pPr>
        <w:snapToGrid w:val="0"/>
        <w:spacing w:line="360" w:lineRule="auto"/>
        <w:ind w:right="38"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2.食品安全工作</w:t>
      </w:r>
    </w:p>
    <w:p w14:paraId="52864363">
      <w:pPr>
        <w:snapToGrid w:val="0"/>
        <w:spacing w:line="360" w:lineRule="auto"/>
        <w:ind w:right="38"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（1）重视食品安全工作，强化从业人员食品安全意识。</w:t>
      </w:r>
    </w:p>
    <w:p w14:paraId="67A52A3A">
      <w:pPr>
        <w:snapToGrid w:val="0"/>
        <w:spacing w:line="360" w:lineRule="auto"/>
        <w:ind w:right="38"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（2）健全食品安全管理与执行考核制度，建立食品安全风控机制和应急处置预案。</w:t>
      </w:r>
    </w:p>
    <w:p w14:paraId="21C0E8D4">
      <w:pPr>
        <w:snapToGrid w:val="0"/>
        <w:spacing w:line="360" w:lineRule="auto"/>
        <w:ind w:right="38"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（3）确保食品验货、加工、存储的绝对安全，实现零事故目标。</w:t>
      </w:r>
    </w:p>
    <w:p w14:paraId="31745920">
      <w:pPr>
        <w:snapToGrid w:val="0"/>
        <w:spacing w:line="360" w:lineRule="auto"/>
        <w:ind w:right="38"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（4）实现生熟分开操作，食品自己加工。</w:t>
      </w:r>
    </w:p>
    <w:p w14:paraId="65751898">
      <w:pPr>
        <w:snapToGrid w:val="0"/>
        <w:spacing w:line="360" w:lineRule="auto"/>
        <w:ind w:right="38"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3.安全工作</w:t>
      </w:r>
    </w:p>
    <w:p w14:paraId="36F2A2BB">
      <w:pPr>
        <w:snapToGrid w:val="0"/>
        <w:spacing w:line="360" w:lineRule="auto"/>
        <w:ind w:right="38"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包括食堂财产物资、设施设备、就餐秩序</w:t>
      </w:r>
      <w:r>
        <w:rPr>
          <w:rFonts w:hint="eastAsia" w:ascii="宋体" w:hAnsi="宋体" w:eastAsia="宋体" w:cs="宋体"/>
          <w:color w:val="auto"/>
          <w:sz w:val="24"/>
          <w:szCs w:val="24"/>
          <w:lang w:eastAsia="zh-CN"/>
        </w:rPr>
        <w:t>的安全</w:t>
      </w:r>
      <w:r>
        <w:rPr>
          <w:rFonts w:hint="eastAsia" w:ascii="宋体" w:hAnsi="宋体" w:eastAsia="宋体" w:cs="宋体"/>
          <w:color w:val="auto"/>
          <w:sz w:val="24"/>
          <w:szCs w:val="24"/>
        </w:rPr>
        <w:t>，对职工食堂重点部位的巡视，按要求做好食堂消防安全等。</w:t>
      </w:r>
    </w:p>
    <w:p w14:paraId="47DF218D">
      <w:pPr>
        <w:snapToGrid w:val="0"/>
        <w:spacing w:line="360" w:lineRule="auto"/>
        <w:ind w:right="38"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4.负责</w:t>
      </w:r>
      <w:r>
        <w:rPr>
          <w:rFonts w:hint="eastAsia" w:ascii="宋体" w:hAnsi="宋体" w:eastAsia="宋体" w:cs="宋体"/>
          <w:color w:val="auto"/>
          <w:sz w:val="24"/>
          <w:szCs w:val="24"/>
        </w:rPr>
        <w:t>食堂内部及周边外环境的清洁</w:t>
      </w:r>
      <w:r>
        <w:rPr>
          <w:rFonts w:hint="eastAsia" w:ascii="宋体" w:hAnsi="宋体" w:eastAsia="宋体" w:cs="宋体"/>
          <w:color w:val="auto"/>
          <w:sz w:val="24"/>
          <w:szCs w:val="24"/>
          <w:lang w:eastAsia="zh-CN"/>
        </w:rPr>
        <w:t>。</w:t>
      </w:r>
    </w:p>
    <w:p w14:paraId="1564151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F99FA">
      <w:pPr>
        <w:pStyle w:val="3"/>
        <w:bidi w:val="0"/>
        <w:spacing w:line="360" w:lineRule="auto"/>
        <w:jc w:val="center"/>
        <w:rPr>
          <w:rFonts w:hint="eastAsia" w:ascii="宋体" w:hAnsi="宋体" w:eastAsia="宋体" w:cs="宋体"/>
          <w:color w:val="auto"/>
          <w:highlight w:val="none"/>
          <w:lang w:val="en-US" w:eastAsia="zh-CN"/>
        </w:rPr>
      </w:pPr>
      <w:bookmarkStart w:id="62" w:name="_Toc3088"/>
      <w:r>
        <w:rPr>
          <w:rFonts w:hint="eastAsia" w:ascii="宋体" w:hAnsi="宋体" w:eastAsia="宋体" w:cs="宋体"/>
          <w:color w:val="auto"/>
          <w:highlight w:val="none"/>
          <w:lang w:val="en-US" w:eastAsia="zh-CN"/>
        </w:rPr>
        <w:t>第三篇 项目商务需求</w:t>
      </w:r>
      <w:bookmarkEnd w:id="55"/>
      <w:bookmarkEnd w:id="56"/>
      <w:bookmarkEnd w:id="57"/>
      <w:bookmarkEnd w:id="58"/>
      <w:bookmarkEnd w:id="59"/>
      <w:bookmarkEnd w:id="60"/>
      <w:bookmarkEnd w:id="62"/>
    </w:p>
    <w:bookmarkEnd w:id="48"/>
    <w:bookmarkEnd w:id="49"/>
    <w:p w14:paraId="11F4FE7C">
      <w:pPr>
        <w:pStyle w:val="4"/>
        <w:adjustRightInd w:val="0"/>
        <w:snapToGrid w:val="0"/>
        <w:spacing w:line="360" w:lineRule="auto"/>
        <w:ind w:firstLine="482" w:firstLineChars="200"/>
        <w:rPr>
          <w:rFonts w:hint="eastAsia" w:ascii="宋体" w:hAnsi="宋体" w:eastAsia="宋体" w:cs="宋体"/>
          <w:sz w:val="24"/>
        </w:rPr>
      </w:pPr>
      <w:bookmarkStart w:id="63" w:name="_Toc344475120"/>
      <w:bookmarkStart w:id="64" w:name="_Toc76462328"/>
      <w:bookmarkStart w:id="65" w:name="_Toc24386"/>
      <w:r>
        <w:rPr>
          <w:rFonts w:hint="eastAsia" w:ascii="宋体" w:hAnsi="宋体" w:eastAsia="宋体" w:cs="宋体"/>
          <w:sz w:val="24"/>
        </w:rPr>
        <w:t>一、</w:t>
      </w:r>
      <w:bookmarkEnd w:id="63"/>
      <w:bookmarkEnd w:id="64"/>
      <w:r>
        <w:rPr>
          <w:rFonts w:hint="eastAsia" w:ascii="宋体" w:hAnsi="宋体" w:eastAsia="宋体" w:cs="宋体"/>
          <w:sz w:val="24"/>
          <w:lang w:val="zh-CN"/>
        </w:rPr>
        <w:t>服务期限和</w:t>
      </w:r>
      <w:r>
        <w:rPr>
          <w:rFonts w:hint="eastAsia" w:ascii="宋体" w:hAnsi="宋体" w:cs="宋体"/>
          <w:sz w:val="24"/>
          <w:lang w:val="en-US" w:eastAsia="zh-CN"/>
        </w:rPr>
        <w:t>服务</w:t>
      </w:r>
      <w:r>
        <w:rPr>
          <w:rFonts w:hint="eastAsia" w:ascii="宋体" w:hAnsi="宋体" w:eastAsia="宋体" w:cs="宋体"/>
          <w:sz w:val="24"/>
          <w:lang w:val="zh-CN"/>
        </w:rPr>
        <w:t>地点</w:t>
      </w:r>
      <w:bookmarkEnd w:id="65"/>
    </w:p>
    <w:p w14:paraId="0AC93774">
      <w:pPr>
        <w:pageBreakBefore w:val="0"/>
        <w:widowControl w:val="0"/>
        <w:shd w:val="clear" w:color="auto" w:fill="auto"/>
        <w:kinsoku/>
        <w:wordWrap/>
        <w:overflowPunct/>
        <w:topLinePunct w:val="0"/>
        <w:bidi w:val="0"/>
        <w:snapToGrid w:val="0"/>
        <w:spacing w:line="360" w:lineRule="auto"/>
        <w:ind w:firstLine="480" w:firstLineChars="200"/>
        <w:rPr>
          <w:rFonts w:hint="eastAsia" w:ascii="宋体" w:hAnsi="宋体" w:eastAsia="宋体" w:cs="宋体"/>
          <w:kern w:val="0"/>
          <w:sz w:val="24"/>
          <w:szCs w:val="24"/>
          <w:highlight w:val="none"/>
          <w:lang w:val="en-US" w:eastAsia="zh-CN"/>
        </w:rPr>
      </w:pPr>
      <w:bookmarkStart w:id="66" w:name="_Toc344475121"/>
      <w:bookmarkStart w:id="67" w:name="_Toc76462329"/>
      <w:r>
        <w:rPr>
          <w:rFonts w:hint="eastAsia" w:ascii="宋体" w:hAnsi="宋体" w:eastAsia="宋体" w:cs="宋体"/>
          <w:kern w:val="0"/>
          <w:sz w:val="24"/>
          <w:szCs w:val="24"/>
          <w:highlight w:val="none"/>
          <w:lang w:val="zh-CN" w:eastAsia="zh-CN"/>
        </w:rPr>
        <w:t>（一）服务期限：</w:t>
      </w:r>
      <w:r>
        <w:rPr>
          <w:rFonts w:hint="eastAsia" w:ascii="宋体" w:hAnsi="宋体" w:eastAsia="宋体" w:cs="宋体"/>
          <w:kern w:val="0"/>
          <w:sz w:val="24"/>
          <w:szCs w:val="24"/>
          <w:highlight w:val="none"/>
          <w:lang w:val="en-US" w:eastAsia="zh-CN"/>
        </w:rPr>
        <w:t>二年，以合同签订时间为准。</w:t>
      </w:r>
    </w:p>
    <w:p w14:paraId="07182697">
      <w:pPr>
        <w:pageBreakBefore w:val="0"/>
        <w:widowControl w:val="0"/>
        <w:shd w:val="clear" w:color="auto" w:fill="auto"/>
        <w:kinsoku/>
        <w:wordWrap/>
        <w:overflowPunct/>
        <w:topLinePunct w:val="0"/>
        <w:bidi w:val="0"/>
        <w:snapToGrid w:val="0"/>
        <w:spacing w:line="360" w:lineRule="auto"/>
        <w:ind w:firstLine="480" w:firstLineChars="200"/>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zh-CN" w:eastAsia="zh-CN"/>
        </w:rPr>
        <w:t>（二）</w:t>
      </w:r>
      <w:r>
        <w:rPr>
          <w:rFonts w:hint="eastAsia" w:ascii="宋体" w:hAnsi="宋体" w:cs="宋体"/>
          <w:kern w:val="0"/>
          <w:sz w:val="24"/>
          <w:szCs w:val="24"/>
          <w:highlight w:val="none"/>
          <w:lang w:val="en-US" w:eastAsia="zh-CN"/>
        </w:rPr>
        <w:t>服务</w:t>
      </w:r>
      <w:r>
        <w:rPr>
          <w:rFonts w:hint="eastAsia" w:ascii="宋体" w:hAnsi="宋体" w:eastAsia="宋体" w:cs="宋体"/>
          <w:kern w:val="0"/>
          <w:sz w:val="24"/>
          <w:szCs w:val="24"/>
          <w:highlight w:val="none"/>
          <w:lang w:val="zh-CN" w:eastAsia="zh-CN"/>
        </w:rPr>
        <w:t>地点</w:t>
      </w:r>
    </w:p>
    <w:p w14:paraId="7387AAD8">
      <w:pPr>
        <w:pageBreakBefore w:val="0"/>
        <w:widowControl w:val="0"/>
        <w:shd w:val="clear" w:color="auto" w:fill="auto"/>
        <w:kinsoku/>
        <w:wordWrap/>
        <w:overflowPunct/>
        <w:topLinePunct w:val="0"/>
        <w:bidi w:val="0"/>
        <w:snapToGrid w:val="0"/>
        <w:spacing w:line="360" w:lineRule="auto"/>
        <w:ind w:firstLine="480" w:firstLineChars="200"/>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zh-CN" w:eastAsia="zh-CN"/>
        </w:rPr>
        <w:t>采购人指定地点</w:t>
      </w:r>
      <w:bookmarkStart w:id="68" w:name="_Toc25414"/>
      <w:r>
        <w:rPr>
          <w:rFonts w:hint="eastAsia" w:ascii="宋体" w:hAnsi="宋体" w:eastAsia="宋体" w:cs="宋体"/>
          <w:kern w:val="0"/>
          <w:sz w:val="24"/>
          <w:szCs w:val="24"/>
          <w:highlight w:val="none"/>
          <w:lang w:val="zh-CN" w:eastAsia="zh-CN"/>
        </w:rPr>
        <w:t>。</w:t>
      </w:r>
    </w:p>
    <w:p w14:paraId="121354A0">
      <w:pPr>
        <w:pageBreakBefore w:val="0"/>
        <w:widowControl w:val="0"/>
        <w:shd w:val="clear" w:color="auto" w:fill="auto"/>
        <w:kinsoku/>
        <w:wordWrap/>
        <w:overflowPunct/>
        <w:topLinePunct w:val="0"/>
        <w:bidi w:val="0"/>
        <w:snapToGrid w:val="0"/>
        <w:spacing w:line="360" w:lineRule="auto"/>
        <w:ind w:firstLine="480" w:firstLineChars="200"/>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zh-CN" w:eastAsia="zh-CN"/>
        </w:rPr>
        <w:t>（三）验收方式</w:t>
      </w:r>
    </w:p>
    <w:bookmarkEnd w:id="66"/>
    <w:bookmarkEnd w:id="67"/>
    <w:bookmarkEnd w:id="68"/>
    <w:p w14:paraId="43933DEE">
      <w:pPr>
        <w:snapToGrid w:val="0"/>
        <w:spacing w:line="360" w:lineRule="auto"/>
        <w:ind w:right="38" w:firstLine="480" w:firstLineChars="200"/>
        <w:rPr>
          <w:rFonts w:hint="eastAsia" w:ascii="宋体" w:hAnsi="宋体" w:eastAsia="宋体" w:cs="宋体"/>
          <w:color w:val="auto"/>
          <w:sz w:val="24"/>
          <w:szCs w:val="24"/>
        </w:rPr>
      </w:pPr>
      <w:bookmarkStart w:id="69" w:name="_Toc4533"/>
      <w:bookmarkStart w:id="70" w:name="_Toc24489"/>
      <w:bookmarkStart w:id="71" w:name="_Toc29652"/>
      <w:bookmarkStart w:id="72" w:name="_Toc49177913"/>
      <w:bookmarkStart w:id="73" w:name="_Toc6855"/>
      <w:bookmarkStart w:id="74" w:name="_Toc267320051"/>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成交供应商的服务质量必须按照采购</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rPr>
        <w:t>的考核办法接受监督与考核。在食品安全、服务质量方面出现重大问题的，采购人有权要求成交供应商进行整改，若成交供应商未按采购人要求整改或整改不达标，则采购人有权单方面终止合同，给采购人造成损失的，采购人有权要求成交供应商进行赔偿。</w:t>
      </w:r>
    </w:p>
    <w:p w14:paraId="126D9575">
      <w:pPr>
        <w:snapToGrid w:val="0"/>
        <w:spacing w:line="360" w:lineRule="auto"/>
        <w:ind w:right="38"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采购人每月收集就餐人员对食堂饭菜质量及相关服务的意见</w:t>
      </w:r>
      <w:bookmarkStart w:id="75" w:name="img20200808_10342523"/>
      <w:bookmarkEnd w:id="75"/>
      <w:r>
        <w:rPr>
          <w:rFonts w:hint="eastAsia" w:ascii="宋体" w:hAnsi="宋体" w:eastAsia="宋体" w:cs="宋体"/>
          <w:color w:val="auto"/>
          <w:sz w:val="24"/>
          <w:szCs w:val="24"/>
        </w:rPr>
        <w:t>，有权要求成交供应商进行整改，在提出更换派遣人员时，成交供应商必须在限期内完成人员更换。如出现拒不整改或更换的情形，采购人可单方面终止合同。</w:t>
      </w:r>
    </w:p>
    <w:p w14:paraId="6B327737">
      <w:pPr>
        <w:pStyle w:val="4"/>
        <w:adjustRightInd w:val="0"/>
        <w:snapToGrid w:val="0"/>
        <w:spacing w:line="360" w:lineRule="auto"/>
        <w:ind w:firstLine="482" w:firstLineChars="200"/>
        <w:rPr>
          <w:rFonts w:hint="eastAsia" w:ascii="宋体" w:hAnsi="宋体" w:eastAsia="宋体" w:cs="宋体"/>
          <w:sz w:val="24"/>
          <w:lang w:val="en-US" w:eastAsia="zh-CN"/>
        </w:rPr>
      </w:pPr>
      <w:r>
        <w:rPr>
          <w:rFonts w:hint="eastAsia" w:ascii="宋体" w:hAnsi="宋体" w:eastAsia="宋体" w:cs="宋体"/>
          <w:sz w:val="24"/>
          <w:lang w:val="en-US" w:eastAsia="zh-CN"/>
        </w:rPr>
        <w:t>二、报价要求</w:t>
      </w:r>
      <w:bookmarkEnd w:id="69"/>
      <w:bookmarkEnd w:id="70"/>
      <w:bookmarkEnd w:id="71"/>
    </w:p>
    <w:p w14:paraId="35F19ADF">
      <w:pPr>
        <w:snapToGrid w:val="0"/>
        <w:spacing w:line="360" w:lineRule="auto"/>
        <w:ind w:right="38"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本项目为人民币报价，报价包括完成本项目全部服务工作的人员工资、奖金、</w:t>
      </w:r>
      <w:r>
        <w:rPr>
          <w:rFonts w:hint="eastAsia" w:ascii="宋体" w:hAnsi="宋体" w:eastAsia="宋体" w:cs="宋体"/>
          <w:color w:val="auto"/>
          <w:sz w:val="24"/>
          <w:szCs w:val="24"/>
          <w:lang w:eastAsia="zh-CN"/>
        </w:rPr>
        <w:t>服装费、交通费、通讯费、</w:t>
      </w:r>
      <w:r>
        <w:rPr>
          <w:rFonts w:hint="eastAsia" w:ascii="宋体" w:hAnsi="宋体" w:eastAsia="宋体" w:cs="宋体"/>
          <w:color w:val="auto"/>
          <w:sz w:val="24"/>
          <w:szCs w:val="24"/>
        </w:rPr>
        <w:t>社保费及各种应纳的税费等完成本项目所需的所有费用。因成交供应商自身原因造成漏报、少报皆由其自行承担责任，采购人不再补偿任何费用。</w:t>
      </w:r>
    </w:p>
    <w:p w14:paraId="1E653A73">
      <w:pPr>
        <w:pStyle w:val="4"/>
        <w:adjustRightInd w:val="0"/>
        <w:snapToGrid w:val="0"/>
        <w:spacing w:line="360" w:lineRule="auto"/>
        <w:ind w:firstLine="482" w:firstLineChars="200"/>
        <w:rPr>
          <w:rFonts w:hint="eastAsia" w:ascii="宋体" w:hAnsi="宋体" w:eastAsia="宋体" w:cs="宋体"/>
          <w:sz w:val="24"/>
          <w:lang w:val="zh-CN" w:eastAsia="zh-CN"/>
        </w:rPr>
      </w:pPr>
      <w:r>
        <w:rPr>
          <w:rFonts w:hint="eastAsia" w:ascii="宋体" w:hAnsi="宋体" w:eastAsia="宋体" w:cs="宋体"/>
          <w:sz w:val="24"/>
          <w:lang w:val="en-US" w:eastAsia="zh-CN"/>
        </w:rPr>
        <w:t>三、</w:t>
      </w:r>
      <w:r>
        <w:rPr>
          <w:rFonts w:hint="eastAsia" w:ascii="宋体" w:hAnsi="宋体" w:eastAsia="宋体" w:cs="宋体"/>
          <w:sz w:val="24"/>
          <w:lang w:val="zh-CN" w:eastAsia="zh-CN"/>
        </w:rPr>
        <w:t>付款方式</w:t>
      </w:r>
      <w:bookmarkEnd w:id="72"/>
      <w:bookmarkEnd w:id="73"/>
    </w:p>
    <w:bookmarkEnd w:id="74"/>
    <w:p w14:paraId="54255F2C">
      <w:pPr>
        <w:snapToGrid w:val="0"/>
        <w:spacing w:line="360" w:lineRule="auto"/>
        <w:ind w:right="38"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按</w:t>
      </w:r>
      <w:r>
        <w:rPr>
          <w:rFonts w:hint="eastAsia" w:ascii="宋体" w:hAnsi="宋体" w:cs="宋体"/>
          <w:color w:val="auto"/>
          <w:sz w:val="24"/>
          <w:szCs w:val="24"/>
          <w:lang w:val="en-US" w:eastAsia="zh-CN"/>
        </w:rPr>
        <w:t>季度</w:t>
      </w:r>
      <w:r>
        <w:rPr>
          <w:rFonts w:hint="eastAsia" w:ascii="宋体" w:hAnsi="宋体" w:eastAsia="宋体" w:cs="宋体"/>
          <w:color w:val="auto"/>
          <w:sz w:val="24"/>
          <w:szCs w:val="24"/>
          <w:lang w:eastAsia="zh-CN"/>
        </w:rPr>
        <w:t>支付，</w:t>
      </w:r>
      <w:r>
        <w:rPr>
          <w:rFonts w:hint="eastAsia" w:ascii="宋体" w:hAnsi="宋体" w:eastAsia="宋体" w:cs="宋体"/>
          <w:color w:val="auto"/>
          <w:kern w:val="0"/>
          <w:sz w:val="24"/>
          <w:szCs w:val="24"/>
          <w:highlight w:val="none"/>
        </w:rPr>
        <w:t>采购</w:t>
      </w:r>
      <w:r>
        <w:rPr>
          <w:rFonts w:hint="eastAsia" w:ascii="宋体" w:hAnsi="宋体" w:eastAsia="宋体" w:cs="宋体"/>
          <w:color w:val="auto"/>
          <w:kern w:val="0"/>
          <w:sz w:val="24"/>
          <w:szCs w:val="24"/>
          <w:highlight w:val="none"/>
          <w:lang w:val="en-US" w:eastAsia="zh-CN"/>
        </w:rPr>
        <w:t>人按</w:t>
      </w:r>
      <w:r>
        <w:rPr>
          <w:rFonts w:hint="eastAsia" w:ascii="宋体" w:hAnsi="宋体" w:eastAsia="宋体" w:cs="宋体"/>
          <w:color w:val="auto"/>
          <w:kern w:val="0"/>
          <w:sz w:val="24"/>
          <w:szCs w:val="24"/>
          <w:highlight w:val="none"/>
        </w:rPr>
        <w:t>考核的实际金额据实结算后支付</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lang w:eastAsia="zh-CN"/>
        </w:rPr>
        <w:t>付款时，成交供应商提供考核表及合法发票，采购人在收到发票后</w:t>
      </w:r>
      <w:r>
        <w:rPr>
          <w:rFonts w:hint="eastAsia" w:ascii="宋体" w:hAnsi="宋体" w:eastAsia="宋体" w:cs="宋体"/>
          <w:color w:val="auto"/>
          <w:sz w:val="24"/>
          <w:szCs w:val="24"/>
          <w:lang w:val="en-US" w:eastAsia="zh-CN"/>
        </w:rPr>
        <w:t>10个工作日内</w:t>
      </w:r>
      <w:r>
        <w:rPr>
          <w:rFonts w:hint="eastAsia" w:ascii="宋体" w:hAnsi="宋体" w:eastAsia="宋体" w:cs="宋体"/>
          <w:color w:val="auto"/>
          <w:sz w:val="24"/>
          <w:szCs w:val="24"/>
          <w:lang w:eastAsia="zh-CN"/>
        </w:rPr>
        <w:t>将费用支付到成交供应商银行基本账户。</w:t>
      </w:r>
    </w:p>
    <w:p w14:paraId="4FFD9809">
      <w:pPr>
        <w:pStyle w:val="4"/>
        <w:adjustRightInd w:val="0"/>
        <w:snapToGrid w:val="0"/>
        <w:spacing w:line="360" w:lineRule="auto"/>
        <w:ind w:firstLine="482" w:firstLineChars="200"/>
        <w:rPr>
          <w:rFonts w:hint="eastAsia" w:ascii="宋体" w:hAnsi="宋体" w:eastAsia="宋体" w:cs="宋体"/>
          <w:sz w:val="24"/>
          <w:lang w:val="en-US" w:eastAsia="zh-CN"/>
        </w:rPr>
      </w:pPr>
      <w:r>
        <w:rPr>
          <w:rFonts w:hint="eastAsia" w:ascii="宋体" w:hAnsi="宋体" w:eastAsia="宋体" w:cs="宋体"/>
          <w:sz w:val="24"/>
          <w:lang w:val="en-US" w:eastAsia="zh-CN"/>
        </w:rPr>
        <w:t>四、其他</w:t>
      </w:r>
    </w:p>
    <w:p w14:paraId="0396A3AB">
      <w:pPr>
        <w:pageBreakBefore w:val="0"/>
        <w:widowControl w:val="0"/>
        <w:shd w:val="clear" w:color="auto" w:fill="auto"/>
        <w:kinsoku/>
        <w:wordWrap/>
        <w:overflowPunct/>
        <w:topLinePunct w:val="0"/>
        <w:bidi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（一）供应商必须在响应文件中对以上条款和服务承诺明确列出，承诺内容必须达到本篇及响应文件其他条款的要求。</w:t>
      </w:r>
    </w:p>
    <w:p w14:paraId="4EAC312C">
      <w:pPr>
        <w:pageBreakBefore w:val="0"/>
        <w:widowControl w:val="0"/>
        <w:shd w:val="clear" w:color="auto" w:fill="auto"/>
        <w:kinsoku/>
        <w:wordWrap/>
        <w:overflowPunct/>
        <w:topLinePunct w:val="0"/>
        <w:bidi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（二）其他未尽事宜由供需双方在采购合同中详细约定。</w:t>
      </w:r>
    </w:p>
    <w:p w14:paraId="033B555C">
      <w:pPr>
        <w:pStyle w:val="2"/>
        <w:spacing w:before="0" w:after="0" w:line="360" w:lineRule="auto"/>
        <w:ind w:firstLine="482" w:firstLineChars="200"/>
        <w:rPr>
          <w:rFonts w:hint="default" w:ascii="宋体" w:hAnsi="宋体" w:eastAsia="宋体" w:cs="宋体"/>
          <w:color w:val="auto"/>
          <w:sz w:val="24"/>
          <w:szCs w:val="24"/>
          <w:lang w:val="en-US" w:eastAsia="zh-CN"/>
        </w:rPr>
      </w:pPr>
      <w:bookmarkStart w:id="76" w:name="_Toc6919"/>
      <w:bookmarkStart w:id="77" w:name="_Toc10668"/>
      <w:r>
        <w:rPr>
          <w:rFonts w:hint="eastAsia" w:ascii="宋体" w:hAnsi="宋体" w:cs="宋体"/>
          <w:color w:val="auto"/>
          <w:sz w:val="24"/>
          <w:szCs w:val="24"/>
          <w:lang w:val="en-US" w:eastAsia="zh-CN"/>
        </w:rPr>
        <w:t>五、考核</w:t>
      </w:r>
      <w:bookmarkEnd w:id="76"/>
    </w:p>
    <w:p w14:paraId="15A2E9CC">
      <w:pPr>
        <w:snapToGrid w:val="0"/>
        <w:spacing w:line="360" w:lineRule="auto"/>
        <w:ind w:firstLine="480" w:firstLineChars="200"/>
        <w:jc w:val="left"/>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zh-CN" w:eastAsia="zh-CN"/>
        </w:rPr>
        <w:t>考核评价分值应用：</w:t>
      </w:r>
    </w:p>
    <w:p w14:paraId="294A78CE">
      <w:pPr>
        <w:snapToGrid w:val="0"/>
        <w:spacing w:line="360" w:lineRule="auto"/>
        <w:ind w:firstLine="480" w:firstLineChars="200"/>
        <w:jc w:val="left"/>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zh-CN" w:eastAsia="zh-CN"/>
        </w:rPr>
        <w:t>（1）优（100-90分）：对发现问题立查立改，不予处罚。</w:t>
      </w:r>
    </w:p>
    <w:p w14:paraId="4AF12D4B">
      <w:pPr>
        <w:snapToGrid w:val="0"/>
        <w:spacing w:line="360" w:lineRule="auto"/>
        <w:ind w:firstLine="480" w:firstLineChars="200"/>
        <w:jc w:val="left"/>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zh-CN" w:eastAsia="zh-CN"/>
        </w:rPr>
        <w:t>（2）良（80-89分）：每低于90分，每低</w:t>
      </w:r>
      <w:r>
        <w:rPr>
          <w:rFonts w:hint="eastAsia" w:ascii="宋体" w:hAnsi="宋体" w:eastAsia="宋体" w:cs="宋体"/>
          <w:color w:val="auto"/>
          <w:sz w:val="24"/>
          <w:szCs w:val="24"/>
          <w:highlight w:val="none"/>
          <w:shd w:val="clear" w:color="auto" w:fill="auto"/>
          <w:lang w:val="en-US" w:eastAsia="zh-CN"/>
        </w:rPr>
        <w:t>1分</w:t>
      </w:r>
      <w:r>
        <w:rPr>
          <w:rFonts w:hint="eastAsia" w:ascii="宋体" w:hAnsi="宋体" w:eastAsia="宋体" w:cs="宋体"/>
          <w:color w:val="auto"/>
          <w:sz w:val="24"/>
          <w:szCs w:val="24"/>
          <w:highlight w:val="none"/>
          <w:shd w:val="clear" w:color="auto" w:fill="auto"/>
          <w:lang w:val="zh-CN" w:eastAsia="zh-CN"/>
        </w:rPr>
        <w:t>罚款100元，罚款从当月劳务费用中扣除。</w:t>
      </w:r>
    </w:p>
    <w:p w14:paraId="7DFCD6F7">
      <w:pPr>
        <w:snapToGrid w:val="0"/>
        <w:spacing w:line="360" w:lineRule="auto"/>
        <w:ind w:firstLine="480" w:firstLineChars="200"/>
        <w:jc w:val="left"/>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zh-CN" w:eastAsia="zh-CN"/>
        </w:rPr>
        <w:t>（3）及格（70-79分）：每低于90分，每低</w:t>
      </w:r>
      <w:r>
        <w:rPr>
          <w:rFonts w:hint="eastAsia" w:ascii="宋体" w:hAnsi="宋体" w:eastAsia="宋体" w:cs="宋体"/>
          <w:color w:val="auto"/>
          <w:sz w:val="24"/>
          <w:szCs w:val="24"/>
          <w:highlight w:val="none"/>
          <w:shd w:val="clear" w:color="auto" w:fill="auto"/>
          <w:lang w:val="en-US" w:eastAsia="zh-CN"/>
        </w:rPr>
        <w:t>1分</w:t>
      </w:r>
      <w:r>
        <w:rPr>
          <w:rFonts w:hint="eastAsia" w:ascii="宋体" w:hAnsi="宋体" w:eastAsia="宋体" w:cs="宋体"/>
          <w:color w:val="auto"/>
          <w:sz w:val="24"/>
          <w:szCs w:val="24"/>
          <w:highlight w:val="none"/>
          <w:shd w:val="clear" w:color="auto" w:fill="auto"/>
          <w:lang w:val="zh-CN" w:eastAsia="zh-CN"/>
        </w:rPr>
        <w:t>罚款200元，罚款从当月劳务费用中扣除。</w:t>
      </w:r>
    </w:p>
    <w:p w14:paraId="22FAE62A">
      <w:pPr>
        <w:snapToGrid w:val="0"/>
        <w:spacing w:line="360" w:lineRule="auto"/>
        <w:ind w:firstLine="480" w:firstLineChars="200"/>
        <w:jc w:val="left"/>
        <w:rPr>
          <w:rFonts w:hint="eastAsia" w:ascii="宋体" w:hAnsi="宋体" w:eastAsia="宋体" w:cs="宋体"/>
          <w:b/>
          <w:color w:val="auto"/>
          <w:kern w:val="0"/>
          <w:sz w:val="24"/>
          <w:szCs w:val="24"/>
        </w:rPr>
      </w:pPr>
      <w:r>
        <w:rPr>
          <w:rFonts w:hint="eastAsia" w:ascii="宋体" w:hAnsi="宋体" w:eastAsia="宋体" w:cs="宋体"/>
          <w:color w:val="auto"/>
          <w:sz w:val="24"/>
          <w:szCs w:val="24"/>
          <w:highlight w:val="none"/>
          <w:shd w:val="clear" w:color="auto" w:fill="auto"/>
          <w:lang w:val="zh-CN" w:eastAsia="zh-CN"/>
        </w:rPr>
        <w:t>（4）考核70分以下，采购人提出限期整改并额外罚款2000元，且采购人有权取消成交供应商服务商资格；出现第二次的额外罚款4000元，出现第三次的额外罚款6000元，以此累计。</w:t>
      </w:r>
    </w:p>
    <w:p w14:paraId="25A5EDDC">
      <w:pPr>
        <w:snapToGrid w:val="0"/>
        <w:spacing w:line="440" w:lineRule="exact"/>
        <w:ind w:firstLine="482" w:firstLineChars="200"/>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食堂安全质量检查考核表</w:t>
      </w:r>
    </w:p>
    <w:p w14:paraId="50E2AD39">
      <w:pPr>
        <w:adjustRightInd w:val="0"/>
        <w:snapToGrid w:val="0"/>
        <w:spacing w:line="400" w:lineRule="exact"/>
        <w:jc w:val="righ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检查日期：    年   月   日</w:t>
      </w:r>
    </w:p>
    <w:p w14:paraId="7484A043">
      <w:pPr>
        <w:pStyle w:val="22"/>
        <w:spacing w:after="0" w:afterLines="0" w:line="400" w:lineRule="exact"/>
        <w:ind w:left="0" w:leftChars="0"/>
        <w:rPr>
          <w:rFonts w:hint="eastAsia" w:ascii="宋体" w:hAnsi="宋体" w:eastAsia="宋体" w:cs="宋体"/>
          <w:color w:val="auto"/>
          <w:kern w:val="0"/>
          <w:sz w:val="24"/>
          <w:szCs w:val="24"/>
        </w:rPr>
      </w:pPr>
    </w:p>
    <w:tbl>
      <w:tblPr>
        <w:tblStyle w:val="23"/>
        <w:tblW w:w="9300" w:type="dxa"/>
        <w:tblInd w:w="2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33"/>
        <w:gridCol w:w="2500"/>
        <w:gridCol w:w="1100"/>
        <w:gridCol w:w="1967"/>
      </w:tblGrid>
      <w:tr w14:paraId="2AE04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2304">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检 查 标 准</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838D">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考核评分标准</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8F1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分值</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2E4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得分</w:t>
            </w:r>
          </w:p>
        </w:tc>
      </w:tr>
      <w:tr w14:paraId="5FC1B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3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8CC0">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加工的食品、原料及成品，不得腐败变质、霉变及其它不符合卫生标准的情况。原材料验收时厨师长严把质量关。</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CC4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食品有不符合卫生情况，一次扣2分。</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FFE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C426">
            <w:pPr>
              <w:jc w:val="center"/>
              <w:rPr>
                <w:rFonts w:hint="eastAsia" w:ascii="宋体" w:hAnsi="宋体" w:eastAsia="宋体" w:cs="宋体"/>
                <w:i w:val="0"/>
                <w:iCs w:val="0"/>
                <w:color w:val="auto"/>
                <w:sz w:val="24"/>
                <w:szCs w:val="24"/>
                <w:u w:val="none"/>
              </w:rPr>
            </w:pPr>
          </w:p>
        </w:tc>
      </w:tr>
      <w:tr w14:paraId="7B8FA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3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87EF">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食品加工后贮存应在专用贮藏间，防止污染；直接入口食品应使用符合卫生要求的包装材料包装，包装人员的手在包装前要清洗消毒。已加工好的成品每件须留样50～100克，冷藏保存48小时以上。</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6AB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未按照程序存放和留样的，未消毒的，一次扣2分。</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44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6B5F">
            <w:pPr>
              <w:jc w:val="center"/>
              <w:rPr>
                <w:rFonts w:hint="eastAsia" w:ascii="宋体" w:hAnsi="宋体" w:eastAsia="宋体" w:cs="宋体"/>
                <w:i w:val="0"/>
                <w:iCs w:val="0"/>
                <w:color w:val="auto"/>
                <w:sz w:val="24"/>
                <w:szCs w:val="24"/>
                <w:u w:val="none"/>
              </w:rPr>
            </w:pPr>
          </w:p>
        </w:tc>
      </w:tr>
      <w:tr w14:paraId="0B517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3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76EC">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食品贮存生熟应分开，不得超期，做到勤进勤出、先进先出，防止食品变质、霉变、生虫，及时清理不符合卫生要求的食品。</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FB4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生熟不分开，有超期、变质、霉变、生虫及不符合卫生要求的食品，一次扣2分。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493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9B75">
            <w:pPr>
              <w:jc w:val="center"/>
              <w:rPr>
                <w:rFonts w:hint="eastAsia" w:ascii="宋体" w:hAnsi="宋体" w:eastAsia="宋体" w:cs="宋体"/>
                <w:i w:val="0"/>
                <w:iCs w:val="0"/>
                <w:color w:val="auto"/>
                <w:sz w:val="24"/>
                <w:szCs w:val="24"/>
                <w:u w:val="none"/>
              </w:rPr>
            </w:pPr>
          </w:p>
        </w:tc>
      </w:tr>
      <w:tr w14:paraId="55E0B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54C0">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食堂各项设备设施要定期检查、维护，确保正常运行并做好维护记录。</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7C2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设备设施在运行时出现故障一次扣2分。</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16E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A6A9">
            <w:pPr>
              <w:jc w:val="center"/>
              <w:rPr>
                <w:rFonts w:hint="eastAsia" w:ascii="宋体" w:hAnsi="宋体" w:eastAsia="宋体" w:cs="宋体"/>
                <w:i w:val="0"/>
                <w:iCs w:val="0"/>
                <w:color w:val="auto"/>
                <w:sz w:val="24"/>
                <w:szCs w:val="24"/>
                <w:u w:val="none"/>
              </w:rPr>
            </w:pPr>
          </w:p>
        </w:tc>
      </w:tr>
      <w:tr w14:paraId="0CD4D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0224">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烧制食物必须确保熟透，不得出现半生半熟的食物。</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674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因饮食未完全烧熟的食物出现拉肚子现象，每发现一次扣 2分。</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B54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574B">
            <w:pPr>
              <w:jc w:val="center"/>
              <w:rPr>
                <w:rFonts w:hint="eastAsia" w:ascii="宋体" w:hAnsi="宋体" w:eastAsia="宋体" w:cs="宋体"/>
                <w:i w:val="0"/>
                <w:iCs w:val="0"/>
                <w:color w:val="auto"/>
                <w:sz w:val="24"/>
                <w:szCs w:val="24"/>
                <w:u w:val="none"/>
              </w:rPr>
            </w:pPr>
          </w:p>
        </w:tc>
      </w:tr>
      <w:tr w14:paraId="77E9D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3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2E49">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不得发生人员因食用被生物性、化学性有毒有害物质污染的食品，或者食用有毒有害物质的食品而出现的急性、亚急性食源性疾患中毒以及食品生产和食品安全的其它事故。</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137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发现一次扣 10分，并按食品卫生法规处理。</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A3B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E75F">
            <w:pPr>
              <w:jc w:val="center"/>
              <w:rPr>
                <w:rFonts w:hint="eastAsia" w:ascii="宋体" w:hAnsi="宋体" w:eastAsia="宋体" w:cs="宋体"/>
                <w:i w:val="0"/>
                <w:iCs w:val="0"/>
                <w:color w:val="auto"/>
                <w:sz w:val="24"/>
                <w:szCs w:val="24"/>
                <w:u w:val="none"/>
              </w:rPr>
            </w:pPr>
          </w:p>
        </w:tc>
      </w:tr>
      <w:tr w14:paraId="2F678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3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3B4D">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室内外环境要做到清洁，无蚊蝇、老鼠、蟑螂孳生地，实施有效防范措施。餐区、桌、椅等物品清洁卫生，及时做好清洁工作。下水道、排水沟通畅，每天产生的潲水、垃圾必须在24小时内清理完毕。</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77C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出现蚊蝇、老鼠、蟑螂现象，每发现一次扣 2分。未清理干净的，每发现一次扣 2分。</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AF2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C40E">
            <w:pPr>
              <w:jc w:val="center"/>
              <w:rPr>
                <w:rFonts w:hint="eastAsia" w:ascii="宋体" w:hAnsi="宋体" w:eastAsia="宋体" w:cs="宋体"/>
                <w:i w:val="0"/>
                <w:iCs w:val="0"/>
                <w:color w:val="auto"/>
                <w:sz w:val="24"/>
                <w:szCs w:val="24"/>
                <w:u w:val="none"/>
              </w:rPr>
            </w:pPr>
          </w:p>
        </w:tc>
      </w:tr>
      <w:tr w14:paraId="77A81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A96A">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洗菜池、洗肉池、洗碗池等分开并有明显标记，保持池内清洁。危险的地方标注警示语。</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F6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破损严重或者未标记，发现一次扣1分。</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2F5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FCC8">
            <w:pPr>
              <w:jc w:val="center"/>
              <w:rPr>
                <w:rFonts w:hint="eastAsia" w:ascii="宋体" w:hAnsi="宋体" w:eastAsia="宋体" w:cs="宋体"/>
                <w:i w:val="0"/>
                <w:iCs w:val="0"/>
                <w:color w:val="auto"/>
                <w:sz w:val="24"/>
                <w:szCs w:val="24"/>
                <w:u w:val="none"/>
              </w:rPr>
            </w:pPr>
          </w:p>
        </w:tc>
      </w:tr>
      <w:tr w14:paraId="51539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7A30">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食堂工作人员必须持健康证上岗，并定期做好体检。</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234E">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未按时体检或者无健康证明的，每发现一人扣5  分。</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DEF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663B">
            <w:pPr>
              <w:jc w:val="center"/>
              <w:rPr>
                <w:rFonts w:hint="eastAsia" w:ascii="宋体" w:hAnsi="宋体" w:eastAsia="宋体" w:cs="宋体"/>
                <w:i w:val="0"/>
                <w:iCs w:val="0"/>
                <w:color w:val="auto"/>
                <w:sz w:val="24"/>
                <w:szCs w:val="24"/>
                <w:u w:val="none"/>
              </w:rPr>
            </w:pPr>
          </w:p>
        </w:tc>
      </w:tr>
      <w:tr w14:paraId="75718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3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2A42">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个人卫生要做好衣、帽、穿戴，做到勤洗手、勤剪指甲、勤理发洗澡、勤换工作服帽。加工食品时不许染指甲、戴戒指，不随地吐痰，不乱扔废弃物。在操作直接入口食品时应戴口罩，洗手消毒。</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E2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每发现一人扣 1分。</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8B7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DCFF">
            <w:pPr>
              <w:jc w:val="center"/>
              <w:rPr>
                <w:rFonts w:hint="eastAsia" w:ascii="宋体" w:hAnsi="宋体" w:eastAsia="宋体" w:cs="宋体"/>
                <w:i w:val="0"/>
                <w:iCs w:val="0"/>
                <w:color w:val="auto"/>
                <w:sz w:val="24"/>
                <w:szCs w:val="24"/>
                <w:u w:val="none"/>
              </w:rPr>
            </w:pPr>
          </w:p>
        </w:tc>
      </w:tr>
      <w:tr w14:paraId="283A1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3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DDCB">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食堂餐具要严格执行消毒规定，餐具、茶具、熟食容器餐后应清洗消毒做到使用一次清洗消毒一次，消毒要按一刮、二洗、三冲、四消毒、五保洁顺序操作，并做好记录。</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E3B5">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未按照操作程序进行的，每一次扣 2分。未清洗干净的，一次扣2分</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E47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76B0">
            <w:pPr>
              <w:jc w:val="center"/>
              <w:rPr>
                <w:rFonts w:hint="eastAsia" w:ascii="宋体" w:hAnsi="宋体" w:eastAsia="宋体" w:cs="宋体"/>
                <w:i w:val="0"/>
                <w:iCs w:val="0"/>
                <w:color w:val="auto"/>
                <w:sz w:val="24"/>
                <w:szCs w:val="24"/>
                <w:u w:val="none"/>
              </w:rPr>
            </w:pPr>
          </w:p>
        </w:tc>
      </w:tr>
      <w:tr w14:paraId="47424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3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D677">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服务人员在工作中应着统一规范服装，语言、动作规范。服务人员出现吵架、打架现象直接开除。</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1A0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未着规范服装，语言粗暴等行为，一人次扣 2 分。</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F2C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48EF">
            <w:pPr>
              <w:jc w:val="center"/>
              <w:rPr>
                <w:rFonts w:hint="eastAsia" w:ascii="宋体" w:hAnsi="宋体" w:eastAsia="宋体" w:cs="宋体"/>
                <w:i w:val="0"/>
                <w:iCs w:val="0"/>
                <w:color w:val="auto"/>
                <w:sz w:val="24"/>
                <w:szCs w:val="24"/>
                <w:u w:val="none"/>
              </w:rPr>
            </w:pPr>
          </w:p>
        </w:tc>
      </w:tr>
      <w:tr w14:paraId="517D5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3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14A3">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服务人员在工作中不得出现迟到、早退现象；管理人员不得因管理不善造成工作脱节或产生不良影响。工作人员掌握消防知识。</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E31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每发现一人次扣 2分。</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370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ADAB">
            <w:pPr>
              <w:jc w:val="center"/>
              <w:rPr>
                <w:rFonts w:hint="eastAsia" w:ascii="宋体" w:hAnsi="宋体" w:eastAsia="宋体" w:cs="宋体"/>
                <w:i w:val="0"/>
                <w:iCs w:val="0"/>
                <w:color w:val="auto"/>
                <w:sz w:val="24"/>
                <w:szCs w:val="24"/>
                <w:u w:val="none"/>
              </w:rPr>
            </w:pPr>
          </w:p>
        </w:tc>
      </w:tr>
      <w:tr w14:paraId="766A9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3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292F">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服务人员要热情大方、微笑问好、并注意用好服务敬语，态度和蔼、语言亲切。</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7AB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服务时态度傲慢、不热情的，服务期间无故离开岗位，每发现一次扣2分。</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6B0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8FE2">
            <w:pPr>
              <w:jc w:val="center"/>
              <w:rPr>
                <w:rFonts w:hint="eastAsia" w:ascii="宋体" w:hAnsi="宋体" w:eastAsia="宋体" w:cs="宋体"/>
                <w:i w:val="0"/>
                <w:iCs w:val="0"/>
                <w:color w:val="auto"/>
                <w:sz w:val="24"/>
                <w:szCs w:val="24"/>
                <w:u w:val="none"/>
              </w:rPr>
            </w:pPr>
          </w:p>
        </w:tc>
      </w:tr>
      <w:tr w14:paraId="42C4D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2933">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服务人员在就餐前30分钟再次检查桌椅、餐具等各种设备设施，发现破损及时更换；及时添加餐区内的物品。</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F5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未按照规定程序操作的，每发现一人次扣2分。</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6D1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4B4D">
            <w:pPr>
              <w:jc w:val="center"/>
              <w:rPr>
                <w:rFonts w:hint="eastAsia" w:ascii="宋体" w:hAnsi="宋体" w:eastAsia="宋体" w:cs="宋体"/>
                <w:i w:val="0"/>
                <w:iCs w:val="0"/>
                <w:color w:val="auto"/>
                <w:sz w:val="24"/>
                <w:szCs w:val="24"/>
                <w:u w:val="none"/>
              </w:rPr>
            </w:pPr>
          </w:p>
        </w:tc>
      </w:tr>
      <w:tr w14:paraId="2490D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3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1D4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食堂满意度调查（详见附表：食堂满意度调查表）采购人每月随时随机收集不低于15名就餐人员对饭菜质量及相关服务的考评，按照平均分计算汇总满意度得分。</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F81E">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就餐满意度低于70分，一次扣10分；满意度大于等于70分小于80分，一次扣6分；满意度大于等于80分小于90分，一次扣3分；满意度大于等于90分小于100分，不扣分。</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6F73">
            <w:pPr>
              <w:keepNext w:val="0"/>
              <w:keepLines w:val="0"/>
              <w:widowControl/>
              <w:suppressLineNumbers w:val="0"/>
              <w:ind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2CCB">
            <w:pPr>
              <w:jc w:val="center"/>
              <w:rPr>
                <w:rFonts w:hint="eastAsia" w:ascii="宋体" w:hAnsi="宋体" w:eastAsia="宋体" w:cs="宋体"/>
                <w:i w:val="0"/>
                <w:iCs w:val="0"/>
                <w:color w:val="auto"/>
                <w:sz w:val="24"/>
                <w:szCs w:val="24"/>
                <w:u w:val="none"/>
              </w:rPr>
            </w:pPr>
          </w:p>
        </w:tc>
      </w:tr>
      <w:tr w14:paraId="2145F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C17F">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合   计</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6430">
            <w:pPr>
              <w:jc w:val="center"/>
              <w:rPr>
                <w:rFonts w:hint="eastAsia" w:ascii="宋体" w:hAnsi="宋体" w:eastAsia="宋体" w:cs="宋体"/>
                <w:b/>
                <w:bCs/>
                <w:i w:val="0"/>
                <w:iCs w:val="0"/>
                <w:color w:val="auto"/>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CC26">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100</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F57F0">
            <w:pPr>
              <w:rPr>
                <w:rFonts w:hint="eastAsia" w:ascii="宋体" w:hAnsi="宋体" w:eastAsia="宋体" w:cs="宋体"/>
                <w:i w:val="0"/>
                <w:iCs w:val="0"/>
                <w:color w:val="auto"/>
                <w:sz w:val="22"/>
                <w:szCs w:val="22"/>
                <w:u w:val="none"/>
              </w:rPr>
            </w:pPr>
          </w:p>
        </w:tc>
      </w:tr>
    </w:tbl>
    <w:p w14:paraId="31F25B30">
      <w:pPr>
        <w:pStyle w:val="22"/>
        <w:spacing w:afterLines="0"/>
        <w:rPr>
          <w:rFonts w:hint="eastAsia" w:ascii="宋体" w:hAnsi="宋体" w:eastAsia="宋体" w:cs="宋体"/>
          <w:color w:val="auto"/>
          <w:kern w:val="0"/>
          <w:sz w:val="24"/>
          <w:szCs w:val="24"/>
        </w:rPr>
      </w:pPr>
    </w:p>
    <w:p w14:paraId="63E0FF9A">
      <w:pPr>
        <w:spacing w:beforeLines="0" w:afterLines="0"/>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425F73DF">
      <w:pPr>
        <w:pStyle w:val="3"/>
        <w:bidi w:val="0"/>
        <w:spacing w:line="360" w:lineRule="auto"/>
        <w:jc w:val="center"/>
        <w:rPr>
          <w:rFonts w:hint="eastAsia" w:ascii="宋体" w:hAnsi="宋体" w:eastAsia="宋体" w:cs="宋体"/>
          <w:color w:val="auto"/>
          <w:highlight w:val="none"/>
          <w:lang w:val="en-US" w:eastAsia="zh-CN"/>
        </w:rPr>
      </w:pPr>
      <w:bookmarkStart w:id="78" w:name="_Toc8458"/>
      <w:bookmarkStart w:id="79" w:name="_Toc24747"/>
      <w:bookmarkStart w:id="80" w:name="_Toc22109"/>
      <w:bookmarkStart w:id="81" w:name="_Toc15885"/>
      <w:bookmarkStart w:id="82" w:name="_Toc27107"/>
      <w:bookmarkStart w:id="83" w:name="_Toc4024"/>
      <w:bookmarkStart w:id="84" w:name="_Toc24454"/>
      <w:bookmarkStart w:id="85" w:name="_Toc10842"/>
      <w:bookmarkStart w:id="86" w:name="_Toc6918"/>
      <w:bookmarkStart w:id="87" w:name="_Toc6922"/>
      <w:bookmarkStart w:id="88" w:name="_Toc21774"/>
      <w:bookmarkStart w:id="89" w:name="_Toc7999"/>
      <w:bookmarkStart w:id="90" w:name="_Toc20800"/>
      <w:bookmarkStart w:id="91" w:name="_Toc25464"/>
      <w:bookmarkStart w:id="92" w:name="_Toc17311"/>
      <w:bookmarkStart w:id="93" w:name="_Toc31712"/>
      <w:bookmarkStart w:id="94" w:name="_Toc20354"/>
      <w:bookmarkStart w:id="95" w:name="_Toc5799"/>
      <w:bookmarkStart w:id="96" w:name="_Toc22772"/>
      <w:bookmarkStart w:id="97" w:name="_Toc1055"/>
      <w:bookmarkStart w:id="98" w:name="_Toc4511"/>
      <w:bookmarkStart w:id="99" w:name="_Toc6342"/>
      <w:bookmarkStart w:id="100" w:name="_Toc15716"/>
      <w:bookmarkStart w:id="101" w:name="_Toc20875"/>
      <w:bookmarkStart w:id="102" w:name="_Toc106030396"/>
      <w:bookmarkStart w:id="103" w:name="_Toc267320057"/>
      <w:bookmarkStart w:id="104" w:name="_Toc20699"/>
      <w:bookmarkStart w:id="105" w:name="_Toc19924"/>
      <w:bookmarkStart w:id="106" w:name="_Toc22077"/>
      <w:bookmarkStart w:id="107" w:name="_Toc28756"/>
      <w:bookmarkStart w:id="108" w:name="_Toc25814"/>
      <w:bookmarkStart w:id="109" w:name="_Toc17116"/>
      <w:bookmarkStart w:id="110" w:name="_Toc75793520"/>
      <w:r>
        <w:rPr>
          <w:rFonts w:hint="eastAsia" w:ascii="宋体" w:hAnsi="宋体" w:eastAsia="宋体" w:cs="宋体"/>
          <w:color w:val="auto"/>
          <w:highlight w:val="none"/>
          <w:lang w:val="en-US" w:eastAsia="zh-CN"/>
        </w:rPr>
        <w:t>第四篇  竞选程序及方法、评审标准、无效响应和采购终止</w:t>
      </w:r>
      <w:bookmarkEnd w:id="78"/>
      <w:bookmarkEnd w:id="79"/>
      <w:bookmarkEnd w:id="80"/>
      <w:bookmarkEnd w:id="81"/>
      <w:bookmarkEnd w:id="82"/>
      <w:bookmarkEnd w:id="83"/>
      <w:bookmarkEnd w:id="84"/>
      <w:bookmarkEnd w:id="85"/>
      <w:bookmarkEnd w:id="86"/>
      <w:bookmarkEnd w:id="87"/>
    </w:p>
    <w:p w14:paraId="01E319AA">
      <w:pPr>
        <w:pStyle w:val="2"/>
        <w:spacing w:before="0" w:after="0" w:line="360" w:lineRule="auto"/>
        <w:ind w:firstLine="482" w:firstLineChars="200"/>
        <w:rPr>
          <w:rFonts w:hint="eastAsia" w:ascii="宋体" w:hAnsi="宋体" w:eastAsia="宋体" w:cs="宋体"/>
          <w:sz w:val="24"/>
          <w:szCs w:val="24"/>
        </w:rPr>
      </w:pPr>
      <w:bookmarkStart w:id="111" w:name="_Toc12641"/>
      <w:bookmarkStart w:id="112" w:name="_Toc17111"/>
      <w:bookmarkStart w:id="113" w:name="_Toc23558"/>
      <w:bookmarkStart w:id="114" w:name="_Toc14686"/>
      <w:bookmarkStart w:id="115" w:name="_Toc23219"/>
      <w:bookmarkStart w:id="116" w:name="_Toc17539"/>
      <w:bookmarkStart w:id="117" w:name="_Toc8450"/>
      <w:bookmarkStart w:id="118" w:name="_Toc15857"/>
      <w:bookmarkStart w:id="119" w:name="_Toc4285"/>
      <w:r>
        <w:rPr>
          <w:rFonts w:hint="eastAsia" w:ascii="宋体" w:hAnsi="宋体" w:eastAsia="宋体" w:cs="宋体"/>
          <w:sz w:val="24"/>
          <w:szCs w:val="24"/>
        </w:rPr>
        <w:t>一、竞选程序及方法</w:t>
      </w:r>
      <w:bookmarkEnd w:id="111"/>
      <w:bookmarkEnd w:id="112"/>
      <w:bookmarkEnd w:id="113"/>
      <w:bookmarkEnd w:id="114"/>
      <w:bookmarkEnd w:id="115"/>
      <w:bookmarkEnd w:id="116"/>
      <w:bookmarkEnd w:id="117"/>
      <w:bookmarkEnd w:id="118"/>
      <w:bookmarkEnd w:id="119"/>
    </w:p>
    <w:p w14:paraId="39DD6BB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（一）竞选按竞争性比选文件规定的时间和地点进行，供应商须有法定代表人（或其授权代表）或自然人参加并签到（若响应文件通过邮寄方式递交的供应商不需要到投标现场）。</w:t>
      </w:r>
    </w:p>
    <w:p w14:paraId="7ADDC6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（二）竞争性比选小组对各供应商的资格条件、比选申请文件的有效性、完整性和响应程度进行审查。各供应商只有在完全符合要求的前提下，才能参与正式竞选。</w:t>
      </w:r>
    </w:p>
    <w:p w14:paraId="4E82C578">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1.</w:t>
      </w:r>
      <w:r>
        <w:rPr>
          <w:rFonts w:hint="eastAsia" w:ascii="宋体" w:hAnsi="宋体" w:eastAsia="宋体" w:cs="宋体"/>
          <w:kern w:val="0"/>
          <w:sz w:val="24"/>
          <w:szCs w:val="24"/>
        </w:rPr>
        <w:t>资格性审查。依据法律法规和竞争性比选文件的规定，对比选申请文件中的资格证明等进行审查，以确定供应商是否具备竞选资格。资格性审查资料表如下：</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462"/>
        <w:gridCol w:w="4781"/>
      </w:tblGrid>
      <w:tr w14:paraId="55C82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76" w:type="dxa"/>
            <w:noWrap w:val="0"/>
            <w:vAlign w:val="center"/>
          </w:tcPr>
          <w:p w14:paraId="32CBE1E7">
            <w:pP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4171" w:type="dxa"/>
            <w:gridSpan w:val="2"/>
            <w:noWrap w:val="0"/>
            <w:vAlign w:val="center"/>
          </w:tcPr>
          <w:p w14:paraId="5831CD4C">
            <w:pP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检查因素</w:t>
            </w:r>
          </w:p>
        </w:tc>
        <w:tc>
          <w:tcPr>
            <w:tcW w:w="4781" w:type="dxa"/>
            <w:noWrap w:val="0"/>
            <w:vAlign w:val="center"/>
          </w:tcPr>
          <w:p w14:paraId="41A0A468">
            <w:pP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检查内容</w:t>
            </w:r>
          </w:p>
        </w:tc>
      </w:tr>
      <w:tr w14:paraId="7357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676" w:type="dxa"/>
            <w:vMerge w:val="restart"/>
            <w:noWrap w:val="0"/>
            <w:vAlign w:val="center"/>
          </w:tcPr>
          <w:p w14:paraId="6A46FC6F">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709" w:type="dxa"/>
            <w:vMerge w:val="restart"/>
            <w:noWrap w:val="0"/>
            <w:vAlign w:val="center"/>
          </w:tcPr>
          <w:p w14:paraId="3C1A46B0">
            <w:pPr>
              <w:spacing w:line="240" w:lineRule="auto"/>
              <w:rPr>
                <w:rFonts w:hint="eastAsia" w:ascii="宋体" w:hAnsi="宋体" w:eastAsia="宋体" w:cs="宋体"/>
                <w:sz w:val="21"/>
                <w:szCs w:val="21"/>
                <w:lang w:val="zh-CN"/>
              </w:rPr>
            </w:pPr>
            <w:r>
              <w:rPr>
                <w:rFonts w:hint="eastAsia" w:ascii="宋体" w:hAnsi="宋体" w:eastAsia="宋体" w:cs="宋体"/>
                <w:sz w:val="21"/>
                <w:szCs w:val="21"/>
                <w:lang w:val="zh-CN"/>
              </w:rPr>
              <w:t>《中华人民共和国政府采购法》第二十二条规定</w:t>
            </w:r>
          </w:p>
        </w:tc>
        <w:tc>
          <w:tcPr>
            <w:tcW w:w="3462" w:type="dxa"/>
            <w:noWrap w:val="0"/>
            <w:vAlign w:val="center"/>
          </w:tcPr>
          <w:p w14:paraId="54D13771">
            <w:pPr>
              <w:spacing w:line="240" w:lineRule="auto"/>
              <w:rPr>
                <w:rFonts w:hint="eastAsia" w:ascii="宋体" w:hAnsi="宋体" w:eastAsia="宋体" w:cs="宋体"/>
                <w:sz w:val="21"/>
                <w:szCs w:val="21"/>
              </w:rPr>
            </w:pPr>
            <w:r>
              <w:rPr>
                <w:rFonts w:hint="eastAsia" w:ascii="宋体" w:hAnsi="宋体" w:eastAsia="宋体" w:cs="宋体"/>
                <w:sz w:val="21"/>
                <w:szCs w:val="21"/>
              </w:rPr>
              <w:t>（1）具有独立承担民事责任的能力</w:t>
            </w:r>
          </w:p>
        </w:tc>
        <w:tc>
          <w:tcPr>
            <w:tcW w:w="4781" w:type="dxa"/>
            <w:noWrap w:val="0"/>
            <w:vAlign w:val="center"/>
          </w:tcPr>
          <w:p w14:paraId="0FB0AB4E">
            <w:pPr>
              <w:spacing w:line="240" w:lineRule="auto"/>
              <w:rPr>
                <w:rFonts w:hint="eastAsia" w:ascii="宋体" w:hAnsi="宋体" w:eastAsia="宋体" w:cs="宋体"/>
                <w:sz w:val="21"/>
                <w:szCs w:val="21"/>
              </w:rPr>
            </w:pPr>
            <w:r>
              <w:rPr>
                <w:rFonts w:hint="eastAsia" w:ascii="宋体" w:hAnsi="宋体" w:eastAsia="宋体" w:cs="宋体"/>
                <w:sz w:val="21"/>
                <w:szCs w:val="21"/>
              </w:rPr>
              <w:t xml:space="preserve">1.供应商法人营业执照（副本）或事业单位法人证书（副本）或个体工商户营业执照或有效的自然人身份证明或社会团体法人登记证书（提供复印件）。 </w:t>
            </w:r>
          </w:p>
          <w:p w14:paraId="2BE92574">
            <w:pPr>
              <w:spacing w:line="240" w:lineRule="auto"/>
              <w:rPr>
                <w:rFonts w:hint="eastAsia" w:ascii="宋体" w:hAnsi="宋体" w:eastAsia="宋体" w:cs="宋体"/>
                <w:sz w:val="21"/>
                <w:szCs w:val="21"/>
              </w:rPr>
            </w:pPr>
            <w:r>
              <w:rPr>
                <w:rFonts w:hint="eastAsia" w:ascii="宋体" w:hAnsi="宋体" w:eastAsia="宋体" w:cs="宋体"/>
                <w:sz w:val="21"/>
                <w:szCs w:val="21"/>
              </w:rPr>
              <w:t>2.供应商法定代表人身份证明和法定代表人授权代表委托书。</w:t>
            </w:r>
          </w:p>
        </w:tc>
      </w:tr>
      <w:tr w14:paraId="6A2E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676" w:type="dxa"/>
            <w:vMerge w:val="continue"/>
            <w:noWrap w:val="0"/>
            <w:vAlign w:val="center"/>
          </w:tcPr>
          <w:p w14:paraId="454C053B">
            <w:pPr>
              <w:spacing w:line="240" w:lineRule="auto"/>
              <w:jc w:val="center"/>
              <w:rPr>
                <w:rFonts w:hint="eastAsia" w:ascii="宋体" w:hAnsi="宋体" w:eastAsia="宋体" w:cs="宋体"/>
                <w:sz w:val="21"/>
                <w:szCs w:val="21"/>
              </w:rPr>
            </w:pPr>
          </w:p>
        </w:tc>
        <w:tc>
          <w:tcPr>
            <w:tcW w:w="709" w:type="dxa"/>
            <w:vMerge w:val="continue"/>
            <w:noWrap w:val="0"/>
            <w:vAlign w:val="center"/>
          </w:tcPr>
          <w:p w14:paraId="398AC898">
            <w:pPr>
              <w:spacing w:line="240" w:lineRule="auto"/>
              <w:rPr>
                <w:rFonts w:hint="eastAsia" w:ascii="宋体" w:hAnsi="宋体" w:eastAsia="宋体" w:cs="宋体"/>
                <w:sz w:val="21"/>
                <w:szCs w:val="21"/>
                <w:lang w:val="zh-CN"/>
              </w:rPr>
            </w:pPr>
          </w:p>
        </w:tc>
        <w:tc>
          <w:tcPr>
            <w:tcW w:w="3462" w:type="dxa"/>
            <w:noWrap w:val="0"/>
            <w:vAlign w:val="center"/>
          </w:tcPr>
          <w:p w14:paraId="7B4D368D">
            <w:pPr>
              <w:spacing w:line="240" w:lineRule="auto"/>
              <w:rPr>
                <w:rFonts w:hint="eastAsia" w:ascii="宋体" w:hAnsi="宋体" w:eastAsia="宋体" w:cs="宋体"/>
                <w:sz w:val="21"/>
                <w:szCs w:val="21"/>
              </w:rPr>
            </w:pPr>
            <w:r>
              <w:rPr>
                <w:rFonts w:hint="eastAsia" w:ascii="宋体" w:hAnsi="宋体" w:eastAsia="宋体" w:cs="宋体"/>
                <w:sz w:val="21"/>
                <w:szCs w:val="21"/>
                <w:lang w:val="zh-CN"/>
              </w:rPr>
              <w:t>（2）</w:t>
            </w:r>
            <w:r>
              <w:rPr>
                <w:rFonts w:hint="eastAsia" w:ascii="宋体" w:hAnsi="宋体" w:eastAsia="宋体" w:cs="宋体"/>
                <w:sz w:val="21"/>
                <w:szCs w:val="21"/>
              </w:rPr>
              <w:t>具有良好的商业信誉和健全的财务会计制度</w:t>
            </w:r>
          </w:p>
        </w:tc>
        <w:tc>
          <w:tcPr>
            <w:tcW w:w="4781" w:type="dxa"/>
            <w:vMerge w:val="restart"/>
            <w:noWrap w:val="0"/>
            <w:vAlign w:val="center"/>
          </w:tcPr>
          <w:p w14:paraId="657CA9CB">
            <w:pPr>
              <w:spacing w:line="240" w:lineRule="auto"/>
              <w:rPr>
                <w:rFonts w:hint="eastAsia" w:ascii="宋体" w:hAnsi="宋体" w:eastAsia="宋体" w:cs="宋体"/>
                <w:sz w:val="21"/>
                <w:szCs w:val="21"/>
              </w:rPr>
            </w:pPr>
            <w:r>
              <w:rPr>
                <w:rFonts w:hint="eastAsia" w:ascii="宋体" w:hAnsi="宋体" w:eastAsia="宋体" w:cs="宋体"/>
                <w:bCs/>
                <w:sz w:val="21"/>
                <w:szCs w:val="21"/>
              </w:rPr>
              <w:t>供应商提供“基本资格条件承诺函”（见格式文件）。</w:t>
            </w:r>
          </w:p>
        </w:tc>
      </w:tr>
      <w:tr w14:paraId="2A6D6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676" w:type="dxa"/>
            <w:vMerge w:val="continue"/>
            <w:noWrap w:val="0"/>
            <w:vAlign w:val="center"/>
          </w:tcPr>
          <w:p w14:paraId="3088BF3A">
            <w:pPr>
              <w:spacing w:line="240" w:lineRule="auto"/>
              <w:jc w:val="center"/>
              <w:rPr>
                <w:rFonts w:hint="eastAsia" w:ascii="宋体" w:hAnsi="宋体" w:eastAsia="宋体" w:cs="宋体"/>
                <w:sz w:val="21"/>
                <w:szCs w:val="21"/>
              </w:rPr>
            </w:pPr>
          </w:p>
        </w:tc>
        <w:tc>
          <w:tcPr>
            <w:tcW w:w="709" w:type="dxa"/>
            <w:vMerge w:val="continue"/>
            <w:noWrap w:val="0"/>
            <w:vAlign w:val="center"/>
          </w:tcPr>
          <w:p w14:paraId="1CAD6B86">
            <w:pPr>
              <w:spacing w:line="240" w:lineRule="auto"/>
              <w:rPr>
                <w:rFonts w:hint="eastAsia" w:ascii="宋体" w:hAnsi="宋体" w:eastAsia="宋体" w:cs="宋体"/>
                <w:sz w:val="21"/>
                <w:szCs w:val="21"/>
                <w:lang w:val="zh-CN"/>
              </w:rPr>
            </w:pPr>
          </w:p>
        </w:tc>
        <w:tc>
          <w:tcPr>
            <w:tcW w:w="3462" w:type="dxa"/>
            <w:noWrap w:val="0"/>
            <w:vAlign w:val="center"/>
          </w:tcPr>
          <w:p w14:paraId="0836D8E6">
            <w:pPr>
              <w:spacing w:line="240" w:lineRule="auto"/>
              <w:rPr>
                <w:rFonts w:hint="eastAsia" w:ascii="宋体" w:hAnsi="宋体" w:eastAsia="宋体" w:cs="宋体"/>
                <w:sz w:val="21"/>
                <w:szCs w:val="21"/>
                <w:lang w:val="zh-CN"/>
              </w:rPr>
            </w:pPr>
            <w:r>
              <w:rPr>
                <w:rFonts w:hint="eastAsia" w:ascii="宋体" w:hAnsi="宋体" w:eastAsia="宋体" w:cs="宋体"/>
                <w:sz w:val="21"/>
                <w:szCs w:val="21"/>
                <w:lang w:val="zh-CN"/>
              </w:rPr>
              <w:t>（3）具有履行合同所必需的设备和专业技术能力</w:t>
            </w:r>
          </w:p>
        </w:tc>
        <w:tc>
          <w:tcPr>
            <w:tcW w:w="4781" w:type="dxa"/>
            <w:vMerge w:val="continue"/>
            <w:noWrap w:val="0"/>
            <w:vAlign w:val="center"/>
          </w:tcPr>
          <w:p w14:paraId="57C25458">
            <w:pPr>
              <w:spacing w:line="240" w:lineRule="auto"/>
              <w:rPr>
                <w:rFonts w:hint="eastAsia" w:ascii="宋体" w:hAnsi="宋体" w:eastAsia="宋体" w:cs="宋体"/>
                <w:sz w:val="21"/>
                <w:szCs w:val="21"/>
              </w:rPr>
            </w:pPr>
          </w:p>
        </w:tc>
      </w:tr>
      <w:tr w14:paraId="1584E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676" w:type="dxa"/>
            <w:vMerge w:val="continue"/>
            <w:noWrap w:val="0"/>
            <w:vAlign w:val="center"/>
          </w:tcPr>
          <w:p w14:paraId="258DE501">
            <w:pPr>
              <w:spacing w:line="240" w:lineRule="auto"/>
              <w:jc w:val="center"/>
              <w:rPr>
                <w:rFonts w:hint="eastAsia" w:ascii="宋体" w:hAnsi="宋体" w:eastAsia="宋体" w:cs="宋体"/>
                <w:sz w:val="21"/>
                <w:szCs w:val="21"/>
              </w:rPr>
            </w:pPr>
          </w:p>
        </w:tc>
        <w:tc>
          <w:tcPr>
            <w:tcW w:w="709" w:type="dxa"/>
            <w:vMerge w:val="continue"/>
            <w:noWrap w:val="0"/>
            <w:vAlign w:val="center"/>
          </w:tcPr>
          <w:p w14:paraId="38F70622">
            <w:pPr>
              <w:spacing w:line="240" w:lineRule="auto"/>
              <w:rPr>
                <w:rFonts w:hint="eastAsia" w:ascii="宋体" w:hAnsi="宋体" w:eastAsia="宋体" w:cs="宋体"/>
                <w:sz w:val="21"/>
                <w:szCs w:val="21"/>
                <w:lang w:val="zh-CN"/>
              </w:rPr>
            </w:pPr>
          </w:p>
        </w:tc>
        <w:tc>
          <w:tcPr>
            <w:tcW w:w="3462" w:type="dxa"/>
            <w:noWrap w:val="0"/>
            <w:vAlign w:val="center"/>
          </w:tcPr>
          <w:p w14:paraId="715D3BEF">
            <w:pPr>
              <w:spacing w:line="240" w:lineRule="auto"/>
              <w:rPr>
                <w:rFonts w:hint="eastAsia" w:ascii="宋体" w:hAnsi="宋体" w:eastAsia="宋体" w:cs="宋体"/>
                <w:sz w:val="21"/>
                <w:szCs w:val="21"/>
                <w:lang w:val="zh-CN"/>
              </w:rPr>
            </w:pPr>
            <w:r>
              <w:rPr>
                <w:rFonts w:hint="eastAsia" w:ascii="宋体" w:hAnsi="宋体" w:eastAsia="宋体" w:cs="宋体"/>
                <w:sz w:val="21"/>
                <w:szCs w:val="21"/>
                <w:lang w:val="zh-CN"/>
              </w:rPr>
              <w:t>（4）有依法缴纳税收和社会保障金的良好记录</w:t>
            </w:r>
          </w:p>
        </w:tc>
        <w:tc>
          <w:tcPr>
            <w:tcW w:w="4781" w:type="dxa"/>
            <w:vMerge w:val="continue"/>
            <w:noWrap w:val="0"/>
            <w:vAlign w:val="center"/>
          </w:tcPr>
          <w:p w14:paraId="0C4CAF63">
            <w:pPr>
              <w:spacing w:line="240" w:lineRule="auto"/>
              <w:rPr>
                <w:rFonts w:hint="eastAsia" w:ascii="宋体" w:hAnsi="宋体" w:eastAsia="宋体" w:cs="宋体"/>
                <w:sz w:val="21"/>
                <w:szCs w:val="21"/>
              </w:rPr>
            </w:pPr>
          </w:p>
        </w:tc>
      </w:tr>
      <w:tr w14:paraId="32F7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76" w:type="dxa"/>
            <w:vMerge w:val="continue"/>
            <w:noWrap w:val="0"/>
            <w:vAlign w:val="center"/>
          </w:tcPr>
          <w:p w14:paraId="32704015">
            <w:pPr>
              <w:spacing w:line="240" w:lineRule="auto"/>
              <w:jc w:val="center"/>
              <w:rPr>
                <w:rFonts w:hint="eastAsia" w:ascii="宋体" w:hAnsi="宋体" w:eastAsia="宋体" w:cs="宋体"/>
                <w:sz w:val="21"/>
                <w:szCs w:val="21"/>
              </w:rPr>
            </w:pPr>
          </w:p>
        </w:tc>
        <w:tc>
          <w:tcPr>
            <w:tcW w:w="709" w:type="dxa"/>
            <w:vMerge w:val="continue"/>
            <w:noWrap w:val="0"/>
            <w:vAlign w:val="center"/>
          </w:tcPr>
          <w:p w14:paraId="74C5291E">
            <w:pPr>
              <w:spacing w:line="240" w:lineRule="auto"/>
              <w:rPr>
                <w:rFonts w:hint="eastAsia" w:ascii="宋体" w:hAnsi="宋体" w:eastAsia="宋体" w:cs="宋体"/>
                <w:sz w:val="21"/>
                <w:szCs w:val="21"/>
                <w:lang w:val="zh-CN"/>
              </w:rPr>
            </w:pPr>
          </w:p>
        </w:tc>
        <w:tc>
          <w:tcPr>
            <w:tcW w:w="3462" w:type="dxa"/>
            <w:noWrap w:val="0"/>
            <w:vAlign w:val="center"/>
          </w:tcPr>
          <w:p w14:paraId="421C0C8B">
            <w:pPr>
              <w:spacing w:line="240" w:lineRule="auto"/>
              <w:rPr>
                <w:rFonts w:hint="eastAsia" w:ascii="宋体" w:hAnsi="宋体" w:eastAsia="宋体" w:cs="宋体"/>
                <w:sz w:val="21"/>
                <w:szCs w:val="21"/>
                <w:lang w:val="zh-CN"/>
              </w:rPr>
            </w:pPr>
            <w:r>
              <w:rPr>
                <w:rFonts w:hint="eastAsia" w:ascii="宋体" w:hAnsi="宋体" w:eastAsia="宋体" w:cs="宋体"/>
                <w:sz w:val="21"/>
                <w:szCs w:val="21"/>
              </w:rPr>
              <w:t>（5）参加政府采购活动前三年内，在经营活动中没有重大违法记录</w:t>
            </w:r>
          </w:p>
        </w:tc>
        <w:tc>
          <w:tcPr>
            <w:tcW w:w="4781" w:type="dxa"/>
            <w:vMerge w:val="continue"/>
            <w:noWrap w:val="0"/>
            <w:vAlign w:val="center"/>
          </w:tcPr>
          <w:p w14:paraId="1AE04427">
            <w:pPr>
              <w:spacing w:line="240" w:lineRule="auto"/>
              <w:rPr>
                <w:rFonts w:hint="eastAsia" w:ascii="宋体" w:hAnsi="宋体" w:eastAsia="宋体" w:cs="宋体"/>
                <w:sz w:val="21"/>
                <w:szCs w:val="21"/>
              </w:rPr>
            </w:pPr>
          </w:p>
        </w:tc>
      </w:tr>
      <w:tr w14:paraId="5A8B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676" w:type="dxa"/>
            <w:vMerge w:val="continue"/>
            <w:noWrap w:val="0"/>
            <w:vAlign w:val="center"/>
          </w:tcPr>
          <w:p w14:paraId="28493ECF">
            <w:pPr>
              <w:spacing w:line="240" w:lineRule="auto"/>
              <w:jc w:val="center"/>
              <w:rPr>
                <w:rFonts w:hint="eastAsia" w:ascii="宋体" w:hAnsi="宋体" w:eastAsia="宋体" w:cs="宋体"/>
                <w:sz w:val="21"/>
                <w:szCs w:val="21"/>
              </w:rPr>
            </w:pPr>
          </w:p>
        </w:tc>
        <w:tc>
          <w:tcPr>
            <w:tcW w:w="709" w:type="dxa"/>
            <w:vMerge w:val="continue"/>
            <w:noWrap w:val="0"/>
            <w:vAlign w:val="center"/>
          </w:tcPr>
          <w:p w14:paraId="584EB7B5">
            <w:pPr>
              <w:spacing w:line="240" w:lineRule="auto"/>
              <w:rPr>
                <w:rFonts w:hint="eastAsia" w:ascii="宋体" w:hAnsi="宋体" w:eastAsia="宋体" w:cs="宋体"/>
                <w:sz w:val="21"/>
                <w:szCs w:val="21"/>
                <w:lang w:val="zh-CN"/>
              </w:rPr>
            </w:pPr>
          </w:p>
        </w:tc>
        <w:tc>
          <w:tcPr>
            <w:tcW w:w="3462" w:type="dxa"/>
            <w:noWrap w:val="0"/>
            <w:vAlign w:val="center"/>
          </w:tcPr>
          <w:p w14:paraId="338D0BC3">
            <w:pPr>
              <w:spacing w:line="240" w:lineRule="auto"/>
              <w:rPr>
                <w:rFonts w:hint="eastAsia" w:ascii="宋体" w:hAnsi="宋体" w:eastAsia="宋体" w:cs="宋体"/>
                <w:sz w:val="21"/>
                <w:szCs w:val="21"/>
              </w:rPr>
            </w:pPr>
            <w:r>
              <w:rPr>
                <w:rFonts w:hint="eastAsia" w:ascii="宋体" w:hAnsi="宋体" w:eastAsia="宋体" w:cs="宋体"/>
                <w:sz w:val="21"/>
                <w:szCs w:val="21"/>
              </w:rPr>
              <w:t>（6）法律、行政法规规定的其他条件</w:t>
            </w:r>
          </w:p>
        </w:tc>
        <w:tc>
          <w:tcPr>
            <w:tcW w:w="4781" w:type="dxa"/>
            <w:noWrap w:val="0"/>
            <w:vAlign w:val="center"/>
          </w:tcPr>
          <w:p w14:paraId="7EDBB9A0">
            <w:pPr>
              <w:spacing w:line="240" w:lineRule="auto"/>
              <w:rPr>
                <w:rFonts w:hint="eastAsia" w:ascii="宋体" w:hAnsi="宋体" w:eastAsia="宋体" w:cs="宋体"/>
                <w:sz w:val="21"/>
                <w:szCs w:val="21"/>
              </w:rPr>
            </w:pPr>
            <w:r>
              <w:rPr>
                <w:rFonts w:hint="eastAsia" w:ascii="宋体" w:hAnsi="宋体" w:eastAsia="宋体" w:cs="宋体"/>
                <w:sz w:val="21"/>
                <w:szCs w:val="21"/>
              </w:rPr>
              <w:t>/</w:t>
            </w:r>
          </w:p>
        </w:tc>
      </w:tr>
      <w:tr w14:paraId="32E7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676" w:type="dxa"/>
            <w:noWrap w:val="0"/>
            <w:vAlign w:val="center"/>
          </w:tcPr>
          <w:p w14:paraId="1A7B5A2F">
            <w:pPr>
              <w:spacing w:line="24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4171" w:type="dxa"/>
            <w:gridSpan w:val="2"/>
            <w:noWrap w:val="0"/>
            <w:vAlign w:val="center"/>
          </w:tcPr>
          <w:p w14:paraId="41F35139">
            <w:pPr>
              <w:spacing w:line="240" w:lineRule="auto"/>
              <w:rPr>
                <w:rFonts w:hint="eastAsia" w:ascii="宋体" w:hAnsi="宋体" w:eastAsia="宋体" w:cs="宋体"/>
                <w:sz w:val="21"/>
                <w:szCs w:val="21"/>
              </w:rPr>
            </w:pPr>
            <w:r>
              <w:rPr>
                <w:rFonts w:hint="eastAsia" w:ascii="宋体" w:hAnsi="宋体" w:eastAsia="宋体" w:cs="宋体"/>
                <w:sz w:val="21"/>
                <w:szCs w:val="21"/>
              </w:rPr>
              <w:t>特定资格条件</w:t>
            </w:r>
          </w:p>
        </w:tc>
        <w:tc>
          <w:tcPr>
            <w:tcW w:w="4781" w:type="dxa"/>
            <w:noWrap w:val="0"/>
            <w:vAlign w:val="center"/>
          </w:tcPr>
          <w:p w14:paraId="026BCC76">
            <w:pPr>
              <w:spacing w:line="240" w:lineRule="auto"/>
              <w:rPr>
                <w:rFonts w:hint="eastAsia" w:ascii="宋体" w:hAnsi="宋体" w:eastAsia="宋体" w:cs="宋体"/>
                <w:sz w:val="21"/>
                <w:szCs w:val="21"/>
              </w:rPr>
            </w:pPr>
            <w:r>
              <w:rPr>
                <w:rFonts w:hint="eastAsia" w:ascii="宋体" w:hAnsi="宋体" w:eastAsia="宋体" w:cs="宋体"/>
                <w:sz w:val="21"/>
                <w:szCs w:val="21"/>
              </w:rPr>
              <w:t>按第一篇“资格条件（二）本项目的特定资格要求”的要求提交（如果有）。</w:t>
            </w:r>
          </w:p>
        </w:tc>
      </w:tr>
    </w:tbl>
    <w:p w14:paraId="2BDF59FE">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投标截止日期前通过 “信用中国”网站(www.creditchina.gov.cn)、"中国政府采购网"(www.ccgp.gov.cn)等渠道查询信用记录。</w:t>
      </w:r>
    </w:p>
    <w:p w14:paraId="3DE72AEC">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kern w:val="0"/>
          <w:sz w:val="24"/>
          <w:szCs w:val="24"/>
        </w:rPr>
        <w:t>2.符合性审查。依据竞争性比选文件的规定，从比选申请文件的有效性、完整性和对竞争性比选文件的响应程度进行审查，以确定是否对竞争性比选文件的实质性要求作出响应。符合性检查资料表如下：</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492"/>
        <w:gridCol w:w="2231"/>
        <w:gridCol w:w="5141"/>
      </w:tblGrid>
      <w:tr w14:paraId="4372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35" w:type="dxa"/>
            <w:noWrap w:val="0"/>
            <w:vAlign w:val="center"/>
          </w:tcPr>
          <w:p w14:paraId="3499BA47">
            <w:pP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3723" w:type="dxa"/>
            <w:gridSpan w:val="2"/>
            <w:noWrap w:val="0"/>
            <w:vAlign w:val="center"/>
          </w:tcPr>
          <w:p w14:paraId="6A425463">
            <w:pP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评审因素</w:t>
            </w:r>
          </w:p>
        </w:tc>
        <w:tc>
          <w:tcPr>
            <w:tcW w:w="5141" w:type="dxa"/>
            <w:noWrap w:val="0"/>
            <w:vAlign w:val="center"/>
          </w:tcPr>
          <w:p w14:paraId="31A74B45">
            <w:pPr>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评审标准</w:t>
            </w:r>
          </w:p>
        </w:tc>
      </w:tr>
      <w:tr w14:paraId="314AD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735" w:type="dxa"/>
            <w:vMerge w:val="restart"/>
            <w:noWrap w:val="0"/>
            <w:vAlign w:val="center"/>
          </w:tcPr>
          <w:p w14:paraId="532E66C8">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492" w:type="dxa"/>
            <w:vMerge w:val="restart"/>
            <w:noWrap w:val="0"/>
            <w:vAlign w:val="center"/>
          </w:tcPr>
          <w:p w14:paraId="42B39F61">
            <w:pPr>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有效性审查</w:t>
            </w:r>
          </w:p>
        </w:tc>
        <w:tc>
          <w:tcPr>
            <w:tcW w:w="2231" w:type="dxa"/>
            <w:noWrap w:val="0"/>
            <w:vAlign w:val="center"/>
          </w:tcPr>
          <w:p w14:paraId="1E3C0B81">
            <w:pPr>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比选申请文件签署或盖章</w:t>
            </w:r>
          </w:p>
        </w:tc>
        <w:tc>
          <w:tcPr>
            <w:tcW w:w="5141" w:type="dxa"/>
            <w:noWrap w:val="0"/>
            <w:vAlign w:val="center"/>
          </w:tcPr>
          <w:p w14:paraId="01602D10">
            <w:pPr>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按比选文件“第七篇 响应文件格式”要求签署或盖章。</w:t>
            </w:r>
          </w:p>
        </w:tc>
      </w:tr>
      <w:tr w14:paraId="11F58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35" w:type="dxa"/>
            <w:vMerge w:val="continue"/>
            <w:noWrap w:val="0"/>
            <w:vAlign w:val="center"/>
          </w:tcPr>
          <w:p w14:paraId="78F325CF">
            <w:pPr>
              <w:spacing w:line="240" w:lineRule="auto"/>
              <w:jc w:val="center"/>
              <w:rPr>
                <w:rFonts w:hint="eastAsia" w:ascii="宋体" w:hAnsi="宋体" w:eastAsia="宋体" w:cs="宋体"/>
                <w:kern w:val="0"/>
                <w:sz w:val="21"/>
                <w:szCs w:val="21"/>
              </w:rPr>
            </w:pPr>
          </w:p>
        </w:tc>
        <w:tc>
          <w:tcPr>
            <w:tcW w:w="1492" w:type="dxa"/>
            <w:vMerge w:val="continue"/>
            <w:noWrap w:val="0"/>
            <w:vAlign w:val="center"/>
          </w:tcPr>
          <w:p w14:paraId="2991E420">
            <w:pPr>
              <w:spacing w:line="240" w:lineRule="auto"/>
              <w:jc w:val="left"/>
              <w:rPr>
                <w:rFonts w:hint="eastAsia" w:ascii="宋体" w:hAnsi="宋体" w:eastAsia="宋体" w:cs="宋体"/>
                <w:kern w:val="0"/>
                <w:sz w:val="21"/>
                <w:szCs w:val="21"/>
              </w:rPr>
            </w:pPr>
          </w:p>
        </w:tc>
        <w:tc>
          <w:tcPr>
            <w:tcW w:w="2231" w:type="dxa"/>
            <w:noWrap w:val="0"/>
            <w:vAlign w:val="center"/>
          </w:tcPr>
          <w:p w14:paraId="594FEEA1">
            <w:pPr>
              <w:spacing w:line="240" w:lineRule="auto"/>
              <w:rPr>
                <w:rFonts w:hint="eastAsia" w:ascii="宋体" w:hAnsi="宋体" w:eastAsia="宋体" w:cs="宋体"/>
                <w:sz w:val="21"/>
                <w:szCs w:val="21"/>
                <w:lang w:val="zh-CN"/>
              </w:rPr>
            </w:pPr>
            <w:r>
              <w:rPr>
                <w:rFonts w:hint="eastAsia" w:ascii="宋体" w:hAnsi="宋体" w:eastAsia="宋体" w:cs="宋体"/>
                <w:sz w:val="21"/>
                <w:szCs w:val="21"/>
                <w:lang w:val="zh-CN"/>
              </w:rPr>
              <w:t>法定代表人身份证明及授权委托书</w:t>
            </w:r>
            <w:r>
              <w:rPr>
                <w:rFonts w:hint="eastAsia" w:ascii="宋体" w:hAnsi="宋体" w:eastAsia="宋体" w:cs="宋体"/>
                <w:sz w:val="21"/>
                <w:szCs w:val="21"/>
                <w:lang w:val="zh-CN"/>
              </w:rPr>
              <w:tab/>
            </w:r>
          </w:p>
        </w:tc>
        <w:tc>
          <w:tcPr>
            <w:tcW w:w="5141" w:type="dxa"/>
            <w:noWrap w:val="0"/>
            <w:vAlign w:val="center"/>
          </w:tcPr>
          <w:p w14:paraId="22DE7D17">
            <w:pPr>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法定代表人身份证明及授权委托书有效，符合比选文件规定的格式，签署或盖章齐全。</w:t>
            </w:r>
          </w:p>
        </w:tc>
      </w:tr>
      <w:tr w14:paraId="4A7C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35" w:type="dxa"/>
            <w:vMerge w:val="continue"/>
            <w:noWrap w:val="0"/>
            <w:vAlign w:val="center"/>
          </w:tcPr>
          <w:p w14:paraId="5964B1E6">
            <w:pPr>
              <w:spacing w:line="240" w:lineRule="auto"/>
              <w:jc w:val="center"/>
              <w:rPr>
                <w:rFonts w:hint="eastAsia" w:ascii="宋体" w:hAnsi="宋体" w:eastAsia="宋体" w:cs="宋体"/>
                <w:kern w:val="0"/>
                <w:sz w:val="21"/>
                <w:szCs w:val="21"/>
              </w:rPr>
            </w:pPr>
          </w:p>
        </w:tc>
        <w:tc>
          <w:tcPr>
            <w:tcW w:w="1492" w:type="dxa"/>
            <w:vMerge w:val="continue"/>
            <w:noWrap w:val="0"/>
            <w:vAlign w:val="center"/>
          </w:tcPr>
          <w:p w14:paraId="01D8BB17">
            <w:pPr>
              <w:spacing w:line="240" w:lineRule="auto"/>
              <w:jc w:val="left"/>
              <w:rPr>
                <w:rFonts w:hint="eastAsia" w:ascii="宋体" w:hAnsi="宋体" w:eastAsia="宋体" w:cs="宋体"/>
                <w:kern w:val="0"/>
                <w:sz w:val="21"/>
                <w:szCs w:val="21"/>
              </w:rPr>
            </w:pPr>
          </w:p>
        </w:tc>
        <w:tc>
          <w:tcPr>
            <w:tcW w:w="2231" w:type="dxa"/>
            <w:noWrap w:val="0"/>
            <w:vAlign w:val="center"/>
          </w:tcPr>
          <w:p w14:paraId="1920D618">
            <w:pPr>
              <w:spacing w:line="240" w:lineRule="auto"/>
              <w:rPr>
                <w:rFonts w:hint="eastAsia" w:ascii="宋体" w:hAnsi="宋体" w:eastAsia="宋体" w:cs="宋体"/>
                <w:sz w:val="21"/>
                <w:szCs w:val="21"/>
                <w:lang w:val="zh-CN"/>
              </w:rPr>
            </w:pPr>
            <w:r>
              <w:rPr>
                <w:rFonts w:hint="eastAsia" w:ascii="宋体" w:hAnsi="宋体" w:eastAsia="宋体" w:cs="宋体"/>
                <w:sz w:val="21"/>
                <w:szCs w:val="21"/>
              </w:rPr>
              <w:t>响应</w:t>
            </w:r>
            <w:r>
              <w:rPr>
                <w:rFonts w:hint="eastAsia" w:ascii="宋体" w:hAnsi="宋体" w:eastAsia="宋体" w:cs="宋体"/>
                <w:sz w:val="21"/>
                <w:szCs w:val="21"/>
                <w:lang w:val="zh-CN"/>
              </w:rPr>
              <w:t>方案</w:t>
            </w:r>
          </w:p>
        </w:tc>
        <w:tc>
          <w:tcPr>
            <w:tcW w:w="5141" w:type="dxa"/>
            <w:noWrap w:val="0"/>
            <w:vAlign w:val="center"/>
          </w:tcPr>
          <w:p w14:paraId="58C750A2">
            <w:pPr>
              <w:spacing w:line="240" w:lineRule="auto"/>
              <w:rPr>
                <w:rFonts w:hint="eastAsia" w:ascii="宋体" w:hAnsi="宋体" w:eastAsia="宋体" w:cs="宋体"/>
                <w:kern w:val="0"/>
                <w:sz w:val="21"/>
                <w:szCs w:val="21"/>
                <w:lang w:val="zh-CN"/>
              </w:rPr>
            </w:pPr>
            <w:r>
              <w:rPr>
                <w:rFonts w:hint="eastAsia" w:ascii="宋体" w:hAnsi="宋体" w:eastAsia="宋体" w:cs="宋体"/>
                <w:sz w:val="21"/>
                <w:szCs w:val="21"/>
                <w:lang w:val="zh-CN"/>
              </w:rPr>
              <w:t>每个包只能有一个</w:t>
            </w:r>
            <w:r>
              <w:rPr>
                <w:rFonts w:hint="eastAsia" w:ascii="宋体" w:hAnsi="宋体" w:eastAsia="宋体" w:cs="宋体"/>
                <w:sz w:val="21"/>
                <w:szCs w:val="21"/>
              </w:rPr>
              <w:t>响应</w:t>
            </w:r>
            <w:r>
              <w:rPr>
                <w:rFonts w:hint="eastAsia" w:ascii="宋体" w:hAnsi="宋体" w:eastAsia="宋体" w:cs="宋体"/>
                <w:sz w:val="21"/>
                <w:szCs w:val="21"/>
                <w:lang w:val="zh-CN"/>
              </w:rPr>
              <w:t>方案。</w:t>
            </w:r>
          </w:p>
        </w:tc>
      </w:tr>
      <w:tr w14:paraId="68D9B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35" w:type="dxa"/>
            <w:vMerge w:val="continue"/>
            <w:noWrap w:val="0"/>
            <w:vAlign w:val="center"/>
          </w:tcPr>
          <w:p w14:paraId="0DA5B122">
            <w:pPr>
              <w:spacing w:line="240" w:lineRule="auto"/>
              <w:jc w:val="center"/>
              <w:rPr>
                <w:rFonts w:hint="eastAsia" w:ascii="宋体" w:hAnsi="宋体" w:eastAsia="宋体" w:cs="宋体"/>
                <w:kern w:val="0"/>
                <w:sz w:val="21"/>
                <w:szCs w:val="21"/>
              </w:rPr>
            </w:pPr>
          </w:p>
        </w:tc>
        <w:tc>
          <w:tcPr>
            <w:tcW w:w="1492" w:type="dxa"/>
            <w:vMerge w:val="continue"/>
            <w:noWrap w:val="0"/>
            <w:vAlign w:val="center"/>
          </w:tcPr>
          <w:p w14:paraId="5B36915C">
            <w:pPr>
              <w:spacing w:line="240" w:lineRule="auto"/>
              <w:jc w:val="left"/>
              <w:rPr>
                <w:rFonts w:hint="eastAsia" w:ascii="宋体" w:hAnsi="宋体" w:eastAsia="宋体" w:cs="宋体"/>
                <w:kern w:val="0"/>
                <w:sz w:val="21"/>
                <w:szCs w:val="21"/>
              </w:rPr>
            </w:pPr>
          </w:p>
        </w:tc>
        <w:tc>
          <w:tcPr>
            <w:tcW w:w="2231" w:type="dxa"/>
            <w:noWrap w:val="0"/>
            <w:vAlign w:val="center"/>
          </w:tcPr>
          <w:p w14:paraId="6B1AB977">
            <w:pPr>
              <w:spacing w:line="240" w:lineRule="auto"/>
              <w:rPr>
                <w:rFonts w:hint="eastAsia" w:ascii="宋体" w:hAnsi="宋体" w:eastAsia="宋体" w:cs="宋体"/>
                <w:sz w:val="21"/>
                <w:szCs w:val="21"/>
                <w:lang w:val="zh-CN"/>
              </w:rPr>
            </w:pPr>
            <w:r>
              <w:rPr>
                <w:rFonts w:hint="eastAsia" w:ascii="宋体" w:hAnsi="宋体" w:eastAsia="宋体" w:cs="宋体"/>
                <w:sz w:val="21"/>
                <w:szCs w:val="21"/>
              </w:rPr>
              <w:t>报价唯一</w:t>
            </w:r>
          </w:p>
        </w:tc>
        <w:tc>
          <w:tcPr>
            <w:tcW w:w="5141" w:type="dxa"/>
            <w:noWrap w:val="0"/>
            <w:vAlign w:val="center"/>
          </w:tcPr>
          <w:p w14:paraId="6AA83EE9">
            <w:pPr>
              <w:spacing w:line="240" w:lineRule="auto"/>
              <w:rPr>
                <w:rFonts w:hint="eastAsia" w:ascii="宋体" w:hAnsi="宋体" w:eastAsia="宋体" w:cs="宋体"/>
                <w:kern w:val="0"/>
                <w:sz w:val="21"/>
                <w:szCs w:val="21"/>
              </w:rPr>
            </w:pPr>
            <w:r>
              <w:rPr>
                <w:rFonts w:hint="eastAsia" w:ascii="宋体" w:hAnsi="宋体" w:eastAsia="宋体" w:cs="宋体"/>
                <w:sz w:val="21"/>
                <w:szCs w:val="21"/>
              </w:rPr>
              <w:t>只能有一个有效报价，不得提交选择性报价。</w:t>
            </w:r>
          </w:p>
        </w:tc>
      </w:tr>
      <w:tr w14:paraId="0B9F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735" w:type="dxa"/>
            <w:noWrap w:val="0"/>
            <w:vAlign w:val="center"/>
          </w:tcPr>
          <w:p w14:paraId="341C1C59">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492" w:type="dxa"/>
            <w:noWrap w:val="0"/>
            <w:vAlign w:val="center"/>
          </w:tcPr>
          <w:p w14:paraId="4FC874B4">
            <w:pPr>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完整性审查</w:t>
            </w:r>
          </w:p>
        </w:tc>
        <w:tc>
          <w:tcPr>
            <w:tcW w:w="2231" w:type="dxa"/>
            <w:noWrap w:val="0"/>
            <w:vAlign w:val="center"/>
          </w:tcPr>
          <w:p w14:paraId="094E177F">
            <w:pPr>
              <w:spacing w:line="240" w:lineRule="auto"/>
              <w:rPr>
                <w:rFonts w:hint="eastAsia" w:ascii="宋体" w:hAnsi="宋体" w:eastAsia="宋体" w:cs="宋体"/>
                <w:kern w:val="0"/>
                <w:sz w:val="21"/>
                <w:szCs w:val="21"/>
              </w:rPr>
            </w:pPr>
            <w:r>
              <w:rPr>
                <w:rFonts w:hint="eastAsia" w:ascii="宋体" w:hAnsi="宋体" w:eastAsia="宋体" w:cs="宋体"/>
                <w:sz w:val="21"/>
                <w:szCs w:val="21"/>
              </w:rPr>
              <w:t>比选申请文件</w:t>
            </w:r>
            <w:r>
              <w:rPr>
                <w:rFonts w:hint="eastAsia" w:ascii="宋体" w:hAnsi="宋体" w:eastAsia="宋体" w:cs="宋体"/>
                <w:sz w:val="21"/>
                <w:szCs w:val="21"/>
                <w:lang w:val="zh-CN"/>
              </w:rPr>
              <w:t>份数</w:t>
            </w:r>
          </w:p>
        </w:tc>
        <w:tc>
          <w:tcPr>
            <w:tcW w:w="5141" w:type="dxa"/>
            <w:noWrap w:val="0"/>
            <w:vAlign w:val="center"/>
          </w:tcPr>
          <w:p w14:paraId="4DB85B6C">
            <w:pPr>
              <w:spacing w:line="240" w:lineRule="auto"/>
              <w:rPr>
                <w:rFonts w:hint="eastAsia" w:ascii="宋体" w:hAnsi="宋体" w:eastAsia="宋体" w:cs="宋体"/>
                <w:kern w:val="0"/>
                <w:sz w:val="21"/>
                <w:szCs w:val="21"/>
              </w:rPr>
            </w:pPr>
            <w:r>
              <w:rPr>
                <w:rFonts w:hint="eastAsia" w:ascii="宋体" w:hAnsi="宋体" w:eastAsia="宋体" w:cs="宋体"/>
                <w:sz w:val="21"/>
                <w:szCs w:val="21"/>
              </w:rPr>
              <w:t>比选申请文件</w:t>
            </w:r>
            <w:r>
              <w:rPr>
                <w:rFonts w:hint="eastAsia" w:ascii="宋体" w:hAnsi="宋体" w:eastAsia="宋体" w:cs="宋体"/>
                <w:sz w:val="21"/>
                <w:szCs w:val="21"/>
                <w:lang w:val="zh-CN"/>
              </w:rPr>
              <w:t>数量（含电子文档）符合</w:t>
            </w:r>
            <w:r>
              <w:rPr>
                <w:rFonts w:hint="eastAsia" w:ascii="宋体" w:hAnsi="宋体" w:eastAsia="宋体" w:cs="宋体"/>
                <w:sz w:val="21"/>
                <w:szCs w:val="21"/>
              </w:rPr>
              <w:t>竞争性比选</w:t>
            </w:r>
            <w:r>
              <w:rPr>
                <w:rFonts w:hint="eastAsia" w:ascii="宋体" w:hAnsi="宋体" w:eastAsia="宋体" w:cs="宋体"/>
                <w:sz w:val="21"/>
                <w:szCs w:val="21"/>
                <w:lang w:val="zh-CN"/>
              </w:rPr>
              <w:t>文件要求。</w:t>
            </w:r>
          </w:p>
        </w:tc>
      </w:tr>
      <w:tr w14:paraId="492A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35" w:type="dxa"/>
            <w:vMerge w:val="restart"/>
            <w:noWrap w:val="0"/>
            <w:vAlign w:val="center"/>
          </w:tcPr>
          <w:p w14:paraId="114034B6">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492" w:type="dxa"/>
            <w:vMerge w:val="restart"/>
            <w:noWrap w:val="0"/>
            <w:vAlign w:val="center"/>
          </w:tcPr>
          <w:p w14:paraId="6FFEB2CB">
            <w:pPr>
              <w:spacing w:line="240" w:lineRule="auto"/>
              <w:jc w:val="left"/>
              <w:rPr>
                <w:rFonts w:hint="eastAsia" w:ascii="宋体" w:hAnsi="宋体" w:eastAsia="宋体" w:cs="宋体"/>
                <w:sz w:val="21"/>
                <w:szCs w:val="21"/>
                <w:lang w:val="zh-CN"/>
              </w:rPr>
            </w:pPr>
            <w:r>
              <w:rPr>
                <w:rFonts w:hint="eastAsia" w:ascii="宋体" w:hAnsi="宋体" w:eastAsia="宋体" w:cs="宋体"/>
                <w:kern w:val="0"/>
                <w:sz w:val="21"/>
                <w:szCs w:val="21"/>
              </w:rPr>
              <w:t>竞争性比选文件的响应程度审查</w:t>
            </w:r>
          </w:p>
        </w:tc>
        <w:tc>
          <w:tcPr>
            <w:tcW w:w="2231" w:type="dxa"/>
            <w:noWrap w:val="0"/>
            <w:vAlign w:val="center"/>
          </w:tcPr>
          <w:p w14:paraId="7C0525F9">
            <w:pPr>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实质性响应</w:t>
            </w:r>
          </w:p>
        </w:tc>
        <w:tc>
          <w:tcPr>
            <w:tcW w:w="5141" w:type="dxa"/>
            <w:noWrap w:val="0"/>
            <w:vAlign w:val="center"/>
          </w:tcPr>
          <w:p w14:paraId="2AB018CB">
            <w:pPr>
              <w:pStyle w:val="13"/>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竞争性比选文件第二篇、第三篇中规定的内容进行响应。</w:t>
            </w:r>
          </w:p>
        </w:tc>
      </w:tr>
      <w:tr w14:paraId="7E32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35" w:type="dxa"/>
            <w:vMerge w:val="continue"/>
            <w:noWrap w:val="0"/>
            <w:vAlign w:val="center"/>
          </w:tcPr>
          <w:p w14:paraId="4775F303">
            <w:pPr>
              <w:spacing w:line="240" w:lineRule="auto"/>
              <w:jc w:val="center"/>
              <w:rPr>
                <w:rFonts w:hint="eastAsia" w:ascii="宋体" w:hAnsi="宋体" w:eastAsia="宋体" w:cs="宋体"/>
                <w:kern w:val="0"/>
                <w:sz w:val="21"/>
                <w:szCs w:val="21"/>
              </w:rPr>
            </w:pPr>
          </w:p>
        </w:tc>
        <w:tc>
          <w:tcPr>
            <w:tcW w:w="1492" w:type="dxa"/>
            <w:vMerge w:val="continue"/>
            <w:noWrap w:val="0"/>
            <w:vAlign w:val="center"/>
          </w:tcPr>
          <w:p w14:paraId="1F04742E">
            <w:pPr>
              <w:spacing w:line="240" w:lineRule="auto"/>
              <w:rPr>
                <w:rFonts w:hint="eastAsia" w:ascii="宋体" w:hAnsi="宋体" w:eastAsia="宋体" w:cs="宋体"/>
                <w:sz w:val="21"/>
                <w:szCs w:val="21"/>
                <w:lang w:val="zh-CN"/>
              </w:rPr>
            </w:pPr>
          </w:p>
        </w:tc>
        <w:tc>
          <w:tcPr>
            <w:tcW w:w="2231" w:type="dxa"/>
            <w:noWrap w:val="0"/>
            <w:vAlign w:val="center"/>
          </w:tcPr>
          <w:p w14:paraId="27D6C958">
            <w:pPr>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竞选有效期</w:t>
            </w:r>
          </w:p>
        </w:tc>
        <w:tc>
          <w:tcPr>
            <w:tcW w:w="5141" w:type="dxa"/>
            <w:noWrap w:val="0"/>
            <w:vAlign w:val="center"/>
          </w:tcPr>
          <w:p w14:paraId="670E465A">
            <w:pPr>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比选申请文件及有关承诺文件有效期为提交比选申请文件截止时间起90天。</w:t>
            </w:r>
          </w:p>
        </w:tc>
      </w:tr>
    </w:tbl>
    <w:p w14:paraId="48BB9C5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澄清有关问题。竞争性比选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46E8F27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竞争性比选小组要求供应商澄清、说明或者更正比选申请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2BB6A2E4">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竞争性比选小组采用综合评分法对供应商的比选申请文件（含有效书面承诺）进行综合评分。综合评分法，是指比选申请文件满足竞争性比选文件全部实质性要求且按照评审因素的量化指标评审得分最高的供应商为成交候选供应商的评审方法。供应商总得分为报价、</w:t>
      </w:r>
      <w:r>
        <w:rPr>
          <w:rFonts w:hint="eastAsia" w:ascii="宋体" w:hAnsi="宋体" w:eastAsia="宋体" w:cs="宋体"/>
          <w:sz w:val="24"/>
          <w:szCs w:val="24"/>
          <w:lang w:val="en-US" w:eastAsia="zh-CN"/>
        </w:rPr>
        <w:t>服务、</w:t>
      </w:r>
      <w:r>
        <w:rPr>
          <w:rFonts w:hint="eastAsia" w:ascii="宋体" w:hAnsi="宋体" w:eastAsia="宋体" w:cs="宋体"/>
          <w:sz w:val="24"/>
          <w:szCs w:val="24"/>
        </w:rPr>
        <w:t>商务等评定因素分别按照相应权重值计算分项得分后相加，满分为100分。</w:t>
      </w:r>
    </w:p>
    <w:p w14:paraId="280527D7">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竞争性比选小组各成员独立对每个有效响应（通过资格性、符合性检查的供应商）的文件进行评价、打分，然后汇总每个供应商每项评分因素的得分，并根据综合评分情况按照评审得分由高到低顺序推荐3名及以上成交候选供应商，排名第一的为第一成交候选供应商。评审得分且报价相同的，按照商务部分得分的优劣顺序排列推荐。</w:t>
      </w:r>
    </w:p>
    <w:p w14:paraId="05500590">
      <w:pPr>
        <w:pStyle w:val="2"/>
        <w:spacing w:before="0" w:after="0" w:line="360" w:lineRule="auto"/>
        <w:ind w:firstLine="482" w:firstLineChars="200"/>
        <w:rPr>
          <w:rFonts w:hint="eastAsia" w:ascii="宋体" w:hAnsi="宋体" w:eastAsia="宋体" w:cs="宋体"/>
          <w:b w:val="0"/>
          <w:bCs/>
          <w:sz w:val="21"/>
          <w:szCs w:val="21"/>
        </w:rPr>
      </w:pPr>
      <w:r>
        <w:rPr>
          <w:rFonts w:hint="eastAsia" w:ascii="宋体" w:hAnsi="宋体" w:eastAsia="宋体" w:cs="宋体"/>
          <w:sz w:val="24"/>
          <w:szCs w:val="24"/>
          <w:lang w:val="en-US" w:eastAsia="zh-CN"/>
        </w:rPr>
        <w:t>二</w:t>
      </w:r>
      <w:r>
        <w:rPr>
          <w:rFonts w:hint="eastAsia" w:ascii="宋体" w:hAnsi="宋体" w:eastAsia="宋体" w:cs="宋体"/>
          <w:sz w:val="21"/>
          <w:szCs w:val="21"/>
          <w:lang w:val="en-US" w:eastAsia="zh-CN"/>
        </w:rPr>
        <w:t>、</w:t>
      </w:r>
      <w:r>
        <w:rPr>
          <w:rFonts w:hint="eastAsia" w:ascii="宋体" w:hAnsi="宋体" w:eastAsia="宋体" w:cs="宋体"/>
          <w:sz w:val="21"/>
          <w:szCs w:val="21"/>
        </w:rPr>
        <w:t>评审标准</w:t>
      </w:r>
    </w:p>
    <w:tbl>
      <w:tblPr>
        <w:tblStyle w:val="23"/>
        <w:tblpPr w:leftFromText="180" w:rightFromText="180" w:vertAnchor="text" w:horzAnchor="page" w:tblpX="1196" w:tblpY="464"/>
        <w:tblOverlap w:val="never"/>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89"/>
        <w:gridCol w:w="1032"/>
        <w:gridCol w:w="1342"/>
        <w:gridCol w:w="4076"/>
        <w:gridCol w:w="1663"/>
      </w:tblGrid>
      <w:tr w14:paraId="2E748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623" w:type="dxa"/>
            <w:gridSpan w:val="2"/>
            <w:tcBorders>
              <w:top w:val="single" w:color="auto" w:sz="4" w:space="0"/>
              <w:left w:val="single" w:color="auto" w:sz="4" w:space="0"/>
              <w:bottom w:val="single" w:color="auto" w:sz="4" w:space="0"/>
              <w:right w:val="single" w:color="auto" w:sz="4" w:space="0"/>
            </w:tcBorders>
            <w:vAlign w:val="center"/>
          </w:tcPr>
          <w:p w14:paraId="5B53B74C">
            <w:pPr>
              <w:pageBreakBefore w:val="0"/>
              <w:kinsoku/>
              <w:wordWrap/>
              <w:overflowPunct/>
              <w:topLinePunct w:val="0"/>
              <w:autoSpaceDE/>
              <w:autoSpaceDN/>
              <w:bidi w:val="0"/>
              <w:adjustRightInd/>
              <w:spacing w:line="240" w:lineRule="auto"/>
              <w:ind w:firstLine="28"/>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序号</w:t>
            </w:r>
          </w:p>
        </w:tc>
        <w:tc>
          <w:tcPr>
            <w:tcW w:w="1032" w:type="dxa"/>
            <w:tcBorders>
              <w:top w:val="single" w:color="auto" w:sz="4" w:space="0"/>
              <w:left w:val="single" w:color="auto" w:sz="4" w:space="0"/>
              <w:bottom w:val="single" w:color="auto" w:sz="4" w:space="0"/>
              <w:right w:val="single" w:color="auto" w:sz="4" w:space="0"/>
            </w:tcBorders>
            <w:vAlign w:val="center"/>
          </w:tcPr>
          <w:p w14:paraId="787817DE">
            <w:pPr>
              <w:pageBreakBefore w:val="0"/>
              <w:kinsoku/>
              <w:wordWrap/>
              <w:overflowPunct/>
              <w:topLinePunct w:val="0"/>
              <w:autoSpaceDE/>
              <w:autoSpaceDN/>
              <w:bidi w:val="0"/>
              <w:adjustRightInd/>
              <w:spacing w:line="240" w:lineRule="auto"/>
              <w:ind w:firstLine="28"/>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评分因素及权值</w:t>
            </w:r>
          </w:p>
        </w:tc>
        <w:tc>
          <w:tcPr>
            <w:tcW w:w="1342" w:type="dxa"/>
            <w:tcBorders>
              <w:top w:val="single" w:color="auto" w:sz="4" w:space="0"/>
              <w:left w:val="single" w:color="auto" w:sz="4" w:space="0"/>
              <w:bottom w:val="single" w:color="auto" w:sz="4" w:space="0"/>
              <w:right w:val="single" w:color="auto" w:sz="4" w:space="0"/>
            </w:tcBorders>
            <w:vAlign w:val="center"/>
          </w:tcPr>
          <w:p w14:paraId="3C9D9E4A">
            <w:pPr>
              <w:pageBreakBefore w:val="0"/>
              <w:kinsoku/>
              <w:wordWrap/>
              <w:overflowPunct/>
              <w:topLinePunct w:val="0"/>
              <w:autoSpaceDE/>
              <w:autoSpaceDN/>
              <w:bidi w:val="0"/>
              <w:adjustRightInd/>
              <w:spacing w:line="240" w:lineRule="auto"/>
              <w:ind w:firstLine="28"/>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分值</w:t>
            </w:r>
          </w:p>
        </w:tc>
        <w:tc>
          <w:tcPr>
            <w:tcW w:w="4076" w:type="dxa"/>
            <w:tcBorders>
              <w:top w:val="single" w:color="auto" w:sz="4" w:space="0"/>
              <w:left w:val="single" w:color="auto" w:sz="4" w:space="0"/>
              <w:bottom w:val="single" w:color="auto" w:sz="4" w:space="0"/>
              <w:right w:val="single" w:color="auto" w:sz="4" w:space="0"/>
            </w:tcBorders>
            <w:vAlign w:val="center"/>
          </w:tcPr>
          <w:p w14:paraId="3A6C639B">
            <w:pPr>
              <w:pageBreakBefore w:val="0"/>
              <w:kinsoku/>
              <w:wordWrap/>
              <w:overflowPunct/>
              <w:topLinePunct w:val="0"/>
              <w:autoSpaceDE/>
              <w:autoSpaceDN/>
              <w:bidi w:val="0"/>
              <w:adjustRightInd/>
              <w:spacing w:line="240" w:lineRule="auto"/>
              <w:ind w:firstLine="28"/>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评分标准</w:t>
            </w:r>
          </w:p>
        </w:tc>
        <w:tc>
          <w:tcPr>
            <w:tcW w:w="1663" w:type="dxa"/>
            <w:tcBorders>
              <w:top w:val="single" w:color="auto" w:sz="4" w:space="0"/>
              <w:left w:val="single" w:color="auto" w:sz="4" w:space="0"/>
              <w:bottom w:val="single" w:color="auto" w:sz="4" w:space="0"/>
              <w:right w:val="single" w:color="auto" w:sz="4" w:space="0"/>
            </w:tcBorders>
            <w:vAlign w:val="center"/>
          </w:tcPr>
          <w:p w14:paraId="229811A6">
            <w:pPr>
              <w:pStyle w:val="31"/>
              <w:pageBreakBefore w:val="0"/>
              <w:kinsoku/>
              <w:wordWrap/>
              <w:overflowPunct/>
              <w:topLinePunct w:val="0"/>
              <w:autoSpaceDE/>
              <w:autoSpaceDN/>
              <w:bidi w:val="0"/>
              <w:adjustRightIn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说明</w:t>
            </w:r>
          </w:p>
        </w:tc>
      </w:tr>
      <w:tr w14:paraId="7F70B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534" w:type="dxa"/>
            <w:tcBorders>
              <w:top w:val="single" w:color="auto" w:sz="4" w:space="0"/>
              <w:left w:val="single" w:color="auto" w:sz="4" w:space="0"/>
              <w:bottom w:val="single" w:color="auto" w:sz="4" w:space="0"/>
              <w:right w:val="single" w:color="auto" w:sz="4" w:space="0"/>
            </w:tcBorders>
            <w:vAlign w:val="center"/>
          </w:tcPr>
          <w:p w14:paraId="7FB6623F">
            <w:pPr>
              <w:pageBreakBefore w:val="0"/>
              <w:kinsoku/>
              <w:wordWrap/>
              <w:overflowPunct/>
              <w:topLinePunct w:val="0"/>
              <w:autoSpaceDE/>
              <w:autoSpaceDN/>
              <w:bidi w:val="0"/>
              <w:adjustRightInd/>
              <w:spacing w:line="240" w:lineRule="auto"/>
              <w:ind w:firstLine="28"/>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1089" w:type="dxa"/>
            <w:tcBorders>
              <w:top w:val="single" w:color="auto" w:sz="4" w:space="0"/>
              <w:left w:val="single" w:color="auto" w:sz="4" w:space="0"/>
              <w:bottom w:val="single" w:color="auto" w:sz="4" w:space="0"/>
              <w:right w:val="single" w:color="auto" w:sz="4" w:space="0"/>
            </w:tcBorders>
            <w:vAlign w:val="center"/>
          </w:tcPr>
          <w:p w14:paraId="4EE63FEE">
            <w:pPr>
              <w:pageBreakBefore w:val="0"/>
              <w:kinsoku/>
              <w:wordWrap/>
              <w:overflowPunct/>
              <w:topLinePunct w:val="0"/>
              <w:autoSpaceDE/>
              <w:autoSpaceDN/>
              <w:bidi w:val="0"/>
              <w:adjustRightInd/>
              <w:spacing w:line="240" w:lineRule="auto"/>
              <w:ind w:firstLine="28"/>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经济部分</w:t>
            </w:r>
          </w:p>
        </w:tc>
        <w:tc>
          <w:tcPr>
            <w:tcW w:w="1032" w:type="dxa"/>
            <w:tcBorders>
              <w:top w:val="single" w:color="auto" w:sz="4" w:space="0"/>
              <w:left w:val="single" w:color="auto" w:sz="4" w:space="0"/>
              <w:bottom w:val="single" w:color="auto" w:sz="4" w:space="0"/>
              <w:right w:val="single" w:color="auto" w:sz="4" w:space="0"/>
            </w:tcBorders>
            <w:vAlign w:val="center"/>
          </w:tcPr>
          <w:p w14:paraId="472DE350">
            <w:pPr>
              <w:pageBreakBefore w:val="0"/>
              <w:kinsoku/>
              <w:wordWrap/>
              <w:overflowPunct/>
              <w:topLinePunct w:val="0"/>
              <w:autoSpaceDE/>
              <w:autoSpaceDN/>
              <w:bidi w:val="0"/>
              <w:adjustRightInd/>
              <w:spacing w:line="240" w:lineRule="auto"/>
              <w:ind w:firstLine="28"/>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投标总报价（</w:t>
            </w: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0</w:t>
            </w:r>
            <w:r>
              <w:rPr>
                <w:rFonts w:hint="eastAsia" w:ascii="宋体" w:hAnsi="宋体" w:eastAsia="宋体" w:cs="宋体"/>
                <w:b w:val="0"/>
                <w:bCs/>
                <w:color w:val="auto"/>
                <w:sz w:val="21"/>
                <w:szCs w:val="21"/>
                <w:highlight w:val="none"/>
              </w:rPr>
              <w:t>%）</w:t>
            </w:r>
          </w:p>
        </w:tc>
        <w:tc>
          <w:tcPr>
            <w:tcW w:w="1342" w:type="dxa"/>
            <w:tcBorders>
              <w:top w:val="single" w:color="auto" w:sz="4" w:space="0"/>
              <w:left w:val="single" w:color="auto" w:sz="4" w:space="0"/>
              <w:bottom w:val="single" w:color="auto" w:sz="4" w:space="0"/>
              <w:right w:val="single" w:color="auto" w:sz="4" w:space="0"/>
            </w:tcBorders>
            <w:vAlign w:val="center"/>
          </w:tcPr>
          <w:p w14:paraId="711CCC74">
            <w:pPr>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0</w:t>
            </w:r>
            <w:r>
              <w:rPr>
                <w:rFonts w:hint="eastAsia" w:ascii="宋体" w:hAnsi="宋体" w:eastAsia="宋体" w:cs="宋体"/>
                <w:b w:val="0"/>
                <w:bCs/>
                <w:color w:val="auto"/>
                <w:sz w:val="21"/>
                <w:szCs w:val="21"/>
                <w:highlight w:val="none"/>
              </w:rPr>
              <w:t>分</w:t>
            </w:r>
          </w:p>
        </w:tc>
        <w:tc>
          <w:tcPr>
            <w:tcW w:w="4076" w:type="dxa"/>
            <w:tcBorders>
              <w:top w:val="single" w:color="auto" w:sz="4" w:space="0"/>
              <w:left w:val="single" w:color="auto" w:sz="4" w:space="0"/>
              <w:bottom w:val="single" w:color="auto" w:sz="4" w:space="0"/>
              <w:right w:val="single" w:color="auto" w:sz="4" w:space="0"/>
            </w:tcBorders>
            <w:vAlign w:val="center"/>
          </w:tcPr>
          <w:p w14:paraId="649AAB1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有效的投标总报价中的最低价为评审基准价，按照下列公式计算每个供应商的投标总报价得分。</w:t>
            </w:r>
          </w:p>
          <w:p w14:paraId="47EA43B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投标总报价得分＝（评审基准价/投标总报价）×</w:t>
            </w: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0</w:t>
            </w:r>
            <w:r>
              <w:rPr>
                <w:rFonts w:hint="eastAsia" w:ascii="宋体" w:hAnsi="宋体" w:eastAsia="宋体" w:cs="宋体"/>
                <w:b w:val="0"/>
                <w:bCs/>
                <w:color w:val="auto"/>
                <w:sz w:val="21"/>
                <w:szCs w:val="21"/>
                <w:highlight w:val="none"/>
              </w:rPr>
              <w:t>。</w:t>
            </w:r>
          </w:p>
          <w:p w14:paraId="547DF84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投标总报价得分四舍五入后保留两位小数。</w:t>
            </w:r>
          </w:p>
        </w:tc>
        <w:tc>
          <w:tcPr>
            <w:tcW w:w="1663" w:type="dxa"/>
            <w:tcBorders>
              <w:top w:val="single" w:color="auto" w:sz="4" w:space="0"/>
              <w:left w:val="single" w:color="auto" w:sz="4" w:space="0"/>
              <w:bottom w:val="single" w:color="auto" w:sz="4" w:space="0"/>
              <w:right w:val="single" w:color="auto" w:sz="4" w:space="0"/>
            </w:tcBorders>
            <w:vAlign w:val="center"/>
          </w:tcPr>
          <w:p w14:paraId="53405289">
            <w:pPr>
              <w:pageBreakBefore w:val="0"/>
              <w:kinsoku/>
              <w:wordWrap/>
              <w:overflowPunct/>
              <w:topLinePunct w:val="0"/>
              <w:autoSpaceDE/>
              <w:autoSpaceDN/>
              <w:bidi w:val="0"/>
              <w:adjustRightInd/>
              <w:spacing w:line="240" w:lineRule="auto"/>
              <w:textAlignment w:val="auto"/>
              <w:rPr>
                <w:rFonts w:hint="eastAsia" w:ascii="宋体" w:hAnsi="宋体" w:eastAsia="宋体" w:cs="宋体"/>
                <w:b w:val="0"/>
                <w:bCs/>
                <w:color w:val="auto"/>
                <w:sz w:val="21"/>
                <w:szCs w:val="21"/>
                <w:highlight w:val="none"/>
              </w:rPr>
            </w:pPr>
          </w:p>
        </w:tc>
      </w:tr>
      <w:tr w14:paraId="76743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534" w:type="dxa"/>
            <w:vMerge w:val="restart"/>
            <w:tcBorders>
              <w:top w:val="single" w:color="auto" w:sz="4" w:space="0"/>
              <w:left w:val="single" w:color="auto" w:sz="4" w:space="0"/>
              <w:right w:val="single" w:color="auto" w:sz="4" w:space="0"/>
            </w:tcBorders>
            <w:vAlign w:val="center"/>
          </w:tcPr>
          <w:p w14:paraId="2DCBD7DC">
            <w:pPr>
              <w:pageBreakBefore w:val="0"/>
              <w:widowControl/>
              <w:kinsoku/>
              <w:wordWrap/>
              <w:overflowPunct/>
              <w:topLinePunct w:val="0"/>
              <w:autoSpaceDE/>
              <w:autoSpaceDN/>
              <w:bidi w:val="0"/>
              <w:adjustRightInd/>
              <w:spacing w:line="240" w:lineRule="auto"/>
              <w:ind w:firstLine="28"/>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rPr>
              <w:t>2</w:t>
            </w:r>
          </w:p>
        </w:tc>
        <w:tc>
          <w:tcPr>
            <w:tcW w:w="1089" w:type="dxa"/>
            <w:vMerge w:val="restart"/>
            <w:tcBorders>
              <w:top w:val="single" w:color="auto" w:sz="4" w:space="0"/>
              <w:left w:val="single" w:color="auto" w:sz="4" w:space="0"/>
              <w:right w:val="single" w:color="auto" w:sz="4" w:space="0"/>
            </w:tcBorders>
            <w:vAlign w:val="center"/>
          </w:tcPr>
          <w:p w14:paraId="523D865A">
            <w:pPr>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服务部分</w:t>
            </w:r>
          </w:p>
        </w:tc>
        <w:tc>
          <w:tcPr>
            <w:tcW w:w="1032" w:type="dxa"/>
            <w:vMerge w:val="restart"/>
            <w:tcBorders>
              <w:top w:val="single" w:color="auto" w:sz="4" w:space="0"/>
              <w:left w:val="single" w:color="auto" w:sz="4" w:space="0"/>
              <w:right w:val="single" w:color="auto" w:sz="4" w:space="0"/>
            </w:tcBorders>
            <w:vAlign w:val="center"/>
          </w:tcPr>
          <w:p w14:paraId="53A08B4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服务部分（</w:t>
            </w:r>
            <w:r>
              <w:rPr>
                <w:rFonts w:hint="eastAsia" w:ascii="宋体" w:hAnsi="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lang w:val="en-US" w:eastAsia="zh-CN"/>
              </w:rPr>
              <w:t>0%）</w:t>
            </w:r>
          </w:p>
        </w:tc>
        <w:tc>
          <w:tcPr>
            <w:tcW w:w="1342" w:type="dxa"/>
            <w:tcBorders>
              <w:top w:val="single" w:color="auto" w:sz="4" w:space="0"/>
              <w:left w:val="single" w:color="auto" w:sz="4" w:space="0"/>
              <w:bottom w:val="single" w:color="auto" w:sz="4" w:space="0"/>
              <w:right w:val="single" w:color="auto" w:sz="4" w:space="0"/>
            </w:tcBorders>
            <w:vAlign w:val="center"/>
          </w:tcPr>
          <w:p w14:paraId="38176CC8">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内部管理制度（</w:t>
            </w:r>
            <w:r>
              <w:rPr>
                <w:rFonts w:hint="eastAsia" w:ascii="宋体" w:hAnsi="宋体" w:cs="宋体"/>
                <w:b w:val="0"/>
                <w:bCs/>
                <w:color w:val="auto"/>
                <w:sz w:val="21"/>
                <w:szCs w:val="21"/>
                <w:lang w:val="en-US" w:eastAsia="zh-CN"/>
              </w:rPr>
              <w:t>30</w:t>
            </w:r>
            <w:r>
              <w:rPr>
                <w:rFonts w:hint="eastAsia" w:ascii="宋体" w:hAnsi="宋体" w:eastAsia="宋体" w:cs="宋体"/>
                <w:b w:val="0"/>
                <w:bCs/>
                <w:color w:val="auto"/>
                <w:sz w:val="21"/>
                <w:szCs w:val="21"/>
                <w:lang w:val="en-US" w:eastAsia="zh-CN"/>
              </w:rPr>
              <w:t>分）</w:t>
            </w:r>
          </w:p>
          <w:p w14:paraId="468AD54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auto"/>
                <w:sz w:val="21"/>
                <w:szCs w:val="21"/>
                <w:highlight w:val="none"/>
                <w:lang w:val="en-US" w:eastAsia="zh-CN"/>
              </w:rPr>
            </w:pPr>
          </w:p>
        </w:tc>
        <w:tc>
          <w:tcPr>
            <w:tcW w:w="4076" w:type="dxa"/>
            <w:tcBorders>
              <w:top w:val="single" w:color="auto" w:sz="4" w:space="0"/>
              <w:left w:val="single" w:color="auto" w:sz="4" w:space="0"/>
              <w:bottom w:val="single" w:color="auto" w:sz="4" w:space="0"/>
              <w:right w:val="single" w:color="auto" w:sz="4" w:space="0"/>
            </w:tcBorders>
            <w:vAlign w:val="center"/>
          </w:tcPr>
          <w:p w14:paraId="2279B0D8">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投标人针对本项目提供内部管理制度，方案内容应契合本项目服务内容及要求。包含：①食品验收、储存、发放；②食品加工，餐具洗消管理；③工作纪律；④员工培训计划，考核办法及奖惩措施等。</w:t>
            </w:r>
          </w:p>
          <w:p w14:paraId="44E86C1C">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方案内容不存在瑕疵，得</w:t>
            </w:r>
            <w:r>
              <w:rPr>
                <w:rFonts w:hint="eastAsia" w:ascii="宋体" w:hAnsi="宋体" w:cs="宋体"/>
                <w:b w:val="0"/>
                <w:bCs/>
                <w:color w:val="auto"/>
                <w:sz w:val="21"/>
                <w:szCs w:val="21"/>
                <w:lang w:val="en-US" w:eastAsia="zh-CN"/>
              </w:rPr>
              <w:t>30</w:t>
            </w:r>
            <w:r>
              <w:rPr>
                <w:rFonts w:hint="eastAsia" w:ascii="宋体" w:hAnsi="宋体" w:eastAsia="宋体" w:cs="宋体"/>
                <w:b w:val="0"/>
                <w:bCs/>
                <w:color w:val="auto"/>
                <w:sz w:val="21"/>
                <w:szCs w:val="21"/>
                <w:lang w:val="en-US" w:eastAsia="zh-CN"/>
              </w:rPr>
              <w:t>分；</w:t>
            </w:r>
          </w:p>
          <w:p w14:paraId="5DA3B657">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方案内容存在1处瑕疵，得</w:t>
            </w:r>
            <w:r>
              <w:rPr>
                <w:rFonts w:hint="eastAsia" w:ascii="宋体" w:hAnsi="宋体" w:cs="宋体"/>
                <w:b w:val="0"/>
                <w:bCs/>
                <w:color w:val="auto"/>
                <w:sz w:val="21"/>
                <w:szCs w:val="21"/>
                <w:lang w:val="en-US" w:eastAsia="zh-CN"/>
              </w:rPr>
              <w:t>25</w:t>
            </w:r>
            <w:r>
              <w:rPr>
                <w:rFonts w:hint="eastAsia" w:ascii="宋体" w:hAnsi="宋体" w:eastAsia="宋体" w:cs="宋体"/>
                <w:b w:val="0"/>
                <w:bCs/>
                <w:color w:val="auto"/>
                <w:sz w:val="21"/>
                <w:szCs w:val="21"/>
                <w:lang w:val="en-US" w:eastAsia="zh-CN"/>
              </w:rPr>
              <w:t>分；</w:t>
            </w:r>
          </w:p>
          <w:p w14:paraId="7999D49E">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方案内容存在2处瑕疵，得</w:t>
            </w:r>
            <w:r>
              <w:rPr>
                <w:rFonts w:hint="eastAsia" w:ascii="宋体" w:hAnsi="宋体" w:cs="宋体"/>
                <w:b w:val="0"/>
                <w:bCs/>
                <w:color w:val="auto"/>
                <w:sz w:val="21"/>
                <w:szCs w:val="21"/>
                <w:lang w:val="en-US" w:eastAsia="zh-CN"/>
              </w:rPr>
              <w:t>20</w:t>
            </w:r>
            <w:r>
              <w:rPr>
                <w:rFonts w:hint="eastAsia" w:ascii="宋体" w:hAnsi="宋体" w:eastAsia="宋体" w:cs="宋体"/>
                <w:b w:val="0"/>
                <w:bCs/>
                <w:color w:val="auto"/>
                <w:sz w:val="21"/>
                <w:szCs w:val="21"/>
                <w:lang w:val="en-US" w:eastAsia="zh-CN"/>
              </w:rPr>
              <w:t>分；</w:t>
            </w:r>
          </w:p>
          <w:p w14:paraId="6688116D">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方案内容存在3处瑕疵，得</w:t>
            </w:r>
            <w:r>
              <w:rPr>
                <w:rFonts w:hint="eastAsia" w:ascii="宋体" w:hAnsi="宋体" w:cs="宋体"/>
                <w:b w:val="0"/>
                <w:bCs/>
                <w:color w:val="auto"/>
                <w:sz w:val="21"/>
                <w:szCs w:val="21"/>
                <w:lang w:val="en-US" w:eastAsia="zh-CN"/>
              </w:rPr>
              <w:t>15</w:t>
            </w:r>
            <w:r>
              <w:rPr>
                <w:rFonts w:hint="eastAsia" w:ascii="宋体" w:hAnsi="宋体" w:eastAsia="宋体" w:cs="宋体"/>
                <w:b w:val="0"/>
                <w:bCs/>
                <w:color w:val="auto"/>
                <w:sz w:val="21"/>
                <w:szCs w:val="21"/>
                <w:lang w:val="en-US" w:eastAsia="zh-CN"/>
              </w:rPr>
              <w:t>分；</w:t>
            </w:r>
          </w:p>
          <w:p w14:paraId="76973A3F">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方案内容存在4处瑕疵，得</w:t>
            </w:r>
            <w:r>
              <w:rPr>
                <w:rFonts w:hint="eastAsia" w:ascii="宋体" w:hAnsi="宋体" w:cs="宋体"/>
                <w:b w:val="0"/>
                <w:bCs/>
                <w:color w:val="auto"/>
                <w:sz w:val="21"/>
                <w:szCs w:val="21"/>
                <w:lang w:val="en-US" w:eastAsia="zh-CN"/>
              </w:rPr>
              <w:t>10</w:t>
            </w:r>
            <w:r>
              <w:rPr>
                <w:rFonts w:hint="eastAsia" w:ascii="宋体" w:hAnsi="宋体" w:eastAsia="宋体" w:cs="宋体"/>
                <w:b w:val="0"/>
                <w:bCs/>
                <w:color w:val="auto"/>
                <w:sz w:val="21"/>
                <w:szCs w:val="21"/>
                <w:lang w:val="en-US" w:eastAsia="zh-CN"/>
              </w:rPr>
              <w:t>分；</w:t>
            </w:r>
          </w:p>
          <w:p w14:paraId="4A21D03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lang w:val="en-US" w:eastAsia="zh-CN"/>
              </w:rPr>
              <w:t>方案内容存在5处及以上瑕疵或未提供方案的得0分。</w:t>
            </w:r>
          </w:p>
        </w:tc>
        <w:tc>
          <w:tcPr>
            <w:tcW w:w="1663" w:type="dxa"/>
            <w:vMerge w:val="restart"/>
            <w:tcBorders>
              <w:top w:val="single" w:color="auto" w:sz="4" w:space="0"/>
              <w:left w:val="single" w:color="auto" w:sz="4" w:space="0"/>
              <w:right w:val="single" w:color="auto" w:sz="4" w:space="0"/>
            </w:tcBorders>
            <w:vAlign w:val="center"/>
          </w:tcPr>
          <w:p w14:paraId="313A61BC">
            <w:pPr>
              <w:pageBreakBefore w:val="0"/>
              <w:kinsoku/>
              <w:wordWrap/>
              <w:overflowPunct/>
              <w:topLinePunct w:val="0"/>
              <w:autoSpaceDE/>
              <w:autoSpaceDN/>
              <w:bidi w:val="0"/>
              <w:adjustRightInd/>
              <w:spacing w:line="240"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提供方案，格式自拟。</w:t>
            </w:r>
          </w:p>
          <w:p w14:paraId="6BB25049">
            <w:pPr>
              <w:pageBreakBefore w:val="0"/>
              <w:kinsoku/>
              <w:wordWrap/>
              <w:overflowPunct/>
              <w:topLinePunct w:val="0"/>
              <w:autoSpaceDE/>
              <w:autoSpaceDN/>
              <w:bidi w:val="0"/>
              <w:adjustRightIn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评审专家对每份技术部分独立打分，评审小组的平均值为该</w:t>
            </w:r>
            <w:r>
              <w:rPr>
                <w:rFonts w:hint="eastAsia" w:ascii="宋体" w:hAnsi="宋体" w:eastAsia="宋体" w:cs="宋体"/>
                <w:b w:val="0"/>
                <w:bCs/>
                <w:color w:val="auto"/>
                <w:sz w:val="21"/>
                <w:szCs w:val="21"/>
                <w:highlight w:val="none"/>
                <w:lang w:val="en-US" w:eastAsia="zh-CN"/>
              </w:rPr>
              <w:t>服务</w:t>
            </w:r>
            <w:r>
              <w:rPr>
                <w:rFonts w:hint="eastAsia" w:ascii="宋体" w:hAnsi="宋体" w:eastAsia="宋体" w:cs="宋体"/>
                <w:b w:val="0"/>
                <w:bCs/>
                <w:color w:val="auto"/>
                <w:sz w:val="21"/>
                <w:szCs w:val="21"/>
                <w:highlight w:val="none"/>
              </w:rPr>
              <w:t>部分得分。得分四舍五入后保留两位小数。</w:t>
            </w:r>
          </w:p>
        </w:tc>
      </w:tr>
      <w:tr w14:paraId="5AE6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534" w:type="dxa"/>
            <w:vMerge w:val="continue"/>
            <w:tcBorders>
              <w:left w:val="single" w:color="auto" w:sz="4" w:space="0"/>
              <w:right w:val="single" w:color="auto" w:sz="4" w:space="0"/>
            </w:tcBorders>
            <w:vAlign w:val="center"/>
          </w:tcPr>
          <w:p w14:paraId="11E721C6">
            <w:pPr>
              <w:pageBreakBefore w:val="0"/>
              <w:widowControl/>
              <w:kinsoku/>
              <w:wordWrap/>
              <w:overflowPunct/>
              <w:topLinePunct w:val="0"/>
              <w:autoSpaceDE/>
              <w:autoSpaceDN/>
              <w:bidi w:val="0"/>
              <w:adjustRightInd/>
              <w:spacing w:line="240" w:lineRule="auto"/>
              <w:ind w:firstLine="28"/>
              <w:jc w:val="center"/>
              <w:textAlignment w:val="auto"/>
              <w:rPr>
                <w:rFonts w:hint="eastAsia" w:ascii="宋体" w:hAnsi="宋体" w:eastAsia="宋体" w:cs="宋体"/>
                <w:color w:val="auto"/>
                <w:kern w:val="0"/>
                <w:sz w:val="21"/>
                <w:szCs w:val="21"/>
                <w:highlight w:val="none"/>
              </w:rPr>
            </w:pPr>
          </w:p>
        </w:tc>
        <w:tc>
          <w:tcPr>
            <w:tcW w:w="1089" w:type="dxa"/>
            <w:vMerge w:val="continue"/>
            <w:tcBorders>
              <w:left w:val="single" w:color="auto" w:sz="4" w:space="0"/>
              <w:right w:val="single" w:color="auto" w:sz="4" w:space="0"/>
            </w:tcBorders>
            <w:vAlign w:val="center"/>
          </w:tcPr>
          <w:p w14:paraId="0EA44A31">
            <w:pPr>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1"/>
                <w:szCs w:val="21"/>
                <w:highlight w:val="none"/>
                <w:lang w:val="en-US" w:eastAsia="zh-CN"/>
              </w:rPr>
            </w:pPr>
          </w:p>
        </w:tc>
        <w:tc>
          <w:tcPr>
            <w:tcW w:w="1032" w:type="dxa"/>
            <w:vMerge w:val="continue"/>
            <w:tcBorders>
              <w:left w:val="single" w:color="auto" w:sz="4" w:space="0"/>
              <w:right w:val="single" w:color="auto" w:sz="4" w:space="0"/>
            </w:tcBorders>
            <w:vAlign w:val="center"/>
          </w:tcPr>
          <w:p w14:paraId="645F439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p>
        </w:tc>
        <w:tc>
          <w:tcPr>
            <w:tcW w:w="1342" w:type="dxa"/>
            <w:tcBorders>
              <w:top w:val="single" w:color="auto" w:sz="4" w:space="0"/>
              <w:left w:val="single" w:color="auto" w:sz="4" w:space="0"/>
              <w:bottom w:val="single" w:color="auto" w:sz="4" w:space="0"/>
              <w:right w:val="single" w:color="auto" w:sz="4" w:space="0"/>
            </w:tcBorders>
            <w:vAlign w:val="center"/>
          </w:tcPr>
          <w:p w14:paraId="63E8DF4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rPr>
              <w:t>食堂安全及管理方案</w:t>
            </w:r>
            <w:r>
              <w:rPr>
                <w:rFonts w:hint="eastAsia" w:ascii="宋体" w:hAnsi="宋体" w:eastAsia="宋体" w:cs="宋体"/>
                <w:color w:val="auto"/>
                <w:sz w:val="21"/>
                <w:szCs w:val="21"/>
                <w:highlight w:val="none"/>
                <w:lang w:val="en-US" w:eastAsia="zh-CN"/>
              </w:rPr>
              <w:t>（20分）</w:t>
            </w:r>
          </w:p>
        </w:tc>
        <w:tc>
          <w:tcPr>
            <w:tcW w:w="4076" w:type="dxa"/>
            <w:tcBorders>
              <w:top w:val="single" w:color="auto" w:sz="4" w:space="0"/>
              <w:left w:val="single" w:color="auto" w:sz="4" w:space="0"/>
              <w:bottom w:val="single" w:color="auto" w:sz="4" w:space="0"/>
              <w:right w:val="single" w:color="auto" w:sz="4" w:space="0"/>
            </w:tcBorders>
            <w:vAlign w:val="center"/>
          </w:tcPr>
          <w:p w14:paraId="0F369125">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rPr>
              <w:t>针对本项目</w:t>
            </w:r>
            <w:r>
              <w:rPr>
                <w:rFonts w:hint="eastAsia" w:ascii="宋体" w:hAnsi="宋体" w:eastAsia="宋体" w:cs="宋体"/>
                <w:b w:val="0"/>
                <w:bCs/>
                <w:color w:val="auto"/>
                <w:sz w:val="21"/>
                <w:szCs w:val="21"/>
                <w:highlight w:val="none"/>
                <w:lang w:eastAsia="zh-CN"/>
              </w:rPr>
              <w:t>服务内容及要求</w:t>
            </w:r>
            <w:r>
              <w:rPr>
                <w:rFonts w:hint="eastAsia" w:ascii="宋体" w:hAnsi="宋体" w:eastAsia="宋体" w:cs="宋体"/>
                <w:b w:val="0"/>
                <w:bCs/>
                <w:color w:val="auto"/>
                <w:sz w:val="21"/>
                <w:szCs w:val="21"/>
                <w:highlight w:val="none"/>
              </w:rPr>
              <w:t>提供完整的</w:t>
            </w:r>
            <w:r>
              <w:rPr>
                <w:rFonts w:hint="eastAsia" w:ascii="宋体" w:hAnsi="宋体" w:eastAsia="宋体" w:cs="宋体"/>
                <w:b w:val="0"/>
                <w:bCs/>
                <w:color w:val="auto"/>
                <w:sz w:val="21"/>
                <w:szCs w:val="21"/>
                <w:highlight w:val="none"/>
                <w:lang w:val="en-US" w:eastAsia="zh-CN"/>
              </w:rPr>
              <w:t>服务</w:t>
            </w:r>
            <w:r>
              <w:rPr>
                <w:rFonts w:hint="eastAsia" w:ascii="宋体" w:hAnsi="宋体" w:eastAsia="宋体" w:cs="宋体"/>
                <w:b w:val="0"/>
                <w:bCs/>
                <w:color w:val="auto"/>
                <w:sz w:val="21"/>
                <w:szCs w:val="21"/>
                <w:highlight w:val="none"/>
              </w:rPr>
              <w:t>方案</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方案内容包含：①餐饮服务；②食品安全；③安全保卫；④节能环保等</w:t>
            </w:r>
            <w:r>
              <w:rPr>
                <w:rFonts w:hint="eastAsia" w:ascii="宋体" w:hAnsi="宋体" w:eastAsia="宋体" w:cs="宋体"/>
                <w:b w:val="0"/>
                <w:bCs/>
                <w:color w:val="auto"/>
                <w:sz w:val="21"/>
                <w:szCs w:val="21"/>
                <w:highlight w:val="none"/>
                <w:lang w:eastAsia="zh-CN"/>
              </w:rPr>
              <w:t>。</w:t>
            </w:r>
          </w:p>
          <w:p w14:paraId="6D99B0DA">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方案内容不存在瑕疵，得20分；</w:t>
            </w:r>
          </w:p>
          <w:p w14:paraId="76097320">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方案内容存在1处瑕疵，得15分；</w:t>
            </w:r>
          </w:p>
          <w:p w14:paraId="565A8BC2">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方案内容存在2处瑕疵，得10分；</w:t>
            </w:r>
          </w:p>
          <w:p w14:paraId="271D6B1B">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方案内容存在3处瑕疵，得5分；</w:t>
            </w:r>
          </w:p>
          <w:p w14:paraId="3265AFFA">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方案内容存在4处瑕疵，得1分；</w:t>
            </w:r>
          </w:p>
          <w:p w14:paraId="7DD3077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lang w:val="en-US" w:eastAsia="zh-CN"/>
              </w:rPr>
              <w:t>方案内容存在5处及以上瑕疵或未提供方案的得0分。</w:t>
            </w:r>
          </w:p>
        </w:tc>
        <w:tc>
          <w:tcPr>
            <w:tcW w:w="1663" w:type="dxa"/>
            <w:vMerge w:val="continue"/>
            <w:tcBorders>
              <w:left w:val="single" w:color="auto" w:sz="4" w:space="0"/>
              <w:right w:val="single" w:color="auto" w:sz="4" w:space="0"/>
            </w:tcBorders>
            <w:vAlign w:val="center"/>
          </w:tcPr>
          <w:p w14:paraId="5EE0B6E6">
            <w:pPr>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p>
        </w:tc>
      </w:tr>
      <w:tr w14:paraId="5B7C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534" w:type="dxa"/>
            <w:vMerge w:val="continue"/>
            <w:tcBorders>
              <w:left w:val="single" w:color="auto" w:sz="4" w:space="0"/>
              <w:bottom w:val="single" w:color="auto" w:sz="4" w:space="0"/>
              <w:right w:val="single" w:color="auto" w:sz="4" w:space="0"/>
            </w:tcBorders>
            <w:vAlign w:val="center"/>
          </w:tcPr>
          <w:p w14:paraId="02766F6B">
            <w:pPr>
              <w:pageBreakBefore w:val="0"/>
              <w:widowControl/>
              <w:kinsoku/>
              <w:wordWrap/>
              <w:overflowPunct/>
              <w:topLinePunct w:val="0"/>
              <w:autoSpaceDE/>
              <w:autoSpaceDN/>
              <w:bidi w:val="0"/>
              <w:adjustRightInd/>
              <w:spacing w:line="240" w:lineRule="auto"/>
              <w:ind w:firstLine="28"/>
              <w:jc w:val="center"/>
              <w:textAlignment w:val="auto"/>
              <w:rPr>
                <w:rFonts w:hint="eastAsia" w:ascii="宋体" w:hAnsi="宋体" w:eastAsia="宋体" w:cs="宋体"/>
                <w:color w:val="auto"/>
                <w:kern w:val="0"/>
                <w:sz w:val="21"/>
                <w:szCs w:val="21"/>
                <w:highlight w:val="none"/>
              </w:rPr>
            </w:pPr>
          </w:p>
        </w:tc>
        <w:tc>
          <w:tcPr>
            <w:tcW w:w="1089" w:type="dxa"/>
            <w:vMerge w:val="continue"/>
            <w:tcBorders>
              <w:left w:val="single" w:color="auto" w:sz="4" w:space="0"/>
              <w:bottom w:val="single" w:color="auto" w:sz="4" w:space="0"/>
              <w:right w:val="single" w:color="auto" w:sz="4" w:space="0"/>
            </w:tcBorders>
            <w:vAlign w:val="center"/>
          </w:tcPr>
          <w:p w14:paraId="1694ED38">
            <w:pPr>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1"/>
                <w:szCs w:val="21"/>
                <w:highlight w:val="none"/>
                <w:lang w:val="en-US" w:eastAsia="zh-CN"/>
              </w:rPr>
            </w:pPr>
          </w:p>
        </w:tc>
        <w:tc>
          <w:tcPr>
            <w:tcW w:w="1032" w:type="dxa"/>
            <w:vMerge w:val="continue"/>
            <w:tcBorders>
              <w:left w:val="single" w:color="auto" w:sz="4" w:space="0"/>
              <w:bottom w:val="single" w:color="auto" w:sz="4" w:space="0"/>
              <w:right w:val="single" w:color="auto" w:sz="4" w:space="0"/>
            </w:tcBorders>
            <w:vAlign w:val="center"/>
          </w:tcPr>
          <w:p w14:paraId="7D0F471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p>
        </w:tc>
        <w:tc>
          <w:tcPr>
            <w:tcW w:w="1342" w:type="dxa"/>
            <w:tcBorders>
              <w:top w:val="single" w:color="auto" w:sz="4" w:space="0"/>
              <w:left w:val="single" w:color="auto" w:sz="4" w:space="0"/>
              <w:bottom w:val="single" w:color="auto" w:sz="4" w:space="0"/>
              <w:right w:val="single" w:color="auto" w:sz="4" w:space="0"/>
            </w:tcBorders>
            <w:vAlign w:val="center"/>
          </w:tcPr>
          <w:p w14:paraId="0FEDE39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应急处理方案</w:t>
            </w:r>
          </w:p>
          <w:p w14:paraId="3021A52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0分）</w:t>
            </w:r>
          </w:p>
        </w:tc>
        <w:tc>
          <w:tcPr>
            <w:tcW w:w="4076" w:type="dxa"/>
            <w:tcBorders>
              <w:top w:val="single" w:color="auto" w:sz="4" w:space="0"/>
              <w:left w:val="single" w:color="auto" w:sz="4" w:space="0"/>
              <w:bottom w:val="single" w:color="auto" w:sz="4" w:space="0"/>
              <w:right w:val="single" w:color="auto" w:sz="4" w:space="0"/>
            </w:tcBorders>
            <w:vAlign w:val="center"/>
          </w:tcPr>
          <w:p w14:paraId="3591F99C">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根据供应商提供的</w:t>
            </w:r>
            <w:r>
              <w:rPr>
                <w:rFonts w:hint="eastAsia" w:ascii="宋体" w:hAnsi="宋体" w:eastAsia="宋体" w:cs="宋体"/>
                <w:b w:val="0"/>
                <w:bCs/>
                <w:color w:val="auto"/>
                <w:sz w:val="21"/>
                <w:szCs w:val="21"/>
                <w:highlight w:val="none"/>
                <w:lang w:val="en-US" w:eastAsia="zh-CN"/>
              </w:rPr>
              <w:t>应急保障方案</w:t>
            </w:r>
            <w:r>
              <w:rPr>
                <w:rFonts w:hint="eastAsia" w:ascii="宋体" w:hAnsi="宋体" w:eastAsia="宋体" w:cs="宋体"/>
                <w:b w:val="0"/>
                <w:bCs/>
                <w:color w:val="auto"/>
                <w:sz w:val="21"/>
                <w:szCs w:val="21"/>
                <w:highlight w:val="none"/>
              </w:rPr>
              <w:t>进行评审。方案内容包括：</w:t>
            </w:r>
            <w:r>
              <w:rPr>
                <w:rFonts w:hint="eastAsia" w:ascii="宋体" w:hAnsi="宋体" w:eastAsia="宋体" w:cs="宋体"/>
                <w:b w:val="0"/>
                <w:bCs/>
                <w:color w:val="auto"/>
                <w:sz w:val="21"/>
                <w:szCs w:val="21"/>
                <w:highlight w:val="none"/>
                <w:lang w:val="en-US" w:eastAsia="zh-CN"/>
              </w:rPr>
              <w:t>①预防</w:t>
            </w:r>
            <w:r>
              <w:rPr>
                <w:rFonts w:hint="eastAsia" w:ascii="宋体" w:hAnsi="宋体" w:eastAsia="宋体" w:cs="宋体"/>
                <w:b w:val="0"/>
                <w:bCs/>
                <w:color w:val="auto"/>
                <w:sz w:val="21"/>
                <w:szCs w:val="21"/>
                <w:highlight w:val="none"/>
              </w:rPr>
              <w:t>食物中毒</w:t>
            </w:r>
            <w:r>
              <w:rPr>
                <w:rFonts w:hint="eastAsia" w:ascii="宋体" w:hAnsi="宋体" w:eastAsia="宋体" w:cs="宋体"/>
                <w:b w:val="0"/>
                <w:bCs/>
                <w:color w:val="auto"/>
                <w:sz w:val="21"/>
                <w:szCs w:val="21"/>
                <w:highlight w:val="none"/>
                <w:lang w:val="en-US" w:eastAsia="zh-CN"/>
              </w:rPr>
              <w:t>措施方案；②</w:t>
            </w:r>
            <w:r>
              <w:rPr>
                <w:rFonts w:hint="eastAsia" w:ascii="宋体" w:hAnsi="宋体" w:eastAsia="宋体" w:cs="宋体"/>
                <w:b w:val="0"/>
                <w:bCs/>
                <w:color w:val="auto"/>
                <w:sz w:val="21"/>
                <w:szCs w:val="21"/>
                <w:highlight w:val="none"/>
              </w:rPr>
              <w:t>停水停电停气</w:t>
            </w:r>
            <w:r>
              <w:rPr>
                <w:rFonts w:hint="eastAsia" w:ascii="宋体" w:hAnsi="宋体" w:eastAsia="宋体" w:cs="宋体"/>
                <w:b w:val="0"/>
                <w:bCs/>
                <w:color w:val="auto"/>
                <w:sz w:val="21"/>
                <w:szCs w:val="21"/>
                <w:highlight w:val="none"/>
                <w:lang w:val="en-US" w:eastAsia="zh-CN"/>
              </w:rPr>
              <w:t>应急方案。</w:t>
            </w:r>
          </w:p>
          <w:p w14:paraId="778E9CF2">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方案内容不存在瑕疵，得20分；</w:t>
            </w:r>
          </w:p>
          <w:p w14:paraId="16CB065C">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方案内容存在1处瑕疵，得15分；</w:t>
            </w:r>
          </w:p>
          <w:p w14:paraId="5DA62846">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方案内容存在2处瑕疵，得10分；</w:t>
            </w:r>
          </w:p>
          <w:p w14:paraId="25C0A988">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方案内容存在3处瑕疵，得5分；</w:t>
            </w:r>
          </w:p>
          <w:p w14:paraId="76389295">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方案内容存在4处瑕疵，得1分；</w:t>
            </w:r>
          </w:p>
          <w:p w14:paraId="39B54495">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val="en-US" w:eastAsia="zh-CN"/>
              </w:rPr>
              <w:t>方案内容存在5处及以上瑕疵或未提供方案，得0分。</w:t>
            </w:r>
          </w:p>
        </w:tc>
        <w:tc>
          <w:tcPr>
            <w:tcW w:w="1663" w:type="dxa"/>
            <w:vMerge w:val="continue"/>
            <w:tcBorders>
              <w:left w:val="single" w:color="auto" w:sz="4" w:space="0"/>
              <w:right w:val="single" w:color="auto" w:sz="4" w:space="0"/>
            </w:tcBorders>
            <w:vAlign w:val="center"/>
          </w:tcPr>
          <w:p w14:paraId="65E8656A">
            <w:pPr>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p>
        </w:tc>
      </w:tr>
      <w:tr w14:paraId="7B591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534" w:type="dxa"/>
            <w:tcBorders>
              <w:left w:val="single" w:color="auto" w:sz="4" w:space="0"/>
              <w:right w:val="single" w:color="auto" w:sz="4" w:space="0"/>
            </w:tcBorders>
            <w:vAlign w:val="center"/>
          </w:tcPr>
          <w:p w14:paraId="15CD1FDC">
            <w:pPr>
              <w:pageBreakBefore w:val="0"/>
              <w:kinsoku/>
              <w:wordWrap/>
              <w:overflowPunct/>
              <w:topLinePunct w:val="0"/>
              <w:autoSpaceDE/>
              <w:autoSpaceDN/>
              <w:bidi w:val="0"/>
              <w:adjustRightInd/>
              <w:spacing w:line="240" w:lineRule="auto"/>
              <w:ind w:firstLine="28"/>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089" w:type="dxa"/>
            <w:tcBorders>
              <w:left w:val="single" w:color="auto" w:sz="4" w:space="0"/>
              <w:right w:val="single" w:color="auto" w:sz="4" w:space="0"/>
            </w:tcBorders>
            <w:vAlign w:val="center"/>
          </w:tcPr>
          <w:p w14:paraId="210D0A78">
            <w:pPr>
              <w:pageBreakBefore w:val="0"/>
              <w:kinsoku/>
              <w:wordWrap/>
              <w:overflowPunct/>
              <w:topLinePunct w:val="0"/>
              <w:autoSpaceDE/>
              <w:autoSpaceDN/>
              <w:bidi w:val="0"/>
              <w:adjustRightInd/>
              <w:spacing w:line="240" w:lineRule="auto"/>
              <w:ind w:firstLine="28"/>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商务部分</w:t>
            </w:r>
          </w:p>
        </w:tc>
        <w:tc>
          <w:tcPr>
            <w:tcW w:w="1032" w:type="dxa"/>
            <w:tcBorders>
              <w:left w:val="single" w:color="auto" w:sz="4" w:space="0"/>
              <w:right w:val="single" w:color="auto" w:sz="4" w:space="0"/>
            </w:tcBorders>
            <w:vAlign w:val="center"/>
          </w:tcPr>
          <w:p w14:paraId="01EF2497">
            <w:pPr>
              <w:pageBreakBefore w:val="0"/>
              <w:widowControl/>
              <w:kinsoku/>
              <w:wordWrap/>
              <w:overflowPunct/>
              <w:topLinePunct w:val="0"/>
              <w:autoSpaceDE/>
              <w:autoSpaceDN/>
              <w:bidi w:val="0"/>
              <w:adjustRightInd/>
              <w:spacing w:line="240" w:lineRule="auto"/>
              <w:ind w:firstLine="28"/>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商务部分（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w:t>
            </w:r>
          </w:p>
        </w:tc>
        <w:tc>
          <w:tcPr>
            <w:tcW w:w="1342" w:type="dxa"/>
            <w:tcBorders>
              <w:left w:val="single" w:color="auto" w:sz="4" w:space="0"/>
              <w:right w:val="single" w:color="auto" w:sz="4" w:space="0"/>
            </w:tcBorders>
            <w:vAlign w:val="center"/>
          </w:tcPr>
          <w:p w14:paraId="6E05B8B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业绩</w:t>
            </w:r>
          </w:p>
          <w:p w14:paraId="2A96D20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0分）</w:t>
            </w:r>
          </w:p>
        </w:tc>
        <w:tc>
          <w:tcPr>
            <w:tcW w:w="4076" w:type="dxa"/>
            <w:tcBorders>
              <w:top w:val="single" w:color="auto" w:sz="4" w:space="0"/>
              <w:left w:val="single" w:color="auto" w:sz="4" w:space="0"/>
              <w:bottom w:val="single" w:color="auto" w:sz="4" w:space="0"/>
              <w:right w:val="single" w:color="auto" w:sz="4" w:space="0"/>
            </w:tcBorders>
            <w:vAlign w:val="center"/>
          </w:tcPr>
          <w:p w14:paraId="6B333A5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2023年1月1日至今（以合同签订时间为准），</w:t>
            </w:r>
            <w:r>
              <w:rPr>
                <w:rFonts w:hint="eastAsia" w:ascii="宋体" w:hAnsi="宋体" w:eastAsia="宋体" w:cs="宋体"/>
                <w:b w:val="0"/>
                <w:bCs/>
                <w:color w:val="auto"/>
                <w:sz w:val="21"/>
                <w:szCs w:val="21"/>
                <w:lang w:eastAsia="zh-CN"/>
              </w:rPr>
              <w:t>供应商具有食堂劳务业绩</w:t>
            </w:r>
            <w:r>
              <w:rPr>
                <w:rFonts w:hint="eastAsia" w:ascii="宋体" w:hAnsi="宋体" w:cs="宋体"/>
                <w:b w:val="0"/>
                <w:bCs/>
                <w:color w:val="auto"/>
                <w:sz w:val="21"/>
                <w:szCs w:val="21"/>
                <w:lang w:val="en-US" w:eastAsia="zh-CN"/>
              </w:rPr>
              <w:t>或类似物业服务业绩（服务内容包含食堂劳务）</w:t>
            </w:r>
            <w:r>
              <w:rPr>
                <w:rFonts w:hint="eastAsia" w:ascii="宋体" w:hAnsi="宋体" w:eastAsia="宋体" w:cs="宋体"/>
                <w:b w:val="0"/>
                <w:bCs/>
                <w:color w:val="auto"/>
                <w:sz w:val="21"/>
                <w:szCs w:val="21"/>
                <w:lang w:eastAsia="zh-CN"/>
              </w:rPr>
              <w:t>的，每提供一个业绩得</w:t>
            </w:r>
            <w:r>
              <w:rPr>
                <w:rFonts w:hint="eastAsia" w:ascii="宋体" w:hAnsi="宋体" w:eastAsia="宋体" w:cs="宋体"/>
                <w:b w:val="0"/>
                <w:bCs/>
                <w:color w:val="auto"/>
                <w:sz w:val="21"/>
                <w:szCs w:val="21"/>
                <w:lang w:val="en-US" w:eastAsia="zh-CN"/>
              </w:rPr>
              <w:t>5</w:t>
            </w:r>
            <w:r>
              <w:rPr>
                <w:rFonts w:hint="eastAsia" w:ascii="宋体" w:hAnsi="宋体" w:eastAsia="宋体" w:cs="宋体"/>
                <w:b w:val="0"/>
                <w:bCs/>
                <w:color w:val="auto"/>
                <w:sz w:val="21"/>
                <w:szCs w:val="21"/>
                <w:lang w:eastAsia="zh-CN"/>
              </w:rPr>
              <w:t>分，本项最高得</w:t>
            </w:r>
            <w:r>
              <w:rPr>
                <w:rFonts w:hint="eastAsia" w:ascii="宋体" w:hAnsi="宋体" w:cs="宋体"/>
                <w:b w:val="0"/>
                <w:bCs/>
                <w:color w:val="auto"/>
                <w:sz w:val="21"/>
                <w:szCs w:val="21"/>
                <w:lang w:val="en-US" w:eastAsia="zh-CN"/>
              </w:rPr>
              <w:t>1</w:t>
            </w:r>
            <w:r>
              <w:rPr>
                <w:rFonts w:hint="eastAsia" w:ascii="宋体" w:hAnsi="宋体" w:eastAsia="宋体" w:cs="宋体"/>
                <w:b w:val="0"/>
                <w:bCs/>
                <w:color w:val="auto"/>
                <w:sz w:val="21"/>
                <w:szCs w:val="21"/>
                <w:lang w:val="en-US" w:eastAsia="zh-CN"/>
              </w:rPr>
              <w:t>0</w:t>
            </w:r>
            <w:r>
              <w:rPr>
                <w:rFonts w:hint="eastAsia" w:ascii="宋体" w:hAnsi="宋体" w:eastAsia="宋体" w:cs="宋体"/>
                <w:b w:val="0"/>
                <w:bCs/>
                <w:color w:val="auto"/>
                <w:sz w:val="21"/>
                <w:szCs w:val="21"/>
                <w:lang w:eastAsia="zh-CN"/>
              </w:rPr>
              <w:t>分。</w:t>
            </w:r>
          </w:p>
        </w:tc>
        <w:tc>
          <w:tcPr>
            <w:tcW w:w="1663" w:type="dxa"/>
            <w:tcBorders>
              <w:top w:val="single" w:color="auto" w:sz="4" w:space="0"/>
              <w:left w:val="single" w:color="auto" w:sz="4" w:space="0"/>
              <w:bottom w:val="single" w:color="auto" w:sz="4" w:space="0"/>
              <w:right w:val="single" w:color="auto" w:sz="4" w:space="0"/>
            </w:tcBorders>
            <w:vAlign w:val="center"/>
          </w:tcPr>
          <w:p w14:paraId="55DC20B5">
            <w:pPr>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提供合同复印件并加盖供应商公章。</w:t>
            </w:r>
          </w:p>
        </w:tc>
      </w:t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tbl>
    <w:p w14:paraId="7253875D">
      <w:pPr>
        <w:pStyle w:val="4"/>
        <w:bidi w:val="0"/>
        <w:spacing w:line="360" w:lineRule="auto"/>
        <w:rPr>
          <w:rFonts w:hint="eastAsia" w:ascii="宋体" w:hAnsi="宋体" w:eastAsia="宋体" w:cs="宋体"/>
          <w:color w:val="auto"/>
          <w:sz w:val="24"/>
          <w:szCs w:val="24"/>
          <w:highlight w:val="none"/>
        </w:rPr>
      </w:pPr>
      <w:bookmarkStart w:id="120" w:name="_Toc17065"/>
      <w:bookmarkStart w:id="121" w:name="_Toc5010"/>
      <w:bookmarkStart w:id="122" w:name="_Toc13045"/>
      <w:bookmarkStart w:id="123" w:name="_Toc106030397"/>
      <w:bookmarkStart w:id="124" w:name="_Toc15200"/>
      <w:bookmarkStart w:id="125" w:name="_Toc26747"/>
      <w:bookmarkStart w:id="126" w:name="_Toc4045"/>
      <w:bookmarkStart w:id="127" w:name="_Toc20423"/>
      <w:bookmarkStart w:id="128" w:name="_Toc12283"/>
      <w:bookmarkStart w:id="129" w:name="_Toc27360"/>
      <w:bookmarkStart w:id="130" w:name="_Toc25738"/>
      <w:bookmarkStart w:id="131" w:name="_Toc29586"/>
      <w:bookmarkStart w:id="132" w:name="_Toc27926"/>
      <w:bookmarkStart w:id="133" w:name="_Toc30659"/>
      <w:bookmarkStart w:id="134" w:name="_Toc22167"/>
      <w:bookmarkStart w:id="135" w:name="_Toc18716"/>
      <w:bookmarkStart w:id="136" w:name="_Toc10923"/>
      <w:bookmarkStart w:id="137" w:name="_Toc75793521"/>
      <w:bookmarkStart w:id="138" w:name="_Toc2303"/>
      <w:bookmarkStart w:id="139" w:name="_Toc11770"/>
      <w:bookmarkStart w:id="140" w:name="_Toc9627"/>
      <w:bookmarkStart w:id="141" w:name="_Toc13232"/>
      <w:r>
        <w:rPr>
          <w:rFonts w:hint="eastAsia" w:ascii="宋体" w:hAnsi="宋体" w:eastAsia="宋体" w:cs="宋体"/>
          <w:color w:val="auto"/>
          <w:sz w:val="24"/>
          <w:szCs w:val="24"/>
          <w:highlight w:val="none"/>
        </w:rPr>
        <w:t>四、无效响应条款</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07CA0D1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供应商或其响应文件出现下列情况之一者，应为无效响应：</w:t>
      </w:r>
    </w:p>
    <w:p w14:paraId="44BC5BE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（一）供应商不符合规定的资格条件的；</w:t>
      </w:r>
    </w:p>
    <w:p w14:paraId="2E1FB4F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（二）供应商的法定代表人（或其授权代表）或自然人未参加</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w:t>
      </w:r>
    </w:p>
    <w:p w14:paraId="007F4F0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（三）供应商所提交的响应文件不按“第</w:t>
      </w: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rPr>
        <w:t>篇响应文件</w:t>
      </w:r>
      <w:r>
        <w:rPr>
          <w:rFonts w:hint="eastAsia" w:ascii="宋体" w:hAnsi="宋体" w:eastAsia="宋体" w:cs="宋体"/>
          <w:color w:val="auto"/>
          <w:sz w:val="24"/>
          <w:szCs w:val="24"/>
          <w:highlight w:val="none"/>
          <w:lang w:val="en-US" w:eastAsia="zh-CN"/>
        </w:rPr>
        <w:t>格式</w:t>
      </w:r>
      <w:r>
        <w:rPr>
          <w:rFonts w:hint="eastAsia" w:ascii="宋体" w:hAnsi="宋体" w:eastAsia="宋体" w:cs="宋体"/>
          <w:color w:val="auto"/>
          <w:sz w:val="24"/>
          <w:szCs w:val="24"/>
          <w:highlight w:val="none"/>
        </w:rPr>
        <w:t>”要求签署或盖章；</w:t>
      </w:r>
    </w:p>
    <w:p w14:paraId="22F5313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（四）供应商的</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报价超过采购预算或最高限价的；</w:t>
      </w:r>
    </w:p>
    <w:p w14:paraId="49DB6D5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（五）法定代表人为同一个人的两个及两个以上法人，母公司、全资子公司及其控股公司，在同一包采购中同时参与</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w:t>
      </w:r>
    </w:p>
    <w:p w14:paraId="513962B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（六）单位负责人为同一人或者存在直接控股、管理关系的不同供应商，参加同一合同项下的政府采购活动的；</w:t>
      </w:r>
    </w:p>
    <w:p w14:paraId="099E311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（七）为采购项目提供整体设计、规范编制或者项目管理、监理、检测等服务的供应商，再参加该采购项目的其他采购活动；</w:t>
      </w:r>
    </w:p>
    <w:p w14:paraId="3B1FBE4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（八）供应商</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有效期不满足采购文件要求的；</w:t>
      </w:r>
    </w:p>
    <w:p w14:paraId="7C3E8C3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（九）供应商响应文件内容有与国家现行法律法规相违背的内容，或附有采购人无法接受的条件；</w:t>
      </w:r>
    </w:p>
    <w:p w14:paraId="78B3194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（十）法律、法规和</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文件规定的其他无效情形。</w:t>
      </w:r>
    </w:p>
    <w:p w14:paraId="65F3A14F">
      <w:pPr>
        <w:pStyle w:val="4"/>
        <w:bidi w:val="0"/>
        <w:spacing w:line="360" w:lineRule="auto"/>
        <w:rPr>
          <w:rFonts w:hint="eastAsia" w:ascii="宋体" w:hAnsi="宋体" w:eastAsia="宋体" w:cs="宋体"/>
          <w:color w:val="auto"/>
          <w:sz w:val="24"/>
          <w:szCs w:val="24"/>
          <w:highlight w:val="none"/>
        </w:rPr>
      </w:pPr>
      <w:bookmarkStart w:id="142" w:name="_Toc14355"/>
      <w:bookmarkStart w:id="143" w:name="_Toc23533"/>
      <w:bookmarkStart w:id="144" w:name="_Toc30605"/>
      <w:bookmarkStart w:id="145" w:name="_Toc24880"/>
      <w:bookmarkStart w:id="146" w:name="_Toc27076"/>
      <w:bookmarkStart w:id="147" w:name="_Toc4422"/>
      <w:bookmarkStart w:id="148" w:name="_Toc27180"/>
      <w:bookmarkStart w:id="149" w:name="_Toc27133"/>
      <w:bookmarkStart w:id="150" w:name="_Toc25549"/>
      <w:bookmarkStart w:id="151" w:name="_Toc3189"/>
      <w:bookmarkStart w:id="152" w:name="_Toc6956"/>
      <w:bookmarkStart w:id="153" w:name="_Toc7802"/>
      <w:bookmarkStart w:id="154" w:name="_Toc106030398"/>
      <w:bookmarkStart w:id="155" w:name="_Toc17156"/>
      <w:bookmarkStart w:id="156" w:name="_Toc6719"/>
      <w:bookmarkStart w:id="157" w:name="_Toc25960"/>
      <w:bookmarkStart w:id="158" w:name="_Toc25379"/>
      <w:bookmarkStart w:id="159" w:name="_Toc11293"/>
      <w:bookmarkStart w:id="160" w:name="_Toc75793522"/>
      <w:bookmarkStart w:id="161" w:name="_Toc20005"/>
      <w:bookmarkStart w:id="162" w:name="_Toc6204"/>
      <w:bookmarkStart w:id="163" w:name="_Toc21946"/>
      <w:r>
        <w:rPr>
          <w:rFonts w:hint="eastAsia" w:ascii="宋体" w:hAnsi="宋体" w:eastAsia="宋体" w:cs="宋体"/>
          <w:color w:val="auto"/>
          <w:sz w:val="24"/>
          <w:szCs w:val="24"/>
          <w:highlight w:val="none"/>
        </w:rPr>
        <w:t>五、采购终止条款</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2820B71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在采购中，出现下列情形之一的，应予采购终止：</w:t>
      </w:r>
    </w:p>
    <w:p w14:paraId="7B3885B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（一）符合专业条件的供应商或者对</w:t>
      </w:r>
      <w:r>
        <w:rPr>
          <w:rFonts w:hint="eastAsia" w:ascii="宋体" w:hAnsi="宋体" w:eastAsia="宋体" w:cs="宋体"/>
          <w:color w:val="auto"/>
          <w:sz w:val="24"/>
          <w:szCs w:val="24"/>
          <w:highlight w:val="none"/>
          <w:lang w:val="en-US" w:eastAsia="zh-CN"/>
        </w:rPr>
        <w:t>竞争性比选</w:t>
      </w:r>
      <w:r>
        <w:rPr>
          <w:rFonts w:hint="eastAsia" w:ascii="宋体" w:hAnsi="宋体" w:eastAsia="宋体" w:cs="宋体"/>
          <w:color w:val="auto"/>
          <w:sz w:val="24"/>
          <w:szCs w:val="24"/>
          <w:highlight w:val="none"/>
        </w:rPr>
        <w:t>文件作实质响应的供应商不足</w:t>
      </w:r>
      <w:r>
        <w:rPr>
          <w:rFonts w:hint="eastAsia" w:ascii="宋体" w:hAnsi="宋体" w:eastAsia="宋体" w:cs="宋体"/>
          <w:color w:val="auto"/>
          <w:sz w:val="24"/>
          <w:szCs w:val="24"/>
          <w:highlight w:val="none"/>
          <w:lang w:val="en-US" w:eastAsia="zh-CN"/>
        </w:rPr>
        <w:t>三家</w:t>
      </w:r>
      <w:r>
        <w:rPr>
          <w:rFonts w:hint="eastAsia" w:ascii="宋体" w:hAnsi="宋体" w:eastAsia="宋体" w:cs="宋体"/>
          <w:color w:val="auto"/>
          <w:sz w:val="24"/>
          <w:szCs w:val="24"/>
          <w:highlight w:val="none"/>
        </w:rPr>
        <w:t>的；</w:t>
      </w:r>
    </w:p>
    <w:p w14:paraId="0834F20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（二）供应商的报价均超过了采购预算，采购人不能支付的；</w:t>
      </w:r>
    </w:p>
    <w:p w14:paraId="209B203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（三）出现影响采购公正的违法、违规行为的；</w:t>
      </w:r>
    </w:p>
    <w:p w14:paraId="70C2349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（四）因重大变故，采购任务取消的。</w:t>
      </w:r>
    </w:p>
    <w:p w14:paraId="5507FC0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采购终止后，除采购任务取消情形外，应当重新组织采购。</w:t>
      </w:r>
    </w:p>
    <w:p w14:paraId="5A8CCCE9">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color w:val="auto"/>
          <w:sz w:val="24"/>
          <w:szCs w:val="24"/>
          <w:highlight w:val="none"/>
        </w:rPr>
        <w:br w:type="page"/>
      </w:r>
    </w:p>
    <w:bookmarkEnd w:id="77"/>
    <w:p w14:paraId="1718EF24">
      <w:pPr>
        <w:pStyle w:val="3"/>
        <w:bidi w:val="0"/>
        <w:spacing w:line="360" w:lineRule="auto"/>
        <w:jc w:val="center"/>
        <w:rPr>
          <w:rFonts w:hint="eastAsia" w:ascii="宋体" w:hAnsi="宋体" w:eastAsia="宋体" w:cs="宋体"/>
          <w:color w:val="auto"/>
          <w:highlight w:val="none"/>
          <w:lang w:val="en-US" w:eastAsia="zh-CN"/>
        </w:rPr>
      </w:pPr>
      <w:bookmarkStart w:id="164" w:name="_Toc9068"/>
      <w:bookmarkStart w:id="165" w:name="_Toc102227313"/>
      <w:bookmarkStart w:id="166" w:name="_Toc4732"/>
      <w:bookmarkStart w:id="167" w:name="_Toc18118"/>
      <w:bookmarkStart w:id="168" w:name="_Toc21393"/>
      <w:bookmarkStart w:id="169" w:name="_Toc8742"/>
      <w:bookmarkStart w:id="170" w:name="_Toc32023"/>
      <w:bookmarkStart w:id="171" w:name="_Toc26681"/>
      <w:bookmarkStart w:id="172" w:name="_Toc22203"/>
      <w:bookmarkStart w:id="173" w:name="_Toc1222"/>
      <w:bookmarkStart w:id="174" w:name="_Toc26060"/>
      <w:bookmarkStart w:id="175" w:name="_Toc21360"/>
      <w:r>
        <w:rPr>
          <w:rFonts w:hint="eastAsia" w:ascii="宋体" w:hAnsi="宋体" w:eastAsia="宋体" w:cs="宋体"/>
          <w:color w:val="auto"/>
          <w:highlight w:val="none"/>
          <w:lang w:val="en-US" w:eastAsia="zh-CN"/>
        </w:rPr>
        <w:t>第五篇  供应商须知</w:t>
      </w:r>
      <w:bookmarkEnd w:id="164"/>
      <w:bookmarkEnd w:id="165"/>
      <w:bookmarkEnd w:id="166"/>
      <w:bookmarkEnd w:id="167"/>
      <w:bookmarkEnd w:id="168"/>
      <w:bookmarkEnd w:id="169"/>
      <w:bookmarkEnd w:id="170"/>
      <w:bookmarkEnd w:id="171"/>
      <w:bookmarkEnd w:id="172"/>
      <w:bookmarkEnd w:id="173"/>
      <w:bookmarkEnd w:id="174"/>
    </w:p>
    <w:p w14:paraId="53C8B44E">
      <w:pPr>
        <w:pStyle w:val="2"/>
        <w:spacing w:before="0" w:after="0" w:line="360" w:lineRule="auto"/>
        <w:ind w:firstLine="482" w:firstLineChars="200"/>
        <w:rPr>
          <w:rFonts w:hint="eastAsia" w:ascii="宋体" w:hAnsi="宋体" w:eastAsia="宋体" w:cs="宋体"/>
          <w:sz w:val="24"/>
          <w:szCs w:val="24"/>
        </w:rPr>
      </w:pPr>
      <w:bookmarkStart w:id="176" w:name="_Toc2039"/>
      <w:bookmarkStart w:id="177" w:name="_Toc29591"/>
      <w:bookmarkStart w:id="178" w:name="_Toc6306"/>
      <w:bookmarkStart w:id="179" w:name="_Toc342913389"/>
      <w:bookmarkStart w:id="180" w:name="_Toc4959"/>
      <w:bookmarkStart w:id="181" w:name="_Toc7493"/>
      <w:bookmarkStart w:id="182" w:name="_Toc17708"/>
      <w:bookmarkStart w:id="183" w:name="_Toc12699"/>
      <w:bookmarkStart w:id="184" w:name="_Toc14045"/>
      <w:bookmarkStart w:id="185" w:name="_Toc28403"/>
      <w:r>
        <w:rPr>
          <w:rFonts w:hint="eastAsia" w:ascii="宋体" w:hAnsi="宋体" w:eastAsia="宋体" w:cs="宋体"/>
          <w:sz w:val="24"/>
          <w:szCs w:val="24"/>
        </w:rPr>
        <w:t>一、竞选费用</w:t>
      </w:r>
      <w:bookmarkEnd w:id="176"/>
      <w:bookmarkEnd w:id="177"/>
      <w:bookmarkEnd w:id="178"/>
      <w:bookmarkEnd w:id="179"/>
      <w:bookmarkEnd w:id="180"/>
      <w:bookmarkEnd w:id="181"/>
      <w:bookmarkEnd w:id="182"/>
      <w:bookmarkEnd w:id="183"/>
      <w:bookmarkEnd w:id="184"/>
      <w:bookmarkEnd w:id="185"/>
    </w:p>
    <w:p w14:paraId="75096A66">
      <w:pPr>
        <w:pStyle w:val="3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参与竞选的供应商应承担其编制比选申请文件与递交比选申请文件所涉及的一切费用，不论竞选结果如何，采购人和采购代理机构在任何情况下无义务也无责任承担这些费用。</w:t>
      </w:r>
    </w:p>
    <w:p w14:paraId="564AFEDD">
      <w:pPr>
        <w:pStyle w:val="2"/>
        <w:tabs>
          <w:tab w:val="left" w:pos="2640"/>
        </w:tabs>
        <w:spacing w:before="0" w:after="0" w:line="360" w:lineRule="auto"/>
        <w:ind w:firstLine="482" w:firstLineChars="200"/>
        <w:rPr>
          <w:rFonts w:hint="eastAsia" w:ascii="宋体" w:hAnsi="宋体" w:eastAsia="宋体" w:cs="宋体"/>
          <w:sz w:val="24"/>
          <w:szCs w:val="24"/>
        </w:rPr>
      </w:pPr>
      <w:bookmarkStart w:id="186" w:name="_Toc27644"/>
      <w:bookmarkStart w:id="187" w:name="_Toc8090"/>
      <w:bookmarkStart w:id="188" w:name="_Toc342913391"/>
      <w:bookmarkStart w:id="189" w:name="_Toc10211"/>
      <w:bookmarkStart w:id="190" w:name="_Toc12557"/>
      <w:bookmarkStart w:id="191" w:name="_Toc22164"/>
      <w:bookmarkStart w:id="192" w:name="_Toc23987"/>
      <w:bookmarkStart w:id="193" w:name="_Toc29363"/>
      <w:bookmarkStart w:id="194" w:name="_Toc1797"/>
      <w:bookmarkStart w:id="195" w:name="_Toc11051"/>
      <w:r>
        <w:rPr>
          <w:rFonts w:hint="eastAsia" w:ascii="宋体" w:hAnsi="宋体" w:eastAsia="宋体" w:cs="宋体"/>
          <w:sz w:val="24"/>
          <w:szCs w:val="24"/>
        </w:rPr>
        <w:t>二、竞争性比选文件</w:t>
      </w:r>
      <w:bookmarkEnd w:id="186"/>
      <w:bookmarkEnd w:id="187"/>
      <w:bookmarkEnd w:id="188"/>
      <w:bookmarkEnd w:id="189"/>
      <w:bookmarkEnd w:id="190"/>
      <w:bookmarkEnd w:id="191"/>
      <w:bookmarkEnd w:id="192"/>
      <w:bookmarkEnd w:id="193"/>
      <w:bookmarkEnd w:id="194"/>
      <w:bookmarkEnd w:id="195"/>
    </w:p>
    <w:p w14:paraId="2042C009">
      <w:pPr>
        <w:pStyle w:val="32"/>
        <w:spacing w:line="360" w:lineRule="auto"/>
        <w:ind w:firstLine="480" w:firstLineChars="200"/>
        <w:rPr>
          <w:rFonts w:hint="eastAsia" w:ascii="宋体" w:hAnsi="宋体" w:eastAsia="宋体" w:cs="宋体"/>
          <w:sz w:val="24"/>
          <w:szCs w:val="24"/>
        </w:rPr>
      </w:pPr>
      <w:bookmarkStart w:id="196" w:name="_Toc318159780"/>
      <w:bookmarkStart w:id="197" w:name="_Toc318166429"/>
      <w:bookmarkStart w:id="198" w:name="_Toc318159160"/>
      <w:bookmarkStart w:id="199" w:name="_Toc318159349"/>
      <w:r>
        <w:rPr>
          <w:rFonts w:hint="eastAsia" w:ascii="宋体" w:hAnsi="宋体" w:eastAsia="宋体" w:cs="宋体"/>
          <w:sz w:val="24"/>
          <w:szCs w:val="24"/>
        </w:rPr>
        <w:t>（一）竞争性比选文件由采购邀请书、项目服务需求、项目商务需求、竞选程序及方法、评审标准、无效响应和采购终止、供应商须知、合同条款及格式、响应文件格式七部分组成。</w:t>
      </w:r>
    </w:p>
    <w:p w14:paraId="6ED715B9">
      <w:pPr>
        <w:pStyle w:val="3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（二）采购人（或采购代理机构）所作的一切有效的书面通知、修改及补充，都是竞争性比选文件不可分割的部分。</w:t>
      </w:r>
    </w:p>
    <w:p w14:paraId="040F67F3">
      <w:pPr>
        <w:pStyle w:val="3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（三）竞争性比选文件的解释</w:t>
      </w:r>
    </w:p>
    <w:p w14:paraId="536863AC">
      <w:pPr>
        <w:pStyle w:val="3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如对竞争性比选文件有疑问，必须以书面形式在提交比选申请文件截止时间3个工作日前向采购人（或采购代理机构）要求澄清，采购人（或采购代理机构）可视具体情况做出处理或答复。如供应商未提出疑问，视为完全理解并同意本竞争性比选文件。一经进入竞选程序，即视为供应商已详细阅读全部文件资料，完全理解竞争性比选文件所有条款内容并同意放弃对这方面有不明白及误解的权利。</w:t>
      </w:r>
    </w:p>
    <w:p w14:paraId="0A84FF42">
      <w:pPr>
        <w:pStyle w:val="3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（四）评审的依据为竞争性比选文件和比选申请文件（含有效的书面承诺）。竞争性比选小组判断比选申请文件对竞争性比选文件的响应，仅基于比选申请文件本身而不靠外部证据。</w:t>
      </w:r>
    </w:p>
    <w:bookmarkEnd w:id="196"/>
    <w:bookmarkEnd w:id="197"/>
    <w:bookmarkEnd w:id="198"/>
    <w:bookmarkEnd w:id="199"/>
    <w:p w14:paraId="19A4BC64">
      <w:pPr>
        <w:pStyle w:val="2"/>
        <w:spacing w:before="0" w:after="0" w:line="360" w:lineRule="auto"/>
        <w:ind w:firstLine="482" w:firstLineChars="200"/>
        <w:rPr>
          <w:rFonts w:hint="eastAsia" w:ascii="宋体" w:hAnsi="宋体" w:eastAsia="宋体" w:cs="宋体"/>
          <w:sz w:val="24"/>
          <w:szCs w:val="24"/>
        </w:rPr>
      </w:pPr>
      <w:bookmarkStart w:id="200" w:name="_Toc27106"/>
      <w:bookmarkStart w:id="201" w:name="_Toc200"/>
      <w:bookmarkStart w:id="202" w:name="_Toc342913392"/>
      <w:bookmarkStart w:id="203" w:name="_Toc102227318"/>
      <w:bookmarkStart w:id="204" w:name="_Toc16911"/>
      <w:bookmarkStart w:id="205" w:name="_Toc14082"/>
      <w:bookmarkStart w:id="206" w:name="_Toc20482"/>
      <w:bookmarkStart w:id="207" w:name="_Toc28821"/>
      <w:bookmarkStart w:id="208" w:name="_Toc30479"/>
      <w:bookmarkStart w:id="209" w:name="_Toc22555"/>
      <w:bookmarkStart w:id="210" w:name="_Toc13831"/>
      <w:bookmarkStart w:id="211" w:name="_Toc179714297"/>
      <w:r>
        <w:rPr>
          <w:rFonts w:hint="eastAsia" w:ascii="宋体" w:hAnsi="宋体" w:eastAsia="宋体" w:cs="宋体"/>
          <w:sz w:val="24"/>
          <w:szCs w:val="24"/>
        </w:rPr>
        <w:t>三、竞选要求</w:t>
      </w:r>
      <w:bookmarkEnd w:id="200"/>
      <w:bookmarkEnd w:id="201"/>
      <w:bookmarkEnd w:id="202"/>
      <w:bookmarkEnd w:id="203"/>
      <w:bookmarkEnd w:id="204"/>
      <w:bookmarkEnd w:id="205"/>
      <w:bookmarkEnd w:id="206"/>
      <w:bookmarkEnd w:id="207"/>
      <w:bookmarkEnd w:id="208"/>
      <w:bookmarkEnd w:id="209"/>
      <w:bookmarkEnd w:id="210"/>
      <w:bookmarkEnd w:id="211"/>
    </w:p>
    <w:p w14:paraId="7C05606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（一）比选申请文件</w:t>
      </w:r>
    </w:p>
    <w:p w14:paraId="40377F2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1.供应商应当按照竞争性比选文件的要求编制比选申请文件，并对竞争性比选文件提出的要求和条件作出实质性响应，比选申请文件原则上采用软面订本，同时应编制完整的页码、目录。</w:t>
      </w:r>
    </w:p>
    <w:p w14:paraId="4BB9130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2.比选申请文件组成</w:t>
      </w:r>
    </w:p>
    <w:p w14:paraId="4626A6D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比选申请文件由第七篇“响应文件格式”规定的部分和供应商所作的一切有效补充、修改和承诺等文件组成，供应商应按照第七篇“响应文件格式”规定的目录顺序组织编写和装订，也可在基本格式基础上对表格进行扩展，未规定格式的由供应商自定格式。</w:t>
      </w:r>
    </w:p>
    <w:p w14:paraId="717E664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（二）联合体</w:t>
      </w:r>
    </w:p>
    <w:p w14:paraId="5A45BC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rPr>
        <w:t>本项目不接受联合体形式参与竞选。</w:t>
      </w:r>
    </w:p>
    <w:p w14:paraId="00E95B6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（三）竞选有效期：比选申请文件及有关承诺文件有效期为提交比选申请文件截止时间起90天。</w:t>
      </w:r>
    </w:p>
    <w:p w14:paraId="0607794E">
      <w:pPr>
        <w:snapToGrid w:val="0"/>
        <w:spacing w:line="360" w:lineRule="auto"/>
        <w:ind w:firstLine="480" w:firstLineChars="200"/>
        <w:rPr>
          <w:rFonts w:hint="default" w:ascii="宋体" w:hAnsi="宋体" w:eastAsia="宋体" w:cs="宋体"/>
          <w:sz w:val="24"/>
          <w:szCs w:val="24"/>
          <w:lang w:val="en-US"/>
        </w:rPr>
      </w:pPr>
      <w:r>
        <w:rPr>
          <w:rFonts w:hint="eastAsia" w:ascii="宋体" w:hAnsi="宋体" w:eastAsia="宋体" w:cs="宋体"/>
          <w:sz w:val="24"/>
          <w:szCs w:val="24"/>
        </w:rPr>
        <w:t>（四）保证金</w:t>
      </w:r>
      <w:r>
        <w:rPr>
          <w:rFonts w:hint="eastAsia" w:ascii="宋体" w:hAnsi="宋体" w:cs="宋体"/>
          <w:sz w:val="24"/>
          <w:szCs w:val="24"/>
          <w:lang w:eastAsia="zh-CN"/>
        </w:rPr>
        <w:t>：</w:t>
      </w:r>
      <w:r>
        <w:rPr>
          <w:rFonts w:hint="eastAsia" w:ascii="宋体" w:hAnsi="宋体" w:cs="宋体"/>
          <w:sz w:val="24"/>
          <w:szCs w:val="24"/>
          <w:lang w:val="en-US" w:eastAsia="zh-CN"/>
        </w:rPr>
        <w:t>无。</w:t>
      </w:r>
    </w:p>
    <w:p w14:paraId="4553C79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（五）提交比选申请文件的份数和签署</w:t>
      </w:r>
    </w:p>
    <w:p w14:paraId="01A95494">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本项目采取线上线下相结合的方式进行投标报价，</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须在规定时间内完成</w:t>
      </w:r>
      <w:r>
        <w:rPr>
          <w:rFonts w:hint="eastAsia" w:ascii="宋体" w:hAnsi="宋体" w:eastAsia="宋体" w:cs="宋体"/>
          <w:color w:val="auto"/>
          <w:sz w:val="24"/>
          <w:szCs w:val="24"/>
          <w:lang w:val="en-US" w:eastAsia="zh-CN"/>
        </w:rPr>
        <w:t>行采家</w:t>
      </w:r>
      <w:r>
        <w:rPr>
          <w:rFonts w:hint="eastAsia" w:ascii="宋体" w:hAnsi="宋体" w:eastAsia="宋体" w:cs="宋体"/>
          <w:color w:val="auto"/>
          <w:sz w:val="24"/>
          <w:szCs w:val="24"/>
        </w:rPr>
        <w:t>平台</w:t>
      </w:r>
      <w:r>
        <w:rPr>
          <w:rFonts w:hint="eastAsia" w:ascii="宋体" w:hAnsi="宋体" w:eastAsia="宋体" w:cs="宋体"/>
          <w:color w:val="auto"/>
          <w:sz w:val="24"/>
          <w:szCs w:val="24"/>
          <w:lang w:val="en-US" w:eastAsia="zh-CN"/>
        </w:rPr>
        <w:t>电子响应文件</w:t>
      </w:r>
      <w:r>
        <w:rPr>
          <w:rFonts w:hint="eastAsia" w:ascii="宋体" w:hAnsi="宋体" w:eastAsia="宋体" w:cs="宋体"/>
          <w:color w:val="auto"/>
          <w:sz w:val="24"/>
          <w:szCs w:val="24"/>
        </w:rPr>
        <w:t>及现场</w:t>
      </w:r>
      <w:r>
        <w:rPr>
          <w:rFonts w:hint="eastAsia" w:ascii="宋体" w:hAnsi="宋体" w:eastAsia="宋体" w:cs="宋体"/>
          <w:color w:val="auto"/>
          <w:sz w:val="24"/>
          <w:szCs w:val="24"/>
          <w:lang w:val="en-US" w:eastAsia="zh-CN"/>
        </w:rPr>
        <w:t>纸质响应文件的提交（可邮寄）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且线上线下递交的响应文件内容须保持一致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缺少任意一项均视为无效响应</w:t>
      </w:r>
      <w:r>
        <w:rPr>
          <w:rFonts w:hint="eastAsia" w:ascii="宋体" w:hAnsi="宋体" w:eastAsia="宋体" w:cs="宋体"/>
          <w:color w:val="auto"/>
          <w:sz w:val="24"/>
          <w:szCs w:val="24"/>
          <w:lang w:eastAsia="zh-CN"/>
        </w:rPr>
        <w:t>。</w:t>
      </w:r>
    </w:p>
    <w:p w14:paraId="121E7A76">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线下（投标现场）响应文件提交规则：</w:t>
      </w:r>
    </w:p>
    <w:p w14:paraId="4F79B3EF">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（1）响应文件一式二份，其中正本一份，副本一份，副本可为正本的复印件，应与正</w:t>
      </w:r>
      <w:r>
        <w:rPr>
          <w:rFonts w:hint="eastAsia" w:ascii="宋体" w:hAnsi="宋体" w:eastAsia="宋体" w:cs="宋体"/>
          <w:sz w:val="24"/>
          <w:szCs w:val="24"/>
          <w:lang w:val="en-US" w:eastAsia="zh-CN"/>
        </w:rPr>
        <w:t>本一致，如出现不一致情况以正本为准。</w:t>
      </w:r>
    </w:p>
    <w:p w14:paraId="17E775BD">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（2）在比选申请文件正本中，竞争性比选文件第七篇响应文件格式要求中规定签署、盖章的地方必须按其规定签署、盖章。</w:t>
      </w:r>
    </w:p>
    <w:p w14:paraId="1849B76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（3）响应文件的密封与标记</w:t>
      </w:r>
    </w:p>
    <w:p w14:paraId="0ABB78EF">
      <w:pPr>
        <w:snapToGrid/>
        <w:spacing w:line="360" w:lineRule="auto"/>
        <w:ind w:firstLine="480" w:firstLineChars="200"/>
        <w:rPr>
          <w:rFonts w:hint="eastAsia" w:ascii="宋体" w:hAnsi="宋体" w:eastAsia="宋体" w:cs="宋体"/>
          <w:b/>
          <w:bCs/>
          <w:sz w:val="24"/>
          <w:szCs w:val="24"/>
          <w:lang w:eastAsia="zh-CN"/>
        </w:rPr>
      </w:pPr>
      <w:r>
        <w:rPr>
          <w:rFonts w:hint="eastAsia" w:ascii="宋体" w:hAnsi="宋体" w:eastAsia="宋体" w:cs="宋体"/>
          <w:sz w:val="24"/>
          <w:szCs w:val="24"/>
          <w:lang w:val="en-US" w:eastAsia="zh-CN"/>
        </w:rPr>
        <w:t>响应文件的正本、副本均应密封送达竞采地点，应在封套上注明项目名称、供应商名称。若正本、副本分别进行密封的，还应在封套上注明“正本”、“副本”字样。如果未按上述规定进行密封的，采购人、采购代理机构将拒收其响应文件。</w:t>
      </w:r>
    </w:p>
    <w:p w14:paraId="29D82165">
      <w:pPr>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4</w:t>
      </w:r>
      <w:r>
        <w:rPr>
          <w:rFonts w:hint="eastAsia" w:ascii="宋体" w:hAnsi="宋体" w:eastAsia="宋体" w:cs="宋体"/>
          <w:b/>
          <w:bCs/>
          <w:sz w:val="24"/>
          <w:szCs w:val="24"/>
          <w:lang w:eastAsia="zh-CN"/>
        </w:rPr>
        <w:t>）</w:t>
      </w:r>
      <w:r>
        <w:rPr>
          <w:rFonts w:hint="eastAsia" w:ascii="宋体" w:hAnsi="宋体" w:eastAsia="宋体" w:cs="宋体"/>
          <w:b/>
          <w:bCs/>
          <w:sz w:val="24"/>
          <w:szCs w:val="24"/>
        </w:rPr>
        <w:t>响应文件可以现场递交也可以通过邮寄递交。如果响应文件通过邮寄递交，供应商应将响应文件密封，并请确保开标前送至</w:t>
      </w:r>
      <w:r>
        <w:rPr>
          <w:rFonts w:hint="eastAsia" w:ascii="宋体" w:hAnsi="宋体" w:eastAsia="宋体" w:cs="宋体"/>
          <w:b/>
          <w:bCs/>
          <w:sz w:val="24"/>
          <w:szCs w:val="24"/>
          <w:lang w:val="en-US" w:eastAsia="zh-CN"/>
        </w:rPr>
        <w:t>重庆市沙坪坝区小龙坎正街168号嘉新大厦12-3</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请自行确保快递安全，若出现快递</w:t>
      </w:r>
      <w:r>
        <w:rPr>
          <w:rFonts w:hint="eastAsia" w:ascii="宋体" w:hAnsi="宋体" w:eastAsia="宋体" w:cs="宋体"/>
          <w:b/>
          <w:bCs/>
          <w:sz w:val="24"/>
          <w:szCs w:val="24"/>
          <w:lang w:eastAsia="zh-CN"/>
        </w:rPr>
        <w:t>遗失、</w:t>
      </w:r>
      <w:r>
        <w:rPr>
          <w:rFonts w:hint="eastAsia" w:ascii="宋体" w:hAnsi="宋体" w:eastAsia="宋体" w:cs="宋体"/>
          <w:b/>
          <w:bCs/>
          <w:sz w:val="24"/>
          <w:szCs w:val="24"/>
          <w:lang w:val="en-US" w:eastAsia="zh-CN"/>
        </w:rPr>
        <w:t>损坏等情况由供应商自行负责</w:t>
      </w:r>
      <w:r>
        <w:rPr>
          <w:rFonts w:hint="eastAsia" w:ascii="宋体" w:hAnsi="宋体" w:eastAsia="宋体" w:cs="宋体"/>
          <w:b/>
          <w:bCs/>
          <w:sz w:val="24"/>
          <w:szCs w:val="24"/>
          <w:lang w:eastAsia="zh-CN"/>
        </w:rPr>
        <w:t>）</w:t>
      </w:r>
      <w:r>
        <w:rPr>
          <w:rFonts w:hint="eastAsia" w:ascii="宋体" w:hAnsi="宋体" w:eastAsia="宋体" w:cs="宋体"/>
          <w:b/>
          <w:bCs/>
          <w:sz w:val="24"/>
          <w:szCs w:val="24"/>
        </w:rPr>
        <w:t>。</w:t>
      </w:r>
    </w:p>
    <w:p w14:paraId="06846FF1">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响应文件投递截止时间：见第一篇。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22FBE574">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2、线上（行采家电子竞采）响应文件提交规则：</w:t>
      </w:r>
    </w:p>
    <w:p w14:paraId="61F3E941">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供应商须同时在线上上传盖章后的电子文档一份（电子文档内容应与纸质文件正本一致）。</w:t>
      </w:r>
    </w:p>
    <w:p w14:paraId="13C69CC7">
      <w:pPr>
        <w:pStyle w:val="2"/>
        <w:spacing w:before="0" w:after="0" w:line="360" w:lineRule="auto"/>
        <w:ind w:firstLine="482" w:firstLineChars="200"/>
        <w:rPr>
          <w:rFonts w:hint="eastAsia" w:ascii="宋体" w:hAnsi="宋体" w:eastAsia="宋体" w:cs="宋体"/>
          <w:sz w:val="24"/>
          <w:szCs w:val="24"/>
        </w:rPr>
      </w:pPr>
      <w:bookmarkStart w:id="212" w:name="_Toc25398"/>
      <w:bookmarkStart w:id="213" w:name="_Toc25250"/>
      <w:bookmarkStart w:id="214" w:name="_Toc9792"/>
      <w:bookmarkStart w:id="215" w:name="_Toc29275"/>
      <w:bookmarkStart w:id="216" w:name="_Toc18768"/>
      <w:bookmarkStart w:id="217" w:name="_Toc2882"/>
      <w:bookmarkStart w:id="218" w:name="_Toc28633"/>
      <w:bookmarkStart w:id="219" w:name="_Toc29749"/>
      <w:bookmarkStart w:id="220" w:name="_Toc24397"/>
      <w:r>
        <w:rPr>
          <w:rFonts w:hint="eastAsia" w:ascii="宋体" w:hAnsi="宋体" w:eastAsia="宋体" w:cs="宋体"/>
          <w:sz w:val="24"/>
          <w:szCs w:val="24"/>
        </w:rPr>
        <w:t>四、成交供应商的确定和变更</w:t>
      </w:r>
      <w:bookmarkEnd w:id="212"/>
      <w:bookmarkEnd w:id="213"/>
      <w:bookmarkEnd w:id="214"/>
      <w:bookmarkEnd w:id="215"/>
      <w:bookmarkEnd w:id="216"/>
      <w:bookmarkEnd w:id="217"/>
      <w:bookmarkEnd w:id="218"/>
      <w:bookmarkEnd w:id="219"/>
      <w:bookmarkEnd w:id="220"/>
    </w:p>
    <w:p w14:paraId="503D0783">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（一）成交供应商的确定</w:t>
      </w:r>
    </w:p>
    <w:p w14:paraId="20FA617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竞争性比选小组直接确定成交供应商。采购人逾期未确定成交供应商且不提出异议的，视为确定评审报告提出的排序第一的供应商为成交供应商。</w:t>
      </w:r>
    </w:p>
    <w:p w14:paraId="38CAEBE0">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（二）成交供应商的变更</w:t>
      </w:r>
    </w:p>
    <w:p w14:paraId="7578021B">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rPr>
        <w:t>成交供应商拒绝与采购人签订合同的，采购人可以按照评标报告推荐的成交候选供应商顺序，确定排名下一位的候选人为成交供应商，也可以重新开展采购活动。</w:t>
      </w:r>
    </w:p>
    <w:p w14:paraId="7DCC8C84">
      <w:pPr>
        <w:pStyle w:val="2"/>
        <w:spacing w:before="0" w:after="0" w:line="360" w:lineRule="auto"/>
        <w:ind w:firstLine="482" w:firstLineChars="200"/>
        <w:rPr>
          <w:rFonts w:hint="eastAsia" w:ascii="宋体" w:hAnsi="宋体" w:eastAsia="宋体" w:cs="宋体"/>
          <w:sz w:val="24"/>
          <w:szCs w:val="24"/>
        </w:rPr>
      </w:pPr>
      <w:bookmarkStart w:id="221" w:name="_Toc18011"/>
      <w:bookmarkStart w:id="222" w:name="_Toc102227321"/>
      <w:bookmarkStart w:id="223" w:name="_Toc342913395"/>
      <w:bookmarkStart w:id="224" w:name="_Toc26732"/>
      <w:bookmarkStart w:id="225" w:name="_Toc5217"/>
      <w:bookmarkStart w:id="226" w:name="_Toc27847"/>
      <w:bookmarkStart w:id="227" w:name="_Toc7460"/>
      <w:bookmarkStart w:id="228" w:name="_Toc17655"/>
      <w:bookmarkStart w:id="229" w:name="_Toc27226"/>
      <w:bookmarkStart w:id="230" w:name="_Toc14729"/>
      <w:bookmarkStart w:id="231" w:name="_Toc14356"/>
      <w:r>
        <w:rPr>
          <w:rFonts w:hint="eastAsia" w:ascii="宋体" w:hAnsi="宋体" w:eastAsia="宋体" w:cs="宋体"/>
          <w:sz w:val="24"/>
          <w:szCs w:val="24"/>
        </w:rPr>
        <w:t>五、成交通知</w:t>
      </w:r>
      <w:bookmarkEnd w:id="221"/>
      <w:bookmarkEnd w:id="222"/>
      <w:bookmarkEnd w:id="223"/>
      <w:bookmarkEnd w:id="224"/>
      <w:bookmarkEnd w:id="225"/>
      <w:bookmarkEnd w:id="226"/>
      <w:bookmarkEnd w:id="227"/>
      <w:bookmarkEnd w:id="228"/>
      <w:bookmarkEnd w:id="229"/>
      <w:bookmarkEnd w:id="230"/>
      <w:bookmarkEnd w:id="231"/>
    </w:p>
    <w:p w14:paraId="35C35F99">
      <w:pPr>
        <w:pStyle w:val="12"/>
        <w:spacing w:line="360" w:lineRule="auto"/>
        <w:ind w:firstLine="480" w:firstLineChars="200"/>
        <w:rPr>
          <w:rFonts w:hint="eastAsia" w:ascii="宋体" w:hAnsi="宋体" w:eastAsia="宋体" w:cs="宋体"/>
          <w:sz w:val="24"/>
        </w:rPr>
      </w:pPr>
      <w:r>
        <w:rPr>
          <w:rFonts w:hint="eastAsia" w:ascii="宋体" w:hAnsi="宋体" w:eastAsia="宋体" w:cs="宋体"/>
          <w:sz w:val="24"/>
          <w:szCs w:val="24"/>
        </w:rPr>
        <w:t>（一）成交供应商确定后，采购代理机构将在行采家（https://www.gec123.com/）上发布成交结果公告。</w:t>
      </w:r>
    </w:p>
    <w:p w14:paraId="0A6A3057">
      <w:pPr>
        <w:pStyle w:val="12"/>
        <w:spacing w:line="360" w:lineRule="auto"/>
        <w:ind w:firstLine="480" w:firstLineChars="200"/>
        <w:rPr>
          <w:rFonts w:hint="eastAsia" w:ascii="宋体" w:hAnsi="宋体" w:eastAsia="宋体" w:cs="宋体"/>
          <w:sz w:val="24"/>
        </w:rPr>
      </w:pPr>
      <w:r>
        <w:rPr>
          <w:rFonts w:hint="eastAsia" w:ascii="宋体" w:hAnsi="宋体" w:eastAsia="宋体" w:cs="宋体"/>
          <w:sz w:val="24"/>
          <w:szCs w:val="24"/>
        </w:rPr>
        <w:t>（二）结果公告发出的同时，采购代理机构将以书面形式发出《成交通知书》。《成交通知书》一经发出即发生法律效力。</w:t>
      </w:r>
    </w:p>
    <w:p w14:paraId="7C2D9F0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（三）《成交通知书》将作为签订合同的依据。</w:t>
      </w:r>
    </w:p>
    <w:p w14:paraId="359E7A1F">
      <w:pPr>
        <w:pStyle w:val="2"/>
        <w:spacing w:before="0" w:after="0" w:line="360" w:lineRule="auto"/>
        <w:ind w:firstLine="482" w:firstLineChars="200"/>
        <w:rPr>
          <w:rFonts w:hint="eastAsia" w:ascii="宋体" w:hAnsi="宋体" w:eastAsia="宋体" w:cs="宋体"/>
          <w:sz w:val="24"/>
          <w:szCs w:val="24"/>
        </w:rPr>
      </w:pPr>
      <w:bookmarkStart w:id="232" w:name="_Toc16865"/>
      <w:bookmarkStart w:id="233" w:name="_Toc175"/>
      <w:bookmarkStart w:id="234" w:name="_Toc4598"/>
      <w:bookmarkStart w:id="235" w:name="_Toc9742"/>
      <w:bookmarkStart w:id="236" w:name="_Toc23386"/>
      <w:bookmarkStart w:id="237" w:name="_Toc3299"/>
      <w:bookmarkStart w:id="238" w:name="_Toc24957"/>
      <w:bookmarkStart w:id="239" w:name="_Toc24863"/>
      <w:bookmarkStart w:id="240" w:name="_Toc21959"/>
      <w:r>
        <w:rPr>
          <w:rFonts w:hint="eastAsia" w:ascii="宋体" w:hAnsi="宋体" w:eastAsia="宋体" w:cs="宋体"/>
          <w:sz w:val="24"/>
          <w:szCs w:val="24"/>
        </w:rPr>
        <w:t>六、签订合同</w:t>
      </w:r>
      <w:bookmarkEnd w:id="232"/>
      <w:bookmarkEnd w:id="233"/>
      <w:bookmarkEnd w:id="234"/>
      <w:bookmarkEnd w:id="235"/>
      <w:bookmarkEnd w:id="236"/>
      <w:bookmarkEnd w:id="237"/>
      <w:bookmarkEnd w:id="238"/>
      <w:bookmarkEnd w:id="239"/>
      <w:bookmarkEnd w:id="240"/>
    </w:p>
    <w:p w14:paraId="473915C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采购人应当自成交通知书发出之日起二十日内，按照竞争性比选文件和成交供应商比选申请文件的约定，与成交供应商签订书面合同。所签订的合同不得对竞争性比选文件和供应商的比选申请文件作实质性修改。</w:t>
      </w:r>
    </w:p>
    <w:p w14:paraId="5806E5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（二）竞争性比选文件、供应商的比选申请文件及澄清文件等，均为签订采购合同的依据。</w:t>
      </w:r>
    </w:p>
    <w:p w14:paraId="5B6CD32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（三）合同生效条款由供需双方约定，法律、行政法规规定应当办理批准、登记等手续后生效的合同，依照其规定。</w:t>
      </w:r>
    </w:p>
    <w:p w14:paraId="2E4649C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（四）合同原则上应按照《采购合同》签订，相关单位要求适用合同通用格式版本的，应按其要求另行签订其他合同。</w:t>
      </w:r>
    </w:p>
    <w:p w14:paraId="57A6469F">
      <w:pPr>
        <w:pStyle w:val="2"/>
        <w:spacing w:before="0" w:after="0" w:line="360" w:lineRule="auto"/>
        <w:ind w:firstLine="482" w:firstLineChars="200"/>
        <w:rPr>
          <w:rFonts w:hint="eastAsia" w:ascii="宋体" w:hAnsi="宋体" w:eastAsia="宋体" w:cs="宋体"/>
          <w:sz w:val="24"/>
          <w:szCs w:val="24"/>
        </w:rPr>
      </w:pPr>
      <w:bookmarkStart w:id="241" w:name="_Toc4217"/>
      <w:bookmarkStart w:id="242" w:name="_Toc61"/>
      <w:bookmarkStart w:id="243" w:name="_Toc20834"/>
      <w:bookmarkStart w:id="244" w:name="_Toc8579"/>
      <w:bookmarkStart w:id="245" w:name="_Toc13857"/>
      <w:bookmarkStart w:id="246" w:name="_Toc27151"/>
      <w:bookmarkStart w:id="247" w:name="_Toc20283"/>
      <w:bookmarkStart w:id="248" w:name="_Toc7393"/>
      <w:bookmarkStart w:id="249" w:name="_Toc7581"/>
      <w:r>
        <w:rPr>
          <w:rFonts w:hint="eastAsia" w:ascii="宋体" w:hAnsi="宋体" w:eastAsia="宋体" w:cs="宋体"/>
          <w:sz w:val="24"/>
          <w:szCs w:val="24"/>
        </w:rPr>
        <w:t>七、询问</w:t>
      </w:r>
      <w:bookmarkEnd w:id="241"/>
      <w:bookmarkEnd w:id="242"/>
      <w:bookmarkEnd w:id="243"/>
      <w:bookmarkEnd w:id="244"/>
      <w:bookmarkEnd w:id="245"/>
      <w:bookmarkEnd w:id="246"/>
      <w:bookmarkEnd w:id="247"/>
      <w:bookmarkEnd w:id="248"/>
      <w:bookmarkEnd w:id="249"/>
    </w:p>
    <w:p w14:paraId="4184F24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采购人或者代理机构应当在3个工作日内对供应商依法提出的询问作出答复。供应商询问可以是口头或书面形式。</w:t>
      </w:r>
    </w:p>
    <w:p w14:paraId="1FD92636">
      <w:pPr>
        <w:pStyle w:val="2"/>
        <w:spacing w:before="0" w:after="0" w:line="360" w:lineRule="auto"/>
        <w:ind w:firstLine="482" w:firstLineChars="200"/>
        <w:rPr>
          <w:rFonts w:hint="eastAsia" w:ascii="宋体" w:hAnsi="宋体" w:eastAsia="宋体" w:cs="宋体"/>
          <w:sz w:val="24"/>
          <w:szCs w:val="24"/>
        </w:rPr>
      </w:pPr>
      <w:bookmarkStart w:id="250" w:name="_Toc12645"/>
      <w:bookmarkStart w:id="251" w:name="_Toc8698"/>
      <w:bookmarkStart w:id="252" w:name="_Toc19253"/>
      <w:bookmarkStart w:id="253" w:name="_Toc19904"/>
      <w:bookmarkStart w:id="254" w:name="_Toc25624"/>
      <w:bookmarkStart w:id="255" w:name="_Toc10669"/>
      <w:bookmarkStart w:id="256" w:name="_Toc7735"/>
      <w:bookmarkStart w:id="257" w:name="_Toc32162"/>
      <w:r>
        <w:rPr>
          <w:rFonts w:hint="eastAsia" w:ascii="宋体" w:hAnsi="宋体" w:eastAsia="宋体" w:cs="宋体"/>
          <w:sz w:val="24"/>
          <w:szCs w:val="24"/>
        </w:rPr>
        <w:t>八、关于质疑</w:t>
      </w:r>
      <w:bookmarkEnd w:id="250"/>
      <w:bookmarkEnd w:id="251"/>
      <w:bookmarkEnd w:id="252"/>
      <w:bookmarkEnd w:id="253"/>
      <w:bookmarkEnd w:id="254"/>
      <w:bookmarkEnd w:id="255"/>
      <w:bookmarkEnd w:id="256"/>
      <w:bookmarkEnd w:id="257"/>
    </w:p>
    <w:p w14:paraId="273BBFE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供应商认为比选文件、比选过程和成交结果使自己的权益受到伤害的，可向采购人或采购代理机构以书面形式提出质疑。</w:t>
      </w:r>
    </w:p>
    <w:p w14:paraId="5A31D9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提出质疑的应当是参与所质疑项目比选活动的供应商。 </w:t>
      </w:r>
    </w:p>
    <w:p w14:paraId="0C15CEF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1.质疑时限、内容</w:t>
      </w:r>
    </w:p>
    <w:p w14:paraId="53BB25D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供应商认为比选文件、比选过程、成交结果使自己的权益受到损害的，可以在知道或者应知其权益受到损害之日起7个工作日内，以书面形式向采购人、采购代理机构提出质疑。</w:t>
      </w:r>
    </w:p>
    <w:p w14:paraId="00A706A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1.2供应商提出质疑应当提交质疑函和必要的证明材料，质疑函应当包括下列内容：</w:t>
      </w:r>
    </w:p>
    <w:p w14:paraId="754FE20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1.2.1供应商的姓名或者名称、地址、邮编、联系人及联系电话；</w:t>
      </w:r>
    </w:p>
    <w:p w14:paraId="778D2DE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1.2.2质疑项目的名称、项目号以及执行编号；</w:t>
      </w:r>
    </w:p>
    <w:p w14:paraId="739CA15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1.2.3具体、明确的质疑事项和与质疑事项相关的请求；</w:t>
      </w:r>
    </w:p>
    <w:p w14:paraId="0A76262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1.2.4事实依据；</w:t>
      </w:r>
    </w:p>
    <w:p w14:paraId="090FA61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1.2.5必要的法律依据；</w:t>
      </w:r>
    </w:p>
    <w:p w14:paraId="197DC7A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1.2.6提出质疑的日期；</w:t>
      </w:r>
    </w:p>
    <w:p w14:paraId="75A58BB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1.2.7营业执照（或事业单位法人证书，或个体工商户营业执照或有效的自然人身份证明）复印件；</w:t>
      </w:r>
    </w:p>
    <w:p w14:paraId="681789B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1.2.8法定代表人授权委托书原件、法定代表人身份证复印件和其授权代表的身份证复印件（供应商为自然人的提供自然人身份证复印件）；</w:t>
      </w:r>
    </w:p>
    <w:p w14:paraId="2B492E9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1.3供应商为自然人的，质疑函应当由本人签字；供应商为法人或者其他组织的，质疑函应当由法定代表人、主要负责人，或者其授权代表签字或者盖章，并加盖公章。</w:t>
      </w:r>
    </w:p>
    <w:p w14:paraId="795930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2.质疑答复</w:t>
      </w:r>
    </w:p>
    <w:p w14:paraId="7D0A672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采购人、采购代理机构应当在收到供应商的书面质疑后七个工作日内作出答复，并以书面形式通知质疑供应商和其他有关供应商。</w:t>
      </w:r>
    </w:p>
    <w:p w14:paraId="2BFB5CC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3.其他</w:t>
      </w:r>
    </w:p>
    <w:p w14:paraId="4820408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3.1供应商应</w:t>
      </w:r>
      <w:r>
        <w:rPr>
          <w:rFonts w:hint="eastAsia" w:ascii="宋体" w:hAnsi="宋体" w:eastAsia="宋体" w:cs="宋体"/>
          <w:sz w:val="24"/>
          <w:szCs w:val="24"/>
          <w:lang w:val="en-US" w:eastAsia="zh-CN"/>
        </w:rPr>
        <w:t>参照</w:t>
      </w:r>
      <w:r>
        <w:rPr>
          <w:rFonts w:hint="eastAsia" w:ascii="宋体" w:hAnsi="宋体" w:eastAsia="宋体" w:cs="宋体"/>
          <w:sz w:val="24"/>
          <w:szCs w:val="24"/>
        </w:rPr>
        <w:t>《政府采购质疑和投诉办法》（财政部令第94号）及相关法律法规要求，在法定质疑期内一次性提出针对同一采购程序环节的质疑。</w:t>
      </w:r>
    </w:p>
    <w:p w14:paraId="379B04F6">
      <w:pPr>
        <w:spacing w:line="360" w:lineRule="auto"/>
        <w:ind w:firstLine="480" w:firstLineChars="200"/>
        <w:rPr>
          <w:rFonts w:hint="eastAsia" w:ascii="宋体" w:hAnsi="宋体" w:eastAsia="宋体" w:cs="宋体"/>
        </w:rPr>
      </w:pPr>
      <w:r>
        <w:rPr>
          <w:rFonts w:hint="eastAsia" w:ascii="宋体" w:hAnsi="宋体" w:eastAsia="宋体" w:cs="宋体"/>
          <w:sz w:val="24"/>
          <w:szCs w:val="24"/>
        </w:rPr>
        <w:t>3.2质疑函范本可在财政部门户网站和中国政府采购网下载。</w:t>
      </w:r>
    </w:p>
    <w:p w14:paraId="133B4460">
      <w:pPr>
        <w:pStyle w:val="2"/>
        <w:spacing w:before="0" w:after="0" w:line="360" w:lineRule="auto"/>
        <w:ind w:firstLine="482" w:firstLineChars="200"/>
        <w:rPr>
          <w:rFonts w:hint="eastAsia" w:ascii="宋体" w:hAnsi="宋体" w:eastAsia="宋体" w:cs="宋体"/>
          <w:sz w:val="24"/>
          <w:szCs w:val="24"/>
        </w:rPr>
      </w:pPr>
      <w:bookmarkStart w:id="258" w:name="_Toc4185"/>
      <w:bookmarkStart w:id="259" w:name="_Toc24732"/>
      <w:bookmarkStart w:id="260" w:name="_Toc25903"/>
      <w:bookmarkStart w:id="261" w:name="_Toc15606"/>
      <w:bookmarkStart w:id="262" w:name="_Toc17216"/>
      <w:bookmarkStart w:id="263" w:name="_Toc21011"/>
      <w:bookmarkStart w:id="264" w:name="_Toc22501"/>
      <w:bookmarkStart w:id="265" w:name="_Toc25535"/>
      <w:bookmarkStart w:id="266" w:name="_Toc13370"/>
      <w:bookmarkStart w:id="267" w:name="_Toc12093"/>
      <w:bookmarkStart w:id="268" w:name="_Toc16887"/>
      <w:r>
        <w:rPr>
          <w:rFonts w:hint="eastAsia" w:ascii="宋体" w:hAnsi="宋体" w:eastAsia="宋体" w:cs="宋体"/>
          <w:sz w:val="24"/>
          <w:szCs w:val="24"/>
        </w:rPr>
        <w:t>九、</w:t>
      </w:r>
      <w:bookmarkEnd w:id="258"/>
      <w:bookmarkEnd w:id="259"/>
      <w:bookmarkEnd w:id="260"/>
      <w:r>
        <w:rPr>
          <w:rFonts w:hint="eastAsia" w:ascii="宋体" w:hAnsi="宋体" w:eastAsia="宋体" w:cs="宋体"/>
          <w:sz w:val="24"/>
          <w:szCs w:val="24"/>
        </w:rPr>
        <w:t>采购代理服务费</w:t>
      </w:r>
      <w:bookmarkEnd w:id="261"/>
      <w:bookmarkEnd w:id="262"/>
      <w:bookmarkEnd w:id="263"/>
      <w:bookmarkEnd w:id="264"/>
      <w:bookmarkEnd w:id="265"/>
      <w:bookmarkEnd w:id="266"/>
      <w:bookmarkEnd w:id="267"/>
      <w:bookmarkEnd w:id="268"/>
    </w:p>
    <w:p w14:paraId="37E5F8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w:t>
      </w:r>
      <w:r>
        <w:rPr>
          <w:rFonts w:hint="eastAsia" w:ascii="宋体" w:hAnsi="宋体" w:eastAsia="宋体" w:cs="宋体"/>
          <w:sz w:val="24"/>
          <w:szCs w:val="24"/>
        </w:rPr>
        <w:t>采购代理服务费按《招标代理服务收费管理暂行办法》（国家计委计价格[2002]1980 号）文件规定收费标准的</w:t>
      </w:r>
      <w:r>
        <w:rPr>
          <w:rFonts w:hint="eastAsia" w:ascii="宋体" w:hAnsi="宋体" w:eastAsia="宋体" w:cs="宋体"/>
          <w:sz w:val="24"/>
          <w:szCs w:val="24"/>
          <w:lang w:val="en-US" w:eastAsia="zh-CN"/>
        </w:rPr>
        <w:t>80</w:t>
      </w:r>
      <w:r>
        <w:rPr>
          <w:rFonts w:hint="eastAsia" w:ascii="宋体" w:hAnsi="宋体" w:eastAsia="宋体" w:cs="宋体"/>
          <w:sz w:val="24"/>
          <w:szCs w:val="24"/>
        </w:rPr>
        <w:t>%计取</w:t>
      </w:r>
      <w:r>
        <w:rPr>
          <w:rFonts w:hint="eastAsia" w:ascii="宋体" w:hAnsi="宋体" w:eastAsia="宋体" w:cs="宋体"/>
          <w:sz w:val="24"/>
          <w:szCs w:val="24"/>
          <w:lang w:val="en-US" w:eastAsia="zh-CN"/>
        </w:rPr>
        <w:t>,不足3000元时按3000元计取。</w:t>
      </w:r>
      <w:r>
        <w:rPr>
          <w:rFonts w:hint="eastAsia" w:ascii="宋体" w:hAnsi="宋体" w:eastAsia="宋体" w:cs="宋体"/>
          <w:sz w:val="24"/>
          <w:szCs w:val="24"/>
        </w:rPr>
        <w:t>由成交供应商在领取成交通知书时一次性向采购代理机构缴纳。</w:t>
      </w:r>
    </w:p>
    <w:p w14:paraId="038AE96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、采购代理服务费缴纳账户信息：</w:t>
      </w:r>
    </w:p>
    <w:p w14:paraId="524700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户名：重庆恒泰工程技术服务有限公司</w:t>
      </w:r>
    </w:p>
    <w:p w14:paraId="6F4B76F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帐号: 31041701040000402                    </w:t>
      </w:r>
    </w:p>
    <w:p w14:paraId="1A39EA8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开户行名称:农行重庆陈家湾支行 </w:t>
      </w:r>
    </w:p>
    <w:p w14:paraId="3AF89ADB">
      <w:pPr>
        <w:rPr>
          <w:rStyle w:val="29"/>
          <w:rFonts w:hint="eastAsia" w:ascii="宋体" w:hAnsi="宋体" w:eastAsia="宋体" w:cs="宋体"/>
          <w:color w:val="auto"/>
          <w:highlight w:val="none"/>
        </w:rPr>
      </w:pPr>
      <w:r>
        <w:rPr>
          <w:rStyle w:val="29"/>
          <w:rFonts w:hint="eastAsia" w:ascii="宋体" w:hAnsi="宋体" w:eastAsia="宋体" w:cs="宋体"/>
          <w:color w:val="auto"/>
          <w:highlight w:val="none"/>
        </w:rPr>
        <w:br w:type="page"/>
      </w:r>
    </w:p>
    <w:p w14:paraId="2FA44509">
      <w:pPr>
        <w:pStyle w:val="3"/>
        <w:bidi w:val="0"/>
        <w:spacing w:line="360" w:lineRule="auto"/>
        <w:jc w:val="center"/>
        <w:rPr>
          <w:rFonts w:hint="eastAsia" w:ascii="宋体" w:hAnsi="宋体" w:eastAsia="宋体" w:cs="宋体"/>
          <w:color w:val="auto"/>
          <w:highlight w:val="none"/>
          <w:lang w:val="en-US" w:eastAsia="zh-CN"/>
        </w:rPr>
      </w:pPr>
      <w:bookmarkStart w:id="269" w:name="_Toc16684"/>
      <w:bookmarkStart w:id="270" w:name="_Toc10182"/>
      <w:bookmarkStart w:id="271" w:name="_Toc29576"/>
      <w:bookmarkStart w:id="272" w:name="_Toc24728"/>
      <w:bookmarkStart w:id="273" w:name="_Toc18854"/>
      <w:bookmarkStart w:id="274" w:name="_Toc29751"/>
      <w:bookmarkStart w:id="275" w:name="_Toc28230"/>
      <w:bookmarkStart w:id="276" w:name="_Toc14982"/>
      <w:bookmarkStart w:id="277" w:name="_Toc21435"/>
      <w:bookmarkStart w:id="278" w:name="_Toc14400"/>
      <w:bookmarkStart w:id="279" w:name="_Toc6070"/>
      <w:bookmarkStart w:id="280" w:name="_Toc27296"/>
      <w:bookmarkStart w:id="281" w:name="_Toc11109"/>
      <w:bookmarkStart w:id="282" w:name="_Toc22925"/>
      <w:bookmarkStart w:id="283" w:name="_Toc24661"/>
      <w:bookmarkStart w:id="284" w:name="_Toc7545"/>
      <w:r>
        <w:rPr>
          <w:rFonts w:hint="eastAsia" w:ascii="宋体" w:hAnsi="宋体" w:eastAsia="宋体" w:cs="宋体"/>
          <w:color w:val="auto"/>
          <w:highlight w:val="none"/>
          <w:lang w:val="en-US" w:eastAsia="zh-CN"/>
        </w:rPr>
        <w:t>第六篇 合同条款及格式</w:t>
      </w:r>
      <w:bookmarkEnd w:id="269"/>
      <w:bookmarkEnd w:id="270"/>
      <w:bookmarkEnd w:id="271"/>
      <w:bookmarkEnd w:id="272"/>
      <w:bookmarkEnd w:id="273"/>
      <w:bookmarkEnd w:id="274"/>
      <w:bookmarkEnd w:id="275"/>
      <w:bookmarkEnd w:id="276"/>
      <w:bookmarkEnd w:id="277"/>
      <w:bookmarkEnd w:id="278"/>
    </w:p>
    <w:p w14:paraId="6482E3E1">
      <w:pPr>
        <w:pageBreakBefore w:val="0"/>
        <w:widowControl w:val="0"/>
        <w:kinsoku/>
        <w:wordWrap/>
        <w:overflowPunct/>
        <w:topLinePunct w:val="0"/>
        <w:autoSpaceDE/>
        <w:autoSpaceDN/>
        <w:bidi w:val="0"/>
        <w:spacing w:line="240" w:lineRule="auto"/>
        <w:ind w:right="0" w:rightChars="0" w:firstLine="480" w:firstLineChars="200"/>
        <w:jc w:val="both"/>
        <w:textAlignment w:val="auto"/>
        <w:rPr>
          <w:rFonts w:hint="eastAsia" w:ascii="宋体" w:hAnsi="宋体" w:eastAsia="宋体" w:cs="宋体"/>
          <w:color w:val="auto"/>
          <w:sz w:val="24"/>
          <w:szCs w:val="24"/>
          <w:highlight w:val="none"/>
          <w:lang w:eastAsia="zh-CN"/>
        </w:rPr>
      </w:pPr>
      <w:bookmarkStart w:id="285" w:name="_Toc32439"/>
      <w:bookmarkStart w:id="286" w:name="_Toc15523"/>
      <w:bookmarkStart w:id="287" w:name="_Toc28486"/>
      <w:bookmarkStart w:id="288" w:name="_Toc29813"/>
      <w:r>
        <w:rPr>
          <w:rFonts w:hint="eastAsia" w:ascii="宋体" w:hAnsi="宋体" w:eastAsia="宋体" w:cs="宋体"/>
          <w:color w:val="auto"/>
          <w:sz w:val="24"/>
          <w:szCs w:val="24"/>
          <w:highlight w:val="none"/>
          <w:lang w:eastAsia="zh-CN"/>
        </w:rPr>
        <w:t>1、定义</w:t>
      </w:r>
      <w:bookmarkEnd w:id="285"/>
      <w:bookmarkEnd w:id="286"/>
      <w:bookmarkEnd w:id="287"/>
      <w:bookmarkEnd w:id="288"/>
    </w:p>
    <w:p w14:paraId="5A90EF4C">
      <w:pPr>
        <w:pageBreakBefore w:val="0"/>
        <w:widowControl w:val="0"/>
        <w:kinsoku/>
        <w:wordWrap/>
        <w:overflowPunct/>
        <w:topLinePunct w:val="0"/>
        <w:autoSpaceDE/>
        <w:autoSpaceDN/>
        <w:bidi w:val="0"/>
        <w:spacing w:line="240" w:lineRule="auto"/>
        <w:ind w:right="0" w:rightChars="0" w:firstLine="480" w:firstLineChars="200"/>
        <w:jc w:val="both"/>
        <w:textAlignment w:val="auto"/>
        <w:rPr>
          <w:rFonts w:hint="eastAsia" w:ascii="宋体" w:hAnsi="宋体" w:eastAsia="宋体" w:cs="宋体"/>
          <w:color w:val="auto"/>
          <w:sz w:val="24"/>
          <w:szCs w:val="24"/>
          <w:highlight w:val="none"/>
          <w:lang w:eastAsia="zh-CN"/>
        </w:rPr>
      </w:pPr>
      <w:bookmarkStart w:id="289" w:name="_Toc396"/>
      <w:bookmarkStart w:id="290" w:name="_Toc18257"/>
      <w:bookmarkStart w:id="291" w:name="_Toc4850"/>
      <w:bookmarkStart w:id="292" w:name="_Toc16234"/>
      <w:r>
        <w:rPr>
          <w:rFonts w:hint="eastAsia" w:ascii="宋体" w:hAnsi="宋体" w:eastAsia="宋体" w:cs="宋体"/>
          <w:color w:val="auto"/>
          <w:sz w:val="24"/>
          <w:szCs w:val="24"/>
          <w:highlight w:val="none"/>
          <w:lang w:eastAsia="zh-CN"/>
        </w:rPr>
        <w:t>1.1甲方（需方）即采购人，是指通过采购，接受合同货物及服务的各级国家机关、事业单位和团体组织。</w:t>
      </w:r>
      <w:bookmarkEnd w:id="289"/>
      <w:bookmarkEnd w:id="290"/>
      <w:bookmarkEnd w:id="291"/>
      <w:bookmarkEnd w:id="292"/>
    </w:p>
    <w:p w14:paraId="52E75552">
      <w:pPr>
        <w:pageBreakBefore w:val="0"/>
        <w:widowControl w:val="0"/>
        <w:kinsoku/>
        <w:wordWrap/>
        <w:overflowPunct/>
        <w:topLinePunct w:val="0"/>
        <w:autoSpaceDE/>
        <w:autoSpaceDN/>
        <w:bidi w:val="0"/>
        <w:spacing w:line="240" w:lineRule="auto"/>
        <w:ind w:right="0" w:rightChars="0" w:firstLine="480" w:firstLineChars="200"/>
        <w:jc w:val="both"/>
        <w:textAlignment w:val="auto"/>
        <w:rPr>
          <w:rFonts w:hint="eastAsia" w:ascii="宋体" w:hAnsi="宋体" w:eastAsia="宋体" w:cs="宋体"/>
          <w:color w:val="auto"/>
          <w:sz w:val="24"/>
          <w:szCs w:val="24"/>
          <w:highlight w:val="none"/>
          <w:lang w:eastAsia="zh-CN"/>
        </w:rPr>
      </w:pPr>
      <w:bookmarkStart w:id="293" w:name="_Toc25234"/>
      <w:bookmarkStart w:id="294" w:name="_Toc7166"/>
      <w:bookmarkStart w:id="295" w:name="_Toc704"/>
      <w:bookmarkStart w:id="296" w:name="_Toc11040"/>
      <w:r>
        <w:rPr>
          <w:rFonts w:hint="eastAsia" w:ascii="宋体" w:hAnsi="宋体" w:eastAsia="宋体" w:cs="宋体"/>
          <w:color w:val="auto"/>
          <w:sz w:val="24"/>
          <w:szCs w:val="24"/>
          <w:highlight w:val="none"/>
          <w:lang w:eastAsia="zh-CN"/>
        </w:rPr>
        <w:t>1.2乙方（供方）即成交供应商，是指成交后提供合同货物和服务的自然人、法人及其他组织。</w:t>
      </w:r>
      <w:bookmarkEnd w:id="293"/>
      <w:bookmarkEnd w:id="294"/>
      <w:bookmarkEnd w:id="295"/>
      <w:bookmarkEnd w:id="296"/>
    </w:p>
    <w:p w14:paraId="5D2FB18B">
      <w:pPr>
        <w:pageBreakBefore w:val="0"/>
        <w:widowControl w:val="0"/>
        <w:kinsoku/>
        <w:wordWrap/>
        <w:overflowPunct/>
        <w:topLinePunct w:val="0"/>
        <w:autoSpaceDE/>
        <w:autoSpaceDN/>
        <w:bidi w:val="0"/>
        <w:spacing w:line="240" w:lineRule="auto"/>
        <w:ind w:right="0" w:rightChars="0" w:firstLine="480" w:firstLineChars="200"/>
        <w:jc w:val="both"/>
        <w:textAlignment w:val="auto"/>
        <w:rPr>
          <w:rFonts w:hint="eastAsia" w:ascii="宋体" w:hAnsi="宋体" w:eastAsia="宋体" w:cs="宋体"/>
          <w:color w:val="auto"/>
          <w:sz w:val="24"/>
          <w:szCs w:val="24"/>
          <w:highlight w:val="none"/>
          <w:lang w:eastAsia="zh-CN"/>
        </w:rPr>
      </w:pPr>
      <w:bookmarkStart w:id="297" w:name="_Toc22990"/>
      <w:bookmarkStart w:id="298" w:name="_Toc6743"/>
      <w:bookmarkStart w:id="299" w:name="_Toc17483"/>
      <w:r>
        <w:rPr>
          <w:rFonts w:hint="eastAsia" w:ascii="宋体" w:hAnsi="宋体" w:eastAsia="宋体" w:cs="宋体"/>
          <w:color w:val="auto"/>
          <w:sz w:val="24"/>
          <w:szCs w:val="24"/>
          <w:highlight w:val="none"/>
          <w:lang w:eastAsia="zh-CN"/>
        </w:rPr>
        <w:t>1.3合同是指由甲乙双方按照</w:t>
      </w:r>
      <w:r>
        <w:rPr>
          <w:rFonts w:hint="eastAsia" w:ascii="宋体" w:hAnsi="宋体" w:eastAsia="宋体" w:cs="宋体"/>
          <w:color w:val="auto"/>
          <w:sz w:val="24"/>
          <w:szCs w:val="24"/>
          <w:highlight w:val="none"/>
          <w:lang w:val="en-US" w:eastAsia="zh-CN"/>
        </w:rPr>
        <w:t>竞采</w:t>
      </w:r>
      <w:r>
        <w:rPr>
          <w:rFonts w:hint="eastAsia" w:ascii="宋体" w:hAnsi="宋体" w:eastAsia="宋体" w:cs="宋体"/>
          <w:color w:val="auto"/>
          <w:sz w:val="24"/>
          <w:szCs w:val="24"/>
          <w:highlight w:val="none"/>
          <w:lang w:eastAsia="zh-CN"/>
        </w:rPr>
        <w:t>文件和响应文件的实质性内容，通过协商一致达成的书面协议。</w:t>
      </w:r>
      <w:bookmarkEnd w:id="297"/>
      <w:bookmarkEnd w:id="298"/>
      <w:bookmarkEnd w:id="299"/>
    </w:p>
    <w:p w14:paraId="5C24DAAE">
      <w:pPr>
        <w:pageBreakBefore w:val="0"/>
        <w:widowControl w:val="0"/>
        <w:kinsoku/>
        <w:wordWrap/>
        <w:overflowPunct/>
        <w:topLinePunct w:val="0"/>
        <w:autoSpaceDE/>
        <w:autoSpaceDN/>
        <w:bidi w:val="0"/>
        <w:spacing w:line="240" w:lineRule="auto"/>
        <w:ind w:right="0" w:rightChars="0" w:firstLine="480" w:firstLineChars="200"/>
        <w:jc w:val="both"/>
        <w:textAlignment w:val="auto"/>
        <w:rPr>
          <w:rFonts w:hint="eastAsia" w:ascii="宋体" w:hAnsi="宋体" w:eastAsia="宋体" w:cs="宋体"/>
          <w:color w:val="auto"/>
          <w:sz w:val="24"/>
          <w:szCs w:val="24"/>
          <w:highlight w:val="none"/>
          <w:lang w:eastAsia="zh-CN"/>
        </w:rPr>
      </w:pPr>
      <w:bookmarkStart w:id="300" w:name="_Toc5750"/>
      <w:bookmarkStart w:id="301" w:name="_Toc26736"/>
      <w:bookmarkStart w:id="302" w:name="_Toc11615"/>
      <w:bookmarkStart w:id="303" w:name="_Toc25130"/>
      <w:r>
        <w:rPr>
          <w:rFonts w:hint="eastAsia" w:ascii="宋体" w:hAnsi="宋体" w:eastAsia="宋体" w:cs="宋体"/>
          <w:color w:val="auto"/>
          <w:sz w:val="24"/>
          <w:szCs w:val="24"/>
          <w:highlight w:val="none"/>
          <w:lang w:eastAsia="zh-CN"/>
        </w:rPr>
        <w:t>1.4合同价格指以成交价格为依据，在供方全面履行合同义务后，需方（或财政部门）应支付给供方的金额。</w:t>
      </w:r>
      <w:bookmarkEnd w:id="300"/>
      <w:bookmarkEnd w:id="301"/>
      <w:bookmarkEnd w:id="302"/>
      <w:bookmarkEnd w:id="303"/>
    </w:p>
    <w:p w14:paraId="1D7FC3B3">
      <w:pPr>
        <w:pageBreakBefore w:val="0"/>
        <w:widowControl w:val="0"/>
        <w:kinsoku/>
        <w:wordWrap/>
        <w:overflowPunct/>
        <w:topLinePunct w:val="0"/>
        <w:autoSpaceDE/>
        <w:autoSpaceDN/>
        <w:bidi w:val="0"/>
        <w:spacing w:line="240" w:lineRule="auto"/>
        <w:ind w:right="0" w:rightChars="0" w:firstLine="480" w:firstLineChars="200"/>
        <w:jc w:val="both"/>
        <w:textAlignment w:val="auto"/>
        <w:rPr>
          <w:rFonts w:hint="eastAsia" w:ascii="宋体" w:hAnsi="宋体" w:eastAsia="宋体" w:cs="宋体"/>
          <w:color w:val="auto"/>
          <w:sz w:val="24"/>
          <w:szCs w:val="24"/>
          <w:highlight w:val="none"/>
          <w:lang w:eastAsia="zh-CN"/>
        </w:rPr>
      </w:pPr>
      <w:bookmarkStart w:id="304" w:name="_Toc23604"/>
      <w:bookmarkStart w:id="305" w:name="_Toc4578"/>
      <w:bookmarkStart w:id="306" w:name="_Toc2861"/>
      <w:bookmarkStart w:id="307" w:name="_Toc31346"/>
      <w:r>
        <w:rPr>
          <w:rFonts w:hint="eastAsia" w:ascii="宋体" w:hAnsi="宋体" w:eastAsia="宋体" w:cs="宋体"/>
          <w:color w:val="auto"/>
          <w:sz w:val="24"/>
          <w:szCs w:val="24"/>
          <w:highlight w:val="none"/>
          <w:lang w:eastAsia="zh-CN"/>
        </w:rPr>
        <w:t>1.5技术资料是指合同项目服务及其相关的设计、制造、监造、检验、验收等文件（包括图纸、各种文字说明、标准）。</w:t>
      </w:r>
      <w:bookmarkEnd w:id="304"/>
      <w:bookmarkEnd w:id="305"/>
      <w:bookmarkEnd w:id="306"/>
      <w:bookmarkEnd w:id="307"/>
    </w:p>
    <w:p w14:paraId="37896985">
      <w:pPr>
        <w:pageBreakBefore w:val="0"/>
        <w:widowControl w:val="0"/>
        <w:kinsoku/>
        <w:wordWrap/>
        <w:overflowPunct/>
        <w:topLinePunct w:val="0"/>
        <w:autoSpaceDE/>
        <w:autoSpaceDN/>
        <w:bidi w:val="0"/>
        <w:spacing w:line="240" w:lineRule="auto"/>
        <w:ind w:right="0" w:rightChars="0" w:firstLine="480" w:firstLineChars="200"/>
        <w:jc w:val="both"/>
        <w:textAlignment w:val="auto"/>
        <w:rPr>
          <w:rFonts w:hint="eastAsia" w:ascii="宋体" w:hAnsi="宋体" w:eastAsia="宋体" w:cs="宋体"/>
          <w:color w:val="auto"/>
          <w:sz w:val="24"/>
          <w:szCs w:val="24"/>
          <w:highlight w:val="none"/>
          <w:lang w:eastAsia="zh-CN"/>
        </w:rPr>
      </w:pPr>
      <w:bookmarkStart w:id="308" w:name="_Toc29552"/>
      <w:bookmarkStart w:id="309" w:name="_Toc26343"/>
      <w:bookmarkStart w:id="310" w:name="_Toc18471"/>
      <w:r>
        <w:rPr>
          <w:rFonts w:hint="eastAsia" w:ascii="宋体" w:hAnsi="宋体" w:eastAsia="宋体" w:cs="宋体"/>
          <w:color w:val="auto"/>
          <w:sz w:val="24"/>
          <w:szCs w:val="24"/>
          <w:highlight w:val="none"/>
          <w:lang w:eastAsia="zh-CN"/>
        </w:rPr>
        <w:t>2、服务内容（合同内容）</w:t>
      </w:r>
      <w:bookmarkEnd w:id="308"/>
      <w:bookmarkEnd w:id="309"/>
      <w:bookmarkEnd w:id="310"/>
    </w:p>
    <w:p w14:paraId="5F98A6FD">
      <w:pPr>
        <w:pageBreakBefore w:val="0"/>
        <w:widowControl w:val="0"/>
        <w:kinsoku/>
        <w:wordWrap/>
        <w:overflowPunct/>
        <w:topLinePunct w:val="0"/>
        <w:autoSpaceDE/>
        <w:autoSpaceDN/>
        <w:bidi w:val="0"/>
        <w:spacing w:line="240" w:lineRule="auto"/>
        <w:ind w:right="0" w:rightChars="0" w:firstLine="480" w:firstLineChars="200"/>
        <w:jc w:val="both"/>
        <w:textAlignment w:val="auto"/>
        <w:rPr>
          <w:rFonts w:hint="eastAsia" w:ascii="宋体" w:hAnsi="宋体" w:eastAsia="宋体" w:cs="宋体"/>
          <w:color w:val="auto"/>
          <w:sz w:val="24"/>
          <w:szCs w:val="24"/>
          <w:highlight w:val="none"/>
          <w:lang w:eastAsia="zh-CN"/>
        </w:rPr>
      </w:pPr>
      <w:bookmarkStart w:id="311" w:name="_Toc24124"/>
      <w:bookmarkStart w:id="312" w:name="_Toc18159"/>
      <w:bookmarkStart w:id="313" w:name="_Toc10732"/>
      <w:bookmarkStart w:id="314" w:name="_Toc3889"/>
      <w:r>
        <w:rPr>
          <w:rFonts w:hint="eastAsia" w:ascii="宋体" w:hAnsi="宋体" w:eastAsia="宋体" w:cs="宋体"/>
          <w:color w:val="auto"/>
          <w:sz w:val="24"/>
          <w:szCs w:val="24"/>
          <w:highlight w:val="none"/>
          <w:lang w:eastAsia="zh-CN"/>
        </w:rPr>
        <w:t>合同包括以下内容：项目服务名称、相关要求、数量（单位）等内容。</w:t>
      </w:r>
      <w:bookmarkEnd w:id="311"/>
      <w:bookmarkEnd w:id="312"/>
      <w:bookmarkEnd w:id="313"/>
      <w:bookmarkEnd w:id="314"/>
    </w:p>
    <w:p w14:paraId="106DA796">
      <w:pPr>
        <w:pageBreakBefore w:val="0"/>
        <w:widowControl w:val="0"/>
        <w:kinsoku/>
        <w:wordWrap/>
        <w:overflowPunct/>
        <w:topLinePunct w:val="0"/>
        <w:autoSpaceDE/>
        <w:autoSpaceDN/>
        <w:bidi w:val="0"/>
        <w:spacing w:line="240" w:lineRule="auto"/>
        <w:ind w:right="0" w:rightChars="0" w:firstLine="480" w:firstLineChars="200"/>
        <w:jc w:val="both"/>
        <w:textAlignment w:val="auto"/>
        <w:rPr>
          <w:rFonts w:hint="eastAsia" w:ascii="宋体" w:hAnsi="宋体" w:eastAsia="宋体" w:cs="宋体"/>
          <w:color w:val="auto"/>
          <w:sz w:val="24"/>
          <w:szCs w:val="24"/>
          <w:highlight w:val="none"/>
          <w:lang w:eastAsia="zh-CN"/>
        </w:rPr>
      </w:pPr>
      <w:bookmarkStart w:id="315" w:name="_Toc15493"/>
      <w:bookmarkStart w:id="316" w:name="_Toc9953"/>
      <w:bookmarkStart w:id="317" w:name="_Toc10947"/>
      <w:bookmarkStart w:id="318" w:name="_Toc770"/>
      <w:r>
        <w:rPr>
          <w:rFonts w:hint="eastAsia" w:ascii="宋体" w:hAnsi="宋体" w:eastAsia="宋体" w:cs="宋体"/>
          <w:color w:val="auto"/>
          <w:sz w:val="24"/>
          <w:szCs w:val="24"/>
          <w:highlight w:val="none"/>
          <w:lang w:eastAsia="zh-CN"/>
        </w:rPr>
        <w:t>3、合同价格</w:t>
      </w:r>
      <w:bookmarkEnd w:id="315"/>
      <w:bookmarkEnd w:id="316"/>
      <w:bookmarkEnd w:id="317"/>
      <w:bookmarkEnd w:id="318"/>
    </w:p>
    <w:p w14:paraId="52D6C7E1">
      <w:pPr>
        <w:pageBreakBefore w:val="0"/>
        <w:widowControl w:val="0"/>
        <w:kinsoku/>
        <w:wordWrap/>
        <w:overflowPunct/>
        <w:topLinePunct w:val="0"/>
        <w:autoSpaceDE/>
        <w:autoSpaceDN/>
        <w:bidi w:val="0"/>
        <w:spacing w:line="240" w:lineRule="auto"/>
        <w:ind w:right="0" w:rightChars="0" w:firstLine="480" w:firstLineChars="200"/>
        <w:jc w:val="both"/>
        <w:textAlignment w:val="auto"/>
        <w:rPr>
          <w:rFonts w:hint="eastAsia" w:ascii="宋体" w:hAnsi="宋体" w:eastAsia="宋体" w:cs="宋体"/>
          <w:color w:val="auto"/>
          <w:sz w:val="24"/>
          <w:szCs w:val="24"/>
          <w:highlight w:val="none"/>
          <w:lang w:eastAsia="zh-CN"/>
        </w:rPr>
      </w:pPr>
      <w:bookmarkStart w:id="319" w:name="_Toc100"/>
      <w:bookmarkStart w:id="320" w:name="_Toc20465"/>
      <w:bookmarkStart w:id="321" w:name="_Toc17475"/>
      <w:bookmarkStart w:id="322" w:name="_Toc29982"/>
      <w:r>
        <w:rPr>
          <w:rFonts w:hint="eastAsia" w:ascii="宋体" w:hAnsi="宋体" w:eastAsia="宋体" w:cs="宋体"/>
          <w:color w:val="auto"/>
          <w:sz w:val="24"/>
          <w:szCs w:val="24"/>
          <w:highlight w:val="none"/>
          <w:lang w:eastAsia="zh-CN"/>
        </w:rPr>
        <w:t>3.1合同价格即合同总价。</w:t>
      </w:r>
      <w:bookmarkEnd w:id="319"/>
      <w:bookmarkEnd w:id="320"/>
      <w:bookmarkEnd w:id="321"/>
      <w:bookmarkEnd w:id="322"/>
    </w:p>
    <w:p w14:paraId="5326C8D5">
      <w:pPr>
        <w:pageBreakBefore w:val="0"/>
        <w:widowControl w:val="0"/>
        <w:kinsoku/>
        <w:wordWrap/>
        <w:overflowPunct/>
        <w:topLinePunct w:val="0"/>
        <w:autoSpaceDE/>
        <w:autoSpaceDN/>
        <w:bidi w:val="0"/>
        <w:spacing w:line="240" w:lineRule="auto"/>
        <w:ind w:right="0" w:rightChars="0" w:firstLine="480" w:firstLineChars="200"/>
        <w:jc w:val="both"/>
        <w:textAlignment w:val="auto"/>
        <w:rPr>
          <w:rFonts w:hint="eastAsia" w:ascii="宋体" w:hAnsi="宋体" w:eastAsia="宋体" w:cs="宋体"/>
          <w:color w:val="auto"/>
          <w:sz w:val="24"/>
          <w:szCs w:val="24"/>
          <w:highlight w:val="none"/>
          <w:lang w:eastAsia="zh-CN"/>
        </w:rPr>
      </w:pPr>
      <w:bookmarkStart w:id="323" w:name="_Toc13796"/>
      <w:bookmarkStart w:id="324" w:name="_Toc6423"/>
      <w:bookmarkStart w:id="325" w:name="_Toc5265"/>
      <w:bookmarkStart w:id="326" w:name="_Toc7456"/>
      <w:r>
        <w:rPr>
          <w:rFonts w:hint="eastAsia" w:ascii="宋体" w:hAnsi="宋体" w:eastAsia="宋体" w:cs="宋体"/>
          <w:color w:val="auto"/>
          <w:sz w:val="24"/>
          <w:szCs w:val="24"/>
          <w:highlight w:val="none"/>
          <w:lang w:eastAsia="zh-CN"/>
        </w:rPr>
        <w:t>3.2合同价格包括合同货物、技术资料、合同货物的税费、运杂费、保险费、包装费、装卸费及与货物有关的供方应纳的税费，所有税费由乙方负担。</w:t>
      </w:r>
      <w:bookmarkEnd w:id="323"/>
      <w:bookmarkEnd w:id="324"/>
      <w:bookmarkEnd w:id="325"/>
      <w:bookmarkEnd w:id="326"/>
    </w:p>
    <w:p w14:paraId="6E3E1D33">
      <w:pPr>
        <w:pageBreakBefore w:val="0"/>
        <w:widowControl w:val="0"/>
        <w:kinsoku/>
        <w:wordWrap/>
        <w:overflowPunct/>
        <w:topLinePunct w:val="0"/>
        <w:autoSpaceDE/>
        <w:autoSpaceDN/>
        <w:bidi w:val="0"/>
        <w:spacing w:line="240" w:lineRule="auto"/>
        <w:ind w:right="0" w:rightChars="0" w:firstLine="480" w:firstLineChars="200"/>
        <w:jc w:val="both"/>
        <w:textAlignment w:val="auto"/>
        <w:rPr>
          <w:rFonts w:hint="eastAsia" w:ascii="宋体" w:hAnsi="宋体" w:eastAsia="宋体" w:cs="宋体"/>
          <w:color w:val="auto"/>
          <w:sz w:val="24"/>
          <w:szCs w:val="24"/>
          <w:highlight w:val="none"/>
          <w:lang w:eastAsia="zh-CN"/>
        </w:rPr>
      </w:pPr>
      <w:bookmarkStart w:id="327" w:name="_Toc15311"/>
      <w:bookmarkStart w:id="328" w:name="_Toc21382"/>
      <w:bookmarkStart w:id="329" w:name="_Toc17675"/>
      <w:bookmarkStart w:id="330" w:name="_Toc26851"/>
      <w:r>
        <w:rPr>
          <w:rFonts w:hint="eastAsia" w:ascii="宋体" w:hAnsi="宋体" w:eastAsia="宋体" w:cs="宋体"/>
          <w:color w:val="auto"/>
          <w:sz w:val="24"/>
          <w:szCs w:val="24"/>
          <w:highlight w:val="none"/>
          <w:lang w:eastAsia="zh-CN"/>
        </w:rPr>
        <w:t>4、转包或分包</w:t>
      </w:r>
      <w:bookmarkEnd w:id="327"/>
      <w:bookmarkEnd w:id="328"/>
      <w:bookmarkEnd w:id="329"/>
      <w:bookmarkEnd w:id="330"/>
    </w:p>
    <w:p w14:paraId="7C61E883">
      <w:pPr>
        <w:pageBreakBefore w:val="0"/>
        <w:widowControl w:val="0"/>
        <w:kinsoku/>
        <w:wordWrap/>
        <w:overflowPunct/>
        <w:topLinePunct w:val="0"/>
        <w:autoSpaceDE/>
        <w:autoSpaceDN/>
        <w:bidi w:val="0"/>
        <w:spacing w:line="240" w:lineRule="auto"/>
        <w:ind w:right="0" w:rightChars="0" w:firstLine="480" w:firstLineChars="200"/>
        <w:jc w:val="both"/>
        <w:textAlignment w:val="auto"/>
        <w:rPr>
          <w:rFonts w:hint="eastAsia" w:ascii="宋体" w:hAnsi="宋体" w:eastAsia="宋体" w:cs="宋体"/>
          <w:color w:val="auto"/>
          <w:sz w:val="24"/>
          <w:szCs w:val="24"/>
          <w:highlight w:val="none"/>
          <w:lang w:eastAsia="zh-CN"/>
        </w:rPr>
      </w:pPr>
      <w:bookmarkStart w:id="331" w:name="_Toc25283"/>
      <w:bookmarkStart w:id="332" w:name="_Toc12190"/>
      <w:bookmarkStart w:id="333" w:name="_Toc28427"/>
      <w:bookmarkStart w:id="334" w:name="_Toc22508"/>
      <w:r>
        <w:rPr>
          <w:rFonts w:hint="eastAsia" w:ascii="宋体" w:hAnsi="宋体" w:eastAsia="宋体" w:cs="宋体"/>
          <w:color w:val="auto"/>
          <w:sz w:val="24"/>
          <w:szCs w:val="24"/>
          <w:highlight w:val="none"/>
          <w:lang w:eastAsia="zh-CN"/>
        </w:rPr>
        <w:t>4.1本合同范围的服务，应由乙方直接提供，不得转让他人提供；</w:t>
      </w:r>
      <w:bookmarkEnd w:id="331"/>
      <w:bookmarkEnd w:id="332"/>
      <w:bookmarkEnd w:id="333"/>
      <w:bookmarkEnd w:id="334"/>
    </w:p>
    <w:p w14:paraId="4EA57B20">
      <w:pPr>
        <w:pageBreakBefore w:val="0"/>
        <w:widowControl w:val="0"/>
        <w:kinsoku/>
        <w:wordWrap/>
        <w:overflowPunct/>
        <w:topLinePunct w:val="0"/>
        <w:autoSpaceDE/>
        <w:autoSpaceDN/>
        <w:bidi w:val="0"/>
        <w:spacing w:line="240" w:lineRule="auto"/>
        <w:ind w:right="0" w:rightChars="0" w:firstLine="480" w:firstLineChars="200"/>
        <w:jc w:val="both"/>
        <w:textAlignment w:val="auto"/>
        <w:rPr>
          <w:rFonts w:hint="eastAsia" w:ascii="宋体" w:hAnsi="宋体" w:eastAsia="宋体" w:cs="宋体"/>
          <w:color w:val="auto"/>
          <w:sz w:val="24"/>
          <w:szCs w:val="24"/>
          <w:highlight w:val="none"/>
          <w:lang w:eastAsia="zh-CN"/>
        </w:rPr>
      </w:pPr>
      <w:bookmarkStart w:id="335" w:name="_Toc17024"/>
      <w:bookmarkStart w:id="336" w:name="_Toc7600"/>
      <w:bookmarkStart w:id="337" w:name="_Toc21444"/>
      <w:bookmarkStart w:id="338" w:name="_Toc14559"/>
      <w:r>
        <w:rPr>
          <w:rFonts w:hint="eastAsia" w:ascii="宋体" w:hAnsi="宋体" w:eastAsia="宋体" w:cs="宋体"/>
          <w:color w:val="auto"/>
          <w:sz w:val="24"/>
          <w:szCs w:val="24"/>
          <w:highlight w:val="none"/>
          <w:lang w:eastAsia="zh-CN"/>
        </w:rPr>
        <w:t>4.2非经甲方书面同意，乙方不得将本合同范围的服务全部或部分分包给他人提供；</w:t>
      </w:r>
      <w:bookmarkEnd w:id="335"/>
      <w:bookmarkEnd w:id="336"/>
      <w:bookmarkEnd w:id="337"/>
      <w:bookmarkEnd w:id="338"/>
    </w:p>
    <w:p w14:paraId="6ADD3DFB">
      <w:pPr>
        <w:pageBreakBefore w:val="0"/>
        <w:widowControl w:val="0"/>
        <w:kinsoku/>
        <w:wordWrap/>
        <w:overflowPunct/>
        <w:topLinePunct w:val="0"/>
        <w:autoSpaceDE/>
        <w:autoSpaceDN/>
        <w:bidi w:val="0"/>
        <w:spacing w:line="240" w:lineRule="auto"/>
        <w:ind w:right="0" w:rightChars="0" w:firstLine="480" w:firstLineChars="200"/>
        <w:jc w:val="both"/>
        <w:textAlignment w:val="auto"/>
        <w:rPr>
          <w:rFonts w:hint="eastAsia" w:ascii="宋体" w:hAnsi="宋体" w:eastAsia="宋体" w:cs="宋体"/>
          <w:color w:val="auto"/>
          <w:sz w:val="24"/>
          <w:szCs w:val="24"/>
          <w:highlight w:val="none"/>
          <w:lang w:eastAsia="zh-CN"/>
        </w:rPr>
      </w:pPr>
      <w:bookmarkStart w:id="339" w:name="_Toc5669"/>
      <w:bookmarkStart w:id="340" w:name="_Toc7824"/>
      <w:bookmarkStart w:id="341" w:name="_Toc504"/>
      <w:bookmarkStart w:id="342" w:name="_Toc11454"/>
      <w:r>
        <w:rPr>
          <w:rFonts w:hint="eastAsia" w:ascii="宋体" w:hAnsi="宋体" w:eastAsia="宋体" w:cs="宋体"/>
          <w:color w:val="auto"/>
          <w:sz w:val="24"/>
          <w:szCs w:val="24"/>
          <w:highlight w:val="none"/>
          <w:lang w:eastAsia="zh-CN"/>
        </w:rPr>
        <w:t>4.3如有转让和未经甲方同意的分包行为，甲方有权解除合同，并追究乙方的违约责任。</w:t>
      </w:r>
      <w:bookmarkEnd w:id="339"/>
      <w:bookmarkEnd w:id="340"/>
      <w:bookmarkEnd w:id="341"/>
      <w:bookmarkEnd w:id="342"/>
    </w:p>
    <w:p w14:paraId="4D736B82">
      <w:pPr>
        <w:pageBreakBefore w:val="0"/>
        <w:widowControl w:val="0"/>
        <w:kinsoku/>
        <w:wordWrap/>
        <w:overflowPunct/>
        <w:topLinePunct w:val="0"/>
        <w:autoSpaceDE/>
        <w:autoSpaceDN/>
        <w:bidi w:val="0"/>
        <w:spacing w:line="240" w:lineRule="auto"/>
        <w:ind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5、质量保证及售后服务</w:t>
      </w:r>
    </w:p>
    <w:p w14:paraId="333E2686">
      <w:pPr>
        <w:pageBreakBefore w:val="0"/>
        <w:widowControl w:val="0"/>
        <w:kinsoku/>
        <w:wordWrap/>
        <w:overflowPunct/>
        <w:topLinePunct w:val="0"/>
        <w:autoSpaceDE/>
        <w:autoSpaceDN/>
        <w:bidi w:val="0"/>
        <w:spacing w:line="240" w:lineRule="auto"/>
        <w:ind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5.1乙方应按竞争性磋商文件规定的项目、技术要求、质量标准向甲方提供未经使用的全新产品。</w:t>
      </w:r>
    </w:p>
    <w:p w14:paraId="0D24EA34">
      <w:pPr>
        <w:pageBreakBefore w:val="0"/>
        <w:widowControl w:val="0"/>
        <w:kinsoku/>
        <w:wordWrap/>
        <w:overflowPunct/>
        <w:topLinePunct w:val="0"/>
        <w:autoSpaceDE/>
        <w:autoSpaceDN/>
        <w:bidi w:val="0"/>
        <w:spacing w:line="240" w:lineRule="auto"/>
        <w:ind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5.2乙方提供的服务在质保期内无法达到甲方要求，乙方应负责免费更换技术人员。对达不到技术要求者，根据实际情况，经双方协商，可按以下办法处理：</w:t>
      </w:r>
    </w:p>
    <w:p w14:paraId="073A01B0">
      <w:pPr>
        <w:pageBreakBefore w:val="0"/>
        <w:widowControl w:val="0"/>
        <w:kinsoku/>
        <w:wordWrap/>
        <w:overflowPunct/>
        <w:topLinePunct w:val="0"/>
        <w:autoSpaceDE/>
        <w:autoSpaceDN/>
        <w:bidi w:val="0"/>
        <w:spacing w:line="240" w:lineRule="auto"/>
        <w:ind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5.2.1更换：由乙方承担所发生的全部费用。</w:t>
      </w:r>
    </w:p>
    <w:p w14:paraId="1CC6D732">
      <w:pPr>
        <w:pageBreakBefore w:val="0"/>
        <w:widowControl w:val="0"/>
        <w:kinsoku/>
        <w:wordWrap/>
        <w:overflowPunct/>
        <w:topLinePunct w:val="0"/>
        <w:autoSpaceDE/>
        <w:autoSpaceDN/>
        <w:bidi w:val="0"/>
        <w:spacing w:line="240" w:lineRule="auto"/>
        <w:ind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5.2.2贬值处理：由甲乙双方合议定价。</w:t>
      </w:r>
    </w:p>
    <w:p w14:paraId="7BBF87E6">
      <w:pPr>
        <w:pageBreakBefore w:val="0"/>
        <w:widowControl w:val="0"/>
        <w:kinsoku/>
        <w:wordWrap/>
        <w:overflowPunct/>
        <w:topLinePunct w:val="0"/>
        <w:autoSpaceDE/>
        <w:autoSpaceDN/>
        <w:bidi w:val="0"/>
        <w:spacing w:line="240" w:lineRule="auto"/>
        <w:ind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5.3 如在使用过程中发生质量问题，乙方应同本项目“第三篇  采购商务需求”对质量保证及售后服务内容的约定。</w:t>
      </w:r>
    </w:p>
    <w:p w14:paraId="43D6A11F">
      <w:pPr>
        <w:pageBreakBefore w:val="0"/>
        <w:widowControl w:val="0"/>
        <w:kinsoku/>
        <w:wordWrap/>
        <w:overflowPunct/>
        <w:topLinePunct w:val="0"/>
        <w:autoSpaceDE/>
        <w:autoSpaceDN/>
        <w:bidi w:val="0"/>
        <w:spacing w:line="240" w:lineRule="auto"/>
        <w:ind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5.4在质保期内，乙方应对服务出现的质量及安全问题负责处理解决并承担一切费用。</w:t>
      </w:r>
    </w:p>
    <w:p w14:paraId="6F633D67">
      <w:pPr>
        <w:pageBreakBefore w:val="0"/>
        <w:widowControl w:val="0"/>
        <w:kinsoku/>
        <w:wordWrap/>
        <w:overflowPunct/>
        <w:topLinePunct w:val="0"/>
        <w:autoSpaceDE/>
        <w:autoSpaceDN/>
        <w:bidi w:val="0"/>
        <w:spacing w:line="240" w:lineRule="auto"/>
        <w:ind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6、付款</w:t>
      </w:r>
    </w:p>
    <w:p w14:paraId="6C7C7E2A">
      <w:pPr>
        <w:pageBreakBefore w:val="0"/>
        <w:widowControl w:val="0"/>
        <w:kinsoku/>
        <w:wordWrap/>
        <w:overflowPunct/>
        <w:topLinePunct w:val="0"/>
        <w:autoSpaceDE/>
        <w:autoSpaceDN/>
        <w:bidi w:val="0"/>
        <w:spacing w:line="240" w:lineRule="auto"/>
        <w:ind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6.1本合同使用货币币制如未作特别说明均为人民币。</w:t>
      </w:r>
    </w:p>
    <w:p w14:paraId="05DC0378">
      <w:pPr>
        <w:pageBreakBefore w:val="0"/>
        <w:widowControl w:val="0"/>
        <w:kinsoku/>
        <w:wordWrap/>
        <w:overflowPunct/>
        <w:topLinePunct w:val="0"/>
        <w:autoSpaceDE/>
        <w:autoSpaceDN/>
        <w:bidi w:val="0"/>
        <w:spacing w:line="240" w:lineRule="auto"/>
        <w:ind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6.2付款方式：银行转账、现金支票。</w:t>
      </w:r>
    </w:p>
    <w:p w14:paraId="65652AB6">
      <w:pPr>
        <w:pageBreakBefore w:val="0"/>
        <w:widowControl w:val="0"/>
        <w:kinsoku/>
        <w:wordWrap/>
        <w:overflowPunct/>
        <w:topLinePunct w:val="0"/>
        <w:autoSpaceDE/>
        <w:autoSpaceDN/>
        <w:bidi w:val="0"/>
        <w:spacing w:line="240" w:lineRule="auto"/>
        <w:ind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6.3付款方法：同本项目“第三篇  采购商务需求”中关于付款方式的约定。</w:t>
      </w:r>
    </w:p>
    <w:p w14:paraId="79523A4C">
      <w:pPr>
        <w:pageBreakBefore w:val="0"/>
        <w:widowControl w:val="0"/>
        <w:kinsoku/>
        <w:wordWrap/>
        <w:overflowPunct/>
        <w:topLinePunct w:val="0"/>
        <w:autoSpaceDE/>
        <w:autoSpaceDN/>
        <w:bidi w:val="0"/>
        <w:spacing w:line="240" w:lineRule="auto"/>
        <w:ind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7、检查验收</w:t>
      </w:r>
    </w:p>
    <w:p w14:paraId="21A80B4C">
      <w:pPr>
        <w:pageBreakBefore w:val="0"/>
        <w:widowControl w:val="0"/>
        <w:kinsoku/>
        <w:wordWrap/>
        <w:overflowPunct/>
        <w:topLinePunct w:val="0"/>
        <w:autoSpaceDE/>
        <w:autoSpaceDN/>
        <w:bidi w:val="0"/>
        <w:spacing w:line="240" w:lineRule="auto"/>
        <w:ind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7.1货物验收</w:t>
      </w:r>
    </w:p>
    <w:p w14:paraId="52F43782">
      <w:pPr>
        <w:pageBreakBefore w:val="0"/>
        <w:widowControl w:val="0"/>
        <w:kinsoku/>
        <w:wordWrap/>
        <w:overflowPunct/>
        <w:topLinePunct w:val="0"/>
        <w:autoSpaceDE/>
        <w:autoSpaceDN/>
        <w:bidi w:val="0"/>
        <w:spacing w:line="240" w:lineRule="auto"/>
        <w:ind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供方所提供服务的各种质量指标不得低于供方响应文件中所提供的“技术文件”，售后服务质量要求按照竞争性磋商文件和响应文件的内容执行。</w:t>
      </w:r>
    </w:p>
    <w:p w14:paraId="04EC74F0">
      <w:pPr>
        <w:pageBreakBefore w:val="0"/>
        <w:widowControl w:val="0"/>
        <w:kinsoku/>
        <w:wordWrap/>
        <w:overflowPunct/>
        <w:topLinePunct w:val="0"/>
        <w:autoSpaceDE/>
        <w:autoSpaceDN/>
        <w:bidi w:val="0"/>
        <w:spacing w:line="240" w:lineRule="auto"/>
        <w:ind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7.2服务验收报告应由需方、供方经办人签字，并加盖双方公章，以此作为支付凭据。</w:t>
      </w:r>
    </w:p>
    <w:p w14:paraId="2D5B0BCF">
      <w:pPr>
        <w:pageBreakBefore w:val="0"/>
        <w:widowControl w:val="0"/>
        <w:kinsoku/>
        <w:wordWrap/>
        <w:overflowPunct/>
        <w:topLinePunct w:val="0"/>
        <w:autoSpaceDE/>
        <w:autoSpaceDN/>
        <w:bidi w:val="0"/>
        <w:spacing w:line="240" w:lineRule="auto"/>
        <w:ind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8、索赔</w:t>
      </w:r>
    </w:p>
    <w:p w14:paraId="3009D0A4">
      <w:pPr>
        <w:pageBreakBefore w:val="0"/>
        <w:widowControl w:val="0"/>
        <w:kinsoku/>
        <w:wordWrap/>
        <w:overflowPunct/>
        <w:topLinePunct w:val="0"/>
        <w:autoSpaceDE/>
        <w:autoSpaceDN/>
        <w:bidi w:val="0"/>
        <w:spacing w:line="240" w:lineRule="auto"/>
        <w:ind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供方对服务与合同要求不符负有责任，并且需方已于规定时间内和质量保证期内提出索赔，供方应按需方同意的下述一种或多种方法解决索赔事宜。</w:t>
      </w:r>
    </w:p>
    <w:p w14:paraId="7993FADA">
      <w:pPr>
        <w:pageBreakBefore w:val="0"/>
        <w:widowControl w:val="0"/>
        <w:kinsoku/>
        <w:wordWrap/>
        <w:overflowPunct/>
        <w:topLinePunct w:val="0"/>
        <w:autoSpaceDE/>
        <w:autoSpaceDN/>
        <w:bidi w:val="0"/>
        <w:spacing w:line="240" w:lineRule="auto"/>
        <w:ind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8.1供方同意需方拒绝再接受服务，供方负担发生的一切损失和费用，包括利息等被拒绝服务所需要的其它必要费用。</w:t>
      </w:r>
    </w:p>
    <w:p w14:paraId="3D14C461">
      <w:pPr>
        <w:pageBreakBefore w:val="0"/>
        <w:widowControl w:val="0"/>
        <w:kinsoku/>
        <w:wordWrap/>
        <w:overflowPunct/>
        <w:topLinePunct w:val="0"/>
        <w:autoSpaceDE/>
        <w:autoSpaceDN/>
        <w:bidi w:val="0"/>
        <w:spacing w:line="240" w:lineRule="auto"/>
        <w:ind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8.2根据服务的疵劣和受损程度以及需方遭受损失的金额，经双方同意降低服务价格。</w:t>
      </w:r>
    </w:p>
    <w:p w14:paraId="1C611CC4">
      <w:pPr>
        <w:pageBreakBefore w:val="0"/>
        <w:widowControl w:val="0"/>
        <w:kinsoku/>
        <w:wordWrap/>
        <w:overflowPunct/>
        <w:topLinePunct w:val="0"/>
        <w:autoSpaceDE/>
        <w:autoSpaceDN/>
        <w:bidi w:val="0"/>
        <w:spacing w:line="240" w:lineRule="auto"/>
        <w:ind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9、知识产权</w:t>
      </w:r>
    </w:p>
    <w:p w14:paraId="2765DD78">
      <w:pPr>
        <w:pageBreakBefore w:val="0"/>
        <w:widowControl w:val="0"/>
        <w:kinsoku/>
        <w:wordWrap/>
        <w:overflowPunct/>
        <w:topLinePunct w:val="0"/>
        <w:autoSpaceDE/>
        <w:autoSpaceDN/>
        <w:bidi w:val="0"/>
        <w:spacing w:line="240" w:lineRule="auto"/>
        <w:ind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9.1甲方在中华人民共和国境内使用乙方提供的货物及服务时免受第三方提出的侵犯其专利权或其它知识产权的起诉。如果第三方提出侵权指控，乙方承担由此而引起的一切法律责任和费用。</w:t>
      </w:r>
    </w:p>
    <w:p w14:paraId="32841B68">
      <w:pPr>
        <w:pageBreakBefore w:val="0"/>
        <w:widowControl w:val="0"/>
        <w:kinsoku/>
        <w:wordWrap/>
        <w:overflowPunct/>
        <w:topLinePunct w:val="0"/>
        <w:autoSpaceDE/>
        <w:autoSpaceDN/>
        <w:bidi w:val="0"/>
        <w:spacing w:line="240" w:lineRule="auto"/>
        <w:ind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9.2若涉及软件开发等服务类项目知识产权的，知识产权归采购人所有。</w:t>
      </w:r>
    </w:p>
    <w:p w14:paraId="79F248E5">
      <w:pPr>
        <w:pageBreakBefore w:val="0"/>
        <w:widowControl w:val="0"/>
        <w:kinsoku/>
        <w:wordWrap/>
        <w:overflowPunct/>
        <w:topLinePunct w:val="0"/>
        <w:autoSpaceDE/>
        <w:autoSpaceDN/>
        <w:bidi w:val="0"/>
        <w:spacing w:line="240" w:lineRule="auto"/>
        <w:ind w:right="0" w:rightChars="0" w:firstLine="480" w:firstLineChars="200"/>
        <w:jc w:val="both"/>
        <w:textAlignment w:val="auto"/>
        <w:rPr>
          <w:rFonts w:hint="eastAsia" w:ascii="宋体" w:hAnsi="宋体" w:eastAsia="宋体" w:cs="宋体"/>
          <w:color w:val="auto"/>
          <w:sz w:val="24"/>
          <w:szCs w:val="24"/>
          <w:highlight w:val="none"/>
          <w:lang w:eastAsia="zh-CN"/>
        </w:rPr>
      </w:pPr>
      <w:bookmarkStart w:id="343" w:name="_Toc18243"/>
      <w:bookmarkStart w:id="344" w:name="_Toc10618"/>
      <w:bookmarkStart w:id="345" w:name="_Toc30628"/>
      <w:bookmarkStart w:id="346" w:name="_Toc19300"/>
      <w:r>
        <w:rPr>
          <w:rFonts w:hint="eastAsia" w:ascii="宋体" w:hAnsi="宋体" w:eastAsia="宋体" w:cs="宋体"/>
          <w:color w:val="auto"/>
          <w:sz w:val="24"/>
          <w:szCs w:val="24"/>
          <w:highlight w:val="none"/>
          <w:lang w:eastAsia="zh-CN"/>
        </w:rPr>
        <w:t>10、合同争议的解决</w:t>
      </w:r>
      <w:bookmarkEnd w:id="343"/>
      <w:bookmarkEnd w:id="344"/>
      <w:bookmarkEnd w:id="345"/>
      <w:bookmarkEnd w:id="346"/>
    </w:p>
    <w:p w14:paraId="474542B9">
      <w:pPr>
        <w:pageBreakBefore w:val="0"/>
        <w:widowControl w:val="0"/>
        <w:kinsoku/>
        <w:wordWrap/>
        <w:overflowPunct/>
        <w:topLinePunct w:val="0"/>
        <w:autoSpaceDE/>
        <w:autoSpaceDN/>
        <w:bidi w:val="0"/>
        <w:spacing w:line="240" w:lineRule="auto"/>
        <w:ind w:right="0" w:rightChars="0" w:firstLine="480" w:firstLineChars="200"/>
        <w:jc w:val="both"/>
        <w:textAlignment w:val="auto"/>
        <w:rPr>
          <w:rFonts w:hint="eastAsia" w:ascii="宋体" w:hAnsi="宋体" w:eastAsia="宋体" w:cs="宋体"/>
          <w:color w:val="auto"/>
          <w:sz w:val="24"/>
          <w:szCs w:val="24"/>
          <w:highlight w:val="none"/>
          <w:lang w:eastAsia="zh-CN"/>
        </w:rPr>
      </w:pPr>
      <w:bookmarkStart w:id="347" w:name="_Toc18193"/>
      <w:bookmarkStart w:id="348" w:name="_Toc8877"/>
      <w:bookmarkStart w:id="349" w:name="_Toc11617"/>
      <w:bookmarkStart w:id="350" w:name="_Toc14696"/>
      <w:r>
        <w:rPr>
          <w:rFonts w:hint="eastAsia" w:ascii="宋体" w:hAnsi="宋体" w:eastAsia="宋体" w:cs="宋体"/>
          <w:color w:val="auto"/>
          <w:sz w:val="24"/>
          <w:szCs w:val="24"/>
          <w:highlight w:val="none"/>
          <w:lang w:eastAsia="zh-CN"/>
        </w:rPr>
        <w:t>10.1当事人友好协商达成一致</w:t>
      </w:r>
      <w:bookmarkEnd w:id="347"/>
      <w:bookmarkEnd w:id="348"/>
      <w:bookmarkEnd w:id="349"/>
      <w:bookmarkEnd w:id="350"/>
    </w:p>
    <w:p w14:paraId="0A5DA655">
      <w:pPr>
        <w:pageBreakBefore w:val="0"/>
        <w:widowControl w:val="0"/>
        <w:kinsoku/>
        <w:wordWrap/>
        <w:overflowPunct/>
        <w:topLinePunct w:val="0"/>
        <w:autoSpaceDE/>
        <w:autoSpaceDN/>
        <w:bidi w:val="0"/>
        <w:spacing w:line="240" w:lineRule="auto"/>
        <w:ind w:right="0" w:rightChars="0" w:firstLine="480" w:firstLineChars="200"/>
        <w:jc w:val="both"/>
        <w:textAlignment w:val="auto"/>
        <w:rPr>
          <w:rFonts w:hint="eastAsia" w:ascii="宋体" w:hAnsi="宋体" w:eastAsia="宋体" w:cs="宋体"/>
          <w:color w:val="auto"/>
          <w:sz w:val="24"/>
          <w:szCs w:val="24"/>
          <w:highlight w:val="none"/>
          <w:lang w:eastAsia="zh-CN"/>
        </w:rPr>
      </w:pPr>
      <w:bookmarkStart w:id="351" w:name="_Toc5810"/>
      <w:bookmarkStart w:id="352" w:name="_Toc29650"/>
      <w:bookmarkStart w:id="353" w:name="_Toc15849"/>
      <w:bookmarkStart w:id="354" w:name="_Toc2473"/>
      <w:r>
        <w:rPr>
          <w:rFonts w:hint="eastAsia" w:ascii="宋体" w:hAnsi="宋体" w:eastAsia="宋体" w:cs="宋体"/>
          <w:color w:val="auto"/>
          <w:sz w:val="24"/>
          <w:szCs w:val="24"/>
          <w:highlight w:val="none"/>
          <w:lang w:eastAsia="zh-CN"/>
        </w:rPr>
        <w:t>10.2在60天内当事人协商不能达成协议的，可提请采购人当地仲裁机构仲裁。</w:t>
      </w:r>
      <w:bookmarkEnd w:id="351"/>
      <w:bookmarkEnd w:id="352"/>
      <w:bookmarkEnd w:id="353"/>
      <w:bookmarkEnd w:id="354"/>
    </w:p>
    <w:p w14:paraId="08767042">
      <w:pPr>
        <w:pageBreakBefore w:val="0"/>
        <w:widowControl w:val="0"/>
        <w:kinsoku/>
        <w:wordWrap/>
        <w:overflowPunct/>
        <w:topLinePunct w:val="0"/>
        <w:autoSpaceDE/>
        <w:autoSpaceDN/>
        <w:bidi w:val="0"/>
        <w:spacing w:line="240" w:lineRule="auto"/>
        <w:ind w:right="0" w:rightChars="0" w:firstLine="480" w:firstLineChars="200"/>
        <w:jc w:val="both"/>
        <w:textAlignment w:val="auto"/>
        <w:rPr>
          <w:rFonts w:hint="eastAsia" w:ascii="宋体" w:hAnsi="宋体" w:eastAsia="宋体" w:cs="宋体"/>
          <w:color w:val="auto"/>
          <w:sz w:val="24"/>
          <w:szCs w:val="24"/>
          <w:highlight w:val="none"/>
          <w:lang w:eastAsia="zh-CN"/>
        </w:rPr>
      </w:pPr>
      <w:bookmarkStart w:id="355" w:name="_Toc21364"/>
      <w:bookmarkStart w:id="356" w:name="_Toc1718"/>
      <w:bookmarkStart w:id="357" w:name="_Toc8567"/>
      <w:bookmarkStart w:id="358" w:name="_Toc18067"/>
      <w:r>
        <w:rPr>
          <w:rFonts w:hint="eastAsia" w:ascii="宋体" w:hAnsi="宋体" w:eastAsia="宋体" w:cs="宋体"/>
          <w:color w:val="auto"/>
          <w:sz w:val="24"/>
          <w:szCs w:val="24"/>
          <w:highlight w:val="none"/>
          <w:lang w:eastAsia="zh-CN"/>
        </w:rPr>
        <w:t>11、违约责任</w:t>
      </w:r>
      <w:bookmarkEnd w:id="355"/>
      <w:bookmarkEnd w:id="356"/>
      <w:bookmarkEnd w:id="357"/>
      <w:bookmarkEnd w:id="358"/>
    </w:p>
    <w:p w14:paraId="4FEB29AF">
      <w:pPr>
        <w:pageBreakBefore w:val="0"/>
        <w:widowControl w:val="0"/>
        <w:kinsoku/>
        <w:wordWrap/>
        <w:overflowPunct/>
        <w:topLinePunct w:val="0"/>
        <w:autoSpaceDE/>
        <w:autoSpaceDN/>
        <w:bidi w:val="0"/>
        <w:spacing w:line="240" w:lineRule="auto"/>
        <w:ind w:right="0" w:rightChars="0" w:firstLine="480" w:firstLineChars="200"/>
        <w:jc w:val="both"/>
        <w:textAlignment w:val="auto"/>
        <w:rPr>
          <w:rFonts w:hint="eastAsia" w:ascii="宋体" w:hAnsi="宋体" w:eastAsia="宋体" w:cs="宋体"/>
          <w:color w:val="auto"/>
          <w:sz w:val="24"/>
          <w:szCs w:val="24"/>
          <w:highlight w:val="none"/>
          <w:lang w:eastAsia="zh-CN"/>
        </w:rPr>
      </w:pPr>
      <w:bookmarkStart w:id="359" w:name="_Toc26188"/>
      <w:bookmarkStart w:id="360" w:name="_Toc27331"/>
      <w:bookmarkStart w:id="361" w:name="_Toc9086"/>
      <w:bookmarkStart w:id="362" w:name="_Toc10800"/>
      <w:r>
        <w:rPr>
          <w:rFonts w:hint="eastAsia" w:ascii="宋体" w:hAnsi="宋体" w:eastAsia="宋体" w:cs="宋体"/>
          <w:color w:val="auto"/>
          <w:sz w:val="24"/>
          <w:szCs w:val="24"/>
          <w:highlight w:val="none"/>
          <w:lang w:eastAsia="zh-CN"/>
        </w:rPr>
        <w:t>按《中华人民共和国民法典》、《中华人民共和国政府采购法》有关条款，或由供需双方约定。</w:t>
      </w:r>
      <w:bookmarkEnd w:id="359"/>
      <w:bookmarkEnd w:id="360"/>
      <w:bookmarkEnd w:id="361"/>
      <w:bookmarkEnd w:id="362"/>
    </w:p>
    <w:p w14:paraId="25C741E5">
      <w:pPr>
        <w:pageBreakBefore w:val="0"/>
        <w:widowControl w:val="0"/>
        <w:kinsoku/>
        <w:wordWrap/>
        <w:overflowPunct/>
        <w:topLinePunct w:val="0"/>
        <w:autoSpaceDE/>
        <w:autoSpaceDN/>
        <w:bidi w:val="0"/>
        <w:spacing w:line="240" w:lineRule="auto"/>
        <w:ind w:right="0" w:rightChars="0" w:firstLine="480" w:firstLineChars="200"/>
        <w:jc w:val="both"/>
        <w:textAlignment w:val="auto"/>
        <w:rPr>
          <w:rFonts w:hint="eastAsia" w:ascii="宋体" w:hAnsi="宋体" w:eastAsia="宋体" w:cs="宋体"/>
          <w:color w:val="auto"/>
          <w:sz w:val="24"/>
          <w:szCs w:val="24"/>
          <w:highlight w:val="none"/>
          <w:lang w:eastAsia="zh-CN"/>
        </w:rPr>
      </w:pPr>
      <w:bookmarkStart w:id="363" w:name="_Toc10766"/>
      <w:bookmarkStart w:id="364" w:name="_Toc14500"/>
      <w:bookmarkStart w:id="365" w:name="_Toc15561"/>
      <w:bookmarkStart w:id="366" w:name="_Toc16707"/>
      <w:r>
        <w:rPr>
          <w:rFonts w:hint="eastAsia" w:ascii="宋体" w:hAnsi="宋体" w:eastAsia="宋体" w:cs="宋体"/>
          <w:color w:val="auto"/>
          <w:sz w:val="24"/>
          <w:szCs w:val="24"/>
          <w:highlight w:val="none"/>
          <w:lang w:eastAsia="zh-CN"/>
        </w:rPr>
        <w:t>12、合同生效及其它</w:t>
      </w:r>
      <w:bookmarkEnd w:id="363"/>
      <w:bookmarkEnd w:id="364"/>
      <w:bookmarkEnd w:id="365"/>
      <w:bookmarkEnd w:id="366"/>
    </w:p>
    <w:p w14:paraId="4EB8E61B">
      <w:pPr>
        <w:pageBreakBefore w:val="0"/>
        <w:widowControl w:val="0"/>
        <w:kinsoku/>
        <w:wordWrap/>
        <w:overflowPunct/>
        <w:topLinePunct w:val="0"/>
        <w:autoSpaceDE/>
        <w:autoSpaceDN/>
        <w:bidi w:val="0"/>
        <w:spacing w:line="240" w:lineRule="auto"/>
        <w:ind w:right="0" w:rightChars="0" w:firstLine="480" w:firstLineChars="200"/>
        <w:jc w:val="both"/>
        <w:textAlignment w:val="auto"/>
        <w:rPr>
          <w:rFonts w:hint="eastAsia" w:ascii="宋体" w:hAnsi="宋体" w:eastAsia="宋体" w:cs="宋体"/>
          <w:color w:val="auto"/>
          <w:sz w:val="24"/>
          <w:szCs w:val="24"/>
          <w:highlight w:val="none"/>
          <w:lang w:eastAsia="zh-CN"/>
        </w:rPr>
      </w:pPr>
      <w:bookmarkStart w:id="367" w:name="_Toc3885"/>
      <w:bookmarkStart w:id="368" w:name="_Toc26689"/>
      <w:bookmarkStart w:id="369" w:name="_Toc2411"/>
      <w:bookmarkStart w:id="370" w:name="_Toc30809"/>
      <w:r>
        <w:rPr>
          <w:rFonts w:hint="eastAsia" w:ascii="宋体" w:hAnsi="宋体" w:eastAsia="宋体" w:cs="宋体"/>
          <w:color w:val="auto"/>
          <w:sz w:val="24"/>
          <w:szCs w:val="24"/>
          <w:highlight w:val="none"/>
          <w:lang w:eastAsia="zh-CN"/>
        </w:rPr>
        <w:t>12.1合同生效及其效力应符合《中华人民共和国民法典》有关规定。</w:t>
      </w:r>
      <w:bookmarkEnd w:id="367"/>
      <w:bookmarkEnd w:id="368"/>
      <w:bookmarkEnd w:id="369"/>
      <w:bookmarkEnd w:id="370"/>
    </w:p>
    <w:p w14:paraId="76F350D8">
      <w:pPr>
        <w:pageBreakBefore w:val="0"/>
        <w:widowControl w:val="0"/>
        <w:kinsoku/>
        <w:wordWrap/>
        <w:overflowPunct/>
        <w:topLinePunct w:val="0"/>
        <w:autoSpaceDE/>
        <w:autoSpaceDN/>
        <w:bidi w:val="0"/>
        <w:spacing w:line="240" w:lineRule="auto"/>
        <w:ind w:right="0" w:rightChars="0" w:firstLine="480" w:firstLineChars="200"/>
        <w:jc w:val="both"/>
        <w:textAlignment w:val="auto"/>
        <w:rPr>
          <w:rFonts w:hint="eastAsia" w:ascii="宋体" w:hAnsi="宋体" w:eastAsia="宋体" w:cs="宋体"/>
          <w:color w:val="auto"/>
          <w:sz w:val="24"/>
          <w:szCs w:val="24"/>
          <w:highlight w:val="none"/>
          <w:lang w:eastAsia="zh-CN"/>
        </w:rPr>
      </w:pPr>
      <w:bookmarkStart w:id="371" w:name="_Toc29198"/>
      <w:bookmarkStart w:id="372" w:name="_Toc20400"/>
      <w:bookmarkStart w:id="373" w:name="_Toc15729"/>
      <w:bookmarkStart w:id="374" w:name="_Toc25981"/>
      <w:r>
        <w:rPr>
          <w:rFonts w:hint="eastAsia" w:ascii="宋体" w:hAnsi="宋体" w:eastAsia="宋体" w:cs="宋体"/>
          <w:color w:val="auto"/>
          <w:sz w:val="24"/>
          <w:szCs w:val="24"/>
          <w:highlight w:val="none"/>
          <w:lang w:eastAsia="zh-CN"/>
        </w:rPr>
        <w:t>12.2合同应经当事人法定代表人或委托代理人签字，加盖双方合同专用章或公章。</w:t>
      </w:r>
      <w:bookmarkEnd w:id="371"/>
      <w:bookmarkEnd w:id="372"/>
      <w:bookmarkEnd w:id="373"/>
      <w:bookmarkEnd w:id="374"/>
    </w:p>
    <w:p w14:paraId="48265A1E">
      <w:pPr>
        <w:pageBreakBefore w:val="0"/>
        <w:widowControl w:val="0"/>
        <w:kinsoku/>
        <w:wordWrap/>
        <w:overflowPunct/>
        <w:topLinePunct w:val="0"/>
        <w:autoSpaceDE/>
        <w:autoSpaceDN/>
        <w:bidi w:val="0"/>
        <w:spacing w:line="240" w:lineRule="auto"/>
        <w:ind w:right="0" w:rightChars="0" w:firstLine="480" w:firstLineChars="200"/>
        <w:jc w:val="both"/>
        <w:textAlignment w:val="auto"/>
        <w:rPr>
          <w:rFonts w:hint="eastAsia" w:ascii="宋体" w:hAnsi="宋体" w:eastAsia="宋体" w:cs="宋体"/>
          <w:color w:val="auto"/>
          <w:sz w:val="24"/>
          <w:szCs w:val="24"/>
          <w:highlight w:val="none"/>
          <w:lang w:eastAsia="zh-CN"/>
        </w:rPr>
      </w:pPr>
      <w:bookmarkStart w:id="375" w:name="_Toc7276"/>
      <w:bookmarkStart w:id="376" w:name="_Toc24829"/>
      <w:bookmarkStart w:id="377" w:name="_Toc13460"/>
      <w:bookmarkStart w:id="378" w:name="_Toc24816"/>
      <w:r>
        <w:rPr>
          <w:rFonts w:hint="eastAsia" w:ascii="宋体" w:hAnsi="宋体" w:eastAsia="宋体" w:cs="宋体"/>
          <w:color w:val="auto"/>
          <w:sz w:val="24"/>
          <w:szCs w:val="24"/>
          <w:highlight w:val="none"/>
          <w:lang w:eastAsia="zh-CN"/>
        </w:rPr>
        <w:t>12.3合同所包括附件，是合同不可分割的一部分，具有同等法法律效力。</w:t>
      </w:r>
      <w:bookmarkEnd w:id="375"/>
      <w:bookmarkEnd w:id="376"/>
      <w:bookmarkEnd w:id="377"/>
      <w:bookmarkEnd w:id="378"/>
    </w:p>
    <w:p w14:paraId="79F88386">
      <w:pPr>
        <w:pageBreakBefore w:val="0"/>
        <w:widowControl w:val="0"/>
        <w:kinsoku/>
        <w:wordWrap/>
        <w:overflowPunct/>
        <w:topLinePunct w:val="0"/>
        <w:autoSpaceDE/>
        <w:autoSpaceDN/>
        <w:bidi w:val="0"/>
        <w:spacing w:line="240" w:lineRule="auto"/>
        <w:ind w:right="0" w:rightChars="0" w:firstLine="480" w:firstLineChars="200"/>
        <w:jc w:val="both"/>
        <w:textAlignment w:val="auto"/>
        <w:rPr>
          <w:rFonts w:hint="eastAsia" w:ascii="宋体" w:hAnsi="宋体" w:eastAsia="宋体" w:cs="宋体"/>
          <w:color w:val="auto"/>
          <w:sz w:val="24"/>
          <w:szCs w:val="24"/>
          <w:highlight w:val="none"/>
          <w:lang w:eastAsia="zh-CN"/>
        </w:rPr>
      </w:pPr>
      <w:bookmarkStart w:id="379" w:name="_Toc7335"/>
      <w:bookmarkStart w:id="380" w:name="_Toc23193"/>
      <w:bookmarkStart w:id="381" w:name="_Toc31269"/>
      <w:bookmarkStart w:id="382" w:name="_Toc5884"/>
      <w:r>
        <w:rPr>
          <w:rFonts w:hint="eastAsia" w:ascii="宋体" w:hAnsi="宋体" w:eastAsia="宋体" w:cs="宋体"/>
          <w:color w:val="auto"/>
          <w:sz w:val="24"/>
          <w:szCs w:val="24"/>
          <w:highlight w:val="none"/>
          <w:lang w:eastAsia="zh-CN"/>
        </w:rPr>
        <w:t>12.4合同需提供担保的，按《中华人民共和国民法典》规定执行。</w:t>
      </w:r>
      <w:bookmarkEnd w:id="379"/>
      <w:bookmarkEnd w:id="380"/>
      <w:bookmarkEnd w:id="381"/>
      <w:bookmarkEnd w:id="382"/>
    </w:p>
    <w:p w14:paraId="137E38A9">
      <w:pPr>
        <w:pageBreakBefore w:val="0"/>
        <w:widowControl w:val="0"/>
        <w:kinsoku/>
        <w:wordWrap/>
        <w:overflowPunct/>
        <w:topLinePunct w:val="0"/>
        <w:autoSpaceDE/>
        <w:autoSpaceDN/>
        <w:bidi w:val="0"/>
        <w:spacing w:line="240" w:lineRule="auto"/>
        <w:ind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12.5本合同条件未尽事宜依照《中华人民共和国民法典》，由供需双方共同协商确定。</w:t>
      </w:r>
    </w:p>
    <w:p w14:paraId="07D16657">
      <w:pPr>
        <w:pageBreakBefore w:val="0"/>
        <w:widowControl w:val="0"/>
        <w:kinsoku/>
        <w:wordWrap/>
        <w:overflowPunct/>
        <w:topLinePunct w:val="0"/>
        <w:autoSpaceDE/>
        <w:autoSpaceDN/>
        <w:bidi w:val="0"/>
        <w:spacing w:line="240" w:lineRule="auto"/>
        <w:ind w:right="0" w:rightChars="0" w:firstLine="480" w:firstLineChars="200"/>
        <w:jc w:val="both"/>
        <w:textAlignment w:val="auto"/>
        <w:rPr>
          <w:rFonts w:hint="eastAsia" w:ascii="宋体" w:hAnsi="宋体" w:eastAsia="宋体" w:cs="宋体"/>
          <w:color w:val="auto"/>
          <w:sz w:val="24"/>
          <w:szCs w:val="24"/>
          <w:highlight w:val="none"/>
          <w:lang w:eastAsia="zh-CN"/>
        </w:rPr>
        <w:sectPr>
          <w:footerReference r:id="rId6" w:type="default"/>
          <w:footerReference r:id="rId7" w:type="even"/>
          <w:pgSz w:w="11905" w:h="16838"/>
          <w:pgMar w:top="1247" w:right="1134" w:bottom="1247" w:left="1134" w:header="850" w:footer="992" w:gutter="0"/>
          <w:pgNumType w:fmt="numberInDash"/>
          <w:cols w:space="0" w:num="1"/>
          <w:docGrid w:type="lines" w:linePitch="388" w:charSpace="0"/>
        </w:sectPr>
      </w:pPr>
    </w:p>
    <w:p w14:paraId="5BC3EB22">
      <w:pPr>
        <w:pageBreakBefore w:val="0"/>
        <w:widowControl w:val="0"/>
        <w:kinsoku/>
        <w:wordWrap/>
        <w:overflowPunct/>
        <w:topLinePunct w:val="0"/>
        <w:autoSpaceDE/>
        <w:autoSpaceDN/>
        <w:bidi w:val="0"/>
        <w:spacing w:line="560" w:lineRule="exact"/>
        <w:ind w:right="0" w:rightChars="0" w:firstLine="480" w:firstLineChars="200"/>
        <w:jc w:val="both"/>
        <w:textAlignment w:val="auto"/>
        <w:rPr>
          <w:rFonts w:hint="eastAsia" w:ascii="宋体" w:hAnsi="宋体" w:eastAsia="宋体" w:cs="宋体"/>
          <w:color w:val="auto"/>
          <w:sz w:val="24"/>
          <w:szCs w:val="24"/>
          <w:highlight w:val="none"/>
          <w:lang w:eastAsia="zh-CN"/>
        </w:rPr>
      </w:pPr>
      <w:bookmarkStart w:id="383" w:name="_Toc303945820"/>
      <w:bookmarkStart w:id="384" w:name="_Toc148265480"/>
      <w:r>
        <w:rPr>
          <w:rFonts w:hint="eastAsia" w:ascii="宋体" w:hAnsi="宋体" w:eastAsia="宋体" w:cs="宋体"/>
          <w:color w:val="auto"/>
          <w:sz w:val="24"/>
          <w:szCs w:val="24"/>
          <w:highlight w:val="none"/>
          <w:lang w:eastAsia="zh-CN"/>
        </w:rPr>
        <w:t>附页：1、合同格式</w:t>
      </w:r>
      <w:bookmarkEnd w:id="383"/>
      <w:bookmarkEnd w:id="384"/>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样本，以实际签订为准。</w:t>
      </w:r>
      <w:r>
        <w:rPr>
          <w:rFonts w:hint="eastAsia" w:ascii="宋体" w:hAnsi="宋体" w:eastAsia="宋体" w:cs="宋体"/>
          <w:color w:val="auto"/>
          <w:sz w:val="24"/>
          <w:szCs w:val="24"/>
          <w:highlight w:val="none"/>
          <w:lang w:eastAsia="zh-CN"/>
        </w:rPr>
        <w:t>）</w:t>
      </w:r>
    </w:p>
    <w:p w14:paraId="782127CC">
      <w:pPr>
        <w:spacing w:line="500" w:lineRule="exact"/>
        <w:jc w:val="center"/>
        <w:rPr>
          <w:rFonts w:ascii="宋体" w:hAnsi="宋体" w:eastAsia="宋体" w:cs="宋体"/>
          <w:b/>
          <w:color w:val="auto"/>
          <w:sz w:val="44"/>
          <w:szCs w:val="20"/>
        </w:rPr>
      </w:pPr>
      <w:bookmarkStart w:id="385" w:name="_Toc10882"/>
      <w:r>
        <w:rPr>
          <w:rFonts w:hint="eastAsia" w:ascii="宋体" w:hAnsi="宋体" w:eastAsia="宋体" w:cs="宋体"/>
          <w:b/>
          <w:color w:val="auto"/>
          <w:sz w:val="44"/>
          <w:szCs w:val="20"/>
        </w:rPr>
        <w:t>采购合同</w:t>
      </w:r>
    </w:p>
    <w:p w14:paraId="68FD0D2D">
      <w:pPr>
        <w:spacing w:line="500" w:lineRule="exact"/>
        <w:jc w:val="center"/>
        <w:rPr>
          <w:rFonts w:ascii="宋体" w:hAnsi="宋体" w:eastAsia="宋体" w:cs="宋体"/>
          <w:color w:val="auto"/>
          <w:sz w:val="28"/>
          <w:szCs w:val="20"/>
        </w:rPr>
      </w:pPr>
      <w:r>
        <w:rPr>
          <w:rFonts w:hint="eastAsia" w:ascii="宋体" w:hAnsi="宋体" w:eastAsia="宋体" w:cs="宋体"/>
          <w:color w:val="auto"/>
          <w:sz w:val="28"/>
          <w:szCs w:val="20"/>
        </w:rPr>
        <w:t>（项目号：     ）</w:t>
      </w:r>
    </w:p>
    <w:p w14:paraId="5EF6CDE2">
      <w:pPr>
        <w:spacing w:line="500" w:lineRule="exact"/>
        <w:rPr>
          <w:rFonts w:ascii="宋体" w:hAnsi="宋体" w:eastAsia="宋体" w:cs="宋体"/>
          <w:color w:val="auto"/>
          <w:sz w:val="24"/>
          <w:szCs w:val="20"/>
        </w:rPr>
      </w:pPr>
      <w:r>
        <w:rPr>
          <w:rFonts w:hint="eastAsia" w:ascii="宋体" w:hAnsi="宋体" w:eastAsia="宋体" w:cs="宋体"/>
          <w:color w:val="auto"/>
          <w:sz w:val="24"/>
          <w:szCs w:val="20"/>
        </w:rPr>
        <w:t>甲方（需方）：___________________________      计价单位：____________</w:t>
      </w:r>
    </w:p>
    <w:p w14:paraId="5C832A1F">
      <w:pPr>
        <w:spacing w:line="500" w:lineRule="exact"/>
        <w:rPr>
          <w:rFonts w:ascii="宋体" w:hAnsi="宋体" w:eastAsia="宋体" w:cs="宋体"/>
          <w:color w:val="auto"/>
          <w:sz w:val="24"/>
          <w:szCs w:val="20"/>
        </w:rPr>
      </w:pPr>
      <w:r>
        <w:rPr>
          <w:rFonts w:hint="eastAsia" w:ascii="宋体" w:hAnsi="宋体" w:eastAsia="宋体" w:cs="宋体"/>
          <w:color w:val="auto"/>
          <w:sz w:val="24"/>
          <w:szCs w:val="20"/>
        </w:rPr>
        <w:t>乙方（供方）：___________________________      计量单位：_____________</w:t>
      </w:r>
    </w:p>
    <w:p w14:paraId="619ED5BA">
      <w:pPr>
        <w:spacing w:line="500" w:lineRule="exact"/>
        <w:rPr>
          <w:rFonts w:ascii="宋体" w:hAnsi="宋体" w:eastAsia="宋体" w:cs="宋体"/>
          <w:color w:val="auto"/>
          <w:sz w:val="24"/>
          <w:szCs w:val="20"/>
        </w:rPr>
      </w:pPr>
    </w:p>
    <w:p w14:paraId="54CF1357">
      <w:pPr>
        <w:spacing w:line="500" w:lineRule="exact"/>
        <w:rPr>
          <w:rFonts w:ascii="宋体" w:hAnsi="宋体" w:eastAsia="宋体" w:cs="宋体"/>
          <w:color w:val="auto"/>
          <w:sz w:val="24"/>
          <w:szCs w:val="20"/>
        </w:rPr>
      </w:pPr>
      <w:r>
        <w:rPr>
          <w:rFonts w:hint="eastAsia" w:ascii="宋体" w:hAnsi="宋体" w:eastAsia="宋体" w:cs="宋体"/>
          <w:color w:val="auto"/>
          <w:sz w:val="24"/>
          <w:szCs w:val="20"/>
        </w:rPr>
        <w:t>经双方协商一致，达成以下购销合同：</w:t>
      </w:r>
    </w:p>
    <w:tbl>
      <w:tblPr>
        <w:tblStyle w:val="2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769C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56E4EAE2">
            <w:pPr>
              <w:spacing w:line="240" w:lineRule="atLeast"/>
              <w:jc w:val="center"/>
              <w:rPr>
                <w:rFonts w:ascii="宋体" w:hAnsi="宋体" w:eastAsia="宋体" w:cs="宋体"/>
                <w:color w:val="auto"/>
                <w:szCs w:val="21"/>
              </w:rPr>
            </w:pPr>
            <w:r>
              <w:rPr>
                <w:rFonts w:hint="eastAsia" w:ascii="宋体" w:hAnsi="宋体" w:eastAsia="宋体" w:cs="宋体"/>
                <w:color w:val="auto"/>
                <w:szCs w:val="21"/>
              </w:rPr>
              <w:t>项目名称</w:t>
            </w:r>
          </w:p>
        </w:tc>
        <w:tc>
          <w:tcPr>
            <w:tcW w:w="984" w:type="dxa"/>
            <w:vAlign w:val="center"/>
          </w:tcPr>
          <w:p w14:paraId="6AB649F9">
            <w:pPr>
              <w:spacing w:line="240" w:lineRule="atLeast"/>
              <w:jc w:val="center"/>
              <w:rPr>
                <w:rFonts w:ascii="宋体" w:hAnsi="宋体" w:eastAsia="宋体" w:cs="宋体"/>
                <w:color w:val="auto"/>
                <w:szCs w:val="21"/>
              </w:rPr>
            </w:pPr>
            <w:r>
              <w:rPr>
                <w:rFonts w:hint="eastAsia" w:ascii="宋体" w:hAnsi="宋体" w:eastAsia="宋体" w:cs="宋体"/>
                <w:color w:val="auto"/>
                <w:szCs w:val="21"/>
              </w:rPr>
              <w:t>数量</w:t>
            </w:r>
          </w:p>
        </w:tc>
        <w:tc>
          <w:tcPr>
            <w:tcW w:w="1298" w:type="dxa"/>
            <w:gridSpan w:val="2"/>
            <w:vAlign w:val="center"/>
          </w:tcPr>
          <w:p w14:paraId="601A7C73">
            <w:pPr>
              <w:spacing w:line="240" w:lineRule="atLeast"/>
              <w:jc w:val="center"/>
              <w:rPr>
                <w:rFonts w:ascii="宋体" w:hAnsi="宋体" w:eastAsia="宋体" w:cs="宋体"/>
                <w:color w:val="auto"/>
                <w:szCs w:val="21"/>
              </w:rPr>
            </w:pPr>
            <w:r>
              <w:rPr>
                <w:rFonts w:hint="eastAsia" w:ascii="宋体" w:hAnsi="宋体" w:eastAsia="宋体" w:cs="宋体"/>
                <w:color w:val="auto"/>
                <w:szCs w:val="21"/>
              </w:rPr>
              <w:t>综合单价</w:t>
            </w:r>
          </w:p>
        </w:tc>
        <w:tc>
          <w:tcPr>
            <w:tcW w:w="1134" w:type="dxa"/>
            <w:vAlign w:val="center"/>
          </w:tcPr>
          <w:p w14:paraId="6D6DAD31">
            <w:pPr>
              <w:spacing w:line="240" w:lineRule="atLeast"/>
              <w:jc w:val="center"/>
              <w:rPr>
                <w:rFonts w:ascii="宋体" w:hAnsi="宋体" w:eastAsia="宋体" w:cs="宋体"/>
                <w:color w:val="auto"/>
                <w:szCs w:val="21"/>
              </w:rPr>
            </w:pPr>
            <w:r>
              <w:rPr>
                <w:rFonts w:hint="eastAsia" w:ascii="宋体" w:hAnsi="宋体" w:eastAsia="宋体" w:cs="宋体"/>
                <w:color w:val="auto"/>
                <w:szCs w:val="21"/>
              </w:rPr>
              <w:t>总价</w:t>
            </w:r>
          </w:p>
        </w:tc>
        <w:tc>
          <w:tcPr>
            <w:tcW w:w="1559" w:type="dxa"/>
            <w:vAlign w:val="center"/>
          </w:tcPr>
          <w:p w14:paraId="6BEF8D2E">
            <w:pPr>
              <w:spacing w:line="240" w:lineRule="atLeast"/>
              <w:jc w:val="center"/>
              <w:rPr>
                <w:rFonts w:ascii="宋体" w:hAnsi="宋体" w:eastAsia="宋体" w:cs="宋体"/>
                <w:color w:val="auto"/>
                <w:szCs w:val="21"/>
              </w:rPr>
            </w:pPr>
            <w:r>
              <w:rPr>
                <w:rFonts w:hint="eastAsia" w:ascii="宋体" w:hAnsi="宋体" w:eastAsia="宋体" w:cs="宋体"/>
                <w:color w:val="auto"/>
                <w:szCs w:val="21"/>
              </w:rPr>
              <w:t>服务时间</w:t>
            </w:r>
          </w:p>
        </w:tc>
        <w:tc>
          <w:tcPr>
            <w:tcW w:w="1567" w:type="dxa"/>
            <w:vAlign w:val="center"/>
          </w:tcPr>
          <w:p w14:paraId="1B4786EF">
            <w:pPr>
              <w:spacing w:line="240" w:lineRule="atLeast"/>
              <w:jc w:val="center"/>
              <w:rPr>
                <w:rFonts w:ascii="宋体" w:hAnsi="宋体" w:eastAsia="宋体" w:cs="宋体"/>
                <w:color w:val="auto"/>
                <w:szCs w:val="21"/>
              </w:rPr>
            </w:pPr>
            <w:r>
              <w:rPr>
                <w:rFonts w:hint="eastAsia" w:ascii="宋体" w:hAnsi="宋体" w:eastAsia="宋体" w:cs="宋体"/>
                <w:color w:val="auto"/>
                <w:szCs w:val="21"/>
              </w:rPr>
              <w:t>服务地点</w:t>
            </w:r>
          </w:p>
        </w:tc>
      </w:tr>
      <w:tr w14:paraId="6C55C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0B87E56C">
            <w:pPr>
              <w:spacing w:line="240" w:lineRule="atLeast"/>
              <w:jc w:val="center"/>
              <w:rPr>
                <w:rFonts w:ascii="宋体" w:hAnsi="宋体" w:eastAsia="宋体" w:cs="宋体"/>
                <w:color w:val="auto"/>
                <w:szCs w:val="21"/>
              </w:rPr>
            </w:pPr>
          </w:p>
        </w:tc>
        <w:tc>
          <w:tcPr>
            <w:tcW w:w="984" w:type="dxa"/>
            <w:vAlign w:val="center"/>
          </w:tcPr>
          <w:p w14:paraId="2E0EEFBE">
            <w:pPr>
              <w:spacing w:line="240" w:lineRule="atLeast"/>
              <w:jc w:val="center"/>
              <w:rPr>
                <w:rFonts w:ascii="宋体" w:hAnsi="宋体" w:eastAsia="宋体" w:cs="宋体"/>
                <w:color w:val="auto"/>
                <w:szCs w:val="21"/>
              </w:rPr>
            </w:pPr>
          </w:p>
        </w:tc>
        <w:tc>
          <w:tcPr>
            <w:tcW w:w="1298" w:type="dxa"/>
            <w:gridSpan w:val="2"/>
            <w:vAlign w:val="center"/>
          </w:tcPr>
          <w:p w14:paraId="71346CF7">
            <w:pPr>
              <w:spacing w:line="240" w:lineRule="atLeast"/>
              <w:jc w:val="center"/>
              <w:rPr>
                <w:rFonts w:ascii="宋体" w:hAnsi="宋体" w:eastAsia="宋体" w:cs="宋体"/>
                <w:color w:val="auto"/>
                <w:szCs w:val="21"/>
              </w:rPr>
            </w:pPr>
          </w:p>
        </w:tc>
        <w:tc>
          <w:tcPr>
            <w:tcW w:w="1134" w:type="dxa"/>
            <w:vAlign w:val="center"/>
          </w:tcPr>
          <w:p w14:paraId="2F28A168">
            <w:pPr>
              <w:spacing w:line="240" w:lineRule="atLeast"/>
              <w:jc w:val="center"/>
              <w:rPr>
                <w:rFonts w:ascii="宋体" w:hAnsi="宋体" w:eastAsia="宋体" w:cs="宋体"/>
                <w:color w:val="auto"/>
                <w:szCs w:val="21"/>
              </w:rPr>
            </w:pPr>
          </w:p>
        </w:tc>
        <w:tc>
          <w:tcPr>
            <w:tcW w:w="1559" w:type="dxa"/>
            <w:vAlign w:val="center"/>
          </w:tcPr>
          <w:p w14:paraId="788F0479">
            <w:pPr>
              <w:spacing w:line="240" w:lineRule="atLeast"/>
              <w:jc w:val="center"/>
              <w:rPr>
                <w:rFonts w:ascii="宋体" w:hAnsi="宋体" w:eastAsia="宋体" w:cs="宋体"/>
                <w:color w:val="auto"/>
                <w:szCs w:val="21"/>
              </w:rPr>
            </w:pPr>
          </w:p>
        </w:tc>
        <w:tc>
          <w:tcPr>
            <w:tcW w:w="1567" w:type="dxa"/>
            <w:vAlign w:val="center"/>
          </w:tcPr>
          <w:p w14:paraId="41CD1FD4">
            <w:pPr>
              <w:spacing w:line="240" w:lineRule="atLeast"/>
              <w:jc w:val="center"/>
              <w:rPr>
                <w:rFonts w:ascii="宋体" w:hAnsi="宋体" w:eastAsia="宋体" w:cs="宋体"/>
                <w:color w:val="auto"/>
                <w:szCs w:val="21"/>
              </w:rPr>
            </w:pPr>
          </w:p>
        </w:tc>
      </w:tr>
      <w:tr w14:paraId="3598D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3C0899FD">
            <w:pPr>
              <w:spacing w:line="240" w:lineRule="atLeast"/>
              <w:jc w:val="center"/>
              <w:rPr>
                <w:rFonts w:ascii="宋体" w:hAnsi="宋体" w:eastAsia="宋体" w:cs="宋体"/>
                <w:color w:val="auto"/>
                <w:szCs w:val="21"/>
              </w:rPr>
            </w:pPr>
          </w:p>
        </w:tc>
        <w:tc>
          <w:tcPr>
            <w:tcW w:w="984" w:type="dxa"/>
            <w:vAlign w:val="center"/>
          </w:tcPr>
          <w:p w14:paraId="118B4DAF">
            <w:pPr>
              <w:spacing w:line="240" w:lineRule="atLeast"/>
              <w:jc w:val="center"/>
              <w:rPr>
                <w:rFonts w:ascii="宋体" w:hAnsi="宋体" w:eastAsia="宋体" w:cs="宋体"/>
                <w:color w:val="auto"/>
                <w:szCs w:val="21"/>
              </w:rPr>
            </w:pPr>
          </w:p>
        </w:tc>
        <w:tc>
          <w:tcPr>
            <w:tcW w:w="1298" w:type="dxa"/>
            <w:gridSpan w:val="2"/>
            <w:vAlign w:val="center"/>
          </w:tcPr>
          <w:p w14:paraId="0D8AEC5F">
            <w:pPr>
              <w:spacing w:line="240" w:lineRule="atLeast"/>
              <w:jc w:val="center"/>
              <w:rPr>
                <w:rFonts w:ascii="宋体" w:hAnsi="宋体" w:eastAsia="宋体" w:cs="宋体"/>
                <w:color w:val="auto"/>
                <w:szCs w:val="21"/>
              </w:rPr>
            </w:pPr>
          </w:p>
        </w:tc>
        <w:tc>
          <w:tcPr>
            <w:tcW w:w="1134" w:type="dxa"/>
            <w:vAlign w:val="center"/>
          </w:tcPr>
          <w:p w14:paraId="6B967775">
            <w:pPr>
              <w:spacing w:line="240" w:lineRule="atLeast"/>
              <w:jc w:val="center"/>
              <w:rPr>
                <w:rFonts w:ascii="宋体" w:hAnsi="宋体" w:eastAsia="宋体" w:cs="宋体"/>
                <w:color w:val="auto"/>
                <w:szCs w:val="21"/>
              </w:rPr>
            </w:pPr>
          </w:p>
        </w:tc>
        <w:tc>
          <w:tcPr>
            <w:tcW w:w="1559" w:type="dxa"/>
            <w:vAlign w:val="center"/>
          </w:tcPr>
          <w:p w14:paraId="048BBE8E">
            <w:pPr>
              <w:spacing w:line="240" w:lineRule="atLeast"/>
              <w:jc w:val="center"/>
              <w:rPr>
                <w:rFonts w:ascii="宋体" w:hAnsi="宋体" w:eastAsia="宋体" w:cs="宋体"/>
                <w:color w:val="auto"/>
                <w:szCs w:val="21"/>
              </w:rPr>
            </w:pPr>
          </w:p>
        </w:tc>
        <w:tc>
          <w:tcPr>
            <w:tcW w:w="1567" w:type="dxa"/>
            <w:vAlign w:val="center"/>
          </w:tcPr>
          <w:p w14:paraId="2402DB84">
            <w:pPr>
              <w:spacing w:line="240" w:lineRule="atLeast"/>
              <w:jc w:val="center"/>
              <w:rPr>
                <w:rFonts w:ascii="宋体" w:hAnsi="宋体" w:eastAsia="宋体" w:cs="宋体"/>
                <w:color w:val="auto"/>
                <w:szCs w:val="21"/>
              </w:rPr>
            </w:pPr>
          </w:p>
        </w:tc>
      </w:tr>
      <w:tr w14:paraId="60AFE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3D1D41E3">
            <w:pPr>
              <w:spacing w:line="240" w:lineRule="atLeast"/>
              <w:rPr>
                <w:rFonts w:ascii="宋体" w:hAnsi="宋体" w:eastAsia="宋体" w:cs="宋体"/>
                <w:color w:val="auto"/>
                <w:szCs w:val="21"/>
              </w:rPr>
            </w:pPr>
            <w:r>
              <w:rPr>
                <w:rFonts w:hint="eastAsia" w:ascii="宋体" w:hAnsi="宋体" w:eastAsia="宋体" w:cs="宋体"/>
                <w:color w:val="auto"/>
                <w:szCs w:val="21"/>
              </w:rPr>
              <w:t>合计人民币（小写）：</w:t>
            </w:r>
          </w:p>
        </w:tc>
      </w:tr>
      <w:tr w14:paraId="19B6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83BBD8B">
            <w:pPr>
              <w:spacing w:line="240" w:lineRule="atLeast"/>
              <w:rPr>
                <w:rFonts w:ascii="宋体" w:hAnsi="宋体" w:eastAsia="宋体" w:cs="宋体"/>
                <w:color w:val="auto"/>
                <w:szCs w:val="21"/>
              </w:rPr>
            </w:pPr>
            <w:r>
              <w:rPr>
                <w:rFonts w:hint="eastAsia" w:ascii="宋体" w:hAnsi="宋体" w:eastAsia="宋体" w:cs="宋体"/>
                <w:color w:val="auto"/>
                <w:szCs w:val="21"/>
              </w:rPr>
              <w:t>合计人民币（大写）：</w:t>
            </w:r>
          </w:p>
        </w:tc>
      </w:tr>
      <w:tr w14:paraId="1FD60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29A63BD4">
            <w:pPr>
              <w:spacing w:line="240" w:lineRule="atLeast"/>
              <w:rPr>
                <w:rFonts w:ascii="宋体" w:hAnsi="宋体" w:eastAsia="宋体" w:cs="宋体"/>
                <w:color w:val="auto"/>
                <w:szCs w:val="21"/>
              </w:rPr>
            </w:pPr>
            <w:r>
              <w:rPr>
                <w:rFonts w:hint="eastAsia" w:ascii="宋体" w:hAnsi="宋体" w:eastAsia="宋体" w:cs="宋体"/>
                <w:color w:val="auto"/>
                <w:szCs w:val="21"/>
              </w:rPr>
              <w:t>一、服务要求</w:t>
            </w:r>
          </w:p>
        </w:tc>
      </w:tr>
      <w:tr w14:paraId="52413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2086B2FF">
            <w:pPr>
              <w:spacing w:line="240" w:lineRule="atLeast"/>
              <w:rPr>
                <w:rFonts w:ascii="宋体" w:hAnsi="宋体" w:eastAsia="宋体" w:cs="宋体"/>
                <w:color w:val="auto"/>
                <w:szCs w:val="21"/>
              </w:rPr>
            </w:pPr>
            <w:r>
              <w:rPr>
                <w:rFonts w:hint="eastAsia" w:ascii="宋体" w:hAnsi="宋体" w:eastAsia="宋体" w:cs="宋体"/>
                <w:color w:val="auto"/>
                <w:szCs w:val="21"/>
              </w:rPr>
              <w:t>二、考核方式</w:t>
            </w:r>
          </w:p>
        </w:tc>
      </w:tr>
      <w:tr w14:paraId="55BAC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Pr>
          <w:p w14:paraId="0DE31D86">
            <w:pPr>
              <w:spacing w:line="240" w:lineRule="atLeast"/>
              <w:rPr>
                <w:rFonts w:ascii="宋体" w:hAnsi="宋体" w:eastAsia="宋体" w:cs="宋体"/>
                <w:color w:val="auto"/>
                <w:szCs w:val="21"/>
              </w:rPr>
            </w:pPr>
            <w:r>
              <w:rPr>
                <w:rFonts w:hint="eastAsia" w:ascii="宋体" w:hAnsi="宋体" w:eastAsia="宋体" w:cs="宋体"/>
                <w:color w:val="auto"/>
                <w:szCs w:val="21"/>
              </w:rPr>
              <w:t>三、付款方式：</w:t>
            </w:r>
          </w:p>
          <w:p w14:paraId="7C4FDAD0">
            <w:pPr>
              <w:rPr>
                <w:rFonts w:ascii="宋体" w:hAnsi="宋体" w:eastAsia="宋体" w:cs="宋体"/>
                <w:color w:val="auto"/>
                <w:sz w:val="28"/>
                <w:szCs w:val="20"/>
              </w:rPr>
            </w:pPr>
          </w:p>
        </w:tc>
      </w:tr>
      <w:tr w14:paraId="51E3C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73B956B0">
            <w:pPr>
              <w:spacing w:line="240" w:lineRule="atLeast"/>
              <w:rPr>
                <w:rFonts w:ascii="宋体" w:hAnsi="宋体" w:eastAsia="宋体" w:cs="宋体"/>
                <w:color w:val="auto"/>
                <w:szCs w:val="21"/>
              </w:rPr>
            </w:pPr>
            <w:r>
              <w:rPr>
                <w:rFonts w:hint="eastAsia" w:ascii="宋体" w:hAnsi="宋体" w:eastAsia="宋体" w:cs="宋体"/>
                <w:color w:val="auto"/>
                <w:szCs w:val="21"/>
              </w:rPr>
              <w:t>四、违约责任：</w:t>
            </w:r>
          </w:p>
          <w:p w14:paraId="0E2345D3">
            <w:pPr>
              <w:spacing w:line="240" w:lineRule="atLeast"/>
              <w:rPr>
                <w:rFonts w:ascii="宋体" w:hAnsi="宋体" w:eastAsia="宋体" w:cs="宋体"/>
                <w:color w:val="auto"/>
                <w:szCs w:val="21"/>
              </w:rPr>
            </w:pPr>
            <w:r>
              <w:rPr>
                <w:rFonts w:hint="eastAsia" w:ascii="宋体" w:hAnsi="宋体" w:eastAsia="宋体" w:cs="宋体"/>
                <w:color w:val="auto"/>
                <w:szCs w:val="21"/>
              </w:rPr>
              <w:t>按《中华人民共和国民法典</w:t>
            </w:r>
            <w:r>
              <w:rPr>
                <w:rFonts w:hint="eastAsia" w:ascii="宋体" w:hAnsi="宋体" w:eastAsia="宋体" w:cs="宋体"/>
                <w:color w:val="auto"/>
                <w:szCs w:val="21"/>
                <w:lang w:eastAsia="zh-CN"/>
              </w:rPr>
              <w:t>》《</w:t>
            </w:r>
            <w:r>
              <w:rPr>
                <w:rFonts w:hint="eastAsia" w:ascii="宋体" w:hAnsi="宋体" w:eastAsia="宋体" w:cs="宋体"/>
                <w:color w:val="auto"/>
                <w:szCs w:val="21"/>
              </w:rPr>
              <w:t>中华人民共和国政府采购法》执行，或按双方约定。</w:t>
            </w:r>
          </w:p>
        </w:tc>
      </w:tr>
      <w:tr w14:paraId="2A569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5E0B2D13">
            <w:pPr>
              <w:spacing w:line="240" w:lineRule="atLeast"/>
              <w:rPr>
                <w:rFonts w:ascii="宋体" w:hAnsi="宋体" w:eastAsia="宋体" w:cs="宋体"/>
                <w:color w:val="auto"/>
                <w:szCs w:val="21"/>
              </w:rPr>
            </w:pPr>
            <w:r>
              <w:rPr>
                <w:rFonts w:hint="eastAsia" w:ascii="宋体" w:hAnsi="宋体" w:eastAsia="宋体" w:cs="宋体"/>
                <w:color w:val="auto"/>
                <w:szCs w:val="21"/>
              </w:rPr>
              <w:t>五、其他约定事项：</w:t>
            </w:r>
          </w:p>
          <w:p w14:paraId="07124DBE">
            <w:pPr>
              <w:spacing w:line="240" w:lineRule="atLeast"/>
              <w:rPr>
                <w:rFonts w:ascii="宋体" w:hAnsi="宋体" w:eastAsia="宋体" w:cs="宋体"/>
                <w:color w:val="auto"/>
                <w:szCs w:val="21"/>
              </w:rPr>
            </w:pPr>
            <w:r>
              <w:rPr>
                <w:rFonts w:hint="eastAsia" w:ascii="宋体" w:hAnsi="宋体" w:eastAsia="宋体" w:cs="宋体"/>
                <w:color w:val="auto"/>
                <w:szCs w:val="21"/>
              </w:rPr>
              <w:t>1.采购文件及其澄清文件、响应文件和承诺是本合同不可分割的部分。</w:t>
            </w:r>
          </w:p>
          <w:p w14:paraId="3F598B13">
            <w:pPr>
              <w:spacing w:line="240" w:lineRule="atLeast"/>
              <w:rPr>
                <w:rFonts w:ascii="宋体" w:hAnsi="宋体" w:eastAsia="宋体" w:cs="宋体"/>
                <w:color w:val="auto"/>
                <w:szCs w:val="21"/>
              </w:rPr>
            </w:pPr>
            <w:r>
              <w:rPr>
                <w:rFonts w:hint="eastAsia" w:ascii="宋体" w:hAnsi="宋体" w:eastAsia="宋体" w:cs="宋体"/>
                <w:color w:val="auto"/>
                <w:szCs w:val="21"/>
              </w:rPr>
              <w:t>2.本合同如发生争议由双方协商解决，协商不成向需方所在人民法院</w:t>
            </w:r>
            <w:r>
              <w:rPr>
                <w:rFonts w:hint="eastAsia" w:ascii="宋体" w:hAnsi="宋体" w:eastAsia="宋体" w:cs="宋体"/>
                <w:color w:val="auto"/>
                <w:szCs w:val="21"/>
                <w:lang w:eastAsia="zh-CN"/>
              </w:rPr>
              <w:t>提起</w:t>
            </w:r>
            <w:r>
              <w:rPr>
                <w:rFonts w:hint="eastAsia" w:ascii="宋体" w:hAnsi="宋体" w:eastAsia="宋体" w:cs="宋体"/>
                <w:color w:val="auto"/>
                <w:szCs w:val="21"/>
              </w:rPr>
              <w:t>诉讼。</w:t>
            </w:r>
          </w:p>
          <w:p w14:paraId="3A2163EF">
            <w:pPr>
              <w:spacing w:line="240" w:lineRule="atLeast"/>
              <w:rPr>
                <w:rFonts w:ascii="宋体" w:hAnsi="宋体" w:eastAsia="宋体" w:cs="宋体"/>
                <w:color w:val="auto"/>
                <w:szCs w:val="21"/>
              </w:rPr>
            </w:pPr>
            <w:r>
              <w:rPr>
                <w:rFonts w:hint="eastAsia" w:ascii="宋体" w:hAnsi="宋体" w:eastAsia="宋体" w:cs="宋体"/>
                <w:color w:val="auto"/>
                <w:szCs w:val="21"/>
              </w:rPr>
              <w:t>3.本合同一式__份， 需方__份，供方__份，具同等法律效力。</w:t>
            </w:r>
          </w:p>
          <w:p w14:paraId="044E22D3">
            <w:pPr>
              <w:spacing w:line="240" w:lineRule="atLeast"/>
              <w:rPr>
                <w:rFonts w:ascii="宋体" w:hAnsi="宋体" w:eastAsia="宋体" w:cs="宋体"/>
                <w:color w:val="auto"/>
                <w:szCs w:val="21"/>
              </w:rPr>
            </w:pPr>
            <w:r>
              <w:rPr>
                <w:rFonts w:hint="eastAsia" w:ascii="宋体" w:hAnsi="宋体" w:eastAsia="宋体" w:cs="宋体"/>
                <w:color w:val="auto"/>
                <w:szCs w:val="21"/>
              </w:rPr>
              <w:t>4.其他：</w:t>
            </w:r>
          </w:p>
        </w:tc>
      </w:tr>
      <w:tr w14:paraId="2ED4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65BA238E">
            <w:pPr>
              <w:spacing w:line="240" w:lineRule="atLeast"/>
              <w:rPr>
                <w:rFonts w:ascii="宋体" w:hAnsi="宋体" w:eastAsia="宋体" w:cs="宋体"/>
                <w:color w:val="auto"/>
                <w:szCs w:val="21"/>
              </w:rPr>
            </w:pPr>
            <w:r>
              <w:rPr>
                <w:rFonts w:hint="eastAsia" w:ascii="宋体" w:hAnsi="宋体" w:eastAsia="宋体" w:cs="宋体"/>
                <w:color w:val="auto"/>
                <w:szCs w:val="21"/>
              </w:rPr>
              <w:t>需方：</w:t>
            </w:r>
          </w:p>
          <w:p w14:paraId="4337AF3C">
            <w:pPr>
              <w:spacing w:line="240" w:lineRule="atLeast"/>
              <w:rPr>
                <w:rFonts w:ascii="宋体" w:hAnsi="宋体" w:eastAsia="宋体" w:cs="宋体"/>
                <w:color w:val="auto"/>
                <w:szCs w:val="21"/>
              </w:rPr>
            </w:pPr>
            <w:r>
              <w:rPr>
                <w:rFonts w:hint="eastAsia" w:ascii="宋体" w:hAnsi="宋体" w:eastAsia="宋体" w:cs="宋体"/>
                <w:color w:val="auto"/>
                <w:szCs w:val="21"/>
              </w:rPr>
              <w:t>地址：</w:t>
            </w:r>
          </w:p>
          <w:p w14:paraId="03680132">
            <w:pPr>
              <w:spacing w:line="240" w:lineRule="atLeast"/>
              <w:rPr>
                <w:rFonts w:ascii="宋体" w:hAnsi="宋体" w:eastAsia="宋体" w:cs="宋体"/>
                <w:color w:val="auto"/>
                <w:szCs w:val="21"/>
              </w:rPr>
            </w:pPr>
            <w:r>
              <w:rPr>
                <w:rFonts w:hint="eastAsia" w:ascii="宋体" w:hAnsi="宋体" w:eastAsia="宋体" w:cs="宋体"/>
                <w:color w:val="auto"/>
                <w:szCs w:val="21"/>
              </w:rPr>
              <w:t>联系电话：</w:t>
            </w:r>
          </w:p>
          <w:p w14:paraId="129F7A78">
            <w:pPr>
              <w:spacing w:line="240" w:lineRule="atLeast"/>
              <w:rPr>
                <w:rFonts w:ascii="宋体" w:hAnsi="宋体" w:eastAsia="宋体" w:cs="宋体"/>
                <w:color w:val="auto"/>
                <w:szCs w:val="21"/>
              </w:rPr>
            </w:pPr>
            <w:r>
              <w:rPr>
                <w:rFonts w:hint="eastAsia" w:ascii="宋体" w:hAnsi="宋体" w:eastAsia="宋体" w:cs="宋体"/>
                <w:color w:val="auto"/>
                <w:szCs w:val="21"/>
              </w:rPr>
              <w:t>授权代表：</w:t>
            </w:r>
          </w:p>
        </w:tc>
        <w:tc>
          <w:tcPr>
            <w:tcW w:w="4984" w:type="dxa"/>
            <w:gridSpan w:val="5"/>
          </w:tcPr>
          <w:p w14:paraId="76B812D0">
            <w:pPr>
              <w:spacing w:line="240" w:lineRule="atLeast"/>
              <w:rPr>
                <w:rFonts w:ascii="宋体" w:hAnsi="宋体" w:eastAsia="宋体" w:cs="宋体"/>
                <w:color w:val="auto"/>
                <w:szCs w:val="21"/>
              </w:rPr>
            </w:pPr>
            <w:r>
              <w:rPr>
                <w:rFonts w:hint="eastAsia" w:ascii="宋体" w:hAnsi="宋体" w:eastAsia="宋体" w:cs="宋体"/>
                <w:color w:val="auto"/>
                <w:szCs w:val="21"/>
              </w:rPr>
              <w:t>供方：</w:t>
            </w:r>
          </w:p>
          <w:p w14:paraId="436A92A3">
            <w:pPr>
              <w:spacing w:line="240" w:lineRule="atLeast"/>
              <w:rPr>
                <w:rFonts w:ascii="宋体" w:hAnsi="宋体" w:eastAsia="宋体" w:cs="宋体"/>
                <w:color w:val="auto"/>
                <w:szCs w:val="21"/>
              </w:rPr>
            </w:pPr>
            <w:r>
              <w:rPr>
                <w:rFonts w:hint="eastAsia" w:ascii="宋体" w:hAnsi="宋体" w:eastAsia="宋体" w:cs="宋体"/>
                <w:color w:val="auto"/>
                <w:szCs w:val="21"/>
              </w:rPr>
              <w:t>地址：</w:t>
            </w:r>
          </w:p>
          <w:p w14:paraId="2BB213EA">
            <w:pPr>
              <w:spacing w:line="240" w:lineRule="atLeast"/>
              <w:rPr>
                <w:rFonts w:ascii="宋体" w:hAnsi="宋体" w:eastAsia="宋体" w:cs="宋体"/>
                <w:color w:val="auto"/>
                <w:szCs w:val="21"/>
              </w:rPr>
            </w:pPr>
            <w:r>
              <w:rPr>
                <w:rFonts w:hint="eastAsia" w:ascii="宋体" w:hAnsi="宋体" w:eastAsia="宋体" w:cs="宋体"/>
                <w:color w:val="auto"/>
                <w:szCs w:val="21"/>
              </w:rPr>
              <w:t>电话：</w:t>
            </w:r>
          </w:p>
          <w:p w14:paraId="12A7170F">
            <w:pPr>
              <w:spacing w:line="240" w:lineRule="atLeast"/>
              <w:rPr>
                <w:rFonts w:ascii="宋体" w:hAnsi="宋体" w:eastAsia="宋体" w:cs="宋体"/>
                <w:color w:val="auto"/>
                <w:szCs w:val="21"/>
              </w:rPr>
            </w:pPr>
            <w:r>
              <w:rPr>
                <w:rFonts w:hint="eastAsia" w:ascii="宋体" w:hAnsi="宋体" w:eastAsia="宋体" w:cs="宋体"/>
                <w:color w:val="auto"/>
                <w:szCs w:val="21"/>
              </w:rPr>
              <w:t>传真：</w:t>
            </w:r>
          </w:p>
          <w:p w14:paraId="7DA57E11">
            <w:pPr>
              <w:spacing w:line="240" w:lineRule="atLeast"/>
              <w:rPr>
                <w:rFonts w:ascii="宋体" w:hAnsi="宋体" w:eastAsia="宋体" w:cs="宋体"/>
                <w:color w:val="auto"/>
                <w:szCs w:val="21"/>
              </w:rPr>
            </w:pPr>
            <w:r>
              <w:rPr>
                <w:rFonts w:hint="eastAsia" w:ascii="宋体" w:hAnsi="宋体" w:eastAsia="宋体" w:cs="宋体"/>
                <w:color w:val="auto"/>
                <w:szCs w:val="21"/>
              </w:rPr>
              <w:t>开户银行：</w:t>
            </w:r>
          </w:p>
          <w:p w14:paraId="73CBE2A4">
            <w:pPr>
              <w:spacing w:line="240" w:lineRule="atLeast"/>
              <w:rPr>
                <w:rFonts w:ascii="宋体" w:hAnsi="宋体" w:eastAsia="宋体" w:cs="宋体"/>
                <w:color w:val="auto"/>
                <w:szCs w:val="21"/>
              </w:rPr>
            </w:pPr>
            <w:r>
              <w:rPr>
                <w:rFonts w:hint="eastAsia" w:ascii="宋体" w:hAnsi="宋体" w:eastAsia="宋体" w:cs="宋体"/>
                <w:color w:val="auto"/>
                <w:szCs w:val="21"/>
              </w:rPr>
              <w:t>账号：</w:t>
            </w:r>
          </w:p>
          <w:p w14:paraId="005BCBD9">
            <w:pPr>
              <w:spacing w:line="240" w:lineRule="atLeast"/>
              <w:rPr>
                <w:rFonts w:ascii="宋体" w:hAnsi="宋体" w:eastAsia="宋体" w:cs="宋体"/>
                <w:color w:val="auto"/>
                <w:szCs w:val="21"/>
              </w:rPr>
            </w:pPr>
            <w:r>
              <w:rPr>
                <w:rFonts w:hint="eastAsia" w:ascii="宋体" w:hAnsi="宋体" w:eastAsia="宋体" w:cs="宋体"/>
                <w:color w:val="auto"/>
                <w:szCs w:val="21"/>
              </w:rPr>
              <w:t>授权代表：</w:t>
            </w:r>
          </w:p>
          <w:p w14:paraId="1E77108D">
            <w:pPr>
              <w:widowControl/>
              <w:spacing w:line="240" w:lineRule="atLeast"/>
              <w:jc w:val="left"/>
              <w:rPr>
                <w:rFonts w:ascii="宋体" w:hAnsi="宋体" w:eastAsia="宋体" w:cs="宋体"/>
                <w:color w:val="auto"/>
                <w:szCs w:val="21"/>
              </w:rPr>
            </w:pPr>
            <w:r>
              <w:rPr>
                <w:rFonts w:hint="eastAsia" w:ascii="宋体" w:hAnsi="宋体" w:eastAsia="宋体" w:cs="宋体"/>
                <w:color w:val="auto"/>
                <w:szCs w:val="21"/>
              </w:rPr>
              <w:t>（本栏请用计算机打印以便于准确付款）</w:t>
            </w:r>
          </w:p>
        </w:tc>
      </w:tr>
      <w:tr w14:paraId="473E1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42F8E2F3">
            <w:pPr>
              <w:spacing w:line="240" w:lineRule="atLeast"/>
              <w:rPr>
                <w:rFonts w:ascii="宋体" w:hAnsi="宋体" w:eastAsia="宋体" w:cs="宋体"/>
                <w:color w:val="auto"/>
                <w:szCs w:val="21"/>
              </w:rPr>
            </w:pPr>
            <w:r>
              <w:rPr>
                <w:rFonts w:hint="eastAsia" w:ascii="宋体" w:hAnsi="宋体" w:eastAsia="宋体" w:cs="宋体"/>
                <w:color w:val="auto"/>
                <w:szCs w:val="21"/>
              </w:rPr>
              <w:t>备注：</w:t>
            </w:r>
          </w:p>
          <w:p w14:paraId="7927C94E">
            <w:pPr>
              <w:spacing w:line="240" w:lineRule="atLeast"/>
              <w:rPr>
                <w:rFonts w:ascii="宋体" w:hAnsi="宋体" w:eastAsia="宋体" w:cs="宋体"/>
                <w:color w:val="auto"/>
                <w:szCs w:val="21"/>
              </w:rPr>
            </w:pPr>
          </w:p>
          <w:p w14:paraId="1D90FE36">
            <w:pPr>
              <w:spacing w:line="240" w:lineRule="atLeast"/>
              <w:rPr>
                <w:rFonts w:ascii="宋体" w:hAnsi="宋体" w:eastAsia="宋体" w:cs="宋体"/>
                <w:color w:val="auto"/>
                <w:szCs w:val="21"/>
              </w:rPr>
            </w:pPr>
          </w:p>
        </w:tc>
      </w:tr>
    </w:tbl>
    <w:p w14:paraId="4DE4EFF2">
      <w:pPr>
        <w:ind w:right="38" w:firstLine="480"/>
        <w:rPr>
          <w:rFonts w:ascii="宋体" w:hAnsi="宋体" w:eastAsia="宋体" w:cs="宋体"/>
          <w:color w:val="auto"/>
          <w:sz w:val="24"/>
          <w:szCs w:val="20"/>
        </w:rPr>
      </w:pPr>
      <w:r>
        <w:rPr>
          <w:rFonts w:hint="eastAsia" w:ascii="宋体" w:hAnsi="宋体" w:eastAsia="宋体" w:cs="宋体"/>
          <w:color w:val="auto"/>
          <w:sz w:val="24"/>
          <w:szCs w:val="20"/>
        </w:rPr>
        <w:t>签约时间：年   月   日                        签约地点：</w:t>
      </w:r>
    </w:p>
    <w:p w14:paraId="77CCCEFE">
      <w:pPr>
        <w:rPr>
          <w:rFonts w:ascii="宋体" w:hAnsi="宋体" w:eastAsia="宋体" w:cs="宋体"/>
          <w:color w:val="auto"/>
          <w:sz w:val="24"/>
          <w:szCs w:val="20"/>
        </w:rPr>
      </w:pPr>
    </w:p>
    <w:p w14:paraId="71B92473">
      <w:pPr>
        <w:bidi w:val="0"/>
        <w:rPr>
          <w:rFonts w:hint="eastAsia"/>
          <w:lang w:val="en-US" w:eastAsia="zh-CN"/>
        </w:rPr>
      </w:pPr>
    </w:p>
    <w:p w14:paraId="4095A668">
      <w:pPr>
        <w:bidi w:val="0"/>
        <w:rPr>
          <w:rFonts w:hint="eastAsia"/>
          <w:lang w:val="en-US" w:eastAsia="zh-CN"/>
        </w:rPr>
      </w:pPr>
    </w:p>
    <w:p w14:paraId="369AF739">
      <w:pPr>
        <w:bidi w:val="0"/>
        <w:rPr>
          <w:rFonts w:hint="eastAsia"/>
          <w:lang w:val="en-US" w:eastAsia="zh-CN"/>
        </w:rPr>
      </w:pPr>
    </w:p>
    <w:p w14:paraId="6BB38D86">
      <w:pPr>
        <w:bidi w:val="0"/>
        <w:rPr>
          <w:rFonts w:hint="eastAsia"/>
          <w:lang w:val="en-US" w:eastAsia="zh-CN"/>
        </w:rPr>
      </w:pPr>
    </w:p>
    <w:p w14:paraId="380A21B2">
      <w:pPr>
        <w:bidi w:val="0"/>
        <w:rPr>
          <w:rFonts w:hint="eastAsia"/>
          <w:lang w:val="en-US" w:eastAsia="zh-CN"/>
        </w:rPr>
      </w:pPr>
    </w:p>
    <w:p w14:paraId="576AC842">
      <w:pPr>
        <w:bidi w:val="0"/>
        <w:rPr>
          <w:rFonts w:hint="eastAsia"/>
          <w:lang w:val="en-US" w:eastAsia="zh-CN"/>
        </w:rPr>
      </w:pPr>
    </w:p>
    <w:p w14:paraId="405F87D8">
      <w:pPr>
        <w:bidi w:val="0"/>
        <w:rPr>
          <w:rFonts w:hint="eastAsia"/>
          <w:lang w:val="en-US" w:eastAsia="zh-CN"/>
        </w:rPr>
      </w:pPr>
    </w:p>
    <w:p w14:paraId="53F5D993">
      <w:pPr>
        <w:bidi w:val="0"/>
        <w:rPr>
          <w:rFonts w:hint="eastAsia"/>
          <w:lang w:val="en-US" w:eastAsia="zh-CN"/>
        </w:rPr>
      </w:pPr>
    </w:p>
    <w:p w14:paraId="4A8E1D84">
      <w:pPr>
        <w:bidi w:val="0"/>
        <w:rPr>
          <w:rFonts w:hint="eastAsia"/>
          <w:lang w:val="en-US" w:eastAsia="zh-CN"/>
        </w:rPr>
      </w:pPr>
    </w:p>
    <w:p w14:paraId="2E84187F">
      <w:pPr>
        <w:bidi w:val="0"/>
        <w:rPr>
          <w:rFonts w:hint="eastAsia"/>
          <w:lang w:val="en-US" w:eastAsia="zh-CN"/>
        </w:rPr>
      </w:pPr>
    </w:p>
    <w:p w14:paraId="2E92F06B">
      <w:pPr>
        <w:bidi w:val="0"/>
        <w:rPr>
          <w:rFonts w:hint="eastAsia"/>
          <w:lang w:val="en-US" w:eastAsia="zh-CN"/>
        </w:rPr>
      </w:pPr>
    </w:p>
    <w:p w14:paraId="0CCC62E1">
      <w:pPr>
        <w:bidi w:val="0"/>
        <w:rPr>
          <w:rFonts w:hint="eastAsia"/>
          <w:lang w:val="en-US" w:eastAsia="zh-CN"/>
        </w:rPr>
      </w:pPr>
    </w:p>
    <w:p w14:paraId="527E6AAE">
      <w:pPr>
        <w:bidi w:val="0"/>
        <w:rPr>
          <w:rFonts w:hint="eastAsia"/>
          <w:lang w:val="en-US" w:eastAsia="zh-CN"/>
        </w:rPr>
      </w:pPr>
    </w:p>
    <w:p w14:paraId="7F79D5D2">
      <w:pPr>
        <w:bidi w:val="0"/>
        <w:rPr>
          <w:rFonts w:hint="eastAsia"/>
          <w:lang w:val="en-US" w:eastAsia="zh-CN"/>
        </w:rPr>
      </w:pPr>
    </w:p>
    <w:p w14:paraId="753AE0A4">
      <w:pPr>
        <w:bidi w:val="0"/>
        <w:rPr>
          <w:rFonts w:hint="eastAsia"/>
          <w:lang w:val="en-US" w:eastAsia="zh-CN"/>
        </w:rPr>
      </w:pPr>
    </w:p>
    <w:p w14:paraId="1846911E">
      <w:pPr>
        <w:bidi w:val="0"/>
        <w:rPr>
          <w:rFonts w:hint="eastAsia"/>
          <w:lang w:val="en-US" w:eastAsia="zh-CN"/>
        </w:rPr>
      </w:pPr>
    </w:p>
    <w:p w14:paraId="08591A27">
      <w:pPr>
        <w:bidi w:val="0"/>
        <w:rPr>
          <w:rFonts w:hint="eastAsia"/>
          <w:lang w:val="en-US" w:eastAsia="zh-CN"/>
        </w:rPr>
      </w:pPr>
    </w:p>
    <w:p w14:paraId="1B7C0690">
      <w:pPr>
        <w:bidi w:val="0"/>
        <w:rPr>
          <w:rFonts w:hint="eastAsia"/>
          <w:lang w:val="en-US" w:eastAsia="zh-CN"/>
        </w:rPr>
      </w:pPr>
    </w:p>
    <w:p w14:paraId="34242AA9">
      <w:pPr>
        <w:bidi w:val="0"/>
        <w:rPr>
          <w:rFonts w:hint="eastAsia"/>
          <w:lang w:val="en-US" w:eastAsia="zh-CN"/>
        </w:rPr>
      </w:pPr>
    </w:p>
    <w:p w14:paraId="5A0E1F2F">
      <w:pPr>
        <w:bidi w:val="0"/>
        <w:rPr>
          <w:rFonts w:hint="eastAsia"/>
          <w:lang w:val="en-US" w:eastAsia="zh-CN"/>
        </w:rPr>
      </w:pPr>
    </w:p>
    <w:p w14:paraId="6E055035">
      <w:pPr>
        <w:bidi w:val="0"/>
        <w:rPr>
          <w:rFonts w:hint="eastAsia"/>
          <w:lang w:val="en-US" w:eastAsia="zh-CN"/>
        </w:rPr>
      </w:pPr>
    </w:p>
    <w:p w14:paraId="072F3FE3">
      <w:pPr>
        <w:bidi w:val="0"/>
        <w:rPr>
          <w:rFonts w:hint="eastAsia"/>
          <w:lang w:val="en-US" w:eastAsia="zh-CN"/>
        </w:rPr>
      </w:pPr>
    </w:p>
    <w:p w14:paraId="208C98DE">
      <w:pPr>
        <w:bidi w:val="0"/>
        <w:rPr>
          <w:rFonts w:hint="eastAsia"/>
          <w:lang w:val="en-US" w:eastAsia="zh-CN"/>
        </w:rPr>
      </w:pPr>
    </w:p>
    <w:p w14:paraId="43AA00ED">
      <w:pPr>
        <w:bidi w:val="0"/>
        <w:rPr>
          <w:rFonts w:hint="eastAsia"/>
          <w:lang w:val="en-US" w:eastAsia="zh-CN"/>
        </w:rPr>
      </w:pPr>
    </w:p>
    <w:p w14:paraId="7F31C661">
      <w:pPr>
        <w:bidi w:val="0"/>
        <w:rPr>
          <w:rFonts w:hint="eastAsia"/>
          <w:lang w:val="en-US" w:eastAsia="zh-CN"/>
        </w:rPr>
      </w:pPr>
    </w:p>
    <w:p w14:paraId="34FB8995">
      <w:pPr>
        <w:bidi w:val="0"/>
        <w:rPr>
          <w:rFonts w:hint="eastAsia"/>
          <w:lang w:val="en-US" w:eastAsia="zh-CN"/>
        </w:rPr>
      </w:pPr>
    </w:p>
    <w:p w14:paraId="3F17686A">
      <w:pPr>
        <w:bidi w:val="0"/>
        <w:rPr>
          <w:rFonts w:hint="eastAsia"/>
          <w:lang w:val="en-US" w:eastAsia="zh-CN"/>
        </w:rPr>
      </w:pPr>
    </w:p>
    <w:p w14:paraId="282DDBC4">
      <w:pPr>
        <w:bidi w:val="0"/>
        <w:rPr>
          <w:rFonts w:hint="eastAsia"/>
          <w:lang w:val="en-US" w:eastAsia="zh-CN"/>
        </w:rPr>
      </w:pPr>
    </w:p>
    <w:p w14:paraId="31BBE8DF">
      <w:pPr>
        <w:bidi w:val="0"/>
        <w:rPr>
          <w:rFonts w:hint="eastAsia"/>
          <w:lang w:val="en-US" w:eastAsia="zh-CN"/>
        </w:rPr>
      </w:pPr>
    </w:p>
    <w:p w14:paraId="6D640BF1">
      <w:pPr>
        <w:bidi w:val="0"/>
        <w:rPr>
          <w:rFonts w:hint="eastAsia"/>
          <w:lang w:val="en-US" w:eastAsia="zh-CN"/>
        </w:rPr>
      </w:pPr>
    </w:p>
    <w:p w14:paraId="64A2F24C">
      <w:pPr>
        <w:bidi w:val="0"/>
        <w:rPr>
          <w:rFonts w:hint="eastAsia"/>
          <w:lang w:val="en-US" w:eastAsia="zh-CN"/>
        </w:rPr>
      </w:pPr>
    </w:p>
    <w:p w14:paraId="5A673EE2">
      <w:pPr>
        <w:bidi w:val="0"/>
        <w:rPr>
          <w:rFonts w:hint="eastAsia"/>
          <w:lang w:val="en-US" w:eastAsia="zh-CN"/>
        </w:rPr>
      </w:pPr>
    </w:p>
    <w:p w14:paraId="7464BAF8">
      <w:pPr>
        <w:bidi w:val="0"/>
        <w:rPr>
          <w:rFonts w:hint="eastAsia"/>
          <w:lang w:val="en-US" w:eastAsia="zh-CN"/>
        </w:rPr>
      </w:pPr>
    </w:p>
    <w:p w14:paraId="34F9837D">
      <w:pPr>
        <w:bidi w:val="0"/>
        <w:rPr>
          <w:rFonts w:hint="eastAsia"/>
          <w:lang w:val="en-US" w:eastAsia="zh-CN"/>
        </w:rPr>
      </w:pPr>
    </w:p>
    <w:p w14:paraId="272B08C1">
      <w:pPr>
        <w:bidi w:val="0"/>
        <w:rPr>
          <w:rFonts w:hint="eastAsia"/>
          <w:lang w:val="en-US" w:eastAsia="zh-CN"/>
        </w:rPr>
      </w:pPr>
    </w:p>
    <w:p w14:paraId="63FC256A">
      <w:pPr>
        <w:bidi w:val="0"/>
        <w:rPr>
          <w:rFonts w:hint="eastAsia"/>
          <w:lang w:val="en-US" w:eastAsia="zh-CN"/>
        </w:rPr>
      </w:pPr>
    </w:p>
    <w:p w14:paraId="42A8F2DC">
      <w:pPr>
        <w:pStyle w:val="3"/>
        <w:bidi w:val="0"/>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第七篇 </w:t>
      </w:r>
      <w:bookmarkEnd w:id="175"/>
      <w:bookmarkEnd w:id="279"/>
      <w:r>
        <w:rPr>
          <w:rFonts w:hint="eastAsia" w:ascii="宋体" w:hAnsi="宋体" w:eastAsia="宋体" w:cs="宋体"/>
          <w:color w:val="auto"/>
          <w:highlight w:val="none"/>
          <w:lang w:val="en-US" w:eastAsia="zh-CN"/>
        </w:rPr>
        <w:t>响应文件格式</w:t>
      </w:r>
      <w:bookmarkEnd w:id="280"/>
      <w:bookmarkEnd w:id="281"/>
      <w:bookmarkEnd w:id="282"/>
      <w:bookmarkEnd w:id="283"/>
      <w:bookmarkEnd w:id="284"/>
      <w:bookmarkEnd w:id="385"/>
    </w:p>
    <w:p w14:paraId="65CAE8F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szCs w:val="24"/>
          <w:highlight w:val="none"/>
        </w:rPr>
      </w:pPr>
      <w:bookmarkStart w:id="386" w:name="_Toc15251"/>
      <w:bookmarkStart w:id="387" w:name="_Toc30939"/>
      <w:bookmarkStart w:id="388" w:name="_Toc22811"/>
      <w:bookmarkStart w:id="389" w:name="_Toc9790"/>
      <w:r>
        <w:rPr>
          <w:rFonts w:hint="eastAsia" w:ascii="宋体" w:hAnsi="宋体" w:eastAsia="宋体" w:cs="宋体"/>
          <w:b/>
          <w:bCs/>
          <w:color w:val="auto"/>
          <w:sz w:val="24"/>
          <w:szCs w:val="24"/>
          <w:highlight w:val="none"/>
        </w:rPr>
        <w:t>一、经济</w:t>
      </w:r>
      <w:bookmarkEnd w:id="386"/>
      <w:bookmarkEnd w:id="387"/>
      <w:bookmarkEnd w:id="388"/>
      <w:bookmarkEnd w:id="389"/>
      <w:r>
        <w:rPr>
          <w:rFonts w:hint="eastAsia" w:ascii="宋体" w:hAnsi="宋体" w:eastAsia="宋体" w:cs="宋体"/>
          <w:b/>
          <w:bCs/>
          <w:color w:val="auto"/>
          <w:sz w:val="24"/>
          <w:szCs w:val="24"/>
          <w:highlight w:val="none"/>
        </w:rPr>
        <w:t>文件</w:t>
      </w:r>
    </w:p>
    <w:p w14:paraId="59A4E467">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（一）竞争性比选报价函</w:t>
      </w:r>
      <w:bookmarkStart w:id="390" w:name="_Toc26419"/>
      <w:bookmarkStart w:id="391" w:name="_Toc18890"/>
      <w:bookmarkStart w:id="392" w:name="_Toc26002"/>
      <w:bookmarkStart w:id="393" w:name="_Toc254"/>
    </w:p>
    <w:p w14:paraId="6BA9D69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二、</w:t>
      </w:r>
      <w:bookmarkEnd w:id="390"/>
      <w:bookmarkEnd w:id="391"/>
      <w:bookmarkEnd w:id="392"/>
      <w:bookmarkEnd w:id="393"/>
      <w:r>
        <w:rPr>
          <w:rFonts w:hint="eastAsia" w:ascii="宋体" w:hAnsi="宋体" w:eastAsia="宋体" w:cs="宋体"/>
          <w:b/>
          <w:bCs/>
          <w:color w:val="auto"/>
          <w:sz w:val="24"/>
          <w:szCs w:val="24"/>
          <w:highlight w:val="none"/>
          <w:lang w:val="en-US" w:eastAsia="zh-CN"/>
        </w:rPr>
        <w:t>服务部分</w:t>
      </w:r>
    </w:p>
    <w:p w14:paraId="5F25EEF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）服务响应偏离表</w:t>
      </w:r>
    </w:p>
    <w:p w14:paraId="6699740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其他资料</w:t>
      </w:r>
    </w:p>
    <w:p w14:paraId="2757E0C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、商务</w:t>
      </w:r>
      <w:r>
        <w:rPr>
          <w:rFonts w:hint="eastAsia" w:ascii="宋体" w:hAnsi="宋体" w:eastAsia="宋体" w:cs="宋体"/>
          <w:b/>
          <w:bCs/>
          <w:color w:val="auto"/>
          <w:sz w:val="24"/>
          <w:szCs w:val="24"/>
          <w:highlight w:val="none"/>
          <w:lang w:val="en-US" w:eastAsia="zh-CN"/>
        </w:rPr>
        <w:t>部分</w:t>
      </w:r>
    </w:p>
    <w:p w14:paraId="5A3A443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2EFA4CD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（二）其它优惠服务承诺</w:t>
      </w:r>
    </w:p>
    <w:p w14:paraId="64BDC702">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（三）其他商务资料</w:t>
      </w:r>
    </w:p>
    <w:p w14:paraId="0071954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资格条件</w:t>
      </w:r>
    </w:p>
    <w:p w14:paraId="763F7EC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5E4310C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07BFDC3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14:paraId="5AA6E1B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（四）基本资格条件承诺函（格式）</w:t>
      </w:r>
    </w:p>
    <w:p w14:paraId="755D0BA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（五）特定资格条件（如有）</w:t>
      </w:r>
    </w:p>
    <w:p w14:paraId="1BBFD98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szCs w:val="24"/>
          <w:highlight w:val="none"/>
        </w:rPr>
      </w:pPr>
      <w:bookmarkStart w:id="394" w:name="_Toc19746"/>
      <w:bookmarkStart w:id="395" w:name="_Toc8893"/>
      <w:bookmarkStart w:id="396" w:name="_Toc28431"/>
      <w:bookmarkStart w:id="397" w:name="_Toc29564"/>
      <w:r>
        <w:rPr>
          <w:rFonts w:hint="eastAsia" w:ascii="宋体" w:hAnsi="宋体" w:eastAsia="宋体" w:cs="宋体"/>
          <w:b/>
          <w:bCs/>
          <w:color w:val="auto"/>
          <w:sz w:val="24"/>
          <w:szCs w:val="24"/>
          <w:highlight w:val="none"/>
          <w:lang w:val="en-US"/>
        </w:rPr>
        <w:t>五</w:t>
      </w:r>
      <w:r>
        <w:rPr>
          <w:rFonts w:hint="eastAsia" w:ascii="宋体" w:hAnsi="宋体" w:eastAsia="宋体" w:cs="宋体"/>
          <w:b/>
          <w:bCs/>
          <w:color w:val="auto"/>
          <w:sz w:val="24"/>
          <w:szCs w:val="24"/>
          <w:highlight w:val="none"/>
        </w:rPr>
        <w:t>、</w:t>
      </w:r>
      <w:bookmarkEnd w:id="394"/>
      <w:bookmarkEnd w:id="395"/>
      <w:bookmarkEnd w:id="396"/>
      <w:r>
        <w:rPr>
          <w:rFonts w:hint="eastAsia" w:ascii="宋体" w:hAnsi="宋体" w:eastAsia="宋体" w:cs="宋体"/>
          <w:b/>
          <w:bCs/>
          <w:color w:val="auto"/>
          <w:sz w:val="24"/>
          <w:szCs w:val="24"/>
          <w:highlight w:val="none"/>
        </w:rPr>
        <w:t>其他</w:t>
      </w:r>
      <w:bookmarkEnd w:id="397"/>
      <w:r>
        <w:rPr>
          <w:rFonts w:hint="eastAsia" w:ascii="宋体" w:hAnsi="宋体" w:eastAsia="宋体" w:cs="宋体"/>
          <w:b/>
          <w:bCs/>
          <w:color w:val="auto"/>
          <w:sz w:val="24"/>
          <w:szCs w:val="24"/>
          <w:highlight w:val="none"/>
        </w:rPr>
        <w:t>资料</w:t>
      </w:r>
    </w:p>
    <w:p w14:paraId="54857EF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）其他与项目有关的资料</w:t>
      </w:r>
    </w:p>
    <w:p w14:paraId="51943D81">
      <w:pPr>
        <w:pStyle w:val="16"/>
        <w:rPr>
          <w:rFonts w:hint="eastAsia" w:ascii="宋体" w:hAnsi="宋体" w:eastAsia="宋体" w:cs="宋体"/>
          <w:color w:val="auto"/>
          <w:highlight w:val="none"/>
        </w:rPr>
      </w:pPr>
    </w:p>
    <w:p w14:paraId="3C83FE87">
      <w:pPr>
        <w:pStyle w:val="16"/>
        <w:rPr>
          <w:rFonts w:hint="eastAsia" w:ascii="宋体" w:hAnsi="宋体" w:eastAsia="宋体" w:cs="宋体"/>
          <w:b/>
          <w:bCs/>
          <w:color w:val="auto"/>
          <w:highlight w:val="none"/>
        </w:rPr>
      </w:pPr>
    </w:p>
    <w:p w14:paraId="42B083A4">
      <w:pPr>
        <w:rPr>
          <w:rFonts w:hint="eastAsia" w:ascii="宋体" w:hAnsi="宋体" w:eastAsia="宋体" w:cs="宋体"/>
          <w:b/>
          <w:bCs/>
          <w:color w:val="auto"/>
          <w:highlight w:val="none"/>
        </w:rPr>
      </w:pPr>
    </w:p>
    <w:p w14:paraId="52C96058">
      <w:pPr>
        <w:rPr>
          <w:rFonts w:hint="eastAsia" w:ascii="宋体" w:hAnsi="宋体" w:eastAsia="宋体" w:cs="宋体"/>
          <w:b/>
          <w:color w:val="auto"/>
          <w:szCs w:val="28"/>
          <w:highlight w:val="none"/>
        </w:rPr>
      </w:pPr>
      <w:bookmarkStart w:id="398" w:name="_Toc13547"/>
      <w:bookmarkStart w:id="399" w:name="_Toc25659"/>
      <w:bookmarkStart w:id="400" w:name="_Toc27943"/>
      <w:bookmarkStart w:id="401" w:name="_Toc29821"/>
      <w:bookmarkStart w:id="402" w:name="_Toc75793540"/>
      <w:bookmarkStart w:id="403" w:name="_Toc106030417"/>
      <w:bookmarkStart w:id="404" w:name="_Toc14552"/>
      <w:bookmarkStart w:id="405" w:name="_Toc15893"/>
      <w:bookmarkStart w:id="406" w:name="_Toc10124"/>
      <w:bookmarkStart w:id="407" w:name="_Toc31914"/>
      <w:bookmarkStart w:id="408" w:name="_Toc23361"/>
      <w:bookmarkStart w:id="409" w:name="_Toc429584884"/>
      <w:bookmarkStart w:id="410" w:name="_Toc27612"/>
      <w:bookmarkStart w:id="411" w:name="_Toc21561"/>
      <w:bookmarkStart w:id="412" w:name="_Toc31828"/>
      <w:bookmarkStart w:id="413" w:name="_Toc14568"/>
      <w:bookmarkStart w:id="414" w:name="_Toc17074"/>
      <w:r>
        <w:rPr>
          <w:rFonts w:hint="eastAsia" w:ascii="宋体" w:hAnsi="宋体" w:eastAsia="宋体" w:cs="宋体"/>
          <w:b/>
          <w:color w:val="auto"/>
          <w:szCs w:val="28"/>
          <w:highlight w:val="none"/>
        </w:rPr>
        <w:br w:type="page"/>
      </w:r>
    </w:p>
    <w:p w14:paraId="3CA72AA8">
      <w:pPr>
        <w:pStyle w:val="4"/>
        <w:keepNext/>
        <w:keepLines/>
        <w:pageBreakBefore w:val="0"/>
        <w:widowControl w:val="0"/>
        <w:kinsoku/>
        <w:wordWrap/>
        <w:overflowPunct/>
        <w:topLinePunct w:val="0"/>
        <w:autoSpaceDE/>
        <w:autoSpaceDN/>
        <w:bidi w:val="0"/>
        <w:adjustRightInd/>
        <w:snapToGrid/>
        <w:spacing w:before="0" w:beforeLines="0"/>
        <w:ind w:firstLine="562"/>
        <w:textAlignment w:val="auto"/>
        <w:rPr>
          <w:rFonts w:hint="eastAsia" w:ascii="宋体" w:hAnsi="宋体" w:eastAsia="宋体" w:cs="宋体"/>
          <w:color w:val="auto"/>
          <w:highlight w:val="none"/>
        </w:rPr>
      </w:pPr>
      <w:bookmarkStart w:id="415" w:name="_Toc30829"/>
      <w:bookmarkStart w:id="416" w:name="_Toc9105"/>
      <w:bookmarkStart w:id="417" w:name="_Toc23145"/>
      <w:bookmarkStart w:id="418" w:name="_Toc11398"/>
      <w:bookmarkStart w:id="419" w:name="_Toc27722"/>
      <w:bookmarkStart w:id="420" w:name="_Toc894"/>
      <w:bookmarkStart w:id="421" w:name="_Toc866"/>
      <w:r>
        <w:rPr>
          <w:rFonts w:hint="eastAsia" w:ascii="宋体" w:hAnsi="宋体" w:eastAsia="宋体" w:cs="宋体"/>
          <w:color w:val="auto"/>
          <w:highlight w:val="none"/>
        </w:rPr>
        <w:t>一、经济文件</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5"/>
      <w:bookmarkEnd w:id="416"/>
      <w:bookmarkEnd w:id="417"/>
      <w:bookmarkEnd w:id="418"/>
      <w:bookmarkEnd w:id="419"/>
      <w:bookmarkEnd w:id="420"/>
      <w:bookmarkEnd w:id="421"/>
    </w:p>
    <w:bookmarkEnd w:id="414"/>
    <w:p w14:paraId="1A7FB9F5">
      <w:pPr>
        <w:tabs>
          <w:tab w:val="left" w:pos="6300"/>
        </w:tabs>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（一）竞争性比选报价函</w:t>
      </w:r>
    </w:p>
    <w:p w14:paraId="6A3292B4">
      <w:pPr>
        <w:tabs>
          <w:tab w:val="left" w:pos="6300"/>
        </w:tabs>
        <w:snapToGrid w:val="0"/>
        <w:spacing w:line="440" w:lineRule="exact"/>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t>竞争性比选报价函</w:t>
      </w:r>
    </w:p>
    <w:p w14:paraId="29DB3F40">
      <w:pPr>
        <w:tabs>
          <w:tab w:val="left" w:pos="6300"/>
        </w:tabs>
        <w:snapToGrid w:val="0"/>
        <w:spacing w:line="440" w:lineRule="exact"/>
        <w:rPr>
          <w:rFonts w:hint="eastAsia" w:ascii="宋体" w:hAnsi="宋体" w:eastAsia="宋体" w:cs="宋体"/>
          <w:sz w:val="24"/>
          <w:szCs w:val="24"/>
        </w:rPr>
      </w:pPr>
      <w:r>
        <w:rPr>
          <w:rFonts w:hint="eastAsia" w:ascii="宋体" w:hAnsi="宋体" w:eastAsia="宋体" w:cs="宋体"/>
          <w:sz w:val="24"/>
          <w:szCs w:val="24"/>
          <w:u w:val="single"/>
        </w:rPr>
        <w:t>（采购单位名称）</w:t>
      </w:r>
      <w:r>
        <w:rPr>
          <w:rFonts w:hint="eastAsia" w:ascii="宋体" w:hAnsi="宋体" w:eastAsia="宋体" w:cs="宋体"/>
          <w:sz w:val="24"/>
          <w:szCs w:val="24"/>
        </w:rPr>
        <w:t>：</w:t>
      </w:r>
    </w:p>
    <w:p w14:paraId="346DBF5B">
      <w:pPr>
        <w:tabs>
          <w:tab w:val="left" w:pos="6300"/>
        </w:tabs>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我方收到____________________________（项目名称）的竞争性比选文件，经详细研究，决定参加该项目的比选。</w:t>
      </w:r>
    </w:p>
    <w:p w14:paraId="3104CF99">
      <w:pPr>
        <w:tabs>
          <w:tab w:val="left" w:pos="6300"/>
        </w:tabs>
        <w:snapToGrid w:val="0"/>
        <w:spacing w:line="440" w:lineRule="exact"/>
        <w:ind w:firstLine="480" w:firstLineChars="200"/>
        <w:rPr>
          <w:rFonts w:hint="eastAsia" w:ascii="宋体" w:hAnsi="宋体" w:eastAsia="宋体" w:cs="宋体"/>
          <w:color w:val="auto"/>
          <w:sz w:val="24"/>
          <w:szCs w:val="24"/>
          <w:u w:val="none"/>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愿意按照竞争性比选文件中的一切要求，提供本项目</w:t>
      </w:r>
      <w:r>
        <w:rPr>
          <w:rFonts w:hint="eastAsia" w:ascii="宋体" w:hAnsi="宋体" w:cs="宋体"/>
          <w:color w:val="auto"/>
          <w:sz w:val="24"/>
          <w:szCs w:val="24"/>
          <w:lang w:val="en-US" w:eastAsia="zh-CN"/>
        </w:rPr>
        <w:t>采购内容</w:t>
      </w:r>
      <w:r>
        <w:rPr>
          <w:rFonts w:hint="eastAsia" w:ascii="宋体" w:hAnsi="宋体" w:eastAsia="宋体" w:cs="宋体"/>
          <w:color w:val="auto"/>
          <w:sz w:val="24"/>
          <w:szCs w:val="24"/>
          <w:lang w:val="en-US" w:eastAsia="zh-CN"/>
        </w:rPr>
        <w:t>及</w:t>
      </w:r>
      <w:r>
        <w:rPr>
          <w:rFonts w:hint="eastAsia" w:ascii="宋体" w:hAnsi="宋体" w:eastAsia="宋体" w:cs="宋体"/>
          <w:color w:val="auto"/>
          <w:sz w:val="24"/>
          <w:szCs w:val="24"/>
        </w:rPr>
        <w:t>服务，比选报价</w:t>
      </w:r>
      <w:r>
        <w:rPr>
          <w:rFonts w:hint="eastAsia" w:ascii="宋体" w:hAnsi="宋体" w:cs="宋体"/>
          <w:color w:val="auto"/>
          <w:sz w:val="24"/>
          <w:szCs w:val="24"/>
          <w:lang w:val="en-US" w:eastAsia="zh-CN"/>
        </w:rPr>
        <w:t>为人民币</w:t>
      </w:r>
      <w:r>
        <w:rPr>
          <w:rFonts w:hint="eastAsia" w:ascii="宋体" w:hAnsi="宋体" w:eastAsia="宋体" w:cs="宋体"/>
          <w:color w:val="auto"/>
          <w:sz w:val="24"/>
          <w:szCs w:val="24"/>
        </w:rPr>
        <w:t>大写：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人民币</w:t>
      </w:r>
      <w:r>
        <w:rPr>
          <w:rFonts w:hint="eastAsia" w:ascii="宋体" w:hAnsi="宋体" w:eastAsia="宋体" w:cs="宋体"/>
          <w:color w:val="auto"/>
          <w:sz w:val="24"/>
          <w:szCs w:val="24"/>
        </w:rPr>
        <w:t>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rPr>
        <w:t>。</w:t>
      </w:r>
    </w:p>
    <w:p w14:paraId="55F8F11A">
      <w:pPr>
        <w:tabs>
          <w:tab w:val="left" w:pos="6300"/>
        </w:tabs>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2.我方现提交的响应文件为：</w:t>
      </w:r>
      <w:r>
        <w:rPr>
          <w:rFonts w:hint="eastAsia" w:ascii="宋体" w:hAnsi="宋体" w:eastAsia="宋体" w:cs="宋体"/>
          <w:color w:val="auto"/>
          <w:sz w:val="24"/>
          <w:szCs w:val="24"/>
          <w:lang w:eastAsia="zh-CN"/>
        </w:rPr>
        <w:t>网上响应文件电子文档一份，</w:t>
      </w:r>
      <w:r>
        <w:rPr>
          <w:rFonts w:hint="eastAsia" w:ascii="宋体" w:hAnsi="宋体" w:eastAsia="宋体" w:cs="宋体"/>
          <w:color w:val="auto"/>
          <w:sz w:val="24"/>
          <w:szCs w:val="24"/>
          <w:lang w:val="en-US" w:eastAsia="zh-CN"/>
        </w:rPr>
        <w:t>线下递交纸质响应文件两份</w:t>
      </w:r>
      <w:r>
        <w:rPr>
          <w:rFonts w:hint="eastAsia" w:ascii="宋体" w:hAnsi="宋体" w:eastAsia="宋体" w:cs="宋体"/>
          <w:color w:val="auto"/>
          <w:sz w:val="24"/>
          <w:szCs w:val="24"/>
          <w:lang w:eastAsia="zh-CN"/>
        </w:rPr>
        <w:t>。</w:t>
      </w:r>
    </w:p>
    <w:p w14:paraId="5BCCF831">
      <w:pPr>
        <w:tabs>
          <w:tab w:val="left" w:pos="6300"/>
        </w:tabs>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3.我方承诺：本次竞争性比选的有效期为 90 天。</w:t>
      </w:r>
    </w:p>
    <w:p w14:paraId="6EB822BD">
      <w:pPr>
        <w:tabs>
          <w:tab w:val="left" w:pos="6300"/>
        </w:tabs>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4.我方完全理解和接受贵方竞争性比选的一切规定和要求及评审办法。</w:t>
      </w:r>
    </w:p>
    <w:p w14:paraId="4F1A7FB3">
      <w:pPr>
        <w:tabs>
          <w:tab w:val="left" w:pos="6300"/>
        </w:tabs>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5.在整个竞争性比选中，我方若有违规行为，接受按照相关规定及其实施条例等规定给予惩罚。</w:t>
      </w:r>
    </w:p>
    <w:p w14:paraId="282016C5">
      <w:pPr>
        <w:tabs>
          <w:tab w:val="left" w:pos="6300"/>
        </w:tabs>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6.我方若成为成交供应商，将按照比选结果签订合同，并且严格履行合同义务。本承诺函将成为合同不可分割的一部分，与合同具有同等的法律效力。</w:t>
      </w:r>
    </w:p>
    <w:p w14:paraId="2A837CA6">
      <w:pPr>
        <w:tabs>
          <w:tab w:val="left" w:pos="6300"/>
        </w:tabs>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7.我方理解，最低报价不是成交的唯一条件。</w:t>
      </w:r>
    </w:p>
    <w:p w14:paraId="2ED1BD73">
      <w:pPr>
        <w:tabs>
          <w:tab w:val="left" w:pos="6300"/>
        </w:tabs>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8.如果我方成为成交供应商，保证在接到成交通知书后，向采购代理机构交纳比选通知书规定的采购代理服务费。</w:t>
      </w:r>
    </w:p>
    <w:p w14:paraId="39657C70">
      <w:pPr>
        <w:tabs>
          <w:tab w:val="left" w:pos="6300"/>
        </w:tabs>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9.我方未为采购项目提供整体设计、规范编制或者项目管理、监理、检测等服务。</w:t>
      </w:r>
    </w:p>
    <w:p w14:paraId="0247740E">
      <w:pPr>
        <w:tabs>
          <w:tab w:val="left" w:pos="6300"/>
        </w:tabs>
        <w:snapToGrid w:val="0"/>
        <w:spacing w:line="440" w:lineRule="exact"/>
        <w:rPr>
          <w:rFonts w:hint="eastAsia" w:ascii="宋体" w:hAnsi="宋体" w:eastAsia="宋体" w:cs="宋体"/>
          <w:sz w:val="24"/>
          <w:szCs w:val="24"/>
        </w:rPr>
      </w:pPr>
    </w:p>
    <w:p w14:paraId="164C579C">
      <w:pPr>
        <w:tabs>
          <w:tab w:val="left" w:pos="6300"/>
        </w:tabs>
        <w:snapToGrid w:val="0"/>
        <w:spacing w:line="440" w:lineRule="exact"/>
        <w:rPr>
          <w:rFonts w:hint="eastAsia" w:ascii="宋体" w:hAnsi="宋体" w:eastAsia="宋体" w:cs="宋体"/>
          <w:sz w:val="24"/>
          <w:szCs w:val="24"/>
        </w:rPr>
      </w:pPr>
    </w:p>
    <w:p w14:paraId="0AFB66C0">
      <w:pPr>
        <w:tabs>
          <w:tab w:val="left" w:pos="6300"/>
        </w:tabs>
        <w:snapToGrid w:val="0"/>
        <w:spacing w:line="440" w:lineRule="exact"/>
        <w:rPr>
          <w:rFonts w:hint="eastAsia" w:ascii="宋体" w:hAnsi="宋体" w:eastAsia="宋体" w:cs="宋体"/>
          <w:sz w:val="24"/>
          <w:szCs w:val="24"/>
        </w:rPr>
      </w:pPr>
    </w:p>
    <w:p w14:paraId="4DE7BE81">
      <w:pPr>
        <w:tabs>
          <w:tab w:val="left" w:pos="6300"/>
        </w:tabs>
        <w:snapToGrid w:val="0"/>
        <w:spacing w:line="440" w:lineRule="exact"/>
        <w:ind w:firstLine="570"/>
        <w:rPr>
          <w:rFonts w:hint="eastAsia" w:ascii="宋体" w:hAnsi="宋体" w:eastAsia="宋体" w:cs="宋体"/>
          <w:sz w:val="24"/>
          <w:szCs w:val="24"/>
        </w:rPr>
      </w:pPr>
      <w:r>
        <w:rPr>
          <w:rFonts w:hint="eastAsia" w:ascii="宋体" w:hAnsi="宋体" w:eastAsia="宋体" w:cs="宋体"/>
          <w:sz w:val="24"/>
          <w:szCs w:val="24"/>
        </w:rPr>
        <w:t xml:space="preserve">                                                供应商（公章）：</w:t>
      </w:r>
    </w:p>
    <w:p w14:paraId="26D1FC71">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年   月   日</w:t>
      </w:r>
    </w:p>
    <w:p w14:paraId="2B347414">
      <w:pPr>
        <w:spacing w:line="360" w:lineRule="auto"/>
        <w:ind w:right="480"/>
        <w:rPr>
          <w:rFonts w:hint="eastAsia" w:ascii="宋体" w:hAnsi="宋体" w:eastAsia="宋体" w:cs="宋体"/>
        </w:rPr>
        <w:sectPr>
          <w:pgSz w:w="11907" w:h="16840"/>
          <w:pgMar w:top="1134" w:right="1191" w:bottom="1134" w:left="1304" w:header="851" w:footer="992" w:gutter="0"/>
          <w:pgNumType w:fmt="numberInDash"/>
          <w:cols w:space="720" w:num="1"/>
          <w:docGrid w:linePitch="380" w:charSpace="-5735"/>
        </w:sectPr>
      </w:pPr>
    </w:p>
    <w:p w14:paraId="6FC7CCF7">
      <w:pPr>
        <w:pStyle w:val="2"/>
        <w:spacing w:before="0" w:after="0" w:line="440" w:lineRule="exact"/>
        <w:jc w:val="left"/>
        <w:rPr>
          <w:rFonts w:hint="eastAsia" w:ascii="宋体" w:hAnsi="宋体" w:eastAsia="宋体" w:cs="宋体"/>
          <w:szCs w:val="32"/>
        </w:rPr>
      </w:pPr>
      <w:bookmarkStart w:id="422" w:name="_Toc106030907"/>
      <w:bookmarkStart w:id="423" w:name="_Toc76462351"/>
      <w:bookmarkStart w:id="424" w:name="_Toc342913420"/>
      <w:bookmarkStart w:id="425" w:name="_Toc313888361"/>
      <w:bookmarkStart w:id="426" w:name="_Toc313008357"/>
      <w:bookmarkStart w:id="427" w:name="_Toc6389"/>
      <w:bookmarkStart w:id="428" w:name="_Toc8594"/>
      <w:bookmarkStart w:id="429" w:name="_Toc8520"/>
      <w:bookmarkStart w:id="430" w:name="_Toc5228"/>
      <w:bookmarkStart w:id="431" w:name="_Toc22675"/>
      <w:bookmarkStart w:id="432" w:name="_Toc5594"/>
      <w:bookmarkStart w:id="433" w:name="_Toc19279"/>
      <w:bookmarkStart w:id="434" w:name="_Toc27496"/>
      <w:bookmarkStart w:id="435" w:name="_Toc25084"/>
      <w:bookmarkStart w:id="436" w:name="_Toc6152"/>
      <w:bookmarkStart w:id="437" w:name="_Toc313888362"/>
      <w:bookmarkStart w:id="438" w:name="_Toc313008358"/>
      <w:bookmarkStart w:id="439" w:name="_Toc29845"/>
      <w:bookmarkStart w:id="440" w:name="_Toc342913421"/>
      <w:r>
        <w:rPr>
          <w:rFonts w:hint="eastAsia" w:ascii="宋体" w:hAnsi="宋体" w:eastAsia="宋体" w:cs="宋体"/>
          <w:szCs w:val="32"/>
        </w:rPr>
        <w:t>二、</w:t>
      </w:r>
      <w:bookmarkEnd w:id="422"/>
      <w:bookmarkEnd w:id="423"/>
      <w:bookmarkEnd w:id="424"/>
      <w:bookmarkEnd w:id="425"/>
      <w:bookmarkEnd w:id="426"/>
      <w:r>
        <w:rPr>
          <w:rFonts w:hint="eastAsia" w:ascii="宋体" w:hAnsi="宋体" w:eastAsia="宋体" w:cs="宋体"/>
          <w:szCs w:val="32"/>
        </w:rPr>
        <w:t>服务部分</w:t>
      </w:r>
      <w:bookmarkEnd w:id="427"/>
      <w:bookmarkEnd w:id="428"/>
      <w:bookmarkEnd w:id="429"/>
      <w:bookmarkEnd w:id="430"/>
      <w:bookmarkEnd w:id="431"/>
      <w:bookmarkEnd w:id="432"/>
      <w:bookmarkEnd w:id="433"/>
      <w:bookmarkEnd w:id="434"/>
    </w:p>
    <w:p w14:paraId="544D3F0C">
      <w:pPr>
        <w:tabs>
          <w:tab w:val="left" w:pos="6300"/>
        </w:tabs>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（一）服务响应偏离表                                </w:t>
      </w:r>
    </w:p>
    <w:p w14:paraId="3348B59E">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项目名称：</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7"/>
        <w:gridCol w:w="3081"/>
        <w:gridCol w:w="2309"/>
      </w:tblGrid>
      <w:tr w14:paraId="643E7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noWrap w:val="0"/>
            <w:vAlign w:val="center"/>
          </w:tcPr>
          <w:p w14:paraId="0C69545F">
            <w:pPr>
              <w:tabs>
                <w:tab w:val="left" w:pos="6300"/>
              </w:tabs>
              <w:snapToGrid w:val="0"/>
              <w:spacing w:line="500" w:lineRule="exact"/>
              <w:jc w:val="center"/>
              <w:outlineLvl w:val="0"/>
              <w:rPr>
                <w:rFonts w:hint="eastAsia" w:ascii="宋体" w:hAnsi="宋体" w:eastAsia="宋体" w:cs="宋体"/>
                <w:sz w:val="21"/>
                <w:szCs w:val="21"/>
              </w:rPr>
            </w:pPr>
            <w:bookmarkStart w:id="441" w:name="_Toc4922"/>
            <w:r>
              <w:rPr>
                <w:rFonts w:hint="eastAsia" w:ascii="宋体" w:hAnsi="宋体" w:eastAsia="宋体" w:cs="宋体"/>
                <w:sz w:val="21"/>
                <w:szCs w:val="21"/>
              </w:rPr>
              <w:t>序号</w:t>
            </w:r>
            <w:bookmarkEnd w:id="441"/>
          </w:p>
        </w:tc>
        <w:tc>
          <w:tcPr>
            <w:tcW w:w="1541" w:type="pct"/>
            <w:noWrap w:val="0"/>
            <w:vAlign w:val="center"/>
          </w:tcPr>
          <w:p w14:paraId="0830AEA5">
            <w:pPr>
              <w:tabs>
                <w:tab w:val="left" w:pos="6300"/>
              </w:tabs>
              <w:snapToGrid w:val="0"/>
              <w:spacing w:line="500" w:lineRule="exact"/>
              <w:jc w:val="center"/>
              <w:outlineLvl w:val="0"/>
              <w:rPr>
                <w:rFonts w:hint="eastAsia" w:ascii="宋体" w:hAnsi="宋体" w:eastAsia="宋体" w:cs="宋体"/>
                <w:sz w:val="21"/>
                <w:szCs w:val="21"/>
              </w:rPr>
            </w:pPr>
            <w:bookmarkStart w:id="442" w:name="_Toc20164"/>
            <w:r>
              <w:rPr>
                <w:rFonts w:hint="eastAsia" w:ascii="宋体" w:hAnsi="宋体" w:eastAsia="宋体" w:cs="宋体"/>
                <w:sz w:val="21"/>
                <w:szCs w:val="21"/>
              </w:rPr>
              <w:t>项目服务需求</w:t>
            </w:r>
            <w:bookmarkEnd w:id="442"/>
          </w:p>
        </w:tc>
        <w:tc>
          <w:tcPr>
            <w:tcW w:w="1600" w:type="pct"/>
            <w:noWrap w:val="0"/>
            <w:vAlign w:val="center"/>
          </w:tcPr>
          <w:p w14:paraId="4254E1D0">
            <w:pPr>
              <w:tabs>
                <w:tab w:val="left" w:pos="6300"/>
              </w:tabs>
              <w:snapToGrid w:val="0"/>
              <w:spacing w:line="500" w:lineRule="exact"/>
              <w:jc w:val="center"/>
              <w:outlineLvl w:val="0"/>
              <w:rPr>
                <w:rFonts w:hint="eastAsia" w:ascii="宋体" w:hAnsi="宋体" w:eastAsia="宋体" w:cs="宋体"/>
                <w:sz w:val="21"/>
                <w:szCs w:val="21"/>
              </w:rPr>
            </w:pPr>
            <w:bookmarkStart w:id="443" w:name="_Toc24193"/>
            <w:r>
              <w:rPr>
                <w:rFonts w:hint="eastAsia" w:ascii="宋体" w:hAnsi="宋体" w:eastAsia="宋体" w:cs="宋体"/>
                <w:sz w:val="21"/>
                <w:szCs w:val="21"/>
              </w:rPr>
              <w:t>响应情况</w:t>
            </w:r>
            <w:bookmarkEnd w:id="443"/>
          </w:p>
        </w:tc>
        <w:tc>
          <w:tcPr>
            <w:tcW w:w="1199" w:type="pct"/>
            <w:noWrap w:val="0"/>
            <w:vAlign w:val="center"/>
          </w:tcPr>
          <w:p w14:paraId="34E6C094">
            <w:pPr>
              <w:tabs>
                <w:tab w:val="left" w:pos="6300"/>
              </w:tabs>
              <w:snapToGrid w:val="0"/>
              <w:spacing w:line="500" w:lineRule="exact"/>
              <w:jc w:val="center"/>
              <w:outlineLvl w:val="0"/>
              <w:rPr>
                <w:rFonts w:hint="eastAsia" w:ascii="宋体" w:hAnsi="宋体" w:eastAsia="宋体" w:cs="宋体"/>
                <w:sz w:val="21"/>
                <w:szCs w:val="21"/>
              </w:rPr>
            </w:pPr>
            <w:bookmarkStart w:id="444" w:name="_Toc15853"/>
            <w:r>
              <w:rPr>
                <w:rFonts w:hint="eastAsia" w:ascii="宋体" w:hAnsi="宋体" w:eastAsia="宋体" w:cs="宋体"/>
                <w:sz w:val="21"/>
                <w:szCs w:val="21"/>
              </w:rPr>
              <w:t>差异说明</w:t>
            </w:r>
            <w:bookmarkEnd w:id="444"/>
          </w:p>
        </w:tc>
      </w:tr>
      <w:tr w14:paraId="3A8E8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79931EB1">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78499A59">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4BB24C52">
            <w:pPr>
              <w:tabs>
                <w:tab w:val="left" w:pos="6300"/>
              </w:tabs>
              <w:snapToGrid w:val="0"/>
              <w:spacing w:line="500" w:lineRule="exact"/>
              <w:outlineLvl w:val="0"/>
              <w:rPr>
                <w:rFonts w:hint="eastAsia" w:ascii="宋体" w:hAnsi="宋体" w:eastAsia="宋体" w:cs="宋体"/>
                <w:sz w:val="21"/>
                <w:szCs w:val="21"/>
              </w:rPr>
            </w:pPr>
          </w:p>
        </w:tc>
        <w:tc>
          <w:tcPr>
            <w:tcW w:w="1199" w:type="pct"/>
            <w:noWrap w:val="0"/>
            <w:vAlign w:val="center"/>
          </w:tcPr>
          <w:p w14:paraId="4A005B99">
            <w:pPr>
              <w:tabs>
                <w:tab w:val="left" w:pos="6300"/>
              </w:tabs>
              <w:snapToGrid w:val="0"/>
              <w:spacing w:line="500" w:lineRule="exact"/>
              <w:jc w:val="center"/>
              <w:outlineLvl w:val="0"/>
              <w:rPr>
                <w:rFonts w:hint="eastAsia" w:ascii="宋体" w:hAnsi="宋体" w:eastAsia="宋体" w:cs="宋体"/>
                <w:sz w:val="21"/>
                <w:szCs w:val="21"/>
              </w:rPr>
            </w:pPr>
          </w:p>
        </w:tc>
      </w:tr>
      <w:tr w14:paraId="29A90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6E5719B7">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572A2D54">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06128B1B">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48BF74B1">
            <w:pPr>
              <w:tabs>
                <w:tab w:val="left" w:pos="6300"/>
              </w:tabs>
              <w:snapToGrid w:val="0"/>
              <w:spacing w:line="500" w:lineRule="exact"/>
              <w:jc w:val="center"/>
              <w:outlineLvl w:val="0"/>
              <w:rPr>
                <w:rFonts w:hint="eastAsia" w:ascii="宋体" w:hAnsi="宋体" w:eastAsia="宋体" w:cs="宋体"/>
                <w:sz w:val="21"/>
                <w:szCs w:val="21"/>
              </w:rPr>
            </w:pPr>
          </w:p>
        </w:tc>
      </w:tr>
      <w:tr w14:paraId="0BA49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7BE1492C">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0C959AC7">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4FEB4FA0">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6C988E59">
            <w:pPr>
              <w:tabs>
                <w:tab w:val="left" w:pos="6300"/>
              </w:tabs>
              <w:snapToGrid w:val="0"/>
              <w:spacing w:line="500" w:lineRule="exact"/>
              <w:jc w:val="center"/>
              <w:outlineLvl w:val="0"/>
              <w:rPr>
                <w:rFonts w:hint="eastAsia" w:ascii="宋体" w:hAnsi="宋体" w:eastAsia="宋体" w:cs="宋体"/>
                <w:sz w:val="21"/>
                <w:szCs w:val="21"/>
              </w:rPr>
            </w:pPr>
          </w:p>
        </w:tc>
      </w:tr>
      <w:tr w14:paraId="02E3A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6AB04555">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3870F3D9">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0BA00459">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70C37526">
            <w:pPr>
              <w:tabs>
                <w:tab w:val="left" w:pos="6300"/>
              </w:tabs>
              <w:snapToGrid w:val="0"/>
              <w:spacing w:line="500" w:lineRule="exact"/>
              <w:jc w:val="center"/>
              <w:outlineLvl w:val="0"/>
              <w:rPr>
                <w:rFonts w:hint="eastAsia" w:ascii="宋体" w:hAnsi="宋体" w:eastAsia="宋体" w:cs="宋体"/>
                <w:sz w:val="21"/>
                <w:szCs w:val="21"/>
              </w:rPr>
            </w:pPr>
          </w:p>
        </w:tc>
      </w:tr>
      <w:tr w14:paraId="35195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38BEAC31">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4B7C9981">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770A068D">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19288A62">
            <w:pPr>
              <w:tabs>
                <w:tab w:val="left" w:pos="6300"/>
              </w:tabs>
              <w:snapToGrid w:val="0"/>
              <w:spacing w:line="500" w:lineRule="exact"/>
              <w:jc w:val="center"/>
              <w:outlineLvl w:val="0"/>
              <w:rPr>
                <w:rFonts w:hint="eastAsia" w:ascii="宋体" w:hAnsi="宋体" w:eastAsia="宋体" w:cs="宋体"/>
                <w:sz w:val="21"/>
                <w:szCs w:val="21"/>
              </w:rPr>
            </w:pPr>
          </w:p>
        </w:tc>
      </w:tr>
      <w:tr w14:paraId="0FC3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6F3D6BBF">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1E07DD7D">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70DB1DFD">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31DC4C7F">
            <w:pPr>
              <w:tabs>
                <w:tab w:val="left" w:pos="6300"/>
              </w:tabs>
              <w:snapToGrid w:val="0"/>
              <w:spacing w:line="500" w:lineRule="exact"/>
              <w:jc w:val="center"/>
              <w:outlineLvl w:val="0"/>
              <w:rPr>
                <w:rFonts w:hint="eastAsia" w:ascii="宋体" w:hAnsi="宋体" w:eastAsia="宋体" w:cs="宋体"/>
                <w:sz w:val="21"/>
                <w:szCs w:val="21"/>
              </w:rPr>
            </w:pPr>
          </w:p>
        </w:tc>
      </w:tr>
      <w:tr w14:paraId="68E1D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0761D922">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1D044906">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63F600B8">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4C68BEE2">
            <w:pPr>
              <w:tabs>
                <w:tab w:val="left" w:pos="6300"/>
              </w:tabs>
              <w:snapToGrid w:val="0"/>
              <w:spacing w:line="500" w:lineRule="exact"/>
              <w:jc w:val="center"/>
              <w:outlineLvl w:val="0"/>
              <w:rPr>
                <w:rFonts w:hint="eastAsia" w:ascii="宋体" w:hAnsi="宋体" w:eastAsia="宋体" w:cs="宋体"/>
                <w:sz w:val="21"/>
                <w:szCs w:val="21"/>
              </w:rPr>
            </w:pPr>
          </w:p>
        </w:tc>
      </w:tr>
      <w:tr w14:paraId="1CEC1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1A2375EB">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7D52FCC3">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1DCF86B6">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5E3FE8C5">
            <w:pPr>
              <w:tabs>
                <w:tab w:val="left" w:pos="6300"/>
              </w:tabs>
              <w:snapToGrid w:val="0"/>
              <w:spacing w:line="500" w:lineRule="exact"/>
              <w:jc w:val="center"/>
              <w:outlineLvl w:val="0"/>
              <w:rPr>
                <w:rFonts w:hint="eastAsia" w:ascii="宋体" w:hAnsi="宋体" w:eastAsia="宋体" w:cs="宋体"/>
                <w:sz w:val="21"/>
                <w:szCs w:val="21"/>
              </w:rPr>
            </w:pPr>
          </w:p>
        </w:tc>
      </w:tr>
      <w:tr w14:paraId="4E4F1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1AF46812">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595CD245">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5A810C2A">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56BDDA7B">
            <w:pPr>
              <w:tabs>
                <w:tab w:val="left" w:pos="6300"/>
              </w:tabs>
              <w:snapToGrid w:val="0"/>
              <w:spacing w:line="500" w:lineRule="exact"/>
              <w:jc w:val="center"/>
              <w:outlineLvl w:val="0"/>
              <w:rPr>
                <w:rFonts w:hint="eastAsia" w:ascii="宋体" w:hAnsi="宋体" w:eastAsia="宋体" w:cs="宋体"/>
                <w:sz w:val="21"/>
                <w:szCs w:val="21"/>
              </w:rPr>
            </w:pPr>
          </w:p>
        </w:tc>
      </w:tr>
      <w:tr w14:paraId="1CC6D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03152529">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05BE8EF8">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58664E00">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6330E690">
            <w:pPr>
              <w:tabs>
                <w:tab w:val="left" w:pos="6300"/>
              </w:tabs>
              <w:snapToGrid w:val="0"/>
              <w:spacing w:line="500" w:lineRule="exact"/>
              <w:jc w:val="center"/>
              <w:outlineLvl w:val="0"/>
              <w:rPr>
                <w:rFonts w:hint="eastAsia" w:ascii="宋体" w:hAnsi="宋体" w:eastAsia="宋体" w:cs="宋体"/>
                <w:sz w:val="21"/>
                <w:szCs w:val="21"/>
              </w:rPr>
            </w:pPr>
          </w:p>
        </w:tc>
      </w:tr>
    </w:tbl>
    <w:p w14:paraId="233F9F5D">
      <w:pPr>
        <w:spacing w:line="500" w:lineRule="exact"/>
        <w:ind w:firstLine="600" w:firstLineChars="250"/>
        <w:rPr>
          <w:rFonts w:hint="eastAsia" w:ascii="宋体" w:hAnsi="宋体" w:eastAsia="宋体" w:cs="宋体"/>
          <w:sz w:val="24"/>
          <w:szCs w:val="28"/>
        </w:rPr>
      </w:pPr>
      <w:r>
        <w:rPr>
          <w:rFonts w:hint="eastAsia" w:ascii="宋体" w:hAnsi="宋体" w:eastAsia="宋体" w:cs="宋体"/>
          <w:sz w:val="24"/>
          <w:szCs w:val="28"/>
        </w:rPr>
        <w:t xml:space="preserve">供应商：                            </w:t>
      </w:r>
      <w:r>
        <w:rPr>
          <w:rFonts w:hint="eastAsia" w:ascii="宋体" w:hAnsi="宋体" w:eastAsia="宋体" w:cs="宋体"/>
          <w:sz w:val="24"/>
          <w:szCs w:val="24"/>
        </w:rPr>
        <w:t>法定代表人（或其授权代表）或自然人：</w:t>
      </w:r>
    </w:p>
    <w:p w14:paraId="3A529712">
      <w:pPr>
        <w:spacing w:line="500" w:lineRule="exact"/>
        <w:rPr>
          <w:rFonts w:hint="eastAsia" w:ascii="宋体" w:hAnsi="宋体" w:eastAsia="宋体" w:cs="宋体"/>
          <w:sz w:val="24"/>
          <w:szCs w:val="28"/>
        </w:rPr>
      </w:pPr>
      <w:r>
        <w:rPr>
          <w:rFonts w:hint="eastAsia" w:ascii="宋体" w:hAnsi="宋体" w:eastAsia="宋体" w:cs="宋体"/>
          <w:sz w:val="24"/>
          <w:szCs w:val="28"/>
        </w:rPr>
        <w:t xml:space="preserve">    </w:t>
      </w:r>
    </w:p>
    <w:p w14:paraId="3C61C54A">
      <w:pPr>
        <w:spacing w:line="500" w:lineRule="exact"/>
        <w:ind w:firstLine="720" w:firstLineChars="300"/>
        <w:rPr>
          <w:rFonts w:hint="eastAsia" w:ascii="宋体" w:hAnsi="宋体" w:eastAsia="宋体" w:cs="宋体"/>
          <w:sz w:val="24"/>
          <w:szCs w:val="28"/>
        </w:rPr>
      </w:pPr>
      <w:r>
        <w:rPr>
          <w:rFonts w:hint="eastAsia" w:ascii="宋体" w:hAnsi="宋体" w:eastAsia="宋体" w:cs="宋体"/>
          <w:sz w:val="24"/>
          <w:szCs w:val="28"/>
        </w:rPr>
        <w:t>（供应商公章）                               （签署或盖章）</w:t>
      </w:r>
    </w:p>
    <w:p w14:paraId="6A14F173">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szCs w:val="28"/>
        </w:rPr>
        <w:t xml:space="preserve">                                              年     月     日</w:t>
      </w:r>
    </w:p>
    <w:p w14:paraId="57A679BF">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注：</w:t>
      </w:r>
    </w:p>
    <w:p w14:paraId="55C046B6">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highlight w:val="none"/>
        </w:rPr>
        <w:t xml:space="preserve">、本表即为对本项目“第三篇 </w:t>
      </w:r>
      <w:r>
        <w:rPr>
          <w:rFonts w:hint="eastAsia" w:ascii="宋体" w:hAnsi="宋体" w:eastAsia="宋体" w:cs="宋体"/>
          <w:color w:val="auto"/>
          <w:sz w:val="24"/>
          <w:highlight w:val="none"/>
          <w:lang w:val="en-US" w:eastAsia="zh-CN"/>
        </w:rPr>
        <w:t>项目</w:t>
      </w:r>
      <w:r>
        <w:rPr>
          <w:rFonts w:hint="eastAsia" w:ascii="宋体" w:hAnsi="宋体" w:cs="宋体"/>
          <w:color w:val="auto"/>
          <w:sz w:val="24"/>
          <w:highlight w:val="none"/>
          <w:lang w:val="en-US" w:eastAsia="zh-CN"/>
        </w:rPr>
        <w:t>服务</w:t>
      </w:r>
      <w:r>
        <w:rPr>
          <w:rFonts w:hint="eastAsia" w:ascii="宋体" w:hAnsi="宋体" w:eastAsia="宋体" w:cs="宋体"/>
          <w:color w:val="auto"/>
          <w:sz w:val="24"/>
          <w:highlight w:val="none"/>
        </w:rPr>
        <w:t>需求”中所列服务要求进行比较和响应；</w:t>
      </w:r>
    </w:p>
    <w:p w14:paraId="4A78C0A4">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2、该表必须按照</w:t>
      </w:r>
      <w:r>
        <w:rPr>
          <w:rFonts w:hint="eastAsia" w:ascii="宋体" w:hAnsi="宋体" w:eastAsia="宋体" w:cs="宋体"/>
          <w:color w:val="auto"/>
          <w:sz w:val="24"/>
          <w:highlight w:val="none"/>
          <w:lang w:val="en-US" w:eastAsia="zh-CN"/>
        </w:rPr>
        <w:t>文件</w:t>
      </w:r>
      <w:r>
        <w:rPr>
          <w:rFonts w:hint="eastAsia" w:ascii="宋体" w:hAnsi="宋体" w:eastAsia="宋体" w:cs="宋体"/>
          <w:color w:val="auto"/>
          <w:sz w:val="24"/>
          <w:highlight w:val="none"/>
        </w:rPr>
        <w:t>要求逐条如实填写，根据响应情况在“差异说明”项填写正偏离或负偏离及原因，完全符合的填写“无差异”；</w:t>
      </w:r>
    </w:p>
    <w:p w14:paraId="76DB6857">
      <w:pPr>
        <w:tabs>
          <w:tab w:val="left" w:pos="6300"/>
        </w:tabs>
        <w:snapToGrid w:val="0"/>
        <w:spacing w:line="5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3、该表可扩展</w:t>
      </w:r>
      <w:r>
        <w:rPr>
          <w:rFonts w:hint="eastAsia" w:ascii="宋体" w:hAnsi="宋体" w:eastAsia="宋体" w:cs="宋体"/>
          <w:color w:val="auto"/>
          <w:sz w:val="24"/>
          <w:szCs w:val="28"/>
          <w:highlight w:val="none"/>
        </w:rPr>
        <w:t>，并逐页签字或盖章</w:t>
      </w:r>
      <w:r>
        <w:rPr>
          <w:rFonts w:hint="eastAsia" w:ascii="宋体" w:hAnsi="宋体" w:eastAsia="宋体" w:cs="宋体"/>
          <w:color w:val="auto"/>
          <w:sz w:val="24"/>
          <w:szCs w:val="28"/>
          <w:highlight w:val="none"/>
          <w:lang w:eastAsia="zh-CN"/>
        </w:rPr>
        <w:t>。</w:t>
      </w:r>
    </w:p>
    <w:p w14:paraId="7BB6258D">
      <w:pPr>
        <w:tabs>
          <w:tab w:val="left" w:pos="6300"/>
        </w:tabs>
        <w:snapToGrid w:val="0"/>
        <w:spacing w:line="400" w:lineRule="exact"/>
        <w:ind w:firstLine="560" w:firstLineChars="200"/>
        <w:rPr>
          <w:rFonts w:hint="eastAsia" w:ascii="宋体" w:hAnsi="宋体" w:eastAsia="宋体" w:cs="宋体"/>
          <w:szCs w:val="24"/>
        </w:rPr>
      </w:pPr>
      <w:r>
        <w:rPr>
          <w:rFonts w:hint="eastAsia" w:ascii="宋体" w:hAnsi="宋体" w:eastAsia="宋体" w:cs="宋体"/>
          <w:szCs w:val="24"/>
        </w:rPr>
        <w:br w:type="page"/>
      </w:r>
      <w:r>
        <w:rPr>
          <w:rFonts w:hint="eastAsia" w:ascii="宋体" w:hAnsi="宋体" w:eastAsia="宋体" w:cs="宋体"/>
          <w:sz w:val="24"/>
          <w:szCs w:val="24"/>
        </w:rPr>
        <w:t>（二）其他资料（格式自定）</w:t>
      </w:r>
    </w:p>
    <w:p w14:paraId="010841C3">
      <w:pPr>
        <w:pStyle w:val="2"/>
        <w:spacing w:before="0" w:after="0"/>
        <w:rPr>
          <w:rFonts w:hint="eastAsia" w:ascii="宋体" w:hAnsi="宋体" w:eastAsia="宋体" w:cs="宋体"/>
          <w:sz w:val="28"/>
          <w:szCs w:val="28"/>
        </w:rPr>
      </w:pPr>
      <w:r>
        <w:rPr>
          <w:rFonts w:hint="eastAsia" w:ascii="宋体" w:hAnsi="宋体" w:eastAsia="宋体" w:cs="宋体"/>
          <w:sz w:val="28"/>
          <w:szCs w:val="28"/>
        </w:rPr>
        <w:br w:type="page"/>
      </w:r>
      <w:bookmarkStart w:id="445" w:name="_Toc23939"/>
      <w:bookmarkStart w:id="446" w:name="_Toc6746"/>
      <w:bookmarkStart w:id="447" w:name="_Toc29475"/>
      <w:bookmarkStart w:id="448" w:name="_Toc2826"/>
      <w:bookmarkStart w:id="449" w:name="_Toc11948"/>
      <w:bookmarkStart w:id="450" w:name="_Toc25197"/>
      <w:bookmarkStart w:id="451" w:name="_Toc3146"/>
      <w:bookmarkStart w:id="452" w:name="_Toc8729"/>
      <w:bookmarkStart w:id="453" w:name="_Toc20236"/>
      <w:r>
        <w:rPr>
          <w:rFonts w:hint="eastAsia" w:ascii="宋体" w:hAnsi="宋体" w:eastAsia="宋体" w:cs="宋体"/>
          <w:sz w:val="28"/>
          <w:szCs w:val="28"/>
        </w:rPr>
        <w:t>三、商务部分</w:t>
      </w:r>
      <w:bookmarkEnd w:id="435"/>
      <w:bookmarkEnd w:id="436"/>
      <w:bookmarkEnd w:id="437"/>
      <w:bookmarkEnd w:id="438"/>
      <w:bookmarkEnd w:id="439"/>
      <w:bookmarkEnd w:id="440"/>
      <w:bookmarkEnd w:id="445"/>
      <w:bookmarkEnd w:id="446"/>
      <w:bookmarkEnd w:id="447"/>
      <w:bookmarkEnd w:id="448"/>
      <w:bookmarkEnd w:id="449"/>
      <w:bookmarkEnd w:id="450"/>
      <w:bookmarkEnd w:id="451"/>
      <w:bookmarkEnd w:id="452"/>
      <w:bookmarkEnd w:id="453"/>
    </w:p>
    <w:p w14:paraId="666865C2">
      <w:pPr>
        <w:snapToGrid w:val="0"/>
        <w:spacing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 w:val="24"/>
          <w:szCs w:val="24"/>
          <w:highlight w:val="none"/>
        </w:rPr>
        <w:t>（一）</w:t>
      </w:r>
      <w:bookmarkStart w:id="454" w:name="_Toc283382459"/>
      <w:r>
        <w:rPr>
          <w:rFonts w:hint="eastAsia" w:ascii="宋体" w:hAnsi="宋体" w:eastAsia="宋体" w:cs="宋体"/>
          <w:color w:val="auto"/>
          <w:sz w:val="24"/>
          <w:szCs w:val="24"/>
          <w:highlight w:val="none"/>
        </w:rPr>
        <w:t>商务响应偏离表</w:t>
      </w:r>
    </w:p>
    <w:p w14:paraId="70AD15F1">
      <w:pPr>
        <w:pStyle w:val="13"/>
        <w:tabs>
          <w:tab w:val="left" w:pos="6300"/>
        </w:tabs>
        <w:snapToGrid w:val="0"/>
        <w:spacing w:line="500" w:lineRule="exact"/>
        <w:ind w:firstLine="480" w:firstLineChars="200"/>
        <w:outlineLvl w:val="0"/>
        <w:rPr>
          <w:rFonts w:hint="eastAsia" w:ascii="宋体" w:hAnsi="宋体" w:eastAsia="宋体" w:cs="宋体"/>
          <w:color w:val="auto"/>
          <w:highlight w:val="none"/>
        </w:rPr>
      </w:pPr>
      <w:bookmarkStart w:id="455" w:name="_Toc12976"/>
      <w:r>
        <w:rPr>
          <w:rFonts w:hint="eastAsia" w:ascii="宋体" w:hAnsi="宋体" w:eastAsia="宋体" w:cs="宋体"/>
          <w:color w:val="auto"/>
          <w:sz w:val="24"/>
          <w:highlight w:val="none"/>
        </w:rPr>
        <w:t>项目名称：</w:t>
      </w:r>
      <w:bookmarkEnd w:id="455"/>
    </w:p>
    <w:tbl>
      <w:tblPr>
        <w:tblStyle w:val="23"/>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C20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539FA57E">
            <w:pPr>
              <w:tabs>
                <w:tab w:val="left" w:pos="6300"/>
              </w:tabs>
              <w:snapToGrid w:val="0"/>
              <w:spacing w:line="360" w:lineRule="auto"/>
              <w:jc w:val="center"/>
              <w:outlineLvl w:val="0"/>
              <w:rPr>
                <w:rFonts w:hint="eastAsia" w:ascii="宋体" w:hAnsi="宋体" w:eastAsia="宋体" w:cs="宋体"/>
                <w:color w:val="auto"/>
                <w:sz w:val="21"/>
                <w:szCs w:val="24"/>
                <w:highlight w:val="none"/>
              </w:rPr>
            </w:pPr>
            <w:bookmarkStart w:id="456" w:name="_Toc2955"/>
            <w:bookmarkStart w:id="457" w:name="_Toc9107"/>
            <w:bookmarkStart w:id="458" w:name="_Toc7811"/>
            <w:r>
              <w:rPr>
                <w:rFonts w:hint="eastAsia" w:ascii="宋体" w:hAnsi="宋体" w:eastAsia="宋体" w:cs="宋体"/>
                <w:color w:val="auto"/>
                <w:sz w:val="21"/>
                <w:szCs w:val="24"/>
                <w:highlight w:val="none"/>
              </w:rPr>
              <w:t>序号</w:t>
            </w:r>
            <w:bookmarkEnd w:id="456"/>
            <w:bookmarkEnd w:id="457"/>
            <w:bookmarkEnd w:id="458"/>
          </w:p>
        </w:tc>
        <w:tc>
          <w:tcPr>
            <w:tcW w:w="3179" w:type="dxa"/>
            <w:vAlign w:val="center"/>
          </w:tcPr>
          <w:p w14:paraId="6BFACC49">
            <w:pPr>
              <w:tabs>
                <w:tab w:val="left" w:pos="6300"/>
              </w:tabs>
              <w:snapToGrid w:val="0"/>
              <w:spacing w:line="360" w:lineRule="auto"/>
              <w:jc w:val="center"/>
              <w:outlineLvl w:val="0"/>
              <w:rPr>
                <w:rFonts w:hint="eastAsia" w:ascii="宋体" w:hAnsi="宋体" w:eastAsia="宋体" w:cs="宋体"/>
                <w:color w:val="auto"/>
                <w:sz w:val="21"/>
                <w:szCs w:val="24"/>
                <w:highlight w:val="none"/>
              </w:rPr>
            </w:pPr>
            <w:bookmarkStart w:id="459" w:name="_Toc17211"/>
            <w:bookmarkStart w:id="460" w:name="_Toc13098"/>
            <w:bookmarkStart w:id="461" w:name="_Toc25726"/>
            <w:r>
              <w:rPr>
                <w:rFonts w:hint="eastAsia" w:ascii="宋体" w:hAnsi="宋体" w:eastAsia="宋体" w:cs="宋体"/>
                <w:color w:val="auto"/>
                <w:sz w:val="21"/>
                <w:szCs w:val="24"/>
                <w:highlight w:val="none"/>
              </w:rPr>
              <w:t>项目需求</w:t>
            </w:r>
            <w:bookmarkEnd w:id="459"/>
            <w:bookmarkEnd w:id="460"/>
            <w:bookmarkEnd w:id="461"/>
          </w:p>
        </w:tc>
        <w:tc>
          <w:tcPr>
            <w:tcW w:w="2434" w:type="dxa"/>
            <w:vAlign w:val="center"/>
          </w:tcPr>
          <w:p w14:paraId="144EFFCC">
            <w:pPr>
              <w:tabs>
                <w:tab w:val="left" w:pos="6300"/>
              </w:tabs>
              <w:snapToGrid w:val="0"/>
              <w:spacing w:line="360" w:lineRule="auto"/>
              <w:jc w:val="center"/>
              <w:outlineLvl w:val="0"/>
              <w:rPr>
                <w:rFonts w:hint="eastAsia" w:ascii="宋体" w:hAnsi="宋体" w:eastAsia="宋体" w:cs="宋体"/>
                <w:color w:val="auto"/>
                <w:sz w:val="21"/>
                <w:szCs w:val="24"/>
                <w:highlight w:val="none"/>
              </w:rPr>
            </w:pPr>
            <w:bookmarkStart w:id="462" w:name="_Toc2438"/>
            <w:bookmarkStart w:id="463" w:name="_Toc6057"/>
            <w:bookmarkStart w:id="464" w:name="_Toc25041"/>
            <w:r>
              <w:rPr>
                <w:rFonts w:hint="eastAsia" w:ascii="宋体" w:hAnsi="宋体" w:eastAsia="宋体" w:cs="宋体"/>
                <w:color w:val="auto"/>
                <w:sz w:val="21"/>
                <w:szCs w:val="24"/>
                <w:highlight w:val="none"/>
              </w:rPr>
              <w:t>响应情况</w:t>
            </w:r>
            <w:bookmarkEnd w:id="462"/>
            <w:bookmarkEnd w:id="463"/>
            <w:bookmarkEnd w:id="464"/>
          </w:p>
        </w:tc>
        <w:tc>
          <w:tcPr>
            <w:tcW w:w="2355" w:type="dxa"/>
            <w:vAlign w:val="center"/>
          </w:tcPr>
          <w:p w14:paraId="37DBC91B">
            <w:pPr>
              <w:tabs>
                <w:tab w:val="left" w:pos="6300"/>
              </w:tabs>
              <w:snapToGrid w:val="0"/>
              <w:spacing w:line="360" w:lineRule="auto"/>
              <w:jc w:val="center"/>
              <w:outlineLvl w:val="0"/>
              <w:rPr>
                <w:rFonts w:hint="eastAsia" w:ascii="宋体" w:hAnsi="宋体" w:eastAsia="宋体" w:cs="宋体"/>
                <w:color w:val="auto"/>
                <w:sz w:val="21"/>
                <w:szCs w:val="24"/>
                <w:highlight w:val="none"/>
              </w:rPr>
            </w:pPr>
            <w:bookmarkStart w:id="465" w:name="_Toc26387"/>
            <w:bookmarkStart w:id="466" w:name="_Toc14227"/>
            <w:bookmarkStart w:id="467" w:name="_Toc13163"/>
            <w:r>
              <w:rPr>
                <w:rFonts w:hint="eastAsia" w:ascii="宋体" w:hAnsi="宋体" w:eastAsia="宋体" w:cs="宋体"/>
                <w:color w:val="auto"/>
                <w:sz w:val="21"/>
                <w:szCs w:val="24"/>
                <w:highlight w:val="none"/>
              </w:rPr>
              <w:t>偏离说明</w:t>
            </w:r>
            <w:bookmarkEnd w:id="465"/>
            <w:bookmarkEnd w:id="466"/>
            <w:bookmarkEnd w:id="467"/>
          </w:p>
        </w:tc>
      </w:tr>
      <w:tr w14:paraId="0A1A5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698A9A5">
            <w:pPr>
              <w:tabs>
                <w:tab w:val="left" w:pos="6300"/>
              </w:tabs>
              <w:snapToGrid w:val="0"/>
              <w:spacing w:line="360" w:lineRule="auto"/>
              <w:jc w:val="center"/>
              <w:rPr>
                <w:rFonts w:hint="eastAsia" w:ascii="宋体" w:hAnsi="宋体" w:eastAsia="宋体" w:cs="宋体"/>
                <w:color w:val="auto"/>
                <w:sz w:val="21"/>
                <w:szCs w:val="24"/>
                <w:highlight w:val="none"/>
              </w:rPr>
            </w:pPr>
          </w:p>
        </w:tc>
        <w:tc>
          <w:tcPr>
            <w:tcW w:w="3179" w:type="dxa"/>
            <w:vAlign w:val="center"/>
          </w:tcPr>
          <w:p w14:paraId="6B41DCA0">
            <w:pPr>
              <w:tabs>
                <w:tab w:val="left" w:pos="6300"/>
              </w:tabs>
              <w:snapToGrid w:val="0"/>
              <w:spacing w:line="360" w:lineRule="auto"/>
              <w:jc w:val="center"/>
              <w:rPr>
                <w:rFonts w:hint="eastAsia" w:ascii="宋体" w:hAnsi="宋体" w:eastAsia="宋体" w:cs="宋体"/>
                <w:color w:val="auto"/>
                <w:sz w:val="21"/>
                <w:szCs w:val="24"/>
                <w:highlight w:val="none"/>
              </w:rPr>
            </w:pPr>
          </w:p>
        </w:tc>
        <w:tc>
          <w:tcPr>
            <w:tcW w:w="2434" w:type="dxa"/>
            <w:vAlign w:val="center"/>
          </w:tcPr>
          <w:p w14:paraId="31A2A1E8">
            <w:pPr>
              <w:tabs>
                <w:tab w:val="left" w:pos="6300"/>
              </w:tabs>
              <w:snapToGrid w:val="0"/>
              <w:spacing w:line="360" w:lineRule="auto"/>
              <w:jc w:val="center"/>
              <w:rPr>
                <w:rFonts w:hint="eastAsia" w:ascii="宋体" w:hAnsi="宋体" w:eastAsia="宋体" w:cs="宋体"/>
                <w:color w:val="auto"/>
                <w:sz w:val="21"/>
                <w:szCs w:val="24"/>
                <w:highlight w:val="none"/>
              </w:rPr>
            </w:pPr>
          </w:p>
        </w:tc>
        <w:tc>
          <w:tcPr>
            <w:tcW w:w="2355" w:type="dxa"/>
            <w:vAlign w:val="center"/>
          </w:tcPr>
          <w:p w14:paraId="160E5C2E">
            <w:pPr>
              <w:tabs>
                <w:tab w:val="left" w:pos="6300"/>
              </w:tabs>
              <w:snapToGrid w:val="0"/>
              <w:spacing w:line="360" w:lineRule="auto"/>
              <w:jc w:val="center"/>
              <w:rPr>
                <w:rFonts w:hint="eastAsia" w:ascii="宋体" w:hAnsi="宋体" w:eastAsia="宋体" w:cs="宋体"/>
                <w:color w:val="auto"/>
                <w:sz w:val="21"/>
                <w:szCs w:val="24"/>
                <w:highlight w:val="none"/>
              </w:rPr>
            </w:pPr>
          </w:p>
        </w:tc>
      </w:tr>
      <w:tr w14:paraId="186F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5C342AC">
            <w:pPr>
              <w:tabs>
                <w:tab w:val="left" w:pos="6300"/>
              </w:tabs>
              <w:snapToGrid w:val="0"/>
              <w:spacing w:line="360" w:lineRule="auto"/>
              <w:jc w:val="center"/>
              <w:rPr>
                <w:rFonts w:hint="eastAsia" w:ascii="宋体" w:hAnsi="宋体" w:eastAsia="宋体" w:cs="宋体"/>
                <w:color w:val="auto"/>
                <w:sz w:val="21"/>
                <w:szCs w:val="24"/>
                <w:highlight w:val="none"/>
              </w:rPr>
            </w:pPr>
          </w:p>
        </w:tc>
        <w:tc>
          <w:tcPr>
            <w:tcW w:w="3179" w:type="dxa"/>
            <w:vAlign w:val="center"/>
          </w:tcPr>
          <w:p w14:paraId="02551FA7">
            <w:pPr>
              <w:tabs>
                <w:tab w:val="left" w:pos="6300"/>
              </w:tabs>
              <w:snapToGrid w:val="0"/>
              <w:spacing w:line="360" w:lineRule="auto"/>
              <w:jc w:val="center"/>
              <w:rPr>
                <w:rFonts w:hint="eastAsia" w:ascii="宋体" w:hAnsi="宋体" w:eastAsia="宋体" w:cs="宋体"/>
                <w:color w:val="auto"/>
                <w:sz w:val="21"/>
                <w:szCs w:val="24"/>
                <w:highlight w:val="none"/>
              </w:rPr>
            </w:pPr>
          </w:p>
        </w:tc>
        <w:tc>
          <w:tcPr>
            <w:tcW w:w="2434" w:type="dxa"/>
            <w:vAlign w:val="center"/>
          </w:tcPr>
          <w:p w14:paraId="24E1BA4C">
            <w:pPr>
              <w:tabs>
                <w:tab w:val="left" w:pos="6300"/>
              </w:tabs>
              <w:snapToGrid w:val="0"/>
              <w:spacing w:line="360" w:lineRule="auto"/>
              <w:jc w:val="center"/>
              <w:rPr>
                <w:rFonts w:hint="eastAsia" w:ascii="宋体" w:hAnsi="宋体" w:eastAsia="宋体" w:cs="宋体"/>
                <w:color w:val="auto"/>
                <w:sz w:val="21"/>
                <w:szCs w:val="24"/>
                <w:highlight w:val="none"/>
              </w:rPr>
            </w:pPr>
          </w:p>
        </w:tc>
        <w:tc>
          <w:tcPr>
            <w:tcW w:w="2355" w:type="dxa"/>
            <w:vAlign w:val="center"/>
          </w:tcPr>
          <w:p w14:paraId="1352B2AD">
            <w:pPr>
              <w:tabs>
                <w:tab w:val="left" w:pos="6300"/>
              </w:tabs>
              <w:snapToGrid w:val="0"/>
              <w:spacing w:line="360" w:lineRule="auto"/>
              <w:jc w:val="center"/>
              <w:rPr>
                <w:rFonts w:hint="eastAsia" w:ascii="宋体" w:hAnsi="宋体" w:eastAsia="宋体" w:cs="宋体"/>
                <w:color w:val="auto"/>
                <w:sz w:val="21"/>
                <w:szCs w:val="24"/>
                <w:highlight w:val="none"/>
              </w:rPr>
            </w:pPr>
          </w:p>
        </w:tc>
      </w:tr>
      <w:tr w14:paraId="36A06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A041DC3">
            <w:pPr>
              <w:tabs>
                <w:tab w:val="left" w:pos="6300"/>
              </w:tabs>
              <w:snapToGrid w:val="0"/>
              <w:spacing w:line="360" w:lineRule="auto"/>
              <w:jc w:val="center"/>
              <w:rPr>
                <w:rFonts w:hint="eastAsia" w:ascii="宋体" w:hAnsi="宋体" w:eastAsia="宋体" w:cs="宋体"/>
                <w:color w:val="auto"/>
                <w:sz w:val="21"/>
                <w:szCs w:val="24"/>
                <w:highlight w:val="none"/>
              </w:rPr>
            </w:pPr>
          </w:p>
        </w:tc>
        <w:tc>
          <w:tcPr>
            <w:tcW w:w="3179" w:type="dxa"/>
            <w:vAlign w:val="center"/>
          </w:tcPr>
          <w:p w14:paraId="14F25431">
            <w:pPr>
              <w:tabs>
                <w:tab w:val="left" w:pos="6300"/>
              </w:tabs>
              <w:snapToGrid w:val="0"/>
              <w:spacing w:line="360" w:lineRule="auto"/>
              <w:jc w:val="center"/>
              <w:rPr>
                <w:rFonts w:hint="eastAsia" w:ascii="宋体" w:hAnsi="宋体" w:eastAsia="宋体" w:cs="宋体"/>
                <w:color w:val="auto"/>
                <w:sz w:val="21"/>
                <w:szCs w:val="24"/>
                <w:highlight w:val="none"/>
              </w:rPr>
            </w:pPr>
          </w:p>
        </w:tc>
        <w:tc>
          <w:tcPr>
            <w:tcW w:w="2434" w:type="dxa"/>
            <w:vAlign w:val="center"/>
          </w:tcPr>
          <w:p w14:paraId="7EB69921">
            <w:pPr>
              <w:tabs>
                <w:tab w:val="left" w:pos="6300"/>
              </w:tabs>
              <w:snapToGrid w:val="0"/>
              <w:spacing w:line="360" w:lineRule="auto"/>
              <w:jc w:val="center"/>
              <w:rPr>
                <w:rFonts w:hint="eastAsia" w:ascii="宋体" w:hAnsi="宋体" w:eastAsia="宋体" w:cs="宋体"/>
                <w:color w:val="auto"/>
                <w:sz w:val="21"/>
                <w:szCs w:val="24"/>
                <w:highlight w:val="none"/>
              </w:rPr>
            </w:pPr>
          </w:p>
        </w:tc>
        <w:tc>
          <w:tcPr>
            <w:tcW w:w="2355" w:type="dxa"/>
            <w:vAlign w:val="center"/>
          </w:tcPr>
          <w:p w14:paraId="301109D8">
            <w:pPr>
              <w:tabs>
                <w:tab w:val="left" w:pos="6300"/>
              </w:tabs>
              <w:snapToGrid w:val="0"/>
              <w:spacing w:line="360" w:lineRule="auto"/>
              <w:jc w:val="center"/>
              <w:rPr>
                <w:rFonts w:hint="eastAsia" w:ascii="宋体" w:hAnsi="宋体" w:eastAsia="宋体" w:cs="宋体"/>
                <w:color w:val="auto"/>
                <w:sz w:val="21"/>
                <w:szCs w:val="24"/>
                <w:highlight w:val="none"/>
              </w:rPr>
            </w:pPr>
          </w:p>
        </w:tc>
      </w:tr>
      <w:tr w14:paraId="50887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6FF64F3">
            <w:pPr>
              <w:tabs>
                <w:tab w:val="left" w:pos="6300"/>
              </w:tabs>
              <w:snapToGrid w:val="0"/>
              <w:spacing w:line="360" w:lineRule="auto"/>
              <w:jc w:val="center"/>
              <w:rPr>
                <w:rFonts w:hint="eastAsia" w:ascii="宋体" w:hAnsi="宋体" w:eastAsia="宋体" w:cs="宋体"/>
                <w:color w:val="auto"/>
                <w:sz w:val="21"/>
                <w:szCs w:val="24"/>
                <w:highlight w:val="none"/>
              </w:rPr>
            </w:pPr>
          </w:p>
        </w:tc>
        <w:tc>
          <w:tcPr>
            <w:tcW w:w="3179" w:type="dxa"/>
            <w:vAlign w:val="center"/>
          </w:tcPr>
          <w:p w14:paraId="155E6E4B">
            <w:pPr>
              <w:tabs>
                <w:tab w:val="left" w:pos="6300"/>
              </w:tabs>
              <w:snapToGrid w:val="0"/>
              <w:spacing w:line="360" w:lineRule="auto"/>
              <w:jc w:val="center"/>
              <w:rPr>
                <w:rFonts w:hint="eastAsia" w:ascii="宋体" w:hAnsi="宋体" w:eastAsia="宋体" w:cs="宋体"/>
                <w:color w:val="auto"/>
                <w:sz w:val="21"/>
                <w:szCs w:val="24"/>
                <w:highlight w:val="none"/>
              </w:rPr>
            </w:pPr>
          </w:p>
        </w:tc>
        <w:tc>
          <w:tcPr>
            <w:tcW w:w="2434" w:type="dxa"/>
            <w:vAlign w:val="center"/>
          </w:tcPr>
          <w:p w14:paraId="1F001A92">
            <w:pPr>
              <w:tabs>
                <w:tab w:val="left" w:pos="6300"/>
              </w:tabs>
              <w:snapToGrid w:val="0"/>
              <w:spacing w:line="360" w:lineRule="auto"/>
              <w:jc w:val="center"/>
              <w:rPr>
                <w:rFonts w:hint="eastAsia" w:ascii="宋体" w:hAnsi="宋体" w:eastAsia="宋体" w:cs="宋体"/>
                <w:color w:val="auto"/>
                <w:sz w:val="21"/>
                <w:szCs w:val="24"/>
                <w:highlight w:val="none"/>
              </w:rPr>
            </w:pPr>
          </w:p>
        </w:tc>
        <w:tc>
          <w:tcPr>
            <w:tcW w:w="2355" w:type="dxa"/>
            <w:vAlign w:val="center"/>
          </w:tcPr>
          <w:p w14:paraId="285417CF">
            <w:pPr>
              <w:tabs>
                <w:tab w:val="left" w:pos="6300"/>
              </w:tabs>
              <w:snapToGrid w:val="0"/>
              <w:spacing w:line="360" w:lineRule="auto"/>
              <w:jc w:val="center"/>
              <w:rPr>
                <w:rFonts w:hint="eastAsia" w:ascii="宋体" w:hAnsi="宋体" w:eastAsia="宋体" w:cs="宋体"/>
                <w:color w:val="auto"/>
                <w:sz w:val="21"/>
                <w:szCs w:val="24"/>
                <w:highlight w:val="none"/>
              </w:rPr>
            </w:pPr>
          </w:p>
        </w:tc>
      </w:tr>
      <w:tr w14:paraId="45E7F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DC96737">
            <w:pPr>
              <w:tabs>
                <w:tab w:val="left" w:pos="6300"/>
              </w:tabs>
              <w:snapToGrid w:val="0"/>
              <w:spacing w:line="360" w:lineRule="auto"/>
              <w:jc w:val="center"/>
              <w:rPr>
                <w:rFonts w:hint="eastAsia" w:ascii="宋体" w:hAnsi="宋体" w:eastAsia="宋体" w:cs="宋体"/>
                <w:color w:val="auto"/>
                <w:sz w:val="21"/>
                <w:szCs w:val="24"/>
                <w:highlight w:val="none"/>
              </w:rPr>
            </w:pPr>
          </w:p>
        </w:tc>
        <w:tc>
          <w:tcPr>
            <w:tcW w:w="3179" w:type="dxa"/>
            <w:vAlign w:val="center"/>
          </w:tcPr>
          <w:p w14:paraId="641C3F56">
            <w:pPr>
              <w:tabs>
                <w:tab w:val="left" w:pos="6300"/>
              </w:tabs>
              <w:snapToGrid w:val="0"/>
              <w:spacing w:line="360" w:lineRule="auto"/>
              <w:jc w:val="center"/>
              <w:rPr>
                <w:rFonts w:hint="eastAsia" w:ascii="宋体" w:hAnsi="宋体" w:eastAsia="宋体" w:cs="宋体"/>
                <w:color w:val="auto"/>
                <w:sz w:val="21"/>
                <w:szCs w:val="24"/>
                <w:highlight w:val="none"/>
              </w:rPr>
            </w:pPr>
          </w:p>
        </w:tc>
        <w:tc>
          <w:tcPr>
            <w:tcW w:w="2434" w:type="dxa"/>
            <w:vAlign w:val="center"/>
          </w:tcPr>
          <w:p w14:paraId="0C0D1444">
            <w:pPr>
              <w:tabs>
                <w:tab w:val="left" w:pos="6300"/>
              </w:tabs>
              <w:snapToGrid w:val="0"/>
              <w:spacing w:line="360" w:lineRule="auto"/>
              <w:jc w:val="center"/>
              <w:rPr>
                <w:rFonts w:hint="eastAsia" w:ascii="宋体" w:hAnsi="宋体" w:eastAsia="宋体" w:cs="宋体"/>
                <w:color w:val="auto"/>
                <w:sz w:val="21"/>
                <w:szCs w:val="24"/>
                <w:highlight w:val="none"/>
              </w:rPr>
            </w:pPr>
          </w:p>
        </w:tc>
        <w:tc>
          <w:tcPr>
            <w:tcW w:w="2355" w:type="dxa"/>
            <w:vAlign w:val="center"/>
          </w:tcPr>
          <w:p w14:paraId="721796B2">
            <w:pPr>
              <w:tabs>
                <w:tab w:val="left" w:pos="6300"/>
              </w:tabs>
              <w:snapToGrid w:val="0"/>
              <w:spacing w:line="360" w:lineRule="auto"/>
              <w:jc w:val="center"/>
              <w:rPr>
                <w:rFonts w:hint="eastAsia" w:ascii="宋体" w:hAnsi="宋体" w:eastAsia="宋体" w:cs="宋体"/>
                <w:color w:val="auto"/>
                <w:sz w:val="21"/>
                <w:szCs w:val="24"/>
                <w:highlight w:val="none"/>
              </w:rPr>
            </w:pPr>
          </w:p>
        </w:tc>
      </w:tr>
      <w:tr w14:paraId="770C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F20801F">
            <w:pPr>
              <w:tabs>
                <w:tab w:val="left" w:pos="6300"/>
              </w:tabs>
              <w:snapToGrid w:val="0"/>
              <w:spacing w:line="360" w:lineRule="auto"/>
              <w:jc w:val="center"/>
              <w:rPr>
                <w:rFonts w:hint="eastAsia" w:ascii="宋体" w:hAnsi="宋体" w:eastAsia="宋体" w:cs="宋体"/>
                <w:color w:val="auto"/>
                <w:sz w:val="21"/>
                <w:szCs w:val="24"/>
                <w:highlight w:val="none"/>
              </w:rPr>
            </w:pPr>
          </w:p>
        </w:tc>
        <w:tc>
          <w:tcPr>
            <w:tcW w:w="3179" w:type="dxa"/>
            <w:vAlign w:val="center"/>
          </w:tcPr>
          <w:p w14:paraId="2BA65246">
            <w:pPr>
              <w:tabs>
                <w:tab w:val="left" w:pos="6300"/>
              </w:tabs>
              <w:snapToGrid w:val="0"/>
              <w:spacing w:line="360" w:lineRule="auto"/>
              <w:jc w:val="center"/>
              <w:rPr>
                <w:rFonts w:hint="eastAsia" w:ascii="宋体" w:hAnsi="宋体" w:eastAsia="宋体" w:cs="宋体"/>
                <w:color w:val="auto"/>
                <w:sz w:val="21"/>
                <w:szCs w:val="24"/>
                <w:highlight w:val="none"/>
              </w:rPr>
            </w:pPr>
          </w:p>
        </w:tc>
        <w:tc>
          <w:tcPr>
            <w:tcW w:w="2434" w:type="dxa"/>
            <w:vAlign w:val="center"/>
          </w:tcPr>
          <w:p w14:paraId="37DD6585">
            <w:pPr>
              <w:tabs>
                <w:tab w:val="left" w:pos="6300"/>
              </w:tabs>
              <w:snapToGrid w:val="0"/>
              <w:spacing w:line="360" w:lineRule="auto"/>
              <w:jc w:val="center"/>
              <w:rPr>
                <w:rFonts w:hint="eastAsia" w:ascii="宋体" w:hAnsi="宋体" w:eastAsia="宋体" w:cs="宋体"/>
                <w:color w:val="auto"/>
                <w:sz w:val="21"/>
                <w:szCs w:val="24"/>
                <w:highlight w:val="none"/>
              </w:rPr>
            </w:pPr>
          </w:p>
        </w:tc>
        <w:tc>
          <w:tcPr>
            <w:tcW w:w="2355" w:type="dxa"/>
            <w:vAlign w:val="center"/>
          </w:tcPr>
          <w:p w14:paraId="7992C932">
            <w:pPr>
              <w:tabs>
                <w:tab w:val="left" w:pos="6300"/>
              </w:tabs>
              <w:snapToGrid w:val="0"/>
              <w:spacing w:line="360" w:lineRule="auto"/>
              <w:jc w:val="center"/>
              <w:rPr>
                <w:rFonts w:hint="eastAsia" w:ascii="宋体" w:hAnsi="宋体" w:eastAsia="宋体" w:cs="宋体"/>
                <w:color w:val="auto"/>
                <w:sz w:val="21"/>
                <w:szCs w:val="24"/>
                <w:highlight w:val="none"/>
              </w:rPr>
            </w:pPr>
          </w:p>
        </w:tc>
      </w:tr>
    </w:tbl>
    <w:p w14:paraId="5DFF3021">
      <w:pPr>
        <w:snapToGrid w:val="0"/>
        <w:spacing w:line="360" w:lineRule="auto"/>
        <w:ind w:firstLine="465"/>
        <w:rPr>
          <w:rFonts w:hint="eastAsia" w:ascii="宋体" w:hAnsi="宋体" w:eastAsia="宋体" w:cs="宋体"/>
          <w:color w:val="auto"/>
          <w:sz w:val="24"/>
          <w:szCs w:val="24"/>
          <w:highlight w:val="none"/>
        </w:rPr>
      </w:pPr>
    </w:p>
    <w:p w14:paraId="37E094D1">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供应商：                                </w:t>
      </w:r>
      <w:r>
        <w:rPr>
          <w:rFonts w:hint="eastAsia" w:ascii="宋体" w:hAnsi="宋体" w:eastAsia="宋体" w:cs="宋体"/>
          <w:sz w:val="24"/>
          <w:szCs w:val="24"/>
        </w:rPr>
        <w:t>法定代表人（或其授权代表）或自然人：</w:t>
      </w:r>
    </w:p>
    <w:p w14:paraId="4E839593">
      <w:pPr>
        <w:spacing w:line="50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p>
    <w:p w14:paraId="604417D1">
      <w:pPr>
        <w:spacing w:line="500" w:lineRule="exact"/>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（签字或盖章）</w:t>
      </w:r>
    </w:p>
    <w:p w14:paraId="73775245">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431D6632">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3B3FCC39">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highlight w:val="none"/>
        </w:rPr>
        <w:t xml:space="preserve">、本表即为对本项目“第三篇 </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商务需求”中所列服务要求进行比较和响应；</w:t>
      </w:r>
    </w:p>
    <w:p w14:paraId="39BC11E0">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2、该表必须按照</w:t>
      </w:r>
      <w:r>
        <w:rPr>
          <w:rFonts w:hint="eastAsia" w:ascii="宋体" w:hAnsi="宋体" w:eastAsia="宋体" w:cs="宋体"/>
          <w:color w:val="auto"/>
          <w:sz w:val="24"/>
          <w:highlight w:val="none"/>
          <w:lang w:val="en-US" w:eastAsia="zh-CN"/>
        </w:rPr>
        <w:t>文件</w:t>
      </w:r>
      <w:r>
        <w:rPr>
          <w:rFonts w:hint="eastAsia" w:ascii="宋体" w:hAnsi="宋体" w:eastAsia="宋体" w:cs="宋体"/>
          <w:color w:val="auto"/>
          <w:sz w:val="24"/>
          <w:highlight w:val="none"/>
        </w:rPr>
        <w:t>要求逐条如实填写，根据响应情况在“差异说明”项填写正偏离或负偏离及原因，完全符合的填写“无差异”；</w:t>
      </w:r>
    </w:p>
    <w:p w14:paraId="659E0F4F">
      <w:pPr>
        <w:tabs>
          <w:tab w:val="left" w:pos="6300"/>
        </w:tabs>
        <w:snapToGrid w:val="0"/>
        <w:spacing w:line="5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3、该表可扩展</w:t>
      </w:r>
      <w:r>
        <w:rPr>
          <w:rFonts w:hint="eastAsia" w:ascii="宋体" w:hAnsi="宋体" w:eastAsia="宋体" w:cs="宋体"/>
          <w:color w:val="auto"/>
          <w:sz w:val="24"/>
          <w:szCs w:val="28"/>
          <w:highlight w:val="none"/>
        </w:rPr>
        <w:t>，并逐页签字或盖章</w:t>
      </w:r>
      <w:r>
        <w:rPr>
          <w:rFonts w:hint="eastAsia" w:ascii="宋体" w:hAnsi="宋体" w:eastAsia="宋体" w:cs="宋体"/>
          <w:color w:val="auto"/>
          <w:sz w:val="24"/>
          <w:szCs w:val="28"/>
          <w:highlight w:val="none"/>
          <w:lang w:eastAsia="zh-CN"/>
        </w:rPr>
        <w:t>。</w:t>
      </w:r>
    </w:p>
    <w:p w14:paraId="68A53AAE">
      <w:pPr>
        <w:spacing w:line="360" w:lineRule="auto"/>
        <w:ind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color w:val="auto"/>
          <w:sz w:val="24"/>
          <w:szCs w:val="24"/>
          <w:highlight w:val="none"/>
        </w:rPr>
        <w:t>（二）其它优惠承诺（格式自定）</w:t>
      </w:r>
    </w:p>
    <w:p w14:paraId="241BCEEB">
      <w:pPr>
        <w:pStyle w:val="19"/>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（三）其他商务资料</w:t>
      </w:r>
    </w:p>
    <w:p w14:paraId="5F7DF47B">
      <w:pPr>
        <w:pStyle w:val="19"/>
        <w:rPr>
          <w:rFonts w:hint="eastAsia" w:ascii="宋体" w:hAnsi="宋体" w:eastAsia="宋体" w:cs="宋体"/>
          <w:color w:val="auto"/>
          <w:highlight w:val="none"/>
        </w:rPr>
      </w:pPr>
    </w:p>
    <w:p w14:paraId="6177502C">
      <w:pPr>
        <w:snapToGrid w:val="0"/>
        <w:spacing w:line="360" w:lineRule="auto"/>
        <w:ind w:firstLine="480" w:firstLineChars="200"/>
        <w:rPr>
          <w:rFonts w:hint="eastAsia" w:ascii="宋体" w:hAnsi="宋体" w:eastAsia="宋体" w:cs="宋体"/>
          <w:sz w:val="28"/>
          <w:szCs w:val="28"/>
        </w:rPr>
      </w:pPr>
      <w:r>
        <w:rPr>
          <w:rFonts w:hint="eastAsia" w:ascii="宋体" w:hAnsi="宋体" w:eastAsia="宋体" w:cs="宋体"/>
          <w:b w:val="0"/>
          <w:color w:val="auto"/>
          <w:sz w:val="24"/>
          <w:szCs w:val="24"/>
          <w:highlight w:val="none"/>
        </w:rPr>
        <w:br w:type="page"/>
      </w:r>
      <w:bookmarkEnd w:id="454"/>
      <w:bookmarkStart w:id="468" w:name="_Toc313888363"/>
      <w:bookmarkStart w:id="469" w:name="_Toc313008359"/>
      <w:bookmarkStart w:id="470" w:name="_Toc342913422"/>
      <w:bookmarkStart w:id="471" w:name="_Toc5238"/>
      <w:bookmarkStart w:id="472" w:name="_Toc8224"/>
      <w:bookmarkStart w:id="473" w:name="_Toc4386"/>
      <w:bookmarkStart w:id="474" w:name="_Toc32706"/>
      <w:bookmarkStart w:id="475" w:name="_Toc2778"/>
      <w:bookmarkStart w:id="476" w:name="_Toc13174"/>
      <w:bookmarkStart w:id="477" w:name="_Toc973"/>
      <w:bookmarkStart w:id="478" w:name="_Toc10279"/>
      <w:bookmarkStart w:id="479" w:name="_Toc7491"/>
      <w:r>
        <w:rPr>
          <w:rFonts w:hint="eastAsia" w:ascii="宋体" w:hAnsi="宋体" w:eastAsia="宋体" w:cs="宋体"/>
          <w:sz w:val="28"/>
          <w:szCs w:val="28"/>
        </w:rPr>
        <w:t>四、</w:t>
      </w:r>
      <w:bookmarkEnd w:id="468"/>
      <w:bookmarkEnd w:id="469"/>
      <w:bookmarkEnd w:id="470"/>
      <w:r>
        <w:rPr>
          <w:rFonts w:hint="eastAsia" w:ascii="宋体" w:hAnsi="宋体" w:eastAsia="宋体" w:cs="宋体"/>
          <w:sz w:val="28"/>
          <w:szCs w:val="28"/>
        </w:rPr>
        <w:t>资格条件</w:t>
      </w:r>
      <w:bookmarkEnd w:id="471"/>
      <w:bookmarkEnd w:id="472"/>
      <w:bookmarkEnd w:id="473"/>
      <w:bookmarkEnd w:id="474"/>
      <w:bookmarkEnd w:id="475"/>
      <w:bookmarkEnd w:id="476"/>
      <w:bookmarkEnd w:id="477"/>
      <w:bookmarkEnd w:id="478"/>
      <w:bookmarkEnd w:id="479"/>
    </w:p>
    <w:p w14:paraId="5C61FC19">
      <w:pPr>
        <w:tabs>
          <w:tab w:val="left" w:pos="6300"/>
        </w:tabs>
        <w:snapToGrid w:val="0"/>
        <w:spacing w:line="500" w:lineRule="exact"/>
        <w:ind w:firstLine="570"/>
        <w:rPr>
          <w:rFonts w:hint="eastAsia" w:ascii="宋体" w:hAnsi="宋体" w:eastAsia="宋体" w:cs="宋体"/>
          <w:sz w:val="24"/>
          <w:szCs w:val="24"/>
        </w:rPr>
      </w:pPr>
      <w:r>
        <w:rPr>
          <w:rFonts w:hint="eastAsia" w:ascii="宋体" w:hAnsi="宋体" w:eastAsia="宋体" w:cs="宋体"/>
          <w:sz w:val="24"/>
          <w:szCs w:val="24"/>
        </w:rPr>
        <w:t>（一）法人营业执照（副本）或事业单位法人证书（副本）或个体工商户营业执照或有效的自然人身份证明或社会团体法人登记证书复印件</w:t>
      </w:r>
    </w:p>
    <w:p w14:paraId="23C5F4BA">
      <w:pPr>
        <w:tabs>
          <w:tab w:val="left" w:pos="6300"/>
        </w:tabs>
        <w:snapToGrid w:val="0"/>
        <w:spacing w:line="500" w:lineRule="exact"/>
        <w:ind w:firstLine="570"/>
        <w:rPr>
          <w:rFonts w:hint="eastAsia" w:ascii="宋体" w:hAnsi="宋体" w:eastAsia="宋体" w:cs="宋体"/>
          <w:sz w:val="24"/>
          <w:szCs w:val="24"/>
        </w:rPr>
      </w:pPr>
    </w:p>
    <w:p w14:paraId="77EEBFCA">
      <w:pPr>
        <w:tabs>
          <w:tab w:val="left" w:pos="6300"/>
        </w:tabs>
        <w:snapToGrid w:val="0"/>
        <w:spacing w:line="500" w:lineRule="exact"/>
        <w:ind w:firstLine="570"/>
        <w:rPr>
          <w:rFonts w:hint="eastAsia" w:ascii="宋体" w:hAnsi="宋体" w:eastAsia="宋体" w:cs="宋体"/>
          <w:sz w:val="24"/>
          <w:szCs w:val="24"/>
        </w:rPr>
      </w:pPr>
    </w:p>
    <w:p w14:paraId="07410040">
      <w:pPr>
        <w:tabs>
          <w:tab w:val="left" w:pos="6300"/>
        </w:tabs>
        <w:snapToGrid w:val="0"/>
        <w:spacing w:line="500" w:lineRule="exact"/>
        <w:ind w:firstLine="570"/>
        <w:rPr>
          <w:rFonts w:hint="eastAsia" w:ascii="宋体" w:hAnsi="宋体" w:eastAsia="宋体" w:cs="宋体"/>
          <w:sz w:val="24"/>
          <w:szCs w:val="24"/>
        </w:rPr>
      </w:pPr>
    </w:p>
    <w:p w14:paraId="123389CD">
      <w:pPr>
        <w:tabs>
          <w:tab w:val="left" w:pos="6300"/>
        </w:tabs>
        <w:snapToGrid w:val="0"/>
        <w:spacing w:line="500" w:lineRule="exact"/>
        <w:ind w:firstLine="570"/>
        <w:rPr>
          <w:rFonts w:hint="eastAsia" w:ascii="宋体" w:hAnsi="宋体" w:eastAsia="宋体" w:cs="宋体"/>
          <w:sz w:val="24"/>
          <w:szCs w:val="24"/>
        </w:rPr>
      </w:pPr>
    </w:p>
    <w:p w14:paraId="3D64B0F7">
      <w:pPr>
        <w:widowControl/>
        <w:ind w:firstLine="480" w:firstLineChars="200"/>
        <w:jc w:val="left"/>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（二）法定代表人身份证明书（格式）</w:t>
      </w:r>
    </w:p>
    <w:p w14:paraId="49B9BF3B">
      <w:pPr>
        <w:tabs>
          <w:tab w:val="left" w:pos="6300"/>
        </w:tabs>
        <w:snapToGrid w:val="0"/>
        <w:spacing w:line="500" w:lineRule="exact"/>
        <w:ind w:firstLine="570"/>
        <w:rPr>
          <w:rFonts w:hint="eastAsia" w:ascii="宋体" w:hAnsi="宋体" w:eastAsia="宋体" w:cs="宋体"/>
          <w:sz w:val="24"/>
          <w:szCs w:val="24"/>
        </w:rPr>
      </w:pPr>
    </w:p>
    <w:p w14:paraId="5544BC34">
      <w:pPr>
        <w:tabs>
          <w:tab w:val="left" w:pos="6300"/>
        </w:tabs>
        <w:snapToGrid w:val="0"/>
        <w:spacing w:line="500" w:lineRule="exact"/>
        <w:ind w:firstLine="570"/>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p>
    <w:p w14:paraId="5F93072F">
      <w:pPr>
        <w:tabs>
          <w:tab w:val="left" w:pos="6300"/>
        </w:tabs>
        <w:snapToGrid w:val="0"/>
        <w:spacing w:line="500" w:lineRule="exact"/>
        <w:ind w:firstLine="57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rPr>
        <w:t>（采购代理机构名称）：</w:t>
      </w:r>
    </w:p>
    <w:p w14:paraId="4B4824C0">
      <w:pPr>
        <w:tabs>
          <w:tab w:val="left" w:pos="6300"/>
        </w:tabs>
        <w:snapToGrid w:val="0"/>
        <w:spacing w:line="500" w:lineRule="exact"/>
        <w:ind w:firstLine="57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（法定代表人姓名）</w:t>
      </w:r>
      <w:r>
        <w:rPr>
          <w:rFonts w:hint="eastAsia" w:ascii="宋体" w:hAnsi="宋体" w:eastAsia="宋体" w:cs="宋体"/>
          <w:sz w:val="28"/>
          <w:szCs w:val="28"/>
          <w:u w:val="single"/>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性别</w:t>
      </w:r>
      <w:r>
        <w:rPr>
          <w:rFonts w:hint="eastAsia" w:ascii="宋体" w:hAnsi="宋体" w:eastAsia="宋体" w:cs="宋体"/>
          <w:sz w:val="24"/>
          <w:szCs w:val="24"/>
          <w:lang w:eastAsia="zh-CN"/>
        </w:rPr>
        <w:t>）</w:t>
      </w:r>
      <w:r>
        <w:rPr>
          <w:rFonts w:hint="eastAsia" w:ascii="宋体" w:hAnsi="宋体" w:eastAsia="宋体" w:cs="宋体"/>
          <w:sz w:val="24"/>
          <w:szCs w:val="24"/>
        </w:rPr>
        <w:t>在</w:t>
      </w:r>
      <w:r>
        <w:rPr>
          <w:rFonts w:hint="eastAsia" w:ascii="宋体" w:hAnsi="宋体" w:eastAsia="宋体" w:cs="宋体"/>
          <w:sz w:val="24"/>
          <w:szCs w:val="24"/>
          <w:u w:val="single"/>
        </w:rPr>
        <w:t xml:space="preserve">                       </w:t>
      </w:r>
      <w:r>
        <w:rPr>
          <w:rFonts w:hint="eastAsia" w:ascii="宋体" w:hAnsi="宋体" w:eastAsia="宋体" w:cs="宋体"/>
          <w:sz w:val="24"/>
          <w:szCs w:val="24"/>
        </w:rPr>
        <w:t>（供应商名称）任</w:t>
      </w:r>
      <w:r>
        <w:rPr>
          <w:rFonts w:hint="eastAsia" w:ascii="宋体" w:hAnsi="宋体" w:eastAsia="宋体" w:cs="宋体"/>
          <w:sz w:val="24"/>
          <w:szCs w:val="24"/>
          <w:u w:val="single"/>
        </w:rPr>
        <w:t xml:space="preserve">    </w:t>
      </w:r>
      <w:r>
        <w:rPr>
          <w:rFonts w:hint="eastAsia" w:ascii="宋体" w:hAnsi="宋体" w:eastAsia="宋体" w:cs="宋体"/>
          <w:sz w:val="24"/>
          <w:szCs w:val="24"/>
        </w:rPr>
        <w:t>（职务名称）职务，是（供应商名称）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的法定代表人。</w:t>
      </w:r>
    </w:p>
    <w:p w14:paraId="17EBB968">
      <w:pPr>
        <w:tabs>
          <w:tab w:val="left" w:pos="6300"/>
        </w:tabs>
        <w:snapToGrid w:val="0"/>
        <w:spacing w:line="500" w:lineRule="exact"/>
        <w:ind w:firstLine="570"/>
        <w:rPr>
          <w:rFonts w:hint="eastAsia" w:ascii="宋体" w:hAnsi="宋体" w:eastAsia="宋体" w:cs="宋体"/>
          <w:sz w:val="24"/>
          <w:szCs w:val="24"/>
        </w:rPr>
      </w:pPr>
    </w:p>
    <w:p w14:paraId="40404FF9">
      <w:pPr>
        <w:tabs>
          <w:tab w:val="left" w:pos="6300"/>
        </w:tabs>
        <w:snapToGrid w:val="0"/>
        <w:spacing w:line="500" w:lineRule="exact"/>
        <w:ind w:firstLine="570"/>
        <w:rPr>
          <w:rFonts w:hint="eastAsia" w:ascii="宋体" w:hAnsi="宋体" w:eastAsia="宋体" w:cs="宋体"/>
          <w:sz w:val="24"/>
          <w:szCs w:val="24"/>
        </w:rPr>
      </w:pPr>
      <w:r>
        <w:rPr>
          <w:rFonts w:hint="eastAsia" w:ascii="宋体" w:hAnsi="宋体" w:eastAsia="宋体" w:cs="宋体"/>
          <w:sz w:val="24"/>
          <w:szCs w:val="24"/>
        </w:rPr>
        <w:t>特此证明。</w:t>
      </w:r>
    </w:p>
    <w:p w14:paraId="212F5656">
      <w:pPr>
        <w:tabs>
          <w:tab w:val="left" w:pos="6300"/>
        </w:tabs>
        <w:snapToGrid w:val="0"/>
        <w:spacing w:line="500" w:lineRule="exact"/>
        <w:ind w:firstLine="570"/>
        <w:rPr>
          <w:rFonts w:hint="eastAsia" w:ascii="宋体" w:hAnsi="宋体" w:eastAsia="宋体" w:cs="宋体"/>
          <w:sz w:val="24"/>
          <w:szCs w:val="24"/>
        </w:rPr>
      </w:pPr>
    </w:p>
    <w:p w14:paraId="342E69C1">
      <w:pPr>
        <w:tabs>
          <w:tab w:val="left" w:pos="6300"/>
        </w:tabs>
        <w:snapToGrid w:val="0"/>
        <w:spacing w:line="500" w:lineRule="exact"/>
        <w:ind w:firstLine="570"/>
        <w:rPr>
          <w:rFonts w:hint="eastAsia" w:ascii="宋体" w:hAnsi="宋体" w:eastAsia="宋体" w:cs="宋体"/>
          <w:sz w:val="24"/>
          <w:szCs w:val="24"/>
        </w:rPr>
      </w:pPr>
    </w:p>
    <w:p w14:paraId="5D4BE0D7">
      <w:pPr>
        <w:tabs>
          <w:tab w:val="left" w:pos="6300"/>
        </w:tabs>
        <w:snapToGrid w:val="0"/>
        <w:spacing w:line="500" w:lineRule="exact"/>
        <w:ind w:firstLine="570"/>
        <w:rPr>
          <w:rFonts w:hint="eastAsia" w:ascii="宋体" w:hAnsi="宋体" w:eastAsia="宋体" w:cs="宋体"/>
          <w:sz w:val="24"/>
          <w:szCs w:val="24"/>
        </w:rPr>
      </w:pPr>
    </w:p>
    <w:p w14:paraId="66C9B9B5">
      <w:pPr>
        <w:tabs>
          <w:tab w:val="left" w:pos="6300"/>
        </w:tabs>
        <w:snapToGrid w:val="0"/>
        <w:spacing w:line="500" w:lineRule="exact"/>
        <w:ind w:firstLine="570"/>
        <w:rPr>
          <w:rFonts w:hint="eastAsia" w:ascii="宋体" w:hAnsi="宋体" w:eastAsia="宋体" w:cs="宋体"/>
          <w:sz w:val="24"/>
          <w:szCs w:val="24"/>
        </w:rPr>
      </w:pPr>
      <w:r>
        <w:rPr>
          <w:rFonts w:hint="eastAsia" w:ascii="宋体" w:hAnsi="宋体" w:eastAsia="宋体" w:cs="宋体"/>
          <w:sz w:val="24"/>
          <w:szCs w:val="24"/>
        </w:rPr>
        <w:t xml:space="preserve">                                             （供应商公章）</w:t>
      </w:r>
    </w:p>
    <w:p w14:paraId="668512E6">
      <w:pPr>
        <w:tabs>
          <w:tab w:val="left" w:pos="6300"/>
        </w:tabs>
        <w:snapToGrid w:val="0"/>
        <w:spacing w:line="500" w:lineRule="exact"/>
        <w:ind w:firstLine="570"/>
        <w:rPr>
          <w:rFonts w:hint="eastAsia" w:ascii="宋体" w:hAnsi="宋体" w:eastAsia="宋体" w:cs="宋体"/>
          <w:sz w:val="24"/>
          <w:szCs w:val="24"/>
        </w:rPr>
      </w:pPr>
    </w:p>
    <w:p w14:paraId="4A0C2631">
      <w:pPr>
        <w:tabs>
          <w:tab w:val="left" w:pos="6300"/>
        </w:tabs>
        <w:snapToGrid w:val="0"/>
        <w:spacing w:line="500" w:lineRule="exact"/>
        <w:ind w:firstLine="570"/>
        <w:rPr>
          <w:rFonts w:hint="eastAsia" w:ascii="宋体" w:hAnsi="宋体" w:eastAsia="宋体" w:cs="宋体"/>
          <w:sz w:val="24"/>
          <w:szCs w:val="24"/>
        </w:rPr>
      </w:pPr>
      <w:r>
        <w:rPr>
          <w:rFonts w:hint="eastAsia" w:ascii="宋体" w:hAnsi="宋体" w:eastAsia="宋体" w:cs="宋体"/>
          <w:sz w:val="24"/>
          <w:szCs w:val="24"/>
        </w:rPr>
        <w:t xml:space="preserve">                                             年   月   日</w:t>
      </w:r>
    </w:p>
    <w:p w14:paraId="21AB51A0">
      <w:pPr>
        <w:tabs>
          <w:tab w:val="left" w:pos="6300"/>
        </w:tabs>
        <w:snapToGrid w:val="0"/>
        <w:spacing w:line="500" w:lineRule="exact"/>
        <w:ind w:firstLine="570"/>
        <w:rPr>
          <w:rFonts w:hint="eastAsia" w:ascii="宋体" w:hAnsi="宋体" w:eastAsia="宋体" w:cs="宋体"/>
          <w:sz w:val="24"/>
          <w:szCs w:val="24"/>
        </w:rPr>
      </w:pPr>
    </w:p>
    <w:p w14:paraId="322BFD1A">
      <w:pPr>
        <w:tabs>
          <w:tab w:val="left" w:pos="6300"/>
        </w:tabs>
        <w:snapToGrid w:val="0"/>
        <w:spacing w:line="500" w:lineRule="exact"/>
        <w:ind w:firstLine="570"/>
        <w:rPr>
          <w:rFonts w:hint="eastAsia" w:ascii="宋体" w:hAnsi="宋体" w:eastAsia="宋体" w:cs="宋体"/>
          <w:sz w:val="24"/>
          <w:szCs w:val="24"/>
        </w:rPr>
      </w:pPr>
    </w:p>
    <w:p w14:paraId="4A1F93C5">
      <w:pPr>
        <w:tabs>
          <w:tab w:val="left" w:pos="6300"/>
        </w:tabs>
        <w:snapToGrid w:val="0"/>
        <w:spacing w:line="500" w:lineRule="exact"/>
        <w:ind w:firstLine="570"/>
        <w:rPr>
          <w:rFonts w:hint="eastAsia" w:ascii="宋体" w:hAnsi="宋体" w:eastAsia="宋体" w:cs="宋体"/>
          <w:sz w:val="24"/>
          <w:szCs w:val="24"/>
        </w:rPr>
      </w:pPr>
      <w:r>
        <w:rPr>
          <w:rFonts w:hint="eastAsia" w:ascii="宋体" w:hAnsi="宋体" w:eastAsia="宋体" w:cs="宋体"/>
          <w:sz w:val="24"/>
          <w:szCs w:val="24"/>
        </w:rPr>
        <w:t>法定代表人电话：XXXXXXX      电子邮箱：XXXXXX@XXXXX（若授权他人办理并签署比选申请文件的可不填写法定代表人电话和电子邮箱）</w:t>
      </w:r>
    </w:p>
    <w:p w14:paraId="4D5F6E85">
      <w:pPr>
        <w:tabs>
          <w:tab w:val="left" w:pos="6300"/>
        </w:tabs>
        <w:snapToGrid w:val="0"/>
        <w:spacing w:line="500" w:lineRule="exact"/>
        <w:ind w:firstLine="570"/>
        <w:rPr>
          <w:rFonts w:hint="eastAsia" w:ascii="宋体" w:hAnsi="宋体" w:eastAsia="宋体" w:cs="宋体"/>
          <w:sz w:val="24"/>
          <w:szCs w:val="24"/>
        </w:rPr>
      </w:pPr>
      <w:r>
        <w:rPr>
          <w:rFonts w:hint="eastAsia" w:ascii="宋体" w:hAnsi="宋体" w:eastAsia="宋体" w:cs="宋体"/>
          <w:sz w:val="24"/>
          <w:szCs w:val="24"/>
        </w:rPr>
        <w:t>（附：法定代表人身份证正反面复印件）</w:t>
      </w:r>
    </w:p>
    <w:p w14:paraId="26545F94">
      <w:pPr>
        <w:tabs>
          <w:tab w:val="left" w:pos="6300"/>
        </w:tabs>
        <w:snapToGrid w:val="0"/>
        <w:spacing w:line="500" w:lineRule="exact"/>
        <w:ind w:firstLine="570"/>
        <w:rPr>
          <w:rFonts w:hint="eastAsia" w:ascii="宋体" w:hAnsi="宋体" w:eastAsia="宋体" w:cs="宋体"/>
          <w:sz w:val="24"/>
          <w:szCs w:val="24"/>
        </w:rPr>
      </w:pPr>
    </w:p>
    <w:p w14:paraId="09CA5199">
      <w:pPr>
        <w:tabs>
          <w:tab w:val="left" w:pos="6300"/>
        </w:tabs>
        <w:snapToGrid w:val="0"/>
        <w:spacing w:line="500" w:lineRule="exact"/>
        <w:ind w:firstLine="570"/>
        <w:rPr>
          <w:rFonts w:hint="eastAsia" w:ascii="宋体" w:hAnsi="宋体" w:eastAsia="宋体" w:cs="宋体"/>
          <w:sz w:val="24"/>
          <w:szCs w:val="24"/>
        </w:rPr>
      </w:pPr>
    </w:p>
    <w:p w14:paraId="17D26708">
      <w:pPr>
        <w:tabs>
          <w:tab w:val="left" w:pos="6300"/>
        </w:tabs>
        <w:snapToGrid w:val="0"/>
        <w:spacing w:line="500" w:lineRule="exact"/>
        <w:ind w:firstLine="570"/>
        <w:rPr>
          <w:rFonts w:hint="eastAsia" w:ascii="宋体" w:hAnsi="宋体" w:eastAsia="宋体" w:cs="宋体"/>
          <w:sz w:val="24"/>
          <w:szCs w:val="24"/>
        </w:rPr>
      </w:pPr>
    </w:p>
    <w:p w14:paraId="1E96FD74">
      <w:pPr>
        <w:tabs>
          <w:tab w:val="left" w:pos="6300"/>
        </w:tabs>
        <w:snapToGrid w:val="0"/>
        <w:spacing w:line="500" w:lineRule="exact"/>
        <w:ind w:firstLine="570"/>
        <w:rPr>
          <w:rFonts w:hint="eastAsia" w:ascii="宋体" w:hAnsi="宋体" w:eastAsia="宋体" w:cs="宋体"/>
          <w:sz w:val="24"/>
          <w:szCs w:val="24"/>
        </w:rPr>
      </w:pPr>
    </w:p>
    <w:p w14:paraId="1C6ACF28">
      <w:pPr>
        <w:tabs>
          <w:tab w:val="left" w:pos="6300"/>
        </w:tabs>
        <w:snapToGrid w:val="0"/>
        <w:spacing w:line="500" w:lineRule="exact"/>
        <w:ind w:firstLine="570"/>
        <w:rPr>
          <w:rFonts w:hint="eastAsia" w:ascii="宋体" w:hAnsi="宋体" w:eastAsia="宋体" w:cs="宋体"/>
          <w:sz w:val="24"/>
          <w:szCs w:val="24"/>
        </w:rPr>
      </w:pPr>
    </w:p>
    <w:p w14:paraId="6C70D39F">
      <w:pPr>
        <w:tabs>
          <w:tab w:val="left" w:pos="6300"/>
        </w:tabs>
        <w:snapToGrid w:val="0"/>
        <w:spacing w:line="500" w:lineRule="exact"/>
        <w:ind w:firstLine="570"/>
        <w:rPr>
          <w:rFonts w:hint="eastAsia" w:ascii="宋体" w:hAnsi="宋体" w:eastAsia="宋体" w:cs="宋体"/>
          <w:sz w:val="24"/>
          <w:szCs w:val="24"/>
        </w:rPr>
      </w:pPr>
    </w:p>
    <w:p w14:paraId="04928B61">
      <w:pPr>
        <w:tabs>
          <w:tab w:val="left" w:pos="6300"/>
        </w:tabs>
        <w:snapToGrid w:val="0"/>
        <w:spacing w:line="500" w:lineRule="exact"/>
        <w:ind w:firstLine="570"/>
        <w:rPr>
          <w:rFonts w:hint="eastAsia" w:ascii="宋体" w:hAnsi="宋体" w:eastAsia="宋体" w:cs="宋体"/>
          <w:sz w:val="24"/>
          <w:szCs w:val="24"/>
        </w:rPr>
      </w:pPr>
      <w:r>
        <w:rPr>
          <w:rFonts w:hint="eastAsia" w:ascii="宋体" w:hAnsi="宋体" w:eastAsia="宋体" w:cs="宋体"/>
          <w:sz w:val="24"/>
          <w:szCs w:val="24"/>
        </w:rPr>
        <w:br w:type="column"/>
      </w:r>
      <w:r>
        <w:rPr>
          <w:rFonts w:hint="eastAsia" w:ascii="宋体" w:hAnsi="宋体" w:eastAsia="宋体" w:cs="宋体"/>
          <w:sz w:val="24"/>
          <w:szCs w:val="24"/>
        </w:rPr>
        <w:t>（三）法定代表人授权委托书（格式）</w:t>
      </w:r>
    </w:p>
    <w:p w14:paraId="122D3753">
      <w:pPr>
        <w:tabs>
          <w:tab w:val="left" w:pos="6300"/>
        </w:tabs>
        <w:snapToGrid w:val="0"/>
        <w:spacing w:line="500" w:lineRule="exact"/>
        <w:ind w:firstLine="570"/>
        <w:rPr>
          <w:rFonts w:hint="eastAsia" w:ascii="宋体" w:hAnsi="宋体" w:eastAsia="宋体" w:cs="宋体"/>
          <w:sz w:val="24"/>
          <w:szCs w:val="24"/>
        </w:rPr>
      </w:pPr>
      <w:r>
        <w:rPr>
          <w:rFonts w:hint="eastAsia" w:ascii="宋体" w:hAnsi="宋体" w:eastAsia="宋体" w:cs="宋体"/>
          <w:sz w:val="24"/>
          <w:szCs w:val="24"/>
        </w:rPr>
        <w:t xml:space="preserve">    </w:t>
      </w:r>
    </w:p>
    <w:p w14:paraId="06D06029">
      <w:pPr>
        <w:tabs>
          <w:tab w:val="left" w:pos="6300"/>
        </w:tabs>
        <w:snapToGrid w:val="0"/>
        <w:spacing w:line="500" w:lineRule="exact"/>
        <w:ind w:firstLine="570"/>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p>
    <w:p w14:paraId="1DDDCC58">
      <w:pPr>
        <w:tabs>
          <w:tab w:val="left" w:pos="6300"/>
        </w:tabs>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rPr>
        <w:t>（采购代理机构名称）：</w:t>
      </w:r>
    </w:p>
    <w:p w14:paraId="267561EF">
      <w:pPr>
        <w:tabs>
          <w:tab w:val="left" w:pos="6300"/>
        </w:tabs>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（供应商法定代表人名称）是</w:t>
      </w:r>
      <w:r>
        <w:rPr>
          <w:rFonts w:hint="eastAsia" w:ascii="宋体" w:hAnsi="宋体" w:eastAsia="宋体" w:cs="宋体"/>
          <w:sz w:val="24"/>
          <w:szCs w:val="24"/>
          <w:u w:val="single"/>
        </w:rPr>
        <w:t xml:space="preserve">                    </w:t>
      </w:r>
      <w:r>
        <w:rPr>
          <w:rFonts w:hint="eastAsia" w:ascii="宋体" w:hAnsi="宋体" w:eastAsia="宋体" w:cs="宋体"/>
          <w:sz w:val="24"/>
          <w:szCs w:val="24"/>
        </w:rPr>
        <w:t>（供应商名称）的法定代表人，特授权</w:t>
      </w:r>
      <w:r>
        <w:rPr>
          <w:rFonts w:hint="eastAsia" w:ascii="宋体" w:hAnsi="宋体" w:eastAsia="宋体" w:cs="宋体"/>
          <w:sz w:val="24"/>
          <w:szCs w:val="24"/>
          <w:u w:val="single"/>
        </w:rPr>
        <w:t xml:space="preserve">          </w:t>
      </w:r>
      <w:r>
        <w:rPr>
          <w:rFonts w:hint="eastAsia" w:ascii="宋体" w:hAnsi="宋体" w:eastAsia="宋体" w:cs="宋体"/>
          <w:sz w:val="24"/>
          <w:szCs w:val="24"/>
        </w:rPr>
        <w:t>（被授权人姓名及身份证代码）代表我单位全权办理上述项目的竞选、签约等具体工作，并签署全部有关文件、协议及合同。</w:t>
      </w:r>
    </w:p>
    <w:p w14:paraId="7977B1C0">
      <w:pPr>
        <w:tabs>
          <w:tab w:val="left" w:pos="6300"/>
        </w:tabs>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我单位对被授权人的签署负全部责任。</w:t>
      </w:r>
    </w:p>
    <w:p w14:paraId="1DE02C75">
      <w:pPr>
        <w:tabs>
          <w:tab w:val="left" w:pos="6300"/>
        </w:tabs>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在撤销授权的书面通知以前，本授权书一直有效。被授权人在授权书有效期内签署的所有文件不因授权的撤销而失效。</w:t>
      </w:r>
    </w:p>
    <w:p w14:paraId="3E5098B5">
      <w:pPr>
        <w:tabs>
          <w:tab w:val="left" w:pos="6300"/>
        </w:tabs>
        <w:snapToGrid w:val="0"/>
        <w:spacing w:line="500" w:lineRule="exact"/>
        <w:ind w:firstLine="570"/>
        <w:rPr>
          <w:rFonts w:hint="eastAsia" w:ascii="宋体" w:hAnsi="宋体" w:eastAsia="宋体" w:cs="宋体"/>
          <w:sz w:val="24"/>
          <w:szCs w:val="24"/>
        </w:rPr>
      </w:pPr>
    </w:p>
    <w:p w14:paraId="3B6F1AFD">
      <w:pPr>
        <w:tabs>
          <w:tab w:val="left" w:pos="6300"/>
        </w:tabs>
        <w:snapToGrid w:val="0"/>
        <w:spacing w:line="500" w:lineRule="exact"/>
        <w:ind w:firstLine="570"/>
        <w:rPr>
          <w:rFonts w:hint="eastAsia" w:ascii="宋体" w:hAnsi="宋体" w:eastAsia="宋体" w:cs="宋体"/>
          <w:sz w:val="24"/>
          <w:szCs w:val="24"/>
        </w:rPr>
      </w:pPr>
    </w:p>
    <w:p w14:paraId="011E1314">
      <w:pPr>
        <w:tabs>
          <w:tab w:val="left" w:pos="6300"/>
        </w:tabs>
        <w:snapToGrid w:val="0"/>
        <w:spacing w:line="500" w:lineRule="exact"/>
        <w:ind w:firstLine="570"/>
        <w:rPr>
          <w:rFonts w:hint="eastAsia" w:ascii="宋体" w:hAnsi="宋体" w:eastAsia="宋体" w:cs="宋体"/>
          <w:sz w:val="24"/>
          <w:szCs w:val="24"/>
        </w:rPr>
      </w:pPr>
      <w:r>
        <w:rPr>
          <w:rFonts w:hint="eastAsia" w:ascii="宋体" w:hAnsi="宋体" w:eastAsia="宋体" w:cs="宋体"/>
          <w:sz w:val="24"/>
          <w:szCs w:val="24"/>
        </w:rPr>
        <w:t>被授权人：                                 供应商法定代表人：</w:t>
      </w:r>
    </w:p>
    <w:p w14:paraId="6302721E">
      <w:pPr>
        <w:tabs>
          <w:tab w:val="left" w:pos="6300"/>
        </w:tabs>
        <w:snapToGrid w:val="0"/>
        <w:spacing w:line="500" w:lineRule="exact"/>
        <w:ind w:firstLine="570"/>
        <w:rPr>
          <w:rFonts w:hint="eastAsia" w:ascii="宋体" w:hAnsi="宋体" w:eastAsia="宋体" w:cs="宋体"/>
          <w:sz w:val="24"/>
          <w:szCs w:val="24"/>
        </w:rPr>
      </w:pPr>
      <w:r>
        <w:rPr>
          <w:rFonts w:hint="eastAsia" w:ascii="宋体" w:hAnsi="宋体" w:eastAsia="宋体" w:cs="宋体"/>
          <w:sz w:val="24"/>
          <w:szCs w:val="24"/>
        </w:rPr>
        <w:t>（签署或盖章）                                （签署或盖章）</w:t>
      </w:r>
    </w:p>
    <w:p w14:paraId="060C8C8B">
      <w:pPr>
        <w:tabs>
          <w:tab w:val="left" w:pos="6300"/>
        </w:tabs>
        <w:snapToGrid w:val="0"/>
        <w:spacing w:line="500" w:lineRule="exact"/>
        <w:ind w:firstLine="570"/>
        <w:rPr>
          <w:rFonts w:hint="eastAsia" w:ascii="宋体" w:hAnsi="宋体" w:eastAsia="宋体" w:cs="宋体"/>
          <w:sz w:val="24"/>
          <w:szCs w:val="24"/>
        </w:rPr>
      </w:pPr>
    </w:p>
    <w:p w14:paraId="49A62564">
      <w:pPr>
        <w:tabs>
          <w:tab w:val="left" w:pos="6300"/>
        </w:tabs>
        <w:snapToGrid w:val="0"/>
        <w:spacing w:line="500" w:lineRule="exact"/>
        <w:ind w:firstLine="570"/>
        <w:rPr>
          <w:rFonts w:hint="eastAsia" w:ascii="宋体" w:hAnsi="宋体" w:eastAsia="宋体" w:cs="宋体"/>
          <w:sz w:val="24"/>
          <w:szCs w:val="24"/>
        </w:rPr>
      </w:pPr>
    </w:p>
    <w:p w14:paraId="3C304F44">
      <w:pPr>
        <w:tabs>
          <w:tab w:val="left" w:pos="6300"/>
        </w:tabs>
        <w:snapToGrid w:val="0"/>
        <w:spacing w:line="500" w:lineRule="exact"/>
        <w:ind w:firstLine="570"/>
        <w:rPr>
          <w:rFonts w:hint="eastAsia" w:ascii="宋体" w:hAnsi="宋体" w:eastAsia="宋体" w:cs="宋体"/>
          <w:sz w:val="24"/>
          <w:szCs w:val="24"/>
        </w:rPr>
      </w:pPr>
      <w:r>
        <w:rPr>
          <w:rFonts w:hint="eastAsia" w:ascii="宋体" w:hAnsi="宋体" w:eastAsia="宋体" w:cs="宋体"/>
          <w:sz w:val="24"/>
          <w:szCs w:val="24"/>
        </w:rPr>
        <w:t>（附：被授权人身份证正反面复印件）</w:t>
      </w:r>
    </w:p>
    <w:p w14:paraId="7A1CAA61">
      <w:pPr>
        <w:tabs>
          <w:tab w:val="left" w:pos="6300"/>
        </w:tabs>
        <w:snapToGrid w:val="0"/>
        <w:spacing w:line="500" w:lineRule="exact"/>
        <w:ind w:firstLine="570"/>
        <w:rPr>
          <w:rFonts w:hint="eastAsia" w:ascii="宋体" w:hAnsi="宋体" w:eastAsia="宋体" w:cs="宋体"/>
          <w:sz w:val="24"/>
          <w:szCs w:val="24"/>
        </w:rPr>
      </w:pPr>
      <w:r>
        <w:rPr>
          <w:rFonts w:hint="eastAsia" w:ascii="宋体" w:hAnsi="宋体" w:eastAsia="宋体" w:cs="宋体"/>
          <w:sz w:val="24"/>
          <w:szCs w:val="24"/>
        </w:rPr>
        <w:t xml:space="preserve">                                          </w:t>
      </w:r>
    </w:p>
    <w:p w14:paraId="31B7C4C8">
      <w:pPr>
        <w:tabs>
          <w:tab w:val="left" w:pos="6300"/>
        </w:tabs>
        <w:snapToGrid w:val="0"/>
        <w:spacing w:line="500" w:lineRule="exact"/>
        <w:ind w:firstLine="570"/>
        <w:rPr>
          <w:rFonts w:hint="eastAsia" w:ascii="宋体" w:hAnsi="宋体" w:eastAsia="宋体" w:cs="宋体"/>
          <w:sz w:val="24"/>
          <w:szCs w:val="24"/>
        </w:rPr>
      </w:pPr>
    </w:p>
    <w:p w14:paraId="7E9E5736">
      <w:pPr>
        <w:tabs>
          <w:tab w:val="left" w:pos="6300"/>
        </w:tabs>
        <w:snapToGrid w:val="0"/>
        <w:spacing w:line="500" w:lineRule="exact"/>
        <w:ind w:firstLine="570"/>
        <w:rPr>
          <w:rFonts w:hint="eastAsia" w:ascii="宋体" w:hAnsi="宋体" w:eastAsia="宋体" w:cs="宋体"/>
          <w:sz w:val="24"/>
          <w:szCs w:val="24"/>
        </w:rPr>
      </w:pPr>
    </w:p>
    <w:p w14:paraId="7A60A596">
      <w:pPr>
        <w:tabs>
          <w:tab w:val="left" w:pos="6300"/>
        </w:tabs>
        <w:snapToGrid w:val="0"/>
        <w:spacing w:line="500" w:lineRule="exact"/>
        <w:ind w:right="480" w:firstLine="570"/>
        <w:jc w:val="right"/>
        <w:rPr>
          <w:rFonts w:hint="eastAsia" w:ascii="宋体" w:hAnsi="宋体" w:eastAsia="宋体" w:cs="宋体"/>
          <w:sz w:val="24"/>
          <w:szCs w:val="24"/>
        </w:rPr>
      </w:pPr>
      <w:r>
        <w:rPr>
          <w:rFonts w:hint="eastAsia" w:ascii="宋体" w:hAnsi="宋体" w:eastAsia="宋体" w:cs="宋体"/>
          <w:sz w:val="24"/>
          <w:szCs w:val="24"/>
        </w:rPr>
        <w:t>（供应商公章）</w:t>
      </w:r>
    </w:p>
    <w:p w14:paraId="70A432AF">
      <w:pPr>
        <w:tabs>
          <w:tab w:val="left" w:pos="6300"/>
        </w:tabs>
        <w:snapToGrid w:val="0"/>
        <w:spacing w:line="500" w:lineRule="exact"/>
        <w:ind w:right="480" w:firstLine="570"/>
        <w:jc w:val="right"/>
        <w:rPr>
          <w:rFonts w:hint="eastAsia" w:ascii="宋体" w:hAnsi="宋体" w:eastAsia="宋体" w:cs="宋体"/>
          <w:sz w:val="24"/>
          <w:szCs w:val="24"/>
        </w:rPr>
      </w:pPr>
      <w:r>
        <w:rPr>
          <w:rFonts w:hint="eastAsia" w:ascii="宋体" w:hAnsi="宋体" w:eastAsia="宋体" w:cs="宋体"/>
          <w:sz w:val="24"/>
          <w:szCs w:val="24"/>
        </w:rPr>
        <w:t>年   月   日</w:t>
      </w:r>
    </w:p>
    <w:p w14:paraId="329E0D01">
      <w:pPr>
        <w:tabs>
          <w:tab w:val="left" w:pos="6300"/>
        </w:tabs>
        <w:snapToGrid w:val="0"/>
        <w:spacing w:line="500" w:lineRule="exact"/>
        <w:ind w:right="480" w:firstLine="570"/>
        <w:jc w:val="right"/>
        <w:rPr>
          <w:rFonts w:hint="eastAsia" w:ascii="宋体" w:hAnsi="宋体" w:eastAsia="宋体" w:cs="宋体"/>
          <w:sz w:val="24"/>
          <w:szCs w:val="24"/>
        </w:rPr>
      </w:pPr>
    </w:p>
    <w:p w14:paraId="3802C97C">
      <w:pPr>
        <w:tabs>
          <w:tab w:val="left" w:pos="6300"/>
        </w:tabs>
        <w:snapToGrid w:val="0"/>
        <w:spacing w:line="500" w:lineRule="exact"/>
        <w:ind w:firstLine="570"/>
        <w:rPr>
          <w:rFonts w:hint="eastAsia" w:ascii="宋体" w:hAnsi="宋体" w:eastAsia="宋体" w:cs="宋体"/>
          <w:sz w:val="24"/>
          <w:szCs w:val="24"/>
        </w:rPr>
      </w:pPr>
      <w:r>
        <w:rPr>
          <w:rFonts w:hint="eastAsia" w:ascii="宋体" w:hAnsi="宋体" w:eastAsia="宋体" w:cs="宋体"/>
          <w:sz w:val="24"/>
          <w:szCs w:val="24"/>
        </w:rPr>
        <w:t>被授权人电话：XXXXXXX     电子邮箱：XXXXXX@XXXXX（若法定代表人办理并签署比选申请文件的可不填写）</w:t>
      </w:r>
    </w:p>
    <w:p w14:paraId="6BB18C75">
      <w:pPr>
        <w:tabs>
          <w:tab w:val="left" w:pos="6300"/>
        </w:tabs>
        <w:snapToGrid w:val="0"/>
        <w:spacing w:line="500" w:lineRule="exact"/>
        <w:ind w:firstLine="570"/>
        <w:rPr>
          <w:rFonts w:hint="eastAsia" w:ascii="宋体" w:hAnsi="宋体" w:eastAsia="宋体" w:cs="宋体"/>
          <w:sz w:val="24"/>
          <w:szCs w:val="24"/>
        </w:rPr>
      </w:pPr>
      <w:r>
        <w:rPr>
          <w:rFonts w:hint="eastAsia" w:ascii="宋体" w:hAnsi="宋体" w:eastAsia="宋体" w:cs="宋体"/>
          <w:sz w:val="24"/>
          <w:szCs w:val="24"/>
        </w:rPr>
        <w:t>注：若为法定代表人办理并签署比选申请文件的，不提供此文件。</w:t>
      </w:r>
    </w:p>
    <w:p w14:paraId="3FC20236">
      <w:pPr>
        <w:spacing w:line="530" w:lineRule="exact"/>
        <w:ind w:firstLine="480" w:firstLineChars="200"/>
        <w:jc w:val="left"/>
        <w:rPr>
          <w:rFonts w:hint="eastAsia" w:ascii="宋体" w:hAnsi="宋体" w:eastAsia="宋体" w:cs="宋体"/>
          <w:b/>
          <w:bCs/>
          <w:sz w:val="36"/>
          <w:szCs w:val="36"/>
        </w:rPr>
      </w:pPr>
      <w:r>
        <w:rPr>
          <w:rFonts w:hint="eastAsia" w:ascii="宋体" w:hAnsi="宋体" w:eastAsia="宋体" w:cs="宋体"/>
          <w:sz w:val="24"/>
          <w:szCs w:val="24"/>
        </w:rPr>
        <w:br w:type="column"/>
      </w:r>
      <w:r>
        <w:rPr>
          <w:rFonts w:hint="eastAsia" w:ascii="宋体" w:hAnsi="宋体" w:eastAsia="宋体" w:cs="宋体"/>
          <w:sz w:val="24"/>
          <w:szCs w:val="24"/>
        </w:rPr>
        <w:t>（四）</w:t>
      </w:r>
      <w:r>
        <w:rPr>
          <w:rFonts w:hint="eastAsia" w:ascii="宋体" w:hAnsi="宋体" w:eastAsia="宋体" w:cs="宋体"/>
          <w:szCs w:val="28"/>
        </w:rPr>
        <w:t>基本资格条件承诺函</w:t>
      </w:r>
    </w:p>
    <w:p w14:paraId="5BFB607B">
      <w:pPr>
        <w:spacing w:line="530" w:lineRule="exact"/>
        <w:ind w:firstLine="723" w:firstLineChars="200"/>
        <w:jc w:val="center"/>
        <w:rPr>
          <w:rFonts w:hint="eastAsia" w:ascii="宋体" w:hAnsi="宋体" w:eastAsia="宋体" w:cs="宋体"/>
          <w:b/>
          <w:bCs/>
          <w:sz w:val="36"/>
          <w:szCs w:val="36"/>
        </w:rPr>
      </w:pPr>
      <w:r>
        <w:rPr>
          <w:rFonts w:hint="eastAsia" w:ascii="宋体" w:hAnsi="宋体" w:eastAsia="宋体" w:cs="宋体"/>
          <w:b/>
          <w:bCs/>
          <w:sz w:val="36"/>
          <w:szCs w:val="36"/>
        </w:rPr>
        <w:t>基本资格条件承诺函</w:t>
      </w:r>
    </w:p>
    <w:p w14:paraId="6F77A828">
      <w:pPr>
        <w:tabs>
          <w:tab w:val="left" w:pos="6300"/>
        </w:tabs>
        <w:snapToGrid w:val="0"/>
        <w:spacing w:line="530" w:lineRule="exact"/>
        <w:rPr>
          <w:rFonts w:hint="eastAsia" w:ascii="宋体" w:hAnsi="宋体" w:eastAsia="宋体" w:cs="宋体"/>
          <w:sz w:val="24"/>
          <w:u w:val="single"/>
        </w:rPr>
      </w:pPr>
      <w:r>
        <w:rPr>
          <w:rFonts w:hint="eastAsia" w:ascii="宋体" w:hAnsi="宋体" w:eastAsia="宋体" w:cs="宋体"/>
          <w:sz w:val="24"/>
        </w:rPr>
        <w:t>项目名称：</w:t>
      </w:r>
      <w:r>
        <w:rPr>
          <w:rFonts w:hint="eastAsia" w:ascii="宋体" w:hAnsi="宋体" w:eastAsia="宋体" w:cs="宋体"/>
          <w:sz w:val="24"/>
          <w:u w:val="single"/>
        </w:rPr>
        <w:t xml:space="preserve">                    </w:t>
      </w:r>
    </w:p>
    <w:p w14:paraId="46F36FDC">
      <w:pPr>
        <w:tabs>
          <w:tab w:val="left" w:pos="6300"/>
        </w:tabs>
        <w:snapToGrid w:val="0"/>
        <w:spacing w:line="530" w:lineRule="exac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rPr>
        <w:t>（采购代理机构名称）：</w:t>
      </w:r>
    </w:p>
    <w:p w14:paraId="6E29DFB2">
      <w:pPr>
        <w:tabs>
          <w:tab w:val="left" w:pos="6300"/>
        </w:tabs>
        <w:snapToGrid w:val="0"/>
        <w:spacing w:line="530" w:lineRule="exact"/>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（供应商名称）郑重承诺：</w:t>
      </w:r>
    </w:p>
    <w:p w14:paraId="647E822A">
      <w:pPr>
        <w:spacing w:line="53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1.我方具有良好的商业信誉和健全的财务会计制度，具有履行合同所必需的设备和专业技术能力，具</w:t>
      </w:r>
      <w:r>
        <w:rPr>
          <w:rFonts w:hint="eastAsia" w:ascii="宋体" w:hAnsi="宋体" w:eastAsia="宋体" w:cs="宋体"/>
          <w:sz w:val="24"/>
          <w:szCs w:val="24"/>
          <w:lang w:val="zh-CN"/>
        </w:rPr>
        <w:t>有依法缴纳税收和社会保障金的良好记录</w:t>
      </w:r>
      <w:r>
        <w:rPr>
          <w:rFonts w:hint="eastAsia" w:ascii="宋体" w:hAnsi="宋体" w:eastAsia="宋体" w:cs="宋体"/>
          <w:sz w:val="24"/>
          <w:szCs w:val="24"/>
        </w:rPr>
        <w:t>，参加本项目采购活动前三年内无重大违法活动记录。</w:t>
      </w:r>
    </w:p>
    <w:p w14:paraId="6E3062FB">
      <w:pPr>
        <w:spacing w:line="53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2.我方未列入在信用中国网站（www.creditchina.gov.cn）“失信被执行人”、“重大税收违法案件当事人名单”中，也未列入中国政府采购网（www.ccgp.gov.cn）“政府采购严重违法失信行为记录名单”中。</w:t>
      </w:r>
    </w:p>
    <w:p w14:paraId="324AEDC3">
      <w:pPr>
        <w:spacing w:line="53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3.我方在采购项目评审（评标）环节结束后，随时接受采购人、采购代理机构的检查验证，配合提供相关证明材料，证明符合《中华人民共和国政府采购法》规定的供应商基本资格条件。</w:t>
      </w:r>
    </w:p>
    <w:p w14:paraId="47D6018E">
      <w:pPr>
        <w:tabs>
          <w:tab w:val="left" w:pos="6300"/>
        </w:tabs>
        <w:snapToGrid w:val="0"/>
        <w:spacing w:line="53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我方对以上承诺负全部法律责任。</w:t>
      </w:r>
    </w:p>
    <w:p w14:paraId="5105081A">
      <w:pPr>
        <w:tabs>
          <w:tab w:val="left" w:pos="6300"/>
        </w:tabs>
        <w:snapToGrid w:val="0"/>
        <w:spacing w:line="53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376B416C">
      <w:pPr>
        <w:tabs>
          <w:tab w:val="left" w:pos="6300"/>
        </w:tabs>
        <w:snapToGrid w:val="0"/>
        <w:spacing w:line="530" w:lineRule="exact"/>
        <w:rPr>
          <w:rFonts w:hint="eastAsia" w:ascii="宋体" w:hAnsi="宋体" w:eastAsia="宋体" w:cs="宋体"/>
          <w:sz w:val="24"/>
          <w:szCs w:val="24"/>
        </w:rPr>
      </w:pPr>
    </w:p>
    <w:p w14:paraId="36B3E044">
      <w:pPr>
        <w:tabs>
          <w:tab w:val="left" w:pos="6300"/>
        </w:tabs>
        <w:snapToGrid w:val="0"/>
        <w:spacing w:line="530" w:lineRule="exact"/>
        <w:ind w:right="424" w:firstLine="570"/>
        <w:jc w:val="right"/>
        <w:rPr>
          <w:rFonts w:hint="eastAsia" w:ascii="宋体" w:hAnsi="宋体" w:eastAsia="宋体" w:cs="宋体"/>
          <w:sz w:val="24"/>
          <w:szCs w:val="24"/>
        </w:rPr>
      </w:pPr>
      <w:r>
        <w:rPr>
          <w:rFonts w:hint="eastAsia" w:ascii="宋体" w:hAnsi="宋体" w:eastAsia="宋体" w:cs="宋体"/>
          <w:sz w:val="24"/>
          <w:szCs w:val="24"/>
        </w:rPr>
        <w:t>（供应商公章）</w:t>
      </w:r>
    </w:p>
    <w:p w14:paraId="5B9F9086">
      <w:pPr>
        <w:spacing w:line="400" w:lineRule="exact"/>
        <w:ind w:firstLine="7440" w:firstLineChars="3100"/>
        <w:rPr>
          <w:rFonts w:hint="eastAsia" w:ascii="宋体" w:hAnsi="宋体" w:eastAsia="宋体" w:cs="宋体"/>
          <w:sz w:val="24"/>
          <w:szCs w:val="28"/>
        </w:rPr>
      </w:pPr>
      <w:r>
        <w:rPr>
          <w:rFonts w:hint="eastAsia" w:ascii="宋体" w:hAnsi="宋体" w:eastAsia="宋体" w:cs="宋体"/>
          <w:sz w:val="24"/>
          <w:szCs w:val="24"/>
        </w:rPr>
        <w:t>年   月   日</w:t>
      </w:r>
    </w:p>
    <w:p w14:paraId="27864E7D">
      <w:pPr>
        <w:tabs>
          <w:tab w:val="left" w:pos="6300"/>
        </w:tabs>
        <w:snapToGrid w:val="0"/>
        <w:spacing w:line="500" w:lineRule="exact"/>
        <w:ind w:firstLine="570"/>
        <w:rPr>
          <w:rFonts w:hint="eastAsia" w:ascii="宋体" w:hAnsi="宋体" w:eastAsia="宋体" w:cs="宋体"/>
          <w:color w:val="000000"/>
          <w:szCs w:val="28"/>
        </w:rPr>
      </w:pPr>
    </w:p>
    <w:p w14:paraId="7D3A52BD">
      <w:pPr>
        <w:tabs>
          <w:tab w:val="left" w:pos="6300"/>
        </w:tabs>
        <w:snapToGrid w:val="0"/>
        <w:spacing w:line="500" w:lineRule="exact"/>
        <w:jc w:val="left"/>
        <w:rPr>
          <w:rFonts w:hint="eastAsia" w:ascii="宋体" w:hAnsi="宋体" w:eastAsia="宋体" w:cs="宋体"/>
          <w:color w:val="000000"/>
          <w:szCs w:val="28"/>
        </w:rPr>
      </w:pPr>
    </w:p>
    <w:p w14:paraId="316408DB">
      <w:pPr>
        <w:tabs>
          <w:tab w:val="left" w:pos="6300"/>
        </w:tabs>
        <w:snapToGrid w:val="0"/>
        <w:spacing w:line="500" w:lineRule="exact"/>
        <w:ind w:firstLine="570"/>
        <w:jc w:val="left"/>
        <w:rPr>
          <w:rFonts w:hint="eastAsia" w:ascii="宋体" w:hAnsi="宋体" w:eastAsia="宋体" w:cs="宋体"/>
          <w:color w:val="000000"/>
          <w:szCs w:val="28"/>
        </w:rPr>
      </w:pPr>
    </w:p>
    <w:p w14:paraId="7175C29E">
      <w:pPr>
        <w:tabs>
          <w:tab w:val="left" w:pos="6300"/>
        </w:tabs>
        <w:snapToGrid w:val="0"/>
        <w:spacing w:line="500" w:lineRule="exact"/>
        <w:ind w:firstLine="570"/>
        <w:jc w:val="left"/>
        <w:rPr>
          <w:rFonts w:hint="eastAsia" w:ascii="宋体" w:hAnsi="宋体" w:eastAsia="宋体" w:cs="宋体"/>
          <w:color w:val="000000"/>
          <w:szCs w:val="28"/>
        </w:rPr>
      </w:pPr>
    </w:p>
    <w:p w14:paraId="0BE05533">
      <w:pPr>
        <w:tabs>
          <w:tab w:val="left" w:pos="6300"/>
        </w:tabs>
        <w:snapToGrid w:val="0"/>
        <w:spacing w:line="500" w:lineRule="exact"/>
        <w:ind w:firstLine="570"/>
        <w:jc w:val="left"/>
        <w:rPr>
          <w:rFonts w:hint="eastAsia" w:ascii="宋体" w:hAnsi="宋体" w:eastAsia="宋体" w:cs="宋体"/>
          <w:color w:val="000000"/>
          <w:szCs w:val="28"/>
        </w:rPr>
      </w:pPr>
    </w:p>
    <w:p w14:paraId="4CA18794">
      <w:pPr>
        <w:keepNext/>
        <w:keepLines/>
        <w:spacing w:line="413" w:lineRule="auto"/>
        <w:rPr>
          <w:rFonts w:hint="eastAsia" w:ascii="宋体" w:hAnsi="宋体" w:eastAsia="宋体" w:cs="宋体"/>
        </w:rPr>
      </w:pPr>
    </w:p>
    <w:p w14:paraId="43328325">
      <w:pPr>
        <w:spacing w:line="360" w:lineRule="auto"/>
        <w:rPr>
          <w:rFonts w:hint="eastAsia" w:ascii="宋体" w:hAnsi="宋体" w:eastAsia="宋体" w:cs="宋体"/>
          <w:sz w:val="24"/>
          <w:szCs w:val="24"/>
        </w:rPr>
      </w:pPr>
    </w:p>
    <w:p w14:paraId="01D63A4F">
      <w:pPr>
        <w:spacing w:line="360" w:lineRule="auto"/>
        <w:rPr>
          <w:rFonts w:hint="eastAsia" w:ascii="宋体" w:hAnsi="宋体" w:eastAsia="宋体" w:cs="宋体"/>
          <w:sz w:val="24"/>
          <w:szCs w:val="24"/>
        </w:rPr>
      </w:pPr>
    </w:p>
    <w:p w14:paraId="2790BA3B">
      <w:pPr>
        <w:spacing w:line="360" w:lineRule="auto"/>
        <w:rPr>
          <w:rFonts w:hint="eastAsia" w:ascii="宋体" w:hAnsi="宋体" w:eastAsia="宋体" w:cs="宋体"/>
          <w:sz w:val="24"/>
          <w:szCs w:val="24"/>
        </w:rPr>
      </w:pPr>
    </w:p>
    <w:p w14:paraId="2C75A3F5">
      <w:pPr>
        <w:tabs>
          <w:tab w:val="left" w:pos="6300"/>
        </w:tabs>
        <w:snapToGrid w:val="0"/>
        <w:spacing w:line="500" w:lineRule="exact"/>
        <w:ind w:firstLine="480" w:firstLineChars="200"/>
        <w:rPr>
          <w:rFonts w:hint="eastAsia" w:ascii="宋体" w:hAnsi="宋体" w:eastAsia="宋体" w:cs="宋体"/>
          <w:color w:val="auto"/>
          <w:sz w:val="24"/>
          <w:szCs w:val="18"/>
          <w:highlight w:val="none"/>
          <w:lang w:eastAsia="zh-CN"/>
        </w:rPr>
      </w:pPr>
      <w:r>
        <w:rPr>
          <w:rFonts w:hint="eastAsia" w:ascii="宋体" w:hAnsi="宋体" w:eastAsia="宋体" w:cs="宋体"/>
          <w:color w:val="auto"/>
          <w:sz w:val="24"/>
          <w:szCs w:val="18"/>
          <w:highlight w:val="none"/>
        </w:rPr>
        <w:t>（</w:t>
      </w:r>
      <w:r>
        <w:rPr>
          <w:rFonts w:hint="eastAsia" w:ascii="宋体" w:hAnsi="宋体" w:eastAsia="宋体" w:cs="宋体"/>
          <w:color w:val="auto"/>
          <w:sz w:val="24"/>
          <w:szCs w:val="18"/>
          <w:highlight w:val="none"/>
          <w:lang w:eastAsia="zh-CN"/>
        </w:rPr>
        <w:t>五</w:t>
      </w:r>
      <w:r>
        <w:rPr>
          <w:rFonts w:hint="eastAsia" w:ascii="宋体" w:hAnsi="宋体" w:eastAsia="宋体" w:cs="宋体"/>
          <w:color w:val="auto"/>
          <w:sz w:val="24"/>
          <w:szCs w:val="18"/>
          <w:highlight w:val="none"/>
        </w:rPr>
        <w:t>）特定资格条件证书</w:t>
      </w:r>
      <w:r>
        <w:rPr>
          <w:rFonts w:hint="eastAsia" w:ascii="宋体" w:hAnsi="宋体" w:eastAsia="宋体" w:cs="宋体"/>
          <w:color w:val="auto"/>
          <w:sz w:val="24"/>
          <w:szCs w:val="18"/>
          <w:highlight w:val="none"/>
          <w:lang w:eastAsia="zh-CN"/>
        </w:rPr>
        <w:t>（如有）</w:t>
      </w:r>
    </w:p>
    <w:p w14:paraId="61E2C007">
      <w:pPr>
        <w:spacing w:line="360" w:lineRule="auto"/>
        <w:rPr>
          <w:rFonts w:hint="eastAsia" w:ascii="宋体" w:hAnsi="宋体" w:eastAsia="宋体" w:cs="宋体"/>
          <w:sz w:val="24"/>
          <w:szCs w:val="24"/>
        </w:rPr>
        <w:sectPr>
          <w:headerReference r:id="rId8" w:type="default"/>
          <w:pgSz w:w="11907" w:h="16840"/>
          <w:pgMar w:top="1134" w:right="1191" w:bottom="1134" w:left="1304" w:header="851" w:footer="992" w:gutter="0"/>
          <w:pgNumType w:fmt="numberInDash"/>
          <w:cols w:space="720" w:num="1"/>
          <w:docGrid w:linePitch="380" w:charSpace="-5735"/>
        </w:sectPr>
      </w:pPr>
    </w:p>
    <w:p w14:paraId="3AD129FC">
      <w:pPr>
        <w:pStyle w:val="2"/>
        <w:spacing w:before="0" w:after="0"/>
        <w:rPr>
          <w:rFonts w:hint="eastAsia" w:ascii="宋体" w:hAnsi="宋体" w:eastAsia="宋体" w:cs="宋体"/>
          <w:sz w:val="28"/>
          <w:szCs w:val="28"/>
        </w:rPr>
      </w:pPr>
      <w:bookmarkStart w:id="480" w:name="_Toc15503"/>
      <w:bookmarkStart w:id="481" w:name="_Toc25603"/>
      <w:bookmarkStart w:id="482" w:name="_Toc17306"/>
      <w:bookmarkStart w:id="483" w:name="_Toc6100"/>
      <w:bookmarkStart w:id="484" w:name="_Toc21971"/>
      <w:bookmarkStart w:id="485" w:name="_Toc3555"/>
      <w:bookmarkStart w:id="486" w:name="_Toc22768"/>
      <w:bookmarkStart w:id="487" w:name="_Toc28549"/>
      <w:bookmarkStart w:id="488" w:name="_Toc23172"/>
      <w:r>
        <w:rPr>
          <w:rFonts w:hint="eastAsia" w:ascii="宋体" w:hAnsi="宋体" w:eastAsia="宋体" w:cs="宋体"/>
          <w:sz w:val="28"/>
          <w:szCs w:val="28"/>
        </w:rPr>
        <w:t>五、其他资料</w:t>
      </w:r>
      <w:bookmarkEnd w:id="480"/>
      <w:bookmarkEnd w:id="481"/>
      <w:bookmarkEnd w:id="482"/>
      <w:bookmarkEnd w:id="483"/>
      <w:bookmarkEnd w:id="484"/>
      <w:bookmarkEnd w:id="485"/>
      <w:bookmarkEnd w:id="486"/>
      <w:bookmarkEnd w:id="487"/>
      <w:bookmarkEnd w:id="488"/>
    </w:p>
    <w:p w14:paraId="1C2F9231">
      <w:pPr>
        <w:tabs>
          <w:tab w:val="left" w:pos="6300"/>
        </w:tabs>
        <w:snapToGrid w:val="0"/>
        <w:spacing w:line="500" w:lineRule="exact"/>
        <w:jc w:val="left"/>
        <w:rPr>
          <w:rFonts w:hint="eastAsia" w:ascii="宋体" w:hAnsi="宋体" w:eastAsia="宋体" w:cs="宋体"/>
          <w:sz w:val="24"/>
          <w:szCs w:val="24"/>
        </w:rPr>
      </w:pPr>
      <w:r>
        <w:rPr>
          <w:rFonts w:hint="eastAsia" w:ascii="宋体" w:hAnsi="宋体" w:eastAsia="宋体" w:cs="宋体"/>
          <w:sz w:val="24"/>
          <w:szCs w:val="24"/>
        </w:rPr>
        <w:t>（一）其他与项目有关的资料（自附）；</w:t>
      </w:r>
    </w:p>
    <w:p w14:paraId="0A85728A">
      <w:pPr>
        <w:spacing w:line="360" w:lineRule="auto"/>
        <w:rPr>
          <w:rFonts w:hint="eastAsia" w:ascii="宋体" w:hAnsi="宋体" w:eastAsia="宋体" w:cs="宋体"/>
          <w:sz w:val="24"/>
          <w:szCs w:val="24"/>
        </w:rPr>
      </w:pPr>
    </w:p>
    <w:p w14:paraId="4051AE3E">
      <w:pPr>
        <w:spacing w:line="360" w:lineRule="auto"/>
        <w:rPr>
          <w:rFonts w:hint="eastAsia" w:ascii="宋体" w:hAnsi="宋体" w:eastAsia="宋体" w:cs="宋体"/>
          <w:sz w:val="24"/>
          <w:szCs w:val="24"/>
        </w:rPr>
      </w:pPr>
    </w:p>
    <w:p w14:paraId="572EC8F2">
      <w:pPr>
        <w:spacing w:line="360" w:lineRule="auto"/>
        <w:rPr>
          <w:rFonts w:hint="eastAsia" w:ascii="宋体" w:hAnsi="宋体" w:eastAsia="宋体" w:cs="宋体"/>
          <w:sz w:val="24"/>
          <w:szCs w:val="24"/>
        </w:rPr>
      </w:pPr>
    </w:p>
    <w:p w14:paraId="7D06F392">
      <w:pPr>
        <w:spacing w:line="360" w:lineRule="auto"/>
        <w:rPr>
          <w:rFonts w:hint="eastAsia" w:ascii="宋体" w:hAnsi="宋体" w:eastAsia="宋体" w:cs="宋体"/>
          <w:sz w:val="24"/>
          <w:szCs w:val="24"/>
        </w:rPr>
      </w:pPr>
    </w:p>
    <w:p w14:paraId="0D07BAD1">
      <w:pPr>
        <w:spacing w:line="360" w:lineRule="auto"/>
        <w:rPr>
          <w:rFonts w:hint="eastAsia" w:ascii="宋体" w:hAnsi="宋体" w:eastAsia="宋体" w:cs="宋体"/>
          <w:sz w:val="24"/>
          <w:szCs w:val="24"/>
        </w:rPr>
      </w:pPr>
    </w:p>
    <w:p w14:paraId="4623B116">
      <w:pPr>
        <w:spacing w:line="360" w:lineRule="auto"/>
        <w:rPr>
          <w:rFonts w:hint="eastAsia" w:ascii="宋体" w:hAnsi="宋体" w:eastAsia="宋体" w:cs="宋体"/>
          <w:sz w:val="24"/>
          <w:szCs w:val="24"/>
        </w:rPr>
      </w:pPr>
    </w:p>
    <w:p w14:paraId="0FE6201A">
      <w:pPr>
        <w:tabs>
          <w:tab w:val="left" w:pos="6300"/>
        </w:tabs>
        <w:snapToGrid w:val="0"/>
        <w:spacing w:line="500" w:lineRule="exact"/>
        <w:ind w:firstLine="560" w:firstLineChars="200"/>
        <w:jc w:val="center"/>
        <w:rPr>
          <w:rFonts w:hint="eastAsia" w:ascii="宋体" w:hAnsi="宋体" w:eastAsia="宋体" w:cs="宋体"/>
          <w:szCs w:val="28"/>
        </w:rPr>
      </w:pPr>
      <w:r>
        <w:rPr>
          <w:rFonts w:hint="eastAsia" w:ascii="宋体" w:hAnsi="宋体" w:eastAsia="宋体" w:cs="宋体"/>
          <w:szCs w:val="28"/>
        </w:rPr>
        <w:t>（结束）</w:t>
      </w:r>
    </w:p>
    <w:p w14:paraId="079B7B0D">
      <w:pPr>
        <w:ind w:firstLine="482"/>
        <w:outlineLvl w:val="0"/>
        <w:rPr>
          <w:rFonts w:hint="eastAsia" w:ascii="宋体" w:hAnsi="宋体" w:eastAsia="宋体" w:cs="宋体"/>
          <w:b/>
          <w:bCs/>
          <w:szCs w:val="28"/>
          <w:highlight w:val="none"/>
        </w:rPr>
      </w:pPr>
      <w:r>
        <w:rPr>
          <w:rFonts w:hint="eastAsia" w:ascii="宋体" w:hAnsi="宋体" w:eastAsia="宋体" w:cs="宋体"/>
          <w:szCs w:val="28"/>
        </w:rPr>
        <w:br w:type="page"/>
      </w:r>
      <w:bookmarkStart w:id="489" w:name="_Toc30892"/>
      <w:bookmarkStart w:id="490" w:name="_Toc12539"/>
      <w:bookmarkStart w:id="491" w:name="_Toc2785"/>
      <w:r>
        <w:rPr>
          <w:rFonts w:hint="eastAsia" w:ascii="宋体" w:hAnsi="宋体" w:eastAsia="宋体" w:cs="宋体"/>
          <w:b/>
          <w:bCs/>
          <w:szCs w:val="28"/>
          <w:highlight w:val="none"/>
        </w:rPr>
        <w:t>附件：</w:t>
      </w:r>
      <w:bookmarkEnd w:id="489"/>
      <w:r>
        <w:rPr>
          <w:rFonts w:hint="eastAsia" w:ascii="宋体" w:hAnsi="宋体" w:eastAsia="宋体" w:cs="宋体"/>
          <w:b/>
          <w:bCs/>
          <w:szCs w:val="28"/>
          <w:highlight w:val="none"/>
        </w:rPr>
        <w:t>报名登记表</w:t>
      </w:r>
      <w:bookmarkEnd w:id="490"/>
      <w:bookmarkEnd w:id="491"/>
    </w:p>
    <w:p w14:paraId="25AB897F">
      <w:pPr>
        <w:rPr>
          <w:rFonts w:hint="eastAsia" w:ascii="宋体" w:hAnsi="宋体" w:eastAsia="宋体" w:cs="宋体"/>
          <w:b/>
          <w:bCs/>
          <w:sz w:val="44"/>
          <w:szCs w:val="44"/>
          <w:highlight w:val="none"/>
        </w:rPr>
      </w:pPr>
    </w:p>
    <w:p w14:paraId="4A7AD322">
      <w:pPr>
        <w:ind w:firstLine="480"/>
        <w:jc w:val="center"/>
        <w:rPr>
          <w:rFonts w:hint="eastAsia" w:ascii="宋体" w:hAnsi="宋体" w:eastAsia="宋体" w:cs="宋体"/>
          <w:szCs w:val="21"/>
          <w:highlight w:val="none"/>
        </w:rPr>
      </w:pPr>
      <w:r>
        <w:rPr>
          <w:rFonts w:hint="eastAsia" w:ascii="宋体" w:hAnsi="宋体" w:eastAsia="宋体" w:cs="宋体"/>
          <w:highlight w:val="none"/>
        </w:rPr>
        <w:t>报名登记表</w:t>
      </w:r>
    </w:p>
    <w:p w14:paraId="4C5EE305">
      <w:pPr>
        <w:ind w:firstLine="480"/>
        <w:rPr>
          <w:rFonts w:hint="eastAsia" w:ascii="宋体" w:hAnsi="宋体" w:eastAsia="宋体" w:cs="宋体"/>
          <w:highlight w:val="none"/>
        </w:rPr>
      </w:pPr>
    </w:p>
    <w:tbl>
      <w:tblPr>
        <w:tblStyle w:val="2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1631"/>
        <w:gridCol w:w="1286"/>
        <w:gridCol w:w="3990"/>
      </w:tblGrid>
      <w:tr w14:paraId="44BC4E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621" w:type="dxa"/>
            <w:noWrap/>
            <w:vAlign w:val="center"/>
          </w:tcPr>
          <w:p w14:paraId="57B2F7AD">
            <w:pPr>
              <w:ind w:firstLine="44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项目名称</w:t>
            </w:r>
          </w:p>
        </w:tc>
        <w:tc>
          <w:tcPr>
            <w:tcW w:w="6907" w:type="dxa"/>
            <w:gridSpan w:val="3"/>
            <w:noWrap/>
            <w:vAlign w:val="center"/>
          </w:tcPr>
          <w:p w14:paraId="02B5FF5C">
            <w:pPr>
              <w:ind w:firstLine="440"/>
              <w:rPr>
                <w:rFonts w:hint="eastAsia" w:ascii="宋体" w:hAnsi="宋体" w:eastAsia="宋体" w:cs="宋体"/>
                <w:sz w:val="22"/>
                <w:szCs w:val="22"/>
                <w:highlight w:val="none"/>
              </w:rPr>
            </w:pPr>
          </w:p>
        </w:tc>
      </w:tr>
      <w:tr w14:paraId="0C28FE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1621" w:type="dxa"/>
            <w:noWrap/>
            <w:vAlign w:val="center"/>
          </w:tcPr>
          <w:p w14:paraId="64FF7A37">
            <w:pPr>
              <w:ind w:firstLine="220" w:firstLineChars="100"/>
              <w:rPr>
                <w:rFonts w:hint="eastAsia" w:ascii="宋体" w:hAnsi="宋体" w:eastAsia="宋体" w:cs="宋体"/>
                <w:sz w:val="22"/>
                <w:szCs w:val="22"/>
                <w:highlight w:val="none"/>
              </w:rPr>
            </w:pPr>
            <w:r>
              <w:rPr>
                <w:rFonts w:hint="eastAsia" w:ascii="宋体" w:hAnsi="宋体" w:eastAsia="宋体" w:cs="宋体"/>
                <w:sz w:val="22"/>
                <w:szCs w:val="22"/>
                <w:highlight w:val="none"/>
              </w:rPr>
              <w:t>供应商名称</w:t>
            </w:r>
          </w:p>
        </w:tc>
        <w:tc>
          <w:tcPr>
            <w:tcW w:w="6907" w:type="dxa"/>
            <w:gridSpan w:val="3"/>
            <w:noWrap/>
            <w:vAlign w:val="bottom"/>
          </w:tcPr>
          <w:p w14:paraId="06F3D700">
            <w:pPr>
              <w:ind w:right="600" w:firstLine="2750" w:firstLineChars="1250"/>
              <w:rPr>
                <w:rFonts w:hint="eastAsia" w:ascii="宋体" w:hAnsi="宋体" w:eastAsia="宋体" w:cs="宋体"/>
                <w:sz w:val="22"/>
                <w:szCs w:val="22"/>
                <w:highlight w:val="none"/>
              </w:rPr>
            </w:pPr>
            <w:r>
              <w:rPr>
                <w:rFonts w:hint="eastAsia" w:ascii="宋体" w:hAnsi="宋体" w:eastAsia="宋体" w:cs="宋体"/>
                <w:sz w:val="22"/>
                <w:szCs w:val="22"/>
                <w:highlight w:val="none"/>
              </w:rPr>
              <w:t>（供应商公章）</w:t>
            </w:r>
          </w:p>
        </w:tc>
      </w:tr>
      <w:tr w14:paraId="5291D7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621" w:type="dxa"/>
            <w:noWrap/>
            <w:vAlign w:val="center"/>
          </w:tcPr>
          <w:p w14:paraId="466D1555">
            <w:pPr>
              <w:ind w:firstLine="44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联系人</w:t>
            </w:r>
          </w:p>
        </w:tc>
        <w:tc>
          <w:tcPr>
            <w:tcW w:w="1631" w:type="dxa"/>
            <w:noWrap/>
            <w:vAlign w:val="center"/>
          </w:tcPr>
          <w:p w14:paraId="2FB6D23B">
            <w:pPr>
              <w:ind w:firstLine="440"/>
              <w:rPr>
                <w:rFonts w:hint="eastAsia" w:ascii="宋体" w:hAnsi="宋体" w:eastAsia="宋体" w:cs="宋体"/>
                <w:sz w:val="22"/>
                <w:szCs w:val="22"/>
                <w:highlight w:val="none"/>
              </w:rPr>
            </w:pPr>
          </w:p>
        </w:tc>
        <w:tc>
          <w:tcPr>
            <w:tcW w:w="1286" w:type="dxa"/>
            <w:noWrap/>
            <w:vAlign w:val="center"/>
          </w:tcPr>
          <w:p w14:paraId="44FDD539">
            <w:pPr>
              <w:ind w:firstLine="440"/>
              <w:rPr>
                <w:rFonts w:hint="eastAsia" w:ascii="宋体" w:hAnsi="宋体" w:eastAsia="宋体" w:cs="宋体"/>
                <w:sz w:val="22"/>
                <w:szCs w:val="22"/>
                <w:highlight w:val="none"/>
              </w:rPr>
            </w:pPr>
            <w:r>
              <w:rPr>
                <w:rFonts w:hint="eastAsia" w:ascii="宋体" w:hAnsi="宋体" w:eastAsia="宋体" w:cs="宋体"/>
                <w:sz w:val="22"/>
                <w:szCs w:val="22"/>
                <w:highlight w:val="none"/>
              </w:rPr>
              <w:t>手机</w:t>
            </w:r>
          </w:p>
        </w:tc>
        <w:tc>
          <w:tcPr>
            <w:tcW w:w="3990" w:type="dxa"/>
            <w:noWrap/>
            <w:vAlign w:val="center"/>
          </w:tcPr>
          <w:p w14:paraId="60FD344C">
            <w:pPr>
              <w:ind w:firstLine="440"/>
              <w:rPr>
                <w:rFonts w:hint="eastAsia" w:ascii="宋体" w:hAnsi="宋体" w:eastAsia="宋体" w:cs="宋体"/>
                <w:sz w:val="22"/>
                <w:szCs w:val="22"/>
                <w:highlight w:val="none"/>
              </w:rPr>
            </w:pPr>
          </w:p>
        </w:tc>
      </w:tr>
      <w:tr w14:paraId="0F9774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621" w:type="dxa"/>
            <w:noWrap/>
            <w:vAlign w:val="center"/>
          </w:tcPr>
          <w:p w14:paraId="61087B8A">
            <w:pPr>
              <w:ind w:firstLine="44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办公电话</w:t>
            </w:r>
          </w:p>
        </w:tc>
        <w:tc>
          <w:tcPr>
            <w:tcW w:w="1631" w:type="dxa"/>
            <w:noWrap/>
            <w:vAlign w:val="center"/>
          </w:tcPr>
          <w:p w14:paraId="65EF8446">
            <w:pPr>
              <w:ind w:firstLine="440"/>
              <w:rPr>
                <w:rFonts w:hint="eastAsia" w:ascii="宋体" w:hAnsi="宋体" w:eastAsia="宋体" w:cs="宋体"/>
                <w:sz w:val="22"/>
                <w:szCs w:val="22"/>
                <w:highlight w:val="none"/>
              </w:rPr>
            </w:pPr>
          </w:p>
        </w:tc>
        <w:tc>
          <w:tcPr>
            <w:tcW w:w="1286" w:type="dxa"/>
            <w:noWrap/>
            <w:vAlign w:val="center"/>
          </w:tcPr>
          <w:p w14:paraId="7831C89B">
            <w:pPr>
              <w:ind w:firstLine="440"/>
              <w:rPr>
                <w:rFonts w:hint="eastAsia" w:ascii="宋体" w:hAnsi="宋体" w:eastAsia="宋体" w:cs="宋体"/>
                <w:sz w:val="22"/>
                <w:szCs w:val="22"/>
                <w:highlight w:val="none"/>
              </w:rPr>
            </w:pPr>
            <w:r>
              <w:rPr>
                <w:rFonts w:hint="eastAsia" w:ascii="宋体" w:hAnsi="宋体" w:eastAsia="宋体" w:cs="宋体"/>
                <w:sz w:val="22"/>
                <w:szCs w:val="22"/>
                <w:highlight w:val="none"/>
              </w:rPr>
              <w:t>传真</w:t>
            </w:r>
          </w:p>
        </w:tc>
        <w:tc>
          <w:tcPr>
            <w:tcW w:w="3990" w:type="dxa"/>
            <w:noWrap/>
            <w:vAlign w:val="center"/>
          </w:tcPr>
          <w:p w14:paraId="38B6C727">
            <w:pPr>
              <w:ind w:firstLine="440"/>
              <w:rPr>
                <w:rFonts w:hint="eastAsia" w:ascii="宋体" w:hAnsi="宋体" w:eastAsia="宋体" w:cs="宋体"/>
                <w:sz w:val="22"/>
                <w:szCs w:val="22"/>
                <w:highlight w:val="none"/>
              </w:rPr>
            </w:pPr>
          </w:p>
        </w:tc>
      </w:tr>
      <w:tr w14:paraId="15228B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621" w:type="dxa"/>
            <w:noWrap/>
            <w:vAlign w:val="center"/>
          </w:tcPr>
          <w:p w14:paraId="3FC51C10">
            <w:pPr>
              <w:ind w:firstLine="44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E-mail</w:t>
            </w:r>
          </w:p>
        </w:tc>
        <w:tc>
          <w:tcPr>
            <w:tcW w:w="6907" w:type="dxa"/>
            <w:gridSpan w:val="3"/>
            <w:noWrap/>
            <w:vAlign w:val="center"/>
          </w:tcPr>
          <w:p w14:paraId="4E5BD9DF">
            <w:pPr>
              <w:ind w:firstLine="440"/>
              <w:rPr>
                <w:rFonts w:hint="eastAsia" w:ascii="宋体" w:hAnsi="宋体" w:eastAsia="宋体" w:cs="宋体"/>
                <w:sz w:val="22"/>
                <w:szCs w:val="22"/>
                <w:highlight w:val="none"/>
              </w:rPr>
            </w:pPr>
          </w:p>
        </w:tc>
      </w:tr>
      <w:tr w14:paraId="7BF0A0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621" w:type="dxa"/>
            <w:noWrap/>
            <w:vAlign w:val="center"/>
          </w:tcPr>
          <w:p w14:paraId="3A9E7E75">
            <w:pPr>
              <w:ind w:firstLine="44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单位地址</w:t>
            </w:r>
          </w:p>
        </w:tc>
        <w:tc>
          <w:tcPr>
            <w:tcW w:w="6907" w:type="dxa"/>
            <w:gridSpan w:val="3"/>
            <w:noWrap/>
            <w:vAlign w:val="center"/>
          </w:tcPr>
          <w:p w14:paraId="5E29004F">
            <w:pPr>
              <w:ind w:firstLine="440"/>
              <w:rPr>
                <w:rFonts w:hint="eastAsia" w:ascii="宋体" w:hAnsi="宋体" w:eastAsia="宋体" w:cs="宋体"/>
                <w:sz w:val="22"/>
                <w:szCs w:val="22"/>
                <w:highlight w:val="none"/>
              </w:rPr>
            </w:pPr>
          </w:p>
        </w:tc>
      </w:tr>
      <w:tr w14:paraId="5A8E55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621" w:type="dxa"/>
            <w:noWrap/>
            <w:vAlign w:val="center"/>
          </w:tcPr>
          <w:p w14:paraId="36741A30">
            <w:pPr>
              <w:ind w:firstLine="44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时间</w:t>
            </w:r>
          </w:p>
        </w:tc>
        <w:tc>
          <w:tcPr>
            <w:tcW w:w="6907" w:type="dxa"/>
            <w:gridSpan w:val="3"/>
            <w:noWrap/>
            <w:vAlign w:val="center"/>
          </w:tcPr>
          <w:p w14:paraId="44C052AA">
            <w:pPr>
              <w:ind w:firstLine="44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年  月  日</w:t>
            </w:r>
          </w:p>
        </w:tc>
      </w:tr>
      <w:tr w14:paraId="63EC6E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1621" w:type="dxa"/>
            <w:noWrap/>
            <w:vAlign w:val="center"/>
          </w:tcPr>
          <w:p w14:paraId="599CA43E">
            <w:pPr>
              <w:ind w:firstLine="44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文件售价</w:t>
            </w:r>
          </w:p>
        </w:tc>
        <w:tc>
          <w:tcPr>
            <w:tcW w:w="6907" w:type="dxa"/>
            <w:gridSpan w:val="3"/>
            <w:noWrap/>
            <w:vAlign w:val="center"/>
          </w:tcPr>
          <w:p w14:paraId="5697AD6E">
            <w:pPr>
              <w:ind w:firstLine="44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300元/份。</w:t>
            </w:r>
          </w:p>
        </w:tc>
      </w:tr>
      <w:tr w14:paraId="538316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jc w:val="center"/>
        </w:trPr>
        <w:tc>
          <w:tcPr>
            <w:tcW w:w="1621" w:type="dxa"/>
            <w:noWrap/>
            <w:vAlign w:val="center"/>
          </w:tcPr>
          <w:p w14:paraId="4D26B366">
            <w:pPr>
              <w:ind w:firstLine="44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备注</w:t>
            </w:r>
          </w:p>
        </w:tc>
        <w:tc>
          <w:tcPr>
            <w:tcW w:w="6907" w:type="dxa"/>
            <w:gridSpan w:val="3"/>
            <w:noWrap/>
            <w:vAlign w:val="center"/>
          </w:tcPr>
          <w:p w14:paraId="33390031">
            <w:pPr>
              <w:ind w:firstLine="440"/>
              <w:rPr>
                <w:rFonts w:hint="eastAsia" w:ascii="宋体" w:hAnsi="宋体" w:eastAsia="宋体" w:cs="宋体"/>
                <w:sz w:val="22"/>
                <w:szCs w:val="22"/>
                <w:highlight w:val="none"/>
              </w:rPr>
            </w:pPr>
          </w:p>
        </w:tc>
      </w:tr>
    </w:tbl>
    <w:p w14:paraId="65D9E20F">
      <w:pPr>
        <w:rPr>
          <w:rFonts w:hint="eastAsia" w:ascii="宋体" w:hAnsi="宋体" w:eastAsia="宋体" w:cs="宋体"/>
          <w:sz w:val="24"/>
          <w:szCs w:val="24"/>
          <w:highlight w:val="none"/>
        </w:rPr>
      </w:pPr>
    </w:p>
    <w:sectPr>
      <w:headerReference r:id="rId9" w:type="default"/>
      <w:footerReference r:id="rId10" w:type="default"/>
      <w:pgSz w:w="11906" w:h="16838"/>
      <w:pgMar w:top="1327" w:right="1140" w:bottom="1327" w:left="1140" w:header="1157"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201060001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322C0">
    <w:pPr>
      <w:snapToGrid w:val="0"/>
      <w:ind w:firstLine="360"/>
      <w:rPr>
        <w:rFonts w:ascii="Calibri" w:hAnsi="Calibr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8A034">
    <w:pPr>
      <w:pStyle w:val="14"/>
      <w:ind w:firstLine="422"/>
      <w:rPr>
        <w:rFonts w:ascii="宋体" w:hAnsi="宋体"/>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85363E">
                          <w:pPr>
                            <w:pStyle w:val="14"/>
                            <w:tabs>
                              <w:tab w:val="center" w:pos="4140"/>
                              <w:tab w:val="right" w:pos="8300"/>
                              <w:tab w:val="clear" w:pos="4153"/>
                              <w:tab w:val="clear" w:pos="8306"/>
                            </w:tabs>
                            <w:ind w:firstLine="42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4085363E">
                    <w:pPr>
                      <w:pStyle w:val="14"/>
                      <w:tabs>
                        <w:tab w:val="center" w:pos="4140"/>
                        <w:tab w:val="right" w:pos="8300"/>
                        <w:tab w:val="clear" w:pos="4153"/>
                        <w:tab w:val="clear" w:pos="8306"/>
                      </w:tabs>
                      <w:ind w:firstLine="42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BE52D">
    <w:pPr>
      <w:pStyle w:val="14"/>
      <w:jc w:val="center"/>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DC6654">
                          <w:pPr>
                            <w:pStyle w:val="14"/>
                            <w:jc w:val="center"/>
                          </w:pPr>
                          <w:r>
                            <w:rPr>
                              <w:rFonts w:ascii="宋体" w:hAnsi="宋体"/>
                              <w:sz w:val="21"/>
                              <w:szCs w:val="21"/>
                            </w:rPr>
                            <w:fldChar w:fldCharType="begin"/>
                          </w:r>
                          <w:r>
                            <w:rPr>
                              <w:rStyle w:val="25"/>
                              <w:rFonts w:ascii="宋体" w:hAnsi="宋体"/>
                              <w:sz w:val="21"/>
                              <w:szCs w:val="21"/>
                            </w:rPr>
                            <w:instrText xml:space="preserve"> PAGE </w:instrText>
                          </w:r>
                          <w:r>
                            <w:rPr>
                              <w:rFonts w:ascii="宋体" w:hAnsi="宋体"/>
                              <w:sz w:val="21"/>
                              <w:szCs w:val="21"/>
                            </w:rPr>
                            <w:fldChar w:fldCharType="separate"/>
                          </w:r>
                          <w:r>
                            <w:rPr>
                              <w:rStyle w:val="25"/>
                              <w:rFonts w:ascii="宋体" w:hAnsi="宋体"/>
                              <w:sz w:val="21"/>
                              <w:szCs w:val="21"/>
                            </w:rPr>
                            <w:t>- 20 -</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9DC6654">
                    <w:pPr>
                      <w:pStyle w:val="14"/>
                      <w:jc w:val="center"/>
                    </w:pPr>
                    <w:r>
                      <w:rPr>
                        <w:rFonts w:ascii="宋体" w:hAnsi="宋体"/>
                        <w:sz w:val="21"/>
                        <w:szCs w:val="21"/>
                      </w:rPr>
                      <w:fldChar w:fldCharType="begin"/>
                    </w:r>
                    <w:r>
                      <w:rPr>
                        <w:rStyle w:val="25"/>
                        <w:rFonts w:ascii="宋体" w:hAnsi="宋体"/>
                        <w:sz w:val="21"/>
                        <w:szCs w:val="21"/>
                      </w:rPr>
                      <w:instrText xml:space="preserve"> PAGE </w:instrText>
                    </w:r>
                    <w:r>
                      <w:rPr>
                        <w:rFonts w:ascii="宋体" w:hAnsi="宋体"/>
                        <w:sz w:val="21"/>
                        <w:szCs w:val="21"/>
                      </w:rPr>
                      <w:fldChar w:fldCharType="separate"/>
                    </w:r>
                    <w:r>
                      <w:rPr>
                        <w:rStyle w:val="25"/>
                        <w:rFonts w:ascii="宋体" w:hAnsi="宋体"/>
                        <w:sz w:val="21"/>
                        <w:szCs w:val="21"/>
                      </w:rPr>
                      <w:t>- 20 -</w:t>
                    </w:r>
                    <w:r>
                      <w:rPr>
                        <w:rFonts w:ascii="宋体" w:hAnsi="宋体"/>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89B5E">
    <w:pPr>
      <w:pStyle w:val="14"/>
      <w:framePr w:wrap="around" w:vAnchor="text" w:hAnchor="margin" w:xAlign="center" w:y="1"/>
      <w:rPr>
        <w:rStyle w:val="25"/>
      </w:rPr>
    </w:pPr>
    <w:r>
      <w:fldChar w:fldCharType="begin"/>
    </w:r>
    <w:r>
      <w:rPr>
        <w:rStyle w:val="25"/>
      </w:rPr>
      <w:instrText xml:space="preserve">PAGE  </w:instrText>
    </w:r>
    <w:r>
      <w:fldChar w:fldCharType="end"/>
    </w:r>
  </w:p>
  <w:p w14:paraId="7CECE22A">
    <w:pPr>
      <w:pStyle w:val="1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D9A53">
    <w:pPr>
      <w:snapToGrid w:val="0"/>
      <w:ind w:firstLine="360"/>
      <w:rPr>
        <w:rFonts w:ascii="Calibri" w:hAnsi="Calibri"/>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F53D84">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2F53D84">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BD986">
    <w:pPr>
      <w:pStyle w:val="15"/>
      <w:jc w:val="left"/>
      <w:rPr>
        <w:u w:val="none"/>
      </w:rPr>
    </w:pPr>
    <w:r>
      <w:rPr>
        <w:rFonts w:hint="eastAsia" w:ascii="宋体" w:hAnsi="宋体" w:cs="宋体"/>
        <w:sz w:val="21"/>
        <w:szCs w:val="21"/>
        <w:u w:val="none"/>
      </w:rPr>
      <w:t xml:space="preserve">                                                   </w:t>
    </w:r>
    <w:r>
      <w:rPr>
        <w:rFonts w:hint="eastAsia" w:ascii="方正书宋_GBK" w:hAnsi="方正书宋_GBK" w:eastAsia="方正书宋_GBK" w:cs="方正书宋_GBK"/>
        <w:sz w:val="21"/>
        <w:szCs w:val="21"/>
        <w:u w:val="non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351D6">
    <w:pPr>
      <w:pStyle w:val="15"/>
      <w:ind w:firstLine="210" w:firstLineChars="100"/>
      <w:jc w:val="left"/>
      <w:rPr>
        <w:rFonts w:hint="eastAsia" w:ascii="方正仿宋_GBK" w:eastAsia="方正仿宋_GBK"/>
        <w:sz w:val="21"/>
        <w:szCs w:val="21"/>
      </w:rPr>
    </w:pPr>
    <w:r>
      <w:rPr>
        <w:rFonts w:hint="eastAsia" w:ascii="方正仿宋_GBK" w:eastAsia="方正仿宋_GBK"/>
        <w:sz w:val="21"/>
        <w:szCs w:val="21"/>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C9BA8">
    <w:pPr>
      <w:pStyle w:val="15"/>
      <w:pBdr>
        <w:bottom w:val="none" w:color="auto" w:sz="0" w:space="1"/>
      </w:pBdr>
      <w:jc w:val="left"/>
      <w:rPr>
        <w:rFonts w:ascii="宋体" w:hAnsi="宋体" w:cs="宋体"/>
        <w:color w:val="595959"/>
        <w:sz w:val="21"/>
        <w:szCs w:val="21"/>
        <w:u w:val="none"/>
      </w:rPr>
    </w:pPr>
    <w:r>
      <w:rPr>
        <w:rFonts w:hint="eastAsia" w:ascii="宋体" w:hAnsi="宋体" w:cs="宋体"/>
        <w:sz w:val="21"/>
        <w:szCs w:val="21"/>
        <w:u w:val="none"/>
      </w:rPr>
      <w:t xml:space="preserve">                </w:t>
    </w:r>
    <w:r>
      <w:rPr>
        <w:rFonts w:hint="eastAsia" w:ascii="方正书宋_GBK" w:hAnsi="方正书宋_GBK" w:eastAsia="方正书宋_GBK" w:cs="方正书宋_GBK"/>
        <w:sz w:val="21"/>
        <w:szCs w:val="21"/>
        <w:u w:val="non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2C3243"/>
    <w:multiLevelType w:val="singleLevel"/>
    <w:tmpl w:val="A92C3243"/>
    <w:lvl w:ilvl="0" w:tentative="0">
      <w:start w:val="2"/>
      <w:numFmt w:val="chineseCounting"/>
      <w:suff w:val="nothing"/>
      <w:lvlText w:val="%1、"/>
      <w:lvlJc w:val="left"/>
      <w:rPr>
        <w:rFonts w:hint="eastAsia"/>
      </w:rPr>
    </w:lvl>
  </w:abstractNum>
  <w:abstractNum w:abstractNumId="1">
    <w:nsid w:val="00000008"/>
    <w:multiLevelType w:val="multilevel"/>
    <w:tmpl w:val="00000008"/>
    <w:lvl w:ilvl="0" w:tentative="0">
      <w:start w:val="1"/>
      <w:numFmt w:val="decimal"/>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27"/>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453F20"/>
    <w:rsid w:val="03902337"/>
    <w:rsid w:val="039D57B1"/>
    <w:rsid w:val="06A34773"/>
    <w:rsid w:val="0E386CFD"/>
    <w:rsid w:val="12923CEE"/>
    <w:rsid w:val="14FD4107"/>
    <w:rsid w:val="1ABA6181"/>
    <w:rsid w:val="2061423E"/>
    <w:rsid w:val="2A357B24"/>
    <w:rsid w:val="2A654ABA"/>
    <w:rsid w:val="2C824F2D"/>
    <w:rsid w:val="33EE009D"/>
    <w:rsid w:val="3B38369D"/>
    <w:rsid w:val="3F6B10D0"/>
    <w:rsid w:val="539945D1"/>
    <w:rsid w:val="53BE1022"/>
    <w:rsid w:val="53ED2917"/>
    <w:rsid w:val="62D01C04"/>
    <w:rsid w:val="63A80B0C"/>
    <w:rsid w:val="64851A14"/>
    <w:rsid w:val="69E56DA3"/>
    <w:rsid w:val="6A5B4C9F"/>
    <w:rsid w:val="6A607751"/>
    <w:rsid w:val="6F396436"/>
    <w:rsid w:val="77BB0480"/>
    <w:rsid w:val="79453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29"/>
    <w:qFormat/>
    <w:uiPriority w:val="0"/>
    <w:pPr>
      <w:keepNext/>
      <w:keepLines/>
      <w:spacing w:beforeLines="0" w:beforeAutospacing="0" w:afterLines="0" w:afterAutospacing="0" w:line="360" w:lineRule="auto"/>
      <w:ind w:firstLine="0" w:firstLineChars="0"/>
      <w:jc w:val="center"/>
      <w:outlineLvl w:val="0"/>
    </w:pPr>
    <w:rPr>
      <w:rFonts w:ascii="Times New Roman" w:hAnsi="Times New Roman" w:eastAsia="宋体"/>
      <w:b/>
      <w:kern w:val="44"/>
      <w:sz w:val="30"/>
    </w:rPr>
  </w:style>
  <w:style w:type="paragraph" w:styleId="4">
    <w:name w:val="heading 2"/>
    <w:basedOn w:val="1"/>
    <w:next w:val="1"/>
    <w:unhideWhenUsed/>
    <w:qFormat/>
    <w:uiPriority w:val="0"/>
    <w:pPr>
      <w:keepNext/>
      <w:keepLines/>
      <w:spacing w:before="50" w:beforeLines="50" w:beforeAutospacing="0" w:afterLines="0" w:afterAutospacing="0" w:line="240" w:lineRule="auto"/>
      <w:ind w:left="0" w:leftChars="0" w:right="0" w:rightChars="0" w:firstLine="1680" w:firstLineChars="200"/>
      <w:outlineLvl w:val="1"/>
    </w:pPr>
    <w:rPr>
      <w:rFonts w:ascii="Arial" w:hAnsi="Arial" w:eastAsia="宋体"/>
      <w:b/>
    </w:rPr>
  </w:style>
  <w:style w:type="paragraph" w:styleId="2">
    <w:name w:val="heading 3"/>
    <w:basedOn w:val="1"/>
    <w:next w:val="1"/>
    <w:qFormat/>
    <w:uiPriority w:val="0"/>
    <w:pPr>
      <w:keepNext/>
      <w:keepLines/>
      <w:spacing w:before="140" w:beforeLines="0" w:beforeAutospacing="0" w:after="140" w:afterLines="0" w:afterAutospacing="0" w:line="360"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character" w:default="1" w:styleId="24">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style>
  <w:style w:type="paragraph" w:styleId="7">
    <w:name w:val="Normal Indent"/>
    <w:basedOn w:val="1"/>
    <w:next w:val="1"/>
    <w:qFormat/>
    <w:uiPriority w:val="0"/>
    <w:pPr>
      <w:adjustRightInd w:val="0"/>
      <w:snapToGrid w:val="0"/>
      <w:spacing w:line="360" w:lineRule="auto"/>
      <w:ind w:firstLine="420"/>
    </w:pPr>
    <w:rPr>
      <w:sz w:val="24"/>
    </w:rPr>
  </w:style>
  <w:style w:type="paragraph" w:styleId="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9">
    <w:name w:val="Body Text"/>
    <w:basedOn w:val="1"/>
    <w:next w:val="10"/>
    <w:qFormat/>
    <w:uiPriority w:val="0"/>
    <w:pPr>
      <w:spacing w:after="120" w:afterLines="0" w:afterAutospacing="0"/>
    </w:pPr>
  </w:style>
  <w:style w:type="paragraph" w:customStyle="1" w:styleId="10">
    <w:name w:val="默认"/>
    <w:qFormat/>
    <w:uiPriority w:val="0"/>
    <w:rPr>
      <w:rFonts w:ascii="Helvetica" w:hAnsi="Helvetica" w:eastAsia="Helvetica" w:cs="Helvetica"/>
      <w:color w:val="000000"/>
      <w:sz w:val="22"/>
      <w:szCs w:val="22"/>
      <w:lang w:val="en-US" w:eastAsia="zh-CN" w:bidi="ar-SA"/>
    </w:rPr>
  </w:style>
  <w:style w:type="paragraph" w:styleId="11">
    <w:name w:val="Body Text Indent"/>
    <w:basedOn w:val="1"/>
    <w:qFormat/>
    <w:uiPriority w:val="0"/>
    <w:pPr>
      <w:spacing w:after="120"/>
      <w:ind w:left="420" w:leftChars="200"/>
    </w:pPr>
  </w:style>
  <w:style w:type="paragraph" w:styleId="12">
    <w:name w:val="Plain Text"/>
    <w:basedOn w:val="1"/>
    <w:next w:val="5"/>
    <w:qFormat/>
    <w:uiPriority w:val="0"/>
    <w:pPr>
      <w:adjustRightInd w:val="0"/>
      <w:snapToGrid w:val="0"/>
      <w:spacing w:line="360" w:lineRule="auto"/>
    </w:pPr>
    <w:rPr>
      <w:rFonts w:ascii="宋体" w:hAnsi="Courier New"/>
      <w:sz w:val="21"/>
    </w:rPr>
  </w:style>
  <w:style w:type="paragraph" w:styleId="13">
    <w:name w:val="Date"/>
    <w:basedOn w:val="1"/>
    <w:next w:val="1"/>
    <w:qFormat/>
    <w:uiPriority w:val="0"/>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0"/>
    <w:pPr>
      <w:spacing w:line="320" w:lineRule="exact"/>
      <w:jc w:val="left"/>
    </w:pPr>
    <w:rPr>
      <w:rFonts w:ascii="宋体" w:hAnsi="宋体"/>
      <w:sz w:val="24"/>
    </w:rPr>
  </w:style>
  <w:style w:type="paragraph" w:styleId="17">
    <w:name w:val="Subtitle"/>
    <w:basedOn w:val="1"/>
    <w:next w:val="1"/>
    <w:qFormat/>
    <w:uiPriority w:val="0"/>
    <w:pPr>
      <w:autoSpaceDE w:val="0"/>
      <w:autoSpaceDN w:val="0"/>
      <w:spacing w:line="312" w:lineRule="auto"/>
      <w:jc w:val="center"/>
      <w:outlineLvl w:val="1"/>
    </w:pPr>
    <w:rPr>
      <w:rFonts w:ascii="Arial" w:hAnsi="Arial" w:cs="宋体"/>
      <w:b/>
      <w:kern w:val="28"/>
      <w:sz w:val="32"/>
      <w:szCs w:val="22"/>
      <w:lang w:val="zh-CN" w:bidi="zh-CN"/>
    </w:rPr>
  </w:style>
  <w:style w:type="paragraph" w:styleId="18">
    <w:name w:val="index 7"/>
    <w:basedOn w:val="1"/>
    <w:next w:val="1"/>
    <w:qFormat/>
    <w:uiPriority w:val="0"/>
    <w:pPr>
      <w:ind w:left="2520"/>
    </w:pPr>
  </w:style>
  <w:style w:type="paragraph" w:styleId="19">
    <w:name w:val="Body Text 2"/>
    <w:basedOn w:val="1"/>
    <w:qFormat/>
    <w:uiPriority w:val="0"/>
    <w:pPr>
      <w:adjustRightInd w:val="0"/>
      <w:snapToGrid w:val="0"/>
      <w:spacing w:after="120" w:afterLines="0" w:afterAutospacing="0" w:line="480" w:lineRule="auto"/>
    </w:pPr>
    <w:rPr>
      <w:sz w:val="24"/>
    </w:rPr>
  </w:style>
  <w:style w:type="paragraph" w:styleId="20">
    <w:name w:val="HTML Preformatted"/>
    <w:qFormat/>
    <w:uiPriority w:val="0"/>
    <w:pPr>
      <w:widowControl w:val="0"/>
      <w:jc w:val="both"/>
    </w:pPr>
    <w:rPr>
      <w:rFonts w:ascii="Courier New" w:hAnsi="Courier New" w:eastAsia="宋体" w:cs="Times New Roman"/>
      <w:kern w:val="2"/>
      <w:sz w:val="21"/>
      <w:szCs w:val="24"/>
      <w:lang w:val="en-US" w:eastAsia="zh-CN" w:bidi="ar-SA"/>
    </w:rPr>
  </w:style>
  <w:style w:type="paragraph" w:styleId="21">
    <w:name w:val="Body Text First Indent"/>
    <w:basedOn w:val="9"/>
    <w:next w:val="1"/>
    <w:qFormat/>
    <w:uiPriority w:val="0"/>
    <w:pPr>
      <w:spacing w:line="360" w:lineRule="auto"/>
      <w:ind w:firstLine="420"/>
    </w:pPr>
    <w:rPr>
      <w:rFonts w:ascii="宋体" w:hAnsi="宋体"/>
      <w:sz w:val="24"/>
    </w:rPr>
  </w:style>
  <w:style w:type="paragraph" w:styleId="22">
    <w:name w:val="Body Text First Indent 2"/>
    <w:basedOn w:val="11"/>
    <w:qFormat/>
    <w:uiPriority w:val="0"/>
    <w:pPr>
      <w:ind w:firstLine="420" w:firstLineChars="200"/>
    </w:pPr>
  </w:style>
  <w:style w:type="character" w:styleId="25">
    <w:name w:val="page number"/>
    <w:basedOn w:val="24"/>
    <w:qFormat/>
    <w:uiPriority w:val="0"/>
  </w:style>
  <w:style w:type="paragraph" w:customStyle="1" w:styleId="26">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7">
    <w:name w:val="标题 5（有编号）（绿盟科技）"/>
    <w:basedOn w:val="1"/>
    <w:next w:val="28"/>
    <w:qFormat/>
    <w:uiPriority w:val="0"/>
    <w:pPr>
      <w:keepNext/>
      <w:keepLines/>
      <w:numPr>
        <w:ilvl w:val="4"/>
        <w:numId w:val="1"/>
      </w:numPr>
      <w:spacing w:before="280" w:after="156" w:line="377" w:lineRule="auto"/>
      <w:outlineLvl w:val="4"/>
    </w:pPr>
    <w:rPr>
      <w:rFonts w:ascii="Arial" w:hAnsi="Arial" w:eastAsia="黑体"/>
      <w:b/>
      <w:kern w:val="0"/>
      <w:szCs w:val="28"/>
    </w:rPr>
  </w:style>
  <w:style w:type="paragraph" w:customStyle="1" w:styleId="28">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29">
    <w:name w:val="标题 1 字符"/>
    <w:link w:val="3"/>
    <w:qFormat/>
    <w:uiPriority w:val="0"/>
    <w:rPr>
      <w:rFonts w:ascii="Times New Roman" w:hAnsi="Times New Roman" w:eastAsia="宋体"/>
      <w:b/>
      <w:kern w:val="44"/>
      <w:sz w:val="30"/>
    </w:rPr>
  </w:style>
  <w:style w:type="paragraph" w:customStyle="1" w:styleId="30">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paragraph" w:customStyle="1" w:styleId="31">
    <w:name w:val="图例"/>
    <w:basedOn w:val="1"/>
    <w:qFormat/>
    <w:uiPriority w:val="0"/>
    <w:pPr>
      <w:spacing w:line="360" w:lineRule="auto"/>
      <w:jc w:val="center"/>
    </w:pPr>
    <w:rPr>
      <w:rFonts w:eastAsia="仿宋_GB2312"/>
      <w:b/>
      <w:sz w:val="24"/>
    </w:rPr>
  </w:style>
  <w:style w:type="paragraph" w:customStyle="1" w:styleId="32">
    <w:name w:val="1"/>
    <w:basedOn w:val="1"/>
    <w:next w:val="12"/>
    <w:qFormat/>
    <w:uiPriority w:val="0"/>
    <w:rPr>
      <w:rFonts w:ascii="宋体" w:hAnsi="Courier New"/>
      <w:sz w:val="21"/>
    </w:rPr>
  </w:style>
  <w:style w:type="paragraph" w:customStyle="1" w:styleId="33">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13851</Words>
  <Characters>14488</Characters>
  <Lines>0</Lines>
  <Paragraphs>0</Paragraphs>
  <TotalTime>3</TotalTime>
  <ScaleCrop>false</ScaleCrop>
  <LinksUpToDate>false</LinksUpToDate>
  <CharactersWithSpaces>14821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2025-11-20T03:50:00Z</dcterms:created>
  <dc:creator>万美</dc:creator>
  <cp:lastModifiedBy>王忠伦</cp:lastModifiedBy>
  <dcterms:modified xsi:type="dcterms:W3CDTF">2026-03-25T02:58:43Z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E04224CAA15D47CB995C2458BFF0B34A_11</vt:lpwstr>
  </property>
  <property fmtid="{D5CDD505-2E9C-101B-9397-08002B2CF9AE}" pid="4" name="KSOTemplateDocerSaveRecord">
    <vt:lpwstr>eyJoZGlkIjoiYTRmNjlmNjZkMGFkMTBlOTI2OWRjMTg5MWFkN2U4MGIiLCJ1c2VySWQiOiIxNTE3ODMxMjkwIn0=</vt:lpwstr>
  </property>
</Properties>
</file>